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ook w:val="04A0"/>
      </w:tblPr>
      <w:tblGrid>
        <w:gridCol w:w="976"/>
        <w:gridCol w:w="5141"/>
        <w:gridCol w:w="4090"/>
      </w:tblGrid>
      <w:tr w:rsidR="00822082" w:rsidRPr="00A522AA" w:rsidTr="00822082">
        <w:trPr>
          <w:trHeight w:val="709"/>
        </w:trPr>
        <w:tc>
          <w:tcPr>
            <w:tcW w:w="976" w:type="dxa"/>
            <w:tcBorders>
              <w:bottom w:val="single" w:sz="12" w:space="0" w:color="auto"/>
            </w:tcBorders>
            <w:shd w:val="clear" w:color="auto" w:fill="auto"/>
          </w:tcPr>
          <w:p w:rsidR="00822082" w:rsidRPr="00A522AA" w:rsidRDefault="00822082" w:rsidP="00822082">
            <w:pPr>
              <w:suppressLineNumbers/>
              <w:suppressAutoHyphens/>
              <w:kinsoku w:val="0"/>
              <w:overflowPunct w:val="0"/>
              <w:autoSpaceDE w:val="0"/>
              <w:autoSpaceDN w:val="0"/>
              <w:rPr>
                <w:kern w:val="22"/>
              </w:rPr>
            </w:pPr>
            <w:bookmarkStart w:id="0" w:name="_Hlk505247837"/>
            <w:r>
              <w:rPr>
                <w:noProof/>
                <w:kern w:val="22"/>
                <w:lang w:val="fr-FR" w:eastAsia="fr-FR"/>
              </w:rPr>
              <w:drawing>
                <wp:inline distT="0" distB="0" distL="0" distR="0">
                  <wp:extent cx="476250" cy="400050"/>
                  <wp:effectExtent l="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p14="http://schemas.microsoft.com/office/word/2010/wordprocessingDrawing"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5141" w:type="dxa"/>
            <w:tcBorders>
              <w:bottom w:val="single" w:sz="12" w:space="0" w:color="auto"/>
            </w:tcBorders>
            <w:shd w:val="clear" w:color="auto" w:fill="auto"/>
          </w:tcPr>
          <w:p w:rsidR="00822082" w:rsidRPr="00A522AA" w:rsidRDefault="00822082" w:rsidP="00822082">
            <w:pPr>
              <w:suppressLineNumbers/>
              <w:suppressAutoHyphens/>
              <w:kinsoku w:val="0"/>
              <w:overflowPunct w:val="0"/>
              <w:autoSpaceDE w:val="0"/>
              <w:autoSpaceDN w:val="0"/>
              <w:rPr>
                <w:kern w:val="22"/>
              </w:rPr>
            </w:pPr>
            <w:r>
              <w:rPr>
                <w:noProof/>
                <w:sz w:val="24"/>
                <w:lang w:val="fr-FR" w:eastAsia="fr-FR"/>
              </w:rPr>
              <w:drawing>
                <wp:inline distT="0" distB="0" distL="0" distR="0">
                  <wp:extent cx="388620" cy="434340"/>
                  <wp:effectExtent l="1905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388620" cy="434340"/>
                          </a:xfrm>
                          <a:prstGeom prst="rect">
                            <a:avLst/>
                          </a:prstGeom>
                          <a:noFill/>
                          <a:ln w="9525">
                            <a:noFill/>
                            <a:miter lim="800000"/>
                            <a:headEnd/>
                            <a:tailEnd/>
                          </a:ln>
                        </pic:spPr>
                      </pic:pic>
                    </a:graphicData>
                  </a:graphic>
                </wp:inline>
              </w:drawing>
            </w:r>
          </w:p>
        </w:tc>
        <w:tc>
          <w:tcPr>
            <w:tcW w:w="4090" w:type="dxa"/>
            <w:tcBorders>
              <w:bottom w:val="single" w:sz="12" w:space="0" w:color="auto"/>
            </w:tcBorders>
            <w:shd w:val="clear" w:color="auto" w:fill="auto"/>
          </w:tcPr>
          <w:p w:rsidR="00822082" w:rsidRPr="00A522AA" w:rsidRDefault="00822082" w:rsidP="00822082">
            <w:pPr>
              <w:suppressLineNumbers/>
              <w:suppressAutoHyphens/>
              <w:kinsoku w:val="0"/>
              <w:overflowPunct w:val="0"/>
              <w:autoSpaceDE w:val="0"/>
              <w:autoSpaceDN w:val="0"/>
              <w:jc w:val="right"/>
              <w:rPr>
                <w:rFonts w:ascii="Arial" w:hAnsi="Arial" w:cs="Arial"/>
                <w:b/>
                <w:kern w:val="22"/>
                <w:sz w:val="32"/>
                <w:szCs w:val="32"/>
              </w:rPr>
            </w:pPr>
            <w:r>
              <w:rPr>
                <w:rFonts w:ascii="Arial" w:hAnsi="Arial" w:cs="Arial"/>
                <w:b/>
                <w:bCs/>
                <w:kern w:val="22"/>
                <w:sz w:val="32"/>
                <w:szCs w:val="32"/>
              </w:rPr>
              <w:t>CBD</w:t>
            </w:r>
          </w:p>
        </w:tc>
      </w:tr>
      <w:bookmarkEnd w:id="0"/>
      <w:tr w:rsidR="00822082" w:rsidRPr="00A522AA" w:rsidTr="00822082">
        <w:tc>
          <w:tcPr>
            <w:tcW w:w="6117" w:type="dxa"/>
            <w:gridSpan w:val="2"/>
            <w:tcBorders>
              <w:top w:val="single" w:sz="12" w:space="0" w:color="auto"/>
              <w:bottom w:val="single" w:sz="36" w:space="0" w:color="auto"/>
            </w:tcBorders>
            <w:shd w:val="clear" w:color="auto" w:fill="auto"/>
            <w:vAlign w:val="center"/>
          </w:tcPr>
          <w:p w:rsidR="00822082" w:rsidRPr="00A522AA" w:rsidRDefault="00822082" w:rsidP="00822082">
            <w:pPr>
              <w:suppressLineNumbers/>
              <w:suppressAutoHyphens/>
              <w:kinsoku w:val="0"/>
              <w:overflowPunct w:val="0"/>
              <w:autoSpaceDE w:val="0"/>
              <w:autoSpaceDN w:val="0"/>
              <w:rPr>
                <w:kern w:val="22"/>
              </w:rPr>
            </w:pPr>
            <w:r>
              <w:rPr>
                <w:noProof/>
                <w:szCs w:val="22"/>
                <w:lang w:val="fr-FR" w:eastAsia="fr-FR"/>
              </w:rPr>
              <w:drawing>
                <wp:inline distT="0" distB="0" distL="0" distR="0">
                  <wp:extent cx="2613660" cy="1074420"/>
                  <wp:effectExtent l="19050" t="0" r="0" b="0"/>
                  <wp:docPr id="4" name="Рисунок 1" descr="CBD_logo_ru-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BD_logo_ru-CMYK-black [Converted]"/>
                          <pic:cNvPicPr>
                            <a:picLocks noChangeAspect="1" noChangeArrowheads="1"/>
                          </pic:cNvPicPr>
                        </pic:nvPicPr>
                        <pic:blipFill>
                          <a:blip r:embed="rId10" cstate="print"/>
                          <a:srcRect/>
                          <a:stretch>
                            <a:fillRect/>
                          </a:stretch>
                        </pic:blipFill>
                        <pic:spPr bwMode="auto">
                          <a:xfrm>
                            <a:off x="0" y="0"/>
                            <a:ext cx="2613660" cy="107442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shd w:val="clear" w:color="auto" w:fill="auto"/>
          </w:tcPr>
          <w:p w:rsidR="00822082" w:rsidRPr="00A522AA" w:rsidRDefault="00822082" w:rsidP="00822082">
            <w:pPr>
              <w:suppressLineNumbers/>
              <w:suppressAutoHyphens/>
              <w:kinsoku w:val="0"/>
              <w:overflowPunct w:val="0"/>
              <w:autoSpaceDE w:val="0"/>
              <w:autoSpaceDN w:val="0"/>
              <w:ind w:left="1215"/>
              <w:rPr>
                <w:kern w:val="22"/>
              </w:rPr>
            </w:pPr>
            <w:r w:rsidRPr="00F4394F">
              <w:rPr>
                <w:kern w:val="22"/>
                <w:szCs w:val="22"/>
                <w:lang w:val="en-US"/>
              </w:rPr>
              <w:t>Distr.</w:t>
            </w:r>
          </w:p>
          <w:p w:rsidR="00822082" w:rsidRPr="00A522AA" w:rsidRDefault="00822082" w:rsidP="00822082">
            <w:pPr>
              <w:suppressLineNumbers/>
              <w:suppressAutoHyphens/>
              <w:kinsoku w:val="0"/>
              <w:overflowPunct w:val="0"/>
              <w:autoSpaceDE w:val="0"/>
              <w:autoSpaceDN w:val="0"/>
              <w:ind w:left="1215"/>
              <w:rPr>
                <w:kern w:val="22"/>
              </w:rPr>
            </w:pPr>
            <w:r w:rsidRPr="00F4394F">
              <w:rPr>
                <w:kern w:val="22"/>
                <w:szCs w:val="22"/>
                <w:lang w:val="en-US"/>
              </w:rPr>
              <w:t>GENERAL</w:t>
            </w:r>
          </w:p>
          <w:p w:rsidR="00822082" w:rsidRPr="00A522AA" w:rsidRDefault="00822082" w:rsidP="00822082">
            <w:pPr>
              <w:suppressLineNumbers/>
              <w:suppressAutoHyphens/>
              <w:kinsoku w:val="0"/>
              <w:overflowPunct w:val="0"/>
              <w:autoSpaceDE w:val="0"/>
              <w:autoSpaceDN w:val="0"/>
              <w:ind w:left="1215"/>
              <w:rPr>
                <w:kern w:val="22"/>
              </w:rPr>
            </w:pPr>
          </w:p>
          <w:sdt>
            <w:sdtPr>
              <w:rPr>
                <w:kern w:val="22"/>
              </w:rPr>
              <w:alias w:val="Status"/>
              <w:tag w:val=""/>
              <w:id w:val="231978348"/>
              <w:placeholder>
                <w:docPart w:val="5058856CDA1E48B9B0D2F4552EA8CCB3"/>
              </w:placeholder>
              <w:dataBinding w:prefixMappings="xmlns:ns0='http://purl.org/dc/elements/1.1/' xmlns:ns1='http://schemas.openxmlformats.org/package/2006/metadata/core-properties' " w:xpath="/ns1:coreProperties[1]/ns1:contentStatus[1]" w:storeItemID="{6C3C8BC8-F283-45AE-878A-BAB7291924A1}"/>
              <w:text/>
            </w:sdtPr>
            <w:sdtContent>
              <w:p w:rsidR="00822082" w:rsidRPr="00A522AA" w:rsidRDefault="00822082" w:rsidP="00822082">
                <w:pPr>
                  <w:suppressLineNumbers/>
                  <w:suppressAutoHyphens/>
                  <w:kinsoku w:val="0"/>
                  <w:overflowPunct w:val="0"/>
                  <w:autoSpaceDE w:val="0"/>
                  <w:autoSpaceDN w:val="0"/>
                  <w:ind w:left="1215"/>
                  <w:rPr>
                    <w:kern w:val="22"/>
                  </w:rPr>
                </w:pPr>
                <w:r>
                  <w:rPr>
                    <w:kern w:val="22"/>
                  </w:rPr>
                  <w:t>CBD/COP/DEC/14/37</w:t>
                </w:r>
              </w:p>
            </w:sdtContent>
          </w:sdt>
          <w:p w:rsidR="00822082" w:rsidRPr="00A522AA" w:rsidRDefault="00693100" w:rsidP="00822082">
            <w:pPr>
              <w:suppressLineNumbers/>
              <w:suppressAutoHyphens/>
              <w:kinsoku w:val="0"/>
              <w:overflowPunct w:val="0"/>
              <w:autoSpaceDE w:val="0"/>
              <w:autoSpaceDN w:val="0"/>
              <w:ind w:left="1215"/>
              <w:rPr>
                <w:kern w:val="22"/>
              </w:rPr>
            </w:pPr>
            <w:r w:rsidRPr="00693100">
              <w:rPr>
                <w:kern w:val="22"/>
                <w:szCs w:val="22"/>
              </w:rPr>
              <w:t>05 December 2018</w:t>
            </w:r>
          </w:p>
          <w:p w:rsidR="00822082" w:rsidRDefault="00822082" w:rsidP="00822082">
            <w:pPr>
              <w:suppressLineNumbers/>
              <w:suppressAutoHyphens/>
              <w:kinsoku w:val="0"/>
              <w:overflowPunct w:val="0"/>
              <w:autoSpaceDE w:val="0"/>
              <w:autoSpaceDN w:val="0"/>
              <w:ind w:left="1215"/>
              <w:rPr>
                <w:kern w:val="22"/>
              </w:rPr>
            </w:pPr>
          </w:p>
          <w:p w:rsidR="00822082" w:rsidRPr="00F4394F" w:rsidRDefault="00822082" w:rsidP="00822082">
            <w:pPr>
              <w:suppressLineNumbers/>
              <w:suppressAutoHyphens/>
              <w:kinsoku w:val="0"/>
              <w:overflowPunct w:val="0"/>
              <w:autoSpaceDE w:val="0"/>
              <w:autoSpaceDN w:val="0"/>
              <w:ind w:left="1215"/>
              <w:rPr>
                <w:kern w:val="22"/>
                <w:lang w:val="en-US"/>
              </w:rPr>
            </w:pPr>
            <w:r>
              <w:rPr>
                <w:kern w:val="22"/>
                <w:szCs w:val="22"/>
                <w:lang w:val="en-US"/>
              </w:rPr>
              <w:t>RUSSIAN</w:t>
            </w:r>
          </w:p>
          <w:p w:rsidR="00822082" w:rsidRPr="00A522AA" w:rsidRDefault="00822082" w:rsidP="00822082">
            <w:pPr>
              <w:suppressLineNumbers/>
              <w:suppressAutoHyphens/>
              <w:kinsoku w:val="0"/>
              <w:overflowPunct w:val="0"/>
              <w:autoSpaceDE w:val="0"/>
              <w:autoSpaceDN w:val="0"/>
              <w:ind w:left="1215"/>
              <w:rPr>
                <w:kern w:val="22"/>
              </w:rPr>
            </w:pPr>
            <w:r>
              <w:rPr>
                <w:kern w:val="22"/>
                <w:szCs w:val="22"/>
              </w:rPr>
              <w:t>ORIGINAL: ENGLISH</w:t>
            </w:r>
          </w:p>
        </w:tc>
      </w:tr>
    </w:tbl>
    <w:p w:rsidR="00822082" w:rsidRPr="00F4394F" w:rsidRDefault="00822082" w:rsidP="00822082">
      <w:pPr>
        <w:pStyle w:val="Cornernotation"/>
        <w:suppressLineNumbers/>
        <w:suppressAutoHyphens/>
        <w:kinsoku w:val="0"/>
        <w:overflowPunct w:val="0"/>
        <w:autoSpaceDE w:val="0"/>
        <w:autoSpaceDN w:val="0"/>
        <w:ind w:left="180" w:right="4422" w:hanging="180"/>
        <w:rPr>
          <w:kern w:val="22"/>
          <w:szCs w:val="22"/>
        </w:rPr>
      </w:pPr>
      <w:r>
        <w:rPr>
          <w:kern w:val="22"/>
          <w:szCs w:val="22"/>
        </w:rPr>
        <w:t>КОНФЕРЕНЦИЯ СТОРОН КОНВЕНЦИИ О БИОЛОГИЧЕСКОМ РАЗНООБРАЗИИ</w:t>
      </w:r>
    </w:p>
    <w:p w:rsidR="00822082" w:rsidRPr="00822082" w:rsidRDefault="00822082" w:rsidP="00822082">
      <w:pPr>
        <w:pStyle w:val="Cornernotation"/>
        <w:suppressLineNumbers/>
        <w:suppressAutoHyphens/>
        <w:kinsoku w:val="0"/>
        <w:overflowPunct w:val="0"/>
        <w:autoSpaceDE w:val="0"/>
        <w:autoSpaceDN w:val="0"/>
        <w:ind w:left="180" w:right="4422" w:hanging="180"/>
        <w:rPr>
          <w:kern w:val="22"/>
          <w:szCs w:val="22"/>
          <w:lang w:val="ru-RU"/>
        </w:rPr>
      </w:pPr>
      <w:r w:rsidRPr="00822082">
        <w:rPr>
          <w:kern w:val="22"/>
          <w:szCs w:val="22"/>
          <w:lang w:val="ru-RU"/>
        </w:rPr>
        <w:t>Четырнадцатое совещание</w:t>
      </w:r>
    </w:p>
    <w:p w:rsidR="00822082" w:rsidRPr="00822082" w:rsidRDefault="00822082" w:rsidP="00822082">
      <w:pPr>
        <w:pStyle w:val="Cornernotation"/>
        <w:suppressLineNumbers/>
        <w:suppressAutoHyphens/>
        <w:kinsoku w:val="0"/>
        <w:overflowPunct w:val="0"/>
        <w:autoSpaceDE w:val="0"/>
        <w:autoSpaceDN w:val="0"/>
        <w:ind w:left="180" w:right="4422" w:hanging="180"/>
        <w:rPr>
          <w:kern w:val="22"/>
          <w:szCs w:val="22"/>
          <w:lang w:val="ru-RU"/>
        </w:rPr>
      </w:pPr>
      <w:r w:rsidRPr="00822082">
        <w:rPr>
          <w:kern w:val="22"/>
          <w:szCs w:val="22"/>
          <w:lang w:val="ru-RU"/>
        </w:rPr>
        <w:t>Шарм-эш-Шейх, Египет, 17-29 ноября 2018 года</w:t>
      </w:r>
    </w:p>
    <w:p w:rsidR="00822082" w:rsidRPr="00822082" w:rsidRDefault="00822082" w:rsidP="00822082">
      <w:pPr>
        <w:pStyle w:val="Cornernotation"/>
        <w:suppressLineNumbers/>
        <w:suppressAutoHyphens/>
        <w:kinsoku w:val="0"/>
        <w:overflowPunct w:val="0"/>
        <w:autoSpaceDE w:val="0"/>
        <w:autoSpaceDN w:val="0"/>
        <w:ind w:left="180" w:right="4422" w:hanging="180"/>
        <w:rPr>
          <w:kern w:val="22"/>
          <w:szCs w:val="22"/>
          <w:lang w:val="ru-RU"/>
        </w:rPr>
      </w:pPr>
      <w:r w:rsidRPr="00822082">
        <w:rPr>
          <w:kern w:val="22"/>
          <w:szCs w:val="22"/>
          <w:lang w:val="ru-RU"/>
        </w:rPr>
        <w:t>Пункт 7 повестки дня</w:t>
      </w:r>
    </w:p>
    <w:p w:rsidR="00822082" w:rsidRPr="00451FAC" w:rsidRDefault="00822082" w:rsidP="00822082">
      <w:pPr>
        <w:suppressLineNumbers/>
        <w:suppressAutoHyphens/>
        <w:kinsoku w:val="0"/>
        <w:overflowPunct w:val="0"/>
        <w:autoSpaceDE w:val="0"/>
        <w:autoSpaceDN w:val="0"/>
        <w:spacing w:before="240" w:after="120"/>
        <w:jc w:val="center"/>
        <w:rPr>
          <w:b/>
          <w:caps/>
          <w:kern w:val="22"/>
          <w:szCs w:val="22"/>
        </w:rPr>
      </w:pPr>
      <w:r w:rsidRPr="00451FAC">
        <w:rPr>
          <w:b/>
          <w:kern w:val="1"/>
        </w:rPr>
        <w:t>РЕШЕНИЕ, ПРИНЯТОЕ КОНФЕРЕНЦИЕЙ СТОРОН КОНВЕНЦИИ О БИОЛОГИЧЕСКОМ РАЗНООБРАЗИИ</w:t>
      </w:r>
    </w:p>
    <w:p w:rsidR="00332522" w:rsidRPr="00760D68" w:rsidRDefault="00822082" w:rsidP="00822082">
      <w:pPr>
        <w:spacing w:before="120" w:after="120"/>
        <w:jc w:val="center"/>
        <w:rPr>
          <w:rFonts w:eastAsia="Malgun Gothic"/>
          <w:b/>
          <w:color w:val="000000"/>
          <w:kern w:val="18"/>
          <w:lang w:val="ru-RU"/>
        </w:rPr>
      </w:pPr>
      <w:r w:rsidRPr="006F27B8">
        <w:rPr>
          <w:b/>
          <w:iCs/>
          <w:lang w:val="ru-RU"/>
        </w:rPr>
        <w:t>14</w:t>
      </w:r>
      <w:r>
        <w:rPr>
          <w:b/>
          <w:iCs/>
        </w:rPr>
        <w:t>/37</w:t>
      </w:r>
      <w:r w:rsidRPr="006F27B8">
        <w:rPr>
          <w:b/>
          <w:iCs/>
          <w:lang w:val="ru-RU"/>
        </w:rPr>
        <w:tab/>
      </w:r>
      <w:r w:rsidR="00653BF2" w:rsidRPr="00760D68">
        <w:rPr>
          <w:b/>
          <w:iCs/>
          <w:lang w:val="ru-RU"/>
        </w:rPr>
        <w:t>Комплексная программа работы и бюджет Конвенции и протоколов к ней</w:t>
      </w:r>
    </w:p>
    <w:p w:rsidR="00037173" w:rsidRPr="000559B7" w:rsidRDefault="00037173" w:rsidP="00037173">
      <w:pPr>
        <w:spacing w:before="120" w:after="120"/>
        <w:ind w:firstLine="720"/>
        <w:rPr>
          <w:rFonts w:eastAsia="Malgun Gothic"/>
          <w:i/>
          <w:color w:val="000000"/>
          <w:kern w:val="18"/>
          <w:lang w:val="ru-RU"/>
        </w:rPr>
      </w:pPr>
      <w:r w:rsidRPr="000559B7">
        <w:rPr>
          <w:i/>
          <w:color w:val="000000"/>
          <w:lang w:val="ru-RU"/>
        </w:rPr>
        <w:t>Конференция Сторон,</w:t>
      </w:r>
    </w:p>
    <w:p w:rsidR="00037173" w:rsidRPr="000559B7" w:rsidRDefault="00037173" w:rsidP="00037173">
      <w:pPr>
        <w:spacing w:before="120" w:after="120"/>
        <w:ind w:firstLine="720"/>
        <w:rPr>
          <w:color w:val="000000"/>
          <w:lang w:val="ru-RU"/>
        </w:rPr>
      </w:pPr>
      <w:r w:rsidRPr="000559B7">
        <w:rPr>
          <w:i/>
          <w:color w:val="000000"/>
          <w:lang w:val="ru-RU"/>
        </w:rPr>
        <w:t xml:space="preserve">ссылаясь </w:t>
      </w:r>
      <w:r w:rsidRPr="000559B7">
        <w:rPr>
          <w:color w:val="000000"/>
          <w:lang w:val="ru-RU"/>
        </w:rPr>
        <w:t>на свое решение XIII/32 и решение VIII/7 Конференции Сторон, выступающей в качестве совещания Сторон Картахенского протокола по биобезопасности, принятое на ее седьмом совещании, и на решение I/13 Конференции Сторон, выступающей в качестве совещания Сторон Нагойского протокола регулирования доступа к генетическим ресурсам и совместного использования выгод,</w:t>
      </w:r>
    </w:p>
    <w:p w:rsidR="00037173" w:rsidRPr="000559B7" w:rsidRDefault="00037173" w:rsidP="00037173">
      <w:pPr>
        <w:spacing w:before="120" w:after="120"/>
        <w:ind w:firstLine="720"/>
        <w:rPr>
          <w:color w:val="000000"/>
          <w:kern w:val="18"/>
          <w:lang w:val="ru-RU"/>
        </w:rPr>
      </w:pPr>
      <w:r w:rsidRPr="000559B7">
        <w:rPr>
          <w:i/>
          <w:color w:val="000000"/>
          <w:kern w:val="18"/>
          <w:lang w:val="ru-RU"/>
        </w:rPr>
        <w:t>ссылаясь также</w:t>
      </w:r>
      <w:r w:rsidRPr="000559B7">
        <w:rPr>
          <w:color w:val="000000"/>
          <w:kern w:val="18"/>
          <w:lang w:val="ru-RU"/>
        </w:rPr>
        <w:t xml:space="preserve"> на решение III/1, в котором указывается, что предложения по бюджету должны распространяться за 90 дней до совещаний Конференции Сторон,</w:t>
      </w:r>
    </w:p>
    <w:p w:rsidR="00037173" w:rsidRPr="000559B7" w:rsidRDefault="00037173" w:rsidP="00037173">
      <w:pPr>
        <w:spacing w:before="120" w:after="120"/>
        <w:ind w:firstLine="720"/>
        <w:rPr>
          <w:rFonts w:eastAsia="Malgun Gothic"/>
          <w:i/>
          <w:kern w:val="18"/>
          <w:lang w:val="ru-RU"/>
        </w:rPr>
      </w:pPr>
      <w:r w:rsidRPr="000559B7">
        <w:rPr>
          <w:i/>
          <w:color w:val="000000"/>
          <w:lang w:val="ru-RU"/>
        </w:rPr>
        <w:t xml:space="preserve">напоминая далее </w:t>
      </w:r>
      <w:r w:rsidRPr="000559B7">
        <w:rPr>
          <w:color w:val="000000"/>
          <w:lang w:val="ru-RU"/>
        </w:rPr>
        <w:t>о резолюции 2/18 Ассамблеи Организации Объединенных Наций по окружающей среде о</w:t>
      </w:r>
      <w:r w:rsidR="00961128">
        <w:rPr>
          <w:color w:val="000000"/>
          <w:lang w:val="ru-RU"/>
        </w:rPr>
        <w:t xml:space="preserve">б </w:t>
      </w:r>
      <w:r w:rsidRPr="000559B7">
        <w:rPr>
          <w:color w:val="000000"/>
          <w:lang w:val="ru-RU"/>
        </w:rPr>
        <w:t xml:space="preserve">отношениях между Программой Организации Объединенных Наций по </w:t>
      </w:r>
      <w:r w:rsidRPr="000559B7">
        <w:rPr>
          <w:lang w:val="ru-RU"/>
        </w:rPr>
        <w:t xml:space="preserve">окружающей среде и многосторонними природоохранными соглашениями, для которых она обеспечивает </w:t>
      </w:r>
      <w:r w:rsidR="00961128">
        <w:rPr>
          <w:lang w:val="ru-RU"/>
        </w:rPr>
        <w:t xml:space="preserve">функции </w:t>
      </w:r>
      <w:r w:rsidRPr="000559B7">
        <w:rPr>
          <w:lang w:val="ru-RU"/>
        </w:rPr>
        <w:t>секретариат</w:t>
      </w:r>
      <w:r w:rsidR="00961128">
        <w:rPr>
          <w:lang w:val="ru-RU"/>
        </w:rPr>
        <w:t>а</w:t>
      </w:r>
      <w:r w:rsidRPr="000559B7">
        <w:rPr>
          <w:lang w:val="ru-RU"/>
        </w:rPr>
        <w:t>,</w:t>
      </w:r>
    </w:p>
    <w:p w:rsidR="00037173" w:rsidRPr="000559B7" w:rsidRDefault="00037173" w:rsidP="00037173">
      <w:pPr>
        <w:spacing w:before="120" w:after="120"/>
        <w:ind w:firstLine="720"/>
        <w:rPr>
          <w:i/>
          <w:color w:val="000000"/>
          <w:kern w:val="18"/>
          <w:lang w:val="ru-RU"/>
        </w:rPr>
      </w:pPr>
      <w:r w:rsidRPr="000559B7">
        <w:rPr>
          <w:iCs/>
          <w:color w:val="000000"/>
          <w:lang w:val="ru-RU"/>
        </w:rPr>
        <w:t>1.</w:t>
      </w:r>
      <w:r w:rsidRPr="000559B7">
        <w:rPr>
          <w:iCs/>
          <w:color w:val="000000"/>
          <w:lang w:val="ru-RU"/>
        </w:rPr>
        <w:tab/>
      </w:r>
      <w:r w:rsidRPr="000559B7">
        <w:rPr>
          <w:i/>
          <w:iCs/>
          <w:color w:val="000000"/>
          <w:lang w:val="ru-RU"/>
        </w:rPr>
        <w:t>постановляет</w:t>
      </w:r>
      <w:r w:rsidRPr="000559B7">
        <w:rPr>
          <w:iCs/>
          <w:color w:val="000000"/>
          <w:lang w:val="ru-RU"/>
        </w:rPr>
        <w:t xml:space="preserve"> принять комплексную программу работы и бюджет Конвенции о биологическом разнообразии, Картахенского протокола по биобезопасности и Нагойского протокола регулирования доступа к генетическим ресурсам и совместного использования выгод;</w:t>
      </w:r>
    </w:p>
    <w:p w:rsidR="00037173" w:rsidRPr="000559B7" w:rsidRDefault="00037173" w:rsidP="00037173">
      <w:pPr>
        <w:spacing w:before="120" w:after="120"/>
        <w:ind w:firstLine="720"/>
        <w:rPr>
          <w:iCs/>
          <w:color w:val="000000"/>
          <w:lang w:val="ru-RU"/>
        </w:rPr>
      </w:pPr>
      <w:r w:rsidRPr="000559B7">
        <w:rPr>
          <w:iCs/>
          <w:color w:val="000000"/>
          <w:lang w:val="ru-RU"/>
        </w:rPr>
        <w:t>2.</w:t>
      </w:r>
      <w:r w:rsidRPr="000559B7">
        <w:rPr>
          <w:iCs/>
          <w:color w:val="000000"/>
          <w:lang w:val="ru-RU"/>
        </w:rPr>
        <w:tab/>
      </w:r>
      <w:r w:rsidRPr="000559B7">
        <w:rPr>
          <w:i/>
          <w:iCs/>
          <w:color w:val="000000"/>
          <w:lang w:val="ru-RU"/>
        </w:rPr>
        <w:t>также постановляет</w:t>
      </w:r>
      <w:r w:rsidRPr="000559B7">
        <w:rPr>
          <w:iCs/>
          <w:color w:val="000000"/>
          <w:lang w:val="ru-RU"/>
        </w:rPr>
        <w:t xml:space="preserve"> распределять все расходы на услуги секретариата среди Конвенции, Картахенского протокола и Нагойского протокола в соотношении </w:t>
      </w:r>
      <w:r w:rsidRPr="000559B7">
        <w:rPr>
          <w:rFonts w:eastAsia="Malgun Gothic"/>
          <w:iCs/>
          <w:color w:val="000000"/>
          <w:kern w:val="18"/>
          <w:szCs w:val="22"/>
          <w:lang w:val="ru-RU"/>
        </w:rPr>
        <w:t>74</w:t>
      </w:r>
      <w:r w:rsidR="00653BF2">
        <w:rPr>
          <w:rFonts w:eastAsia="Malgun Gothic"/>
          <w:iCs/>
          <w:color w:val="000000"/>
          <w:kern w:val="18"/>
          <w:szCs w:val="22"/>
          <w:lang w:val="ru-RU"/>
        </w:rPr>
        <w:t>:</w:t>
      </w:r>
      <w:r w:rsidRPr="000559B7">
        <w:rPr>
          <w:rFonts w:eastAsia="Malgun Gothic"/>
          <w:iCs/>
          <w:color w:val="000000"/>
          <w:kern w:val="18"/>
          <w:szCs w:val="22"/>
          <w:lang w:val="ru-RU"/>
        </w:rPr>
        <w:t>15</w:t>
      </w:r>
      <w:r w:rsidR="00653BF2">
        <w:rPr>
          <w:rFonts w:eastAsia="Malgun Gothic"/>
          <w:iCs/>
          <w:color w:val="000000"/>
          <w:kern w:val="18"/>
          <w:szCs w:val="22"/>
          <w:lang w:val="ru-RU"/>
        </w:rPr>
        <w:t>:</w:t>
      </w:r>
      <w:r w:rsidRPr="000559B7">
        <w:rPr>
          <w:rFonts w:eastAsia="Malgun Gothic"/>
          <w:iCs/>
          <w:color w:val="000000"/>
          <w:kern w:val="18"/>
          <w:szCs w:val="22"/>
          <w:lang w:val="ru-RU"/>
        </w:rPr>
        <w:t>11</w:t>
      </w:r>
      <w:r w:rsidRPr="000559B7">
        <w:rPr>
          <w:iCs/>
          <w:color w:val="000000"/>
          <w:lang w:val="ru-RU"/>
        </w:rPr>
        <w:t xml:space="preserve"> в двухлетний период 2019-2020 годов;</w:t>
      </w:r>
    </w:p>
    <w:p w:rsidR="00037173" w:rsidRPr="000559B7" w:rsidRDefault="00037173" w:rsidP="00037173">
      <w:pPr>
        <w:spacing w:before="120" w:after="120"/>
        <w:ind w:firstLine="720"/>
        <w:rPr>
          <w:rFonts w:eastAsia="Malgun Gothic"/>
          <w:color w:val="000000"/>
          <w:kern w:val="18"/>
          <w:lang w:val="ru-RU"/>
        </w:rPr>
      </w:pPr>
      <w:r w:rsidRPr="000559B7">
        <w:rPr>
          <w:rFonts w:eastAsia="Malgun Gothic"/>
          <w:color w:val="000000"/>
          <w:kern w:val="18"/>
          <w:lang w:val="ru-RU"/>
        </w:rPr>
        <w:t>3.</w:t>
      </w:r>
      <w:r w:rsidRPr="000559B7">
        <w:rPr>
          <w:rFonts w:eastAsia="Malgun Gothic"/>
          <w:color w:val="000000"/>
          <w:kern w:val="18"/>
          <w:lang w:val="ru-RU"/>
        </w:rPr>
        <w:tab/>
      </w:r>
      <w:r w:rsidRPr="000559B7">
        <w:rPr>
          <w:rFonts w:eastAsia="Malgun Gothic"/>
          <w:i/>
          <w:color w:val="000000"/>
          <w:kern w:val="18"/>
          <w:lang w:val="ru-RU"/>
        </w:rPr>
        <w:t>отмечает</w:t>
      </w:r>
      <w:r w:rsidRPr="000559B7">
        <w:rPr>
          <w:rFonts w:eastAsia="Malgun Gothic"/>
          <w:color w:val="000000"/>
          <w:kern w:val="18"/>
          <w:lang w:val="ru-RU"/>
        </w:rPr>
        <w:t>, что</w:t>
      </w:r>
      <w:r w:rsidRPr="000559B7">
        <w:rPr>
          <w:bCs/>
          <w:color w:val="000000"/>
          <w:szCs w:val="22"/>
          <w:lang w:val="ru-RU" w:eastAsia="fr-FR"/>
        </w:rPr>
        <w:t xml:space="preserve"> </w:t>
      </w:r>
      <w:r w:rsidRPr="000559B7">
        <w:rPr>
          <w:rFonts w:eastAsia="Malgun Gothic"/>
          <w:bCs/>
          <w:color w:val="000000"/>
          <w:kern w:val="18"/>
          <w:lang w:val="ru-RU"/>
        </w:rPr>
        <w:t xml:space="preserve">Нагойско-Куала-Лумпурский дополнительный протокол об ответственности и возмещении вступил в силу в мае 2018 года, и </w:t>
      </w:r>
      <w:r w:rsidRPr="000559B7">
        <w:rPr>
          <w:rFonts w:eastAsia="Malgun Gothic"/>
          <w:bCs/>
          <w:i/>
          <w:color w:val="000000"/>
          <w:kern w:val="18"/>
          <w:lang w:val="ru-RU"/>
        </w:rPr>
        <w:t>подтверждает</w:t>
      </w:r>
      <w:r w:rsidRPr="000559B7">
        <w:rPr>
          <w:rFonts w:eastAsia="Malgun Gothic"/>
          <w:bCs/>
          <w:color w:val="000000"/>
          <w:kern w:val="18"/>
          <w:lang w:val="ru-RU"/>
        </w:rPr>
        <w:t>, что его программа работы не потребует основного финансирования</w:t>
      </w:r>
      <w:r w:rsidR="00653BF2">
        <w:rPr>
          <w:rFonts w:eastAsia="Malgun Gothic"/>
          <w:bCs/>
          <w:color w:val="000000"/>
          <w:kern w:val="18"/>
          <w:lang w:val="ru-RU"/>
        </w:rPr>
        <w:t xml:space="preserve"> и что л</w:t>
      </w:r>
      <w:r w:rsidRPr="000559B7">
        <w:rPr>
          <w:rFonts w:eastAsia="Malgun Gothic"/>
          <w:bCs/>
          <w:color w:val="000000"/>
          <w:kern w:val="18"/>
          <w:lang w:val="ru-RU"/>
        </w:rPr>
        <w:t xml:space="preserve">юбые средства, необходимые для поддержки деятельности секретариата в отношении </w:t>
      </w:r>
      <w:r w:rsidR="00961128">
        <w:rPr>
          <w:rFonts w:eastAsia="Malgun Gothic"/>
          <w:bCs/>
          <w:color w:val="000000"/>
          <w:kern w:val="18"/>
          <w:lang w:val="ru-RU"/>
        </w:rPr>
        <w:t>Д</w:t>
      </w:r>
      <w:r w:rsidRPr="000559B7">
        <w:rPr>
          <w:rFonts w:eastAsia="Malgun Gothic"/>
          <w:bCs/>
          <w:color w:val="000000"/>
          <w:kern w:val="18"/>
          <w:lang w:val="ru-RU"/>
        </w:rPr>
        <w:t>ополнительного протокола</w:t>
      </w:r>
      <w:r w:rsidRPr="000559B7">
        <w:rPr>
          <w:iCs/>
          <w:color w:val="000000"/>
          <w:lang w:val="ru-RU"/>
        </w:rPr>
        <w:t xml:space="preserve"> в двухлетний период 2019-2020 годов, будут предоставлены его Сторонами;</w:t>
      </w:r>
    </w:p>
    <w:p w:rsidR="00037173" w:rsidRPr="000559B7" w:rsidRDefault="00037173" w:rsidP="00037173">
      <w:pPr>
        <w:spacing w:before="120" w:after="120"/>
        <w:ind w:firstLine="720"/>
        <w:rPr>
          <w:iCs/>
          <w:color w:val="000000"/>
          <w:lang w:val="ru-RU"/>
        </w:rPr>
      </w:pPr>
      <w:proofErr w:type="gramStart"/>
      <w:r w:rsidRPr="000559B7">
        <w:rPr>
          <w:iCs/>
          <w:color w:val="000000"/>
          <w:lang w:val="ru-RU"/>
        </w:rPr>
        <w:t>4.</w:t>
      </w:r>
      <w:r w:rsidRPr="000559B7">
        <w:rPr>
          <w:iCs/>
          <w:color w:val="000000"/>
          <w:lang w:val="ru-RU"/>
        </w:rPr>
        <w:tab/>
      </w:r>
      <w:r w:rsidRPr="000559B7">
        <w:rPr>
          <w:i/>
          <w:iCs/>
          <w:color w:val="000000"/>
          <w:lang w:val="ru-RU"/>
        </w:rPr>
        <w:t xml:space="preserve">напоминает </w:t>
      </w:r>
      <w:r w:rsidRPr="000559B7">
        <w:rPr>
          <w:iCs/>
          <w:color w:val="000000"/>
          <w:lang w:val="ru-RU"/>
        </w:rPr>
        <w:t>о рекомендации, представленной Управлением служб внутреннего надзора в пунктах 21-24 его аудиторского доклада, содержащегося в документе UNEP/CBD/COP/12/INF/49, в соответствии с которой резерв оборотных средств должен поддерживаться на уровне 15% от планируемых годовых сметных расходов;</w:t>
      </w:r>
      <w:proofErr w:type="gramEnd"/>
    </w:p>
    <w:p w:rsidR="00037173" w:rsidRPr="000559B7" w:rsidRDefault="00037173" w:rsidP="00037173">
      <w:pPr>
        <w:spacing w:before="120" w:after="120"/>
        <w:ind w:firstLine="720"/>
        <w:rPr>
          <w:iCs/>
          <w:color w:val="000000"/>
          <w:lang w:val="ru-RU"/>
        </w:rPr>
      </w:pPr>
      <w:r w:rsidRPr="000559B7">
        <w:rPr>
          <w:iCs/>
          <w:color w:val="000000"/>
          <w:lang w:val="ru-RU"/>
        </w:rPr>
        <w:lastRenderedPageBreak/>
        <w:t>5.</w:t>
      </w:r>
      <w:r w:rsidRPr="000559B7">
        <w:rPr>
          <w:iCs/>
          <w:color w:val="000000"/>
          <w:lang w:val="ru-RU"/>
        </w:rPr>
        <w:tab/>
      </w:r>
      <w:r w:rsidRPr="000559B7">
        <w:rPr>
          <w:i/>
          <w:iCs/>
          <w:color w:val="000000"/>
          <w:lang w:val="ru-RU"/>
        </w:rPr>
        <w:t xml:space="preserve">поручает </w:t>
      </w:r>
      <w:r w:rsidRPr="000559B7">
        <w:rPr>
          <w:iCs/>
          <w:color w:val="000000"/>
          <w:lang w:val="ru-RU"/>
        </w:rPr>
        <w:t>Исполнительному секретарю представить бюро доклад и всю необходимую информацию, в том числе касающуюся применения административных договоренностей между Программой Организации Объединенных Наций по окружающей среде и секретариатом Конвенции о биологическом разнообразии, чтобы обеспечить ведущую роль бюро в отношении подготовки и проведения совещаний Конференции Сторон;</w:t>
      </w:r>
    </w:p>
    <w:p w:rsidR="00037173" w:rsidRPr="000559B7" w:rsidRDefault="00037173" w:rsidP="00037173">
      <w:pPr>
        <w:spacing w:before="120" w:after="120"/>
        <w:ind w:firstLine="720"/>
        <w:rPr>
          <w:color w:val="000000"/>
          <w:lang w:val="ru-RU"/>
        </w:rPr>
      </w:pPr>
      <w:proofErr w:type="gramStart"/>
      <w:r w:rsidRPr="000559B7">
        <w:rPr>
          <w:iCs/>
          <w:color w:val="000000"/>
          <w:lang w:val="ru-RU"/>
        </w:rPr>
        <w:t>6.</w:t>
      </w:r>
      <w:r w:rsidRPr="000559B7">
        <w:rPr>
          <w:iCs/>
          <w:color w:val="000000"/>
          <w:lang w:val="ru-RU"/>
        </w:rPr>
        <w:tab/>
      </w:r>
      <w:r w:rsidRPr="000559B7">
        <w:rPr>
          <w:i/>
          <w:iCs/>
          <w:color w:val="000000"/>
          <w:lang w:val="ru-RU"/>
        </w:rPr>
        <w:t>утверждает</w:t>
      </w:r>
      <w:r w:rsidRPr="000559B7">
        <w:rPr>
          <w:color w:val="000000"/>
          <w:lang w:val="ru-RU"/>
        </w:rPr>
        <w:t xml:space="preserve"> основной бюджет по программе Конвенции </w:t>
      </w:r>
      <w:r w:rsidRPr="000559B7">
        <w:rPr>
          <w:rFonts w:eastAsia="Malgun Gothic"/>
          <w:iCs/>
          <w:color w:val="000000"/>
          <w:kern w:val="18"/>
          <w:lang w:val="ru-RU"/>
        </w:rPr>
        <w:t xml:space="preserve">(BY) </w:t>
      </w:r>
      <w:r w:rsidRPr="000559B7">
        <w:rPr>
          <w:color w:val="000000"/>
          <w:lang w:val="ru-RU"/>
        </w:rPr>
        <w:t xml:space="preserve">в размере </w:t>
      </w:r>
      <w:r w:rsidRPr="000559B7">
        <w:rPr>
          <w:iCs/>
          <w:color w:val="000000"/>
          <w:lang w:val="ru-RU"/>
        </w:rPr>
        <w:t xml:space="preserve">14 022 190 </w:t>
      </w:r>
      <w:r w:rsidRPr="000559B7">
        <w:rPr>
          <w:color w:val="000000"/>
          <w:lang w:val="ru-RU"/>
        </w:rPr>
        <w:t xml:space="preserve">долл. США на 2019 год и в размере </w:t>
      </w:r>
      <w:r w:rsidRPr="000559B7">
        <w:rPr>
          <w:iCs/>
          <w:color w:val="000000"/>
          <w:lang w:val="ru-RU"/>
        </w:rPr>
        <w:t xml:space="preserve">14 722 420 </w:t>
      </w:r>
      <w:r w:rsidRPr="000559B7">
        <w:rPr>
          <w:color w:val="000000"/>
          <w:lang w:val="ru-RU"/>
        </w:rPr>
        <w:t>долл. США на 2020 год, представляющий собой 74% от комплексного бюджета Конвенции и протоколов в</w:t>
      </w:r>
      <w:r w:rsidR="00540D6D">
        <w:rPr>
          <w:color w:val="000000"/>
          <w:lang w:val="ru-RU"/>
        </w:rPr>
        <w:t xml:space="preserve"> размере </w:t>
      </w:r>
      <w:r w:rsidRPr="000559B7">
        <w:rPr>
          <w:iCs/>
          <w:color w:val="000000"/>
          <w:lang w:val="ru-RU"/>
        </w:rPr>
        <w:t xml:space="preserve">18 948 900 </w:t>
      </w:r>
      <w:r w:rsidRPr="000559B7">
        <w:rPr>
          <w:color w:val="000000"/>
          <w:lang w:val="ru-RU"/>
        </w:rPr>
        <w:t xml:space="preserve">долл. США на 2019 год и </w:t>
      </w:r>
      <w:r w:rsidRPr="000559B7">
        <w:rPr>
          <w:iCs/>
          <w:color w:val="000000"/>
          <w:lang w:val="ru-RU"/>
        </w:rPr>
        <w:t xml:space="preserve">19 895 200 </w:t>
      </w:r>
      <w:r w:rsidRPr="000559B7">
        <w:rPr>
          <w:color w:val="000000"/>
          <w:lang w:val="ru-RU"/>
        </w:rPr>
        <w:t>долл. США на 2020 год для целей, перечисленных</w:t>
      </w:r>
      <w:proofErr w:type="gramEnd"/>
      <w:r w:rsidRPr="000559B7">
        <w:rPr>
          <w:color w:val="000000"/>
          <w:lang w:val="ru-RU"/>
        </w:rPr>
        <w:t xml:space="preserve"> в таблицах 1a и 1b ниже;</w:t>
      </w:r>
    </w:p>
    <w:p w:rsidR="00037173" w:rsidRPr="000559B7" w:rsidRDefault="00037173" w:rsidP="00037173">
      <w:pPr>
        <w:suppressLineNumbers/>
        <w:suppressAutoHyphens/>
        <w:spacing w:before="120" w:after="120"/>
        <w:ind w:firstLine="720"/>
        <w:rPr>
          <w:lang w:val="ru-RU"/>
        </w:rPr>
      </w:pPr>
      <w:proofErr w:type="gramStart"/>
      <w:r w:rsidRPr="000559B7">
        <w:rPr>
          <w:lang w:val="ru-RU"/>
        </w:rPr>
        <w:t>7.</w:t>
      </w:r>
      <w:r w:rsidRPr="000559B7">
        <w:rPr>
          <w:lang w:val="ru-RU"/>
        </w:rPr>
        <w:tab/>
      </w:r>
      <w:r w:rsidRPr="000559B7">
        <w:rPr>
          <w:i/>
          <w:lang w:val="ru-RU"/>
        </w:rPr>
        <w:t>утверждает</w:t>
      </w:r>
      <w:r w:rsidRPr="000559B7">
        <w:rPr>
          <w:lang w:val="ru-RU"/>
        </w:rPr>
        <w:t xml:space="preserve"> использование остатков неизрасходованных средств целевых фондов BY, BG, BB за двухлетний период 2017-2018 годов в размере 3 206 600 долл. США для компенсирования взносов Сторон Конвенции, Картахенского протокола и Нагойского протокола за двухлетний период 2019-2020 годов в следующих областях: 1 480 300 долл. США на поддержку </w:t>
      </w:r>
      <w:r w:rsidR="00653BF2">
        <w:rPr>
          <w:lang w:val="ru-RU"/>
        </w:rPr>
        <w:t>проведения внеочередных совещаний, касающихся подготовки программы на</w:t>
      </w:r>
      <w:r w:rsidRPr="000559B7">
        <w:rPr>
          <w:lang w:val="ru-RU"/>
        </w:rPr>
        <w:t xml:space="preserve"> период после 2020 года;</w:t>
      </w:r>
      <w:proofErr w:type="gramEnd"/>
      <w:r w:rsidRPr="000559B7">
        <w:rPr>
          <w:lang w:val="ru-RU"/>
        </w:rPr>
        <w:t xml:space="preserve"> 1 726 300 долл. США для вычета из взносов в целевые фонды BY, BG, BB на двухлетний период 2019-2020 годов;</w:t>
      </w:r>
    </w:p>
    <w:p w:rsidR="00037173" w:rsidRPr="000559B7" w:rsidRDefault="00037173" w:rsidP="00037173">
      <w:pPr>
        <w:spacing w:before="120" w:after="120"/>
        <w:ind w:firstLine="720"/>
        <w:rPr>
          <w:iCs/>
          <w:szCs w:val="22"/>
          <w:lang w:val="ru-RU" w:eastAsia="en-US"/>
        </w:rPr>
      </w:pPr>
      <w:proofErr w:type="gramStart"/>
      <w:r w:rsidRPr="000559B7">
        <w:rPr>
          <w:iCs/>
          <w:szCs w:val="22"/>
          <w:lang w:val="ru-RU" w:eastAsia="en-US"/>
        </w:rPr>
        <w:t>8.</w:t>
      </w:r>
      <w:r w:rsidRPr="000559B7">
        <w:rPr>
          <w:iCs/>
          <w:szCs w:val="22"/>
          <w:lang w:val="ru-RU" w:eastAsia="en-US"/>
        </w:rPr>
        <w:tab/>
      </w:r>
      <w:r w:rsidRPr="000559B7">
        <w:rPr>
          <w:i/>
          <w:iCs/>
          <w:szCs w:val="22"/>
          <w:lang w:val="ru-RU" w:eastAsia="en-US"/>
        </w:rPr>
        <w:t xml:space="preserve">поручает </w:t>
      </w:r>
      <w:r w:rsidRPr="000559B7">
        <w:rPr>
          <w:iCs/>
          <w:szCs w:val="22"/>
          <w:lang w:val="ru-RU" w:eastAsia="en-US"/>
        </w:rPr>
        <w:t xml:space="preserve">Исполнительному секретарю свести к минимуму расходы на проведение совещаний за счет резервирования помещений для заседаний всех совещаний вспомогательных органов, проводимых в Монреале в течение двухлетнего периода 2019-2020 годов, посредством заключения соглашения о преференциальном использовании помещений с Международной организацией гражданской авиации в любые имеющиеся </w:t>
      </w:r>
      <w:r w:rsidR="004D04AF">
        <w:rPr>
          <w:iCs/>
          <w:szCs w:val="22"/>
          <w:lang w:val="ru-RU" w:eastAsia="en-US"/>
        </w:rPr>
        <w:t>даты</w:t>
      </w:r>
      <w:r w:rsidRPr="000559B7">
        <w:rPr>
          <w:iCs/>
          <w:szCs w:val="22"/>
          <w:lang w:val="ru-RU" w:eastAsia="en-US"/>
        </w:rPr>
        <w:t>, подходящие для Сторон, а в исключительных случаях, когда такие возможности не могут быть найдены</w:t>
      </w:r>
      <w:proofErr w:type="gramEnd"/>
      <w:r w:rsidRPr="000559B7">
        <w:rPr>
          <w:iCs/>
          <w:szCs w:val="22"/>
          <w:lang w:val="ru-RU" w:eastAsia="en-US"/>
        </w:rPr>
        <w:t xml:space="preserve">, </w:t>
      </w:r>
      <w:r w:rsidRPr="000559B7">
        <w:rPr>
          <w:i/>
          <w:iCs/>
          <w:szCs w:val="22"/>
          <w:lang w:val="ru-RU" w:eastAsia="en-US"/>
        </w:rPr>
        <w:t>разрешает</w:t>
      </w:r>
      <w:r w:rsidRPr="000559B7">
        <w:rPr>
          <w:iCs/>
          <w:szCs w:val="22"/>
          <w:lang w:val="ru-RU" w:eastAsia="en-US"/>
        </w:rPr>
        <w:t xml:space="preserve"> использование остатков неизрасходованных средств для покрытия дополнительных расходов на аренду </w:t>
      </w:r>
      <w:r w:rsidR="004D04AF">
        <w:rPr>
          <w:iCs/>
          <w:szCs w:val="22"/>
          <w:lang w:val="ru-RU" w:eastAsia="en-US"/>
        </w:rPr>
        <w:t xml:space="preserve">помещений </w:t>
      </w:r>
      <w:r w:rsidR="006F27B8">
        <w:rPr>
          <w:iCs/>
          <w:szCs w:val="22"/>
          <w:lang w:val="ru-RU" w:eastAsia="en-US"/>
        </w:rPr>
        <w:t xml:space="preserve">для проведения совещаний </w:t>
      </w:r>
      <w:r w:rsidRPr="000559B7">
        <w:rPr>
          <w:iCs/>
          <w:szCs w:val="22"/>
          <w:lang w:val="ru-RU" w:eastAsia="en-US"/>
        </w:rPr>
        <w:t xml:space="preserve">и </w:t>
      </w:r>
      <w:proofErr w:type="gramStart"/>
      <w:r w:rsidRPr="000559B7">
        <w:rPr>
          <w:iCs/>
          <w:szCs w:val="22"/>
          <w:lang w:val="ru-RU" w:eastAsia="en-US"/>
        </w:rPr>
        <w:t>других</w:t>
      </w:r>
      <w:proofErr w:type="gramEnd"/>
      <w:r w:rsidRPr="000559B7">
        <w:rPr>
          <w:iCs/>
          <w:szCs w:val="22"/>
          <w:lang w:val="ru-RU" w:eastAsia="en-US"/>
        </w:rPr>
        <w:t xml:space="preserve"> связанных с этим расходов, выбирая наиболее экономичный альтернативный вариант </w:t>
      </w:r>
      <w:r w:rsidR="00540D6D">
        <w:rPr>
          <w:iCs/>
          <w:szCs w:val="22"/>
          <w:lang w:val="ru-RU" w:eastAsia="en-US"/>
        </w:rPr>
        <w:t xml:space="preserve">для аренды </w:t>
      </w:r>
      <w:proofErr w:type="spellStart"/>
      <w:r w:rsidR="004D04AF" w:rsidRPr="004D04AF">
        <w:rPr>
          <w:iCs/>
          <w:szCs w:val="22"/>
          <w:lang w:eastAsia="en-US"/>
        </w:rPr>
        <w:t>конференционных</w:t>
      </w:r>
      <w:proofErr w:type="spellEnd"/>
      <w:r w:rsidR="004D04AF">
        <w:rPr>
          <w:iCs/>
          <w:szCs w:val="22"/>
          <w:lang w:eastAsia="en-US"/>
        </w:rPr>
        <w:t xml:space="preserve"> </w:t>
      </w:r>
      <w:proofErr w:type="spellStart"/>
      <w:r w:rsidR="004D04AF">
        <w:rPr>
          <w:iCs/>
          <w:szCs w:val="22"/>
          <w:lang w:eastAsia="en-US"/>
        </w:rPr>
        <w:t>помещений</w:t>
      </w:r>
      <w:proofErr w:type="spellEnd"/>
      <w:r w:rsidRPr="000559B7">
        <w:rPr>
          <w:iCs/>
          <w:szCs w:val="22"/>
          <w:lang w:val="ru-RU" w:eastAsia="en-US"/>
        </w:rPr>
        <w:t>;</w:t>
      </w:r>
    </w:p>
    <w:p w:rsidR="00037173" w:rsidRPr="000559B7" w:rsidRDefault="00037173" w:rsidP="00037173">
      <w:pPr>
        <w:spacing w:before="120" w:after="120"/>
        <w:ind w:firstLine="720"/>
        <w:rPr>
          <w:iCs/>
          <w:szCs w:val="22"/>
          <w:lang w:val="ru-RU" w:eastAsia="en-US"/>
        </w:rPr>
      </w:pPr>
      <w:proofErr w:type="gramStart"/>
      <w:r w:rsidRPr="000559B7">
        <w:rPr>
          <w:iCs/>
          <w:szCs w:val="22"/>
          <w:lang w:val="ru-RU" w:eastAsia="en-US"/>
        </w:rPr>
        <w:t>9.</w:t>
      </w:r>
      <w:r w:rsidRPr="000559B7">
        <w:rPr>
          <w:iCs/>
          <w:szCs w:val="22"/>
          <w:lang w:val="ru-RU" w:eastAsia="en-US"/>
        </w:rPr>
        <w:tab/>
      </w:r>
      <w:r w:rsidRPr="000559B7">
        <w:rPr>
          <w:i/>
          <w:iCs/>
          <w:szCs w:val="22"/>
          <w:lang w:val="ru-RU" w:eastAsia="en-US"/>
        </w:rPr>
        <w:t>выражает</w:t>
      </w:r>
      <w:r w:rsidRPr="000559B7">
        <w:rPr>
          <w:iCs/>
          <w:szCs w:val="22"/>
          <w:lang w:val="ru-RU" w:eastAsia="en-US"/>
        </w:rPr>
        <w:t xml:space="preserve"> свою признательность Канаде в качестве принимающей страны за ее возобновившуюся поддержку секретариата и </w:t>
      </w:r>
      <w:r w:rsidRPr="000559B7">
        <w:rPr>
          <w:i/>
          <w:iCs/>
          <w:szCs w:val="22"/>
          <w:lang w:val="ru-RU" w:eastAsia="en-US"/>
        </w:rPr>
        <w:t xml:space="preserve">приветствует </w:t>
      </w:r>
      <w:r w:rsidRPr="000559B7">
        <w:rPr>
          <w:iCs/>
          <w:szCs w:val="22"/>
          <w:lang w:val="ru-RU" w:eastAsia="en-US"/>
        </w:rPr>
        <w:t>текущий процесс, проводимый принимающей страной Канадой, провинцией Квебек и Исполнительным секретарем, с целью завершения проце</w:t>
      </w:r>
      <w:r w:rsidR="00540D6D">
        <w:rPr>
          <w:iCs/>
          <w:szCs w:val="22"/>
          <w:lang w:val="ru-RU" w:eastAsia="en-US"/>
        </w:rPr>
        <w:t>дуры</w:t>
      </w:r>
      <w:r w:rsidRPr="000559B7">
        <w:rPr>
          <w:iCs/>
          <w:szCs w:val="22"/>
          <w:lang w:val="ru-RU" w:eastAsia="en-US"/>
        </w:rPr>
        <w:t xml:space="preserve"> продления гранта принимающей страны на аренду помещений секретариата в Монреале и покрытие связанных с этим затрат, причем вклад принимающей страны и провинции Квебек оценивается в </w:t>
      </w:r>
      <w:r w:rsidR="00653BF2" w:rsidRPr="005C41BC">
        <w:rPr>
          <w:color w:val="000000" w:themeColor="text1"/>
          <w:lang w:val="en-GB"/>
        </w:rPr>
        <w:t>1</w:t>
      </w:r>
      <w:r w:rsidR="00653BF2">
        <w:rPr>
          <w:color w:val="000000" w:themeColor="text1"/>
          <w:lang w:val="ru-RU"/>
        </w:rPr>
        <w:t> </w:t>
      </w:r>
      <w:r w:rsidR="00653BF2" w:rsidRPr="005C41BC">
        <w:rPr>
          <w:color w:val="000000" w:themeColor="text1"/>
          <w:lang w:val="en-GB"/>
        </w:rPr>
        <w:t>603</w:t>
      </w:r>
      <w:r w:rsidR="00653BF2">
        <w:rPr>
          <w:color w:val="000000" w:themeColor="text1"/>
          <w:lang w:val="ru-RU"/>
        </w:rPr>
        <w:t xml:space="preserve"> </w:t>
      </w:r>
      <w:r w:rsidR="00653BF2" w:rsidRPr="005C41BC">
        <w:rPr>
          <w:color w:val="000000" w:themeColor="text1"/>
          <w:lang w:val="en-GB"/>
        </w:rPr>
        <w:t>208</w:t>
      </w:r>
      <w:r w:rsidRPr="000559B7">
        <w:rPr>
          <w:iCs/>
          <w:szCs w:val="22"/>
          <w:lang w:val="ru-RU" w:eastAsia="en-US"/>
        </w:rPr>
        <w:t xml:space="preserve"> кан</w:t>
      </w:r>
      <w:r w:rsidR="00653BF2">
        <w:rPr>
          <w:iCs/>
          <w:szCs w:val="22"/>
          <w:lang w:val="ru-RU" w:eastAsia="en-US"/>
        </w:rPr>
        <w:t>адских</w:t>
      </w:r>
      <w:proofErr w:type="gramEnd"/>
      <w:r w:rsidRPr="000559B7">
        <w:rPr>
          <w:iCs/>
          <w:szCs w:val="22"/>
          <w:lang w:val="ru-RU" w:eastAsia="en-US"/>
        </w:rPr>
        <w:t xml:space="preserve"> долл. на 2019</w:t>
      </w:r>
      <w:r w:rsidR="00653BF2">
        <w:rPr>
          <w:iCs/>
          <w:szCs w:val="22"/>
          <w:lang w:val="ru-RU" w:eastAsia="en-US"/>
        </w:rPr>
        <w:t xml:space="preserve"> год и </w:t>
      </w:r>
      <w:r w:rsidR="00653BF2" w:rsidRPr="005C41BC">
        <w:rPr>
          <w:color w:val="000000" w:themeColor="text1"/>
          <w:lang w:val="en-GB"/>
        </w:rPr>
        <w:t>1</w:t>
      </w:r>
      <w:r w:rsidR="00653BF2">
        <w:rPr>
          <w:color w:val="000000" w:themeColor="text1"/>
          <w:lang w:val="ru-RU"/>
        </w:rPr>
        <w:t> </w:t>
      </w:r>
      <w:r w:rsidR="00653BF2" w:rsidRPr="005C41BC">
        <w:rPr>
          <w:color w:val="000000" w:themeColor="text1"/>
          <w:lang w:val="en-GB"/>
        </w:rPr>
        <w:t>856</w:t>
      </w:r>
      <w:r w:rsidR="00653BF2">
        <w:rPr>
          <w:color w:val="000000" w:themeColor="text1"/>
          <w:lang w:val="ru-RU"/>
        </w:rPr>
        <w:t> </w:t>
      </w:r>
      <w:r w:rsidR="00653BF2" w:rsidRPr="005C41BC">
        <w:rPr>
          <w:color w:val="000000" w:themeColor="text1"/>
          <w:lang w:val="en-GB"/>
        </w:rPr>
        <w:t>100</w:t>
      </w:r>
      <w:r w:rsidR="00653BF2">
        <w:rPr>
          <w:color w:val="000000" w:themeColor="text1"/>
          <w:lang w:val="ru-RU"/>
        </w:rPr>
        <w:t xml:space="preserve"> </w:t>
      </w:r>
      <w:r w:rsidR="00653BF2" w:rsidRPr="005C41BC">
        <w:rPr>
          <w:color w:val="000000" w:themeColor="text1"/>
          <w:lang w:val="en-GB"/>
        </w:rPr>
        <w:t xml:space="preserve"> </w:t>
      </w:r>
      <w:r w:rsidR="00653BF2" w:rsidRPr="00653BF2">
        <w:rPr>
          <w:iCs/>
          <w:color w:val="000000" w:themeColor="text1"/>
          <w:lang w:val="ru-RU"/>
        </w:rPr>
        <w:t xml:space="preserve">канадских долл. </w:t>
      </w:r>
      <w:r w:rsidR="00653BF2">
        <w:rPr>
          <w:iCs/>
          <w:color w:val="000000" w:themeColor="text1"/>
          <w:lang w:val="ru-RU"/>
        </w:rPr>
        <w:t xml:space="preserve">на </w:t>
      </w:r>
      <w:r w:rsidRPr="000559B7">
        <w:rPr>
          <w:iCs/>
          <w:szCs w:val="22"/>
          <w:lang w:val="ru-RU" w:eastAsia="en-US"/>
        </w:rPr>
        <w:t>2020</w:t>
      </w:r>
      <w:r w:rsidR="00540D6D">
        <w:rPr>
          <w:iCs/>
          <w:szCs w:val="22"/>
          <w:lang w:val="ru-RU" w:eastAsia="en-US"/>
        </w:rPr>
        <w:t> </w:t>
      </w:r>
      <w:r w:rsidRPr="000559B7">
        <w:rPr>
          <w:iCs/>
          <w:szCs w:val="22"/>
          <w:lang w:val="ru-RU" w:eastAsia="en-US"/>
        </w:rPr>
        <w:t>год, которые должны выделяться в соотношении 74:15:11 и компенсировать взносы Сторон Конвенции, Картахенского протокола и Нагойского протокола, соответственно, на двухлетний период 2019-2020 годов;</w:t>
      </w:r>
    </w:p>
    <w:p w:rsidR="00037173" w:rsidRPr="000559B7" w:rsidRDefault="00037173" w:rsidP="00037173">
      <w:pPr>
        <w:spacing w:before="120" w:after="120"/>
        <w:ind w:firstLine="720"/>
        <w:rPr>
          <w:rFonts w:eastAsia="Malgun Gothic"/>
          <w:color w:val="000000"/>
          <w:kern w:val="18"/>
          <w:lang w:val="ru-RU"/>
        </w:rPr>
      </w:pPr>
      <w:r w:rsidRPr="000559B7">
        <w:rPr>
          <w:color w:val="000000"/>
          <w:lang w:val="ru-RU"/>
        </w:rPr>
        <w:t>10.</w:t>
      </w:r>
      <w:r w:rsidRPr="000559B7">
        <w:rPr>
          <w:color w:val="000000"/>
          <w:lang w:val="ru-RU"/>
        </w:rPr>
        <w:tab/>
      </w:r>
      <w:r w:rsidRPr="000559B7">
        <w:rPr>
          <w:i/>
          <w:iCs/>
          <w:color w:val="000000"/>
          <w:lang w:val="ru-RU"/>
        </w:rPr>
        <w:t>утверждает</w:t>
      </w:r>
      <w:r w:rsidRPr="000559B7">
        <w:rPr>
          <w:color w:val="000000"/>
          <w:lang w:val="ru-RU"/>
        </w:rPr>
        <w:t xml:space="preserve"> шкалу взносов для распределения расходов на 2019 и 2020 годы в соответствии с</w:t>
      </w:r>
      <w:r w:rsidR="00F6713F">
        <w:rPr>
          <w:color w:val="000000"/>
          <w:lang w:val="ru-RU"/>
        </w:rPr>
        <w:t xml:space="preserve"> текущей</w:t>
      </w:r>
      <w:r w:rsidRPr="000559B7">
        <w:rPr>
          <w:color w:val="000000"/>
          <w:lang w:val="ru-RU"/>
        </w:rPr>
        <w:t xml:space="preserve"> шкалой распределения расходов Организации Объединенных Наций, приведенн</w:t>
      </w:r>
      <w:r w:rsidR="00F6713F">
        <w:rPr>
          <w:color w:val="000000"/>
          <w:lang w:val="ru-RU"/>
        </w:rPr>
        <w:t>ой</w:t>
      </w:r>
      <w:r w:rsidRPr="000559B7">
        <w:rPr>
          <w:color w:val="000000"/>
          <w:lang w:val="ru-RU"/>
        </w:rPr>
        <w:t xml:space="preserve"> в </w:t>
      </w:r>
      <w:r w:rsidR="00082BD6" w:rsidRPr="000559B7">
        <w:rPr>
          <w:color w:val="000000"/>
          <w:lang w:val="ru-RU"/>
        </w:rPr>
        <w:t>таблице 6</w:t>
      </w:r>
      <w:r w:rsidRPr="000559B7">
        <w:rPr>
          <w:color w:val="000000"/>
          <w:lang w:val="ru-RU"/>
        </w:rPr>
        <w:t xml:space="preserve"> к настоящему решению</w:t>
      </w:r>
      <w:r w:rsidRPr="000559B7">
        <w:rPr>
          <w:rStyle w:val="Appelnotedebasdep"/>
          <w:rFonts w:eastAsia="Malgun Gothic"/>
          <w:iCs/>
          <w:kern w:val="18"/>
          <w:szCs w:val="22"/>
          <w:lang w:val="ru-RU"/>
        </w:rPr>
        <w:footnoteReference w:id="1"/>
      </w:r>
      <w:r w:rsidRPr="000559B7">
        <w:rPr>
          <w:color w:val="000000"/>
          <w:lang w:val="ru-RU"/>
        </w:rPr>
        <w:t>;</w:t>
      </w:r>
    </w:p>
    <w:p w:rsidR="00E4766C" w:rsidRPr="000559B7" w:rsidRDefault="00082BD6" w:rsidP="00E4766C">
      <w:pPr>
        <w:spacing w:before="120" w:after="120"/>
        <w:ind w:firstLine="720"/>
        <w:rPr>
          <w:iCs/>
          <w:color w:val="000000"/>
          <w:lang w:val="ru-RU"/>
        </w:rPr>
      </w:pPr>
      <w:r w:rsidRPr="000559B7">
        <w:rPr>
          <w:iCs/>
          <w:color w:val="000000"/>
          <w:lang w:val="ru-RU"/>
        </w:rPr>
        <w:t>11</w:t>
      </w:r>
      <w:r w:rsidR="00E4766C" w:rsidRPr="000559B7">
        <w:rPr>
          <w:iCs/>
          <w:color w:val="000000"/>
          <w:lang w:val="ru-RU"/>
        </w:rPr>
        <w:t>.</w:t>
      </w:r>
      <w:r w:rsidR="00E4766C" w:rsidRPr="000559B7">
        <w:rPr>
          <w:iCs/>
          <w:color w:val="000000"/>
          <w:lang w:val="ru-RU"/>
        </w:rPr>
        <w:tab/>
      </w:r>
      <w:r w:rsidR="00E4766C" w:rsidRPr="000559B7">
        <w:rPr>
          <w:rFonts w:eastAsia="Malgun Gothic"/>
          <w:i/>
          <w:iCs/>
          <w:kern w:val="18"/>
          <w:szCs w:val="22"/>
          <w:lang w:val="ru-RU"/>
        </w:rPr>
        <w:t>утверждает</w:t>
      </w:r>
      <w:r w:rsidR="00E4766C" w:rsidRPr="000559B7">
        <w:rPr>
          <w:rFonts w:eastAsia="Malgun Gothic"/>
          <w:iCs/>
          <w:kern w:val="18"/>
          <w:szCs w:val="22"/>
          <w:lang w:val="ru-RU" w:eastAsia="ko-KR"/>
        </w:rPr>
        <w:t xml:space="preserve"> </w:t>
      </w:r>
      <w:r w:rsidR="00F6713F" w:rsidRPr="000559B7">
        <w:rPr>
          <w:i/>
          <w:iCs/>
          <w:color w:val="000000"/>
          <w:lang w:val="ru-RU"/>
        </w:rPr>
        <w:t xml:space="preserve">также </w:t>
      </w:r>
      <w:r w:rsidR="00F6713F" w:rsidRPr="00F6713F">
        <w:rPr>
          <w:iCs/>
          <w:color w:val="000000"/>
          <w:lang w:val="ru-RU"/>
        </w:rPr>
        <w:t>таблицу 2 со</w:t>
      </w:r>
      <w:r w:rsidR="00F6713F">
        <w:rPr>
          <w:i/>
          <w:iCs/>
          <w:color w:val="000000"/>
          <w:lang w:val="ru-RU"/>
        </w:rPr>
        <w:t xml:space="preserve"> </w:t>
      </w:r>
      <w:r w:rsidR="00F6713F" w:rsidRPr="00F6713F">
        <w:rPr>
          <w:iCs/>
          <w:color w:val="000000"/>
          <w:lang w:val="ru-RU"/>
        </w:rPr>
        <w:t>штатн</w:t>
      </w:r>
      <w:r w:rsidR="00F6713F">
        <w:rPr>
          <w:iCs/>
          <w:color w:val="000000"/>
          <w:lang w:val="ru-RU"/>
        </w:rPr>
        <w:t>ым</w:t>
      </w:r>
      <w:r w:rsidR="00F6713F" w:rsidRPr="00F6713F">
        <w:rPr>
          <w:iCs/>
          <w:color w:val="000000"/>
          <w:lang w:val="ru-RU"/>
        </w:rPr>
        <w:t xml:space="preserve"> расписание</w:t>
      </w:r>
      <w:r w:rsidR="00F6713F">
        <w:rPr>
          <w:iCs/>
          <w:color w:val="000000"/>
          <w:lang w:val="ru-RU"/>
        </w:rPr>
        <w:t>м</w:t>
      </w:r>
      <w:r w:rsidR="00F6713F" w:rsidRPr="00F6713F">
        <w:rPr>
          <w:iCs/>
          <w:color w:val="000000"/>
          <w:lang w:val="ru-RU"/>
        </w:rPr>
        <w:t xml:space="preserve"> секретариата </w:t>
      </w:r>
      <w:r w:rsidR="00E4766C" w:rsidRPr="000559B7">
        <w:rPr>
          <w:iCs/>
          <w:color w:val="000000"/>
          <w:lang w:val="ru-RU"/>
        </w:rPr>
        <w:t>на дв</w:t>
      </w:r>
      <w:r w:rsidRPr="000559B7">
        <w:rPr>
          <w:iCs/>
          <w:color w:val="000000"/>
          <w:lang w:val="ru-RU"/>
        </w:rPr>
        <w:t>ухлетний период 2019-2020 годов</w:t>
      </w:r>
      <w:r w:rsidR="00E4766C" w:rsidRPr="000559B7">
        <w:rPr>
          <w:iCs/>
          <w:color w:val="000000"/>
          <w:lang w:val="ru-RU"/>
        </w:rPr>
        <w:t>, использ</w:t>
      </w:r>
      <w:r w:rsidR="00F6713F">
        <w:rPr>
          <w:iCs/>
          <w:color w:val="000000"/>
          <w:lang w:val="ru-RU"/>
        </w:rPr>
        <w:t>уем</w:t>
      </w:r>
      <w:r w:rsidR="0011600A">
        <w:rPr>
          <w:iCs/>
          <w:color w:val="000000"/>
          <w:lang w:val="ru-RU"/>
        </w:rPr>
        <w:t>ую</w:t>
      </w:r>
      <w:r w:rsidR="00E4766C" w:rsidRPr="000559B7">
        <w:rPr>
          <w:iCs/>
          <w:color w:val="000000"/>
          <w:lang w:val="ru-RU"/>
        </w:rPr>
        <w:t xml:space="preserve"> для </w:t>
      </w:r>
      <w:r w:rsidR="00F6713F">
        <w:rPr>
          <w:iCs/>
          <w:color w:val="000000"/>
          <w:lang w:val="ru-RU"/>
        </w:rPr>
        <w:t>подготовки сметы</w:t>
      </w:r>
      <w:r w:rsidR="00E4766C" w:rsidRPr="000559B7">
        <w:rPr>
          <w:iCs/>
          <w:color w:val="000000"/>
          <w:lang w:val="ru-RU"/>
        </w:rPr>
        <w:t xml:space="preserve"> расходов при </w:t>
      </w:r>
      <w:r w:rsidR="00F6713F">
        <w:rPr>
          <w:iCs/>
          <w:color w:val="000000"/>
          <w:lang w:val="ru-RU"/>
        </w:rPr>
        <w:t>составлении</w:t>
      </w:r>
      <w:r w:rsidR="00E4766C" w:rsidRPr="000559B7">
        <w:rPr>
          <w:iCs/>
          <w:color w:val="000000"/>
          <w:lang w:val="ru-RU"/>
        </w:rPr>
        <w:t xml:space="preserve"> общего бюджета;</w:t>
      </w:r>
    </w:p>
    <w:p w:rsidR="007C2264" w:rsidRPr="000559B7" w:rsidRDefault="007C2264" w:rsidP="00E4766C">
      <w:pPr>
        <w:suppressLineNumbers/>
        <w:suppressAutoHyphens/>
        <w:spacing w:before="120" w:after="120"/>
        <w:ind w:firstLine="720"/>
        <w:rPr>
          <w:rFonts w:eastAsia="Malgun Gothic"/>
          <w:iCs/>
          <w:kern w:val="18"/>
          <w:szCs w:val="22"/>
          <w:lang w:val="ru-RU" w:eastAsia="ko-KR"/>
        </w:rPr>
      </w:pPr>
      <w:r w:rsidRPr="000559B7">
        <w:rPr>
          <w:rFonts w:eastAsia="Malgun Gothic"/>
          <w:iCs/>
          <w:kern w:val="18"/>
          <w:szCs w:val="22"/>
          <w:lang w:val="ru-RU" w:eastAsia="ko-KR"/>
        </w:rPr>
        <w:t>12.</w:t>
      </w:r>
      <w:r w:rsidRPr="000559B7">
        <w:rPr>
          <w:rFonts w:eastAsia="Malgun Gothic"/>
          <w:iCs/>
          <w:kern w:val="18"/>
          <w:szCs w:val="22"/>
          <w:lang w:val="ru-RU" w:eastAsia="ko-KR"/>
        </w:rPr>
        <w:tab/>
      </w:r>
      <w:r w:rsidRPr="000559B7">
        <w:rPr>
          <w:rFonts w:eastAsia="Malgun Gothic"/>
          <w:i/>
          <w:iCs/>
          <w:kern w:val="18"/>
          <w:szCs w:val="22"/>
          <w:lang w:val="ru-RU" w:eastAsia="ko-KR"/>
        </w:rPr>
        <w:t>напоминает</w:t>
      </w:r>
      <w:r w:rsidRPr="000559B7">
        <w:rPr>
          <w:rFonts w:eastAsia="Malgun Gothic"/>
          <w:iCs/>
          <w:kern w:val="18"/>
          <w:szCs w:val="22"/>
          <w:lang w:val="ru-RU" w:eastAsia="ko-KR"/>
        </w:rPr>
        <w:t>, что штатное расписание секретариата должно обеспечивать выполнение правовых обязательств в рамках Конвенции и протоколов к ней;</w:t>
      </w:r>
    </w:p>
    <w:p w:rsidR="00E4766C" w:rsidRPr="000559B7" w:rsidRDefault="007C2264" w:rsidP="00E4766C">
      <w:pPr>
        <w:suppressLineNumbers/>
        <w:suppressAutoHyphens/>
        <w:spacing w:before="120" w:after="120"/>
        <w:ind w:firstLine="720"/>
        <w:rPr>
          <w:rFonts w:eastAsia="Malgun Gothic"/>
          <w:iCs/>
          <w:kern w:val="18"/>
          <w:szCs w:val="22"/>
          <w:lang w:val="ru-RU" w:eastAsia="ko-KR"/>
        </w:rPr>
      </w:pPr>
      <w:proofErr w:type="gramStart"/>
      <w:r w:rsidRPr="000559B7">
        <w:rPr>
          <w:rFonts w:eastAsia="Malgun Gothic"/>
          <w:iCs/>
          <w:kern w:val="18"/>
          <w:szCs w:val="22"/>
          <w:lang w:val="ru-RU" w:eastAsia="ko-KR"/>
        </w:rPr>
        <w:t>13.</w:t>
      </w:r>
      <w:r w:rsidRPr="000559B7">
        <w:rPr>
          <w:rFonts w:eastAsia="Malgun Gothic"/>
          <w:iCs/>
          <w:kern w:val="18"/>
          <w:szCs w:val="22"/>
          <w:lang w:val="ru-RU" w:eastAsia="ko-KR"/>
        </w:rPr>
        <w:tab/>
        <w:t xml:space="preserve">отмечает </w:t>
      </w:r>
      <w:r w:rsidR="00E4766C" w:rsidRPr="000559B7">
        <w:rPr>
          <w:rFonts w:eastAsia="Malgun Gothic"/>
          <w:iCs/>
          <w:kern w:val="18"/>
          <w:szCs w:val="22"/>
          <w:lang w:val="ru-RU" w:eastAsia="ko-KR"/>
        </w:rPr>
        <w:t>нов</w:t>
      </w:r>
      <w:r w:rsidR="00490C53" w:rsidRPr="000559B7">
        <w:rPr>
          <w:rFonts w:eastAsia="Malgun Gothic"/>
          <w:iCs/>
          <w:kern w:val="18"/>
          <w:szCs w:val="22"/>
          <w:lang w:val="ru-RU" w:eastAsia="ko-KR"/>
        </w:rPr>
        <w:t>ую</w:t>
      </w:r>
      <w:r w:rsidR="00E4766C" w:rsidRPr="000559B7">
        <w:rPr>
          <w:rFonts w:eastAsia="Malgun Gothic"/>
          <w:iCs/>
          <w:kern w:val="18"/>
          <w:szCs w:val="22"/>
          <w:lang w:val="ru-RU" w:eastAsia="ko-KR"/>
        </w:rPr>
        <w:t xml:space="preserve"> организационн</w:t>
      </w:r>
      <w:r w:rsidR="00490C53" w:rsidRPr="000559B7">
        <w:rPr>
          <w:rFonts w:eastAsia="Malgun Gothic"/>
          <w:iCs/>
          <w:kern w:val="18"/>
          <w:szCs w:val="22"/>
          <w:lang w:val="ru-RU" w:eastAsia="ko-KR"/>
        </w:rPr>
        <w:t>ую</w:t>
      </w:r>
      <w:r w:rsidR="00E4766C" w:rsidRPr="000559B7">
        <w:rPr>
          <w:rFonts w:eastAsia="Malgun Gothic"/>
          <w:iCs/>
          <w:kern w:val="18"/>
          <w:szCs w:val="22"/>
          <w:lang w:val="ru-RU" w:eastAsia="ko-KR"/>
        </w:rPr>
        <w:t xml:space="preserve"> структур</w:t>
      </w:r>
      <w:r w:rsidR="00490C53" w:rsidRPr="000559B7">
        <w:rPr>
          <w:rFonts w:eastAsia="Malgun Gothic"/>
          <w:iCs/>
          <w:kern w:val="18"/>
          <w:szCs w:val="22"/>
          <w:lang w:val="ru-RU" w:eastAsia="ko-KR"/>
        </w:rPr>
        <w:t>у</w:t>
      </w:r>
      <w:r w:rsidR="00E4766C" w:rsidRPr="000559B7">
        <w:rPr>
          <w:rFonts w:eastAsia="Malgun Gothic"/>
          <w:iCs/>
          <w:kern w:val="18"/>
          <w:szCs w:val="22"/>
          <w:lang w:val="ru-RU" w:eastAsia="ko-KR"/>
        </w:rPr>
        <w:t xml:space="preserve"> и последующее распределение средств, представленные в </w:t>
      </w:r>
      <w:r w:rsidR="00490C53" w:rsidRPr="000559B7">
        <w:rPr>
          <w:rFonts w:eastAsia="Malgun Gothic"/>
          <w:iCs/>
          <w:kern w:val="18"/>
          <w:szCs w:val="22"/>
          <w:lang w:val="ru-RU" w:eastAsia="ko-KR"/>
        </w:rPr>
        <w:t xml:space="preserve">приложении VII к </w:t>
      </w:r>
      <w:r w:rsidR="00A54B0E">
        <w:rPr>
          <w:rFonts w:eastAsia="Malgun Gothic"/>
          <w:iCs/>
          <w:kern w:val="18"/>
          <w:szCs w:val="22"/>
          <w:lang w:val="ru-RU" w:eastAsia="ko-KR"/>
        </w:rPr>
        <w:t xml:space="preserve">записке </w:t>
      </w:r>
      <w:r w:rsidR="00A54B0E" w:rsidRPr="00A54B0E">
        <w:rPr>
          <w:rFonts w:eastAsia="Malgun Gothic"/>
          <w:iCs/>
          <w:kern w:val="18"/>
          <w:szCs w:val="22"/>
          <w:lang w:val="ru-RU" w:eastAsia="ko-KR"/>
        </w:rPr>
        <w:t>Исполнительного секретаря</w:t>
      </w:r>
      <w:r w:rsidR="00A54B0E" w:rsidRPr="005C41BC">
        <w:rPr>
          <w:rStyle w:val="Appelnotedebasdep"/>
          <w:rFonts w:eastAsia="Malgun Gothic"/>
          <w:iCs/>
          <w:color w:val="000000" w:themeColor="text1"/>
          <w:kern w:val="20"/>
          <w:szCs w:val="22"/>
          <w:lang w:val="en-GB" w:eastAsia="ko-KR"/>
        </w:rPr>
        <w:footnoteReference w:id="2"/>
      </w:r>
      <w:r w:rsidR="00E4766C" w:rsidRPr="000559B7">
        <w:rPr>
          <w:rFonts w:eastAsia="Malgun Gothic"/>
          <w:iCs/>
          <w:kern w:val="18"/>
          <w:szCs w:val="22"/>
          <w:lang w:val="ru-RU" w:eastAsia="ko-KR"/>
        </w:rPr>
        <w:t>, и поручает</w:t>
      </w:r>
      <w:r w:rsidR="00E4766C" w:rsidRPr="000559B7">
        <w:rPr>
          <w:rFonts w:eastAsia="Malgun Gothic"/>
          <w:i/>
          <w:iCs/>
          <w:kern w:val="18"/>
          <w:szCs w:val="22"/>
          <w:lang w:val="ru-RU" w:eastAsia="ko-KR"/>
        </w:rPr>
        <w:t xml:space="preserve"> </w:t>
      </w:r>
      <w:r w:rsidR="00E4766C" w:rsidRPr="000559B7">
        <w:rPr>
          <w:rFonts w:eastAsia="Malgun Gothic"/>
          <w:iCs/>
          <w:kern w:val="18"/>
          <w:szCs w:val="22"/>
          <w:lang w:val="ru-RU" w:eastAsia="ko-KR"/>
        </w:rPr>
        <w:lastRenderedPageBreak/>
        <w:t>Исполнительному</w:t>
      </w:r>
      <w:r w:rsidR="00E4766C" w:rsidRPr="000559B7">
        <w:rPr>
          <w:rFonts w:eastAsia="Malgun Gothic"/>
          <w:i/>
          <w:iCs/>
          <w:kern w:val="18"/>
          <w:szCs w:val="22"/>
          <w:lang w:val="ru-RU" w:eastAsia="ko-KR"/>
        </w:rPr>
        <w:t xml:space="preserve"> </w:t>
      </w:r>
      <w:r w:rsidR="00E4766C" w:rsidRPr="000559B7">
        <w:rPr>
          <w:rFonts w:eastAsia="Malgun Gothic"/>
          <w:iCs/>
          <w:kern w:val="18"/>
          <w:szCs w:val="22"/>
          <w:lang w:val="ru-RU" w:eastAsia="ko-KR"/>
        </w:rPr>
        <w:t xml:space="preserve"> секретарю провести </w:t>
      </w:r>
      <w:r w:rsidR="00490C53" w:rsidRPr="000559B7">
        <w:rPr>
          <w:rFonts w:eastAsia="Malgun Gothic"/>
          <w:iCs/>
          <w:kern w:val="18"/>
          <w:szCs w:val="22"/>
          <w:lang w:val="ru-RU" w:eastAsia="ko-KR"/>
        </w:rPr>
        <w:t>анализ</w:t>
      </w:r>
      <w:r w:rsidR="00E4766C" w:rsidRPr="000559B7">
        <w:rPr>
          <w:rFonts w:eastAsia="Malgun Gothic"/>
          <w:iCs/>
          <w:kern w:val="18"/>
          <w:szCs w:val="22"/>
          <w:lang w:val="ru-RU" w:eastAsia="ko-KR"/>
        </w:rPr>
        <w:t xml:space="preserve"> структуры и укомплектования персоналом для обеспечения упорядоченных механизмов представления отчетности, оптимальную функциональность и эффективность в процессе осуществления утвержденной программы работы на двухлетний период 2019-2020 годов и с учетом ожидаемой ориентации деятельности в период после 2020 года в</w:t>
      </w:r>
      <w:proofErr w:type="gramEnd"/>
      <w:r w:rsidR="00E4766C" w:rsidRPr="000559B7">
        <w:rPr>
          <w:rFonts w:eastAsia="Malgun Gothic"/>
          <w:iCs/>
          <w:kern w:val="18"/>
          <w:szCs w:val="22"/>
          <w:lang w:val="ru-RU" w:eastAsia="ko-KR"/>
        </w:rPr>
        <w:t xml:space="preserve"> </w:t>
      </w:r>
      <w:proofErr w:type="gramStart"/>
      <w:r w:rsidR="00E4766C" w:rsidRPr="000559B7">
        <w:rPr>
          <w:rFonts w:eastAsia="Malgun Gothic"/>
          <w:iCs/>
          <w:kern w:val="18"/>
          <w:szCs w:val="22"/>
          <w:lang w:val="ru-RU" w:eastAsia="ko-KR"/>
        </w:rPr>
        <w:t>рамках</w:t>
      </w:r>
      <w:proofErr w:type="gramEnd"/>
      <w:r w:rsidR="00E4766C" w:rsidRPr="000559B7">
        <w:rPr>
          <w:rFonts w:eastAsia="Malgun Gothic"/>
          <w:iCs/>
          <w:kern w:val="18"/>
          <w:szCs w:val="22"/>
          <w:lang w:val="ru-RU" w:eastAsia="ko-KR"/>
        </w:rPr>
        <w:t xml:space="preserve"> Конвенции</w:t>
      </w:r>
      <w:r w:rsidR="00490C53" w:rsidRPr="000559B7">
        <w:rPr>
          <w:rFonts w:eastAsia="Malgun Gothic"/>
          <w:iCs/>
          <w:kern w:val="18"/>
          <w:szCs w:val="22"/>
          <w:lang w:val="ru-RU" w:eastAsia="ko-KR"/>
        </w:rPr>
        <w:t xml:space="preserve"> и</w:t>
      </w:r>
      <w:r w:rsidR="00E4766C" w:rsidRPr="000559B7">
        <w:rPr>
          <w:rFonts w:eastAsia="Malgun Gothic"/>
          <w:iCs/>
          <w:kern w:val="18"/>
          <w:szCs w:val="22"/>
          <w:lang w:val="ru-RU" w:eastAsia="ko-KR"/>
        </w:rPr>
        <w:t xml:space="preserve"> сообщить о результатах этого </w:t>
      </w:r>
      <w:r w:rsidR="00212D47">
        <w:rPr>
          <w:rFonts w:eastAsia="Malgun Gothic"/>
          <w:iCs/>
          <w:kern w:val="18"/>
          <w:szCs w:val="22"/>
          <w:lang w:val="ru-RU" w:eastAsia="ko-KR"/>
        </w:rPr>
        <w:t>анализа</w:t>
      </w:r>
      <w:r w:rsidR="00E4766C" w:rsidRPr="000559B7">
        <w:rPr>
          <w:rFonts w:eastAsia="Malgun Gothic"/>
          <w:iCs/>
          <w:kern w:val="18"/>
          <w:szCs w:val="22"/>
          <w:lang w:val="ru-RU" w:eastAsia="ko-KR"/>
        </w:rPr>
        <w:t xml:space="preserve"> Конференции Сторон на ее 15-м совещании;</w:t>
      </w:r>
    </w:p>
    <w:p w:rsidR="00E4766C" w:rsidRPr="000559B7" w:rsidRDefault="00490C53" w:rsidP="00E4766C">
      <w:pPr>
        <w:spacing w:before="120" w:after="120"/>
        <w:ind w:firstLine="720"/>
        <w:rPr>
          <w:rFonts w:eastAsia="Malgun Gothic"/>
          <w:kern w:val="18"/>
          <w:szCs w:val="22"/>
          <w:lang w:val="ru-RU" w:eastAsia="ko-KR"/>
        </w:rPr>
      </w:pPr>
      <w:r w:rsidRPr="000559B7">
        <w:rPr>
          <w:rFonts w:eastAsia="Malgun Gothic"/>
          <w:kern w:val="18"/>
          <w:szCs w:val="22"/>
          <w:lang w:val="ru-RU" w:eastAsia="ko-KR"/>
        </w:rPr>
        <w:t>14</w:t>
      </w:r>
      <w:r w:rsidR="00E4766C" w:rsidRPr="000559B7">
        <w:rPr>
          <w:rFonts w:eastAsia="Malgun Gothic"/>
          <w:kern w:val="18"/>
          <w:szCs w:val="22"/>
          <w:lang w:val="ru-RU" w:eastAsia="ko-KR"/>
        </w:rPr>
        <w:t>.</w:t>
      </w:r>
      <w:r w:rsidR="00E4766C" w:rsidRPr="000559B7">
        <w:rPr>
          <w:rFonts w:eastAsia="Malgun Gothic"/>
          <w:kern w:val="18"/>
          <w:szCs w:val="22"/>
          <w:lang w:val="ru-RU" w:eastAsia="ko-KR"/>
        </w:rPr>
        <w:tab/>
      </w:r>
      <w:r w:rsidR="00E4766C" w:rsidRPr="000559B7">
        <w:rPr>
          <w:rFonts w:eastAsia="Malgun Gothic"/>
          <w:i/>
          <w:kern w:val="18"/>
          <w:szCs w:val="22"/>
          <w:lang w:val="ru-RU" w:eastAsia="ko-KR"/>
        </w:rPr>
        <w:t xml:space="preserve">напоминает </w:t>
      </w:r>
      <w:r w:rsidR="00E4766C" w:rsidRPr="000559B7">
        <w:rPr>
          <w:rFonts w:eastAsia="Malgun Gothic"/>
          <w:kern w:val="18"/>
          <w:szCs w:val="22"/>
          <w:lang w:val="ru-RU" w:eastAsia="ko-KR"/>
        </w:rPr>
        <w:t>о</w:t>
      </w:r>
      <w:r w:rsidR="00E4766C" w:rsidRPr="000559B7">
        <w:rPr>
          <w:rFonts w:eastAsia="Malgun Gothic"/>
          <w:i/>
          <w:kern w:val="18"/>
          <w:szCs w:val="22"/>
          <w:lang w:val="ru-RU" w:eastAsia="ko-KR"/>
        </w:rPr>
        <w:t xml:space="preserve"> </w:t>
      </w:r>
      <w:r w:rsidR="00E4766C" w:rsidRPr="000559B7">
        <w:rPr>
          <w:rFonts w:eastAsia="Malgun Gothic"/>
          <w:kern w:val="18"/>
          <w:szCs w:val="22"/>
          <w:lang w:val="ru-RU" w:eastAsia="ko-KR"/>
        </w:rPr>
        <w:t xml:space="preserve">пункте 9 решения XIII/32 и </w:t>
      </w:r>
      <w:r w:rsidR="00E4766C" w:rsidRPr="000559B7">
        <w:rPr>
          <w:rFonts w:eastAsia="Malgun Gothic"/>
          <w:i/>
          <w:kern w:val="18"/>
          <w:szCs w:val="22"/>
          <w:lang w:val="ru-RU" w:eastAsia="ko-KR"/>
        </w:rPr>
        <w:t xml:space="preserve">отмечает с </w:t>
      </w:r>
      <w:r w:rsidR="00E4766C" w:rsidRPr="00540D6D">
        <w:rPr>
          <w:rFonts w:eastAsia="Malgun Gothic"/>
          <w:i/>
          <w:kern w:val="18"/>
          <w:szCs w:val="22"/>
          <w:lang w:val="ru-RU" w:eastAsia="ko-KR"/>
        </w:rPr>
        <w:t xml:space="preserve">озабоченностью </w:t>
      </w:r>
      <w:r w:rsidR="00E4766C" w:rsidRPr="000559B7">
        <w:rPr>
          <w:rFonts w:eastAsia="Malgun Gothic"/>
          <w:kern w:val="18"/>
          <w:szCs w:val="22"/>
          <w:lang w:val="ru-RU" w:eastAsia="ko-KR"/>
        </w:rPr>
        <w:t xml:space="preserve">коррективы, внесенные Исполнительным секретарем в штатное расписание секретариата в течение двухлетнего периода 2017-2018 годов, которые привели к последующему увеличению расходов на персонал в комплексном бюджете </w:t>
      </w:r>
      <w:r w:rsidR="00E4766C" w:rsidRPr="000559B7">
        <w:rPr>
          <w:rFonts w:eastAsia="Malgun Gothic"/>
          <w:iCs/>
          <w:kern w:val="18"/>
          <w:szCs w:val="22"/>
          <w:lang w:val="ru-RU" w:eastAsia="ko-KR"/>
        </w:rPr>
        <w:t>на двухлетний период 2019-2020 годов</w:t>
      </w:r>
      <w:r w:rsidR="00E4766C" w:rsidRPr="000559B7">
        <w:rPr>
          <w:rFonts w:eastAsia="Malgun Gothic"/>
          <w:kern w:val="18"/>
          <w:szCs w:val="22"/>
          <w:lang w:val="ru-RU" w:eastAsia="ko-KR"/>
        </w:rPr>
        <w:t>;</w:t>
      </w:r>
    </w:p>
    <w:p w:rsidR="00E4766C" w:rsidRPr="000559B7" w:rsidRDefault="00490C53" w:rsidP="00E4766C">
      <w:pPr>
        <w:spacing w:before="120" w:after="120"/>
        <w:ind w:firstLine="720"/>
        <w:rPr>
          <w:color w:val="000000"/>
          <w:lang w:val="ru-RU"/>
        </w:rPr>
      </w:pPr>
      <w:proofErr w:type="gramStart"/>
      <w:r w:rsidRPr="000559B7">
        <w:rPr>
          <w:color w:val="000000"/>
          <w:lang w:val="ru-RU"/>
        </w:rPr>
        <w:t>15</w:t>
      </w:r>
      <w:r w:rsidR="00E4766C" w:rsidRPr="000559B7">
        <w:rPr>
          <w:color w:val="000000"/>
          <w:lang w:val="ru-RU"/>
        </w:rPr>
        <w:t>.</w:t>
      </w:r>
      <w:r w:rsidR="00E4766C" w:rsidRPr="000559B7">
        <w:rPr>
          <w:color w:val="000000"/>
          <w:lang w:val="ru-RU"/>
        </w:rPr>
        <w:tab/>
      </w:r>
      <w:r w:rsidR="00E4766C" w:rsidRPr="000559B7">
        <w:rPr>
          <w:i/>
          <w:iCs/>
          <w:color w:val="000000"/>
          <w:lang w:val="ru-RU"/>
        </w:rPr>
        <w:t>уполномочивает</w:t>
      </w:r>
      <w:r w:rsidR="00E4766C" w:rsidRPr="000559B7">
        <w:rPr>
          <w:color w:val="000000"/>
          <w:lang w:val="ru-RU"/>
        </w:rPr>
        <w:t xml:space="preserve"> Исполнительного секретаря в </w:t>
      </w:r>
      <w:r w:rsidR="00540D6D">
        <w:rPr>
          <w:color w:val="000000"/>
          <w:lang w:val="ru-RU"/>
        </w:rPr>
        <w:t>соответствии с</w:t>
      </w:r>
      <w:r w:rsidR="00E4766C" w:rsidRPr="000559B7">
        <w:rPr>
          <w:color w:val="000000"/>
          <w:lang w:val="ru-RU"/>
        </w:rPr>
        <w:t xml:space="preserve"> правил</w:t>
      </w:r>
      <w:r w:rsidR="00540D6D">
        <w:rPr>
          <w:color w:val="000000"/>
          <w:lang w:val="ru-RU"/>
        </w:rPr>
        <w:t>ами</w:t>
      </w:r>
      <w:r w:rsidR="00E4766C" w:rsidRPr="000559B7">
        <w:rPr>
          <w:color w:val="000000"/>
          <w:lang w:val="ru-RU"/>
        </w:rPr>
        <w:t xml:space="preserve"> и положени</w:t>
      </w:r>
      <w:r w:rsidR="00540D6D">
        <w:rPr>
          <w:color w:val="000000"/>
          <w:lang w:val="ru-RU"/>
        </w:rPr>
        <w:t>ями</w:t>
      </w:r>
      <w:r w:rsidR="00E4766C" w:rsidRPr="000559B7">
        <w:rPr>
          <w:color w:val="000000"/>
          <w:lang w:val="ru-RU"/>
        </w:rPr>
        <w:t xml:space="preserve"> Организации Объединенных Наций и без ущерба для любого решения Конференции Сторон, принимаемого на ее 15-м совещании, скорректировать описания должностей и функций в рамках нынешней структуры секретариата, при условии что общие затраты секретариата Конвенции и протоколов к ней будут оставаться в пределах штатного расписания и что в комплексном бюджете не будет</w:t>
      </w:r>
      <w:proofErr w:type="gramEnd"/>
      <w:r w:rsidR="00E4766C" w:rsidRPr="000559B7">
        <w:rPr>
          <w:color w:val="000000"/>
          <w:lang w:val="ru-RU"/>
        </w:rPr>
        <w:t xml:space="preserve"> происходить последующего повышения расходов </w:t>
      </w:r>
      <w:r w:rsidR="00212D47">
        <w:rPr>
          <w:color w:val="000000"/>
          <w:lang w:val="ru-RU"/>
        </w:rPr>
        <w:t>на</w:t>
      </w:r>
      <w:r w:rsidR="00E4766C" w:rsidRPr="000559B7">
        <w:rPr>
          <w:color w:val="000000"/>
          <w:lang w:val="ru-RU"/>
        </w:rPr>
        <w:t xml:space="preserve"> персонал в будущие двухлетние периоды, и представить доклад о внесенных корректировках Сторонам Конвенции и протоколов к </w:t>
      </w:r>
      <w:r w:rsidRPr="000559B7">
        <w:rPr>
          <w:color w:val="000000"/>
          <w:lang w:val="ru-RU"/>
        </w:rPr>
        <w:t>ней на их следующих совещаниях;</w:t>
      </w:r>
    </w:p>
    <w:p w:rsidR="00E4766C" w:rsidRPr="000559B7" w:rsidRDefault="00E4766C" w:rsidP="00E4766C">
      <w:pPr>
        <w:spacing w:before="120" w:after="120"/>
        <w:ind w:firstLine="720"/>
        <w:rPr>
          <w:rFonts w:eastAsia="Malgun Gothic"/>
          <w:iCs/>
          <w:color w:val="000000"/>
          <w:kern w:val="18"/>
          <w:lang w:val="ru-RU"/>
        </w:rPr>
      </w:pPr>
      <w:r w:rsidRPr="000559B7">
        <w:rPr>
          <w:color w:val="000000"/>
          <w:lang w:val="ru-RU"/>
        </w:rPr>
        <w:t>1</w:t>
      </w:r>
      <w:r w:rsidR="00490C53" w:rsidRPr="000559B7">
        <w:rPr>
          <w:color w:val="000000"/>
          <w:lang w:val="ru-RU"/>
        </w:rPr>
        <w:t>6</w:t>
      </w:r>
      <w:r w:rsidRPr="000559B7">
        <w:rPr>
          <w:color w:val="000000"/>
          <w:lang w:val="ru-RU"/>
        </w:rPr>
        <w:t>.</w:t>
      </w:r>
      <w:r w:rsidRPr="000559B7">
        <w:rPr>
          <w:color w:val="000000"/>
          <w:lang w:val="ru-RU"/>
        </w:rPr>
        <w:tab/>
      </w:r>
      <w:r w:rsidRPr="000559B7">
        <w:rPr>
          <w:i/>
          <w:iCs/>
          <w:color w:val="000000"/>
          <w:lang w:val="ru-RU"/>
        </w:rPr>
        <w:t xml:space="preserve">уполномочивает </w:t>
      </w:r>
      <w:r w:rsidRPr="000559B7">
        <w:rPr>
          <w:iCs/>
          <w:color w:val="000000"/>
          <w:lang w:val="ru-RU"/>
        </w:rPr>
        <w:t xml:space="preserve">Исполнительного секретаря брать на себя обязательства в объеме, не превышающем уровень утвержденного бюджета, используя для их </w:t>
      </w:r>
      <w:proofErr w:type="gramStart"/>
      <w:r w:rsidRPr="000559B7">
        <w:rPr>
          <w:iCs/>
          <w:color w:val="000000"/>
          <w:lang w:val="ru-RU"/>
        </w:rPr>
        <w:t>выполнения</w:t>
      </w:r>
      <w:proofErr w:type="gramEnd"/>
      <w:r w:rsidRPr="000559B7">
        <w:rPr>
          <w:iCs/>
          <w:color w:val="000000"/>
          <w:lang w:val="ru-RU"/>
        </w:rPr>
        <w:t xml:space="preserve"> имеющиеся </w:t>
      </w:r>
      <w:r w:rsidR="00540D6D">
        <w:rPr>
          <w:iCs/>
          <w:color w:val="000000"/>
          <w:lang w:val="ru-RU"/>
        </w:rPr>
        <w:t xml:space="preserve">в </w:t>
      </w:r>
      <w:r w:rsidRPr="000559B7">
        <w:rPr>
          <w:iCs/>
          <w:color w:val="000000"/>
          <w:lang w:val="ru-RU"/>
        </w:rPr>
        <w:t>налич</w:t>
      </w:r>
      <w:r w:rsidR="00540D6D">
        <w:rPr>
          <w:iCs/>
          <w:color w:val="000000"/>
          <w:lang w:val="ru-RU"/>
        </w:rPr>
        <w:t>ии</w:t>
      </w:r>
      <w:r w:rsidRPr="000559B7">
        <w:rPr>
          <w:iCs/>
          <w:color w:val="000000"/>
          <w:lang w:val="ru-RU"/>
        </w:rPr>
        <w:t xml:space="preserve"> средства, включая неизрасходованные остатки, взносы за предыдущие финансовы</w:t>
      </w:r>
      <w:r w:rsidR="00490C53" w:rsidRPr="000559B7">
        <w:rPr>
          <w:iCs/>
          <w:color w:val="000000"/>
          <w:lang w:val="ru-RU"/>
        </w:rPr>
        <w:t>е периоды и прочие поступления, в соответствии с Финансовыми положениями и правилами Программы Организации Объединенных Наций по окружающей среде;</w:t>
      </w:r>
    </w:p>
    <w:p w:rsidR="00E4766C" w:rsidRPr="000559B7" w:rsidRDefault="00E4766C" w:rsidP="00E4766C">
      <w:pPr>
        <w:spacing w:before="120" w:after="120"/>
        <w:ind w:firstLine="720"/>
        <w:rPr>
          <w:iCs/>
          <w:color w:val="000000"/>
          <w:lang w:val="ru-RU"/>
        </w:rPr>
      </w:pPr>
      <w:r w:rsidRPr="000559B7">
        <w:rPr>
          <w:color w:val="000000"/>
          <w:lang w:val="ru-RU"/>
        </w:rPr>
        <w:t>1</w:t>
      </w:r>
      <w:r w:rsidR="00490C53" w:rsidRPr="000559B7">
        <w:rPr>
          <w:color w:val="000000"/>
          <w:lang w:val="ru-RU"/>
        </w:rPr>
        <w:t>7</w:t>
      </w:r>
      <w:r w:rsidRPr="000559B7">
        <w:rPr>
          <w:color w:val="000000"/>
          <w:lang w:val="ru-RU"/>
        </w:rPr>
        <w:t>.</w:t>
      </w:r>
      <w:r w:rsidRPr="000559B7">
        <w:rPr>
          <w:color w:val="000000"/>
          <w:lang w:val="ru-RU"/>
        </w:rPr>
        <w:tab/>
      </w:r>
      <w:r w:rsidRPr="000559B7">
        <w:rPr>
          <w:i/>
          <w:iCs/>
          <w:color w:val="000000"/>
          <w:lang w:val="ru-RU"/>
        </w:rPr>
        <w:t xml:space="preserve">также уполномочивает </w:t>
      </w:r>
      <w:r w:rsidRPr="000559B7">
        <w:rPr>
          <w:iCs/>
          <w:color w:val="000000"/>
          <w:lang w:val="ru-RU"/>
        </w:rPr>
        <w:t xml:space="preserve">Исполнительного секретаря перераспределять средства  между основными </w:t>
      </w:r>
      <w:r w:rsidR="00540D6D">
        <w:rPr>
          <w:iCs/>
          <w:color w:val="000000"/>
          <w:lang w:val="ru-RU"/>
        </w:rPr>
        <w:t>статьями</w:t>
      </w:r>
      <w:r w:rsidRPr="000559B7">
        <w:rPr>
          <w:iCs/>
          <w:color w:val="000000"/>
          <w:lang w:val="ru-RU"/>
        </w:rPr>
        <w:t xml:space="preserve"> бюджетных ассигнований</w:t>
      </w:r>
      <w:r w:rsidR="002338D2">
        <w:rPr>
          <w:iCs/>
          <w:color w:val="000000"/>
          <w:lang w:val="ru-RU"/>
        </w:rPr>
        <w:t xml:space="preserve"> в рамках </w:t>
      </w:r>
      <w:r w:rsidR="002338D2" w:rsidRPr="000559B7">
        <w:rPr>
          <w:iCs/>
          <w:color w:val="000000"/>
          <w:lang w:val="ru-RU"/>
        </w:rPr>
        <w:t>программ</w:t>
      </w:r>
      <w:r w:rsidRPr="000559B7">
        <w:rPr>
          <w:iCs/>
          <w:color w:val="000000"/>
          <w:lang w:val="ru-RU"/>
        </w:rPr>
        <w:t>, п</w:t>
      </w:r>
      <w:r w:rsidR="00212D47">
        <w:rPr>
          <w:iCs/>
          <w:color w:val="000000"/>
          <w:lang w:val="ru-RU"/>
        </w:rPr>
        <w:t>риведенны</w:t>
      </w:r>
      <w:r w:rsidR="00540D6D">
        <w:rPr>
          <w:iCs/>
          <w:color w:val="000000"/>
          <w:lang w:val="ru-RU"/>
        </w:rPr>
        <w:t>х</w:t>
      </w:r>
      <w:r w:rsidR="00212D47">
        <w:rPr>
          <w:iCs/>
          <w:color w:val="000000"/>
          <w:lang w:val="ru-RU"/>
        </w:rPr>
        <w:t xml:space="preserve"> </w:t>
      </w:r>
      <w:r w:rsidRPr="000559B7">
        <w:rPr>
          <w:iCs/>
          <w:color w:val="000000"/>
          <w:lang w:val="ru-RU"/>
        </w:rPr>
        <w:t>в таблице 1а</w:t>
      </w:r>
      <w:r w:rsidR="00212D47">
        <w:rPr>
          <w:iCs/>
          <w:color w:val="000000"/>
          <w:lang w:val="ru-RU"/>
        </w:rPr>
        <w:t xml:space="preserve"> ниже</w:t>
      </w:r>
      <w:r w:rsidRPr="000559B7">
        <w:rPr>
          <w:iCs/>
          <w:color w:val="000000"/>
          <w:lang w:val="ru-RU"/>
        </w:rPr>
        <w:t>, на сумму, не превышающую в совокупности 15% от общего бюджета программ при условии</w:t>
      </w:r>
      <w:r w:rsidR="00212D47">
        <w:rPr>
          <w:iCs/>
          <w:color w:val="000000"/>
          <w:lang w:val="ru-RU"/>
        </w:rPr>
        <w:t xml:space="preserve"> применения </w:t>
      </w:r>
      <w:r w:rsidR="00212D47" w:rsidRPr="000559B7">
        <w:rPr>
          <w:iCs/>
          <w:color w:val="000000"/>
          <w:lang w:val="ru-RU"/>
        </w:rPr>
        <w:t>дополнительно</w:t>
      </w:r>
      <w:r w:rsidR="002338D2">
        <w:rPr>
          <w:iCs/>
          <w:color w:val="000000"/>
          <w:lang w:val="ru-RU"/>
        </w:rPr>
        <w:t>го</w:t>
      </w:r>
      <w:r w:rsidR="00212D47" w:rsidRPr="000559B7">
        <w:rPr>
          <w:iCs/>
          <w:color w:val="000000"/>
          <w:lang w:val="ru-RU"/>
        </w:rPr>
        <w:t xml:space="preserve"> максимально</w:t>
      </w:r>
      <w:r w:rsidR="002338D2">
        <w:rPr>
          <w:iCs/>
          <w:color w:val="000000"/>
          <w:lang w:val="ru-RU"/>
        </w:rPr>
        <w:t>го</w:t>
      </w:r>
      <w:r w:rsidR="00212D47" w:rsidRPr="000559B7">
        <w:rPr>
          <w:iCs/>
          <w:color w:val="000000"/>
          <w:lang w:val="ru-RU"/>
        </w:rPr>
        <w:t xml:space="preserve"> ограничени</w:t>
      </w:r>
      <w:r w:rsidR="002338D2">
        <w:rPr>
          <w:iCs/>
          <w:color w:val="000000"/>
          <w:lang w:val="ru-RU"/>
        </w:rPr>
        <w:t>я</w:t>
      </w:r>
      <w:r w:rsidR="00212D47" w:rsidRPr="000559B7">
        <w:rPr>
          <w:iCs/>
          <w:color w:val="000000"/>
          <w:lang w:val="ru-RU"/>
        </w:rPr>
        <w:t xml:space="preserve"> в 25%</w:t>
      </w:r>
      <w:r w:rsidR="00212D47">
        <w:rPr>
          <w:iCs/>
          <w:color w:val="000000"/>
          <w:lang w:val="ru-RU"/>
        </w:rPr>
        <w:t xml:space="preserve"> для каждого </w:t>
      </w:r>
      <w:r w:rsidR="002338D2">
        <w:rPr>
          <w:iCs/>
          <w:color w:val="000000"/>
          <w:lang w:val="ru-RU"/>
        </w:rPr>
        <w:t>раздела бюджетных ассигнований</w:t>
      </w:r>
      <w:r w:rsidRPr="000559B7">
        <w:rPr>
          <w:iCs/>
          <w:color w:val="000000"/>
          <w:lang w:val="ru-RU"/>
        </w:rPr>
        <w:t>;</w:t>
      </w:r>
    </w:p>
    <w:p w:rsidR="00E4766C" w:rsidRPr="000559B7" w:rsidRDefault="00E4766C" w:rsidP="00E4766C">
      <w:pPr>
        <w:suppressLineNumbers/>
        <w:suppressAutoHyphens/>
        <w:spacing w:before="120" w:after="120"/>
        <w:ind w:firstLine="720"/>
        <w:rPr>
          <w:iCs/>
          <w:szCs w:val="22"/>
          <w:lang w:val="ru-RU" w:eastAsia="en-US"/>
        </w:rPr>
      </w:pPr>
      <w:r w:rsidRPr="000559B7">
        <w:rPr>
          <w:iCs/>
          <w:szCs w:val="22"/>
          <w:lang w:val="ru-RU" w:eastAsia="en-US"/>
        </w:rPr>
        <w:t>1</w:t>
      </w:r>
      <w:r w:rsidR="00DE728D" w:rsidRPr="000559B7">
        <w:rPr>
          <w:iCs/>
          <w:szCs w:val="22"/>
          <w:lang w:val="ru-RU" w:eastAsia="en-US"/>
        </w:rPr>
        <w:t>8</w:t>
      </w:r>
      <w:r w:rsidRPr="000559B7">
        <w:rPr>
          <w:iCs/>
          <w:szCs w:val="22"/>
          <w:lang w:val="ru-RU" w:eastAsia="en-US"/>
        </w:rPr>
        <w:t>.</w:t>
      </w:r>
      <w:r w:rsidRPr="000559B7">
        <w:rPr>
          <w:iCs/>
          <w:szCs w:val="22"/>
          <w:lang w:val="ru-RU" w:eastAsia="en-US"/>
        </w:rPr>
        <w:tab/>
      </w:r>
      <w:r w:rsidRPr="000559B7">
        <w:rPr>
          <w:i/>
          <w:iCs/>
          <w:szCs w:val="22"/>
          <w:lang w:val="ru-RU" w:eastAsia="en-US"/>
        </w:rPr>
        <w:t xml:space="preserve">настоятельно призывает </w:t>
      </w:r>
      <w:r w:rsidRPr="000559B7">
        <w:rPr>
          <w:iCs/>
          <w:szCs w:val="22"/>
          <w:lang w:val="ru-RU" w:eastAsia="en-US"/>
        </w:rPr>
        <w:t xml:space="preserve">Исполнительного секретаря сокращать далее воздействие </w:t>
      </w:r>
      <w:r w:rsidR="00540D6D">
        <w:rPr>
          <w:iCs/>
          <w:szCs w:val="22"/>
          <w:lang w:val="ru-RU" w:eastAsia="en-US"/>
        </w:rPr>
        <w:t>деятельности</w:t>
      </w:r>
      <w:r w:rsidRPr="000559B7">
        <w:rPr>
          <w:iCs/>
          <w:szCs w:val="22"/>
          <w:lang w:val="ru-RU" w:eastAsia="en-US"/>
        </w:rPr>
        <w:t xml:space="preserve"> секретариата на окружающую среду путем рационального использования ресурсов и оптимизации дорожных расходов, например, </w:t>
      </w:r>
      <w:proofErr w:type="gramStart"/>
      <w:r w:rsidRPr="000559B7">
        <w:rPr>
          <w:iCs/>
          <w:szCs w:val="22"/>
          <w:lang w:val="ru-RU" w:eastAsia="en-US"/>
        </w:rPr>
        <w:t>путем</w:t>
      </w:r>
      <w:proofErr w:type="gramEnd"/>
      <w:r w:rsidRPr="000559B7">
        <w:rPr>
          <w:iCs/>
          <w:szCs w:val="22"/>
          <w:lang w:val="ru-RU" w:eastAsia="en-US"/>
        </w:rPr>
        <w:t xml:space="preserve"> более широкого использования оборудования для видеоконференций и </w:t>
      </w:r>
      <w:proofErr w:type="spellStart"/>
      <w:r w:rsidRPr="000559B7">
        <w:rPr>
          <w:iCs/>
          <w:szCs w:val="22"/>
          <w:lang w:val="ru-RU" w:eastAsia="en-US"/>
        </w:rPr>
        <w:t>приоритизации</w:t>
      </w:r>
      <w:proofErr w:type="spellEnd"/>
      <w:r w:rsidRPr="000559B7">
        <w:rPr>
          <w:iCs/>
          <w:szCs w:val="22"/>
          <w:lang w:val="ru-RU" w:eastAsia="en-US"/>
        </w:rPr>
        <w:t xml:space="preserve"> официальных поездок, которые непосредственно связаны с осуществлением утвержденной программы работы;</w:t>
      </w:r>
    </w:p>
    <w:p w:rsidR="00E4766C" w:rsidRPr="000559B7" w:rsidRDefault="00E4766C" w:rsidP="00E4766C">
      <w:pPr>
        <w:suppressLineNumbers/>
        <w:suppressAutoHyphens/>
        <w:spacing w:before="120" w:after="120"/>
        <w:ind w:firstLine="720"/>
        <w:rPr>
          <w:iCs/>
          <w:szCs w:val="22"/>
          <w:lang w:val="ru-RU" w:eastAsia="en-US"/>
        </w:rPr>
      </w:pPr>
      <w:r w:rsidRPr="000559B7">
        <w:rPr>
          <w:iCs/>
          <w:szCs w:val="22"/>
          <w:lang w:val="ru-RU" w:eastAsia="en-US"/>
        </w:rPr>
        <w:t>1</w:t>
      </w:r>
      <w:r w:rsidR="00DE728D" w:rsidRPr="000559B7">
        <w:rPr>
          <w:iCs/>
          <w:szCs w:val="22"/>
          <w:lang w:val="ru-RU" w:eastAsia="en-US"/>
        </w:rPr>
        <w:t>9.</w:t>
      </w:r>
      <w:r w:rsidRPr="000559B7">
        <w:rPr>
          <w:iCs/>
          <w:szCs w:val="22"/>
          <w:lang w:val="ru-RU" w:eastAsia="en-US"/>
        </w:rPr>
        <w:tab/>
      </w:r>
      <w:r w:rsidRPr="000559B7">
        <w:rPr>
          <w:i/>
          <w:iCs/>
          <w:szCs w:val="22"/>
          <w:lang w:val="ru-RU" w:eastAsia="en-US"/>
        </w:rPr>
        <w:t xml:space="preserve">отмечает, </w:t>
      </w:r>
      <w:r w:rsidRPr="000559B7">
        <w:rPr>
          <w:iCs/>
          <w:szCs w:val="22"/>
          <w:lang w:val="ru-RU" w:eastAsia="en-US"/>
        </w:rPr>
        <w:t>что</w:t>
      </w:r>
      <w:r w:rsidRPr="000559B7">
        <w:rPr>
          <w:i/>
          <w:iCs/>
          <w:szCs w:val="22"/>
          <w:lang w:val="ru-RU" w:eastAsia="en-US"/>
        </w:rPr>
        <w:t xml:space="preserve"> </w:t>
      </w:r>
      <w:r w:rsidRPr="000559B7">
        <w:rPr>
          <w:iCs/>
          <w:szCs w:val="22"/>
          <w:lang w:val="ru-RU" w:eastAsia="en-US"/>
        </w:rPr>
        <w:t xml:space="preserve">ограниченное раскрытие финансовой информации сокращает способность Организации быть </w:t>
      </w:r>
      <w:proofErr w:type="spellStart"/>
      <w:r w:rsidRPr="000559B7">
        <w:rPr>
          <w:iCs/>
          <w:szCs w:val="22"/>
          <w:lang w:val="ru-RU" w:eastAsia="en-US"/>
        </w:rPr>
        <w:t>транспарентной</w:t>
      </w:r>
      <w:proofErr w:type="spellEnd"/>
      <w:r w:rsidRPr="000559B7">
        <w:rPr>
          <w:iCs/>
          <w:szCs w:val="22"/>
          <w:lang w:val="ru-RU" w:eastAsia="en-US"/>
        </w:rPr>
        <w:t xml:space="preserve"> и подотчетной и </w:t>
      </w:r>
      <w:r w:rsidR="002338D2">
        <w:rPr>
          <w:iCs/>
          <w:szCs w:val="22"/>
          <w:lang w:val="ru-RU" w:eastAsia="en-US"/>
        </w:rPr>
        <w:t>мобилизовать</w:t>
      </w:r>
      <w:r w:rsidRPr="000559B7">
        <w:rPr>
          <w:iCs/>
          <w:szCs w:val="22"/>
          <w:lang w:val="ru-RU" w:eastAsia="en-US"/>
        </w:rPr>
        <w:t xml:space="preserve"> средства у </w:t>
      </w:r>
      <w:r w:rsidR="002338D2">
        <w:rPr>
          <w:iCs/>
          <w:szCs w:val="22"/>
          <w:lang w:val="ru-RU" w:eastAsia="en-US"/>
        </w:rPr>
        <w:t xml:space="preserve">более </w:t>
      </w:r>
      <w:r w:rsidRPr="000559B7">
        <w:rPr>
          <w:iCs/>
          <w:szCs w:val="22"/>
          <w:lang w:val="ru-RU" w:eastAsia="en-US"/>
        </w:rPr>
        <w:t>широкого круга доноров;</w:t>
      </w:r>
    </w:p>
    <w:p w:rsidR="00E4766C" w:rsidRPr="000559B7" w:rsidRDefault="00DE728D" w:rsidP="00E4766C">
      <w:pPr>
        <w:suppressLineNumbers/>
        <w:suppressAutoHyphens/>
        <w:spacing w:before="120" w:after="120"/>
        <w:ind w:firstLine="720"/>
        <w:rPr>
          <w:iCs/>
          <w:szCs w:val="22"/>
          <w:lang w:val="ru-RU" w:eastAsia="en-US"/>
        </w:rPr>
      </w:pPr>
      <w:proofErr w:type="gramStart"/>
      <w:r w:rsidRPr="000559B7">
        <w:rPr>
          <w:iCs/>
          <w:szCs w:val="22"/>
          <w:lang w:val="ru-RU" w:eastAsia="en-US"/>
        </w:rPr>
        <w:t>20</w:t>
      </w:r>
      <w:r w:rsidR="00E4766C" w:rsidRPr="000559B7">
        <w:rPr>
          <w:iCs/>
          <w:szCs w:val="22"/>
          <w:lang w:val="ru-RU" w:eastAsia="en-US"/>
        </w:rPr>
        <w:t>.</w:t>
      </w:r>
      <w:r w:rsidR="00E4766C" w:rsidRPr="000559B7">
        <w:rPr>
          <w:iCs/>
          <w:szCs w:val="22"/>
          <w:lang w:val="ru-RU" w:eastAsia="en-US"/>
        </w:rPr>
        <w:tab/>
      </w:r>
      <w:r w:rsidR="00E4766C" w:rsidRPr="000559B7">
        <w:rPr>
          <w:i/>
          <w:iCs/>
          <w:szCs w:val="22"/>
          <w:lang w:val="ru-RU" w:eastAsia="en-US"/>
        </w:rPr>
        <w:t xml:space="preserve">поручает </w:t>
      </w:r>
      <w:r w:rsidR="00E4766C" w:rsidRPr="000559B7">
        <w:rPr>
          <w:iCs/>
          <w:szCs w:val="22"/>
          <w:lang w:val="ru-RU" w:eastAsia="en-US"/>
        </w:rPr>
        <w:t xml:space="preserve">Исполнительному секретарю в сотрудничестве с Программой Организации Объединенных Наций по окружающей среде </w:t>
      </w:r>
      <w:r w:rsidR="001F73E0">
        <w:rPr>
          <w:iCs/>
          <w:szCs w:val="22"/>
          <w:lang w:val="ru-RU" w:eastAsia="en-US"/>
        </w:rPr>
        <w:t>изы</w:t>
      </w:r>
      <w:r w:rsidR="00E4766C" w:rsidRPr="000559B7">
        <w:rPr>
          <w:iCs/>
          <w:szCs w:val="22"/>
          <w:lang w:val="ru-RU" w:eastAsia="en-US"/>
        </w:rPr>
        <w:t xml:space="preserve">скать </w:t>
      </w:r>
      <w:r w:rsidR="0037499E">
        <w:rPr>
          <w:iCs/>
          <w:szCs w:val="22"/>
          <w:lang w:val="ru-RU" w:eastAsia="en-US"/>
        </w:rPr>
        <w:t xml:space="preserve">возможности </w:t>
      </w:r>
      <w:r w:rsidR="00E4766C" w:rsidRPr="000559B7">
        <w:rPr>
          <w:iCs/>
          <w:szCs w:val="22"/>
          <w:lang w:val="ru-RU" w:eastAsia="en-US"/>
        </w:rPr>
        <w:t xml:space="preserve">предоставления дополнительной финансовой информации </w:t>
      </w:r>
      <w:r w:rsidR="00A20F99">
        <w:rPr>
          <w:iCs/>
          <w:szCs w:val="22"/>
          <w:lang w:val="ru-RU" w:eastAsia="en-US"/>
        </w:rPr>
        <w:t xml:space="preserve">для более широкого </w:t>
      </w:r>
      <w:r w:rsidR="00E4766C" w:rsidRPr="000559B7">
        <w:rPr>
          <w:iCs/>
          <w:szCs w:val="22"/>
          <w:lang w:val="ru-RU" w:eastAsia="en-US"/>
        </w:rPr>
        <w:t xml:space="preserve">раскрытия </w:t>
      </w:r>
      <w:r w:rsidR="00A20F99">
        <w:rPr>
          <w:iCs/>
          <w:szCs w:val="22"/>
          <w:lang w:val="ru-RU" w:eastAsia="en-US"/>
        </w:rPr>
        <w:t>данных</w:t>
      </w:r>
      <w:r w:rsidR="00E4766C" w:rsidRPr="000559B7">
        <w:rPr>
          <w:iCs/>
          <w:szCs w:val="22"/>
          <w:lang w:val="ru-RU" w:eastAsia="en-US"/>
        </w:rPr>
        <w:t xml:space="preserve"> помимо текущей финансовой информации, содержащейся в сертифицированных финансовых отчетах целевых фондов Конвенции о биологическом разнообразии</w:t>
      </w:r>
      <w:r w:rsidR="001F73E0">
        <w:rPr>
          <w:iCs/>
          <w:szCs w:val="22"/>
          <w:lang w:val="ru-RU" w:eastAsia="en-US"/>
        </w:rPr>
        <w:t>,</w:t>
      </w:r>
      <w:r w:rsidR="00E4766C" w:rsidRPr="000559B7">
        <w:rPr>
          <w:iCs/>
          <w:szCs w:val="22"/>
          <w:lang w:val="ru-RU" w:eastAsia="en-US"/>
        </w:rPr>
        <w:t xml:space="preserve"> </w:t>
      </w:r>
      <w:r w:rsidR="00A20F99">
        <w:rPr>
          <w:iCs/>
          <w:szCs w:val="22"/>
          <w:lang w:val="ru-RU" w:eastAsia="en-US"/>
        </w:rPr>
        <w:t>в целях</w:t>
      </w:r>
      <w:r w:rsidR="001F73E0">
        <w:rPr>
          <w:iCs/>
          <w:szCs w:val="22"/>
          <w:lang w:val="ru-RU" w:eastAsia="en-US"/>
        </w:rPr>
        <w:t xml:space="preserve"> содействия проведени</w:t>
      </w:r>
      <w:r w:rsidR="00A20F99">
        <w:rPr>
          <w:iCs/>
          <w:szCs w:val="22"/>
          <w:lang w:val="ru-RU" w:eastAsia="en-US"/>
        </w:rPr>
        <w:t>ю необходимых</w:t>
      </w:r>
      <w:r w:rsidR="001F73E0">
        <w:rPr>
          <w:iCs/>
          <w:szCs w:val="22"/>
          <w:lang w:val="ru-RU" w:eastAsia="en-US"/>
        </w:rPr>
        <w:t xml:space="preserve"> </w:t>
      </w:r>
      <w:r w:rsidR="00E4766C" w:rsidRPr="000559B7">
        <w:rPr>
          <w:iCs/>
          <w:szCs w:val="22"/>
          <w:lang w:val="ru-RU" w:eastAsia="en-US"/>
        </w:rPr>
        <w:t>провер</w:t>
      </w:r>
      <w:r w:rsidR="001F73E0">
        <w:rPr>
          <w:iCs/>
          <w:szCs w:val="22"/>
          <w:lang w:val="ru-RU" w:eastAsia="en-US"/>
        </w:rPr>
        <w:t>ок</w:t>
      </w:r>
      <w:r w:rsidR="00E4766C" w:rsidRPr="000559B7">
        <w:rPr>
          <w:iCs/>
          <w:szCs w:val="22"/>
          <w:lang w:val="ru-RU" w:eastAsia="en-US"/>
        </w:rPr>
        <w:t xml:space="preserve"> и </w:t>
      </w:r>
      <w:r w:rsidR="001F73E0">
        <w:rPr>
          <w:iCs/>
          <w:szCs w:val="22"/>
          <w:lang w:val="ru-RU" w:eastAsia="en-US"/>
        </w:rPr>
        <w:t>приняти</w:t>
      </w:r>
      <w:r w:rsidR="00A20F99">
        <w:rPr>
          <w:iCs/>
          <w:szCs w:val="22"/>
          <w:lang w:val="ru-RU" w:eastAsia="en-US"/>
        </w:rPr>
        <w:t>ю</w:t>
      </w:r>
      <w:r w:rsidR="001F73E0">
        <w:rPr>
          <w:iCs/>
          <w:szCs w:val="22"/>
          <w:lang w:val="ru-RU" w:eastAsia="en-US"/>
        </w:rPr>
        <w:t xml:space="preserve"> </w:t>
      </w:r>
      <w:r w:rsidR="001F73E0" w:rsidRPr="000559B7">
        <w:rPr>
          <w:iCs/>
          <w:szCs w:val="22"/>
          <w:lang w:val="ru-RU" w:eastAsia="en-US"/>
        </w:rPr>
        <w:t>решений</w:t>
      </w:r>
      <w:r w:rsidR="001F73E0">
        <w:rPr>
          <w:iCs/>
          <w:szCs w:val="22"/>
          <w:lang w:val="ru-RU" w:eastAsia="en-US"/>
        </w:rPr>
        <w:t xml:space="preserve"> о</w:t>
      </w:r>
      <w:r w:rsidR="001F73E0" w:rsidRPr="000559B7">
        <w:rPr>
          <w:iCs/>
          <w:szCs w:val="22"/>
          <w:lang w:val="ru-RU" w:eastAsia="en-US"/>
        </w:rPr>
        <w:t xml:space="preserve"> </w:t>
      </w:r>
      <w:r w:rsidR="00E4766C" w:rsidRPr="000559B7">
        <w:rPr>
          <w:iCs/>
          <w:szCs w:val="22"/>
          <w:lang w:val="ru-RU" w:eastAsia="en-US"/>
        </w:rPr>
        <w:t>финансирования Сторон</w:t>
      </w:r>
      <w:r w:rsidR="001F73E0">
        <w:rPr>
          <w:iCs/>
          <w:szCs w:val="22"/>
          <w:lang w:val="ru-RU" w:eastAsia="en-US"/>
        </w:rPr>
        <w:t>ами</w:t>
      </w:r>
      <w:r w:rsidR="00E4766C" w:rsidRPr="000559B7">
        <w:rPr>
          <w:iCs/>
          <w:szCs w:val="22"/>
          <w:lang w:val="ru-RU" w:eastAsia="en-US"/>
        </w:rPr>
        <w:t xml:space="preserve"> и други</w:t>
      </w:r>
      <w:r w:rsidR="001F73E0">
        <w:rPr>
          <w:iCs/>
          <w:szCs w:val="22"/>
          <w:lang w:val="ru-RU" w:eastAsia="en-US"/>
        </w:rPr>
        <w:t>ми</w:t>
      </w:r>
      <w:r w:rsidR="00E4766C" w:rsidRPr="000559B7">
        <w:rPr>
          <w:iCs/>
          <w:szCs w:val="22"/>
          <w:lang w:val="ru-RU" w:eastAsia="en-US"/>
        </w:rPr>
        <w:t xml:space="preserve"> потенциальны</w:t>
      </w:r>
      <w:r w:rsidR="001F73E0">
        <w:rPr>
          <w:iCs/>
          <w:szCs w:val="22"/>
          <w:lang w:val="ru-RU" w:eastAsia="en-US"/>
        </w:rPr>
        <w:t>ми</w:t>
      </w:r>
      <w:r w:rsidR="00E4766C" w:rsidRPr="000559B7">
        <w:rPr>
          <w:iCs/>
          <w:szCs w:val="22"/>
          <w:lang w:val="ru-RU" w:eastAsia="en-US"/>
        </w:rPr>
        <w:t xml:space="preserve"> </w:t>
      </w:r>
      <w:r w:rsidR="00DC035E" w:rsidRPr="000559B7">
        <w:rPr>
          <w:iCs/>
          <w:szCs w:val="22"/>
          <w:lang w:val="ru-RU" w:eastAsia="en-US"/>
        </w:rPr>
        <w:t>донор</w:t>
      </w:r>
      <w:r w:rsidR="001F73E0">
        <w:rPr>
          <w:iCs/>
          <w:szCs w:val="22"/>
          <w:lang w:val="ru-RU" w:eastAsia="en-US"/>
        </w:rPr>
        <w:t>ами</w:t>
      </w:r>
      <w:r w:rsidR="00DC035E" w:rsidRPr="000559B7">
        <w:rPr>
          <w:iCs/>
          <w:szCs w:val="22"/>
          <w:lang w:val="ru-RU" w:eastAsia="en-US"/>
        </w:rPr>
        <w:t>;</w:t>
      </w:r>
      <w:r w:rsidR="00E4766C" w:rsidRPr="000559B7">
        <w:rPr>
          <w:iCs/>
          <w:szCs w:val="22"/>
          <w:lang w:val="ru-RU" w:eastAsia="en-US"/>
        </w:rPr>
        <w:t xml:space="preserve"> </w:t>
      </w:r>
      <w:proofErr w:type="gramEnd"/>
    </w:p>
    <w:p w:rsidR="00E4766C" w:rsidRPr="000559B7" w:rsidRDefault="00DE728D" w:rsidP="00E4766C">
      <w:pPr>
        <w:suppressLineNumbers/>
        <w:shd w:val="clear" w:color="auto" w:fill="FFFFFF"/>
        <w:suppressAutoHyphens/>
        <w:spacing w:before="120" w:after="120"/>
        <w:ind w:firstLine="720"/>
        <w:rPr>
          <w:szCs w:val="22"/>
          <w:lang w:val="ru-RU" w:eastAsia="en-US"/>
        </w:rPr>
      </w:pPr>
      <w:proofErr w:type="gramStart"/>
      <w:r w:rsidRPr="000559B7">
        <w:rPr>
          <w:szCs w:val="22"/>
          <w:lang w:val="ru-RU" w:eastAsia="en-US"/>
        </w:rPr>
        <w:t>21</w:t>
      </w:r>
      <w:r w:rsidR="00E4766C" w:rsidRPr="000559B7">
        <w:rPr>
          <w:szCs w:val="22"/>
          <w:lang w:val="ru-RU" w:eastAsia="en-US"/>
        </w:rPr>
        <w:t>.</w:t>
      </w:r>
      <w:r w:rsidR="00E4766C" w:rsidRPr="000559B7">
        <w:rPr>
          <w:szCs w:val="22"/>
          <w:lang w:val="ru-RU" w:eastAsia="en-US"/>
        </w:rPr>
        <w:tab/>
      </w:r>
      <w:r w:rsidR="00E4766C" w:rsidRPr="000559B7">
        <w:rPr>
          <w:i/>
          <w:szCs w:val="22"/>
          <w:lang w:val="ru-RU" w:eastAsia="en-US"/>
        </w:rPr>
        <w:t xml:space="preserve">поручает </w:t>
      </w:r>
      <w:r w:rsidR="00E4766C" w:rsidRPr="000559B7">
        <w:rPr>
          <w:szCs w:val="22"/>
          <w:lang w:val="ru-RU" w:eastAsia="en-US"/>
        </w:rPr>
        <w:t xml:space="preserve">Исполнительному секретарю, в качестве средства дальнейшей активизации усилий по </w:t>
      </w:r>
      <w:r w:rsidR="0037499E">
        <w:rPr>
          <w:szCs w:val="22"/>
          <w:lang w:val="ru-RU" w:eastAsia="en-US"/>
        </w:rPr>
        <w:t>расширению</w:t>
      </w:r>
      <w:r w:rsidR="00E4766C" w:rsidRPr="000559B7">
        <w:rPr>
          <w:szCs w:val="22"/>
          <w:lang w:val="ru-RU" w:eastAsia="en-US"/>
        </w:rPr>
        <w:t xml:space="preserve"> транспарентности и подотчетности, для создания раздела на веб-сайте Конвенции для публикации и предоставления ссылок на обновленную </w:t>
      </w:r>
      <w:r w:rsidR="00DC035E" w:rsidRPr="000559B7">
        <w:rPr>
          <w:szCs w:val="22"/>
          <w:lang w:val="ru-RU" w:eastAsia="en-US"/>
        </w:rPr>
        <w:t>информацию,</w:t>
      </w:r>
      <w:r w:rsidR="00E4766C" w:rsidRPr="000559B7">
        <w:rPr>
          <w:szCs w:val="22"/>
          <w:lang w:val="ru-RU" w:eastAsia="en-US"/>
        </w:rPr>
        <w:t xml:space="preserve"> касающуюся управления Конвенцией, включая, в частности,</w:t>
      </w:r>
      <w:r w:rsidRPr="000559B7">
        <w:rPr>
          <w:szCs w:val="22"/>
          <w:lang w:val="ru-RU" w:eastAsia="en-US"/>
        </w:rPr>
        <w:t xml:space="preserve"> </w:t>
      </w:r>
      <w:r w:rsidR="00E4766C" w:rsidRPr="000559B7">
        <w:rPr>
          <w:szCs w:val="22"/>
          <w:lang w:val="ru-RU" w:eastAsia="en-US"/>
        </w:rPr>
        <w:t xml:space="preserve">завершенные и принятые </w:t>
      </w:r>
      <w:r w:rsidR="00DC035E" w:rsidRPr="000559B7">
        <w:rPr>
          <w:szCs w:val="22"/>
          <w:lang w:val="ru-RU" w:eastAsia="en-US"/>
        </w:rPr>
        <w:lastRenderedPageBreak/>
        <w:t>аудиторские отчеты</w:t>
      </w:r>
      <w:r w:rsidR="00E4766C" w:rsidRPr="000559B7">
        <w:rPr>
          <w:szCs w:val="22"/>
          <w:lang w:val="ru-RU" w:eastAsia="en-US"/>
        </w:rPr>
        <w:t xml:space="preserve">, применимые финансовые правила и </w:t>
      </w:r>
      <w:r w:rsidR="00DC035E" w:rsidRPr="000559B7">
        <w:rPr>
          <w:szCs w:val="22"/>
          <w:lang w:val="ru-RU" w:eastAsia="en-US"/>
        </w:rPr>
        <w:t>положения и</w:t>
      </w:r>
      <w:r w:rsidR="00E4766C" w:rsidRPr="000559B7">
        <w:rPr>
          <w:szCs w:val="22"/>
          <w:lang w:val="ru-RU" w:eastAsia="en-US"/>
        </w:rPr>
        <w:t xml:space="preserve"> любую другую соответствующую бюджетную и финансовую информацию;</w:t>
      </w:r>
      <w:proofErr w:type="gramEnd"/>
    </w:p>
    <w:p w:rsidR="00E4766C" w:rsidRPr="000559B7" w:rsidRDefault="00DE728D" w:rsidP="00E4766C">
      <w:pPr>
        <w:suppressLineNumbers/>
        <w:shd w:val="clear" w:color="auto" w:fill="FFFFFF"/>
        <w:suppressAutoHyphens/>
        <w:spacing w:before="120" w:after="120"/>
        <w:ind w:firstLine="720"/>
        <w:rPr>
          <w:szCs w:val="22"/>
          <w:lang w:val="ru-RU" w:eastAsia="en-US"/>
        </w:rPr>
      </w:pPr>
      <w:proofErr w:type="gramStart"/>
      <w:r w:rsidRPr="000559B7">
        <w:rPr>
          <w:szCs w:val="22"/>
          <w:lang w:val="ru-RU" w:eastAsia="en-US"/>
        </w:rPr>
        <w:t>22</w:t>
      </w:r>
      <w:r w:rsidR="00E4766C" w:rsidRPr="000559B7">
        <w:rPr>
          <w:szCs w:val="22"/>
          <w:lang w:val="ru-RU" w:eastAsia="en-US"/>
        </w:rPr>
        <w:t>.</w:t>
      </w:r>
      <w:r w:rsidR="00E4766C" w:rsidRPr="000559B7">
        <w:rPr>
          <w:szCs w:val="22"/>
          <w:lang w:val="ru-RU" w:eastAsia="en-US"/>
        </w:rPr>
        <w:tab/>
      </w:r>
      <w:r w:rsidRPr="000559B7">
        <w:rPr>
          <w:i/>
          <w:szCs w:val="22"/>
          <w:lang w:val="ru-RU" w:eastAsia="en-US"/>
        </w:rPr>
        <w:t>также п</w:t>
      </w:r>
      <w:r w:rsidR="00E4766C" w:rsidRPr="000559B7">
        <w:rPr>
          <w:i/>
          <w:szCs w:val="22"/>
          <w:lang w:val="ru-RU" w:eastAsia="en-US"/>
        </w:rPr>
        <w:t xml:space="preserve">оручает </w:t>
      </w:r>
      <w:r w:rsidR="00E4766C" w:rsidRPr="000559B7">
        <w:rPr>
          <w:szCs w:val="22"/>
          <w:lang w:val="ru-RU" w:eastAsia="en-US"/>
        </w:rPr>
        <w:t xml:space="preserve">Исполнительному секретарю в соответствии со статьей 14 Положения о финансах проводить аудиторские проверки на регулярной основе Управлением служб внутреннего надзора, просить представлять доклады в отношении Программы Организации Объединенных Наций по окружающей среде из документов Совета аудиторов Организации Объединенных Наций и представить эти доклады в качестве документации на следующем совещании Конференции Сторон </w:t>
      </w:r>
      <w:r w:rsidR="00E4766C" w:rsidRPr="0018593F">
        <w:rPr>
          <w:szCs w:val="22"/>
          <w:lang w:val="ru-RU" w:eastAsia="en-US"/>
        </w:rPr>
        <w:t xml:space="preserve">вместе с ответами </w:t>
      </w:r>
      <w:r w:rsidR="0018593F">
        <w:rPr>
          <w:szCs w:val="22"/>
          <w:lang w:val="ru-RU" w:eastAsia="en-US"/>
        </w:rPr>
        <w:t>руководства</w:t>
      </w:r>
      <w:r w:rsidR="00E4766C" w:rsidRPr="0018593F">
        <w:rPr>
          <w:szCs w:val="22"/>
          <w:lang w:val="ru-RU" w:eastAsia="en-US"/>
        </w:rPr>
        <w:t>;</w:t>
      </w:r>
      <w:proofErr w:type="gramEnd"/>
    </w:p>
    <w:p w:rsidR="00E4766C" w:rsidRPr="000559B7" w:rsidRDefault="00DE728D" w:rsidP="00E4766C">
      <w:pPr>
        <w:spacing w:before="120" w:after="120"/>
        <w:ind w:firstLine="720"/>
        <w:rPr>
          <w:iCs/>
          <w:szCs w:val="22"/>
          <w:lang w:val="ru-RU" w:eastAsia="en-US"/>
        </w:rPr>
      </w:pPr>
      <w:r w:rsidRPr="000559B7">
        <w:rPr>
          <w:iCs/>
          <w:szCs w:val="22"/>
          <w:lang w:val="ru-RU" w:eastAsia="en-US"/>
        </w:rPr>
        <w:t>23</w:t>
      </w:r>
      <w:r w:rsidR="00E4766C" w:rsidRPr="000559B7">
        <w:rPr>
          <w:iCs/>
          <w:szCs w:val="22"/>
          <w:lang w:val="ru-RU" w:eastAsia="en-US"/>
        </w:rPr>
        <w:t>.</w:t>
      </w:r>
      <w:r w:rsidR="00E4766C" w:rsidRPr="000559B7">
        <w:rPr>
          <w:iCs/>
          <w:szCs w:val="22"/>
          <w:lang w:val="ru-RU" w:eastAsia="en-US"/>
        </w:rPr>
        <w:tab/>
      </w:r>
      <w:r w:rsidR="00E4766C" w:rsidRPr="000559B7">
        <w:rPr>
          <w:i/>
          <w:iCs/>
          <w:szCs w:val="22"/>
          <w:lang w:val="ru-RU" w:eastAsia="en-US"/>
        </w:rPr>
        <w:t>поручает</w:t>
      </w:r>
      <w:r w:rsidRPr="000559B7">
        <w:rPr>
          <w:i/>
          <w:iCs/>
          <w:szCs w:val="22"/>
          <w:lang w:val="ru-RU" w:eastAsia="en-US"/>
        </w:rPr>
        <w:t xml:space="preserve"> далее</w:t>
      </w:r>
      <w:r w:rsidR="00E4766C" w:rsidRPr="000559B7">
        <w:rPr>
          <w:iCs/>
          <w:szCs w:val="22"/>
          <w:lang w:val="ru-RU" w:eastAsia="en-US"/>
        </w:rPr>
        <w:t xml:space="preserve"> Исполнительному секретарю в сотрудничестве с Программой Организации Объединенных Наций по окружающей среде и Казначейством Организации Объединенных Наций представить информацию об инвестициях и действующих руководящих принципах инвестиционной политики, касающихся целевых фондов Конвенции, и </w:t>
      </w:r>
      <w:proofErr w:type="gramStart"/>
      <w:r w:rsidR="00E4766C" w:rsidRPr="000559B7">
        <w:rPr>
          <w:iCs/>
          <w:szCs w:val="22"/>
          <w:lang w:val="ru-RU" w:eastAsia="en-US"/>
        </w:rPr>
        <w:t>разместить ее</w:t>
      </w:r>
      <w:proofErr w:type="gramEnd"/>
      <w:r w:rsidR="00E4766C" w:rsidRPr="000559B7">
        <w:rPr>
          <w:iCs/>
          <w:szCs w:val="22"/>
          <w:lang w:val="ru-RU" w:eastAsia="en-US"/>
        </w:rPr>
        <w:t xml:space="preserve"> на веб-сайте Конвенции;</w:t>
      </w:r>
    </w:p>
    <w:p w:rsidR="00E4766C" w:rsidRPr="000559B7" w:rsidRDefault="00DE728D" w:rsidP="00E4766C">
      <w:pPr>
        <w:spacing w:before="120" w:after="120"/>
        <w:ind w:firstLine="720"/>
        <w:rPr>
          <w:rFonts w:eastAsia="Malgun Gothic"/>
          <w:iCs/>
          <w:color w:val="000000"/>
          <w:kern w:val="18"/>
          <w:lang w:val="ru-RU"/>
        </w:rPr>
      </w:pPr>
      <w:proofErr w:type="gramStart"/>
      <w:r w:rsidRPr="000559B7">
        <w:rPr>
          <w:iCs/>
          <w:color w:val="000000"/>
          <w:lang w:val="ru-RU"/>
        </w:rPr>
        <w:t>24</w:t>
      </w:r>
      <w:r w:rsidR="00E4766C" w:rsidRPr="000559B7">
        <w:rPr>
          <w:iCs/>
          <w:color w:val="000000"/>
          <w:lang w:val="ru-RU"/>
        </w:rPr>
        <w:t>.</w:t>
      </w:r>
      <w:r w:rsidR="00E4766C" w:rsidRPr="000559B7">
        <w:rPr>
          <w:iCs/>
          <w:color w:val="000000"/>
          <w:lang w:val="ru-RU"/>
        </w:rPr>
        <w:tab/>
      </w:r>
      <w:r w:rsidR="00E4766C" w:rsidRPr="000559B7">
        <w:rPr>
          <w:i/>
          <w:iCs/>
          <w:color w:val="000000"/>
          <w:lang w:val="ru-RU"/>
        </w:rPr>
        <w:t>предлагает</w:t>
      </w:r>
      <w:r w:rsidR="00E4766C" w:rsidRPr="000559B7">
        <w:rPr>
          <w:iCs/>
          <w:color w:val="000000"/>
          <w:lang w:val="ru-RU"/>
        </w:rPr>
        <w:t xml:space="preserve"> всем Сторонам Конвенции принять к сведению, что взносы в основные бюджеты по программе (BY, BG и BB) должны поступать</w:t>
      </w:r>
      <w:r w:rsidR="0018593F">
        <w:rPr>
          <w:iCs/>
          <w:color w:val="000000"/>
          <w:lang w:val="ru-RU"/>
        </w:rPr>
        <w:t xml:space="preserve"> к</w:t>
      </w:r>
      <w:r w:rsidR="00E4766C" w:rsidRPr="000559B7">
        <w:rPr>
          <w:iCs/>
          <w:color w:val="000000"/>
          <w:lang w:val="ru-RU"/>
        </w:rPr>
        <w:t xml:space="preserve"> 1 января того года, на который они заложены в бюджете, и своевременно выплачивать их и </w:t>
      </w:r>
      <w:r w:rsidR="00E4766C" w:rsidRPr="000559B7">
        <w:rPr>
          <w:i/>
          <w:iCs/>
          <w:color w:val="000000"/>
          <w:lang w:val="ru-RU"/>
        </w:rPr>
        <w:t>просит</w:t>
      </w:r>
      <w:r w:rsidR="00E4766C" w:rsidRPr="000559B7">
        <w:rPr>
          <w:iCs/>
          <w:color w:val="000000"/>
          <w:lang w:val="ru-RU"/>
        </w:rPr>
        <w:t xml:space="preserve"> уведомлять Стороны о размерах их взносов как можно раньше в </w:t>
      </w:r>
      <w:r w:rsidR="0018593F">
        <w:rPr>
          <w:iCs/>
          <w:color w:val="000000"/>
          <w:lang w:val="ru-RU"/>
        </w:rPr>
        <w:t xml:space="preserve">течение </w:t>
      </w:r>
      <w:r w:rsidR="00E4766C" w:rsidRPr="000559B7">
        <w:rPr>
          <w:iCs/>
          <w:color w:val="000000"/>
          <w:lang w:val="ru-RU"/>
        </w:rPr>
        <w:t>год</w:t>
      </w:r>
      <w:r w:rsidR="0018593F">
        <w:rPr>
          <w:iCs/>
          <w:color w:val="000000"/>
          <w:lang w:val="ru-RU"/>
        </w:rPr>
        <w:t>а</w:t>
      </w:r>
      <w:r w:rsidR="00E4766C" w:rsidRPr="000559B7">
        <w:rPr>
          <w:iCs/>
          <w:color w:val="000000"/>
          <w:lang w:val="ru-RU"/>
        </w:rPr>
        <w:t>, предшествующе</w:t>
      </w:r>
      <w:r w:rsidR="0018593F">
        <w:rPr>
          <w:iCs/>
          <w:color w:val="000000"/>
          <w:lang w:val="ru-RU"/>
        </w:rPr>
        <w:t>го</w:t>
      </w:r>
      <w:r w:rsidR="00E4766C" w:rsidRPr="000559B7">
        <w:rPr>
          <w:iCs/>
          <w:color w:val="000000"/>
          <w:lang w:val="ru-RU"/>
        </w:rPr>
        <w:t xml:space="preserve"> году, </w:t>
      </w:r>
      <w:r w:rsidR="008D4D79">
        <w:rPr>
          <w:iCs/>
          <w:color w:val="000000"/>
          <w:lang w:val="ru-RU"/>
        </w:rPr>
        <w:t>за</w:t>
      </w:r>
      <w:r w:rsidR="00E4766C" w:rsidRPr="000559B7">
        <w:rPr>
          <w:iCs/>
          <w:color w:val="000000"/>
          <w:lang w:val="ru-RU"/>
        </w:rPr>
        <w:t xml:space="preserve"> котор</w:t>
      </w:r>
      <w:r w:rsidR="008D4D79">
        <w:rPr>
          <w:iCs/>
          <w:color w:val="000000"/>
          <w:lang w:val="ru-RU"/>
        </w:rPr>
        <w:t>ый</w:t>
      </w:r>
      <w:r w:rsidR="00E4766C" w:rsidRPr="000559B7">
        <w:rPr>
          <w:iCs/>
          <w:color w:val="000000"/>
          <w:lang w:val="ru-RU"/>
        </w:rPr>
        <w:t xml:space="preserve"> они должны быть выплачены;</w:t>
      </w:r>
      <w:proofErr w:type="gramEnd"/>
    </w:p>
    <w:p w:rsidR="00E4766C" w:rsidRPr="000559B7" w:rsidRDefault="00DE728D" w:rsidP="00E4766C">
      <w:pPr>
        <w:spacing w:before="120" w:after="120"/>
        <w:ind w:firstLine="720"/>
        <w:rPr>
          <w:rFonts w:eastAsia="Malgun Gothic"/>
          <w:iCs/>
          <w:color w:val="000000"/>
          <w:kern w:val="18"/>
          <w:lang w:val="ru-RU"/>
        </w:rPr>
      </w:pPr>
      <w:proofErr w:type="gramStart"/>
      <w:r w:rsidRPr="000559B7">
        <w:rPr>
          <w:iCs/>
          <w:color w:val="000000"/>
          <w:lang w:val="ru-RU"/>
        </w:rPr>
        <w:t>25</w:t>
      </w:r>
      <w:r w:rsidR="00E4766C" w:rsidRPr="000559B7">
        <w:rPr>
          <w:iCs/>
          <w:color w:val="000000"/>
          <w:lang w:val="ru-RU"/>
        </w:rPr>
        <w:t>.</w:t>
      </w:r>
      <w:r w:rsidR="00E4766C" w:rsidRPr="000559B7">
        <w:rPr>
          <w:iCs/>
          <w:color w:val="000000"/>
          <w:lang w:val="ru-RU"/>
        </w:rPr>
        <w:tab/>
      </w:r>
      <w:r w:rsidR="00E4766C" w:rsidRPr="000559B7">
        <w:rPr>
          <w:i/>
          <w:color w:val="000000"/>
          <w:lang w:val="ru-RU"/>
        </w:rPr>
        <w:t>отмечает с обеспокоенностью</w:t>
      </w:r>
      <w:r w:rsidR="00E4766C" w:rsidRPr="000559B7">
        <w:rPr>
          <w:color w:val="000000"/>
          <w:lang w:val="ru-RU"/>
        </w:rPr>
        <w:t xml:space="preserve">, что многие Стороны Конвенции и протоколов к ней не внесли взносы в основные бюджеты (целевые фонды BY, BG и BB) за 2018 год и за предыдущие годы, в том числе Стороны, которые никогда не платили своих взносов, и </w:t>
      </w:r>
      <w:r w:rsidR="00E4766C" w:rsidRPr="000559B7">
        <w:rPr>
          <w:i/>
          <w:color w:val="000000"/>
          <w:lang w:val="ru-RU"/>
        </w:rPr>
        <w:t>также отмечает</w:t>
      </w:r>
      <w:r w:rsidR="00E4766C" w:rsidRPr="000559B7">
        <w:rPr>
          <w:color w:val="000000"/>
          <w:lang w:val="ru-RU"/>
        </w:rPr>
        <w:t>, что в соответствии с Международными стандартами учета в государственном секторе, принятыми Организацией Объединенных Наций</w:t>
      </w:r>
      <w:r w:rsidR="00A54B0E" w:rsidRPr="005C41BC">
        <w:rPr>
          <w:rStyle w:val="Appelnotedebasdep"/>
          <w:color w:val="000000" w:themeColor="text1"/>
          <w:kern w:val="20"/>
          <w:szCs w:val="22"/>
          <w:lang w:val="en-GB" w:eastAsia="ko-KR"/>
        </w:rPr>
        <w:footnoteReference w:id="3"/>
      </w:r>
      <w:r w:rsidR="00E4766C" w:rsidRPr="000559B7">
        <w:rPr>
          <w:color w:val="000000"/>
          <w:lang w:val="ru-RU"/>
        </w:rPr>
        <w:t>, задолженность, составляющая</w:t>
      </w:r>
      <w:proofErr w:type="gramEnd"/>
      <w:r w:rsidR="00E4766C" w:rsidRPr="000559B7">
        <w:rPr>
          <w:color w:val="000000"/>
          <w:lang w:val="ru-RU"/>
        </w:rPr>
        <w:t xml:space="preserve"> </w:t>
      </w:r>
      <w:proofErr w:type="gramStart"/>
      <w:r w:rsidR="00E4766C" w:rsidRPr="000559B7">
        <w:rPr>
          <w:iCs/>
          <w:color w:val="000000"/>
          <w:szCs w:val="22"/>
          <w:lang w:val="ru-RU"/>
        </w:rPr>
        <w:t xml:space="preserve">789 100 </w:t>
      </w:r>
      <w:r w:rsidR="00E4766C" w:rsidRPr="000559B7">
        <w:rPr>
          <w:color w:val="000000"/>
          <w:lang w:val="ru-RU"/>
        </w:rPr>
        <w:t xml:space="preserve"> долл. США по Конвенции, </w:t>
      </w:r>
      <w:r w:rsidR="00E4766C" w:rsidRPr="000559B7">
        <w:rPr>
          <w:iCs/>
          <w:color w:val="000000"/>
          <w:szCs w:val="22"/>
          <w:lang w:val="ru-RU"/>
        </w:rPr>
        <w:t>171 400</w:t>
      </w:r>
      <w:r w:rsidR="00E4766C" w:rsidRPr="000559B7">
        <w:rPr>
          <w:color w:val="000000"/>
          <w:lang w:val="ru-RU"/>
        </w:rPr>
        <w:t xml:space="preserve"> долл. США по Картахенскому протоколу и </w:t>
      </w:r>
      <w:r w:rsidR="00E4766C" w:rsidRPr="000559B7">
        <w:rPr>
          <w:color w:val="000000"/>
          <w:szCs w:val="22"/>
          <w:lang w:val="ru-RU"/>
        </w:rPr>
        <w:t>46</w:t>
      </w:r>
      <w:r w:rsidR="007B28AB" w:rsidRPr="000559B7">
        <w:rPr>
          <w:color w:val="000000"/>
          <w:szCs w:val="22"/>
          <w:lang w:val="ru-RU"/>
        </w:rPr>
        <w:t> </w:t>
      </w:r>
      <w:r w:rsidR="00E4766C" w:rsidRPr="000559B7">
        <w:rPr>
          <w:color w:val="000000"/>
          <w:szCs w:val="22"/>
          <w:lang w:val="ru-RU"/>
        </w:rPr>
        <w:t>000</w:t>
      </w:r>
      <w:r w:rsidR="007B28AB" w:rsidRPr="000559B7">
        <w:rPr>
          <w:color w:val="000000"/>
          <w:szCs w:val="22"/>
          <w:lang w:val="ru-RU"/>
        </w:rPr>
        <w:t xml:space="preserve"> </w:t>
      </w:r>
      <w:r w:rsidR="00E4766C" w:rsidRPr="000559B7">
        <w:rPr>
          <w:color w:val="000000"/>
          <w:lang w:val="ru-RU"/>
        </w:rPr>
        <w:t>долл. США по Нагойскому протоколу, считается непогашенной на конец 2017 года, и удерживается из остатка средств в фонде для покрытия сомнительных долгов, и таким образом эти средства нельзя будет использовать в интересах всех соответствующих Сторон;</w:t>
      </w:r>
      <w:proofErr w:type="gramEnd"/>
    </w:p>
    <w:p w:rsidR="00E4766C" w:rsidRPr="000559B7" w:rsidRDefault="007B28AB" w:rsidP="00E4766C">
      <w:pPr>
        <w:spacing w:before="120" w:after="120"/>
        <w:ind w:firstLine="720"/>
        <w:rPr>
          <w:iCs/>
          <w:color w:val="000000"/>
          <w:lang w:val="ru-RU"/>
        </w:rPr>
      </w:pPr>
      <w:r w:rsidRPr="000559B7">
        <w:rPr>
          <w:iCs/>
          <w:color w:val="000000"/>
          <w:lang w:val="ru-RU"/>
        </w:rPr>
        <w:t>26</w:t>
      </w:r>
      <w:r w:rsidR="00E4766C" w:rsidRPr="000559B7">
        <w:rPr>
          <w:iCs/>
          <w:color w:val="000000"/>
          <w:lang w:val="ru-RU"/>
        </w:rPr>
        <w:t>.</w:t>
      </w:r>
      <w:r w:rsidR="00E4766C" w:rsidRPr="000559B7">
        <w:rPr>
          <w:iCs/>
          <w:color w:val="000000"/>
          <w:lang w:val="ru-RU"/>
        </w:rPr>
        <w:tab/>
      </w:r>
      <w:r w:rsidR="00E4766C" w:rsidRPr="000559B7">
        <w:rPr>
          <w:i/>
          <w:iCs/>
          <w:color w:val="000000"/>
          <w:lang w:val="ru-RU"/>
        </w:rPr>
        <w:t>настоятельно призывает</w:t>
      </w:r>
      <w:r w:rsidR="00E4766C" w:rsidRPr="000559B7">
        <w:rPr>
          <w:iCs/>
          <w:color w:val="000000"/>
          <w:lang w:val="ru-RU"/>
        </w:rPr>
        <w:t xml:space="preserve"> Стороны, которые еще не внесли взносы в основные бюджеты (целевые фонды BY, BG и BB) за 2017 год и за предыдущие годы, безотлагательно и без </w:t>
      </w:r>
      <w:r w:rsidR="00540D6D">
        <w:rPr>
          <w:iCs/>
          <w:color w:val="000000"/>
          <w:lang w:val="ru-RU"/>
        </w:rPr>
        <w:t>каких-либо</w:t>
      </w:r>
      <w:r w:rsidR="00E4766C" w:rsidRPr="000559B7">
        <w:rPr>
          <w:iCs/>
          <w:color w:val="000000"/>
          <w:lang w:val="ru-RU"/>
        </w:rPr>
        <w:t xml:space="preserve"> условий внести их и </w:t>
      </w:r>
      <w:r w:rsidR="00E4766C" w:rsidRPr="000559B7">
        <w:rPr>
          <w:i/>
          <w:iCs/>
          <w:color w:val="000000"/>
          <w:lang w:val="ru-RU"/>
        </w:rPr>
        <w:t>поручает</w:t>
      </w:r>
      <w:r w:rsidR="00E4766C" w:rsidRPr="000559B7">
        <w:rPr>
          <w:iCs/>
          <w:color w:val="000000"/>
          <w:lang w:val="ru-RU"/>
        </w:rPr>
        <w:t xml:space="preserve"> Исполнительному секретарю публиковать и обновлять информацию о положении дел </w:t>
      </w:r>
      <w:proofErr w:type="gramStart"/>
      <w:r w:rsidR="00E4766C" w:rsidRPr="000559B7">
        <w:rPr>
          <w:iCs/>
          <w:color w:val="000000"/>
          <w:lang w:val="ru-RU"/>
        </w:rPr>
        <w:t>со</w:t>
      </w:r>
      <w:proofErr w:type="gramEnd"/>
      <w:r w:rsidR="00E4766C" w:rsidRPr="000559B7">
        <w:rPr>
          <w:iCs/>
          <w:color w:val="000000"/>
          <w:lang w:val="ru-RU"/>
        </w:rPr>
        <w:t xml:space="preserve"> взносами в целевых фондах Конвенции (BY, BG, BB, BE, BH, BX, BZ и VB) и </w:t>
      </w:r>
      <w:r w:rsidR="008D4D79">
        <w:rPr>
          <w:iCs/>
          <w:color w:val="000000"/>
          <w:lang w:val="ru-RU"/>
        </w:rPr>
        <w:t xml:space="preserve">информировать </w:t>
      </w:r>
      <w:r w:rsidR="00E4766C" w:rsidRPr="000559B7">
        <w:rPr>
          <w:iCs/>
          <w:color w:val="000000"/>
          <w:lang w:val="ru-RU"/>
        </w:rPr>
        <w:t>об этом членов бюро Конвенции и протоколов к ней</w:t>
      </w:r>
      <w:r w:rsidR="008D4D79">
        <w:rPr>
          <w:iCs/>
          <w:color w:val="000000"/>
          <w:lang w:val="ru-RU"/>
        </w:rPr>
        <w:t xml:space="preserve"> с тем</w:t>
      </w:r>
      <w:r w:rsidR="00E4766C" w:rsidRPr="000559B7">
        <w:rPr>
          <w:iCs/>
          <w:color w:val="000000"/>
          <w:lang w:val="ru-RU"/>
        </w:rPr>
        <w:t>, чтобы они могли представлять информацию о невыплаченных взносах и связанных с этим последствиях на региональных совещаниях;</w:t>
      </w:r>
    </w:p>
    <w:p w:rsidR="00E4766C" w:rsidRPr="000559B7" w:rsidRDefault="00E4766C" w:rsidP="00E4766C">
      <w:pPr>
        <w:suppressLineNumbers/>
        <w:suppressAutoHyphens/>
        <w:spacing w:before="120" w:after="120"/>
        <w:ind w:firstLine="720"/>
        <w:rPr>
          <w:szCs w:val="22"/>
          <w:lang w:val="ru-RU"/>
        </w:rPr>
      </w:pPr>
      <w:proofErr w:type="gramStart"/>
      <w:r w:rsidRPr="000559B7">
        <w:rPr>
          <w:szCs w:val="22"/>
          <w:lang w:val="ru-RU"/>
        </w:rPr>
        <w:t>2</w:t>
      </w:r>
      <w:r w:rsidR="007B28AB" w:rsidRPr="000559B7">
        <w:rPr>
          <w:szCs w:val="22"/>
          <w:lang w:val="ru-RU"/>
        </w:rPr>
        <w:t>7</w:t>
      </w:r>
      <w:r w:rsidRPr="000559B7">
        <w:rPr>
          <w:szCs w:val="22"/>
          <w:lang w:val="ru-RU"/>
        </w:rPr>
        <w:t>.</w:t>
      </w:r>
      <w:r w:rsidRPr="000559B7">
        <w:rPr>
          <w:szCs w:val="22"/>
          <w:lang w:val="ru-RU"/>
        </w:rPr>
        <w:tab/>
      </w:r>
      <w:r w:rsidRPr="000559B7">
        <w:rPr>
          <w:i/>
          <w:iCs/>
          <w:szCs w:val="22"/>
          <w:lang w:val="ru-RU"/>
        </w:rPr>
        <w:t>просит</w:t>
      </w:r>
      <w:r w:rsidRPr="000559B7">
        <w:rPr>
          <w:szCs w:val="22"/>
          <w:lang w:val="ru-RU"/>
        </w:rPr>
        <w:t xml:space="preserve"> Программу Организации Объединенных Наций по окружающей среде, выступающую в качестве доверительного управляющего, задействовать все возможные дипломатические каналы для информирования заинтересованных Сторон о наличии у них задолженности по взносам в целевые фонды Конвенции о биологическом разнообразии (BY, BG и BB) за 2018 год и предыдущие годы в целях выплаты этих задолженностей в полном объеме в интересах всех </w:t>
      </w:r>
      <w:r w:rsidR="008D4D79">
        <w:rPr>
          <w:szCs w:val="22"/>
          <w:lang w:val="ru-RU"/>
        </w:rPr>
        <w:t>Сторон</w:t>
      </w:r>
      <w:r w:rsidRPr="000559B7">
        <w:rPr>
          <w:szCs w:val="22"/>
          <w:lang w:val="ru-RU"/>
        </w:rPr>
        <w:t xml:space="preserve"> Конвенции</w:t>
      </w:r>
      <w:proofErr w:type="gramEnd"/>
      <w:r w:rsidRPr="000559B7">
        <w:rPr>
          <w:szCs w:val="22"/>
          <w:lang w:val="ru-RU"/>
        </w:rPr>
        <w:t xml:space="preserve"> и протоколов к ней и </w:t>
      </w:r>
      <w:r w:rsidRPr="000559B7">
        <w:rPr>
          <w:i/>
          <w:iCs/>
          <w:szCs w:val="22"/>
          <w:lang w:val="ru-RU"/>
        </w:rPr>
        <w:t>поручает</w:t>
      </w:r>
      <w:r w:rsidRPr="000559B7">
        <w:rPr>
          <w:szCs w:val="22"/>
          <w:lang w:val="ru-RU"/>
        </w:rPr>
        <w:t xml:space="preserve"> Исполнительному секретарю представить доклад бюро и Конференции Сторон на ее 15-м совещании о положении дел с этими задолженностями;</w:t>
      </w:r>
    </w:p>
    <w:p w:rsidR="00E4766C" w:rsidRPr="000559B7" w:rsidRDefault="00E4766C" w:rsidP="00E4766C">
      <w:pPr>
        <w:spacing w:before="120" w:after="120"/>
        <w:ind w:firstLine="720"/>
        <w:rPr>
          <w:rFonts w:eastAsia="Malgun Gothic"/>
          <w:iCs/>
          <w:color w:val="000000"/>
          <w:kern w:val="18"/>
          <w:lang w:val="ru-RU"/>
        </w:rPr>
      </w:pPr>
      <w:proofErr w:type="gramStart"/>
      <w:r w:rsidRPr="000559B7">
        <w:rPr>
          <w:iCs/>
          <w:color w:val="000000"/>
          <w:lang w:val="ru-RU"/>
        </w:rPr>
        <w:t>2</w:t>
      </w:r>
      <w:r w:rsidR="007B28AB" w:rsidRPr="000559B7">
        <w:rPr>
          <w:iCs/>
          <w:color w:val="000000"/>
          <w:lang w:val="ru-RU"/>
        </w:rPr>
        <w:t>8</w:t>
      </w:r>
      <w:r w:rsidRPr="000559B7">
        <w:rPr>
          <w:iCs/>
          <w:color w:val="000000"/>
          <w:lang w:val="ru-RU"/>
        </w:rPr>
        <w:t>.</w:t>
      </w:r>
      <w:r w:rsidRPr="000559B7">
        <w:rPr>
          <w:iCs/>
          <w:color w:val="000000"/>
          <w:lang w:val="ru-RU"/>
        </w:rPr>
        <w:tab/>
      </w:r>
      <w:r w:rsidRPr="000559B7">
        <w:rPr>
          <w:i/>
          <w:color w:val="000000"/>
          <w:lang w:val="ru-RU"/>
        </w:rPr>
        <w:t>подтверждает</w:t>
      </w:r>
      <w:r w:rsidRPr="000559B7">
        <w:rPr>
          <w:color w:val="000000"/>
          <w:lang w:val="ru-RU"/>
        </w:rPr>
        <w:t>, что в отношении взносов, подлежащих оплате с 1 января 2005 года и позже, Стороны, которые задерживают выплату взносов в течение двух (2) или более лет, не могут становиться членами бюро Кон</w:t>
      </w:r>
      <w:r w:rsidR="008D4D79">
        <w:rPr>
          <w:color w:val="000000"/>
          <w:lang w:val="ru-RU"/>
        </w:rPr>
        <w:t>венции</w:t>
      </w:r>
      <w:r w:rsidRPr="000559B7">
        <w:rPr>
          <w:color w:val="000000"/>
          <w:lang w:val="ru-RU"/>
        </w:rPr>
        <w:t xml:space="preserve">, протоколов к ней или Вспомогательного органа по научным, техническим и технологическим консультациям или назначать члена комитета по </w:t>
      </w:r>
      <w:r w:rsidRPr="000559B7">
        <w:rPr>
          <w:color w:val="000000"/>
          <w:lang w:val="ru-RU"/>
        </w:rPr>
        <w:lastRenderedPageBreak/>
        <w:t>соблюдению</w:t>
      </w:r>
      <w:r w:rsidR="00540D6D">
        <w:rPr>
          <w:color w:val="000000"/>
          <w:lang w:val="ru-RU"/>
        </w:rPr>
        <w:t>,</w:t>
      </w:r>
      <w:r w:rsidRPr="000559B7">
        <w:rPr>
          <w:color w:val="000000"/>
          <w:lang w:val="ru-RU"/>
        </w:rPr>
        <w:t xml:space="preserve"> и </w:t>
      </w:r>
      <w:r w:rsidRPr="008D4D79">
        <w:rPr>
          <w:i/>
          <w:color w:val="000000"/>
          <w:lang w:val="ru-RU"/>
        </w:rPr>
        <w:t>постановляет</w:t>
      </w:r>
      <w:r w:rsidRPr="000559B7">
        <w:rPr>
          <w:color w:val="000000"/>
          <w:lang w:val="ru-RU"/>
        </w:rPr>
        <w:t>, что это будет относиться только к тем</w:t>
      </w:r>
      <w:proofErr w:type="gramEnd"/>
      <w:r w:rsidRPr="000559B7">
        <w:rPr>
          <w:color w:val="000000"/>
          <w:lang w:val="ru-RU"/>
        </w:rPr>
        <w:t xml:space="preserve"> Сторонам, которые не являются наименее развитыми странами или малыми островными развивающимися государствами</w:t>
      </w:r>
      <w:r w:rsidRPr="000559B7">
        <w:rPr>
          <w:iCs/>
          <w:color w:val="000000"/>
          <w:lang w:val="ru-RU"/>
        </w:rPr>
        <w:t>;</w:t>
      </w:r>
    </w:p>
    <w:p w:rsidR="00E4766C" w:rsidRPr="000559B7" w:rsidRDefault="00E4766C" w:rsidP="00E4766C">
      <w:pPr>
        <w:spacing w:before="120" w:after="120"/>
        <w:ind w:firstLine="720"/>
        <w:rPr>
          <w:rFonts w:eastAsia="Malgun Gothic"/>
          <w:iCs/>
          <w:color w:val="000000"/>
          <w:kern w:val="18"/>
          <w:lang w:val="ru-RU"/>
        </w:rPr>
      </w:pPr>
      <w:proofErr w:type="gramStart"/>
      <w:r w:rsidRPr="000559B7">
        <w:rPr>
          <w:iCs/>
          <w:color w:val="000000"/>
          <w:lang w:val="ru-RU"/>
        </w:rPr>
        <w:t>2</w:t>
      </w:r>
      <w:r w:rsidR="007B28AB" w:rsidRPr="000559B7">
        <w:rPr>
          <w:iCs/>
          <w:color w:val="000000"/>
          <w:lang w:val="ru-RU"/>
        </w:rPr>
        <w:t>9</w:t>
      </w:r>
      <w:r w:rsidRPr="000559B7">
        <w:rPr>
          <w:iCs/>
          <w:color w:val="000000"/>
          <w:lang w:val="ru-RU"/>
        </w:rPr>
        <w:t>.</w:t>
      </w:r>
      <w:r w:rsidRPr="000559B7">
        <w:rPr>
          <w:iCs/>
          <w:color w:val="000000"/>
          <w:lang w:val="ru-RU"/>
        </w:rPr>
        <w:tab/>
      </w:r>
      <w:r w:rsidRPr="000559B7">
        <w:rPr>
          <w:i/>
          <w:iCs/>
          <w:color w:val="000000"/>
          <w:lang w:val="ru-RU"/>
        </w:rPr>
        <w:t>уполномочивает</w:t>
      </w:r>
      <w:r w:rsidRPr="000559B7">
        <w:rPr>
          <w:iCs/>
          <w:color w:val="000000"/>
          <w:lang w:val="ru-RU"/>
        </w:rPr>
        <w:t xml:space="preserve"> Исполнительного секретаря заключать договоренности с любой из Сторон, чьи взносы просрочены на два или более чем на два года, с целью взаимного согласования «графика платежей» такой Стороны для погашения всех долгов по взносам в течение шести лет в зависимости от финансовой ситуации Стороны, имеющей задолженность, и выплаты будущих взносов в установленный срок и сообщить о реализации любой такой</w:t>
      </w:r>
      <w:proofErr w:type="gramEnd"/>
      <w:r w:rsidRPr="000559B7">
        <w:rPr>
          <w:iCs/>
          <w:color w:val="000000"/>
          <w:lang w:val="ru-RU"/>
        </w:rPr>
        <w:t xml:space="preserve"> договоренности на следующем совещании бюро и Конференции Сторон;</w:t>
      </w:r>
    </w:p>
    <w:p w:rsidR="00E4766C" w:rsidRPr="000559B7" w:rsidRDefault="007B28AB" w:rsidP="00E4766C">
      <w:pPr>
        <w:spacing w:before="120" w:after="120"/>
        <w:ind w:firstLine="720"/>
        <w:rPr>
          <w:rFonts w:eastAsia="Malgun Gothic"/>
          <w:iCs/>
          <w:color w:val="000000"/>
          <w:kern w:val="18"/>
          <w:lang w:val="ru-RU"/>
        </w:rPr>
      </w:pPr>
      <w:r w:rsidRPr="000559B7">
        <w:rPr>
          <w:iCs/>
          <w:color w:val="000000"/>
          <w:lang w:val="ru-RU"/>
        </w:rPr>
        <w:t>30</w:t>
      </w:r>
      <w:r w:rsidR="00E4766C" w:rsidRPr="000559B7">
        <w:rPr>
          <w:iCs/>
          <w:color w:val="000000"/>
          <w:lang w:val="ru-RU"/>
        </w:rPr>
        <w:t>.</w:t>
      </w:r>
      <w:r w:rsidR="00E4766C" w:rsidRPr="000559B7">
        <w:rPr>
          <w:iCs/>
          <w:color w:val="000000"/>
          <w:lang w:val="ru-RU"/>
        </w:rPr>
        <w:tab/>
      </w:r>
      <w:r w:rsidR="00E4766C" w:rsidRPr="000559B7">
        <w:rPr>
          <w:i/>
          <w:color w:val="000000"/>
          <w:lang w:val="ru-RU"/>
        </w:rPr>
        <w:t>постановляет</w:t>
      </w:r>
      <w:r w:rsidR="00E4766C" w:rsidRPr="000559B7">
        <w:rPr>
          <w:color w:val="000000"/>
          <w:lang w:val="ru-RU"/>
        </w:rPr>
        <w:t>, что положения вышеприведенного пункта 2</w:t>
      </w:r>
      <w:r w:rsidRPr="000559B7">
        <w:rPr>
          <w:color w:val="000000"/>
          <w:lang w:val="ru-RU"/>
        </w:rPr>
        <w:t>9</w:t>
      </w:r>
      <w:r w:rsidR="00E4766C" w:rsidRPr="000559B7">
        <w:rPr>
          <w:color w:val="000000"/>
          <w:lang w:val="ru-RU"/>
        </w:rPr>
        <w:t xml:space="preserve"> не применяются к Стороне, достигнувшей договоренности в соответствии с вышеприведенным пунктом 2</w:t>
      </w:r>
      <w:r w:rsidRPr="000559B7">
        <w:rPr>
          <w:color w:val="000000"/>
          <w:lang w:val="ru-RU"/>
        </w:rPr>
        <w:t>8</w:t>
      </w:r>
      <w:r w:rsidR="00E4766C" w:rsidRPr="000559B7">
        <w:rPr>
          <w:color w:val="000000"/>
          <w:lang w:val="ru-RU"/>
        </w:rPr>
        <w:t xml:space="preserve"> и полностью выполняющей все положения данной договоренности;</w:t>
      </w:r>
    </w:p>
    <w:p w:rsidR="00E4766C" w:rsidRPr="000559B7" w:rsidRDefault="007B28AB" w:rsidP="00E4766C">
      <w:pPr>
        <w:spacing w:before="120" w:after="120"/>
        <w:ind w:firstLine="720"/>
        <w:rPr>
          <w:rFonts w:eastAsia="Malgun Gothic"/>
          <w:color w:val="000000"/>
          <w:kern w:val="18"/>
          <w:lang w:val="ru-RU"/>
        </w:rPr>
      </w:pPr>
      <w:r w:rsidRPr="000559B7">
        <w:rPr>
          <w:color w:val="000000"/>
          <w:lang w:val="ru-RU"/>
        </w:rPr>
        <w:t>31</w:t>
      </w:r>
      <w:r w:rsidR="00E4766C" w:rsidRPr="000559B7">
        <w:rPr>
          <w:color w:val="000000"/>
          <w:lang w:val="ru-RU"/>
        </w:rPr>
        <w:t>.</w:t>
      </w:r>
      <w:r w:rsidR="00E4766C" w:rsidRPr="000559B7">
        <w:rPr>
          <w:color w:val="000000"/>
          <w:lang w:val="ru-RU"/>
        </w:rPr>
        <w:tab/>
      </w:r>
      <w:r w:rsidR="00E4766C" w:rsidRPr="000559B7">
        <w:rPr>
          <w:i/>
          <w:color w:val="000000"/>
          <w:lang w:val="ru-RU"/>
        </w:rPr>
        <w:t>поручает</w:t>
      </w:r>
      <w:r w:rsidR="00E4766C" w:rsidRPr="000559B7">
        <w:rPr>
          <w:color w:val="000000"/>
          <w:lang w:val="ru-RU"/>
        </w:rPr>
        <w:t xml:space="preserve"> Исполнительному секретарю и </w:t>
      </w:r>
      <w:r w:rsidR="00E4766C" w:rsidRPr="000559B7">
        <w:rPr>
          <w:i/>
          <w:color w:val="000000"/>
          <w:lang w:val="ru-RU"/>
        </w:rPr>
        <w:t>предлагает</w:t>
      </w:r>
      <w:r w:rsidR="00E4766C" w:rsidRPr="000559B7">
        <w:rPr>
          <w:color w:val="000000"/>
          <w:lang w:val="ru-RU"/>
        </w:rPr>
        <w:t xml:space="preserve"> Председателю Конференции Сторон путем совместно подписанного письма уведомлять Стороны, которые задолжали выплату взносов, предлагать им прин</w:t>
      </w:r>
      <w:r w:rsidR="00540D6D">
        <w:rPr>
          <w:color w:val="000000"/>
          <w:lang w:val="ru-RU"/>
        </w:rPr>
        <w:t>ять</w:t>
      </w:r>
      <w:r w:rsidR="00E4766C" w:rsidRPr="000559B7">
        <w:rPr>
          <w:color w:val="000000"/>
          <w:lang w:val="ru-RU"/>
        </w:rPr>
        <w:t xml:space="preserve"> своевременные меры и </w:t>
      </w:r>
      <w:r w:rsidR="00540D6D">
        <w:rPr>
          <w:color w:val="000000"/>
          <w:lang w:val="ru-RU"/>
        </w:rPr>
        <w:t>по</w:t>
      </w:r>
      <w:r w:rsidR="00E4766C" w:rsidRPr="000559B7">
        <w:rPr>
          <w:color w:val="000000"/>
          <w:lang w:val="ru-RU"/>
        </w:rPr>
        <w:t>благодарить те Стороны, которые отреагировали положительным образом, погасив свои неуплаченные взносы;</w:t>
      </w:r>
    </w:p>
    <w:p w:rsidR="00E4766C" w:rsidRPr="000559B7" w:rsidRDefault="007B28AB" w:rsidP="00E4766C">
      <w:pPr>
        <w:spacing w:before="120" w:after="120"/>
        <w:ind w:firstLine="720"/>
        <w:rPr>
          <w:rFonts w:eastAsia="Malgun Gothic"/>
          <w:iCs/>
          <w:color w:val="000000"/>
          <w:kern w:val="18"/>
          <w:lang w:val="ru-RU"/>
        </w:rPr>
      </w:pPr>
      <w:proofErr w:type="gramStart"/>
      <w:r w:rsidRPr="000559B7">
        <w:rPr>
          <w:iCs/>
          <w:color w:val="000000"/>
          <w:lang w:val="ru-RU"/>
        </w:rPr>
        <w:t>32</w:t>
      </w:r>
      <w:r w:rsidR="00E4766C" w:rsidRPr="000559B7">
        <w:rPr>
          <w:iCs/>
          <w:color w:val="000000"/>
          <w:lang w:val="ru-RU"/>
        </w:rPr>
        <w:t>.</w:t>
      </w:r>
      <w:r w:rsidR="00E4766C" w:rsidRPr="000559B7">
        <w:rPr>
          <w:iCs/>
          <w:color w:val="000000"/>
          <w:lang w:val="ru-RU"/>
        </w:rPr>
        <w:tab/>
      </w:r>
      <w:r w:rsidR="00E4766C" w:rsidRPr="000559B7">
        <w:rPr>
          <w:i/>
          <w:iCs/>
          <w:color w:val="000000"/>
          <w:lang w:val="ru-RU"/>
        </w:rPr>
        <w:t>отмечает</w:t>
      </w:r>
      <w:r w:rsidR="00E4766C" w:rsidRPr="000559B7">
        <w:rPr>
          <w:iCs/>
          <w:color w:val="000000"/>
          <w:lang w:val="ru-RU"/>
        </w:rPr>
        <w:t>, что необходимо продлить срок функционирования целевых фондов Конвенции и протоколов к ней (BY, BG и BB) на период в два года, начинающийся 1 января 2020</w:t>
      </w:r>
      <w:r w:rsidR="00540D6D">
        <w:rPr>
          <w:iCs/>
          <w:color w:val="000000"/>
          <w:lang w:val="ru-RU"/>
        </w:rPr>
        <w:t> </w:t>
      </w:r>
      <w:r w:rsidR="00E4766C" w:rsidRPr="000559B7">
        <w:rPr>
          <w:iCs/>
          <w:color w:val="000000"/>
          <w:lang w:val="ru-RU"/>
        </w:rPr>
        <w:t xml:space="preserve">года и завершающийся 31 декабря 2021 года, и </w:t>
      </w:r>
      <w:r w:rsidR="00E4766C" w:rsidRPr="000559B7">
        <w:rPr>
          <w:i/>
          <w:iCs/>
          <w:color w:val="000000"/>
          <w:lang w:val="ru-RU"/>
        </w:rPr>
        <w:t>предлагает</w:t>
      </w:r>
      <w:r w:rsidR="00E4766C" w:rsidRPr="000559B7">
        <w:rPr>
          <w:iCs/>
          <w:color w:val="000000"/>
          <w:lang w:val="ru-RU"/>
        </w:rPr>
        <w:t xml:space="preserve"> Директору-исполнителю Программы Организации Объединенных Наций по окружающей среде запросить разрешение Ассамблеи Организации Объединенных Наций по окружающей среде на такое продление срока;</w:t>
      </w:r>
      <w:proofErr w:type="gramEnd"/>
    </w:p>
    <w:p w:rsidR="00E4766C" w:rsidRPr="000559B7" w:rsidRDefault="007B28AB" w:rsidP="00E4766C">
      <w:pPr>
        <w:spacing w:before="120" w:after="120"/>
        <w:ind w:firstLine="720"/>
        <w:rPr>
          <w:rFonts w:eastAsia="Malgun Gothic"/>
          <w:iCs/>
          <w:color w:val="000000"/>
          <w:kern w:val="18"/>
          <w:lang w:val="ru-RU"/>
        </w:rPr>
      </w:pPr>
      <w:r w:rsidRPr="000559B7">
        <w:rPr>
          <w:color w:val="000000"/>
          <w:lang w:val="ru-RU"/>
        </w:rPr>
        <w:t>33</w:t>
      </w:r>
      <w:r w:rsidR="00E4766C" w:rsidRPr="000559B7">
        <w:rPr>
          <w:color w:val="000000"/>
          <w:lang w:val="ru-RU"/>
        </w:rPr>
        <w:t>.</w:t>
      </w:r>
      <w:r w:rsidR="00E4766C" w:rsidRPr="000559B7">
        <w:rPr>
          <w:i/>
          <w:color w:val="000000"/>
          <w:lang w:val="ru-RU"/>
        </w:rPr>
        <w:tab/>
      </w:r>
      <w:r w:rsidR="00E4766C" w:rsidRPr="000559B7">
        <w:rPr>
          <w:i/>
          <w:iCs/>
          <w:color w:val="000000"/>
          <w:lang w:val="ru-RU"/>
        </w:rPr>
        <w:t xml:space="preserve">выражает </w:t>
      </w:r>
      <w:r w:rsidR="00E4766C" w:rsidRPr="00540D6D">
        <w:rPr>
          <w:iCs/>
          <w:color w:val="000000"/>
          <w:lang w:val="ru-RU"/>
        </w:rPr>
        <w:t>свое согласие</w:t>
      </w:r>
      <w:r w:rsidR="00E4766C" w:rsidRPr="00540D6D">
        <w:rPr>
          <w:color w:val="000000"/>
          <w:lang w:val="ru-RU"/>
        </w:rPr>
        <w:t xml:space="preserve"> со </w:t>
      </w:r>
      <w:r w:rsidR="00E4766C" w:rsidRPr="000559B7">
        <w:rPr>
          <w:color w:val="000000"/>
          <w:lang w:val="ru-RU"/>
        </w:rPr>
        <w:t xml:space="preserve">сметным финансированием </w:t>
      </w:r>
      <w:proofErr w:type="gramStart"/>
      <w:r w:rsidR="00E4766C" w:rsidRPr="000559B7">
        <w:rPr>
          <w:color w:val="000000"/>
          <w:lang w:val="ru-RU"/>
        </w:rPr>
        <w:t>для</w:t>
      </w:r>
      <w:proofErr w:type="gramEnd"/>
      <w:r w:rsidR="00E4766C" w:rsidRPr="000559B7">
        <w:rPr>
          <w:color w:val="000000"/>
          <w:lang w:val="ru-RU"/>
        </w:rPr>
        <w:t>:</w:t>
      </w:r>
    </w:p>
    <w:p w:rsidR="00E4766C" w:rsidRPr="000559B7" w:rsidRDefault="00E4766C" w:rsidP="00E4766C">
      <w:pPr>
        <w:numPr>
          <w:ilvl w:val="0"/>
          <w:numId w:val="2"/>
        </w:numPr>
        <w:spacing w:before="120" w:after="120"/>
        <w:ind w:left="0" w:firstLine="720"/>
        <w:rPr>
          <w:rFonts w:eastAsia="Malgun Gothic"/>
          <w:iCs/>
          <w:color w:val="000000"/>
          <w:kern w:val="18"/>
          <w:lang w:val="ru-RU"/>
        </w:rPr>
      </w:pPr>
      <w:r w:rsidRPr="000559B7">
        <w:rPr>
          <w:iCs/>
          <w:color w:val="000000"/>
          <w:lang w:val="ru-RU"/>
        </w:rPr>
        <w:t xml:space="preserve">Целевого фонда для дополнительных добровольных взносов в поддержку утвержденных мероприятий в рамках Конвенции о биологическом </w:t>
      </w:r>
      <w:r w:rsidR="00DC035E" w:rsidRPr="000559B7">
        <w:rPr>
          <w:iCs/>
          <w:color w:val="000000"/>
          <w:lang w:val="ru-RU"/>
        </w:rPr>
        <w:t>разнообразии (</w:t>
      </w:r>
      <w:r w:rsidRPr="000559B7">
        <w:rPr>
          <w:iCs/>
          <w:color w:val="000000"/>
          <w:lang w:val="ru-RU"/>
        </w:rPr>
        <w:t xml:space="preserve">ВЕ) на период 2019-2020 годов, </w:t>
      </w:r>
      <w:r w:rsidR="00540D6D">
        <w:rPr>
          <w:iCs/>
          <w:color w:val="000000"/>
          <w:lang w:val="ru-RU"/>
        </w:rPr>
        <w:t>как указано в</w:t>
      </w:r>
      <w:r w:rsidRPr="000559B7">
        <w:rPr>
          <w:iCs/>
          <w:color w:val="000000"/>
          <w:lang w:val="ru-RU"/>
        </w:rPr>
        <w:t xml:space="preserve"> таблиц</w:t>
      </w:r>
      <w:r w:rsidR="00540D6D">
        <w:rPr>
          <w:iCs/>
          <w:color w:val="000000"/>
          <w:lang w:val="ru-RU"/>
        </w:rPr>
        <w:t>е</w:t>
      </w:r>
      <w:r w:rsidRPr="000559B7">
        <w:rPr>
          <w:iCs/>
          <w:color w:val="000000"/>
          <w:lang w:val="ru-RU"/>
        </w:rPr>
        <w:t> 3</w:t>
      </w:r>
      <w:r w:rsidR="00540D6D">
        <w:rPr>
          <w:iCs/>
          <w:color w:val="000000"/>
          <w:lang w:val="ru-RU"/>
        </w:rPr>
        <w:t xml:space="preserve"> ниже</w:t>
      </w:r>
      <w:r w:rsidRPr="000559B7">
        <w:rPr>
          <w:iCs/>
          <w:color w:val="000000"/>
          <w:lang w:val="ru-RU"/>
        </w:rPr>
        <w:t>;</w:t>
      </w:r>
    </w:p>
    <w:p w:rsidR="00E4766C" w:rsidRPr="000559B7" w:rsidRDefault="00E4766C" w:rsidP="00E4766C">
      <w:pPr>
        <w:numPr>
          <w:ilvl w:val="0"/>
          <w:numId w:val="2"/>
        </w:numPr>
        <w:spacing w:before="120" w:after="120"/>
        <w:ind w:left="0" w:firstLine="720"/>
        <w:rPr>
          <w:rFonts w:eastAsia="Malgun Gothic"/>
          <w:iCs/>
          <w:color w:val="000000"/>
          <w:kern w:val="18"/>
          <w:lang w:val="ru-RU"/>
        </w:rPr>
      </w:pPr>
      <w:r w:rsidRPr="000559B7">
        <w:rPr>
          <w:iCs/>
          <w:color w:val="000000"/>
          <w:lang w:val="ru-RU"/>
        </w:rPr>
        <w:t>Специального добровольного целевого фонда (BZ) для содействия участию Сторон, являющихся развивающимися странами, в частности</w:t>
      </w:r>
      <w:r w:rsidR="00540D6D">
        <w:rPr>
          <w:iCs/>
          <w:color w:val="000000"/>
          <w:lang w:val="ru-RU"/>
        </w:rPr>
        <w:t>,</w:t>
      </w:r>
      <w:r w:rsidRPr="000559B7">
        <w:rPr>
          <w:iCs/>
          <w:color w:val="000000"/>
          <w:lang w:val="ru-RU"/>
        </w:rPr>
        <w:t xml:space="preserve"> наименее развитыми странами и малыми островными развивающимися государствами, а также Сторон с переходной экономикой в процессе осуществления Конвенции о биологическом разнообразии  на период 2019-2020 годов, </w:t>
      </w:r>
      <w:r w:rsidR="00540D6D" w:rsidRPr="00540D6D">
        <w:rPr>
          <w:iCs/>
          <w:color w:val="000000"/>
          <w:lang w:val="ru-RU"/>
        </w:rPr>
        <w:t>как указано в таблице </w:t>
      </w:r>
      <w:r w:rsidR="00540D6D">
        <w:rPr>
          <w:iCs/>
          <w:color w:val="000000"/>
          <w:lang w:val="ru-RU"/>
        </w:rPr>
        <w:t>4</w:t>
      </w:r>
      <w:r w:rsidR="00540D6D" w:rsidRPr="00540D6D">
        <w:rPr>
          <w:iCs/>
          <w:color w:val="000000"/>
          <w:lang w:val="ru-RU"/>
        </w:rPr>
        <w:t xml:space="preserve"> ниже</w:t>
      </w:r>
      <w:r w:rsidRPr="000559B7">
        <w:rPr>
          <w:iCs/>
          <w:color w:val="000000"/>
          <w:lang w:val="ru-RU"/>
        </w:rPr>
        <w:t>;</w:t>
      </w:r>
    </w:p>
    <w:p w:rsidR="00E4766C" w:rsidRPr="000559B7" w:rsidRDefault="00E4766C" w:rsidP="00E4766C">
      <w:pPr>
        <w:numPr>
          <w:ilvl w:val="0"/>
          <w:numId w:val="2"/>
        </w:numPr>
        <w:spacing w:before="120" w:after="120"/>
        <w:ind w:left="0" w:firstLine="720"/>
        <w:rPr>
          <w:rFonts w:eastAsia="Malgun Gothic"/>
          <w:iCs/>
          <w:color w:val="000000"/>
          <w:kern w:val="18"/>
          <w:lang w:val="ru-RU"/>
        </w:rPr>
      </w:pPr>
      <w:r w:rsidRPr="000559B7">
        <w:rPr>
          <w:iCs/>
          <w:color w:val="000000"/>
          <w:lang w:val="ru-RU"/>
        </w:rPr>
        <w:t xml:space="preserve">Общего добровольного целевого фонда </w:t>
      </w:r>
      <w:r w:rsidR="00956219" w:rsidRPr="000559B7">
        <w:rPr>
          <w:iCs/>
          <w:color w:val="000000"/>
          <w:lang w:val="ru-RU"/>
        </w:rPr>
        <w:t>(</w:t>
      </w:r>
      <w:r w:rsidR="00956219" w:rsidRPr="000559B7">
        <w:rPr>
          <w:rFonts w:eastAsia="Malgun Gothic"/>
          <w:iCs/>
          <w:color w:val="000000"/>
          <w:kern w:val="18"/>
          <w:szCs w:val="22"/>
          <w:lang w:val="ru-RU"/>
        </w:rPr>
        <w:t>VB)</w:t>
      </w:r>
      <w:r w:rsidR="00956219">
        <w:rPr>
          <w:rFonts w:eastAsia="Malgun Gothic"/>
          <w:iCs/>
          <w:color w:val="000000"/>
          <w:kern w:val="18"/>
          <w:szCs w:val="22"/>
          <w:lang w:val="ru-RU"/>
        </w:rPr>
        <w:t xml:space="preserve"> </w:t>
      </w:r>
      <w:r w:rsidRPr="000559B7">
        <w:rPr>
          <w:iCs/>
          <w:color w:val="000000"/>
          <w:lang w:val="ru-RU"/>
        </w:rPr>
        <w:t xml:space="preserve">для взносов в целях содействия участию коренных народов и местных общин в процессе осуществления Конвенции о биологическом разнообразии  на период 2019-2020 годов, </w:t>
      </w:r>
      <w:r w:rsidR="00540D6D" w:rsidRPr="00540D6D">
        <w:rPr>
          <w:iCs/>
          <w:color w:val="000000"/>
          <w:lang w:val="ru-RU"/>
        </w:rPr>
        <w:t>как указано в таблице </w:t>
      </w:r>
      <w:r w:rsidR="00540D6D">
        <w:rPr>
          <w:iCs/>
          <w:color w:val="000000"/>
          <w:lang w:val="ru-RU"/>
        </w:rPr>
        <w:t>5</w:t>
      </w:r>
      <w:r w:rsidR="00540D6D" w:rsidRPr="00540D6D">
        <w:rPr>
          <w:iCs/>
          <w:color w:val="000000"/>
          <w:lang w:val="ru-RU"/>
        </w:rPr>
        <w:t xml:space="preserve"> ниже</w:t>
      </w:r>
      <w:r w:rsidRPr="000559B7">
        <w:rPr>
          <w:iCs/>
          <w:color w:val="000000"/>
          <w:lang w:val="ru-RU"/>
        </w:rPr>
        <w:t>;</w:t>
      </w:r>
    </w:p>
    <w:p w:rsidR="00E4766C" w:rsidRPr="000559B7" w:rsidRDefault="007B28AB" w:rsidP="00E4766C">
      <w:pPr>
        <w:spacing w:before="120" w:after="120"/>
        <w:ind w:firstLine="720"/>
        <w:rPr>
          <w:color w:val="000000"/>
          <w:lang w:val="ru-RU"/>
        </w:rPr>
      </w:pPr>
      <w:proofErr w:type="gramStart"/>
      <w:r w:rsidRPr="000559B7">
        <w:rPr>
          <w:color w:val="000000"/>
          <w:lang w:val="ru-RU"/>
        </w:rPr>
        <w:t>34</w:t>
      </w:r>
      <w:r w:rsidR="00E4766C" w:rsidRPr="000559B7">
        <w:rPr>
          <w:color w:val="000000"/>
          <w:lang w:val="ru-RU"/>
        </w:rPr>
        <w:t>.</w:t>
      </w:r>
      <w:r w:rsidR="00E4766C" w:rsidRPr="000559B7">
        <w:rPr>
          <w:color w:val="000000"/>
          <w:lang w:val="ru-RU"/>
        </w:rPr>
        <w:tab/>
      </w:r>
      <w:r w:rsidR="00E4766C" w:rsidRPr="000559B7">
        <w:rPr>
          <w:i/>
          <w:color w:val="000000"/>
          <w:lang w:val="ru-RU"/>
        </w:rPr>
        <w:t>предлагает</w:t>
      </w:r>
      <w:r w:rsidR="00E4766C" w:rsidRPr="000559B7">
        <w:rPr>
          <w:color w:val="000000"/>
          <w:lang w:val="ru-RU"/>
        </w:rPr>
        <w:t xml:space="preserve"> Директору-исполнителю Программы Организации Объединенных Наций по окружающей среде </w:t>
      </w:r>
      <w:r w:rsidR="00540D6D">
        <w:rPr>
          <w:color w:val="000000"/>
          <w:lang w:val="ru-RU"/>
        </w:rPr>
        <w:t>продлит</w:t>
      </w:r>
      <w:r w:rsidR="00E4766C" w:rsidRPr="000559B7">
        <w:rPr>
          <w:color w:val="000000"/>
          <w:lang w:val="ru-RU"/>
        </w:rPr>
        <w:t xml:space="preserve">ь соглашение об отмене взимания расходов на поддержку программ с добровольных взносов для покрытия </w:t>
      </w:r>
      <w:r w:rsidR="00540D6D">
        <w:rPr>
          <w:color w:val="000000"/>
          <w:lang w:val="ru-RU"/>
        </w:rPr>
        <w:t>расходов на</w:t>
      </w:r>
      <w:r w:rsidR="00E4766C" w:rsidRPr="000559B7">
        <w:rPr>
          <w:color w:val="000000"/>
          <w:lang w:val="ru-RU"/>
        </w:rPr>
        <w:t xml:space="preserve"> участи</w:t>
      </w:r>
      <w:r w:rsidR="00540D6D">
        <w:rPr>
          <w:color w:val="000000"/>
          <w:lang w:val="ru-RU"/>
        </w:rPr>
        <w:t>е</w:t>
      </w:r>
      <w:r w:rsidR="00E4766C" w:rsidRPr="000559B7">
        <w:rPr>
          <w:color w:val="000000"/>
          <w:lang w:val="ru-RU"/>
        </w:rPr>
        <w:t xml:space="preserve"> представителей из целевых фондов BZ и VB, поскольку секретариат Конвенции о биологическом разнообразии соответствует критериям, изложенным в резолюции 2/18, в которых предусмотрено, что организацией участия занимается административный персонал, финансируемый за счет расходов</w:t>
      </w:r>
      <w:proofErr w:type="gramEnd"/>
      <w:r w:rsidR="00E4766C" w:rsidRPr="000559B7">
        <w:rPr>
          <w:color w:val="000000"/>
          <w:lang w:val="ru-RU"/>
        </w:rPr>
        <w:t xml:space="preserve"> на поддержку программ оперативно</w:t>
      </w:r>
      <w:r w:rsidR="00956219">
        <w:rPr>
          <w:color w:val="000000"/>
          <w:lang w:val="ru-RU"/>
        </w:rPr>
        <w:t>го</w:t>
      </w:r>
      <w:r w:rsidR="00E4766C" w:rsidRPr="000559B7">
        <w:rPr>
          <w:color w:val="000000"/>
          <w:lang w:val="ru-RU"/>
        </w:rPr>
        <w:t xml:space="preserve"> бюджет</w:t>
      </w:r>
      <w:r w:rsidR="00956219">
        <w:rPr>
          <w:color w:val="000000"/>
          <w:lang w:val="ru-RU"/>
        </w:rPr>
        <w:t>а</w:t>
      </w:r>
      <w:r w:rsidR="00E4766C" w:rsidRPr="000559B7">
        <w:rPr>
          <w:color w:val="000000"/>
          <w:lang w:val="ru-RU"/>
        </w:rPr>
        <w:t>;</w:t>
      </w:r>
    </w:p>
    <w:p w:rsidR="00E4766C" w:rsidRPr="000559B7" w:rsidRDefault="007B28AB" w:rsidP="00E4766C">
      <w:pPr>
        <w:spacing w:before="120" w:after="120"/>
        <w:ind w:firstLine="720"/>
        <w:rPr>
          <w:rFonts w:eastAsia="Malgun Gothic"/>
          <w:iCs/>
          <w:color w:val="000000"/>
          <w:kern w:val="18"/>
          <w:lang w:val="ru-RU"/>
        </w:rPr>
      </w:pPr>
      <w:r w:rsidRPr="000559B7">
        <w:rPr>
          <w:color w:val="000000"/>
          <w:lang w:val="ru-RU"/>
        </w:rPr>
        <w:t>35</w:t>
      </w:r>
      <w:r w:rsidR="00E4766C" w:rsidRPr="000559B7">
        <w:rPr>
          <w:color w:val="000000"/>
          <w:lang w:val="ru-RU"/>
        </w:rPr>
        <w:t>.</w:t>
      </w:r>
      <w:r w:rsidR="00E4766C" w:rsidRPr="000559B7">
        <w:rPr>
          <w:color w:val="000000"/>
          <w:lang w:val="ru-RU"/>
        </w:rPr>
        <w:tab/>
      </w:r>
      <w:r w:rsidR="00E4766C" w:rsidRPr="000559B7">
        <w:rPr>
          <w:i/>
          <w:color w:val="000000"/>
          <w:lang w:val="ru-RU"/>
        </w:rPr>
        <w:t>ссылается</w:t>
      </w:r>
      <w:r w:rsidR="00E4766C" w:rsidRPr="000559B7">
        <w:rPr>
          <w:color w:val="000000"/>
          <w:lang w:val="ru-RU"/>
        </w:rPr>
        <w:t xml:space="preserve"> на правило 30 Правил процедуры Конвенции и </w:t>
      </w:r>
      <w:r w:rsidR="00E4766C" w:rsidRPr="000559B7">
        <w:rPr>
          <w:i/>
          <w:color w:val="000000"/>
          <w:lang w:val="ru-RU"/>
        </w:rPr>
        <w:t xml:space="preserve">подчеркивает </w:t>
      </w:r>
      <w:r w:rsidR="00E4766C" w:rsidRPr="000559B7">
        <w:rPr>
          <w:color w:val="000000"/>
          <w:lang w:val="ru-RU"/>
        </w:rPr>
        <w:t xml:space="preserve">необходимость широкого участия Сторон в работе совещаний </w:t>
      </w:r>
      <w:r w:rsidR="00956219">
        <w:rPr>
          <w:color w:val="000000"/>
          <w:lang w:val="ru-RU"/>
        </w:rPr>
        <w:t>Сторон</w:t>
      </w:r>
      <w:r w:rsidR="00E4766C" w:rsidRPr="000559B7">
        <w:rPr>
          <w:color w:val="000000"/>
          <w:lang w:val="ru-RU"/>
        </w:rPr>
        <w:t xml:space="preserve"> Конвенции и протоколов к ней;</w:t>
      </w:r>
    </w:p>
    <w:p w:rsidR="00E4766C" w:rsidRPr="000559B7" w:rsidRDefault="007B28AB" w:rsidP="00E4766C">
      <w:pPr>
        <w:spacing w:before="120" w:after="120"/>
        <w:ind w:firstLine="720"/>
        <w:rPr>
          <w:rFonts w:eastAsia="Malgun Gothic"/>
          <w:iCs/>
          <w:color w:val="000000"/>
          <w:kern w:val="18"/>
          <w:lang w:val="ru-RU"/>
        </w:rPr>
      </w:pPr>
      <w:proofErr w:type="gramStart"/>
      <w:r w:rsidRPr="000559B7">
        <w:rPr>
          <w:iCs/>
          <w:color w:val="000000"/>
          <w:lang w:val="ru-RU"/>
        </w:rPr>
        <w:t>36</w:t>
      </w:r>
      <w:r w:rsidR="00E4766C" w:rsidRPr="000559B7">
        <w:rPr>
          <w:iCs/>
          <w:color w:val="000000"/>
          <w:lang w:val="ru-RU"/>
        </w:rPr>
        <w:t>.</w:t>
      </w:r>
      <w:r w:rsidR="00E4766C" w:rsidRPr="000559B7">
        <w:rPr>
          <w:iCs/>
          <w:color w:val="000000"/>
          <w:lang w:val="ru-RU"/>
        </w:rPr>
        <w:tab/>
      </w:r>
      <w:r w:rsidR="00E4766C" w:rsidRPr="000559B7">
        <w:rPr>
          <w:i/>
          <w:iCs/>
          <w:color w:val="000000"/>
          <w:lang w:val="ru-RU"/>
        </w:rPr>
        <w:t>вновь подтверждает</w:t>
      </w:r>
      <w:r w:rsidR="00E4766C" w:rsidRPr="000559B7">
        <w:rPr>
          <w:iCs/>
          <w:color w:val="000000"/>
          <w:lang w:val="ru-RU"/>
        </w:rPr>
        <w:t xml:space="preserve"> важность всемерного и </w:t>
      </w:r>
      <w:r w:rsidRPr="000559B7">
        <w:rPr>
          <w:iCs/>
          <w:color w:val="000000"/>
          <w:lang w:val="ru-RU"/>
        </w:rPr>
        <w:t>эффективного</w:t>
      </w:r>
      <w:r w:rsidR="00E4766C" w:rsidRPr="000559B7">
        <w:rPr>
          <w:iCs/>
          <w:color w:val="000000"/>
          <w:lang w:val="ru-RU"/>
        </w:rPr>
        <w:t xml:space="preserve"> участия Сторон, являющихся развивающимися странами, и в частности наименее развитыми странами и малыми островными развивающимися государствами, а также Сторон с переходной экономикой в работе совещаний </w:t>
      </w:r>
      <w:r w:rsidR="00956219">
        <w:rPr>
          <w:iCs/>
          <w:color w:val="000000"/>
          <w:lang w:val="ru-RU"/>
        </w:rPr>
        <w:t>Сторон</w:t>
      </w:r>
      <w:r w:rsidR="00E4766C" w:rsidRPr="000559B7">
        <w:rPr>
          <w:iCs/>
          <w:color w:val="000000"/>
          <w:lang w:val="ru-RU"/>
        </w:rPr>
        <w:t xml:space="preserve"> Конвенции и протоколов к ней и в этом контексте </w:t>
      </w:r>
      <w:r w:rsidR="00E4766C" w:rsidRPr="000559B7">
        <w:rPr>
          <w:i/>
          <w:iCs/>
          <w:color w:val="000000"/>
          <w:lang w:val="ru-RU"/>
        </w:rPr>
        <w:t>поручает</w:t>
      </w:r>
      <w:r w:rsidR="00E4766C" w:rsidRPr="000559B7">
        <w:rPr>
          <w:iCs/>
          <w:color w:val="000000"/>
          <w:lang w:val="ru-RU"/>
        </w:rPr>
        <w:t xml:space="preserve"> Исполнительному </w:t>
      </w:r>
      <w:r w:rsidR="00E4766C" w:rsidRPr="000559B7">
        <w:rPr>
          <w:iCs/>
          <w:color w:val="000000"/>
          <w:lang w:val="ru-RU"/>
        </w:rPr>
        <w:lastRenderedPageBreak/>
        <w:t xml:space="preserve">секретарю принимать во внимание соответствующие решения Конференции Сторон и совещаний Сторон </w:t>
      </w:r>
      <w:r w:rsidR="00A54B0E">
        <w:rPr>
          <w:iCs/>
          <w:color w:val="000000"/>
          <w:lang w:val="ru-RU"/>
        </w:rPr>
        <w:t>п</w:t>
      </w:r>
      <w:r w:rsidR="00E4766C" w:rsidRPr="000559B7">
        <w:rPr>
          <w:iCs/>
          <w:color w:val="000000"/>
          <w:lang w:val="ru-RU"/>
        </w:rPr>
        <w:t>ротоколов к ней об одновременных</w:t>
      </w:r>
      <w:proofErr w:type="gramEnd"/>
      <w:r w:rsidR="00E4766C" w:rsidRPr="000559B7">
        <w:rPr>
          <w:iCs/>
          <w:color w:val="000000"/>
          <w:lang w:val="ru-RU"/>
        </w:rPr>
        <w:t xml:space="preserve"> </w:t>
      </w:r>
      <w:proofErr w:type="gramStart"/>
      <w:r w:rsidR="00E4766C" w:rsidRPr="000559B7">
        <w:rPr>
          <w:iCs/>
          <w:color w:val="000000"/>
          <w:lang w:val="ru-RU"/>
        </w:rPr>
        <w:t>совещаниях</w:t>
      </w:r>
      <w:proofErr w:type="gramEnd"/>
      <w:r w:rsidR="00E4766C" w:rsidRPr="000559B7">
        <w:rPr>
          <w:iCs/>
          <w:color w:val="000000"/>
          <w:lang w:val="ru-RU"/>
        </w:rPr>
        <w:t xml:space="preserve"> и повышении эффек</w:t>
      </w:r>
      <w:r w:rsidR="00540D6D">
        <w:rPr>
          <w:iCs/>
          <w:color w:val="000000"/>
          <w:lang w:val="ru-RU"/>
        </w:rPr>
        <w:t xml:space="preserve">тивности структур и процессов </w:t>
      </w:r>
      <w:r w:rsidR="00E4766C" w:rsidRPr="000559B7">
        <w:rPr>
          <w:iCs/>
          <w:color w:val="000000"/>
          <w:lang w:val="ru-RU"/>
        </w:rPr>
        <w:t>Конвенции и протоколов к ней;</w:t>
      </w:r>
    </w:p>
    <w:p w:rsidR="00E4766C" w:rsidRPr="000559B7" w:rsidRDefault="007B28AB" w:rsidP="00E4766C">
      <w:pPr>
        <w:spacing w:before="120" w:after="120"/>
        <w:ind w:firstLine="720"/>
        <w:rPr>
          <w:rFonts w:eastAsia="Malgun Gothic"/>
          <w:iCs/>
          <w:color w:val="000000"/>
          <w:kern w:val="18"/>
          <w:lang w:val="ru-RU"/>
        </w:rPr>
      </w:pPr>
      <w:proofErr w:type="gramStart"/>
      <w:r w:rsidRPr="000559B7">
        <w:rPr>
          <w:iCs/>
          <w:color w:val="000000"/>
          <w:lang w:val="ru-RU"/>
        </w:rPr>
        <w:t>37</w:t>
      </w:r>
      <w:r w:rsidR="00E4766C" w:rsidRPr="000559B7">
        <w:rPr>
          <w:iCs/>
          <w:color w:val="000000"/>
          <w:lang w:val="ru-RU"/>
        </w:rPr>
        <w:t>.</w:t>
      </w:r>
      <w:r w:rsidR="00E4766C" w:rsidRPr="000559B7">
        <w:rPr>
          <w:iCs/>
          <w:color w:val="000000"/>
          <w:lang w:val="ru-RU"/>
        </w:rPr>
        <w:tab/>
      </w:r>
      <w:r w:rsidR="00FD0076" w:rsidRPr="000559B7">
        <w:rPr>
          <w:i/>
          <w:iCs/>
          <w:color w:val="000000"/>
          <w:lang w:val="ru-RU"/>
        </w:rPr>
        <w:t xml:space="preserve">поручает </w:t>
      </w:r>
      <w:r w:rsidR="00FD0076" w:rsidRPr="000559B7">
        <w:rPr>
          <w:iCs/>
          <w:color w:val="000000"/>
          <w:lang w:val="ru-RU"/>
        </w:rPr>
        <w:t>Исполнительному секретарю в консультации с бюро и под его руководством и с учетом рекомендации</w:t>
      </w:r>
      <w:r w:rsidR="00A54B0E">
        <w:rPr>
          <w:iCs/>
          <w:color w:val="000000"/>
          <w:lang w:val="ru-RU"/>
        </w:rPr>
        <w:t xml:space="preserve"> 2/20</w:t>
      </w:r>
      <w:r w:rsidR="00FD0076" w:rsidRPr="000559B7">
        <w:rPr>
          <w:iCs/>
          <w:color w:val="000000"/>
          <w:lang w:val="ru-RU"/>
        </w:rPr>
        <w:t xml:space="preserve">, принятой </w:t>
      </w:r>
      <w:r w:rsidR="00A54B0E" w:rsidRPr="00A54B0E">
        <w:rPr>
          <w:color w:val="000000"/>
          <w:szCs w:val="22"/>
          <w:lang w:val="ru-RU"/>
        </w:rPr>
        <w:t>Вспомогательны</w:t>
      </w:r>
      <w:r w:rsidR="00A54B0E">
        <w:rPr>
          <w:color w:val="000000"/>
          <w:szCs w:val="22"/>
          <w:lang w:val="ru-RU"/>
        </w:rPr>
        <w:t>м</w:t>
      </w:r>
      <w:r w:rsidR="00A54B0E" w:rsidRPr="00A54B0E">
        <w:rPr>
          <w:color w:val="000000"/>
          <w:szCs w:val="22"/>
          <w:lang w:val="ru-RU"/>
        </w:rPr>
        <w:t xml:space="preserve"> орган</w:t>
      </w:r>
      <w:r w:rsidR="00A54B0E">
        <w:rPr>
          <w:color w:val="000000"/>
          <w:szCs w:val="22"/>
          <w:lang w:val="ru-RU"/>
        </w:rPr>
        <w:t>ом</w:t>
      </w:r>
      <w:r w:rsidR="00A54B0E" w:rsidRPr="00A54B0E">
        <w:rPr>
          <w:color w:val="000000"/>
          <w:szCs w:val="22"/>
          <w:lang w:val="ru-RU"/>
        </w:rPr>
        <w:t xml:space="preserve"> по осуществлению</w:t>
      </w:r>
      <w:r w:rsidR="00A54B0E" w:rsidRPr="005C41BC">
        <w:rPr>
          <w:rStyle w:val="Appelnotedebasdep"/>
          <w:color w:val="000000" w:themeColor="text1"/>
          <w:kern w:val="20"/>
          <w:szCs w:val="22"/>
          <w:lang w:val="en-GB"/>
        </w:rPr>
        <w:footnoteReference w:id="4"/>
      </w:r>
      <w:r w:rsidR="00FD0076" w:rsidRPr="000559B7">
        <w:rPr>
          <w:color w:val="000000"/>
          <w:szCs w:val="22"/>
          <w:lang w:val="ru-RU"/>
        </w:rPr>
        <w:t xml:space="preserve">, </w:t>
      </w:r>
      <w:r w:rsidR="004C10CF" w:rsidRPr="000559B7">
        <w:rPr>
          <w:color w:val="000000"/>
          <w:szCs w:val="22"/>
          <w:lang w:val="ru-RU"/>
        </w:rPr>
        <w:t>представить предложение</w:t>
      </w:r>
      <w:r w:rsidR="00FD0076" w:rsidRPr="000559B7">
        <w:rPr>
          <w:color w:val="000000"/>
          <w:szCs w:val="22"/>
          <w:lang w:val="ru-RU"/>
        </w:rPr>
        <w:t xml:space="preserve"> </w:t>
      </w:r>
      <w:r w:rsidR="004C10CF" w:rsidRPr="000559B7">
        <w:rPr>
          <w:color w:val="000000"/>
          <w:szCs w:val="22"/>
          <w:lang w:val="ru-RU"/>
        </w:rPr>
        <w:t xml:space="preserve">для принятия на 15-м совещании Конференции Сторон о пересмотре структуры и правил </w:t>
      </w:r>
      <w:r w:rsidR="003D494D" w:rsidRPr="000559B7">
        <w:rPr>
          <w:color w:val="000000"/>
          <w:szCs w:val="22"/>
          <w:lang w:val="ru-RU"/>
        </w:rPr>
        <w:t>Ц</w:t>
      </w:r>
      <w:r w:rsidR="004C10CF" w:rsidRPr="000559B7">
        <w:rPr>
          <w:color w:val="000000"/>
          <w:szCs w:val="22"/>
          <w:lang w:val="ru-RU"/>
        </w:rPr>
        <w:t xml:space="preserve">елевого фонда </w:t>
      </w:r>
      <w:r w:rsidR="00FD0076" w:rsidRPr="000559B7">
        <w:rPr>
          <w:color w:val="000000"/>
          <w:szCs w:val="22"/>
          <w:lang w:val="ru-RU"/>
        </w:rPr>
        <w:t>BZ</w:t>
      </w:r>
      <w:r w:rsidR="004C10CF" w:rsidRPr="000559B7">
        <w:rPr>
          <w:color w:val="000000"/>
          <w:szCs w:val="22"/>
          <w:lang w:val="ru-RU"/>
        </w:rPr>
        <w:t>, утвержденного на девятом совещании Конференции Сторон</w:t>
      </w:r>
      <w:r w:rsidR="007A6C3D" w:rsidRPr="005C41BC">
        <w:rPr>
          <w:rStyle w:val="Appelnotedebasdep"/>
          <w:color w:val="000000" w:themeColor="text1"/>
          <w:kern w:val="20"/>
          <w:szCs w:val="22"/>
          <w:lang w:val="en-GB"/>
        </w:rPr>
        <w:footnoteReference w:id="5"/>
      </w:r>
      <w:r w:rsidR="004C10CF" w:rsidRPr="000559B7">
        <w:rPr>
          <w:color w:val="000000"/>
          <w:szCs w:val="22"/>
          <w:lang w:val="ru-RU"/>
        </w:rPr>
        <w:t xml:space="preserve">, с целью решения </w:t>
      </w:r>
      <w:r w:rsidR="00540D6D">
        <w:rPr>
          <w:color w:val="000000"/>
          <w:szCs w:val="22"/>
          <w:lang w:val="ru-RU"/>
        </w:rPr>
        <w:t>многолетней</w:t>
      </w:r>
      <w:r w:rsidR="00540D6D" w:rsidRPr="000559B7">
        <w:rPr>
          <w:color w:val="000000"/>
          <w:szCs w:val="22"/>
          <w:lang w:val="ru-RU"/>
        </w:rPr>
        <w:t xml:space="preserve"> </w:t>
      </w:r>
      <w:r w:rsidR="004C10CF" w:rsidRPr="000559B7">
        <w:rPr>
          <w:color w:val="000000"/>
          <w:szCs w:val="22"/>
          <w:lang w:val="ru-RU"/>
        </w:rPr>
        <w:t xml:space="preserve">проблемы </w:t>
      </w:r>
      <w:r w:rsidR="00540D6D">
        <w:rPr>
          <w:color w:val="000000"/>
          <w:szCs w:val="22"/>
          <w:lang w:val="ru-RU"/>
        </w:rPr>
        <w:t>отсутствия</w:t>
      </w:r>
      <w:r w:rsidR="004C10CF" w:rsidRPr="000559B7">
        <w:rPr>
          <w:color w:val="000000"/>
          <w:szCs w:val="22"/>
          <w:lang w:val="ru-RU"/>
        </w:rPr>
        <w:t xml:space="preserve"> предсказуемого и устойчивого финансирования и обеспечения того, чтобы</w:t>
      </w:r>
      <w:proofErr w:type="gramEnd"/>
      <w:r w:rsidR="004C10CF" w:rsidRPr="000559B7">
        <w:rPr>
          <w:color w:val="000000"/>
          <w:szCs w:val="22"/>
          <w:lang w:val="ru-RU"/>
        </w:rPr>
        <w:t xml:space="preserve"> фонд</w:t>
      </w:r>
      <w:r w:rsidR="00FD0076" w:rsidRPr="000559B7">
        <w:rPr>
          <w:color w:val="000000"/>
          <w:szCs w:val="22"/>
          <w:lang w:val="ru-RU"/>
        </w:rPr>
        <w:t xml:space="preserve"> BZ </w:t>
      </w:r>
      <w:proofErr w:type="gramStart"/>
      <w:r w:rsidR="004C10CF" w:rsidRPr="000559B7">
        <w:rPr>
          <w:color w:val="000000"/>
          <w:szCs w:val="22"/>
          <w:lang w:val="ru-RU"/>
        </w:rPr>
        <w:t>был</w:t>
      </w:r>
      <w:proofErr w:type="gramEnd"/>
      <w:r w:rsidR="004C10CF" w:rsidRPr="000559B7">
        <w:rPr>
          <w:color w:val="000000"/>
          <w:szCs w:val="22"/>
          <w:lang w:val="ru-RU"/>
        </w:rPr>
        <w:t xml:space="preserve"> </w:t>
      </w:r>
      <w:r w:rsidR="00540D6D">
        <w:rPr>
          <w:color w:val="000000"/>
          <w:szCs w:val="22"/>
          <w:lang w:val="ru-RU"/>
        </w:rPr>
        <w:t>уделял приоритетное внимание</w:t>
      </w:r>
      <w:r w:rsidR="004C10CF" w:rsidRPr="000559B7">
        <w:rPr>
          <w:color w:val="000000"/>
          <w:szCs w:val="22"/>
          <w:lang w:val="ru-RU"/>
        </w:rPr>
        <w:t xml:space="preserve"> предоставлени</w:t>
      </w:r>
      <w:r w:rsidR="00540D6D">
        <w:rPr>
          <w:color w:val="000000"/>
          <w:szCs w:val="22"/>
          <w:lang w:val="ru-RU"/>
        </w:rPr>
        <w:t>ю</w:t>
      </w:r>
      <w:r w:rsidR="004C10CF" w:rsidRPr="000559B7">
        <w:rPr>
          <w:color w:val="000000"/>
          <w:szCs w:val="22"/>
          <w:lang w:val="ru-RU"/>
        </w:rPr>
        <w:t xml:space="preserve"> финансирования странам, </w:t>
      </w:r>
      <w:r w:rsidR="000D4173" w:rsidRPr="000559B7">
        <w:rPr>
          <w:color w:val="000000"/>
          <w:szCs w:val="22"/>
          <w:lang w:val="ru-RU"/>
        </w:rPr>
        <w:t>в</w:t>
      </w:r>
      <w:r w:rsidR="004C10CF" w:rsidRPr="000559B7">
        <w:rPr>
          <w:color w:val="000000"/>
          <w:szCs w:val="22"/>
          <w:lang w:val="ru-RU"/>
        </w:rPr>
        <w:t xml:space="preserve"> наибольшей степени нуждающимся в помощи</w:t>
      </w:r>
      <w:r w:rsidR="00FD0076" w:rsidRPr="000559B7">
        <w:rPr>
          <w:color w:val="000000"/>
          <w:szCs w:val="22"/>
          <w:lang w:val="ru-RU"/>
        </w:rPr>
        <w:t xml:space="preserve"> </w:t>
      </w:r>
      <w:r w:rsidR="004C10CF" w:rsidRPr="000559B7">
        <w:rPr>
          <w:color w:val="000000"/>
          <w:szCs w:val="22"/>
          <w:lang w:val="ru-RU"/>
        </w:rPr>
        <w:t>для участия, в частности наименее развитым странам и малым островным развивающимся государствам</w:t>
      </w:r>
      <w:r w:rsidR="00FD0076" w:rsidRPr="000559B7">
        <w:rPr>
          <w:color w:val="000000"/>
          <w:szCs w:val="22"/>
          <w:lang w:val="ru-RU"/>
        </w:rPr>
        <w:t xml:space="preserve">, </w:t>
      </w:r>
      <w:r w:rsidR="004C10CF" w:rsidRPr="000559B7">
        <w:rPr>
          <w:color w:val="000000"/>
          <w:szCs w:val="22"/>
          <w:lang w:val="ru-RU"/>
        </w:rPr>
        <w:t>и</w:t>
      </w:r>
      <w:r w:rsidR="00FD0076" w:rsidRPr="000559B7">
        <w:rPr>
          <w:color w:val="000000"/>
          <w:szCs w:val="22"/>
          <w:lang w:val="ru-RU"/>
        </w:rPr>
        <w:t> </w:t>
      </w:r>
      <w:r w:rsidR="004C10CF" w:rsidRPr="000559B7">
        <w:rPr>
          <w:i/>
          <w:iCs/>
          <w:color w:val="000000"/>
          <w:szCs w:val="22"/>
          <w:lang w:val="ru-RU"/>
        </w:rPr>
        <w:t>далее поручает</w:t>
      </w:r>
      <w:r w:rsidR="00FD0076" w:rsidRPr="000559B7">
        <w:rPr>
          <w:color w:val="000000"/>
          <w:szCs w:val="22"/>
          <w:lang w:val="ru-RU"/>
        </w:rPr>
        <w:t> </w:t>
      </w:r>
      <w:r w:rsidR="004C10CF" w:rsidRPr="000559B7">
        <w:rPr>
          <w:iCs/>
          <w:color w:val="000000"/>
          <w:lang w:val="ru-RU"/>
        </w:rPr>
        <w:t xml:space="preserve">Исполнительному секретарю </w:t>
      </w:r>
      <w:r w:rsidR="004C10CF" w:rsidRPr="000559B7">
        <w:rPr>
          <w:color w:val="000000"/>
          <w:szCs w:val="22"/>
          <w:lang w:val="ru-RU"/>
        </w:rPr>
        <w:t xml:space="preserve">отчитываться о результатах работы по разработке мер для повышения </w:t>
      </w:r>
      <w:r w:rsidR="00956219">
        <w:rPr>
          <w:color w:val="000000"/>
          <w:szCs w:val="22"/>
          <w:lang w:val="ru-RU"/>
        </w:rPr>
        <w:t>наглядности деятельности</w:t>
      </w:r>
      <w:r w:rsidR="004C10CF" w:rsidRPr="000559B7">
        <w:rPr>
          <w:color w:val="000000"/>
          <w:szCs w:val="22"/>
          <w:lang w:val="ru-RU"/>
        </w:rPr>
        <w:t xml:space="preserve"> фонда и его привлекательности для доноров, опираясь на опыт аналогичных целевых фондов </w:t>
      </w:r>
      <w:r w:rsidR="00AD46FF" w:rsidRPr="000559B7">
        <w:rPr>
          <w:color w:val="000000"/>
          <w:szCs w:val="22"/>
          <w:lang w:val="ru-RU"/>
        </w:rPr>
        <w:t>других международных форумов</w:t>
      </w:r>
      <w:r w:rsidR="00E4766C" w:rsidRPr="000559B7">
        <w:rPr>
          <w:iCs/>
          <w:color w:val="000000"/>
          <w:lang w:val="ru-RU"/>
        </w:rPr>
        <w:t>;</w:t>
      </w:r>
    </w:p>
    <w:p w:rsidR="00E4766C" w:rsidRPr="000559B7" w:rsidRDefault="000D4173" w:rsidP="00E4766C">
      <w:pPr>
        <w:spacing w:before="120" w:after="120"/>
        <w:ind w:firstLine="720"/>
        <w:rPr>
          <w:lang w:val="ru-RU"/>
        </w:rPr>
      </w:pPr>
      <w:proofErr w:type="gramStart"/>
      <w:r w:rsidRPr="000559B7">
        <w:rPr>
          <w:lang w:val="ru-RU"/>
        </w:rPr>
        <w:t>38</w:t>
      </w:r>
      <w:r w:rsidR="00E4766C" w:rsidRPr="000559B7">
        <w:rPr>
          <w:lang w:val="ru-RU"/>
        </w:rPr>
        <w:t xml:space="preserve">. </w:t>
      </w:r>
      <w:r w:rsidR="00E4766C" w:rsidRPr="000559B7">
        <w:rPr>
          <w:lang w:val="ru-RU"/>
        </w:rPr>
        <w:tab/>
      </w:r>
      <w:r w:rsidR="00805FCB" w:rsidRPr="000559B7">
        <w:rPr>
          <w:i/>
          <w:iCs/>
          <w:lang w:val="ru-RU"/>
        </w:rPr>
        <w:t>настоятельно призывает</w:t>
      </w:r>
      <w:r w:rsidR="00E4766C" w:rsidRPr="000559B7">
        <w:rPr>
          <w:lang w:val="ru-RU"/>
        </w:rPr>
        <w:t xml:space="preserve"> Сторон</w:t>
      </w:r>
      <w:r w:rsidR="003D494D" w:rsidRPr="000559B7">
        <w:rPr>
          <w:lang w:val="ru-RU"/>
        </w:rPr>
        <w:t>ы, являющие</w:t>
      </w:r>
      <w:r w:rsidR="00E4766C" w:rsidRPr="000559B7">
        <w:rPr>
          <w:lang w:val="ru-RU"/>
        </w:rPr>
        <w:t>ся развитыми странами</w:t>
      </w:r>
      <w:r w:rsidR="003D494D" w:rsidRPr="000559B7">
        <w:rPr>
          <w:lang w:val="ru-RU"/>
        </w:rPr>
        <w:t>,</w:t>
      </w:r>
      <w:r w:rsidR="00E4766C" w:rsidRPr="000559B7">
        <w:rPr>
          <w:lang w:val="ru-RU"/>
        </w:rPr>
        <w:t xml:space="preserve"> и други</w:t>
      </w:r>
      <w:r w:rsidR="003D494D" w:rsidRPr="000559B7">
        <w:rPr>
          <w:lang w:val="ru-RU"/>
        </w:rPr>
        <w:t>е</w:t>
      </w:r>
      <w:r w:rsidR="00E4766C" w:rsidRPr="000559B7">
        <w:rPr>
          <w:lang w:val="ru-RU"/>
        </w:rPr>
        <w:t xml:space="preserve"> Сторон</w:t>
      </w:r>
      <w:r w:rsidR="003D494D" w:rsidRPr="000559B7">
        <w:rPr>
          <w:lang w:val="ru-RU"/>
        </w:rPr>
        <w:t>ы</w:t>
      </w:r>
      <w:r w:rsidR="00E4766C" w:rsidRPr="000559B7">
        <w:rPr>
          <w:lang w:val="ru-RU"/>
        </w:rPr>
        <w:t>, имеющи</w:t>
      </w:r>
      <w:r w:rsidR="003D494D" w:rsidRPr="000559B7">
        <w:rPr>
          <w:lang w:val="ru-RU"/>
        </w:rPr>
        <w:t>е</w:t>
      </w:r>
      <w:r w:rsidR="00E4766C" w:rsidRPr="000559B7">
        <w:rPr>
          <w:lang w:val="ru-RU"/>
        </w:rPr>
        <w:t xml:space="preserve"> соответствующие возможности, в том числе в контексте сотрудничества </w:t>
      </w:r>
      <w:r w:rsidR="00540D6D">
        <w:rPr>
          <w:lang w:val="ru-RU"/>
        </w:rPr>
        <w:t xml:space="preserve">по линии </w:t>
      </w:r>
      <w:r w:rsidR="00E4766C" w:rsidRPr="000559B7">
        <w:rPr>
          <w:lang w:val="ru-RU"/>
        </w:rPr>
        <w:t xml:space="preserve">Юг-Юг, </w:t>
      </w:r>
      <w:r w:rsidR="003D494D" w:rsidRPr="000559B7">
        <w:rPr>
          <w:lang w:val="ru-RU"/>
        </w:rPr>
        <w:t>предоставить необходимые финансовые ресурсы</w:t>
      </w:r>
      <w:r w:rsidR="00E4766C" w:rsidRPr="000559B7">
        <w:rPr>
          <w:lang w:val="ru-RU"/>
        </w:rPr>
        <w:t xml:space="preserve"> Целево</w:t>
      </w:r>
      <w:r w:rsidR="003D494D" w:rsidRPr="000559B7">
        <w:rPr>
          <w:lang w:val="ru-RU"/>
        </w:rPr>
        <w:t>му</w:t>
      </w:r>
      <w:r w:rsidR="00E4766C" w:rsidRPr="000559B7">
        <w:rPr>
          <w:lang w:val="ru-RU"/>
        </w:rPr>
        <w:t xml:space="preserve"> фонд</w:t>
      </w:r>
      <w:r w:rsidR="003D494D" w:rsidRPr="000559B7">
        <w:rPr>
          <w:lang w:val="ru-RU"/>
        </w:rPr>
        <w:t xml:space="preserve">у BZ </w:t>
      </w:r>
      <w:r w:rsidR="00E4766C" w:rsidRPr="000559B7">
        <w:rPr>
          <w:lang w:val="ru-RU"/>
        </w:rPr>
        <w:t>с целью обеспечения полномерного и эффективного участия представителей Сторон из развивающихся стран, в частности наименее развитых стран и малых островных развивающихся государств, а также стран с переходной экономико</w:t>
      </w:r>
      <w:r w:rsidR="003D494D" w:rsidRPr="000559B7">
        <w:rPr>
          <w:lang w:val="ru-RU"/>
        </w:rPr>
        <w:t>й в совещаниях Конференции</w:t>
      </w:r>
      <w:proofErr w:type="gramEnd"/>
      <w:r w:rsidR="003D494D" w:rsidRPr="000559B7">
        <w:rPr>
          <w:lang w:val="ru-RU"/>
        </w:rPr>
        <w:t xml:space="preserve"> Сторон, Конференции Сторон, выступающей в качестве совещаний Сторон </w:t>
      </w:r>
      <w:r w:rsidR="00540D6D">
        <w:rPr>
          <w:lang w:val="ru-RU"/>
        </w:rPr>
        <w:t>п</w:t>
      </w:r>
      <w:r w:rsidR="003D494D" w:rsidRPr="000559B7">
        <w:rPr>
          <w:lang w:val="ru-RU"/>
        </w:rPr>
        <w:t>ротоколов, Вспомогательного органа по научным, техническим и технологическим консультациям, Специальной рабочей группы открытого состава по осуществлению статьи 8 </w:t>
      </w:r>
      <w:proofErr w:type="spellStart"/>
      <w:r w:rsidR="003D494D" w:rsidRPr="000559B7">
        <w:rPr>
          <w:lang w:val="ru-RU"/>
        </w:rPr>
        <w:t>j</w:t>
      </w:r>
      <w:proofErr w:type="spellEnd"/>
      <w:r w:rsidR="003D494D" w:rsidRPr="000559B7">
        <w:rPr>
          <w:lang w:val="ru-RU"/>
        </w:rPr>
        <w:t xml:space="preserve">) </w:t>
      </w:r>
      <w:r w:rsidR="007A6C3D">
        <w:rPr>
          <w:lang w:val="ru-RU"/>
        </w:rPr>
        <w:t xml:space="preserve">и </w:t>
      </w:r>
      <w:r w:rsidR="007A6C3D" w:rsidRPr="007A6C3D">
        <w:rPr>
          <w:lang w:val="ru-RU"/>
        </w:rPr>
        <w:t>соответствующих положений Конвенции</w:t>
      </w:r>
      <w:r w:rsidR="007A6C3D">
        <w:rPr>
          <w:lang w:val="ru-RU"/>
        </w:rPr>
        <w:t xml:space="preserve"> </w:t>
      </w:r>
      <w:r w:rsidR="003D494D" w:rsidRPr="000559B7">
        <w:rPr>
          <w:lang w:val="ru-RU"/>
        </w:rPr>
        <w:t>и Вспомогательного органа по осуществлению;</w:t>
      </w:r>
    </w:p>
    <w:p w:rsidR="003D494D" w:rsidRPr="000559B7" w:rsidRDefault="003D494D" w:rsidP="00E4766C">
      <w:pPr>
        <w:spacing w:before="120" w:after="120"/>
        <w:ind w:firstLine="720"/>
        <w:rPr>
          <w:lang w:val="ru-RU"/>
        </w:rPr>
      </w:pPr>
      <w:proofErr w:type="gramStart"/>
      <w:r w:rsidRPr="000559B7">
        <w:rPr>
          <w:lang w:val="ru-RU"/>
        </w:rPr>
        <w:t>39.</w:t>
      </w:r>
      <w:r w:rsidRPr="000559B7">
        <w:rPr>
          <w:lang w:val="ru-RU"/>
        </w:rPr>
        <w:tab/>
      </w:r>
      <w:r w:rsidRPr="000559B7">
        <w:rPr>
          <w:i/>
          <w:lang w:val="ru-RU"/>
        </w:rPr>
        <w:t>также настоятельно призывает</w:t>
      </w:r>
      <w:r w:rsidRPr="000559B7">
        <w:rPr>
          <w:lang w:val="ru-RU"/>
        </w:rPr>
        <w:t xml:space="preserve"> доноров предоставлять дополнительное финансирование для обеспечения возможности участия вторых делегатов из наименее развитых стран и малых островных развивающихся государств в 15-м совещании Конференции Сторон,</w:t>
      </w:r>
      <w:r w:rsidRPr="000559B7">
        <w:rPr>
          <w:lang w:val="ru-RU"/>
        </w:rPr>
        <w:br/>
        <w:t xml:space="preserve">10-м совещании Конференции Сторон, выступающей в качестве совещания Сторон Картахенского протокола, 4-м совещании Конференции Сторон, выступающей в качестве совещания Сторон Нагойского протокола, и </w:t>
      </w:r>
      <w:r w:rsidRPr="000559B7">
        <w:rPr>
          <w:i/>
          <w:iCs/>
          <w:color w:val="000000"/>
          <w:szCs w:val="22"/>
          <w:lang w:val="ru-RU"/>
        </w:rPr>
        <w:t>поручает</w:t>
      </w:r>
      <w:r w:rsidRPr="000559B7">
        <w:rPr>
          <w:color w:val="000000"/>
          <w:szCs w:val="22"/>
          <w:lang w:val="ru-RU"/>
        </w:rPr>
        <w:t> </w:t>
      </w:r>
      <w:r w:rsidRPr="000559B7">
        <w:rPr>
          <w:iCs/>
          <w:color w:val="000000"/>
          <w:lang w:val="ru-RU"/>
        </w:rPr>
        <w:t xml:space="preserve">Исполнительному секретарю </w:t>
      </w:r>
      <w:r w:rsidRPr="000559B7">
        <w:rPr>
          <w:color w:val="000000"/>
          <w:szCs w:val="22"/>
          <w:lang w:val="ru-RU"/>
        </w:rPr>
        <w:t>отчитаться 15-му совещанию</w:t>
      </w:r>
      <w:r w:rsidRPr="000559B7">
        <w:rPr>
          <w:lang w:val="ru-RU"/>
        </w:rPr>
        <w:t xml:space="preserve"> Конференции Сторон о</w:t>
      </w:r>
      <w:proofErr w:type="gramEnd"/>
      <w:r w:rsidR="00540D6D">
        <w:rPr>
          <w:lang w:val="ru-RU"/>
        </w:rPr>
        <w:t xml:space="preserve"> принятых</w:t>
      </w:r>
      <w:r w:rsidR="00D42B0C" w:rsidRPr="000559B7">
        <w:rPr>
          <w:lang w:val="ru-RU"/>
        </w:rPr>
        <w:t xml:space="preserve"> </w:t>
      </w:r>
      <w:proofErr w:type="gramStart"/>
      <w:r w:rsidR="00D42B0C" w:rsidRPr="000559B7">
        <w:rPr>
          <w:lang w:val="ru-RU"/>
        </w:rPr>
        <w:t>мерах</w:t>
      </w:r>
      <w:proofErr w:type="gramEnd"/>
      <w:r w:rsidR="00D42B0C" w:rsidRPr="000559B7">
        <w:rPr>
          <w:lang w:val="ru-RU"/>
        </w:rPr>
        <w:t>;</w:t>
      </w:r>
    </w:p>
    <w:p w:rsidR="00E4766C" w:rsidRPr="000559B7" w:rsidRDefault="00D42B0C" w:rsidP="00E4766C">
      <w:pPr>
        <w:spacing w:before="120" w:after="120"/>
        <w:ind w:firstLine="720"/>
        <w:rPr>
          <w:lang w:val="ru-RU"/>
        </w:rPr>
      </w:pPr>
      <w:r w:rsidRPr="000559B7">
        <w:rPr>
          <w:lang w:val="ru-RU"/>
        </w:rPr>
        <w:t>40</w:t>
      </w:r>
      <w:r w:rsidR="00E4766C" w:rsidRPr="000559B7">
        <w:rPr>
          <w:lang w:val="ru-RU"/>
        </w:rPr>
        <w:t xml:space="preserve">. </w:t>
      </w:r>
      <w:r w:rsidR="00E4766C" w:rsidRPr="000559B7">
        <w:rPr>
          <w:lang w:val="ru-RU"/>
        </w:rPr>
        <w:tab/>
      </w:r>
      <w:r w:rsidR="00E4766C" w:rsidRPr="000559B7">
        <w:rPr>
          <w:i/>
          <w:lang w:val="ru-RU"/>
        </w:rPr>
        <w:t>напоминает</w:t>
      </w:r>
      <w:r w:rsidR="00E4766C" w:rsidRPr="000559B7">
        <w:rPr>
          <w:lang w:val="ru-RU"/>
        </w:rPr>
        <w:t xml:space="preserve"> о пункте 31 решения IX/34 и </w:t>
      </w:r>
      <w:r w:rsidR="00E4766C" w:rsidRPr="000559B7">
        <w:rPr>
          <w:i/>
          <w:lang w:val="ru-RU"/>
        </w:rPr>
        <w:t xml:space="preserve">поручает </w:t>
      </w:r>
      <w:r w:rsidR="00E4766C" w:rsidRPr="000559B7">
        <w:rPr>
          <w:lang w:val="ru-RU"/>
        </w:rPr>
        <w:t xml:space="preserve">Исполнительному секретарю при выделении средств из Целевого фонда BZ продолжать в приоритетном порядке выделять средства наименее развитым странам и малым островным развивающимся государствам; </w:t>
      </w:r>
    </w:p>
    <w:p w:rsidR="00E4766C" w:rsidRPr="000559B7" w:rsidRDefault="00D42B0C" w:rsidP="00E4766C">
      <w:pPr>
        <w:suppressLineNumbers/>
        <w:suppressAutoHyphens/>
        <w:spacing w:before="120" w:after="120"/>
        <w:ind w:firstLine="720"/>
        <w:rPr>
          <w:szCs w:val="22"/>
          <w:lang w:val="ru-RU" w:eastAsia="en-US"/>
        </w:rPr>
      </w:pPr>
      <w:proofErr w:type="gramStart"/>
      <w:r w:rsidRPr="000559B7">
        <w:rPr>
          <w:szCs w:val="22"/>
          <w:lang w:val="ru-RU" w:eastAsia="en-US"/>
        </w:rPr>
        <w:t>41</w:t>
      </w:r>
      <w:r w:rsidR="00E4766C" w:rsidRPr="000559B7">
        <w:rPr>
          <w:szCs w:val="22"/>
          <w:lang w:val="ru-RU" w:eastAsia="en-US"/>
        </w:rPr>
        <w:t>.</w:t>
      </w:r>
      <w:r w:rsidR="00E4766C" w:rsidRPr="000559B7">
        <w:rPr>
          <w:szCs w:val="22"/>
          <w:lang w:val="ru-RU" w:eastAsia="en-US"/>
        </w:rPr>
        <w:tab/>
      </w:r>
      <w:r w:rsidR="00E4766C" w:rsidRPr="000559B7">
        <w:rPr>
          <w:i/>
          <w:iCs/>
          <w:szCs w:val="22"/>
          <w:lang w:val="ru-RU" w:eastAsia="en-US"/>
        </w:rPr>
        <w:t>поручает</w:t>
      </w:r>
      <w:r w:rsidR="00E4766C" w:rsidRPr="000559B7">
        <w:rPr>
          <w:szCs w:val="22"/>
          <w:lang w:val="ru-RU" w:eastAsia="en-US"/>
        </w:rPr>
        <w:t xml:space="preserve"> Исполнительному секретарю взаимодействовать с частными структурами, неправительственными организациями и международными организациями в целях изыскания финансирования для Специального добровольного целевого фонда (BZ) из внешних источников с учетом </w:t>
      </w:r>
      <w:proofErr w:type="spellStart"/>
      <w:r w:rsidR="00E4766C" w:rsidRPr="000559B7">
        <w:rPr>
          <w:szCs w:val="22"/>
          <w:lang w:val="ru-RU" w:eastAsia="en-US"/>
        </w:rPr>
        <w:t>a</w:t>
      </w:r>
      <w:proofErr w:type="spellEnd"/>
      <w:r w:rsidR="00E4766C" w:rsidRPr="000559B7">
        <w:rPr>
          <w:szCs w:val="22"/>
          <w:lang w:val="ru-RU" w:eastAsia="en-US"/>
        </w:rPr>
        <w:t xml:space="preserve">) различных существующих руководящих принципов относительно привлечения частного сектора к работе системы Организации Объединенных Наций и </w:t>
      </w:r>
      <w:proofErr w:type="spellStart"/>
      <w:r w:rsidR="00E4766C" w:rsidRPr="000559B7">
        <w:rPr>
          <w:szCs w:val="22"/>
          <w:lang w:val="ru-RU" w:eastAsia="en-US"/>
        </w:rPr>
        <w:t>b</w:t>
      </w:r>
      <w:proofErr w:type="spellEnd"/>
      <w:r w:rsidR="00E4766C" w:rsidRPr="000559B7">
        <w:rPr>
          <w:szCs w:val="22"/>
          <w:lang w:val="ru-RU" w:eastAsia="en-US"/>
        </w:rPr>
        <w:t>) опыта других конвенций и процессов Организации Объединенных Наций в области финансирования участия Сторон, являющихся развивающимися</w:t>
      </w:r>
      <w:proofErr w:type="gramEnd"/>
      <w:r w:rsidR="00E4766C" w:rsidRPr="000559B7">
        <w:rPr>
          <w:szCs w:val="22"/>
          <w:lang w:val="ru-RU" w:eastAsia="en-US"/>
        </w:rPr>
        <w:t xml:space="preserve"> странами и имеющих право на получение помощи, включая наименее развитые страны и малые островные развивающи</w:t>
      </w:r>
      <w:r w:rsidR="00540D6D">
        <w:rPr>
          <w:szCs w:val="22"/>
          <w:lang w:val="ru-RU" w:eastAsia="en-US"/>
        </w:rPr>
        <w:t>еся государства, а также Сторон</w:t>
      </w:r>
      <w:r w:rsidR="00E4766C" w:rsidRPr="000559B7">
        <w:rPr>
          <w:szCs w:val="22"/>
          <w:lang w:val="ru-RU" w:eastAsia="en-US"/>
        </w:rPr>
        <w:t xml:space="preserve"> с переходной экономикой, и </w:t>
      </w:r>
      <w:r w:rsidR="00E4766C" w:rsidRPr="000559B7">
        <w:rPr>
          <w:i/>
          <w:iCs/>
          <w:szCs w:val="22"/>
          <w:lang w:val="ru-RU" w:eastAsia="en-US"/>
        </w:rPr>
        <w:t>далее поручает</w:t>
      </w:r>
      <w:r w:rsidR="00E4766C" w:rsidRPr="000559B7">
        <w:rPr>
          <w:szCs w:val="22"/>
          <w:lang w:val="ru-RU" w:eastAsia="en-US"/>
        </w:rPr>
        <w:t xml:space="preserve"> Исполнительному секретарю информировать бюро Конференции Сторон о дальнейшем развитии событий в этой области;</w:t>
      </w:r>
    </w:p>
    <w:p w:rsidR="00E4766C" w:rsidRPr="000559B7" w:rsidRDefault="00D42B0C" w:rsidP="00E4766C">
      <w:pPr>
        <w:suppressLineNumbers/>
        <w:suppressAutoHyphens/>
        <w:spacing w:before="120" w:after="120"/>
        <w:ind w:firstLine="720"/>
        <w:rPr>
          <w:szCs w:val="22"/>
          <w:lang w:val="ru-RU" w:eastAsia="en-US"/>
        </w:rPr>
      </w:pPr>
      <w:proofErr w:type="gramStart"/>
      <w:r w:rsidRPr="000559B7">
        <w:rPr>
          <w:szCs w:val="22"/>
          <w:lang w:val="ru-RU" w:eastAsia="en-US"/>
        </w:rPr>
        <w:t>42</w:t>
      </w:r>
      <w:r w:rsidR="00E4766C" w:rsidRPr="000559B7">
        <w:rPr>
          <w:szCs w:val="22"/>
          <w:lang w:val="ru-RU" w:eastAsia="en-US"/>
        </w:rPr>
        <w:t>.</w:t>
      </w:r>
      <w:r w:rsidR="00E4766C" w:rsidRPr="000559B7">
        <w:rPr>
          <w:szCs w:val="22"/>
          <w:lang w:val="ru-RU" w:eastAsia="en-US"/>
        </w:rPr>
        <w:tab/>
      </w:r>
      <w:r w:rsidR="00E4766C" w:rsidRPr="000559B7">
        <w:rPr>
          <w:i/>
          <w:szCs w:val="22"/>
          <w:lang w:val="ru-RU" w:eastAsia="en-US"/>
        </w:rPr>
        <w:t xml:space="preserve">призывает </w:t>
      </w:r>
      <w:r w:rsidR="00E4766C" w:rsidRPr="000559B7">
        <w:rPr>
          <w:szCs w:val="22"/>
          <w:lang w:val="ru-RU" w:eastAsia="en-US"/>
        </w:rPr>
        <w:t>Стороны</w:t>
      </w:r>
      <w:r w:rsidR="00540D6D">
        <w:rPr>
          <w:szCs w:val="22"/>
          <w:lang w:val="ru-RU" w:eastAsia="en-US"/>
        </w:rPr>
        <w:t xml:space="preserve"> из числа</w:t>
      </w:r>
      <w:r w:rsidR="00E4766C" w:rsidRPr="000559B7">
        <w:rPr>
          <w:szCs w:val="22"/>
          <w:lang w:val="ru-RU" w:eastAsia="en-US"/>
        </w:rPr>
        <w:t xml:space="preserve"> развиты</w:t>
      </w:r>
      <w:r w:rsidR="00540D6D">
        <w:rPr>
          <w:szCs w:val="22"/>
          <w:lang w:val="ru-RU" w:eastAsia="en-US"/>
        </w:rPr>
        <w:t>х</w:t>
      </w:r>
      <w:r w:rsidR="00E4766C" w:rsidRPr="000559B7">
        <w:rPr>
          <w:szCs w:val="22"/>
          <w:lang w:val="ru-RU" w:eastAsia="en-US"/>
        </w:rPr>
        <w:t xml:space="preserve"> стран и другие Стороны, имеющие соответствующие возможности, способствовать взаимодействию секретариата с потенциальными </w:t>
      </w:r>
      <w:r w:rsidR="00E4766C" w:rsidRPr="000559B7">
        <w:rPr>
          <w:szCs w:val="22"/>
          <w:lang w:val="ru-RU" w:eastAsia="en-US"/>
        </w:rPr>
        <w:lastRenderedPageBreak/>
        <w:t xml:space="preserve">альтернативными донорами Целевого фонда BZ, включая частные структуры, в оказании финансовой помощи для обеспечения участия Сторон, являющихся развивающимися странами и имеющих право на помощь, в работе совещаний </w:t>
      </w:r>
      <w:r w:rsidR="007A6C3D">
        <w:rPr>
          <w:szCs w:val="22"/>
          <w:lang w:val="ru-RU" w:eastAsia="en-US"/>
        </w:rPr>
        <w:t xml:space="preserve">Сторон </w:t>
      </w:r>
      <w:r w:rsidR="00E4766C" w:rsidRPr="000559B7">
        <w:rPr>
          <w:szCs w:val="22"/>
          <w:lang w:val="ru-RU" w:eastAsia="en-US"/>
        </w:rPr>
        <w:t>Конвенции и протоколов к ней;</w:t>
      </w:r>
      <w:proofErr w:type="gramEnd"/>
    </w:p>
    <w:p w:rsidR="00E4766C" w:rsidRPr="000559B7" w:rsidRDefault="00D42B0C" w:rsidP="00E4766C">
      <w:pPr>
        <w:spacing w:before="120" w:after="120"/>
        <w:ind w:firstLine="720"/>
        <w:rPr>
          <w:rFonts w:eastAsia="Malgun Gothic"/>
          <w:iCs/>
          <w:color w:val="000000"/>
          <w:kern w:val="18"/>
          <w:lang w:val="ru-RU"/>
        </w:rPr>
      </w:pPr>
      <w:proofErr w:type="gramStart"/>
      <w:r w:rsidRPr="000559B7">
        <w:rPr>
          <w:iCs/>
          <w:color w:val="000000"/>
          <w:lang w:val="ru-RU"/>
        </w:rPr>
        <w:t>43</w:t>
      </w:r>
      <w:r w:rsidR="00E4766C" w:rsidRPr="000559B7">
        <w:rPr>
          <w:iCs/>
          <w:color w:val="000000"/>
          <w:lang w:val="ru-RU"/>
        </w:rPr>
        <w:t>.</w:t>
      </w:r>
      <w:r w:rsidR="00E4766C" w:rsidRPr="000559B7">
        <w:rPr>
          <w:i/>
          <w:color w:val="000000"/>
          <w:lang w:val="ru-RU"/>
        </w:rPr>
        <w:tab/>
      </w:r>
      <w:r w:rsidRPr="00876F9C">
        <w:rPr>
          <w:i/>
          <w:color w:val="000000"/>
          <w:lang w:val="ru-RU"/>
        </w:rPr>
        <w:t>поручает</w:t>
      </w:r>
      <w:r w:rsidR="00E4766C" w:rsidRPr="00876F9C">
        <w:rPr>
          <w:color w:val="000000"/>
          <w:lang w:val="ru-RU"/>
        </w:rPr>
        <w:t xml:space="preserve"> Исполнительному секретарю напоминать Сторонам</w:t>
      </w:r>
      <w:r w:rsidRPr="00876F9C">
        <w:rPr>
          <w:color w:val="000000"/>
          <w:lang w:val="ru-RU"/>
        </w:rPr>
        <w:t xml:space="preserve"> в январе каждого </w:t>
      </w:r>
      <w:r w:rsidR="00876F9C">
        <w:rPr>
          <w:color w:val="000000"/>
          <w:lang w:val="ru-RU"/>
        </w:rPr>
        <w:t>финансового</w:t>
      </w:r>
      <w:r w:rsidRPr="00876F9C">
        <w:rPr>
          <w:color w:val="000000"/>
          <w:lang w:val="ru-RU"/>
        </w:rPr>
        <w:t xml:space="preserve"> года</w:t>
      </w:r>
      <w:r w:rsidR="00E4766C" w:rsidRPr="00876F9C">
        <w:rPr>
          <w:color w:val="000000"/>
          <w:lang w:val="ru-RU"/>
        </w:rPr>
        <w:t xml:space="preserve"> о необходимости внесения взносов</w:t>
      </w:r>
      <w:r w:rsidR="00E4766C" w:rsidRPr="000559B7">
        <w:rPr>
          <w:color w:val="000000"/>
          <w:lang w:val="ru-RU"/>
        </w:rPr>
        <w:t xml:space="preserve"> в Специальный добровольный целевой фонд (BZ) не менее чем за шесть месяцев до очередных совещаний </w:t>
      </w:r>
      <w:r w:rsidR="007A6C3D" w:rsidRPr="007A6C3D">
        <w:rPr>
          <w:color w:val="000000"/>
          <w:lang w:val="ru-RU"/>
        </w:rPr>
        <w:t xml:space="preserve">Сторон </w:t>
      </w:r>
      <w:r w:rsidR="00E4766C" w:rsidRPr="000559B7">
        <w:rPr>
          <w:color w:val="000000"/>
          <w:lang w:val="ru-RU"/>
        </w:rPr>
        <w:t>Конвенции и протоколов к ней</w:t>
      </w:r>
      <w:r w:rsidRPr="000559B7">
        <w:rPr>
          <w:color w:val="000000"/>
          <w:lang w:val="ru-RU"/>
        </w:rPr>
        <w:t xml:space="preserve">, </w:t>
      </w:r>
      <w:r w:rsidR="00876F9C">
        <w:rPr>
          <w:color w:val="000000"/>
          <w:lang w:val="ru-RU"/>
        </w:rPr>
        <w:t>направлять</w:t>
      </w:r>
      <w:r w:rsidR="0052494F" w:rsidRPr="000559B7">
        <w:rPr>
          <w:color w:val="000000"/>
          <w:lang w:val="ru-RU"/>
        </w:rPr>
        <w:t xml:space="preserve"> заявки в декабре каждого года с указанием потребностей </w:t>
      </w:r>
      <w:r w:rsidR="00540D6D">
        <w:rPr>
          <w:color w:val="000000"/>
          <w:lang w:val="ru-RU"/>
        </w:rPr>
        <w:t xml:space="preserve">для </w:t>
      </w:r>
      <w:r w:rsidR="0052494F" w:rsidRPr="000559B7">
        <w:rPr>
          <w:color w:val="000000"/>
          <w:lang w:val="ru-RU"/>
        </w:rPr>
        <w:t>всех соответствующих совещаний в последующем году</w:t>
      </w:r>
      <w:r w:rsidR="00E4766C" w:rsidRPr="000559B7">
        <w:rPr>
          <w:color w:val="000000"/>
          <w:lang w:val="ru-RU"/>
        </w:rPr>
        <w:t xml:space="preserve"> и заранее рассылать извещения другим донорам с предложением</w:t>
      </w:r>
      <w:proofErr w:type="gramEnd"/>
      <w:r w:rsidR="00E4766C" w:rsidRPr="000559B7">
        <w:rPr>
          <w:color w:val="000000"/>
          <w:lang w:val="ru-RU"/>
        </w:rPr>
        <w:t xml:space="preserve"> делать взносы;</w:t>
      </w:r>
    </w:p>
    <w:p w:rsidR="00E4766C" w:rsidRPr="000559B7" w:rsidRDefault="0052494F" w:rsidP="00E4766C">
      <w:pPr>
        <w:spacing w:before="120" w:after="120"/>
        <w:ind w:firstLine="720"/>
        <w:rPr>
          <w:color w:val="000000"/>
          <w:lang w:val="ru-RU"/>
        </w:rPr>
      </w:pPr>
      <w:r w:rsidRPr="000559B7">
        <w:rPr>
          <w:iCs/>
          <w:color w:val="000000"/>
          <w:lang w:val="ru-RU"/>
        </w:rPr>
        <w:t>44</w:t>
      </w:r>
      <w:r w:rsidR="00E4766C" w:rsidRPr="000559B7">
        <w:rPr>
          <w:iCs/>
          <w:color w:val="000000"/>
          <w:lang w:val="ru-RU"/>
        </w:rPr>
        <w:t>.</w:t>
      </w:r>
      <w:r w:rsidR="00E4766C" w:rsidRPr="000559B7">
        <w:rPr>
          <w:iCs/>
          <w:color w:val="000000"/>
          <w:lang w:val="ru-RU"/>
        </w:rPr>
        <w:tab/>
      </w:r>
      <w:r w:rsidRPr="000559B7">
        <w:rPr>
          <w:i/>
          <w:color w:val="000000"/>
          <w:lang w:val="ru-RU"/>
        </w:rPr>
        <w:t>также</w:t>
      </w:r>
      <w:r w:rsidR="00E4766C" w:rsidRPr="000559B7">
        <w:rPr>
          <w:color w:val="000000"/>
          <w:lang w:val="ru-RU"/>
        </w:rPr>
        <w:t xml:space="preserve"> </w:t>
      </w:r>
      <w:r w:rsidR="00E4766C" w:rsidRPr="000559B7">
        <w:rPr>
          <w:i/>
          <w:color w:val="000000"/>
          <w:lang w:val="ru-RU"/>
        </w:rPr>
        <w:t>поручает</w:t>
      </w:r>
      <w:r w:rsidR="00E4766C" w:rsidRPr="000559B7">
        <w:rPr>
          <w:color w:val="000000"/>
          <w:lang w:val="ru-RU"/>
        </w:rPr>
        <w:t xml:space="preserve"> Исполнительному секретарю </w:t>
      </w:r>
      <w:r w:rsidR="00FC0DAF" w:rsidRPr="000559B7">
        <w:rPr>
          <w:color w:val="000000"/>
          <w:lang w:val="ru-RU"/>
        </w:rPr>
        <w:t xml:space="preserve">в консультации с бюро </w:t>
      </w:r>
      <w:r w:rsidR="00E4766C" w:rsidRPr="000559B7">
        <w:rPr>
          <w:color w:val="000000"/>
          <w:lang w:val="ru-RU"/>
        </w:rPr>
        <w:t xml:space="preserve">продолжать мониторинг наличия добровольных взносов в Специальном </w:t>
      </w:r>
      <w:r w:rsidRPr="000559B7">
        <w:rPr>
          <w:color w:val="000000"/>
          <w:lang w:val="ru-RU"/>
        </w:rPr>
        <w:t>добровольном целевом фонде (BZ)</w:t>
      </w:r>
      <w:r w:rsidR="00E4766C" w:rsidRPr="000559B7">
        <w:rPr>
          <w:color w:val="000000"/>
          <w:lang w:val="ru-RU"/>
        </w:rPr>
        <w:t>;</w:t>
      </w:r>
    </w:p>
    <w:p w:rsidR="0052494F" w:rsidRPr="000559B7" w:rsidRDefault="0052494F" w:rsidP="00E4766C">
      <w:pPr>
        <w:spacing w:before="120" w:after="120"/>
        <w:ind w:firstLine="720"/>
        <w:rPr>
          <w:color w:val="000000"/>
          <w:lang w:val="ru-RU"/>
        </w:rPr>
      </w:pPr>
      <w:r w:rsidRPr="000559B7">
        <w:rPr>
          <w:color w:val="000000"/>
          <w:lang w:val="ru-RU"/>
        </w:rPr>
        <w:t>45.</w:t>
      </w:r>
      <w:r w:rsidRPr="000559B7">
        <w:rPr>
          <w:color w:val="000000"/>
          <w:lang w:val="ru-RU"/>
        </w:rPr>
        <w:tab/>
      </w:r>
      <w:r w:rsidRPr="000559B7">
        <w:rPr>
          <w:i/>
          <w:color w:val="000000"/>
          <w:lang w:val="ru-RU"/>
        </w:rPr>
        <w:t>приветствует</w:t>
      </w:r>
      <w:r w:rsidRPr="000559B7">
        <w:rPr>
          <w:color w:val="000000"/>
          <w:lang w:val="ru-RU"/>
        </w:rPr>
        <w:t xml:space="preserve"> щедрое предоставление правительством Японии чрезвычайного финансирования на двухлетний период 2019-2020 годов в размере 500 000 долл. США от </w:t>
      </w:r>
      <w:r w:rsidRPr="000559B7">
        <w:rPr>
          <w:iCs/>
          <w:color w:val="000000"/>
          <w:lang w:val="ru-RU"/>
        </w:rPr>
        <w:t>Фонда биоразнообразия Японии</w:t>
      </w:r>
      <w:r w:rsidRPr="000559B7">
        <w:rPr>
          <w:iCs/>
          <w:color w:val="000000"/>
          <w:vertAlign w:val="superscript"/>
          <w:lang w:val="ru-RU"/>
        </w:rPr>
        <w:footnoteReference w:id="6"/>
      </w:r>
      <w:r w:rsidRPr="000559B7">
        <w:rPr>
          <w:iCs/>
          <w:color w:val="000000"/>
          <w:lang w:val="ru-RU"/>
        </w:rPr>
        <w:t xml:space="preserve"> в качестве оборотных средств до получения достаточных средств </w:t>
      </w:r>
      <w:r w:rsidR="00A2363F">
        <w:rPr>
          <w:iCs/>
          <w:color w:val="000000"/>
          <w:lang w:val="ru-RU"/>
        </w:rPr>
        <w:t>Ц</w:t>
      </w:r>
      <w:r w:rsidRPr="000559B7">
        <w:rPr>
          <w:iCs/>
          <w:color w:val="000000"/>
          <w:lang w:val="ru-RU"/>
        </w:rPr>
        <w:t>елевым фондом BZ;</w:t>
      </w:r>
    </w:p>
    <w:p w:rsidR="00E4766C" w:rsidRPr="000559B7" w:rsidRDefault="009B10A2" w:rsidP="00E4766C">
      <w:pPr>
        <w:suppressLineNumbers/>
        <w:suppressAutoHyphens/>
        <w:spacing w:before="120" w:after="120"/>
        <w:ind w:firstLine="720"/>
        <w:rPr>
          <w:iCs/>
          <w:color w:val="212121"/>
          <w:szCs w:val="22"/>
          <w:lang w:val="ru-RU"/>
        </w:rPr>
      </w:pPr>
      <w:proofErr w:type="gramStart"/>
      <w:r w:rsidRPr="000559B7">
        <w:rPr>
          <w:iCs/>
          <w:color w:val="212121"/>
          <w:szCs w:val="22"/>
          <w:lang w:val="ru-RU"/>
        </w:rPr>
        <w:t>46</w:t>
      </w:r>
      <w:r w:rsidR="00E4766C" w:rsidRPr="000559B7">
        <w:rPr>
          <w:iCs/>
          <w:color w:val="212121"/>
          <w:szCs w:val="22"/>
          <w:lang w:val="ru-RU"/>
        </w:rPr>
        <w:t xml:space="preserve">. </w:t>
      </w:r>
      <w:r w:rsidR="00E4766C" w:rsidRPr="000559B7">
        <w:rPr>
          <w:i/>
          <w:iCs/>
          <w:color w:val="212121"/>
          <w:szCs w:val="22"/>
          <w:lang w:val="ru-RU"/>
        </w:rPr>
        <w:t>постановляет</w:t>
      </w:r>
      <w:r w:rsidR="00E4766C" w:rsidRPr="000559B7">
        <w:rPr>
          <w:iCs/>
          <w:color w:val="212121"/>
          <w:szCs w:val="22"/>
          <w:lang w:val="ru-RU"/>
        </w:rPr>
        <w:t xml:space="preserve"> отл</w:t>
      </w:r>
      <w:r w:rsidRPr="000559B7">
        <w:rPr>
          <w:iCs/>
          <w:color w:val="212121"/>
          <w:szCs w:val="22"/>
          <w:lang w:val="ru-RU"/>
        </w:rPr>
        <w:t>ожить сумму до 5</w:t>
      </w:r>
      <w:r w:rsidR="00E4766C" w:rsidRPr="000559B7">
        <w:rPr>
          <w:iCs/>
          <w:color w:val="212121"/>
          <w:szCs w:val="22"/>
          <w:lang w:val="ru-RU"/>
        </w:rPr>
        <w:t xml:space="preserve">00 000 долл. США от начисленных накопленных инвестиционных поступлений Целевого фонда BE без ущерба для двусторонних соглашений, ограничивающих использование процентов, начисляемых на конкретные добровольные взносы, которые потенциально могут быть задействованы, если, по мнению </w:t>
      </w:r>
      <w:r w:rsidR="00540D6D">
        <w:rPr>
          <w:iCs/>
          <w:color w:val="212121"/>
          <w:szCs w:val="22"/>
          <w:lang w:val="ru-RU"/>
        </w:rPr>
        <w:t>Д</w:t>
      </w:r>
      <w:r w:rsidR="00E4766C" w:rsidRPr="000559B7">
        <w:rPr>
          <w:iCs/>
          <w:color w:val="212121"/>
          <w:szCs w:val="22"/>
          <w:lang w:val="ru-RU"/>
        </w:rPr>
        <w:t>иректора</w:t>
      </w:r>
      <w:r w:rsidR="00540D6D">
        <w:rPr>
          <w:iCs/>
          <w:color w:val="212121"/>
          <w:szCs w:val="22"/>
          <w:lang w:val="ru-RU"/>
        </w:rPr>
        <w:t>-и</w:t>
      </w:r>
      <w:r w:rsidR="00540D6D" w:rsidRPr="000559B7">
        <w:rPr>
          <w:iCs/>
          <w:color w:val="212121"/>
          <w:szCs w:val="22"/>
          <w:lang w:val="ru-RU"/>
        </w:rPr>
        <w:t>сполнител</w:t>
      </w:r>
      <w:r w:rsidR="00540D6D">
        <w:rPr>
          <w:iCs/>
          <w:color w:val="212121"/>
          <w:szCs w:val="22"/>
          <w:lang w:val="ru-RU"/>
        </w:rPr>
        <w:t>я</w:t>
      </w:r>
      <w:r w:rsidR="00540D6D" w:rsidRPr="000559B7">
        <w:rPr>
          <w:iCs/>
          <w:color w:val="212121"/>
          <w:szCs w:val="22"/>
          <w:lang w:val="ru-RU"/>
        </w:rPr>
        <w:t xml:space="preserve"> </w:t>
      </w:r>
      <w:r w:rsidRPr="000559B7">
        <w:rPr>
          <w:iCs/>
          <w:color w:val="212121"/>
          <w:szCs w:val="22"/>
          <w:lang w:val="ru-RU"/>
        </w:rPr>
        <w:t>Программы Организации Объединенных Наций по окружающей среде</w:t>
      </w:r>
      <w:r w:rsidR="00E4766C" w:rsidRPr="000559B7">
        <w:rPr>
          <w:iCs/>
          <w:color w:val="212121"/>
          <w:szCs w:val="22"/>
          <w:lang w:val="ru-RU"/>
        </w:rPr>
        <w:t>, появятся исключительные обстоятельства</w:t>
      </w:r>
      <w:r w:rsidRPr="000559B7">
        <w:rPr>
          <w:iCs/>
          <w:color w:val="212121"/>
          <w:szCs w:val="22"/>
          <w:vertAlign w:val="superscript"/>
          <w:lang w:val="ru-RU"/>
        </w:rPr>
        <w:footnoteReference w:id="7"/>
      </w:r>
      <w:r w:rsidR="00E4766C" w:rsidRPr="000559B7">
        <w:rPr>
          <w:iCs/>
          <w:color w:val="212121"/>
          <w:szCs w:val="22"/>
          <w:lang w:val="ru-RU"/>
        </w:rPr>
        <w:t>, связанные с обеспечением участия Сторон, являющихся развивающимися странами, в частности, наименее</w:t>
      </w:r>
      <w:proofErr w:type="gramEnd"/>
      <w:r w:rsidR="00E4766C" w:rsidRPr="000559B7">
        <w:rPr>
          <w:iCs/>
          <w:color w:val="212121"/>
          <w:szCs w:val="22"/>
          <w:lang w:val="ru-RU"/>
        </w:rPr>
        <w:t xml:space="preserve"> </w:t>
      </w:r>
      <w:proofErr w:type="gramStart"/>
      <w:r w:rsidR="00E4766C" w:rsidRPr="000559B7">
        <w:rPr>
          <w:iCs/>
          <w:color w:val="212121"/>
          <w:szCs w:val="22"/>
          <w:lang w:val="ru-RU"/>
        </w:rPr>
        <w:t>развитыми странами, малыми островными развивающимися государствами и странами с переходной экономикой, в работе приоритетных совещаний</w:t>
      </w:r>
      <w:r w:rsidRPr="000559B7">
        <w:rPr>
          <w:iCs/>
          <w:color w:val="212121"/>
          <w:szCs w:val="22"/>
          <w:vertAlign w:val="superscript"/>
          <w:lang w:val="ru-RU"/>
        </w:rPr>
        <w:footnoteReference w:id="8"/>
      </w:r>
      <w:r w:rsidR="00E4766C" w:rsidRPr="000559B7">
        <w:rPr>
          <w:iCs/>
          <w:color w:val="212121"/>
          <w:szCs w:val="22"/>
          <w:lang w:val="ru-RU"/>
        </w:rPr>
        <w:t xml:space="preserve">, </w:t>
      </w:r>
      <w:r w:rsidR="00E4766C" w:rsidRPr="000559B7">
        <w:rPr>
          <w:color w:val="212121"/>
          <w:szCs w:val="22"/>
          <w:lang w:val="ru-RU" w:eastAsia="fr-CH"/>
        </w:rPr>
        <w:t xml:space="preserve">предусмотренных </w:t>
      </w:r>
      <w:r w:rsidR="00E4766C" w:rsidRPr="000559B7">
        <w:rPr>
          <w:iCs/>
          <w:color w:val="212121"/>
          <w:szCs w:val="22"/>
          <w:lang w:val="ru-RU"/>
        </w:rPr>
        <w:t xml:space="preserve">в основном бюджете на двухлетний период 2019-2020 годов, и </w:t>
      </w:r>
      <w:r w:rsidR="00E4766C" w:rsidRPr="000559B7">
        <w:rPr>
          <w:i/>
          <w:iCs/>
          <w:color w:val="212121"/>
          <w:szCs w:val="22"/>
          <w:lang w:val="ru-RU"/>
        </w:rPr>
        <w:t>предлагает</w:t>
      </w:r>
      <w:r w:rsidR="00E4766C" w:rsidRPr="000559B7">
        <w:rPr>
          <w:iCs/>
          <w:color w:val="212121"/>
          <w:szCs w:val="22"/>
          <w:lang w:val="ru-RU"/>
        </w:rPr>
        <w:t xml:space="preserve"> </w:t>
      </w:r>
      <w:r w:rsidR="00540D6D" w:rsidRPr="00540D6D">
        <w:rPr>
          <w:iCs/>
          <w:color w:val="212121"/>
          <w:szCs w:val="22"/>
          <w:lang w:val="ru-RU"/>
        </w:rPr>
        <w:t>Директор</w:t>
      </w:r>
      <w:r w:rsidR="00540D6D">
        <w:rPr>
          <w:iCs/>
          <w:color w:val="212121"/>
          <w:szCs w:val="22"/>
          <w:lang w:val="ru-RU"/>
        </w:rPr>
        <w:t>у</w:t>
      </w:r>
      <w:r w:rsidR="00540D6D" w:rsidRPr="00540D6D">
        <w:rPr>
          <w:iCs/>
          <w:color w:val="212121"/>
          <w:szCs w:val="22"/>
          <w:lang w:val="ru-RU"/>
        </w:rPr>
        <w:t>-исполнител</w:t>
      </w:r>
      <w:r w:rsidR="00540D6D">
        <w:rPr>
          <w:iCs/>
          <w:color w:val="212121"/>
          <w:szCs w:val="22"/>
          <w:lang w:val="ru-RU"/>
        </w:rPr>
        <w:t>ю</w:t>
      </w:r>
      <w:r w:rsidR="00540D6D" w:rsidRPr="00540D6D">
        <w:rPr>
          <w:iCs/>
          <w:color w:val="212121"/>
          <w:szCs w:val="22"/>
          <w:lang w:val="ru-RU"/>
        </w:rPr>
        <w:t xml:space="preserve"> </w:t>
      </w:r>
      <w:r w:rsidR="00E4766C" w:rsidRPr="000559B7">
        <w:rPr>
          <w:iCs/>
          <w:color w:val="212121"/>
          <w:szCs w:val="22"/>
          <w:lang w:val="ru-RU"/>
        </w:rPr>
        <w:t xml:space="preserve">ЮНЕП, если он допускает </w:t>
      </w:r>
      <w:r w:rsidR="00E4766C" w:rsidRPr="000559B7">
        <w:rPr>
          <w:color w:val="212121"/>
          <w:szCs w:val="22"/>
          <w:lang w:val="ru-RU" w:eastAsia="fr-CH"/>
        </w:rPr>
        <w:t xml:space="preserve">наличие исключительных обстоятельств и соответствие такого использования средств </w:t>
      </w:r>
      <w:r w:rsidR="00E4766C" w:rsidRPr="000559B7">
        <w:rPr>
          <w:iCs/>
          <w:color w:val="212121"/>
          <w:szCs w:val="22"/>
          <w:lang w:val="ru-RU"/>
        </w:rPr>
        <w:t xml:space="preserve">с </w:t>
      </w:r>
      <w:r w:rsidRPr="000559B7">
        <w:rPr>
          <w:iCs/>
          <w:color w:val="212121"/>
          <w:szCs w:val="22"/>
          <w:lang w:val="ru-RU"/>
        </w:rPr>
        <w:t>Финансовыми положениями и п</w:t>
      </w:r>
      <w:r w:rsidR="00E4766C" w:rsidRPr="000559B7">
        <w:rPr>
          <w:iCs/>
          <w:color w:val="212121"/>
          <w:szCs w:val="22"/>
          <w:lang w:val="ru-RU"/>
        </w:rPr>
        <w:t>равилами Программы Организации Объединенных Наций по окружающей среде, разрешить Исполнительному секретарю использовать отложенную сумму</w:t>
      </w:r>
      <w:r w:rsidRPr="000559B7">
        <w:rPr>
          <w:iCs/>
          <w:color w:val="212121"/>
          <w:szCs w:val="22"/>
          <w:lang w:val="ru-RU"/>
        </w:rPr>
        <w:t xml:space="preserve"> в консультации с</w:t>
      </w:r>
      <w:proofErr w:type="gramEnd"/>
      <w:r w:rsidR="00E4766C" w:rsidRPr="000559B7">
        <w:rPr>
          <w:iCs/>
          <w:color w:val="212121"/>
          <w:szCs w:val="22"/>
          <w:lang w:val="ru-RU"/>
        </w:rPr>
        <w:t xml:space="preserve"> бюро и </w:t>
      </w:r>
      <w:r w:rsidRPr="000559B7">
        <w:rPr>
          <w:iCs/>
          <w:color w:val="212121"/>
          <w:szCs w:val="22"/>
          <w:lang w:val="ru-RU"/>
        </w:rPr>
        <w:t xml:space="preserve">при условии последующего </w:t>
      </w:r>
      <w:r w:rsidR="00E4766C" w:rsidRPr="000559B7">
        <w:rPr>
          <w:iCs/>
          <w:color w:val="212121"/>
          <w:szCs w:val="22"/>
          <w:lang w:val="ru-RU"/>
        </w:rPr>
        <w:t xml:space="preserve">возмещения расходов за счет новых добровольных взносов в Целевой фонд и представить отчет об этом </w:t>
      </w:r>
      <w:r w:rsidR="00E4766C" w:rsidRPr="000559B7">
        <w:rPr>
          <w:color w:val="212121"/>
          <w:szCs w:val="22"/>
          <w:lang w:val="ru-RU" w:eastAsia="fr-CH"/>
        </w:rPr>
        <w:t xml:space="preserve">непосредственно </w:t>
      </w:r>
      <w:r w:rsidR="00E4766C" w:rsidRPr="000559B7">
        <w:rPr>
          <w:iCs/>
          <w:color w:val="212121"/>
          <w:szCs w:val="22"/>
          <w:lang w:val="ru-RU"/>
        </w:rPr>
        <w:t>Сторонам Конвенции и Сторонам протоколов на их последующих совещаниях;</w:t>
      </w:r>
    </w:p>
    <w:p w:rsidR="00E4766C" w:rsidRPr="000559B7" w:rsidRDefault="009B10A2" w:rsidP="00E4766C">
      <w:pPr>
        <w:suppressLineNumbers/>
        <w:suppressAutoHyphens/>
        <w:spacing w:before="120" w:after="120"/>
        <w:ind w:firstLine="720"/>
        <w:rPr>
          <w:color w:val="000000"/>
          <w:szCs w:val="22"/>
          <w:lang w:val="ru-RU" w:eastAsia="fr-FR"/>
        </w:rPr>
      </w:pPr>
      <w:r w:rsidRPr="000559B7">
        <w:rPr>
          <w:color w:val="000000"/>
          <w:szCs w:val="22"/>
          <w:lang w:val="ru-RU" w:eastAsia="fr-FR"/>
        </w:rPr>
        <w:t>47</w:t>
      </w:r>
      <w:r w:rsidR="00E4766C" w:rsidRPr="000559B7">
        <w:rPr>
          <w:color w:val="000000"/>
          <w:szCs w:val="22"/>
          <w:lang w:val="ru-RU" w:eastAsia="fr-FR"/>
        </w:rPr>
        <w:t>.</w:t>
      </w:r>
      <w:r w:rsidR="00E4766C" w:rsidRPr="000559B7">
        <w:rPr>
          <w:color w:val="000000"/>
          <w:szCs w:val="22"/>
          <w:lang w:val="ru-RU" w:eastAsia="fr-FR"/>
        </w:rPr>
        <w:tab/>
      </w:r>
      <w:r w:rsidR="00E4766C" w:rsidRPr="000559B7">
        <w:rPr>
          <w:i/>
          <w:color w:val="000000"/>
          <w:szCs w:val="22"/>
          <w:lang w:val="ru-RU" w:eastAsia="fr-FR"/>
        </w:rPr>
        <w:t>отмечает с озабоченностью</w:t>
      </w:r>
      <w:r w:rsidR="00E4766C" w:rsidRPr="000559B7">
        <w:rPr>
          <w:color w:val="000000"/>
          <w:szCs w:val="22"/>
          <w:lang w:val="ru-RU" w:eastAsia="fr-FR"/>
        </w:rPr>
        <w:t xml:space="preserve"> позднее представление бюджетных документов в преддверье 14-го совещания Конференции Сторон и </w:t>
      </w:r>
      <w:r w:rsidR="00E4766C" w:rsidRPr="000559B7">
        <w:rPr>
          <w:i/>
          <w:color w:val="000000"/>
          <w:szCs w:val="22"/>
          <w:lang w:val="ru-RU" w:eastAsia="fr-FR"/>
        </w:rPr>
        <w:t>призывает</w:t>
      </w:r>
      <w:r w:rsidR="00E4766C" w:rsidRPr="000559B7">
        <w:rPr>
          <w:color w:val="000000"/>
          <w:szCs w:val="22"/>
          <w:lang w:val="ru-RU" w:eastAsia="fr-FR"/>
        </w:rPr>
        <w:t xml:space="preserve"> Исполнительного секретаря принять необходимые меры для того, чтобы документы для 15-го совещания Конференции Сторон были распространены в полном соответствии с действующими правилами</w:t>
      </w:r>
      <w:r w:rsidR="00400920">
        <w:rPr>
          <w:color w:val="000000"/>
          <w:szCs w:val="22"/>
          <w:lang w:val="ru-RU" w:eastAsia="fr-FR"/>
        </w:rPr>
        <w:t xml:space="preserve"> и</w:t>
      </w:r>
      <w:r w:rsidR="00E4766C" w:rsidRPr="000559B7">
        <w:rPr>
          <w:color w:val="000000"/>
          <w:szCs w:val="22"/>
          <w:lang w:val="ru-RU" w:eastAsia="fr-FR"/>
        </w:rPr>
        <w:t xml:space="preserve"> своевременно </w:t>
      </w:r>
      <w:proofErr w:type="gramStart"/>
      <w:r w:rsidR="00E4766C" w:rsidRPr="000559B7">
        <w:rPr>
          <w:color w:val="000000"/>
          <w:szCs w:val="22"/>
          <w:lang w:val="ru-RU" w:eastAsia="fr-FR"/>
        </w:rPr>
        <w:t>информировать</w:t>
      </w:r>
      <w:proofErr w:type="gramEnd"/>
      <w:r w:rsidR="00E4766C" w:rsidRPr="000559B7">
        <w:rPr>
          <w:color w:val="000000"/>
          <w:szCs w:val="22"/>
          <w:lang w:val="ru-RU" w:eastAsia="fr-FR"/>
        </w:rPr>
        <w:t xml:space="preserve"> </w:t>
      </w:r>
      <w:r w:rsidR="00540D6D">
        <w:rPr>
          <w:color w:val="000000"/>
          <w:szCs w:val="22"/>
          <w:lang w:val="ru-RU" w:eastAsia="fr-FR"/>
        </w:rPr>
        <w:t>б</w:t>
      </w:r>
      <w:r w:rsidR="00E4766C" w:rsidRPr="000559B7">
        <w:rPr>
          <w:color w:val="000000"/>
          <w:szCs w:val="22"/>
          <w:lang w:val="ru-RU" w:eastAsia="fr-FR"/>
        </w:rPr>
        <w:t>юро о процессе подготовки бюджета;</w:t>
      </w:r>
    </w:p>
    <w:p w:rsidR="00E4766C" w:rsidRPr="000559B7" w:rsidRDefault="00FA49D6" w:rsidP="00E4766C">
      <w:pPr>
        <w:suppressLineNumbers/>
        <w:suppressAutoHyphens/>
        <w:spacing w:before="120" w:after="120"/>
        <w:ind w:firstLine="720"/>
        <w:rPr>
          <w:iCs/>
          <w:color w:val="000000"/>
          <w:lang w:val="ru-RU"/>
        </w:rPr>
      </w:pPr>
      <w:proofErr w:type="gramStart"/>
      <w:r w:rsidRPr="000559B7">
        <w:rPr>
          <w:iCs/>
          <w:color w:val="000000"/>
          <w:lang w:val="ru-RU"/>
        </w:rPr>
        <w:t>48</w:t>
      </w:r>
      <w:r w:rsidR="00E4766C" w:rsidRPr="000559B7">
        <w:rPr>
          <w:iCs/>
          <w:color w:val="000000"/>
          <w:lang w:val="ru-RU"/>
        </w:rPr>
        <w:t>.</w:t>
      </w:r>
      <w:r w:rsidR="00E4766C" w:rsidRPr="000559B7">
        <w:rPr>
          <w:iCs/>
          <w:color w:val="000000"/>
          <w:lang w:val="ru-RU"/>
        </w:rPr>
        <w:tab/>
      </w:r>
      <w:r w:rsidR="00E4766C" w:rsidRPr="000559B7">
        <w:rPr>
          <w:i/>
          <w:iCs/>
          <w:color w:val="000000"/>
          <w:lang w:val="ru-RU"/>
        </w:rPr>
        <w:t>поручает</w:t>
      </w:r>
      <w:r w:rsidR="00E4766C" w:rsidRPr="000559B7">
        <w:rPr>
          <w:iCs/>
          <w:color w:val="000000"/>
          <w:lang w:val="ru-RU"/>
        </w:rPr>
        <w:t xml:space="preserve"> Исполнительному секретарю подготовить и представить </w:t>
      </w:r>
      <w:r w:rsidR="00400920">
        <w:rPr>
          <w:iCs/>
          <w:color w:val="000000"/>
          <w:lang w:val="ru-RU"/>
        </w:rPr>
        <w:t xml:space="preserve">для рассмотрения Конференции </w:t>
      </w:r>
      <w:r w:rsidR="00E4766C" w:rsidRPr="000559B7">
        <w:rPr>
          <w:iCs/>
          <w:color w:val="000000"/>
          <w:lang w:val="ru-RU"/>
        </w:rPr>
        <w:t xml:space="preserve">Сторон Конвенции и протоколов к ней на их следующих совещаниях обновленную, подробную и комплексную программу работы для Конвенции и протоколов к ней на период с 2021 по 2022 годы с указанием </w:t>
      </w:r>
      <w:r w:rsidR="00FC18A9" w:rsidRPr="00FC18A9">
        <w:rPr>
          <w:iCs/>
          <w:color w:val="000000"/>
          <w:lang w:val="ru-RU"/>
        </w:rPr>
        <w:t>порученных секретариату</w:t>
      </w:r>
      <w:r w:rsidR="00FC18A9">
        <w:rPr>
          <w:iCs/>
          <w:color w:val="000000"/>
          <w:lang w:val="ru-RU"/>
        </w:rPr>
        <w:t xml:space="preserve"> </w:t>
      </w:r>
      <w:r w:rsidR="00E4766C" w:rsidRPr="000559B7">
        <w:rPr>
          <w:iCs/>
          <w:color w:val="000000"/>
          <w:lang w:val="ru-RU"/>
        </w:rPr>
        <w:t>целей</w:t>
      </w:r>
      <w:r w:rsidR="00FC18A9">
        <w:rPr>
          <w:iCs/>
          <w:color w:val="000000"/>
          <w:lang w:val="ru-RU"/>
        </w:rPr>
        <w:t xml:space="preserve"> и задач </w:t>
      </w:r>
      <w:r w:rsidR="00E4766C" w:rsidRPr="000559B7">
        <w:rPr>
          <w:iCs/>
          <w:color w:val="000000"/>
          <w:lang w:val="ru-RU"/>
        </w:rPr>
        <w:t xml:space="preserve">и ожидаемых </w:t>
      </w:r>
      <w:r w:rsidR="00E4766C" w:rsidRPr="000559B7">
        <w:rPr>
          <w:iCs/>
          <w:color w:val="000000"/>
          <w:lang w:val="ru-RU"/>
        </w:rPr>
        <w:lastRenderedPageBreak/>
        <w:t>результатов по каждому пункту бюджета, а также соответствующий программный бюджет, следующий формату</w:t>
      </w:r>
      <w:proofErr w:type="gramEnd"/>
      <w:r w:rsidR="00E4766C" w:rsidRPr="000559B7">
        <w:rPr>
          <w:iCs/>
          <w:color w:val="000000"/>
          <w:lang w:val="ru-RU"/>
        </w:rPr>
        <w:t xml:space="preserve"> предлагаемого программного бюджета Программы Организации Объединенных Наций по окружающей среде, включая дополнительное информационное заявление на двухлетний период, содержащее три альтернативных варианта:</w:t>
      </w:r>
    </w:p>
    <w:p w:rsidR="00E4766C" w:rsidRPr="000559B7" w:rsidRDefault="00E4766C" w:rsidP="00E4766C">
      <w:pPr>
        <w:numPr>
          <w:ilvl w:val="0"/>
          <w:numId w:val="8"/>
        </w:numPr>
        <w:tabs>
          <w:tab w:val="clear" w:pos="720"/>
        </w:tabs>
        <w:spacing w:before="120" w:after="120"/>
        <w:ind w:left="0" w:firstLine="709"/>
        <w:rPr>
          <w:iCs/>
          <w:color w:val="000000"/>
          <w:lang w:val="ru-RU"/>
        </w:rPr>
      </w:pPr>
      <w:proofErr w:type="gramStart"/>
      <w:r w:rsidRPr="000559B7">
        <w:rPr>
          <w:iCs/>
          <w:color w:val="000000"/>
          <w:lang w:val="ru-RU"/>
        </w:rPr>
        <w:t xml:space="preserve">оценку требуемых темпов роста бюджета по программам (в рамках </w:t>
      </w:r>
      <w:r w:rsidR="00FC0DAF">
        <w:rPr>
          <w:iCs/>
          <w:color w:val="000000"/>
          <w:lang w:val="ru-RU"/>
        </w:rPr>
        <w:t>ц</w:t>
      </w:r>
      <w:r w:rsidRPr="000559B7">
        <w:rPr>
          <w:iCs/>
          <w:color w:val="000000"/>
          <w:lang w:val="ru-RU"/>
        </w:rPr>
        <w:t xml:space="preserve">елевых фондов BY, BG и BB), </w:t>
      </w:r>
      <w:r w:rsidR="00FC18A9">
        <w:rPr>
          <w:iCs/>
          <w:color w:val="000000"/>
          <w:lang w:val="ru-RU"/>
        </w:rPr>
        <w:t>которые не должны</w:t>
      </w:r>
      <w:r w:rsidRPr="000559B7">
        <w:rPr>
          <w:iCs/>
          <w:color w:val="000000"/>
          <w:lang w:val="ru-RU"/>
        </w:rPr>
        <w:t xml:space="preserve"> превыша</w:t>
      </w:r>
      <w:r w:rsidR="00FC18A9">
        <w:rPr>
          <w:iCs/>
          <w:color w:val="000000"/>
          <w:lang w:val="ru-RU"/>
        </w:rPr>
        <w:t>ть</w:t>
      </w:r>
      <w:r w:rsidR="00FA49D6" w:rsidRPr="000559B7">
        <w:rPr>
          <w:iCs/>
          <w:color w:val="000000"/>
          <w:lang w:val="ru-RU"/>
        </w:rPr>
        <w:t xml:space="preserve"> 4-процентного увеличения от </w:t>
      </w:r>
      <w:r w:rsidRPr="000559B7">
        <w:rPr>
          <w:iCs/>
          <w:color w:val="000000"/>
          <w:lang w:val="ru-RU"/>
        </w:rPr>
        <w:t xml:space="preserve">общего уровня </w:t>
      </w:r>
      <w:r w:rsidR="00FC18A9">
        <w:rPr>
          <w:iCs/>
          <w:color w:val="000000"/>
          <w:lang w:val="ru-RU"/>
        </w:rPr>
        <w:t xml:space="preserve">для </w:t>
      </w:r>
      <w:r w:rsidRPr="000559B7">
        <w:rPr>
          <w:iCs/>
          <w:color w:val="000000"/>
          <w:lang w:val="ru-RU"/>
        </w:rPr>
        <w:t>2019-2020 годов за вычетом суммы в статье бюджета</w:t>
      </w:r>
      <w:r w:rsidR="00FA49D6" w:rsidRPr="000559B7">
        <w:rPr>
          <w:iCs/>
          <w:color w:val="000000"/>
          <w:lang w:val="ru-RU"/>
        </w:rPr>
        <w:t xml:space="preserve"> K</w:t>
      </w:r>
      <w:r w:rsidRPr="000559B7">
        <w:rPr>
          <w:iCs/>
          <w:color w:val="000000"/>
          <w:lang w:val="ru-RU"/>
        </w:rPr>
        <w:t xml:space="preserve"> </w:t>
      </w:r>
      <w:r w:rsidR="00FA49D6" w:rsidRPr="000559B7">
        <w:rPr>
          <w:iCs/>
          <w:color w:val="000000"/>
          <w:lang w:val="ru-RU"/>
        </w:rPr>
        <w:t>на внеочередные совещания, касающиеся</w:t>
      </w:r>
      <w:r w:rsidR="00400920">
        <w:rPr>
          <w:iCs/>
          <w:color w:val="000000"/>
          <w:lang w:val="ru-RU"/>
        </w:rPr>
        <w:t xml:space="preserve"> </w:t>
      </w:r>
      <w:r w:rsidR="00400920" w:rsidRPr="00876F9C">
        <w:rPr>
          <w:lang w:val="ru-RU"/>
        </w:rPr>
        <w:t>глобальной рамочной программ</w:t>
      </w:r>
      <w:r w:rsidR="00400920">
        <w:rPr>
          <w:lang w:val="ru-RU"/>
        </w:rPr>
        <w:t>ы</w:t>
      </w:r>
      <w:r w:rsidR="00400920" w:rsidRPr="00876F9C">
        <w:rPr>
          <w:lang w:val="ru-RU"/>
        </w:rPr>
        <w:t xml:space="preserve"> в области биоразнообразия на период после 2020 года</w:t>
      </w:r>
      <w:r w:rsidR="00FA49D6" w:rsidRPr="000559B7">
        <w:rPr>
          <w:iCs/>
          <w:color w:val="000000"/>
          <w:lang w:val="ru-RU"/>
        </w:rPr>
        <w:t>,</w:t>
      </w:r>
      <w:r w:rsidRPr="000559B7">
        <w:rPr>
          <w:iCs/>
          <w:color w:val="000000"/>
          <w:lang w:val="ru-RU"/>
        </w:rPr>
        <w:t xml:space="preserve"> в номинальном выражении;</w:t>
      </w:r>
      <w:proofErr w:type="gramEnd"/>
    </w:p>
    <w:p w:rsidR="00E4766C" w:rsidRPr="000559B7" w:rsidRDefault="00E4766C" w:rsidP="00E4766C">
      <w:pPr>
        <w:numPr>
          <w:ilvl w:val="0"/>
          <w:numId w:val="8"/>
        </w:numPr>
        <w:tabs>
          <w:tab w:val="clear" w:pos="720"/>
        </w:tabs>
        <w:spacing w:before="120" w:after="120"/>
        <w:ind w:left="0" w:firstLine="709"/>
        <w:rPr>
          <w:iCs/>
          <w:color w:val="000000"/>
          <w:lang w:val="ru-RU"/>
        </w:rPr>
      </w:pPr>
      <w:r w:rsidRPr="000559B7">
        <w:rPr>
          <w:iCs/>
          <w:color w:val="000000"/>
          <w:lang w:val="ru-RU"/>
        </w:rPr>
        <w:t xml:space="preserve">поддержание бюджета по программам (в рамках </w:t>
      </w:r>
      <w:r w:rsidR="00FC0DAF">
        <w:rPr>
          <w:iCs/>
          <w:color w:val="000000"/>
          <w:lang w:val="ru-RU"/>
        </w:rPr>
        <w:t>ц</w:t>
      </w:r>
      <w:r w:rsidRPr="000559B7">
        <w:rPr>
          <w:iCs/>
          <w:color w:val="000000"/>
          <w:lang w:val="ru-RU"/>
        </w:rPr>
        <w:t xml:space="preserve">елевых фондов BY, BG и BB) на общем уровне 2019-2020 годов за вычетом суммы в статье бюджета </w:t>
      </w:r>
      <w:r w:rsidR="00FA49D6" w:rsidRPr="000559B7">
        <w:rPr>
          <w:iCs/>
          <w:color w:val="000000"/>
          <w:lang w:val="ru-RU"/>
        </w:rPr>
        <w:t xml:space="preserve">K на внеочередные совещания, касающиеся </w:t>
      </w:r>
      <w:r w:rsidR="00400920" w:rsidRPr="00400920">
        <w:rPr>
          <w:iCs/>
          <w:color w:val="000000"/>
          <w:lang w:val="ru-RU"/>
        </w:rPr>
        <w:t>глобальной рамочной программы в области биоразнообразия на период после 2020 года</w:t>
      </w:r>
      <w:r w:rsidR="00FA49D6" w:rsidRPr="000559B7">
        <w:rPr>
          <w:iCs/>
          <w:color w:val="000000"/>
          <w:lang w:val="ru-RU"/>
        </w:rPr>
        <w:t>,</w:t>
      </w:r>
      <w:r w:rsidRPr="000559B7">
        <w:rPr>
          <w:iCs/>
          <w:color w:val="000000"/>
          <w:lang w:val="ru-RU"/>
        </w:rPr>
        <w:t xml:space="preserve"> в реальном выражении;</w:t>
      </w:r>
    </w:p>
    <w:p w:rsidR="00E4766C" w:rsidRPr="000559B7" w:rsidRDefault="00E4766C" w:rsidP="00E4766C">
      <w:pPr>
        <w:numPr>
          <w:ilvl w:val="0"/>
          <w:numId w:val="8"/>
        </w:numPr>
        <w:tabs>
          <w:tab w:val="clear" w:pos="720"/>
        </w:tabs>
        <w:spacing w:before="120" w:after="120"/>
        <w:ind w:left="0" w:firstLine="709"/>
        <w:rPr>
          <w:iCs/>
          <w:color w:val="000000"/>
          <w:lang w:val="ru-RU"/>
        </w:rPr>
      </w:pPr>
      <w:r w:rsidRPr="000559B7">
        <w:rPr>
          <w:iCs/>
          <w:color w:val="000000"/>
          <w:lang w:val="ru-RU"/>
        </w:rPr>
        <w:t xml:space="preserve">поддержание бюджета по программам (в рамках </w:t>
      </w:r>
      <w:r w:rsidR="00FC0DAF">
        <w:rPr>
          <w:iCs/>
          <w:color w:val="000000"/>
          <w:lang w:val="ru-RU"/>
        </w:rPr>
        <w:t>ц</w:t>
      </w:r>
      <w:r w:rsidRPr="000559B7">
        <w:rPr>
          <w:iCs/>
          <w:color w:val="000000"/>
          <w:lang w:val="ru-RU"/>
        </w:rPr>
        <w:t xml:space="preserve">елевых фондов BY, BG и BB) на общем уровне 2019-2020 годов за вычетом суммы в статье бюджета </w:t>
      </w:r>
      <w:r w:rsidR="00FA49D6" w:rsidRPr="000559B7">
        <w:rPr>
          <w:iCs/>
          <w:color w:val="000000"/>
          <w:lang w:val="ru-RU"/>
        </w:rPr>
        <w:t xml:space="preserve">K на внеочередные совещания, касающиеся </w:t>
      </w:r>
      <w:r w:rsidR="00400920" w:rsidRPr="00400920">
        <w:rPr>
          <w:iCs/>
          <w:color w:val="000000"/>
          <w:lang w:val="ru-RU"/>
        </w:rPr>
        <w:t>глобальной рамочной программы в области биоразнообразия на период после 2020 года</w:t>
      </w:r>
      <w:r w:rsidR="00FA49D6" w:rsidRPr="000559B7">
        <w:rPr>
          <w:iCs/>
          <w:color w:val="000000"/>
          <w:lang w:val="ru-RU"/>
        </w:rPr>
        <w:t>,</w:t>
      </w:r>
      <w:r w:rsidRPr="000559B7">
        <w:rPr>
          <w:iCs/>
          <w:color w:val="000000"/>
          <w:lang w:val="ru-RU"/>
        </w:rPr>
        <w:t xml:space="preserve"> в номинальном выражении;</w:t>
      </w:r>
    </w:p>
    <w:p w:rsidR="00E4766C" w:rsidRPr="000559B7" w:rsidRDefault="00FA49D6" w:rsidP="00E4766C">
      <w:pPr>
        <w:suppressLineNumbers/>
        <w:suppressAutoHyphens/>
        <w:spacing w:before="120" w:after="120"/>
        <w:ind w:firstLine="720"/>
        <w:rPr>
          <w:iCs/>
          <w:color w:val="000000"/>
          <w:lang w:val="ru-RU"/>
        </w:rPr>
      </w:pPr>
      <w:r w:rsidRPr="000559B7">
        <w:rPr>
          <w:iCs/>
          <w:color w:val="000000"/>
          <w:lang w:val="ru-RU"/>
        </w:rPr>
        <w:t>49</w:t>
      </w:r>
      <w:r w:rsidR="00E4766C" w:rsidRPr="000559B7">
        <w:rPr>
          <w:iCs/>
          <w:color w:val="000000"/>
          <w:lang w:val="ru-RU"/>
        </w:rPr>
        <w:t>.</w:t>
      </w:r>
      <w:r w:rsidR="00E4766C" w:rsidRPr="000559B7">
        <w:rPr>
          <w:iCs/>
          <w:color w:val="000000"/>
          <w:lang w:val="ru-RU"/>
        </w:rPr>
        <w:tab/>
      </w:r>
      <w:r w:rsidR="00E4766C" w:rsidRPr="000559B7">
        <w:rPr>
          <w:i/>
          <w:iCs/>
          <w:color w:val="000000"/>
          <w:lang w:val="ru-RU"/>
        </w:rPr>
        <w:t>поручает также</w:t>
      </w:r>
      <w:r w:rsidR="00E4766C" w:rsidRPr="000559B7">
        <w:rPr>
          <w:iCs/>
          <w:color w:val="000000"/>
          <w:lang w:val="ru-RU"/>
        </w:rPr>
        <w:t xml:space="preserve"> Исполнительному секретарю принять все возможны</w:t>
      </w:r>
      <w:r w:rsidR="008568B0">
        <w:rPr>
          <w:iCs/>
          <w:color w:val="000000"/>
          <w:lang w:val="ru-RU"/>
        </w:rPr>
        <w:t>е</w:t>
      </w:r>
      <w:r w:rsidR="00E4766C" w:rsidRPr="000559B7">
        <w:rPr>
          <w:iCs/>
          <w:color w:val="000000"/>
          <w:lang w:val="ru-RU"/>
        </w:rPr>
        <w:t xml:space="preserve"> меры для повышения эффективности</w:t>
      </w:r>
      <w:r w:rsidRPr="000559B7">
        <w:rPr>
          <w:iCs/>
          <w:color w:val="000000"/>
          <w:lang w:val="ru-RU"/>
        </w:rPr>
        <w:t xml:space="preserve"> и результативности работы</w:t>
      </w:r>
      <w:r w:rsidR="00E4766C" w:rsidRPr="000559B7">
        <w:rPr>
          <w:iCs/>
          <w:color w:val="000000"/>
          <w:lang w:val="ru-RU"/>
        </w:rPr>
        <w:t xml:space="preserve"> секретариата и отразить эти меры в трех предлагаемых сценариях;</w:t>
      </w:r>
    </w:p>
    <w:p w:rsidR="00E4766C" w:rsidRPr="000559B7" w:rsidRDefault="00FA49D6" w:rsidP="00E4766C">
      <w:pPr>
        <w:spacing w:before="120" w:after="120"/>
        <w:ind w:firstLine="720"/>
        <w:rPr>
          <w:lang w:val="ru-RU"/>
        </w:rPr>
      </w:pPr>
      <w:proofErr w:type="gramStart"/>
      <w:r w:rsidRPr="000559B7">
        <w:rPr>
          <w:iCs/>
          <w:color w:val="000000"/>
          <w:lang w:val="ru-RU"/>
        </w:rPr>
        <w:t>50</w:t>
      </w:r>
      <w:r w:rsidR="00E4766C" w:rsidRPr="000559B7">
        <w:rPr>
          <w:iCs/>
          <w:color w:val="000000"/>
          <w:lang w:val="ru-RU"/>
        </w:rPr>
        <w:t>.</w:t>
      </w:r>
      <w:r w:rsidR="00E4766C" w:rsidRPr="000559B7">
        <w:rPr>
          <w:iCs/>
          <w:color w:val="000000"/>
          <w:lang w:val="ru-RU"/>
        </w:rPr>
        <w:tab/>
      </w:r>
      <w:r w:rsidR="00E4766C" w:rsidRPr="000559B7">
        <w:rPr>
          <w:i/>
          <w:iCs/>
          <w:color w:val="000000"/>
          <w:lang w:val="ru-RU"/>
        </w:rPr>
        <w:t>далее</w:t>
      </w:r>
      <w:r w:rsidR="00E4766C" w:rsidRPr="000559B7">
        <w:rPr>
          <w:iCs/>
          <w:color w:val="000000"/>
          <w:lang w:val="ru-RU"/>
        </w:rPr>
        <w:t xml:space="preserve"> </w:t>
      </w:r>
      <w:r w:rsidR="00E4766C" w:rsidRPr="008568B0">
        <w:rPr>
          <w:i/>
          <w:iCs/>
          <w:color w:val="000000"/>
          <w:lang w:val="ru-RU"/>
        </w:rPr>
        <w:t>поручает</w:t>
      </w:r>
      <w:r w:rsidR="00E4766C" w:rsidRPr="000559B7">
        <w:rPr>
          <w:iCs/>
          <w:color w:val="000000"/>
          <w:lang w:val="ru-RU"/>
        </w:rPr>
        <w:t xml:space="preserve"> Исполнительному секретарю представить </w:t>
      </w:r>
      <w:r w:rsidR="00400920" w:rsidRPr="00400920">
        <w:rPr>
          <w:iCs/>
          <w:color w:val="000000"/>
          <w:lang w:val="ru-RU"/>
        </w:rPr>
        <w:t xml:space="preserve">Конференции </w:t>
      </w:r>
      <w:r w:rsidR="00E4766C" w:rsidRPr="000559B7">
        <w:rPr>
          <w:iCs/>
          <w:color w:val="000000"/>
          <w:lang w:val="ru-RU"/>
        </w:rPr>
        <w:t xml:space="preserve">Сторон Конвенции и </w:t>
      </w:r>
      <w:r w:rsidR="00400920" w:rsidRPr="00400920">
        <w:rPr>
          <w:iCs/>
          <w:color w:val="000000"/>
          <w:lang w:val="ru-RU"/>
        </w:rPr>
        <w:t>Конференции Сторон</w:t>
      </w:r>
      <w:r w:rsidR="00400920">
        <w:rPr>
          <w:iCs/>
          <w:color w:val="000000"/>
          <w:lang w:val="ru-RU"/>
        </w:rPr>
        <w:t xml:space="preserve">, выступающей в качестве совещания Сторон ее протоколов, </w:t>
      </w:r>
      <w:r w:rsidR="00E4766C" w:rsidRPr="000559B7">
        <w:rPr>
          <w:iCs/>
          <w:color w:val="000000"/>
          <w:lang w:val="ru-RU"/>
        </w:rPr>
        <w:t>на их следующих совещаниях доклады о поступлениях и исполнении бюджета, неизрасходованных остатках и положении дел с излишками средств и переходящими остатками, а также о любых корректировках, внесенных в бюджет на двухлетний период 2019-2020 годов.</w:t>
      </w:r>
      <w:proofErr w:type="gramEnd"/>
    </w:p>
    <w:p w:rsidR="00451B9F" w:rsidRPr="000559B7" w:rsidRDefault="00451B9F" w:rsidP="00E71642">
      <w:pPr>
        <w:spacing w:before="120" w:after="120"/>
        <w:rPr>
          <w:rFonts w:eastAsia="Malgun Gothic"/>
          <w:b/>
          <w:bCs/>
          <w:color w:val="000000"/>
          <w:kern w:val="18"/>
          <w:lang w:val="ru-RU" w:eastAsia="ko-KR"/>
        </w:rPr>
      </w:pPr>
    </w:p>
    <w:p w:rsidR="002108B1" w:rsidRPr="000559B7" w:rsidRDefault="002108B1">
      <w:pPr>
        <w:spacing w:after="160" w:line="259" w:lineRule="auto"/>
        <w:jc w:val="left"/>
        <w:rPr>
          <w:b/>
          <w:bCs/>
          <w:color w:val="000000"/>
          <w:sz w:val="20"/>
          <w:szCs w:val="20"/>
          <w:lang w:val="ru-RU" w:eastAsia="de-CH"/>
        </w:rPr>
      </w:pPr>
      <w:r w:rsidRPr="000559B7">
        <w:rPr>
          <w:b/>
          <w:bCs/>
          <w:sz w:val="20"/>
          <w:szCs w:val="20"/>
          <w:lang w:val="ru-RU"/>
        </w:rPr>
        <w:br w:type="page"/>
      </w:r>
    </w:p>
    <w:p w:rsidR="00836205" w:rsidRDefault="00836205" w:rsidP="002135C8">
      <w:pPr>
        <w:ind w:left="1440" w:hanging="1440"/>
        <w:rPr>
          <w:b/>
          <w:lang w:val="ru-RU"/>
        </w:rPr>
      </w:pPr>
      <w:r w:rsidRPr="002135C8">
        <w:rPr>
          <w:b/>
          <w:lang w:val="ru-RU"/>
        </w:rPr>
        <w:lastRenderedPageBreak/>
        <w:t>Таблица 1а. Комплексный бюджет целевых фондов Конвенции о биологическом разнообразии и протоколов к ней на двухлетний период 2019-2020 гг.</w:t>
      </w:r>
    </w:p>
    <w:p w:rsidR="002135C8" w:rsidRPr="002135C8" w:rsidRDefault="002135C8" w:rsidP="002135C8">
      <w:pPr>
        <w:ind w:left="1440" w:hanging="1440"/>
        <w:rPr>
          <w:b/>
          <w:lang w:val="ru-RU"/>
        </w:rPr>
      </w:pPr>
    </w:p>
    <w:tbl>
      <w:tblPr>
        <w:tblW w:w="9120" w:type="dxa"/>
        <w:tblInd w:w="93" w:type="dxa"/>
        <w:tblLook w:val="04A0"/>
      </w:tblPr>
      <w:tblGrid>
        <w:gridCol w:w="4520"/>
        <w:gridCol w:w="1360"/>
        <w:gridCol w:w="1600"/>
        <w:gridCol w:w="1640"/>
      </w:tblGrid>
      <w:tr w:rsidR="00836205" w:rsidRPr="000559B7" w:rsidTr="00836205">
        <w:trPr>
          <w:trHeight w:val="288"/>
        </w:trPr>
        <w:tc>
          <w:tcPr>
            <w:tcW w:w="4520" w:type="dxa"/>
            <w:vMerge w:val="restart"/>
            <w:tcBorders>
              <w:top w:val="single" w:sz="8" w:space="0" w:color="auto"/>
              <w:left w:val="nil"/>
              <w:bottom w:val="single" w:sz="12" w:space="0" w:color="000000"/>
              <w:right w:val="nil"/>
            </w:tcBorders>
            <w:shd w:val="clear" w:color="auto" w:fill="auto"/>
            <w:vAlign w:val="center"/>
            <w:hideMark/>
          </w:tcPr>
          <w:p w:rsidR="00836205" w:rsidRPr="000559B7" w:rsidRDefault="00836205" w:rsidP="00836205">
            <w:pPr>
              <w:jc w:val="left"/>
              <w:rPr>
                <w:i/>
                <w:iCs/>
                <w:color w:val="000000"/>
                <w:sz w:val="15"/>
                <w:szCs w:val="15"/>
                <w:lang w:val="ru-RU"/>
              </w:rPr>
            </w:pPr>
            <w:r w:rsidRPr="000559B7">
              <w:rPr>
                <w:i/>
                <w:iCs/>
                <w:color w:val="000000"/>
                <w:sz w:val="15"/>
                <w:szCs w:val="15"/>
                <w:lang w:val="ru-RU"/>
              </w:rPr>
              <w:t> </w:t>
            </w:r>
          </w:p>
        </w:tc>
        <w:tc>
          <w:tcPr>
            <w:tcW w:w="1360" w:type="dxa"/>
            <w:vMerge w:val="restart"/>
            <w:tcBorders>
              <w:top w:val="single" w:sz="8" w:space="0" w:color="auto"/>
              <w:left w:val="nil"/>
              <w:bottom w:val="single" w:sz="12" w:space="0" w:color="000000"/>
              <w:right w:val="nil"/>
            </w:tcBorders>
            <w:shd w:val="clear" w:color="auto" w:fill="auto"/>
            <w:vAlign w:val="center"/>
            <w:hideMark/>
          </w:tcPr>
          <w:p w:rsidR="00836205" w:rsidRPr="000559B7" w:rsidRDefault="00836205" w:rsidP="00400920">
            <w:pPr>
              <w:ind w:left="-77" w:right="-55"/>
              <w:jc w:val="center"/>
              <w:rPr>
                <w:i/>
                <w:iCs/>
                <w:color w:val="000000"/>
                <w:sz w:val="15"/>
                <w:szCs w:val="15"/>
                <w:lang w:val="ru-RU"/>
              </w:rPr>
            </w:pPr>
            <w:r w:rsidRPr="000559B7">
              <w:rPr>
                <w:i/>
                <w:iCs/>
                <w:color w:val="000000"/>
                <w:sz w:val="15"/>
                <w:szCs w:val="15"/>
                <w:lang w:val="ru-RU"/>
              </w:rPr>
              <w:t>2019 год</w:t>
            </w:r>
            <w:r w:rsidR="00400920">
              <w:rPr>
                <w:i/>
                <w:iCs/>
                <w:color w:val="000000"/>
                <w:sz w:val="15"/>
                <w:szCs w:val="15"/>
                <w:lang w:val="ru-RU"/>
              </w:rPr>
              <w:br/>
            </w:r>
            <w:r w:rsidRPr="000559B7">
              <w:rPr>
                <w:i/>
                <w:iCs/>
                <w:color w:val="000000"/>
                <w:sz w:val="15"/>
                <w:szCs w:val="15"/>
                <w:lang w:val="ru-RU"/>
              </w:rPr>
              <w:t xml:space="preserve"> (тысяч долл. США)</w:t>
            </w:r>
          </w:p>
        </w:tc>
        <w:tc>
          <w:tcPr>
            <w:tcW w:w="1600" w:type="dxa"/>
            <w:vMerge w:val="restart"/>
            <w:tcBorders>
              <w:top w:val="single" w:sz="8" w:space="0" w:color="auto"/>
              <w:left w:val="nil"/>
              <w:bottom w:val="single" w:sz="12" w:space="0" w:color="000000"/>
              <w:right w:val="nil"/>
            </w:tcBorders>
            <w:shd w:val="clear" w:color="auto" w:fill="auto"/>
            <w:vAlign w:val="center"/>
            <w:hideMark/>
          </w:tcPr>
          <w:p w:rsidR="00836205" w:rsidRPr="000559B7" w:rsidRDefault="00836205" w:rsidP="00400920">
            <w:pPr>
              <w:jc w:val="center"/>
              <w:rPr>
                <w:i/>
                <w:iCs/>
                <w:color w:val="000000"/>
                <w:sz w:val="15"/>
                <w:szCs w:val="15"/>
                <w:lang w:val="ru-RU"/>
              </w:rPr>
            </w:pPr>
            <w:r w:rsidRPr="000559B7">
              <w:rPr>
                <w:i/>
                <w:iCs/>
                <w:color w:val="000000"/>
                <w:sz w:val="15"/>
                <w:szCs w:val="15"/>
                <w:lang w:val="ru-RU"/>
              </w:rPr>
              <w:t xml:space="preserve">2020 год </w:t>
            </w:r>
            <w:r w:rsidR="00400920">
              <w:rPr>
                <w:i/>
                <w:iCs/>
                <w:color w:val="000000"/>
                <w:sz w:val="15"/>
                <w:szCs w:val="15"/>
                <w:lang w:val="ru-RU"/>
              </w:rPr>
              <w:br/>
            </w:r>
            <w:r w:rsidRPr="000559B7">
              <w:rPr>
                <w:i/>
                <w:iCs/>
                <w:color w:val="000000"/>
                <w:sz w:val="15"/>
                <w:szCs w:val="15"/>
                <w:lang w:val="ru-RU"/>
              </w:rPr>
              <w:t xml:space="preserve"> (тысяч долл. США)</w:t>
            </w:r>
          </w:p>
        </w:tc>
        <w:tc>
          <w:tcPr>
            <w:tcW w:w="1640" w:type="dxa"/>
            <w:vMerge w:val="restart"/>
            <w:tcBorders>
              <w:top w:val="single" w:sz="8" w:space="0" w:color="auto"/>
              <w:left w:val="nil"/>
              <w:bottom w:val="single" w:sz="12" w:space="0" w:color="000000"/>
              <w:right w:val="nil"/>
            </w:tcBorders>
            <w:shd w:val="clear" w:color="auto" w:fill="auto"/>
            <w:vAlign w:val="center"/>
            <w:hideMark/>
          </w:tcPr>
          <w:p w:rsidR="00836205" w:rsidRPr="000559B7" w:rsidRDefault="00400920" w:rsidP="00400920">
            <w:pPr>
              <w:jc w:val="center"/>
              <w:rPr>
                <w:i/>
                <w:iCs/>
                <w:color w:val="000000"/>
                <w:sz w:val="15"/>
                <w:szCs w:val="15"/>
                <w:lang w:val="ru-RU"/>
              </w:rPr>
            </w:pPr>
            <w:r>
              <w:rPr>
                <w:i/>
                <w:iCs/>
                <w:color w:val="000000"/>
                <w:sz w:val="15"/>
                <w:szCs w:val="15"/>
                <w:lang w:val="ru-RU"/>
              </w:rPr>
              <w:t>Итого</w:t>
            </w:r>
            <w:r>
              <w:rPr>
                <w:i/>
                <w:iCs/>
                <w:color w:val="000000"/>
                <w:sz w:val="15"/>
                <w:szCs w:val="15"/>
                <w:lang w:val="ru-RU"/>
              </w:rPr>
              <w:br/>
            </w:r>
            <w:r w:rsidR="00836205" w:rsidRPr="000559B7">
              <w:rPr>
                <w:i/>
                <w:iCs/>
                <w:color w:val="000000"/>
                <w:sz w:val="15"/>
                <w:szCs w:val="15"/>
                <w:lang w:val="ru-RU"/>
              </w:rPr>
              <w:t xml:space="preserve"> (тысяч долл. США)</w:t>
            </w:r>
          </w:p>
        </w:tc>
      </w:tr>
      <w:tr w:rsidR="00836205" w:rsidRPr="000559B7" w:rsidTr="00836205">
        <w:trPr>
          <w:trHeight w:val="433"/>
        </w:trPr>
        <w:tc>
          <w:tcPr>
            <w:tcW w:w="4520" w:type="dxa"/>
            <w:vMerge/>
            <w:tcBorders>
              <w:top w:val="single" w:sz="8" w:space="0" w:color="auto"/>
              <w:left w:val="nil"/>
              <w:bottom w:val="single" w:sz="12" w:space="0" w:color="000000"/>
              <w:right w:val="nil"/>
            </w:tcBorders>
            <w:vAlign w:val="center"/>
            <w:hideMark/>
          </w:tcPr>
          <w:p w:rsidR="00836205" w:rsidRPr="000559B7" w:rsidRDefault="00836205" w:rsidP="00836205">
            <w:pPr>
              <w:jc w:val="left"/>
              <w:rPr>
                <w:i/>
                <w:iCs/>
                <w:color w:val="000000"/>
                <w:sz w:val="15"/>
                <w:szCs w:val="15"/>
                <w:lang w:val="ru-RU"/>
              </w:rPr>
            </w:pPr>
          </w:p>
        </w:tc>
        <w:tc>
          <w:tcPr>
            <w:tcW w:w="1360" w:type="dxa"/>
            <w:vMerge/>
            <w:tcBorders>
              <w:top w:val="single" w:sz="8" w:space="0" w:color="auto"/>
              <w:left w:val="nil"/>
              <w:bottom w:val="single" w:sz="12" w:space="0" w:color="000000"/>
              <w:right w:val="nil"/>
            </w:tcBorders>
            <w:vAlign w:val="center"/>
            <w:hideMark/>
          </w:tcPr>
          <w:p w:rsidR="00836205" w:rsidRPr="000559B7" w:rsidRDefault="00836205" w:rsidP="00836205">
            <w:pPr>
              <w:jc w:val="left"/>
              <w:rPr>
                <w:i/>
                <w:iCs/>
                <w:color w:val="000000"/>
                <w:sz w:val="15"/>
                <w:szCs w:val="15"/>
                <w:lang w:val="ru-RU"/>
              </w:rPr>
            </w:pPr>
          </w:p>
        </w:tc>
        <w:tc>
          <w:tcPr>
            <w:tcW w:w="1600" w:type="dxa"/>
            <w:vMerge/>
            <w:tcBorders>
              <w:top w:val="single" w:sz="8" w:space="0" w:color="auto"/>
              <w:left w:val="nil"/>
              <w:bottom w:val="single" w:sz="12" w:space="0" w:color="000000"/>
              <w:right w:val="nil"/>
            </w:tcBorders>
            <w:vAlign w:val="center"/>
            <w:hideMark/>
          </w:tcPr>
          <w:p w:rsidR="00836205" w:rsidRPr="000559B7" w:rsidRDefault="00836205" w:rsidP="00836205">
            <w:pPr>
              <w:jc w:val="left"/>
              <w:rPr>
                <w:i/>
                <w:iCs/>
                <w:color w:val="000000"/>
                <w:sz w:val="15"/>
                <w:szCs w:val="15"/>
                <w:lang w:val="ru-RU"/>
              </w:rPr>
            </w:pPr>
          </w:p>
        </w:tc>
        <w:tc>
          <w:tcPr>
            <w:tcW w:w="1640" w:type="dxa"/>
            <w:vMerge/>
            <w:tcBorders>
              <w:top w:val="single" w:sz="8" w:space="0" w:color="auto"/>
              <w:left w:val="nil"/>
              <w:bottom w:val="single" w:sz="12" w:space="0" w:color="000000"/>
              <w:right w:val="nil"/>
            </w:tcBorders>
            <w:vAlign w:val="center"/>
            <w:hideMark/>
          </w:tcPr>
          <w:p w:rsidR="00836205" w:rsidRPr="000559B7" w:rsidRDefault="00836205" w:rsidP="00836205">
            <w:pPr>
              <w:jc w:val="left"/>
              <w:rPr>
                <w:i/>
                <w:iCs/>
                <w:color w:val="000000"/>
                <w:sz w:val="15"/>
                <w:szCs w:val="15"/>
                <w:lang w:val="ru-RU"/>
              </w:rPr>
            </w:pPr>
          </w:p>
        </w:tc>
      </w:tr>
      <w:tr w:rsidR="00836205" w:rsidRPr="000559B7" w:rsidTr="00836205">
        <w:trPr>
          <w:trHeight w:val="433"/>
        </w:trPr>
        <w:tc>
          <w:tcPr>
            <w:tcW w:w="4520" w:type="dxa"/>
            <w:vMerge/>
            <w:tcBorders>
              <w:top w:val="single" w:sz="8" w:space="0" w:color="auto"/>
              <w:left w:val="nil"/>
              <w:bottom w:val="single" w:sz="12" w:space="0" w:color="000000"/>
              <w:right w:val="nil"/>
            </w:tcBorders>
            <w:vAlign w:val="center"/>
            <w:hideMark/>
          </w:tcPr>
          <w:p w:rsidR="00836205" w:rsidRPr="000559B7" w:rsidRDefault="00836205" w:rsidP="00836205">
            <w:pPr>
              <w:jc w:val="left"/>
              <w:rPr>
                <w:i/>
                <w:iCs/>
                <w:color w:val="000000"/>
                <w:sz w:val="15"/>
                <w:szCs w:val="15"/>
                <w:lang w:val="ru-RU"/>
              </w:rPr>
            </w:pPr>
          </w:p>
        </w:tc>
        <w:tc>
          <w:tcPr>
            <w:tcW w:w="1360" w:type="dxa"/>
            <w:vMerge/>
            <w:tcBorders>
              <w:top w:val="single" w:sz="8" w:space="0" w:color="auto"/>
              <w:left w:val="nil"/>
              <w:bottom w:val="single" w:sz="12" w:space="0" w:color="000000"/>
              <w:right w:val="nil"/>
            </w:tcBorders>
            <w:vAlign w:val="center"/>
            <w:hideMark/>
          </w:tcPr>
          <w:p w:rsidR="00836205" w:rsidRPr="000559B7" w:rsidRDefault="00836205" w:rsidP="00836205">
            <w:pPr>
              <w:jc w:val="left"/>
              <w:rPr>
                <w:i/>
                <w:iCs/>
                <w:color w:val="000000"/>
                <w:sz w:val="15"/>
                <w:szCs w:val="15"/>
                <w:lang w:val="ru-RU"/>
              </w:rPr>
            </w:pPr>
          </w:p>
        </w:tc>
        <w:tc>
          <w:tcPr>
            <w:tcW w:w="1600" w:type="dxa"/>
            <w:vMerge/>
            <w:tcBorders>
              <w:top w:val="single" w:sz="8" w:space="0" w:color="auto"/>
              <w:left w:val="nil"/>
              <w:bottom w:val="single" w:sz="12" w:space="0" w:color="000000"/>
              <w:right w:val="nil"/>
            </w:tcBorders>
            <w:vAlign w:val="center"/>
            <w:hideMark/>
          </w:tcPr>
          <w:p w:rsidR="00836205" w:rsidRPr="000559B7" w:rsidRDefault="00836205" w:rsidP="00836205">
            <w:pPr>
              <w:jc w:val="left"/>
              <w:rPr>
                <w:i/>
                <w:iCs/>
                <w:color w:val="000000"/>
                <w:sz w:val="15"/>
                <w:szCs w:val="15"/>
                <w:lang w:val="ru-RU"/>
              </w:rPr>
            </w:pPr>
          </w:p>
        </w:tc>
        <w:tc>
          <w:tcPr>
            <w:tcW w:w="1640" w:type="dxa"/>
            <w:vMerge/>
            <w:tcBorders>
              <w:top w:val="single" w:sz="8" w:space="0" w:color="auto"/>
              <w:left w:val="nil"/>
              <w:bottom w:val="single" w:sz="12" w:space="0" w:color="000000"/>
              <w:right w:val="nil"/>
            </w:tcBorders>
            <w:vAlign w:val="center"/>
            <w:hideMark/>
          </w:tcPr>
          <w:p w:rsidR="00836205" w:rsidRPr="000559B7" w:rsidRDefault="00836205" w:rsidP="00836205">
            <w:pPr>
              <w:jc w:val="left"/>
              <w:rPr>
                <w:i/>
                <w:iCs/>
                <w:color w:val="000000"/>
                <w:sz w:val="15"/>
                <w:szCs w:val="15"/>
                <w:lang w:val="ru-RU"/>
              </w:rPr>
            </w:pPr>
          </w:p>
        </w:tc>
      </w:tr>
      <w:tr w:rsidR="00836205" w:rsidRPr="000559B7" w:rsidTr="00836205">
        <w:trPr>
          <w:trHeight w:val="300"/>
        </w:trPr>
        <w:tc>
          <w:tcPr>
            <w:tcW w:w="4520" w:type="dxa"/>
            <w:tcBorders>
              <w:top w:val="nil"/>
              <w:left w:val="nil"/>
              <w:bottom w:val="nil"/>
              <w:right w:val="nil"/>
            </w:tcBorders>
            <w:shd w:val="clear" w:color="auto" w:fill="auto"/>
            <w:hideMark/>
          </w:tcPr>
          <w:p w:rsidR="00836205" w:rsidRPr="000559B7" w:rsidRDefault="00836205" w:rsidP="00836205">
            <w:pPr>
              <w:jc w:val="left"/>
              <w:rPr>
                <w:b/>
                <w:bCs/>
                <w:color w:val="000000"/>
                <w:sz w:val="17"/>
                <w:szCs w:val="17"/>
                <w:lang w:val="ru-RU"/>
              </w:rPr>
            </w:pPr>
            <w:r w:rsidRPr="000559B7">
              <w:rPr>
                <w:b/>
                <w:bCs/>
                <w:color w:val="000000"/>
                <w:sz w:val="17"/>
                <w:szCs w:val="17"/>
                <w:lang w:val="ru-RU"/>
              </w:rPr>
              <w:t>I. Программы:</w:t>
            </w:r>
          </w:p>
        </w:tc>
        <w:tc>
          <w:tcPr>
            <w:tcW w:w="1360" w:type="dxa"/>
            <w:tcBorders>
              <w:top w:val="nil"/>
              <w:left w:val="nil"/>
              <w:bottom w:val="nil"/>
              <w:right w:val="nil"/>
            </w:tcBorders>
            <w:shd w:val="clear" w:color="auto" w:fill="auto"/>
            <w:vAlign w:val="center"/>
            <w:hideMark/>
          </w:tcPr>
          <w:p w:rsidR="00836205" w:rsidRPr="000559B7" w:rsidRDefault="00836205" w:rsidP="00836205">
            <w:pPr>
              <w:jc w:val="left"/>
              <w:rPr>
                <w:rFonts w:ascii="Calibri" w:hAnsi="Calibri" w:cs="Calibri"/>
                <w:color w:val="000000"/>
                <w:sz w:val="20"/>
                <w:szCs w:val="20"/>
                <w:lang w:val="ru-RU"/>
              </w:rPr>
            </w:pPr>
          </w:p>
        </w:tc>
        <w:tc>
          <w:tcPr>
            <w:tcW w:w="1600" w:type="dxa"/>
            <w:tcBorders>
              <w:top w:val="nil"/>
              <w:left w:val="nil"/>
              <w:bottom w:val="nil"/>
              <w:right w:val="nil"/>
            </w:tcBorders>
            <w:shd w:val="clear" w:color="auto" w:fill="auto"/>
            <w:vAlign w:val="center"/>
            <w:hideMark/>
          </w:tcPr>
          <w:p w:rsidR="00836205" w:rsidRPr="000559B7" w:rsidRDefault="00836205" w:rsidP="00836205">
            <w:pPr>
              <w:jc w:val="right"/>
              <w:rPr>
                <w:color w:val="000000"/>
                <w:lang w:val="ru-RU"/>
              </w:rPr>
            </w:pPr>
          </w:p>
        </w:tc>
        <w:tc>
          <w:tcPr>
            <w:tcW w:w="1640" w:type="dxa"/>
            <w:tcBorders>
              <w:top w:val="nil"/>
              <w:left w:val="nil"/>
              <w:bottom w:val="nil"/>
              <w:right w:val="nil"/>
            </w:tcBorders>
            <w:shd w:val="clear" w:color="auto" w:fill="auto"/>
            <w:vAlign w:val="center"/>
            <w:hideMark/>
          </w:tcPr>
          <w:p w:rsidR="00836205" w:rsidRPr="000559B7" w:rsidRDefault="00836205" w:rsidP="00836205">
            <w:pPr>
              <w:jc w:val="right"/>
              <w:rPr>
                <w:color w:val="000000"/>
                <w:lang w:val="ru-RU"/>
              </w:rPr>
            </w:pPr>
          </w:p>
        </w:tc>
      </w:tr>
      <w:tr w:rsidR="00836205" w:rsidRPr="000559B7" w:rsidTr="00836205">
        <w:trPr>
          <w:trHeight w:val="319"/>
        </w:trPr>
        <w:tc>
          <w:tcPr>
            <w:tcW w:w="4520" w:type="dxa"/>
            <w:tcBorders>
              <w:top w:val="nil"/>
              <w:left w:val="nil"/>
              <w:bottom w:val="nil"/>
              <w:right w:val="nil"/>
            </w:tcBorders>
            <w:shd w:val="clear" w:color="auto" w:fill="auto"/>
            <w:hideMark/>
          </w:tcPr>
          <w:p w:rsidR="00836205" w:rsidRPr="000559B7" w:rsidRDefault="00836205" w:rsidP="00836205">
            <w:pPr>
              <w:jc w:val="left"/>
              <w:rPr>
                <w:color w:val="000000"/>
                <w:sz w:val="17"/>
                <w:szCs w:val="17"/>
                <w:lang w:val="ru-RU"/>
              </w:rPr>
            </w:pPr>
            <w:r w:rsidRPr="000559B7">
              <w:rPr>
                <w:color w:val="000000"/>
                <w:sz w:val="17"/>
                <w:szCs w:val="17"/>
                <w:lang w:val="ru-RU"/>
              </w:rPr>
              <w:t>Отдел Исполнительного секретаря</w:t>
            </w:r>
          </w:p>
        </w:tc>
        <w:tc>
          <w:tcPr>
            <w:tcW w:w="1360" w:type="dxa"/>
            <w:tcBorders>
              <w:top w:val="nil"/>
              <w:left w:val="nil"/>
              <w:bottom w:val="nil"/>
              <w:right w:val="nil"/>
            </w:tcBorders>
            <w:shd w:val="clear" w:color="auto" w:fill="auto"/>
            <w:hideMark/>
          </w:tcPr>
          <w:p w:rsidR="00836205" w:rsidRPr="000559B7" w:rsidRDefault="00836205" w:rsidP="00836205">
            <w:pPr>
              <w:jc w:val="right"/>
              <w:rPr>
                <w:color w:val="000000"/>
                <w:sz w:val="17"/>
                <w:szCs w:val="17"/>
                <w:lang w:val="ru-RU"/>
              </w:rPr>
            </w:pPr>
            <w:r w:rsidRPr="000559B7">
              <w:rPr>
                <w:color w:val="000000"/>
                <w:sz w:val="17"/>
                <w:szCs w:val="17"/>
                <w:lang w:val="ru-RU"/>
              </w:rPr>
              <w:t>3 534,0</w:t>
            </w:r>
          </w:p>
        </w:tc>
        <w:tc>
          <w:tcPr>
            <w:tcW w:w="1600" w:type="dxa"/>
            <w:tcBorders>
              <w:top w:val="nil"/>
              <w:left w:val="nil"/>
              <w:bottom w:val="nil"/>
              <w:right w:val="nil"/>
            </w:tcBorders>
            <w:shd w:val="clear" w:color="auto" w:fill="auto"/>
            <w:hideMark/>
          </w:tcPr>
          <w:p w:rsidR="00836205" w:rsidRPr="000559B7" w:rsidRDefault="00836205" w:rsidP="00836205">
            <w:pPr>
              <w:jc w:val="right"/>
              <w:rPr>
                <w:color w:val="000000"/>
                <w:sz w:val="17"/>
                <w:szCs w:val="17"/>
                <w:lang w:val="ru-RU"/>
              </w:rPr>
            </w:pPr>
            <w:r w:rsidRPr="000559B7">
              <w:rPr>
                <w:color w:val="000000"/>
                <w:sz w:val="17"/>
                <w:szCs w:val="17"/>
                <w:lang w:val="ru-RU"/>
              </w:rPr>
              <w:t>3 444,8</w:t>
            </w:r>
          </w:p>
        </w:tc>
        <w:tc>
          <w:tcPr>
            <w:tcW w:w="1640" w:type="dxa"/>
            <w:tcBorders>
              <w:top w:val="nil"/>
              <w:left w:val="nil"/>
              <w:bottom w:val="nil"/>
              <w:right w:val="nil"/>
            </w:tcBorders>
            <w:shd w:val="clear" w:color="auto" w:fill="auto"/>
            <w:hideMark/>
          </w:tcPr>
          <w:p w:rsidR="00836205" w:rsidRPr="000559B7" w:rsidRDefault="00836205" w:rsidP="00836205">
            <w:pPr>
              <w:jc w:val="right"/>
              <w:rPr>
                <w:color w:val="000000"/>
                <w:sz w:val="17"/>
                <w:szCs w:val="17"/>
                <w:lang w:val="ru-RU"/>
              </w:rPr>
            </w:pPr>
            <w:r w:rsidRPr="000559B7">
              <w:rPr>
                <w:color w:val="000000"/>
                <w:sz w:val="17"/>
                <w:szCs w:val="17"/>
                <w:lang w:val="ru-RU"/>
              </w:rPr>
              <w:t>6 978,8</w:t>
            </w:r>
          </w:p>
        </w:tc>
      </w:tr>
      <w:tr w:rsidR="00836205" w:rsidRPr="000559B7" w:rsidTr="00836205">
        <w:trPr>
          <w:trHeight w:val="288"/>
        </w:trPr>
        <w:tc>
          <w:tcPr>
            <w:tcW w:w="4520" w:type="dxa"/>
            <w:tcBorders>
              <w:top w:val="nil"/>
              <w:left w:val="nil"/>
              <w:bottom w:val="nil"/>
              <w:right w:val="nil"/>
            </w:tcBorders>
            <w:shd w:val="clear" w:color="auto" w:fill="auto"/>
            <w:hideMark/>
          </w:tcPr>
          <w:p w:rsidR="00836205" w:rsidRPr="000559B7" w:rsidRDefault="00836205" w:rsidP="00836205">
            <w:pPr>
              <w:jc w:val="left"/>
              <w:rPr>
                <w:color w:val="000000"/>
                <w:sz w:val="17"/>
                <w:szCs w:val="17"/>
                <w:lang w:val="ru-RU"/>
              </w:rPr>
            </w:pPr>
            <w:r w:rsidRPr="000559B7">
              <w:rPr>
                <w:color w:val="000000"/>
                <w:sz w:val="17"/>
                <w:szCs w:val="17"/>
                <w:lang w:val="ru-RU"/>
              </w:rPr>
              <w:t xml:space="preserve">Протокол регулирования ДГРСИВ и </w:t>
            </w:r>
            <w:r w:rsidR="007574D9">
              <w:rPr>
                <w:color w:val="000000"/>
                <w:sz w:val="17"/>
                <w:szCs w:val="17"/>
                <w:lang w:val="ru-RU"/>
              </w:rPr>
              <w:t>п</w:t>
            </w:r>
            <w:r w:rsidRPr="000559B7">
              <w:rPr>
                <w:color w:val="000000"/>
                <w:sz w:val="17"/>
                <w:szCs w:val="17"/>
                <w:lang w:val="ru-RU"/>
              </w:rPr>
              <w:t>ротокол по биобезопасности</w:t>
            </w:r>
          </w:p>
        </w:tc>
        <w:tc>
          <w:tcPr>
            <w:tcW w:w="1360" w:type="dxa"/>
            <w:tcBorders>
              <w:top w:val="nil"/>
              <w:left w:val="nil"/>
              <w:bottom w:val="nil"/>
              <w:right w:val="nil"/>
            </w:tcBorders>
            <w:shd w:val="clear" w:color="auto" w:fill="auto"/>
            <w:hideMark/>
          </w:tcPr>
          <w:p w:rsidR="00836205" w:rsidRPr="000559B7" w:rsidRDefault="00836205" w:rsidP="00836205">
            <w:pPr>
              <w:jc w:val="right"/>
              <w:rPr>
                <w:color w:val="000000"/>
                <w:sz w:val="17"/>
                <w:szCs w:val="17"/>
                <w:lang w:val="ru-RU"/>
              </w:rPr>
            </w:pPr>
            <w:r w:rsidRPr="000559B7">
              <w:rPr>
                <w:color w:val="000000"/>
                <w:sz w:val="17"/>
                <w:szCs w:val="17"/>
                <w:lang w:val="ru-RU"/>
              </w:rPr>
              <w:t>2 322,6</w:t>
            </w:r>
          </w:p>
        </w:tc>
        <w:tc>
          <w:tcPr>
            <w:tcW w:w="1600" w:type="dxa"/>
            <w:tcBorders>
              <w:top w:val="nil"/>
              <w:left w:val="nil"/>
              <w:bottom w:val="nil"/>
              <w:right w:val="nil"/>
            </w:tcBorders>
            <w:shd w:val="clear" w:color="auto" w:fill="auto"/>
            <w:hideMark/>
          </w:tcPr>
          <w:p w:rsidR="00836205" w:rsidRPr="000559B7" w:rsidRDefault="00836205" w:rsidP="00836205">
            <w:pPr>
              <w:jc w:val="right"/>
              <w:rPr>
                <w:color w:val="000000"/>
                <w:sz w:val="17"/>
                <w:szCs w:val="17"/>
                <w:lang w:val="ru-RU"/>
              </w:rPr>
            </w:pPr>
            <w:r w:rsidRPr="000559B7">
              <w:rPr>
                <w:color w:val="000000"/>
                <w:sz w:val="17"/>
                <w:szCs w:val="17"/>
                <w:lang w:val="ru-RU"/>
              </w:rPr>
              <w:t>2 375,9</w:t>
            </w:r>
          </w:p>
        </w:tc>
        <w:tc>
          <w:tcPr>
            <w:tcW w:w="1640" w:type="dxa"/>
            <w:tcBorders>
              <w:top w:val="nil"/>
              <w:left w:val="nil"/>
              <w:bottom w:val="nil"/>
              <w:right w:val="nil"/>
            </w:tcBorders>
            <w:shd w:val="clear" w:color="auto" w:fill="auto"/>
            <w:hideMark/>
          </w:tcPr>
          <w:p w:rsidR="00836205" w:rsidRPr="000559B7" w:rsidRDefault="00836205" w:rsidP="00836205">
            <w:pPr>
              <w:jc w:val="right"/>
              <w:rPr>
                <w:color w:val="000000"/>
                <w:sz w:val="17"/>
                <w:szCs w:val="17"/>
                <w:lang w:val="ru-RU"/>
              </w:rPr>
            </w:pPr>
            <w:r w:rsidRPr="000559B7">
              <w:rPr>
                <w:color w:val="000000"/>
                <w:sz w:val="17"/>
                <w:szCs w:val="17"/>
                <w:lang w:val="ru-RU"/>
              </w:rPr>
              <w:t>4 698,5</w:t>
            </w:r>
          </w:p>
        </w:tc>
      </w:tr>
      <w:tr w:rsidR="00836205" w:rsidRPr="000559B7" w:rsidTr="00836205">
        <w:trPr>
          <w:trHeight w:val="288"/>
        </w:trPr>
        <w:tc>
          <w:tcPr>
            <w:tcW w:w="4520" w:type="dxa"/>
            <w:tcBorders>
              <w:top w:val="nil"/>
              <w:left w:val="nil"/>
              <w:bottom w:val="nil"/>
              <w:right w:val="nil"/>
            </w:tcBorders>
            <w:shd w:val="clear" w:color="auto" w:fill="auto"/>
            <w:hideMark/>
          </w:tcPr>
          <w:p w:rsidR="00836205" w:rsidRPr="000559B7" w:rsidRDefault="00836205" w:rsidP="00836205">
            <w:pPr>
              <w:jc w:val="left"/>
              <w:rPr>
                <w:color w:val="000000"/>
                <w:sz w:val="17"/>
                <w:szCs w:val="17"/>
                <w:lang w:val="ru-RU"/>
              </w:rPr>
            </w:pPr>
            <w:r w:rsidRPr="000559B7">
              <w:rPr>
                <w:color w:val="000000"/>
                <w:sz w:val="17"/>
                <w:szCs w:val="17"/>
                <w:lang w:val="ru-RU"/>
              </w:rPr>
              <w:t>Отдел по науке, обществу и устойчивому будущему</w:t>
            </w:r>
          </w:p>
        </w:tc>
        <w:tc>
          <w:tcPr>
            <w:tcW w:w="1360" w:type="dxa"/>
            <w:tcBorders>
              <w:top w:val="nil"/>
              <w:left w:val="nil"/>
              <w:bottom w:val="nil"/>
              <w:right w:val="nil"/>
            </w:tcBorders>
            <w:shd w:val="clear" w:color="auto" w:fill="auto"/>
            <w:hideMark/>
          </w:tcPr>
          <w:p w:rsidR="00836205" w:rsidRPr="000559B7" w:rsidRDefault="00836205" w:rsidP="00836205">
            <w:pPr>
              <w:jc w:val="right"/>
              <w:rPr>
                <w:color w:val="000000"/>
                <w:sz w:val="17"/>
                <w:szCs w:val="17"/>
                <w:lang w:val="ru-RU"/>
              </w:rPr>
            </w:pPr>
            <w:r w:rsidRPr="000559B7">
              <w:rPr>
                <w:color w:val="000000"/>
                <w:sz w:val="17"/>
                <w:szCs w:val="17"/>
                <w:lang w:val="ru-RU"/>
              </w:rPr>
              <w:t>3 912,3</w:t>
            </w:r>
          </w:p>
        </w:tc>
        <w:tc>
          <w:tcPr>
            <w:tcW w:w="1600" w:type="dxa"/>
            <w:tcBorders>
              <w:top w:val="nil"/>
              <w:left w:val="nil"/>
              <w:bottom w:val="nil"/>
              <w:right w:val="nil"/>
            </w:tcBorders>
            <w:shd w:val="clear" w:color="auto" w:fill="auto"/>
            <w:hideMark/>
          </w:tcPr>
          <w:p w:rsidR="00836205" w:rsidRPr="000559B7" w:rsidRDefault="00836205" w:rsidP="00836205">
            <w:pPr>
              <w:jc w:val="right"/>
              <w:rPr>
                <w:color w:val="000000"/>
                <w:sz w:val="17"/>
                <w:szCs w:val="17"/>
                <w:lang w:val="ru-RU"/>
              </w:rPr>
            </w:pPr>
            <w:r w:rsidRPr="000559B7">
              <w:rPr>
                <w:color w:val="000000"/>
                <w:sz w:val="17"/>
                <w:szCs w:val="17"/>
                <w:lang w:val="ru-RU"/>
              </w:rPr>
              <w:t>3 909,0</w:t>
            </w:r>
          </w:p>
        </w:tc>
        <w:tc>
          <w:tcPr>
            <w:tcW w:w="1640" w:type="dxa"/>
            <w:tcBorders>
              <w:top w:val="nil"/>
              <w:left w:val="nil"/>
              <w:bottom w:val="nil"/>
              <w:right w:val="nil"/>
            </w:tcBorders>
            <w:shd w:val="clear" w:color="auto" w:fill="auto"/>
            <w:hideMark/>
          </w:tcPr>
          <w:p w:rsidR="00836205" w:rsidRPr="000559B7" w:rsidRDefault="00836205" w:rsidP="00836205">
            <w:pPr>
              <w:jc w:val="right"/>
              <w:rPr>
                <w:color w:val="000000"/>
                <w:sz w:val="17"/>
                <w:szCs w:val="17"/>
                <w:lang w:val="ru-RU"/>
              </w:rPr>
            </w:pPr>
            <w:r w:rsidRPr="000559B7">
              <w:rPr>
                <w:color w:val="000000"/>
                <w:sz w:val="17"/>
                <w:szCs w:val="17"/>
                <w:lang w:val="ru-RU"/>
              </w:rPr>
              <w:t>7 821,3</w:t>
            </w:r>
          </w:p>
        </w:tc>
      </w:tr>
      <w:tr w:rsidR="00836205" w:rsidRPr="000559B7" w:rsidTr="00836205">
        <w:trPr>
          <w:trHeight w:val="300"/>
        </w:trPr>
        <w:tc>
          <w:tcPr>
            <w:tcW w:w="4520" w:type="dxa"/>
            <w:tcBorders>
              <w:top w:val="nil"/>
              <w:left w:val="nil"/>
              <w:bottom w:val="single" w:sz="8" w:space="0" w:color="auto"/>
              <w:right w:val="nil"/>
            </w:tcBorders>
            <w:shd w:val="clear" w:color="auto" w:fill="auto"/>
            <w:hideMark/>
          </w:tcPr>
          <w:p w:rsidR="00836205" w:rsidRPr="000559B7" w:rsidRDefault="00836205" w:rsidP="00836205">
            <w:pPr>
              <w:jc w:val="left"/>
              <w:rPr>
                <w:color w:val="000000"/>
                <w:sz w:val="17"/>
                <w:szCs w:val="17"/>
                <w:lang w:val="ru-RU"/>
              </w:rPr>
            </w:pPr>
            <w:r w:rsidRPr="000559B7">
              <w:rPr>
                <w:color w:val="000000"/>
                <w:sz w:val="17"/>
                <w:szCs w:val="17"/>
                <w:lang w:val="ru-RU"/>
              </w:rPr>
              <w:t>Отдел по поддержке осуществления</w:t>
            </w:r>
          </w:p>
        </w:tc>
        <w:tc>
          <w:tcPr>
            <w:tcW w:w="1360" w:type="dxa"/>
            <w:tcBorders>
              <w:top w:val="nil"/>
              <w:left w:val="nil"/>
              <w:bottom w:val="single" w:sz="8" w:space="0" w:color="auto"/>
              <w:right w:val="nil"/>
            </w:tcBorders>
            <w:shd w:val="clear" w:color="auto" w:fill="auto"/>
            <w:hideMark/>
          </w:tcPr>
          <w:p w:rsidR="00836205" w:rsidRPr="000559B7" w:rsidRDefault="00836205" w:rsidP="00836205">
            <w:pPr>
              <w:jc w:val="right"/>
              <w:rPr>
                <w:color w:val="000000"/>
                <w:sz w:val="17"/>
                <w:szCs w:val="17"/>
                <w:lang w:val="ru-RU"/>
              </w:rPr>
            </w:pPr>
            <w:r w:rsidRPr="000559B7">
              <w:rPr>
                <w:color w:val="000000"/>
                <w:sz w:val="17"/>
                <w:szCs w:val="17"/>
                <w:lang w:val="ru-RU"/>
              </w:rPr>
              <w:t>3 105,0</w:t>
            </w:r>
          </w:p>
        </w:tc>
        <w:tc>
          <w:tcPr>
            <w:tcW w:w="1600" w:type="dxa"/>
            <w:tcBorders>
              <w:top w:val="nil"/>
              <w:left w:val="nil"/>
              <w:bottom w:val="single" w:sz="8" w:space="0" w:color="auto"/>
              <w:right w:val="nil"/>
            </w:tcBorders>
            <w:shd w:val="clear" w:color="auto" w:fill="auto"/>
            <w:hideMark/>
          </w:tcPr>
          <w:p w:rsidR="00836205" w:rsidRPr="000559B7" w:rsidRDefault="00836205" w:rsidP="00836205">
            <w:pPr>
              <w:jc w:val="right"/>
              <w:rPr>
                <w:color w:val="000000"/>
                <w:sz w:val="17"/>
                <w:szCs w:val="17"/>
                <w:lang w:val="ru-RU"/>
              </w:rPr>
            </w:pPr>
            <w:r w:rsidRPr="000559B7">
              <w:rPr>
                <w:color w:val="000000"/>
                <w:sz w:val="17"/>
                <w:szCs w:val="17"/>
                <w:lang w:val="ru-RU"/>
              </w:rPr>
              <w:t>3 708,2</w:t>
            </w:r>
          </w:p>
        </w:tc>
        <w:tc>
          <w:tcPr>
            <w:tcW w:w="1640" w:type="dxa"/>
            <w:tcBorders>
              <w:top w:val="nil"/>
              <w:left w:val="nil"/>
              <w:bottom w:val="single" w:sz="8" w:space="0" w:color="auto"/>
              <w:right w:val="nil"/>
            </w:tcBorders>
            <w:shd w:val="clear" w:color="auto" w:fill="auto"/>
            <w:hideMark/>
          </w:tcPr>
          <w:p w:rsidR="00836205" w:rsidRPr="000559B7" w:rsidRDefault="00836205" w:rsidP="00836205">
            <w:pPr>
              <w:jc w:val="right"/>
              <w:rPr>
                <w:color w:val="000000"/>
                <w:sz w:val="17"/>
                <w:szCs w:val="17"/>
                <w:lang w:val="ru-RU"/>
              </w:rPr>
            </w:pPr>
            <w:r w:rsidRPr="000559B7">
              <w:rPr>
                <w:color w:val="000000"/>
                <w:sz w:val="17"/>
                <w:szCs w:val="17"/>
                <w:lang w:val="ru-RU"/>
              </w:rPr>
              <w:t>6 813,2</w:t>
            </w:r>
          </w:p>
        </w:tc>
      </w:tr>
      <w:tr w:rsidR="00836205" w:rsidRPr="000559B7" w:rsidTr="00836205">
        <w:trPr>
          <w:trHeight w:val="300"/>
        </w:trPr>
        <w:tc>
          <w:tcPr>
            <w:tcW w:w="4520" w:type="dxa"/>
            <w:tcBorders>
              <w:top w:val="nil"/>
              <w:left w:val="nil"/>
              <w:bottom w:val="single" w:sz="8" w:space="0" w:color="auto"/>
              <w:right w:val="nil"/>
            </w:tcBorders>
            <w:shd w:val="clear" w:color="auto" w:fill="auto"/>
            <w:hideMark/>
          </w:tcPr>
          <w:p w:rsidR="00836205" w:rsidRPr="000559B7" w:rsidRDefault="00836205" w:rsidP="00836205">
            <w:pPr>
              <w:jc w:val="left"/>
              <w:rPr>
                <w:b/>
                <w:bCs/>
                <w:color w:val="000000"/>
                <w:sz w:val="17"/>
                <w:szCs w:val="17"/>
                <w:lang w:val="ru-RU"/>
              </w:rPr>
            </w:pPr>
            <w:r w:rsidRPr="000559B7">
              <w:rPr>
                <w:b/>
                <w:bCs/>
                <w:color w:val="000000"/>
                <w:sz w:val="17"/>
                <w:szCs w:val="17"/>
                <w:lang w:val="ru-RU"/>
              </w:rPr>
              <w:t>II. Административные, финансовые услуги и обслуживание совещаний</w:t>
            </w:r>
          </w:p>
        </w:tc>
        <w:tc>
          <w:tcPr>
            <w:tcW w:w="1360" w:type="dxa"/>
            <w:tcBorders>
              <w:top w:val="nil"/>
              <w:left w:val="nil"/>
              <w:bottom w:val="single" w:sz="8" w:space="0" w:color="auto"/>
              <w:right w:val="nil"/>
            </w:tcBorders>
            <w:shd w:val="clear" w:color="auto" w:fill="auto"/>
            <w:hideMark/>
          </w:tcPr>
          <w:p w:rsidR="00836205" w:rsidRPr="000559B7" w:rsidRDefault="00836205" w:rsidP="00836205">
            <w:pPr>
              <w:jc w:val="right"/>
              <w:rPr>
                <w:color w:val="000000"/>
                <w:sz w:val="17"/>
                <w:szCs w:val="17"/>
                <w:lang w:val="ru-RU"/>
              </w:rPr>
            </w:pPr>
            <w:r w:rsidRPr="000559B7">
              <w:rPr>
                <w:color w:val="000000"/>
                <w:sz w:val="17"/>
                <w:szCs w:val="17"/>
                <w:lang w:val="ru-RU"/>
              </w:rPr>
              <w:t>3 845,0</w:t>
            </w:r>
          </w:p>
        </w:tc>
        <w:tc>
          <w:tcPr>
            <w:tcW w:w="1600" w:type="dxa"/>
            <w:tcBorders>
              <w:top w:val="nil"/>
              <w:left w:val="nil"/>
              <w:bottom w:val="single" w:sz="8" w:space="0" w:color="auto"/>
              <w:right w:val="nil"/>
            </w:tcBorders>
            <w:shd w:val="clear" w:color="auto" w:fill="auto"/>
            <w:hideMark/>
          </w:tcPr>
          <w:p w:rsidR="00836205" w:rsidRPr="000559B7" w:rsidRDefault="00836205" w:rsidP="00836205">
            <w:pPr>
              <w:jc w:val="right"/>
              <w:rPr>
                <w:color w:val="000000"/>
                <w:sz w:val="17"/>
                <w:szCs w:val="17"/>
                <w:lang w:val="ru-RU"/>
              </w:rPr>
            </w:pPr>
            <w:r w:rsidRPr="000559B7">
              <w:rPr>
                <w:color w:val="000000"/>
                <w:sz w:val="17"/>
                <w:szCs w:val="17"/>
                <w:lang w:val="ru-RU"/>
              </w:rPr>
              <w:t>4 052,6</w:t>
            </w:r>
          </w:p>
        </w:tc>
        <w:tc>
          <w:tcPr>
            <w:tcW w:w="1640" w:type="dxa"/>
            <w:tcBorders>
              <w:top w:val="nil"/>
              <w:left w:val="nil"/>
              <w:bottom w:val="single" w:sz="8" w:space="0" w:color="auto"/>
              <w:right w:val="nil"/>
            </w:tcBorders>
            <w:shd w:val="clear" w:color="auto" w:fill="auto"/>
            <w:hideMark/>
          </w:tcPr>
          <w:p w:rsidR="00836205" w:rsidRPr="000559B7" w:rsidRDefault="00836205" w:rsidP="00836205">
            <w:pPr>
              <w:jc w:val="right"/>
              <w:rPr>
                <w:color w:val="000000"/>
                <w:sz w:val="17"/>
                <w:szCs w:val="17"/>
                <w:lang w:val="ru-RU"/>
              </w:rPr>
            </w:pPr>
            <w:r w:rsidRPr="000559B7">
              <w:rPr>
                <w:color w:val="000000"/>
                <w:sz w:val="17"/>
                <w:szCs w:val="17"/>
                <w:lang w:val="ru-RU"/>
              </w:rPr>
              <w:t>7 897,6</w:t>
            </w:r>
          </w:p>
        </w:tc>
      </w:tr>
      <w:tr w:rsidR="00836205" w:rsidRPr="000559B7" w:rsidTr="00836205">
        <w:trPr>
          <w:trHeight w:val="300"/>
        </w:trPr>
        <w:tc>
          <w:tcPr>
            <w:tcW w:w="4520" w:type="dxa"/>
            <w:tcBorders>
              <w:top w:val="nil"/>
              <w:left w:val="nil"/>
              <w:bottom w:val="single" w:sz="12" w:space="0" w:color="auto"/>
              <w:right w:val="nil"/>
            </w:tcBorders>
            <w:shd w:val="clear" w:color="auto" w:fill="auto"/>
            <w:hideMark/>
          </w:tcPr>
          <w:p w:rsidR="00836205" w:rsidRPr="000559B7" w:rsidRDefault="003D4502" w:rsidP="00836205">
            <w:pPr>
              <w:jc w:val="left"/>
              <w:rPr>
                <w:b/>
                <w:bCs/>
                <w:color w:val="000000"/>
                <w:sz w:val="17"/>
                <w:szCs w:val="17"/>
                <w:lang w:val="ru-RU"/>
              </w:rPr>
            </w:pPr>
            <w:r w:rsidRPr="003D4502">
              <w:rPr>
                <w:b/>
                <w:bCs/>
                <w:color w:val="000000"/>
                <w:sz w:val="17"/>
                <w:szCs w:val="17"/>
                <w:lang w:val="ru-RU"/>
              </w:rPr>
              <w:t>Промежуточный итог</w:t>
            </w:r>
          </w:p>
        </w:tc>
        <w:tc>
          <w:tcPr>
            <w:tcW w:w="1360" w:type="dxa"/>
            <w:tcBorders>
              <w:top w:val="nil"/>
              <w:left w:val="nil"/>
              <w:bottom w:val="single" w:sz="12" w:space="0" w:color="auto"/>
              <w:right w:val="nil"/>
            </w:tcBorders>
            <w:shd w:val="clear" w:color="auto" w:fill="auto"/>
            <w:hideMark/>
          </w:tcPr>
          <w:p w:rsidR="00836205" w:rsidRPr="000559B7" w:rsidRDefault="00836205" w:rsidP="00836205">
            <w:pPr>
              <w:jc w:val="right"/>
              <w:rPr>
                <w:b/>
                <w:bCs/>
                <w:color w:val="000000"/>
                <w:sz w:val="17"/>
                <w:szCs w:val="17"/>
                <w:lang w:val="ru-RU"/>
              </w:rPr>
            </w:pPr>
            <w:r w:rsidRPr="000559B7">
              <w:rPr>
                <w:b/>
                <w:bCs/>
                <w:color w:val="000000"/>
                <w:sz w:val="17"/>
                <w:szCs w:val="17"/>
                <w:lang w:val="ru-RU"/>
              </w:rPr>
              <w:t>16 718,9</w:t>
            </w:r>
          </w:p>
        </w:tc>
        <w:tc>
          <w:tcPr>
            <w:tcW w:w="1600" w:type="dxa"/>
            <w:tcBorders>
              <w:top w:val="nil"/>
              <w:left w:val="nil"/>
              <w:bottom w:val="single" w:sz="12" w:space="0" w:color="auto"/>
              <w:right w:val="nil"/>
            </w:tcBorders>
            <w:shd w:val="clear" w:color="auto" w:fill="auto"/>
            <w:hideMark/>
          </w:tcPr>
          <w:p w:rsidR="00836205" w:rsidRPr="000559B7" w:rsidRDefault="00836205" w:rsidP="00836205">
            <w:pPr>
              <w:jc w:val="right"/>
              <w:rPr>
                <w:b/>
                <w:bCs/>
                <w:color w:val="000000"/>
                <w:sz w:val="17"/>
                <w:szCs w:val="17"/>
                <w:lang w:val="ru-RU"/>
              </w:rPr>
            </w:pPr>
            <w:r w:rsidRPr="000559B7">
              <w:rPr>
                <w:b/>
                <w:bCs/>
                <w:color w:val="000000"/>
                <w:sz w:val="17"/>
                <w:szCs w:val="17"/>
                <w:lang w:val="ru-RU"/>
              </w:rPr>
              <w:t>17 490,5</w:t>
            </w:r>
          </w:p>
        </w:tc>
        <w:tc>
          <w:tcPr>
            <w:tcW w:w="1640" w:type="dxa"/>
            <w:tcBorders>
              <w:top w:val="nil"/>
              <w:left w:val="nil"/>
              <w:bottom w:val="single" w:sz="12" w:space="0" w:color="auto"/>
              <w:right w:val="nil"/>
            </w:tcBorders>
            <w:shd w:val="clear" w:color="auto" w:fill="auto"/>
            <w:hideMark/>
          </w:tcPr>
          <w:p w:rsidR="00836205" w:rsidRPr="000559B7" w:rsidRDefault="00836205" w:rsidP="00836205">
            <w:pPr>
              <w:jc w:val="right"/>
              <w:rPr>
                <w:b/>
                <w:bCs/>
                <w:color w:val="000000"/>
                <w:sz w:val="17"/>
                <w:szCs w:val="17"/>
                <w:lang w:val="ru-RU"/>
              </w:rPr>
            </w:pPr>
            <w:r w:rsidRPr="000559B7">
              <w:rPr>
                <w:b/>
                <w:bCs/>
                <w:color w:val="000000"/>
                <w:sz w:val="17"/>
                <w:szCs w:val="17"/>
                <w:lang w:val="ru-RU"/>
              </w:rPr>
              <w:t>34 209,4</w:t>
            </w:r>
          </w:p>
        </w:tc>
      </w:tr>
      <w:tr w:rsidR="00836205" w:rsidRPr="000559B7" w:rsidTr="00836205">
        <w:trPr>
          <w:trHeight w:val="300"/>
        </w:trPr>
        <w:tc>
          <w:tcPr>
            <w:tcW w:w="4520" w:type="dxa"/>
            <w:tcBorders>
              <w:top w:val="nil"/>
              <w:left w:val="nil"/>
              <w:bottom w:val="nil"/>
              <w:right w:val="nil"/>
            </w:tcBorders>
            <w:shd w:val="clear" w:color="auto" w:fill="auto"/>
            <w:hideMark/>
          </w:tcPr>
          <w:p w:rsidR="00836205" w:rsidRPr="000559B7" w:rsidRDefault="00836205" w:rsidP="00836205">
            <w:pPr>
              <w:jc w:val="left"/>
              <w:rPr>
                <w:color w:val="000000"/>
                <w:sz w:val="17"/>
                <w:szCs w:val="17"/>
                <w:lang w:val="ru-RU"/>
              </w:rPr>
            </w:pPr>
            <w:r w:rsidRPr="000559B7">
              <w:rPr>
                <w:color w:val="000000"/>
                <w:sz w:val="17"/>
                <w:szCs w:val="17"/>
                <w:lang w:val="ru-RU"/>
              </w:rPr>
              <w:t>Расходы на поддержку программ</w:t>
            </w:r>
          </w:p>
        </w:tc>
        <w:tc>
          <w:tcPr>
            <w:tcW w:w="1360" w:type="dxa"/>
            <w:tcBorders>
              <w:top w:val="nil"/>
              <w:left w:val="nil"/>
              <w:bottom w:val="nil"/>
              <w:right w:val="nil"/>
            </w:tcBorders>
            <w:shd w:val="clear" w:color="auto" w:fill="auto"/>
            <w:noWrap/>
            <w:hideMark/>
          </w:tcPr>
          <w:p w:rsidR="00836205" w:rsidRPr="000559B7" w:rsidRDefault="00836205" w:rsidP="00836205">
            <w:pPr>
              <w:jc w:val="right"/>
              <w:rPr>
                <w:color w:val="000000"/>
                <w:sz w:val="17"/>
                <w:szCs w:val="17"/>
                <w:lang w:val="ru-RU"/>
              </w:rPr>
            </w:pPr>
            <w:r w:rsidRPr="000559B7">
              <w:rPr>
                <w:color w:val="000000"/>
                <w:sz w:val="17"/>
                <w:szCs w:val="17"/>
                <w:lang w:val="ru-RU"/>
              </w:rPr>
              <w:t>2 173,4</w:t>
            </w:r>
          </w:p>
        </w:tc>
        <w:tc>
          <w:tcPr>
            <w:tcW w:w="1600" w:type="dxa"/>
            <w:tcBorders>
              <w:top w:val="nil"/>
              <w:left w:val="nil"/>
              <w:bottom w:val="nil"/>
              <w:right w:val="nil"/>
            </w:tcBorders>
            <w:shd w:val="clear" w:color="auto" w:fill="auto"/>
            <w:noWrap/>
            <w:hideMark/>
          </w:tcPr>
          <w:p w:rsidR="00836205" w:rsidRPr="000559B7" w:rsidRDefault="00836205" w:rsidP="00836205">
            <w:pPr>
              <w:jc w:val="right"/>
              <w:rPr>
                <w:color w:val="000000"/>
                <w:sz w:val="17"/>
                <w:szCs w:val="17"/>
                <w:lang w:val="ru-RU"/>
              </w:rPr>
            </w:pPr>
            <w:r w:rsidRPr="000559B7">
              <w:rPr>
                <w:color w:val="000000"/>
                <w:sz w:val="17"/>
                <w:szCs w:val="17"/>
                <w:lang w:val="ru-RU"/>
              </w:rPr>
              <w:t>2 273,9</w:t>
            </w:r>
          </w:p>
        </w:tc>
        <w:tc>
          <w:tcPr>
            <w:tcW w:w="1640" w:type="dxa"/>
            <w:tcBorders>
              <w:top w:val="nil"/>
              <w:left w:val="nil"/>
              <w:bottom w:val="nil"/>
              <w:right w:val="nil"/>
            </w:tcBorders>
            <w:shd w:val="clear" w:color="auto" w:fill="auto"/>
            <w:hideMark/>
          </w:tcPr>
          <w:p w:rsidR="00836205" w:rsidRPr="000559B7" w:rsidRDefault="00836205" w:rsidP="00836205">
            <w:pPr>
              <w:jc w:val="right"/>
              <w:rPr>
                <w:color w:val="000000"/>
                <w:sz w:val="17"/>
                <w:szCs w:val="17"/>
                <w:lang w:val="ru-RU"/>
              </w:rPr>
            </w:pPr>
            <w:r w:rsidRPr="000559B7">
              <w:rPr>
                <w:color w:val="000000"/>
                <w:sz w:val="17"/>
                <w:szCs w:val="17"/>
                <w:lang w:val="ru-RU"/>
              </w:rPr>
              <w:t>4 447,2</w:t>
            </w:r>
          </w:p>
        </w:tc>
      </w:tr>
      <w:tr w:rsidR="00836205" w:rsidRPr="000559B7" w:rsidTr="00836205">
        <w:trPr>
          <w:trHeight w:val="300"/>
        </w:trPr>
        <w:tc>
          <w:tcPr>
            <w:tcW w:w="4520" w:type="dxa"/>
            <w:tcBorders>
              <w:top w:val="nil"/>
              <w:left w:val="nil"/>
              <w:bottom w:val="single" w:sz="8" w:space="0" w:color="auto"/>
              <w:right w:val="nil"/>
            </w:tcBorders>
            <w:shd w:val="clear" w:color="auto" w:fill="auto"/>
            <w:hideMark/>
          </w:tcPr>
          <w:p w:rsidR="00836205" w:rsidRPr="000559B7" w:rsidRDefault="00836205" w:rsidP="00836205">
            <w:pPr>
              <w:jc w:val="left"/>
              <w:rPr>
                <w:b/>
                <w:bCs/>
                <w:color w:val="000000"/>
                <w:sz w:val="17"/>
                <w:szCs w:val="17"/>
                <w:lang w:val="ru-RU"/>
              </w:rPr>
            </w:pPr>
            <w:r w:rsidRPr="000559B7">
              <w:rPr>
                <w:b/>
                <w:bCs/>
                <w:color w:val="000000"/>
                <w:sz w:val="17"/>
                <w:szCs w:val="17"/>
                <w:lang w:val="ru-RU"/>
              </w:rPr>
              <w:t>III. Резерв оборотных средств</w:t>
            </w:r>
          </w:p>
        </w:tc>
        <w:tc>
          <w:tcPr>
            <w:tcW w:w="1360" w:type="dxa"/>
            <w:tcBorders>
              <w:top w:val="nil"/>
              <w:left w:val="nil"/>
              <w:bottom w:val="single" w:sz="8" w:space="0" w:color="auto"/>
              <w:right w:val="nil"/>
            </w:tcBorders>
            <w:shd w:val="clear" w:color="auto" w:fill="auto"/>
            <w:noWrap/>
            <w:hideMark/>
          </w:tcPr>
          <w:p w:rsidR="00836205" w:rsidRPr="000559B7" w:rsidRDefault="00836205" w:rsidP="00836205">
            <w:pPr>
              <w:jc w:val="right"/>
              <w:rPr>
                <w:color w:val="000000"/>
                <w:sz w:val="17"/>
                <w:szCs w:val="17"/>
                <w:lang w:val="ru-RU"/>
              </w:rPr>
            </w:pPr>
            <w:r w:rsidRPr="000559B7">
              <w:rPr>
                <w:color w:val="000000"/>
                <w:sz w:val="17"/>
                <w:szCs w:val="17"/>
                <w:lang w:val="ru-RU"/>
              </w:rPr>
              <w:t>56,6</w:t>
            </w:r>
          </w:p>
        </w:tc>
        <w:tc>
          <w:tcPr>
            <w:tcW w:w="1600" w:type="dxa"/>
            <w:tcBorders>
              <w:top w:val="nil"/>
              <w:left w:val="nil"/>
              <w:bottom w:val="single" w:sz="8" w:space="0" w:color="auto"/>
              <w:right w:val="nil"/>
            </w:tcBorders>
            <w:shd w:val="clear" w:color="auto" w:fill="auto"/>
            <w:noWrap/>
            <w:hideMark/>
          </w:tcPr>
          <w:p w:rsidR="00836205" w:rsidRPr="000559B7" w:rsidRDefault="00836205" w:rsidP="00836205">
            <w:pPr>
              <w:jc w:val="right"/>
              <w:rPr>
                <w:color w:val="000000"/>
                <w:sz w:val="17"/>
                <w:szCs w:val="17"/>
                <w:lang w:val="ru-RU"/>
              </w:rPr>
            </w:pPr>
            <w:r w:rsidRPr="000559B7">
              <w:rPr>
                <w:color w:val="000000"/>
                <w:sz w:val="17"/>
                <w:szCs w:val="17"/>
                <w:lang w:val="ru-RU"/>
              </w:rPr>
              <w:t>130,8</w:t>
            </w:r>
          </w:p>
        </w:tc>
        <w:tc>
          <w:tcPr>
            <w:tcW w:w="1640" w:type="dxa"/>
            <w:tcBorders>
              <w:top w:val="nil"/>
              <w:left w:val="nil"/>
              <w:bottom w:val="single" w:sz="8" w:space="0" w:color="auto"/>
              <w:right w:val="nil"/>
            </w:tcBorders>
            <w:shd w:val="clear" w:color="auto" w:fill="auto"/>
            <w:hideMark/>
          </w:tcPr>
          <w:p w:rsidR="00836205" w:rsidRPr="000559B7" w:rsidRDefault="00836205" w:rsidP="00836205">
            <w:pPr>
              <w:jc w:val="right"/>
              <w:rPr>
                <w:color w:val="000000"/>
                <w:sz w:val="17"/>
                <w:szCs w:val="17"/>
                <w:lang w:val="ru-RU"/>
              </w:rPr>
            </w:pPr>
            <w:r w:rsidRPr="000559B7">
              <w:rPr>
                <w:color w:val="000000"/>
                <w:sz w:val="17"/>
                <w:szCs w:val="17"/>
                <w:lang w:val="ru-RU"/>
              </w:rPr>
              <w:t>187,5</w:t>
            </w:r>
          </w:p>
        </w:tc>
      </w:tr>
      <w:tr w:rsidR="00836205" w:rsidRPr="000559B7" w:rsidTr="00836205">
        <w:trPr>
          <w:trHeight w:val="300"/>
        </w:trPr>
        <w:tc>
          <w:tcPr>
            <w:tcW w:w="4520" w:type="dxa"/>
            <w:tcBorders>
              <w:top w:val="nil"/>
              <w:left w:val="nil"/>
              <w:bottom w:val="single" w:sz="8" w:space="0" w:color="auto"/>
              <w:right w:val="nil"/>
            </w:tcBorders>
            <w:shd w:val="clear" w:color="auto" w:fill="auto"/>
            <w:hideMark/>
          </w:tcPr>
          <w:p w:rsidR="00836205" w:rsidRPr="000559B7" w:rsidRDefault="007574D9" w:rsidP="00836205">
            <w:pPr>
              <w:jc w:val="left"/>
              <w:rPr>
                <w:b/>
                <w:bCs/>
                <w:color w:val="000000"/>
                <w:sz w:val="17"/>
                <w:szCs w:val="17"/>
                <w:lang w:val="ru-RU"/>
              </w:rPr>
            </w:pPr>
            <w:r w:rsidRPr="000559B7">
              <w:rPr>
                <w:b/>
                <w:bCs/>
                <w:color w:val="000000"/>
                <w:sz w:val="17"/>
                <w:szCs w:val="17"/>
                <w:lang w:val="ru-RU"/>
              </w:rPr>
              <w:t>Итого </w:t>
            </w:r>
          </w:p>
        </w:tc>
        <w:tc>
          <w:tcPr>
            <w:tcW w:w="1360" w:type="dxa"/>
            <w:tcBorders>
              <w:top w:val="nil"/>
              <w:left w:val="nil"/>
              <w:bottom w:val="single" w:sz="8" w:space="0" w:color="auto"/>
              <w:right w:val="nil"/>
            </w:tcBorders>
            <w:shd w:val="clear" w:color="auto" w:fill="auto"/>
            <w:noWrap/>
            <w:hideMark/>
          </w:tcPr>
          <w:p w:rsidR="00836205" w:rsidRPr="000559B7" w:rsidRDefault="00836205" w:rsidP="00836205">
            <w:pPr>
              <w:jc w:val="right"/>
              <w:rPr>
                <w:b/>
                <w:bCs/>
                <w:color w:val="000000"/>
                <w:sz w:val="17"/>
                <w:szCs w:val="17"/>
                <w:lang w:val="ru-RU"/>
              </w:rPr>
            </w:pPr>
            <w:r w:rsidRPr="000559B7">
              <w:rPr>
                <w:b/>
                <w:bCs/>
                <w:color w:val="000000"/>
                <w:sz w:val="17"/>
                <w:szCs w:val="17"/>
                <w:lang w:val="ru-RU"/>
              </w:rPr>
              <w:t>18 948,9</w:t>
            </w:r>
          </w:p>
        </w:tc>
        <w:tc>
          <w:tcPr>
            <w:tcW w:w="1600" w:type="dxa"/>
            <w:tcBorders>
              <w:top w:val="nil"/>
              <w:left w:val="nil"/>
              <w:bottom w:val="single" w:sz="8" w:space="0" w:color="auto"/>
              <w:right w:val="nil"/>
            </w:tcBorders>
            <w:shd w:val="clear" w:color="auto" w:fill="auto"/>
            <w:noWrap/>
            <w:hideMark/>
          </w:tcPr>
          <w:p w:rsidR="00836205" w:rsidRPr="000559B7" w:rsidRDefault="00836205" w:rsidP="00836205">
            <w:pPr>
              <w:jc w:val="right"/>
              <w:rPr>
                <w:b/>
                <w:bCs/>
                <w:color w:val="000000"/>
                <w:sz w:val="17"/>
                <w:szCs w:val="17"/>
                <w:lang w:val="ru-RU"/>
              </w:rPr>
            </w:pPr>
            <w:r w:rsidRPr="000559B7">
              <w:rPr>
                <w:b/>
                <w:bCs/>
                <w:color w:val="000000"/>
                <w:sz w:val="17"/>
                <w:szCs w:val="17"/>
                <w:lang w:val="ru-RU"/>
              </w:rPr>
              <w:t>19 895,2</w:t>
            </w:r>
          </w:p>
        </w:tc>
        <w:tc>
          <w:tcPr>
            <w:tcW w:w="1640" w:type="dxa"/>
            <w:tcBorders>
              <w:top w:val="nil"/>
              <w:left w:val="nil"/>
              <w:bottom w:val="single" w:sz="8" w:space="0" w:color="auto"/>
              <w:right w:val="nil"/>
            </w:tcBorders>
            <w:shd w:val="clear" w:color="auto" w:fill="auto"/>
            <w:hideMark/>
          </w:tcPr>
          <w:p w:rsidR="00836205" w:rsidRPr="000559B7" w:rsidRDefault="00836205" w:rsidP="00836205">
            <w:pPr>
              <w:jc w:val="right"/>
              <w:rPr>
                <w:b/>
                <w:bCs/>
                <w:color w:val="000000"/>
                <w:sz w:val="17"/>
                <w:szCs w:val="17"/>
                <w:lang w:val="ru-RU"/>
              </w:rPr>
            </w:pPr>
            <w:r w:rsidRPr="000559B7">
              <w:rPr>
                <w:b/>
                <w:bCs/>
                <w:color w:val="000000"/>
                <w:sz w:val="17"/>
                <w:szCs w:val="17"/>
                <w:lang w:val="ru-RU"/>
              </w:rPr>
              <w:t>38 844,1</w:t>
            </w:r>
          </w:p>
        </w:tc>
      </w:tr>
      <w:tr w:rsidR="00836205" w:rsidRPr="000559B7" w:rsidTr="00836205">
        <w:trPr>
          <w:trHeight w:val="288"/>
        </w:trPr>
        <w:tc>
          <w:tcPr>
            <w:tcW w:w="4520" w:type="dxa"/>
            <w:tcBorders>
              <w:top w:val="nil"/>
              <w:left w:val="nil"/>
              <w:bottom w:val="single" w:sz="4" w:space="0" w:color="auto"/>
              <w:right w:val="nil"/>
            </w:tcBorders>
            <w:shd w:val="clear" w:color="auto" w:fill="auto"/>
            <w:vAlign w:val="center"/>
            <w:hideMark/>
          </w:tcPr>
          <w:p w:rsidR="00836205" w:rsidRPr="000559B7" w:rsidRDefault="00836205" w:rsidP="003D4502">
            <w:pPr>
              <w:jc w:val="left"/>
              <w:rPr>
                <w:sz w:val="17"/>
                <w:szCs w:val="17"/>
                <w:lang w:val="ru-RU"/>
              </w:rPr>
            </w:pPr>
            <w:r w:rsidRPr="000559B7">
              <w:rPr>
                <w:sz w:val="17"/>
                <w:szCs w:val="17"/>
                <w:lang w:val="ru-RU"/>
              </w:rPr>
              <w:t xml:space="preserve">Доля Конвенции в </w:t>
            </w:r>
            <w:r w:rsidR="007574D9">
              <w:rPr>
                <w:sz w:val="17"/>
                <w:szCs w:val="17"/>
                <w:lang w:val="ru-RU"/>
              </w:rPr>
              <w:t>комплексном</w:t>
            </w:r>
            <w:r w:rsidRPr="000559B7">
              <w:rPr>
                <w:sz w:val="17"/>
                <w:szCs w:val="17"/>
                <w:lang w:val="ru-RU"/>
              </w:rPr>
              <w:t xml:space="preserve"> бюджете (74%)</w:t>
            </w:r>
          </w:p>
        </w:tc>
        <w:tc>
          <w:tcPr>
            <w:tcW w:w="1360" w:type="dxa"/>
            <w:tcBorders>
              <w:top w:val="nil"/>
              <w:left w:val="nil"/>
              <w:bottom w:val="single" w:sz="4" w:space="0" w:color="auto"/>
              <w:right w:val="nil"/>
            </w:tcBorders>
            <w:shd w:val="clear" w:color="auto" w:fill="auto"/>
            <w:vAlign w:val="center"/>
            <w:hideMark/>
          </w:tcPr>
          <w:p w:rsidR="00836205" w:rsidRPr="000559B7" w:rsidRDefault="00836205" w:rsidP="00836205">
            <w:pPr>
              <w:jc w:val="right"/>
              <w:rPr>
                <w:sz w:val="17"/>
                <w:szCs w:val="17"/>
                <w:lang w:val="ru-RU"/>
              </w:rPr>
            </w:pPr>
            <w:r w:rsidRPr="000559B7">
              <w:rPr>
                <w:sz w:val="17"/>
                <w:szCs w:val="17"/>
                <w:lang w:val="ru-RU"/>
              </w:rPr>
              <w:t>14 022,2</w:t>
            </w:r>
          </w:p>
        </w:tc>
        <w:tc>
          <w:tcPr>
            <w:tcW w:w="1600" w:type="dxa"/>
            <w:tcBorders>
              <w:top w:val="nil"/>
              <w:left w:val="nil"/>
              <w:bottom w:val="single" w:sz="4" w:space="0" w:color="auto"/>
              <w:right w:val="nil"/>
            </w:tcBorders>
            <w:shd w:val="clear" w:color="auto" w:fill="auto"/>
            <w:vAlign w:val="center"/>
            <w:hideMark/>
          </w:tcPr>
          <w:p w:rsidR="00836205" w:rsidRPr="000559B7" w:rsidRDefault="00836205" w:rsidP="00836205">
            <w:pPr>
              <w:jc w:val="right"/>
              <w:rPr>
                <w:sz w:val="17"/>
                <w:szCs w:val="17"/>
                <w:lang w:val="ru-RU"/>
              </w:rPr>
            </w:pPr>
            <w:r w:rsidRPr="000559B7">
              <w:rPr>
                <w:sz w:val="17"/>
                <w:szCs w:val="17"/>
                <w:lang w:val="ru-RU"/>
              </w:rPr>
              <w:t>14 722,5</w:t>
            </w:r>
          </w:p>
        </w:tc>
        <w:tc>
          <w:tcPr>
            <w:tcW w:w="1640" w:type="dxa"/>
            <w:tcBorders>
              <w:top w:val="nil"/>
              <w:left w:val="nil"/>
              <w:bottom w:val="single" w:sz="4" w:space="0" w:color="auto"/>
              <w:right w:val="nil"/>
            </w:tcBorders>
            <w:shd w:val="clear" w:color="auto" w:fill="auto"/>
            <w:noWrap/>
            <w:hideMark/>
          </w:tcPr>
          <w:p w:rsidR="00836205" w:rsidRPr="000559B7" w:rsidRDefault="00836205" w:rsidP="00836205">
            <w:pPr>
              <w:jc w:val="right"/>
              <w:rPr>
                <w:b/>
                <w:bCs/>
                <w:color w:val="000000"/>
                <w:sz w:val="17"/>
                <w:szCs w:val="17"/>
                <w:lang w:val="ru-RU"/>
              </w:rPr>
            </w:pPr>
            <w:r w:rsidRPr="000559B7">
              <w:rPr>
                <w:b/>
                <w:bCs/>
                <w:color w:val="000000"/>
                <w:sz w:val="17"/>
                <w:szCs w:val="17"/>
                <w:lang w:val="ru-RU"/>
              </w:rPr>
              <w:t>28 744,7</w:t>
            </w:r>
          </w:p>
        </w:tc>
      </w:tr>
      <w:tr w:rsidR="00836205" w:rsidRPr="000559B7" w:rsidTr="00836205">
        <w:trPr>
          <w:trHeight w:val="288"/>
        </w:trPr>
        <w:tc>
          <w:tcPr>
            <w:tcW w:w="4520" w:type="dxa"/>
            <w:tcBorders>
              <w:top w:val="nil"/>
              <w:left w:val="nil"/>
              <w:bottom w:val="nil"/>
              <w:right w:val="nil"/>
            </w:tcBorders>
            <w:shd w:val="clear" w:color="auto" w:fill="auto"/>
            <w:hideMark/>
          </w:tcPr>
          <w:p w:rsidR="00836205" w:rsidRPr="007574D9" w:rsidRDefault="00836205" w:rsidP="00836205">
            <w:pPr>
              <w:jc w:val="left"/>
              <w:rPr>
                <w:color w:val="000000"/>
                <w:sz w:val="17"/>
                <w:szCs w:val="17"/>
                <w:lang w:val="ru-RU"/>
              </w:rPr>
            </w:pPr>
            <w:r w:rsidRPr="007574D9">
              <w:rPr>
                <w:color w:val="000000"/>
                <w:sz w:val="17"/>
                <w:szCs w:val="17"/>
                <w:lang w:val="ru-RU"/>
              </w:rPr>
              <w:t>Минус:  Взнос принимающей страны</w:t>
            </w:r>
          </w:p>
        </w:tc>
        <w:tc>
          <w:tcPr>
            <w:tcW w:w="1360" w:type="dxa"/>
            <w:tcBorders>
              <w:top w:val="nil"/>
              <w:left w:val="nil"/>
              <w:bottom w:val="nil"/>
              <w:right w:val="nil"/>
            </w:tcBorders>
            <w:shd w:val="clear" w:color="auto" w:fill="auto"/>
            <w:vAlign w:val="center"/>
            <w:hideMark/>
          </w:tcPr>
          <w:p w:rsidR="00836205" w:rsidRPr="000559B7" w:rsidRDefault="00836205" w:rsidP="00836205">
            <w:pPr>
              <w:jc w:val="right"/>
              <w:rPr>
                <w:sz w:val="17"/>
                <w:szCs w:val="17"/>
                <w:lang w:val="ru-RU"/>
              </w:rPr>
            </w:pPr>
            <w:r w:rsidRPr="000559B7">
              <w:rPr>
                <w:sz w:val="17"/>
                <w:szCs w:val="17"/>
                <w:lang w:val="ru-RU"/>
              </w:rPr>
              <w:t xml:space="preserve">               (909,8)</w:t>
            </w:r>
          </w:p>
        </w:tc>
        <w:tc>
          <w:tcPr>
            <w:tcW w:w="1600" w:type="dxa"/>
            <w:tcBorders>
              <w:top w:val="nil"/>
              <w:left w:val="nil"/>
              <w:bottom w:val="nil"/>
              <w:right w:val="nil"/>
            </w:tcBorders>
            <w:shd w:val="clear" w:color="auto" w:fill="auto"/>
            <w:vAlign w:val="center"/>
            <w:hideMark/>
          </w:tcPr>
          <w:p w:rsidR="00836205" w:rsidRPr="000559B7" w:rsidRDefault="00836205" w:rsidP="00836205">
            <w:pPr>
              <w:jc w:val="right"/>
              <w:rPr>
                <w:sz w:val="17"/>
                <w:szCs w:val="17"/>
                <w:lang w:val="ru-RU"/>
              </w:rPr>
            </w:pPr>
            <w:r w:rsidRPr="000559B7">
              <w:rPr>
                <w:sz w:val="17"/>
                <w:szCs w:val="17"/>
                <w:lang w:val="ru-RU"/>
              </w:rPr>
              <w:t xml:space="preserve">                 (1 053,3)</w:t>
            </w:r>
          </w:p>
        </w:tc>
        <w:tc>
          <w:tcPr>
            <w:tcW w:w="1640" w:type="dxa"/>
            <w:tcBorders>
              <w:top w:val="nil"/>
              <w:left w:val="nil"/>
              <w:bottom w:val="nil"/>
              <w:right w:val="nil"/>
            </w:tcBorders>
            <w:shd w:val="clear" w:color="auto" w:fill="auto"/>
            <w:vAlign w:val="center"/>
            <w:hideMark/>
          </w:tcPr>
          <w:p w:rsidR="00836205" w:rsidRPr="000559B7" w:rsidRDefault="00836205" w:rsidP="00836205">
            <w:pPr>
              <w:jc w:val="right"/>
              <w:rPr>
                <w:sz w:val="17"/>
                <w:szCs w:val="17"/>
                <w:lang w:val="ru-RU"/>
              </w:rPr>
            </w:pPr>
            <w:r w:rsidRPr="000559B7">
              <w:rPr>
                <w:sz w:val="17"/>
                <w:szCs w:val="17"/>
                <w:lang w:val="ru-RU"/>
              </w:rPr>
              <w:t xml:space="preserve">                 (1 963,1)</w:t>
            </w:r>
          </w:p>
        </w:tc>
      </w:tr>
      <w:tr w:rsidR="00836205" w:rsidRPr="000559B7" w:rsidTr="00836205">
        <w:trPr>
          <w:trHeight w:val="288"/>
        </w:trPr>
        <w:tc>
          <w:tcPr>
            <w:tcW w:w="4520" w:type="dxa"/>
            <w:tcBorders>
              <w:top w:val="nil"/>
              <w:left w:val="nil"/>
              <w:bottom w:val="nil"/>
              <w:right w:val="nil"/>
            </w:tcBorders>
            <w:shd w:val="clear" w:color="auto" w:fill="auto"/>
            <w:hideMark/>
          </w:tcPr>
          <w:p w:rsidR="00836205" w:rsidRPr="007574D9" w:rsidRDefault="00836205" w:rsidP="00D67EA4">
            <w:pPr>
              <w:jc w:val="left"/>
              <w:rPr>
                <w:color w:val="000000"/>
                <w:sz w:val="17"/>
                <w:szCs w:val="17"/>
                <w:lang w:val="ru-RU"/>
              </w:rPr>
            </w:pPr>
            <w:r w:rsidRPr="007574D9">
              <w:rPr>
                <w:color w:val="000000"/>
                <w:sz w:val="17"/>
                <w:szCs w:val="17"/>
                <w:lang w:val="ru-RU"/>
              </w:rPr>
              <w:t xml:space="preserve">Минус: Использование резервов для </w:t>
            </w:r>
            <w:r w:rsidR="00D67EA4" w:rsidRPr="007574D9">
              <w:rPr>
                <w:color w:val="000000"/>
                <w:sz w:val="17"/>
                <w:szCs w:val="17"/>
                <w:lang w:val="ru-RU"/>
              </w:rPr>
              <w:t>внеочередных совещаний</w:t>
            </w:r>
          </w:p>
        </w:tc>
        <w:tc>
          <w:tcPr>
            <w:tcW w:w="1360" w:type="dxa"/>
            <w:tcBorders>
              <w:top w:val="nil"/>
              <w:left w:val="nil"/>
              <w:bottom w:val="nil"/>
              <w:right w:val="nil"/>
            </w:tcBorders>
            <w:shd w:val="clear" w:color="auto" w:fill="auto"/>
            <w:vAlign w:val="center"/>
            <w:hideMark/>
          </w:tcPr>
          <w:p w:rsidR="00836205" w:rsidRPr="000559B7" w:rsidRDefault="00836205" w:rsidP="00836205">
            <w:pPr>
              <w:jc w:val="right"/>
              <w:rPr>
                <w:sz w:val="17"/>
                <w:szCs w:val="17"/>
                <w:lang w:val="ru-RU"/>
              </w:rPr>
            </w:pPr>
            <w:r w:rsidRPr="000559B7">
              <w:rPr>
                <w:sz w:val="17"/>
                <w:szCs w:val="17"/>
                <w:lang w:val="ru-RU"/>
              </w:rPr>
              <w:t xml:space="preserve">               (627,2)</w:t>
            </w:r>
          </w:p>
        </w:tc>
        <w:tc>
          <w:tcPr>
            <w:tcW w:w="1600" w:type="dxa"/>
            <w:tcBorders>
              <w:top w:val="nil"/>
              <w:left w:val="nil"/>
              <w:bottom w:val="nil"/>
              <w:right w:val="nil"/>
            </w:tcBorders>
            <w:shd w:val="clear" w:color="auto" w:fill="auto"/>
            <w:vAlign w:val="center"/>
            <w:hideMark/>
          </w:tcPr>
          <w:p w:rsidR="00836205" w:rsidRPr="000559B7" w:rsidRDefault="00836205" w:rsidP="00836205">
            <w:pPr>
              <w:jc w:val="right"/>
              <w:rPr>
                <w:sz w:val="17"/>
                <w:szCs w:val="17"/>
                <w:lang w:val="ru-RU"/>
              </w:rPr>
            </w:pPr>
            <w:r w:rsidRPr="000559B7">
              <w:rPr>
                <w:sz w:val="17"/>
                <w:szCs w:val="17"/>
                <w:lang w:val="ru-RU"/>
              </w:rPr>
              <w:t xml:space="preserve">                    (468,3)</w:t>
            </w:r>
          </w:p>
        </w:tc>
        <w:tc>
          <w:tcPr>
            <w:tcW w:w="1640" w:type="dxa"/>
            <w:tcBorders>
              <w:top w:val="nil"/>
              <w:left w:val="nil"/>
              <w:bottom w:val="nil"/>
              <w:right w:val="nil"/>
            </w:tcBorders>
            <w:shd w:val="clear" w:color="auto" w:fill="auto"/>
            <w:vAlign w:val="center"/>
            <w:hideMark/>
          </w:tcPr>
          <w:p w:rsidR="00836205" w:rsidRPr="000559B7" w:rsidRDefault="00836205" w:rsidP="00836205">
            <w:pPr>
              <w:jc w:val="right"/>
              <w:rPr>
                <w:sz w:val="17"/>
                <w:szCs w:val="17"/>
                <w:lang w:val="ru-RU"/>
              </w:rPr>
            </w:pPr>
            <w:r w:rsidRPr="000559B7">
              <w:rPr>
                <w:sz w:val="17"/>
                <w:szCs w:val="17"/>
                <w:lang w:val="ru-RU"/>
              </w:rPr>
              <w:t xml:space="preserve">                  (1 095,5)</w:t>
            </w:r>
          </w:p>
        </w:tc>
      </w:tr>
      <w:tr w:rsidR="00836205" w:rsidRPr="000559B7" w:rsidTr="00836205">
        <w:trPr>
          <w:trHeight w:val="288"/>
        </w:trPr>
        <w:tc>
          <w:tcPr>
            <w:tcW w:w="4520" w:type="dxa"/>
            <w:tcBorders>
              <w:top w:val="nil"/>
              <w:left w:val="nil"/>
              <w:bottom w:val="nil"/>
              <w:right w:val="nil"/>
            </w:tcBorders>
            <w:shd w:val="clear" w:color="auto" w:fill="auto"/>
            <w:hideMark/>
          </w:tcPr>
          <w:p w:rsidR="00836205" w:rsidRPr="007574D9" w:rsidRDefault="00836205" w:rsidP="00836205">
            <w:pPr>
              <w:jc w:val="left"/>
              <w:rPr>
                <w:color w:val="000000"/>
                <w:sz w:val="17"/>
                <w:szCs w:val="17"/>
                <w:lang w:val="ru-RU"/>
              </w:rPr>
            </w:pPr>
            <w:r w:rsidRPr="007574D9">
              <w:rPr>
                <w:color w:val="000000"/>
                <w:sz w:val="17"/>
                <w:szCs w:val="17"/>
                <w:lang w:val="ru-RU"/>
              </w:rPr>
              <w:t>Минус:  Использование резервов предыдущих лет</w:t>
            </w:r>
          </w:p>
        </w:tc>
        <w:tc>
          <w:tcPr>
            <w:tcW w:w="1360" w:type="dxa"/>
            <w:tcBorders>
              <w:top w:val="nil"/>
              <w:left w:val="nil"/>
              <w:bottom w:val="nil"/>
              <w:right w:val="nil"/>
            </w:tcBorders>
            <w:shd w:val="clear" w:color="auto" w:fill="auto"/>
            <w:vAlign w:val="center"/>
            <w:hideMark/>
          </w:tcPr>
          <w:p w:rsidR="00836205" w:rsidRPr="000559B7" w:rsidRDefault="00836205" w:rsidP="00836205">
            <w:pPr>
              <w:jc w:val="right"/>
              <w:rPr>
                <w:sz w:val="17"/>
                <w:szCs w:val="17"/>
                <w:lang w:val="ru-RU"/>
              </w:rPr>
            </w:pPr>
            <w:r w:rsidRPr="000559B7">
              <w:rPr>
                <w:sz w:val="17"/>
                <w:szCs w:val="17"/>
                <w:lang w:val="ru-RU"/>
              </w:rPr>
              <w:t xml:space="preserve">               (638,7)</w:t>
            </w:r>
          </w:p>
        </w:tc>
        <w:tc>
          <w:tcPr>
            <w:tcW w:w="1600" w:type="dxa"/>
            <w:tcBorders>
              <w:top w:val="nil"/>
              <w:left w:val="nil"/>
              <w:bottom w:val="nil"/>
              <w:right w:val="nil"/>
            </w:tcBorders>
            <w:shd w:val="clear" w:color="auto" w:fill="auto"/>
            <w:vAlign w:val="center"/>
            <w:hideMark/>
          </w:tcPr>
          <w:p w:rsidR="00836205" w:rsidRPr="000559B7" w:rsidRDefault="00836205" w:rsidP="00836205">
            <w:pPr>
              <w:jc w:val="right"/>
              <w:rPr>
                <w:sz w:val="17"/>
                <w:szCs w:val="17"/>
                <w:lang w:val="ru-RU"/>
              </w:rPr>
            </w:pPr>
            <w:r w:rsidRPr="000559B7">
              <w:rPr>
                <w:sz w:val="17"/>
                <w:szCs w:val="17"/>
                <w:lang w:val="ru-RU"/>
              </w:rPr>
              <w:t xml:space="preserve">                    (638,7)</w:t>
            </w:r>
          </w:p>
        </w:tc>
        <w:tc>
          <w:tcPr>
            <w:tcW w:w="1640" w:type="dxa"/>
            <w:tcBorders>
              <w:top w:val="nil"/>
              <w:left w:val="nil"/>
              <w:bottom w:val="nil"/>
              <w:right w:val="nil"/>
            </w:tcBorders>
            <w:shd w:val="clear" w:color="auto" w:fill="auto"/>
            <w:vAlign w:val="center"/>
            <w:hideMark/>
          </w:tcPr>
          <w:p w:rsidR="00836205" w:rsidRPr="000559B7" w:rsidRDefault="00836205" w:rsidP="00836205">
            <w:pPr>
              <w:jc w:val="right"/>
              <w:rPr>
                <w:sz w:val="17"/>
                <w:szCs w:val="17"/>
                <w:lang w:val="ru-RU"/>
              </w:rPr>
            </w:pPr>
            <w:r w:rsidRPr="000559B7">
              <w:rPr>
                <w:sz w:val="17"/>
                <w:szCs w:val="17"/>
                <w:lang w:val="ru-RU"/>
              </w:rPr>
              <w:t xml:space="preserve">                  (1 277,4)</w:t>
            </w:r>
          </w:p>
        </w:tc>
      </w:tr>
      <w:tr w:rsidR="00836205" w:rsidRPr="000559B7" w:rsidTr="00836205">
        <w:trPr>
          <w:trHeight w:val="300"/>
        </w:trPr>
        <w:tc>
          <w:tcPr>
            <w:tcW w:w="4520" w:type="dxa"/>
            <w:tcBorders>
              <w:top w:val="single" w:sz="4" w:space="0" w:color="auto"/>
              <w:left w:val="nil"/>
              <w:bottom w:val="single" w:sz="8" w:space="0" w:color="auto"/>
              <w:right w:val="nil"/>
            </w:tcBorders>
            <w:shd w:val="clear" w:color="auto" w:fill="auto"/>
            <w:hideMark/>
          </w:tcPr>
          <w:p w:rsidR="00836205" w:rsidRPr="000559B7" w:rsidRDefault="00836205" w:rsidP="00C666A2">
            <w:pPr>
              <w:jc w:val="left"/>
              <w:rPr>
                <w:color w:val="000000"/>
                <w:sz w:val="17"/>
                <w:szCs w:val="17"/>
                <w:lang w:val="ru-RU"/>
              </w:rPr>
            </w:pPr>
            <w:r w:rsidRPr="000559B7">
              <w:rPr>
                <w:color w:val="000000"/>
                <w:sz w:val="17"/>
                <w:szCs w:val="17"/>
                <w:lang w:val="ru-RU"/>
              </w:rPr>
              <w:t>Чистый итог (</w:t>
            </w:r>
            <w:r w:rsidR="003D4502">
              <w:rPr>
                <w:color w:val="000000"/>
                <w:sz w:val="17"/>
                <w:szCs w:val="17"/>
                <w:lang w:val="ru-RU"/>
              </w:rPr>
              <w:t>сумма для распределения между</w:t>
            </w:r>
            <w:r w:rsidRPr="000559B7">
              <w:rPr>
                <w:color w:val="000000"/>
                <w:sz w:val="17"/>
                <w:szCs w:val="17"/>
                <w:lang w:val="ru-RU"/>
              </w:rPr>
              <w:t xml:space="preserve"> Сторон</w:t>
            </w:r>
            <w:r w:rsidR="003D4502">
              <w:rPr>
                <w:color w:val="000000"/>
                <w:sz w:val="17"/>
                <w:szCs w:val="17"/>
                <w:lang w:val="ru-RU"/>
              </w:rPr>
              <w:t>ами</w:t>
            </w:r>
            <w:r w:rsidRPr="000559B7">
              <w:rPr>
                <w:color w:val="000000"/>
                <w:sz w:val="17"/>
                <w:szCs w:val="17"/>
                <w:lang w:val="ru-RU"/>
              </w:rPr>
              <w:t>)</w:t>
            </w:r>
          </w:p>
        </w:tc>
        <w:tc>
          <w:tcPr>
            <w:tcW w:w="1360" w:type="dxa"/>
            <w:tcBorders>
              <w:top w:val="single" w:sz="4" w:space="0" w:color="auto"/>
              <w:left w:val="nil"/>
              <w:bottom w:val="single" w:sz="8" w:space="0" w:color="auto"/>
              <w:right w:val="nil"/>
            </w:tcBorders>
            <w:shd w:val="clear" w:color="auto" w:fill="auto"/>
            <w:hideMark/>
          </w:tcPr>
          <w:p w:rsidR="00836205" w:rsidRPr="000559B7" w:rsidRDefault="00836205" w:rsidP="00836205">
            <w:pPr>
              <w:jc w:val="right"/>
              <w:rPr>
                <w:color w:val="000000"/>
                <w:sz w:val="17"/>
                <w:szCs w:val="17"/>
                <w:lang w:val="ru-RU"/>
              </w:rPr>
            </w:pPr>
            <w:r w:rsidRPr="000559B7">
              <w:rPr>
                <w:color w:val="000000"/>
                <w:sz w:val="17"/>
                <w:szCs w:val="17"/>
                <w:lang w:val="ru-RU"/>
              </w:rPr>
              <w:t>11 846,5</w:t>
            </w:r>
          </w:p>
        </w:tc>
        <w:tc>
          <w:tcPr>
            <w:tcW w:w="1600" w:type="dxa"/>
            <w:tcBorders>
              <w:top w:val="single" w:sz="4" w:space="0" w:color="auto"/>
              <w:left w:val="nil"/>
              <w:bottom w:val="single" w:sz="8" w:space="0" w:color="auto"/>
              <w:right w:val="nil"/>
            </w:tcBorders>
            <w:shd w:val="clear" w:color="auto" w:fill="auto"/>
            <w:hideMark/>
          </w:tcPr>
          <w:p w:rsidR="00836205" w:rsidRPr="000559B7" w:rsidRDefault="00836205" w:rsidP="00836205">
            <w:pPr>
              <w:jc w:val="right"/>
              <w:rPr>
                <w:color w:val="000000"/>
                <w:sz w:val="17"/>
                <w:szCs w:val="17"/>
                <w:lang w:val="ru-RU"/>
              </w:rPr>
            </w:pPr>
            <w:r w:rsidRPr="000559B7">
              <w:rPr>
                <w:color w:val="000000"/>
                <w:sz w:val="17"/>
                <w:szCs w:val="17"/>
                <w:lang w:val="ru-RU"/>
              </w:rPr>
              <w:t>12 562,2</w:t>
            </w:r>
          </w:p>
        </w:tc>
        <w:tc>
          <w:tcPr>
            <w:tcW w:w="1640" w:type="dxa"/>
            <w:tcBorders>
              <w:top w:val="single" w:sz="4" w:space="0" w:color="auto"/>
              <w:left w:val="nil"/>
              <w:bottom w:val="single" w:sz="8" w:space="0" w:color="auto"/>
              <w:right w:val="nil"/>
            </w:tcBorders>
            <w:shd w:val="clear" w:color="auto" w:fill="auto"/>
            <w:hideMark/>
          </w:tcPr>
          <w:p w:rsidR="00836205" w:rsidRPr="000559B7" w:rsidRDefault="00836205" w:rsidP="00836205">
            <w:pPr>
              <w:jc w:val="right"/>
              <w:rPr>
                <w:color w:val="000000"/>
                <w:sz w:val="17"/>
                <w:szCs w:val="17"/>
                <w:lang w:val="ru-RU"/>
              </w:rPr>
            </w:pPr>
            <w:r w:rsidRPr="000559B7">
              <w:rPr>
                <w:color w:val="000000"/>
                <w:sz w:val="17"/>
                <w:szCs w:val="17"/>
                <w:lang w:val="ru-RU"/>
              </w:rPr>
              <w:t>24 408,7</w:t>
            </w:r>
          </w:p>
        </w:tc>
      </w:tr>
      <w:tr w:rsidR="00400920" w:rsidRPr="000559B7" w:rsidTr="005D6EFB">
        <w:trPr>
          <w:trHeight w:val="288"/>
        </w:trPr>
        <w:tc>
          <w:tcPr>
            <w:tcW w:w="4520" w:type="dxa"/>
            <w:vMerge w:val="restart"/>
            <w:tcBorders>
              <w:top w:val="single" w:sz="8" w:space="0" w:color="auto"/>
              <w:left w:val="nil"/>
              <w:bottom w:val="single" w:sz="12" w:space="0" w:color="000000"/>
              <w:right w:val="nil"/>
            </w:tcBorders>
            <w:shd w:val="clear" w:color="auto" w:fill="auto"/>
            <w:vAlign w:val="center"/>
            <w:hideMark/>
          </w:tcPr>
          <w:p w:rsidR="00400920" w:rsidRPr="000559B7" w:rsidRDefault="00400920" w:rsidP="005D6EFB">
            <w:pPr>
              <w:jc w:val="left"/>
              <w:rPr>
                <w:i/>
                <w:iCs/>
                <w:color w:val="000000"/>
                <w:sz w:val="15"/>
                <w:szCs w:val="15"/>
                <w:lang w:val="ru-RU"/>
              </w:rPr>
            </w:pPr>
            <w:r w:rsidRPr="000559B7">
              <w:rPr>
                <w:i/>
                <w:iCs/>
                <w:color w:val="000000"/>
                <w:sz w:val="15"/>
                <w:szCs w:val="15"/>
                <w:lang w:val="ru-RU"/>
              </w:rPr>
              <w:t> </w:t>
            </w:r>
          </w:p>
        </w:tc>
        <w:tc>
          <w:tcPr>
            <w:tcW w:w="1360" w:type="dxa"/>
            <w:vMerge w:val="restart"/>
            <w:tcBorders>
              <w:top w:val="single" w:sz="8" w:space="0" w:color="auto"/>
              <w:left w:val="nil"/>
              <w:bottom w:val="single" w:sz="12" w:space="0" w:color="000000"/>
              <w:right w:val="nil"/>
            </w:tcBorders>
            <w:shd w:val="clear" w:color="auto" w:fill="auto"/>
            <w:vAlign w:val="center"/>
            <w:hideMark/>
          </w:tcPr>
          <w:p w:rsidR="00400920" w:rsidRPr="000559B7" w:rsidRDefault="00400920" w:rsidP="00D67EA4">
            <w:pPr>
              <w:jc w:val="center"/>
              <w:rPr>
                <w:i/>
                <w:iCs/>
                <w:color w:val="000000"/>
                <w:sz w:val="15"/>
                <w:szCs w:val="15"/>
                <w:lang w:val="ru-RU"/>
              </w:rPr>
            </w:pPr>
            <w:r w:rsidRPr="000559B7">
              <w:rPr>
                <w:i/>
                <w:iCs/>
                <w:color w:val="000000"/>
                <w:sz w:val="15"/>
                <w:szCs w:val="15"/>
                <w:lang w:val="ru-RU"/>
              </w:rPr>
              <w:t>2019 год</w:t>
            </w:r>
            <w:r w:rsidR="00D67EA4">
              <w:rPr>
                <w:i/>
                <w:iCs/>
                <w:color w:val="000000"/>
                <w:sz w:val="15"/>
                <w:szCs w:val="15"/>
                <w:lang w:val="ru-RU"/>
              </w:rPr>
              <w:br/>
            </w:r>
            <w:r w:rsidRPr="000559B7">
              <w:rPr>
                <w:i/>
                <w:iCs/>
                <w:color w:val="000000"/>
                <w:sz w:val="15"/>
                <w:szCs w:val="15"/>
                <w:lang w:val="ru-RU"/>
              </w:rPr>
              <w:t xml:space="preserve"> (тысяч долл. США)</w:t>
            </w:r>
          </w:p>
        </w:tc>
        <w:tc>
          <w:tcPr>
            <w:tcW w:w="1600" w:type="dxa"/>
            <w:vMerge w:val="restart"/>
            <w:tcBorders>
              <w:top w:val="single" w:sz="8" w:space="0" w:color="auto"/>
              <w:left w:val="nil"/>
              <w:bottom w:val="single" w:sz="12" w:space="0" w:color="000000"/>
              <w:right w:val="nil"/>
            </w:tcBorders>
            <w:shd w:val="clear" w:color="auto" w:fill="auto"/>
            <w:vAlign w:val="center"/>
            <w:hideMark/>
          </w:tcPr>
          <w:p w:rsidR="00400920" w:rsidRPr="000559B7" w:rsidRDefault="00400920" w:rsidP="005D6EFB">
            <w:pPr>
              <w:jc w:val="center"/>
              <w:rPr>
                <w:i/>
                <w:iCs/>
                <w:color w:val="000000"/>
                <w:sz w:val="15"/>
                <w:szCs w:val="15"/>
                <w:lang w:val="ru-RU"/>
              </w:rPr>
            </w:pPr>
            <w:r w:rsidRPr="000559B7">
              <w:rPr>
                <w:i/>
                <w:iCs/>
                <w:color w:val="000000"/>
                <w:sz w:val="15"/>
                <w:szCs w:val="15"/>
                <w:lang w:val="ru-RU"/>
              </w:rPr>
              <w:t>2020 год                            (тысяч долл. США)</w:t>
            </w:r>
          </w:p>
        </w:tc>
        <w:tc>
          <w:tcPr>
            <w:tcW w:w="1640" w:type="dxa"/>
            <w:vMerge w:val="restart"/>
            <w:tcBorders>
              <w:top w:val="single" w:sz="8" w:space="0" w:color="auto"/>
              <w:left w:val="nil"/>
              <w:bottom w:val="single" w:sz="12" w:space="0" w:color="000000"/>
              <w:right w:val="nil"/>
            </w:tcBorders>
            <w:shd w:val="clear" w:color="auto" w:fill="auto"/>
            <w:vAlign w:val="center"/>
            <w:hideMark/>
          </w:tcPr>
          <w:p w:rsidR="00400920" w:rsidRPr="000559B7" w:rsidRDefault="00D67EA4" w:rsidP="00D67EA4">
            <w:pPr>
              <w:jc w:val="center"/>
              <w:rPr>
                <w:i/>
                <w:iCs/>
                <w:color w:val="000000"/>
                <w:sz w:val="15"/>
                <w:szCs w:val="15"/>
                <w:lang w:val="ru-RU"/>
              </w:rPr>
            </w:pPr>
            <w:r>
              <w:rPr>
                <w:i/>
                <w:iCs/>
                <w:color w:val="000000"/>
                <w:sz w:val="15"/>
                <w:szCs w:val="15"/>
                <w:lang w:val="ru-RU"/>
              </w:rPr>
              <w:t>Итого</w:t>
            </w:r>
            <w:r>
              <w:rPr>
                <w:i/>
                <w:iCs/>
                <w:color w:val="000000"/>
                <w:sz w:val="15"/>
                <w:szCs w:val="15"/>
                <w:lang w:val="ru-RU"/>
              </w:rPr>
              <w:br/>
            </w:r>
            <w:r w:rsidR="00400920" w:rsidRPr="000559B7">
              <w:rPr>
                <w:i/>
                <w:iCs/>
                <w:color w:val="000000"/>
                <w:sz w:val="15"/>
                <w:szCs w:val="15"/>
                <w:lang w:val="ru-RU"/>
              </w:rPr>
              <w:t xml:space="preserve">   (тысяч долл. США)</w:t>
            </w:r>
          </w:p>
        </w:tc>
      </w:tr>
      <w:tr w:rsidR="00400920" w:rsidRPr="000559B7" w:rsidTr="005D6EFB">
        <w:trPr>
          <w:trHeight w:val="433"/>
        </w:trPr>
        <w:tc>
          <w:tcPr>
            <w:tcW w:w="4520" w:type="dxa"/>
            <w:vMerge/>
            <w:tcBorders>
              <w:top w:val="single" w:sz="8" w:space="0" w:color="auto"/>
              <w:left w:val="nil"/>
              <w:bottom w:val="single" w:sz="12" w:space="0" w:color="000000"/>
              <w:right w:val="nil"/>
            </w:tcBorders>
            <w:vAlign w:val="center"/>
            <w:hideMark/>
          </w:tcPr>
          <w:p w:rsidR="00400920" w:rsidRPr="000559B7" w:rsidRDefault="00400920" w:rsidP="005D6EFB">
            <w:pPr>
              <w:jc w:val="left"/>
              <w:rPr>
                <w:i/>
                <w:iCs/>
                <w:color w:val="000000"/>
                <w:sz w:val="15"/>
                <w:szCs w:val="15"/>
                <w:lang w:val="ru-RU"/>
              </w:rPr>
            </w:pPr>
          </w:p>
        </w:tc>
        <w:tc>
          <w:tcPr>
            <w:tcW w:w="1360" w:type="dxa"/>
            <w:vMerge/>
            <w:tcBorders>
              <w:top w:val="single" w:sz="8" w:space="0" w:color="auto"/>
              <w:left w:val="nil"/>
              <w:bottom w:val="single" w:sz="12" w:space="0" w:color="000000"/>
              <w:right w:val="nil"/>
            </w:tcBorders>
            <w:vAlign w:val="center"/>
            <w:hideMark/>
          </w:tcPr>
          <w:p w:rsidR="00400920" w:rsidRPr="000559B7" w:rsidRDefault="00400920" w:rsidP="005D6EFB">
            <w:pPr>
              <w:jc w:val="left"/>
              <w:rPr>
                <w:i/>
                <w:iCs/>
                <w:color w:val="000000"/>
                <w:sz w:val="15"/>
                <w:szCs w:val="15"/>
                <w:lang w:val="ru-RU"/>
              </w:rPr>
            </w:pPr>
          </w:p>
        </w:tc>
        <w:tc>
          <w:tcPr>
            <w:tcW w:w="1600" w:type="dxa"/>
            <w:vMerge/>
            <w:tcBorders>
              <w:top w:val="single" w:sz="8" w:space="0" w:color="auto"/>
              <w:left w:val="nil"/>
              <w:bottom w:val="single" w:sz="12" w:space="0" w:color="000000"/>
              <w:right w:val="nil"/>
            </w:tcBorders>
            <w:vAlign w:val="center"/>
            <w:hideMark/>
          </w:tcPr>
          <w:p w:rsidR="00400920" w:rsidRPr="000559B7" w:rsidRDefault="00400920" w:rsidP="005D6EFB">
            <w:pPr>
              <w:jc w:val="left"/>
              <w:rPr>
                <w:i/>
                <w:iCs/>
                <w:color w:val="000000"/>
                <w:sz w:val="15"/>
                <w:szCs w:val="15"/>
                <w:lang w:val="ru-RU"/>
              </w:rPr>
            </w:pPr>
          </w:p>
        </w:tc>
        <w:tc>
          <w:tcPr>
            <w:tcW w:w="1640" w:type="dxa"/>
            <w:vMerge/>
            <w:tcBorders>
              <w:top w:val="single" w:sz="8" w:space="0" w:color="auto"/>
              <w:left w:val="nil"/>
              <w:bottom w:val="single" w:sz="12" w:space="0" w:color="000000"/>
              <w:right w:val="nil"/>
            </w:tcBorders>
            <w:vAlign w:val="center"/>
            <w:hideMark/>
          </w:tcPr>
          <w:p w:rsidR="00400920" w:rsidRPr="000559B7" w:rsidRDefault="00400920" w:rsidP="005D6EFB">
            <w:pPr>
              <w:jc w:val="left"/>
              <w:rPr>
                <w:i/>
                <w:iCs/>
                <w:color w:val="000000"/>
                <w:sz w:val="15"/>
                <w:szCs w:val="15"/>
                <w:lang w:val="ru-RU"/>
              </w:rPr>
            </w:pPr>
          </w:p>
        </w:tc>
      </w:tr>
      <w:tr w:rsidR="00400920" w:rsidRPr="000559B7" w:rsidTr="005D6EFB">
        <w:trPr>
          <w:trHeight w:val="433"/>
        </w:trPr>
        <w:tc>
          <w:tcPr>
            <w:tcW w:w="4520" w:type="dxa"/>
            <w:vMerge/>
            <w:tcBorders>
              <w:top w:val="single" w:sz="8" w:space="0" w:color="auto"/>
              <w:left w:val="nil"/>
              <w:bottom w:val="single" w:sz="12" w:space="0" w:color="000000"/>
              <w:right w:val="nil"/>
            </w:tcBorders>
            <w:vAlign w:val="center"/>
            <w:hideMark/>
          </w:tcPr>
          <w:p w:rsidR="00400920" w:rsidRPr="000559B7" w:rsidRDefault="00400920" w:rsidP="005D6EFB">
            <w:pPr>
              <w:jc w:val="left"/>
              <w:rPr>
                <w:i/>
                <w:iCs/>
                <w:color w:val="000000"/>
                <w:sz w:val="15"/>
                <w:szCs w:val="15"/>
                <w:lang w:val="ru-RU"/>
              </w:rPr>
            </w:pPr>
          </w:p>
        </w:tc>
        <w:tc>
          <w:tcPr>
            <w:tcW w:w="1360" w:type="dxa"/>
            <w:vMerge/>
            <w:tcBorders>
              <w:top w:val="single" w:sz="8" w:space="0" w:color="auto"/>
              <w:left w:val="nil"/>
              <w:bottom w:val="single" w:sz="12" w:space="0" w:color="000000"/>
              <w:right w:val="nil"/>
            </w:tcBorders>
            <w:vAlign w:val="center"/>
            <w:hideMark/>
          </w:tcPr>
          <w:p w:rsidR="00400920" w:rsidRPr="000559B7" w:rsidRDefault="00400920" w:rsidP="005D6EFB">
            <w:pPr>
              <w:jc w:val="left"/>
              <w:rPr>
                <w:i/>
                <w:iCs/>
                <w:color w:val="000000"/>
                <w:sz w:val="15"/>
                <w:szCs w:val="15"/>
                <w:lang w:val="ru-RU"/>
              </w:rPr>
            </w:pPr>
          </w:p>
        </w:tc>
        <w:tc>
          <w:tcPr>
            <w:tcW w:w="1600" w:type="dxa"/>
            <w:vMerge/>
            <w:tcBorders>
              <w:top w:val="single" w:sz="8" w:space="0" w:color="auto"/>
              <w:left w:val="nil"/>
              <w:bottom w:val="single" w:sz="12" w:space="0" w:color="000000"/>
              <w:right w:val="nil"/>
            </w:tcBorders>
            <w:vAlign w:val="center"/>
            <w:hideMark/>
          </w:tcPr>
          <w:p w:rsidR="00400920" w:rsidRPr="000559B7" w:rsidRDefault="00400920" w:rsidP="005D6EFB">
            <w:pPr>
              <w:jc w:val="left"/>
              <w:rPr>
                <w:i/>
                <w:iCs/>
                <w:color w:val="000000"/>
                <w:sz w:val="15"/>
                <w:szCs w:val="15"/>
                <w:lang w:val="ru-RU"/>
              </w:rPr>
            </w:pPr>
          </w:p>
        </w:tc>
        <w:tc>
          <w:tcPr>
            <w:tcW w:w="1640" w:type="dxa"/>
            <w:vMerge/>
            <w:tcBorders>
              <w:top w:val="single" w:sz="8" w:space="0" w:color="auto"/>
              <w:left w:val="nil"/>
              <w:bottom w:val="single" w:sz="12" w:space="0" w:color="000000"/>
              <w:right w:val="nil"/>
            </w:tcBorders>
            <w:vAlign w:val="center"/>
            <w:hideMark/>
          </w:tcPr>
          <w:p w:rsidR="00400920" w:rsidRPr="000559B7" w:rsidRDefault="00400920" w:rsidP="005D6EFB">
            <w:pPr>
              <w:jc w:val="left"/>
              <w:rPr>
                <w:i/>
                <w:iCs/>
                <w:color w:val="000000"/>
                <w:sz w:val="15"/>
                <w:szCs w:val="15"/>
                <w:lang w:val="ru-RU"/>
              </w:rPr>
            </w:pPr>
          </w:p>
        </w:tc>
      </w:tr>
      <w:tr w:rsidR="00400920" w:rsidRPr="000559B7" w:rsidTr="005D6EFB">
        <w:trPr>
          <w:trHeight w:val="300"/>
        </w:trPr>
        <w:tc>
          <w:tcPr>
            <w:tcW w:w="4520" w:type="dxa"/>
            <w:tcBorders>
              <w:top w:val="nil"/>
              <w:left w:val="nil"/>
              <w:bottom w:val="nil"/>
              <w:right w:val="nil"/>
            </w:tcBorders>
            <w:shd w:val="clear" w:color="auto" w:fill="auto"/>
            <w:vAlign w:val="center"/>
            <w:hideMark/>
          </w:tcPr>
          <w:p w:rsidR="00400920" w:rsidRPr="000559B7" w:rsidRDefault="00400920" w:rsidP="005D6EFB">
            <w:pPr>
              <w:jc w:val="left"/>
              <w:rPr>
                <w:rFonts w:ascii="Calibri" w:hAnsi="Calibri" w:cs="Calibri"/>
                <w:color w:val="000000"/>
                <w:sz w:val="20"/>
                <w:szCs w:val="20"/>
                <w:lang w:val="ru-RU"/>
              </w:rPr>
            </w:pPr>
          </w:p>
        </w:tc>
        <w:tc>
          <w:tcPr>
            <w:tcW w:w="1360" w:type="dxa"/>
            <w:tcBorders>
              <w:top w:val="nil"/>
              <w:left w:val="nil"/>
              <w:bottom w:val="nil"/>
              <w:right w:val="nil"/>
            </w:tcBorders>
            <w:shd w:val="clear" w:color="auto" w:fill="auto"/>
            <w:vAlign w:val="center"/>
            <w:hideMark/>
          </w:tcPr>
          <w:p w:rsidR="00400920" w:rsidRPr="000559B7" w:rsidRDefault="00400920" w:rsidP="005D6EFB">
            <w:pPr>
              <w:jc w:val="left"/>
              <w:rPr>
                <w:rFonts w:ascii="Calibri" w:hAnsi="Calibri" w:cs="Calibri"/>
                <w:color w:val="000000"/>
                <w:sz w:val="20"/>
                <w:szCs w:val="20"/>
                <w:lang w:val="ru-RU"/>
              </w:rPr>
            </w:pPr>
          </w:p>
        </w:tc>
        <w:tc>
          <w:tcPr>
            <w:tcW w:w="1600" w:type="dxa"/>
            <w:tcBorders>
              <w:top w:val="nil"/>
              <w:left w:val="nil"/>
              <w:bottom w:val="nil"/>
              <w:right w:val="nil"/>
            </w:tcBorders>
            <w:shd w:val="clear" w:color="auto" w:fill="auto"/>
            <w:vAlign w:val="center"/>
            <w:hideMark/>
          </w:tcPr>
          <w:p w:rsidR="00400920" w:rsidRPr="000559B7" w:rsidRDefault="00400920" w:rsidP="005D6EFB">
            <w:pPr>
              <w:jc w:val="right"/>
              <w:rPr>
                <w:color w:val="000000"/>
                <w:lang w:val="ru-RU"/>
              </w:rPr>
            </w:pPr>
          </w:p>
        </w:tc>
        <w:tc>
          <w:tcPr>
            <w:tcW w:w="1640" w:type="dxa"/>
            <w:tcBorders>
              <w:top w:val="nil"/>
              <w:left w:val="nil"/>
              <w:bottom w:val="nil"/>
              <w:right w:val="nil"/>
            </w:tcBorders>
            <w:shd w:val="clear" w:color="auto" w:fill="auto"/>
            <w:vAlign w:val="center"/>
            <w:hideMark/>
          </w:tcPr>
          <w:p w:rsidR="00400920" w:rsidRPr="000559B7" w:rsidRDefault="00400920" w:rsidP="005D6EFB">
            <w:pPr>
              <w:jc w:val="right"/>
              <w:rPr>
                <w:color w:val="000000"/>
                <w:lang w:val="ru-RU"/>
              </w:rPr>
            </w:pPr>
          </w:p>
        </w:tc>
      </w:tr>
      <w:tr w:rsidR="00400920" w:rsidRPr="000559B7" w:rsidTr="005D6EFB">
        <w:trPr>
          <w:trHeight w:val="288"/>
        </w:trPr>
        <w:tc>
          <w:tcPr>
            <w:tcW w:w="4520" w:type="dxa"/>
            <w:tcBorders>
              <w:top w:val="nil"/>
              <w:left w:val="nil"/>
              <w:bottom w:val="nil"/>
              <w:right w:val="nil"/>
            </w:tcBorders>
            <w:shd w:val="clear" w:color="auto" w:fill="auto"/>
            <w:hideMark/>
          </w:tcPr>
          <w:p w:rsidR="00400920" w:rsidRPr="000559B7" w:rsidRDefault="00400920" w:rsidP="005D6EFB">
            <w:pPr>
              <w:jc w:val="left"/>
              <w:rPr>
                <w:color w:val="000000"/>
                <w:sz w:val="17"/>
                <w:szCs w:val="17"/>
                <w:lang w:val="ru-RU"/>
              </w:rPr>
            </w:pPr>
            <w:r w:rsidRPr="000559B7">
              <w:rPr>
                <w:color w:val="000000"/>
                <w:sz w:val="17"/>
                <w:szCs w:val="17"/>
                <w:lang w:val="ru-RU"/>
              </w:rPr>
              <w:t>A. Руководящие и вспомогательные органы</w:t>
            </w:r>
          </w:p>
        </w:tc>
        <w:tc>
          <w:tcPr>
            <w:tcW w:w="1360" w:type="dxa"/>
            <w:tcBorders>
              <w:top w:val="nil"/>
              <w:left w:val="nil"/>
              <w:bottom w:val="nil"/>
              <w:right w:val="nil"/>
            </w:tcBorders>
            <w:shd w:val="clear" w:color="auto" w:fill="auto"/>
            <w:hideMark/>
          </w:tcPr>
          <w:p w:rsidR="00400920" w:rsidRPr="000559B7" w:rsidRDefault="00400920" w:rsidP="005D6EFB">
            <w:pPr>
              <w:jc w:val="right"/>
              <w:rPr>
                <w:color w:val="000000"/>
                <w:sz w:val="17"/>
                <w:szCs w:val="17"/>
                <w:lang w:val="ru-RU"/>
              </w:rPr>
            </w:pPr>
            <w:r w:rsidRPr="000559B7">
              <w:rPr>
                <w:color w:val="000000"/>
                <w:sz w:val="17"/>
                <w:szCs w:val="17"/>
                <w:lang w:val="ru-RU"/>
              </w:rPr>
              <w:t>1 889,0</w:t>
            </w:r>
          </w:p>
        </w:tc>
        <w:tc>
          <w:tcPr>
            <w:tcW w:w="1600" w:type="dxa"/>
            <w:tcBorders>
              <w:top w:val="nil"/>
              <w:left w:val="nil"/>
              <w:bottom w:val="nil"/>
              <w:right w:val="nil"/>
            </w:tcBorders>
            <w:shd w:val="clear" w:color="auto" w:fill="auto"/>
            <w:hideMark/>
          </w:tcPr>
          <w:p w:rsidR="00400920" w:rsidRPr="000559B7" w:rsidRDefault="00400920" w:rsidP="005D6EFB">
            <w:pPr>
              <w:jc w:val="right"/>
              <w:rPr>
                <w:color w:val="000000"/>
                <w:sz w:val="17"/>
                <w:szCs w:val="17"/>
                <w:lang w:val="ru-RU"/>
              </w:rPr>
            </w:pPr>
            <w:r w:rsidRPr="000559B7">
              <w:rPr>
                <w:color w:val="000000"/>
                <w:sz w:val="17"/>
                <w:szCs w:val="17"/>
                <w:lang w:val="ru-RU"/>
              </w:rPr>
              <w:t>2 484,0</w:t>
            </w:r>
          </w:p>
        </w:tc>
        <w:tc>
          <w:tcPr>
            <w:tcW w:w="1640" w:type="dxa"/>
            <w:tcBorders>
              <w:top w:val="nil"/>
              <w:left w:val="nil"/>
              <w:bottom w:val="nil"/>
              <w:right w:val="nil"/>
            </w:tcBorders>
            <w:shd w:val="clear" w:color="auto" w:fill="auto"/>
            <w:hideMark/>
          </w:tcPr>
          <w:p w:rsidR="00400920" w:rsidRPr="000559B7" w:rsidRDefault="00400920" w:rsidP="005D6EFB">
            <w:pPr>
              <w:jc w:val="right"/>
              <w:rPr>
                <w:color w:val="000000"/>
                <w:sz w:val="17"/>
                <w:szCs w:val="17"/>
                <w:lang w:val="ru-RU"/>
              </w:rPr>
            </w:pPr>
            <w:r w:rsidRPr="000559B7">
              <w:rPr>
                <w:color w:val="000000"/>
                <w:sz w:val="17"/>
                <w:szCs w:val="17"/>
                <w:lang w:val="ru-RU"/>
              </w:rPr>
              <w:t>4 373,0</w:t>
            </w:r>
          </w:p>
        </w:tc>
      </w:tr>
      <w:tr w:rsidR="00400920" w:rsidRPr="000559B7" w:rsidTr="005D6EFB">
        <w:trPr>
          <w:trHeight w:val="288"/>
        </w:trPr>
        <w:tc>
          <w:tcPr>
            <w:tcW w:w="4520" w:type="dxa"/>
            <w:tcBorders>
              <w:top w:val="nil"/>
              <w:left w:val="nil"/>
              <w:bottom w:val="nil"/>
              <w:right w:val="nil"/>
            </w:tcBorders>
            <w:shd w:val="clear" w:color="auto" w:fill="auto"/>
            <w:hideMark/>
          </w:tcPr>
          <w:p w:rsidR="00400920" w:rsidRPr="000559B7" w:rsidRDefault="00400920" w:rsidP="005D6EFB">
            <w:pPr>
              <w:jc w:val="left"/>
              <w:rPr>
                <w:color w:val="000000"/>
                <w:sz w:val="17"/>
                <w:szCs w:val="17"/>
                <w:lang w:val="ru-RU"/>
              </w:rPr>
            </w:pPr>
            <w:r w:rsidRPr="000559B7">
              <w:rPr>
                <w:color w:val="000000"/>
                <w:sz w:val="17"/>
                <w:szCs w:val="17"/>
                <w:lang w:val="ru-RU"/>
              </w:rPr>
              <w:t>B. Исполнительное руководство и управление</w:t>
            </w:r>
          </w:p>
        </w:tc>
        <w:tc>
          <w:tcPr>
            <w:tcW w:w="1360" w:type="dxa"/>
            <w:tcBorders>
              <w:top w:val="nil"/>
              <w:left w:val="nil"/>
              <w:bottom w:val="nil"/>
              <w:right w:val="nil"/>
            </w:tcBorders>
            <w:shd w:val="clear" w:color="auto" w:fill="auto"/>
            <w:hideMark/>
          </w:tcPr>
          <w:p w:rsidR="00400920" w:rsidRPr="000559B7" w:rsidRDefault="00400920" w:rsidP="005D6EFB">
            <w:pPr>
              <w:jc w:val="right"/>
              <w:rPr>
                <w:color w:val="000000"/>
                <w:sz w:val="17"/>
                <w:szCs w:val="17"/>
                <w:lang w:val="ru-RU"/>
              </w:rPr>
            </w:pPr>
            <w:r w:rsidRPr="000559B7">
              <w:rPr>
                <w:color w:val="000000"/>
                <w:sz w:val="17"/>
                <w:szCs w:val="17"/>
                <w:lang w:val="ru-RU"/>
              </w:rPr>
              <w:t>2 634,5</w:t>
            </w:r>
          </w:p>
        </w:tc>
        <w:tc>
          <w:tcPr>
            <w:tcW w:w="1600" w:type="dxa"/>
            <w:tcBorders>
              <w:top w:val="nil"/>
              <w:left w:val="nil"/>
              <w:bottom w:val="nil"/>
              <w:right w:val="nil"/>
            </w:tcBorders>
            <w:shd w:val="clear" w:color="auto" w:fill="auto"/>
            <w:hideMark/>
          </w:tcPr>
          <w:p w:rsidR="00400920" w:rsidRPr="000559B7" w:rsidRDefault="00400920" w:rsidP="005D6EFB">
            <w:pPr>
              <w:jc w:val="right"/>
              <w:rPr>
                <w:color w:val="000000"/>
                <w:sz w:val="17"/>
                <w:szCs w:val="17"/>
                <w:lang w:val="ru-RU"/>
              </w:rPr>
            </w:pPr>
            <w:r w:rsidRPr="000559B7">
              <w:rPr>
                <w:color w:val="000000"/>
                <w:sz w:val="17"/>
                <w:szCs w:val="17"/>
                <w:lang w:val="ru-RU"/>
              </w:rPr>
              <w:t>2 669,8</w:t>
            </w:r>
          </w:p>
        </w:tc>
        <w:tc>
          <w:tcPr>
            <w:tcW w:w="1640" w:type="dxa"/>
            <w:tcBorders>
              <w:top w:val="nil"/>
              <w:left w:val="nil"/>
              <w:bottom w:val="nil"/>
              <w:right w:val="nil"/>
            </w:tcBorders>
            <w:shd w:val="clear" w:color="auto" w:fill="auto"/>
            <w:hideMark/>
          </w:tcPr>
          <w:p w:rsidR="00400920" w:rsidRPr="000559B7" w:rsidRDefault="00400920" w:rsidP="005D6EFB">
            <w:pPr>
              <w:jc w:val="right"/>
              <w:rPr>
                <w:color w:val="000000"/>
                <w:sz w:val="17"/>
                <w:szCs w:val="17"/>
                <w:lang w:val="ru-RU"/>
              </w:rPr>
            </w:pPr>
            <w:r w:rsidRPr="000559B7">
              <w:rPr>
                <w:color w:val="000000"/>
                <w:sz w:val="17"/>
                <w:szCs w:val="17"/>
                <w:lang w:val="ru-RU"/>
              </w:rPr>
              <w:t>5 304,3</w:t>
            </w:r>
          </w:p>
        </w:tc>
      </w:tr>
      <w:tr w:rsidR="00400920" w:rsidRPr="000559B7" w:rsidTr="005D6EFB">
        <w:trPr>
          <w:trHeight w:val="288"/>
        </w:trPr>
        <w:tc>
          <w:tcPr>
            <w:tcW w:w="4520" w:type="dxa"/>
            <w:tcBorders>
              <w:top w:val="nil"/>
              <w:left w:val="nil"/>
              <w:bottom w:val="nil"/>
              <w:right w:val="nil"/>
            </w:tcBorders>
            <w:shd w:val="clear" w:color="auto" w:fill="auto"/>
            <w:hideMark/>
          </w:tcPr>
          <w:p w:rsidR="00400920" w:rsidRPr="000559B7" w:rsidRDefault="00400920" w:rsidP="005D6EFB">
            <w:pPr>
              <w:jc w:val="left"/>
              <w:rPr>
                <w:color w:val="000000"/>
                <w:sz w:val="17"/>
                <w:szCs w:val="17"/>
                <w:lang w:val="ru-RU"/>
              </w:rPr>
            </w:pPr>
            <w:r w:rsidRPr="000559B7">
              <w:rPr>
                <w:color w:val="000000"/>
                <w:sz w:val="17"/>
                <w:szCs w:val="17"/>
                <w:lang w:val="ru-RU"/>
              </w:rPr>
              <w:t>C. Программа работы</w:t>
            </w:r>
          </w:p>
        </w:tc>
        <w:tc>
          <w:tcPr>
            <w:tcW w:w="1360" w:type="dxa"/>
            <w:tcBorders>
              <w:top w:val="nil"/>
              <w:left w:val="nil"/>
              <w:bottom w:val="nil"/>
              <w:right w:val="nil"/>
            </w:tcBorders>
            <w:shd w:val="clear" w:color="auto" w:fill="auto"/>
            <w:hideMark/>
          </w:tcPr>
          <w:p w:rsidR="00400920" w:rsidRPr="000559B7" w:rsidRDefault="00400920" w:rsidP="005D6EFB">
            <w:pPr>
              <w:jc w:val="right"/>
              <w:rPr>
                <w:color w:val="000000"/>
                <w:sz w:val="17"/>
                <w:szCs w:val="17"/>
                <w:lang w:val="ru-RU"/>
              </w:rPr>
            </w:pPr>
            <w:r w:rsidRPr="000559B7">
              <w:rPr>
                <w:color w:val="000000"/>
                <w:sz w:val="17"/>
                <w:szCs w:val="17"/>
                <w:lang w:val="ru-RU"/>
              </w:rPr>
              <w:t>9 309,4</w:t>
            </w:r>
          </w:p>
        </w:tc>
        <w:tc>
          <w:tcPr>
            <w:tcW w:w="1600" w:type="dxa"/>
            <w:tcBorders>
              <w:top w:val="nil"/>
              <w:left w:val="nil"/>
              <w:bottom w:val="nil"/>
              <w:right w:val="nil"/>
            </w:tcBorders>
            <w:shd w:val="clear" w:color="auto" w:fill="auto"/>
            <w:hideMark/>
          </w:tcPr>
          <w:p w:rsidR="00400920" w:rsidRPr="000559B7" w:rsidRDefault="00400920" w:rsidP="005D6EFB">
            <w:pPr>
              <w:jc w:val="right"/>
              <w:rPr>
                <w:color w:val="000000"/>
                <w:sz w:val="17"/>
                <w:szCs w:val="17"/>
                <w:lang w:val="ru-RU"/>
              </w:rPr>
            </w:pPr>
            <w:r w:rsidRPr="000559B7">
              <w:rPr>
                <w:color w:val="000000"/>
                <w:sz w:val="17"/>
                <w:szCs w:val="17"/>
                <w:lang w:val="ru-RU"/>
              </w:rPr>
              <w:t>9 243,1</w:t>
            </w:r>
          </w:p>
        </w:tc>
        <w:tc>
          <w:tcPr>
            <w:tcW w:w="1640" w:type="dxa"/>
            <w:tcBorders>
              <w:top w:val="nil"/>
              <w:left w:val="nil"/>
              <w:bottom w:val="nil"/>
              <w:right w:val="nil"/>
            </w:tcBorders>
            <w:shd w:val="clear" w:color="auto" w:fill="auto"/>
            <w:hideMark/>
          </w:tcPr>
          <w:p w:rsidR="00400920" w:rsidRPr="000559B7" w:rsidRDefault="00400920" w:rsidP="005D6EFB">
            <w:pPr>
              <w:jc w:val="right"/>
              <w:rPr>
                <w:color w:val="000000"/>
                <w:sz w:val="17"/>
                <w:szCs w:val="17"/>
                <w:lang w:val="ru-RU"/>
              </w:rPr>
            </w:pPr>
            <w:r w:rsidRPr="000559B7">
              <w:rPr>
                <w:color w:val="000000"/>
                <w:sz w:val="17"/>
                <w:szCs w:val="17"/>
                <w:lang w:val="ru-RU"/>
              </w:rPr>
              <w:t>18 552,5</w:t>
            </w:r>
          </w:p>
        </w:tc>
      </w:tr>
      <w:tr w:rsidR="00400920" w:rsidRPr="000559B7" w:rsidTr="005D6EFB">
        <w:trPr>
          <w:trHeight w:val="300"/>
        </w:trPr>
        <w:tc>
          <w:tcPr>
            <w:tcW w:w="4520" w:type="dxa"/>
            <w:tcBorders>
              <w:top w:val="nil"/>
              <w:left w:val="nil"/>
              <w:bottom w:val="single" w:sz="8" w:space="0" w:color="auto"/>
              <w:right w:val="nil"/>
            </w:tcBorders>
            <w:shd w:val="clear" w:color="auto" w:fill="auto"/>
            <w:hideMark/>
          </w:tcPr>
          <w:p w:rsidR="00400920" w:rsidRPr="000559B7" w:rsidRDefault="00400920" w:rsidP="005D6EFB">
            <w:pPr>
              <w:jc w:val="left"/>
              <w:rPr>
                <w:color w:val="000000"/>
                <w:sz w:val="17"/>
                <w:szCs w:val="17"/>
                <w:lang w:val="ru-RU"/>
              </w:rPr>
            </w:pPr>
            <w:r w:rsidRPr="000559B7">
              <w:rPr>
                <w:color w:val="000000"/>
                <w:sz w:val="17"/>
                <w:szCs w:val="17"/>
                <w:lang w:val="ru-RU"/>
              </w:rPr>
              <w:t>D. Административная поддержка</w:t>
            </w:r>
          </w:p>
        </w:tc>
        <w:tc>
          <w:tcPr>
            <w:tcW w:w="1360" w:type="dxa"/>
            <w:tcBorders>
              <w:top w:val="nil"/>
              <w:left w:val="nil"/>
              <w:bottom w:val="single" w:sz="8" w:space="0" w:color="auto"/>
              <w:right w:val="nil"/>
            </w:tcBorders>
            <w:shd w:val="clear" w:color="auto" w:fill="auto"/>
            <w:hideMark/>
          </w:tcPr>
          <w:p w:rsidR="00400920" w:rsidRPr="000559B7" w:rsidRDefault="00400920" w:rsidP="005D6EFB">
            <w:pPr>
              <w:jc w:val="right"/>
              <w:rPr>
                <w:color w:val="000000"/>
                <w:sz w:val="17"/>
                <w:szCs w:val="17"/>
                <w:lang w:val="ru-RU"/>
              </w:rPr>
            </w:pPr>
            <w:r w:rsidRPr="000559B7">
              <w:rPr>
                <w:color w:val="000000"/>
                <w:sz w:val="17"/>
                <w:szCs w:val="17"/>
                <w:lang w:val="ru-RU"/>
              </w:rPr>
              <w:t>2 886,0</w:t>
            </w:r>
          </w:p>
        </w:tc>
        <w:tc>
          <w:tcPr>
            <w:tcW w:w="1600" w:type="dxa"/>
            <w:tcBorders>
              <w:top w:val="nil"/>
              <w:left w:val="nil"/>
              <w:bottom w:val="single" w:sz="8" w:space="0" w:color="auto"/>
              <w:right w:val="nil"/>
            </w:tcBorders>
            <w:shd w:val="clear" w:color="auto" w:fill="auto"/>
            <w:hideMark/>
          </w:tcPr>
          <w:p w:rsidR="00400920" w:rsidRPr="000559B7" w:rsidRDefault="00400920" w:rsidP="005D6EFB">
            <w:pPr>
              <w:jc w:val="right"/>
              <w:rPr>
                <w:color w:val="000000"/>
                <w:sz w:val="17"/>
                <w:szCs w:val="17"/>
                <w:lang w:val="ru-RU"/>
              </w:rPr>
            </w:pPr>
            <w:r w:rsidRPr="000559B7">
              <w:rPr>
                <w:color w:val="000000"/>
                <w:sz w:val="17"/>
                <w:szCs w:val="17"/>
                <w:lang w:val="ru-RU"/>
              </w:rPr>
              <w:t>3 093,7</w:t>
            </w:r>
          </w:p>
        </w:tc>
        <w:tc>
          <w:tcPr>
            <w:tcW w:w="1640" w:type="dxa"/>
            <w:tcBorders>
              <w:top w:val="nil"/>
              <w:left w:val="nil"/>
              <w:bottom w:val="single" w:sz="8" w:space="0" w:color="auto"/>
              <w:right w:val="nil"/>
            </w:tcBorders>
            <w:shd w:val="clear" w:color="auto" w:fill="auto"/>
            <w:hideMark/>
          </w:tcPr>
          <w:p w:rsidR="00400920" w:rsidRPr="000559B7" w:rsidRDefault="00400920" w:rsidP="005D6EFB">
            <w:pPr>
              <w:jc w:val="right"/>
              <w:rPr>
                <w:color w:val="000000"/>
                <w:sz w:val="17"/>
                <w:szCs w:val="17"/>
                <w:lang w:val="ru-RU"/>
              </w:rPr>
            </w:pPr>
            <w:r w:rsidRPr="000559B7">
              <w:rPr>
                <w:color w:val="000000"/>
                <w:sz w:val="17"/>
                <w:szCs w:val="17"/>
                <w:lang w:val="ru-RU"/>
              </w:rPr>
              <w:t>5 979,7</w:t>
            </w:r>
          </w:p>
        </w:tc>
      </w:tr>
      <w:tr w:rsidR="00400920" w:rsidRPr="000559B7" w:rsidTr="005D6EFB">
        <w:trPr>
          <w:trHeight w:val="300"/>
        </w:trPr>
        <w:tc>
          <w:tcPr>
            <w:tcW w:w="4520" w:type="dxa"/>
            <w:tcBorders>
              <w:top w:val="nil"/>
              <w:left w:val="nil"/>
              <w:bottom w:val="single" w:sz="12" w:space="0" w:color="auto"/>
              <w:right w:val="nil"/>
            </w:tcBorders>
            <w:shd w:val="clear" w:color="auto" w:fill="auto"/>
            <w:hideMark/>
          </w:tcPr>
          <w:p w:rsidR="00400920" w:rsidRPr="000559B7" w:rsidRDefault="003D4502" w:rsidP="005D6EFB">
            <w:pPr>
              <w:jc w:val="left"/>
              <w:rPr>
                <w:b/>
                <w:bCs/>
                <w:color w:val="000000"/>
                <w:sz w:val="17"/>
                <w:szCs w:val="17"/>
                <w:lang w:val="ru-RU"/>
              </w:rPr>
            </w:pPr>
            <w:r w:rsidRPr="003D4502">
              <w:rPr>
                <w:b/>
                <w:bCs/>
                <w:color w:val="000000"/>
                <w:sz w:val="17"/>
                <w:szCs w:val="17"/>
                <w:lang w:val="ru-RU"/>
              </w:rPr>
              <w:t>Промежуточный итог</w:t>
            </w:r>
          </w:p>
        </w:tc>
        <w:tc>
          <w:tcPr>
            <w:tcW w:w="1360" w:type="dxa"/>
            <w:tcBorders>
              <w:top w:val="nil"/>
              <w:left w:val="nil"/>
              <w:bottom w:val="single" w:sz="12" w:space="0" w:color="auto"/>
              <w:right w:val="nil"/>
            </w:tcBorders>
            <w:shd w:val="clear" w:color="auto" w:fill="auto"/>
            <w:hideMark/>
          </w:tcPr>
          <w:p w:rsidR="00400920" w:rsidRPr="000559B7" w:rsidRDefault="00400920" w:rsidP="005D6EFB">
            <w:pPr>
              <w:jc w:val="right"/>
              <w:rPr>
                <w:b/>
                <w:bCs/>
                <w:color w:val="000000"/>
                <w:sz w:val="17"/>
                <w:szCs w:val="17"/>
                <w:lang w:val="ru-RU"/>
              </w:rPr>
            </w:pPr>
            <w:r w:rsidRPr="000559B7">
              <w:rPr>
                <w:b/>
                <w:bCs/>
                <w:color w:val="000000"/>
                <w:sz w:val="17"/>
                <w:szCs w:val="17"/>
                <w:lang w:val="ru-RU"/>
              </w:rPr>
              <w:t>16 718,9</w:t>
            </w:r>
          </w:p>
        </w:tc>
        <w:tc>
          <w:tcPr>
            <w:tcW w:w="1600" w:type="dxa"/>
            <w:tcBorders>
              <w:top w:val="nil"/>
              <w:left w:val="nil"/>
              <w:bottom w:val="single" w:sz="12" w:space="0" w:color="auto"/>
              <w:right w:val="nil"/>
            </w:tcBorders>
            <w:shd w:val="clear" w:color="auto" w:fill="auto"/>
            <w:hideMark/>
          </w:tcPr>
          <w:p w:rsidR="00400920" w:rsidRPr="000559B7" w:rsidRDefault="00400920" w:rsidP="005D6EFB">
            <w:pPr>
              <w:jc w:val="right"/>
              <w:rPr>
                <w:b/>
                <w:bCs/>
                <w:color w:val="000000"/>
                <w:sz w:val="17"/>
                <w:szCs w:val="17"/>
                <w:lang w:val="ru-RU"/>
              </w:rPr>
            </w:pPr>
            <w:r w:rsidRPr="000559B7">
              <w:rPr>
                <w:b/>
                <w:bCs/>
                <w:color w:val="000000"/>
                <w:sz w:val="17"/>
                <w:szCs w:val="17"/>
                <w:lang w:val="ru-RU"/>
              </w:rPr>
              <w:t>17 490,6</w:t>
            </w:r>
          </w:p>
        </w:tc>
        <w:tc>
          <w:tcPr>
            <w:tcW w:w="1640" w:type="dxa"/>
            <w:tcBorders>
              <w:top w:val="nil"/>
              <w:left w:val="nil"/>
              <w:bottom w:val="single" w:sz="12" w:space="0" w:color="auto"/>
              <w:right w:val="nil"/>
            </w:tcBorders>
            <w:shd w:val="clear" w:color="auto" w:fill="auto"/>
            <w:hideMark/>
          </w:tcPr>
          <w:p w:rsidR="00400920" w:rsidRPr="000559B7" w:rsidRDefault="00400920" w:rsidP="005D6EFB">
            <w:pPr>
              <w:jc w:val="right"/>
              <w:rPr>
                <w:b/>
                <w:bCs/>
                <w:color w:val="000000"/>
                <w:sz w:val="17"/>
                <w:szCs w:val="17"/>
                <w:lang w:val="ru-RU"/>
              </w:rPr>
            </w:pPr>
            <w:r w:rsidRPr="000559B7">
              <w:rPr>
                <w:b/>
                <w:bCs/>
                <w:color w:val="000000"/>
                <w:sz w:val="17"/>
                <w:szCs w:val="17"/>
                <w:lang w:val="ru-RU"/>
              </w:rPr>
              <w:t>34 209,5</w:t>
            </w:r>
          </w:p>
        </w:tc>
      </w:tr>
      <w:tr w:rsidR="00400920" w:rsidRPr="000559B7" w:rsidTr="005D6EFB">
        <w:trPr>
          <w:trHeight w:val="300"/>
        </w:trPr>
        <w:tc>
          <w:tcPr>
            <w:tcW w:w="4520" w:type="dxa"/>
            <w:tcBorders>
              <w:top w:val="nil"/>
              <w:left w:val="nil"/>
              <w:bottom w:val="nil"/>
              <w:right w:val="nil"/>
            </w:tcBorders>
            <w:shd w:val="clear" w:color="auto" w:fill="auto"/>
            <w:hideMark/>
          </w:tcPr>
          <w:p w:rsidR="00400920" w:rsidRPr="000559B7" w:rsidRDefault="00400920" w:rsidP="005D6EFB">
            <w:pPr>
              <w:jc w:val="left"/>
              <w:rPr>
                <w:color w:val="000000"/>
                <w:sz w:val="17"/>
                <w:szCs w:val="17"/>
                <w:lang w:val="ru-RU"/>
              </w:rPr>
            </w:pPr>
            <w:r w:rsidRPr="000559B7">
              <w:rPr>
                <w:color w:val="000000"/>
                <w:sz w:val="17"/>
                <w:szCs w:val="17"/>
                <w:lang w:val="ru-RU"/>
              </w:rPr>
              <w:t>Расходы на поддержку программ</w:t>
            </w:r>
          </w:p>
        </w:tc>
        <w:tc>
          <w:tcPr>
            <w:tcW w:w="1360" w:type="dxa"/>
            <w:tcBorders>
              <w:top w:val="nil"/>
              <w:left w:val="nil"/>
              <w:bottom w:val="nil"/>
              <w:right w:val="nil"/>
            </w:tcBorders>
            <w:shd w:val="clear" w:color="auto" w:fill="auto"/>
            <w:noWrap/>
            <w:hideMark/>
          </w:tcPr>
          <w:p w:rsidR="00400920" w:rsidRPr="000559B7" w:rsidRDefault="00400920" w:rsidP="005D6EFB">
            <w:pPr>
              <w:jc w:val="right"/>
              <w:rPr>
                <w:color w:val="000000"/>
                <w:sz w:val="17"/>
                <w:szCs w:val="17"/>
                <w:lang w:val="ru-RU"/>
              </w:rPr>
            </w:pPr>
            <w:r w:rsidRPr="000559B7">
              <w:rPr>
                <w:color w:val="000000"/>
                <w:sz w:val="17"/>
                <w:szCs w:val="17"/>
                <w:lang w:val="ru-RU"/>
              </w:rPr>
              <w:t>2 173,5</w:t>
            </w:r>
          </w:p>
        </w:tc>
        <w:tc>
          <w:tcPr>
            <w:tcW w:w="1600" w:type="dxa"/>
            <w:tcBorders>
              <w:top w:val="nil"/>
              <w:left w:val="nil"/>
              <w:bottom w:val="nil"/>
              <w:right w:val="nil"/>
            </w:tcBorders>
            <w:shd w:val="clear" w:color="auto" w:fill="auto"/>
            <w:hideMark/>
          </w:tcPr>
          <w:p w:rsidR="00400920" w:rsidRPr="000559B7" w:rsidRDefault="00400920" w:rsidP="005D6EFB">
            <w:pPr>
              <w:jc w:val="right"/>
              <w:rPr>
                <w:color w:val="000000"/>
                <w:sz w:val="17"/>
                <w:szCs w:val="17"/>
                <w:lang w:val="ru-RU"/>
              </w:rPr>
            </w:pPr>
            <w:r w:rsidRPr="000559B7">
              <w:rPr>
                <w:color w:val="000000"/>
                <w:sz w:val="17"/>
                <w:szCs w:val="17"/>
                <w:lang w:val="ru-RU"/>
              </w:rPr>
              <w:t>2 273,8</w:t>
            </w:r>
          </w:p>
        </w:tc>
        <w:tc>
          <w:tcPr>
            <w:tcW w:w="1640" w:type="dxa"/>
            <w:tcBorders>
              <w:top w:val="nil"/>
              <w:left w:val="nil"/>
              <w:bottom w:val="nil"/>
              <w:right w:val="nil"/>
            </w:tcBorders>
            <w:shd w:val="clear" w:color="auto" w:fill="auto"/>
            <w:hideMark/>
          </w:tcPr>
          <w:p w:rsidR="00400920" w:rsidRPr="000559B7" w:rsidRDefault="00400920" w:rsidP="005D6EFB">
            <w:pPr>
              <w:jc w:val="right"/>
              <w:rPr>
                <w:color w:val="000000"/>
                <w:sz w:val="17"/>
                <w:szCs w:val="17"/>
                <w:lang w:val="ru-RU"/>
              </w:rPr>
            </w:pPr>
            <w:r w:rsidRPr="000559B7">
              <w:rPr>
                <w:color w:val="000000"/>
                <w:sz w:val="17"/>
                <w:szCs w:val="17"/>
                <w:lang w:val="ru-RU"/>
              </w:rPr>
              <w:t>4 447,2</w:t>
            </w:r>
          </w:p>
        </w:tc>
      </w:tr>
      <w:tr w:rsidR="00400920" w:rsidRPr="000559B7" w:rsidTr="005D6EFB">
        <w:trPr>
          <w:trHeight w:val="300"/>
        </w:trPr>
        <w:tc>
          <w:tcPr>
            <w:tcW w:w="4520" w:type="dxa"/>
            <w:tcBorders>
              <w:top w:val="nil"/>
              <w:left w:val="nil"/>
              <w:bottom w:val="single" w:sz="8" w:space="0" w:color="auto"/>
              <w:right w:val="nil"/>
            </w:tcBorders>
            <w:shd w:val="clear" w:color="auto" w:fill="auto"/>
            <w:hideMark/>
          </w:tcPr>
          <w:p w:rsidR="00400920" w:rsidRPr="000559B7" w:rsidRDefault="00400920" w:rsidP="005D6EFB">
            <w:pPr>
              <w:jc w:val="left"/>
              <w:rPr>
                <w:color w:val="000000"/>
                <w:sz w:val="17"/>
                <w:szCs w:val="17"/>
                <w:lang w:val="ru-RU"/>
              </w:rPr>
            </w:pPr>
            <w:r w:rsidRPr="000559B7">
              <w:rPr>
                <w:color w:val="000000"/>
                <w:sz w:val="17"/>
                <w:szCs w:val="17"/>
                <w:lang w:val="ru-RU"/>
              </w:rPr>
              <w:t>Резерв оборотных средств</w:t>
            </w:r>
          </w:p>
        </w:tc>
        <w:tc>
          <w:tcPr>
            <w:tcW w:w="1360" w:type="dxa"/>
            <w:tcBorders>
              <w:top w:val="nil"/>
              <w:left w:val="nil"/>
              <w:bottom w:val="single" w:sz="8" w:space="0" w:color="auto"/>
              <w:right w:val="nil"/>
            </w:tcBorders>
            <w:shd w:val="clear" w:color="auto" w:fill="auto"/>
            <w:noWrap/>
            <w:hideMark/>
          </w:tcPr>
          <w:p w:rsidR="00400920" w:rsidRPr="000559B7" w:rsidRDefault="00400920" w:rsidP="005D6EFB">
            <w:pPr>
              <w:jc w:val="right"/>
              <w:rPr>
                <w:color w:val="000000"/>
                <w:sz w:val="17"/>
                <w:szCs w:val="17"/>
                <w:lang w:val="ru-RU"/>
              </w:rPr>
            </w:pPr>
            <w:r w:rsidRPr="000559B7">
              <w:rPr>
                <w:color w:val="000000"/>
                <w:sz w:val="17"/>
                <w:szCs w:val="17"/>
                <w:lang w:val="ru-RU"/>
              </w:rPr>
              <w:t>56,6</w:t>
            </w:r>
          </w:p>
        </w:tc>
        <w:tc>
          <w:tcPr>
            <w:tcW w:w="1600" w:type="dxa"/>
            <w:tcBorders>
              <w:top w:val="nil"/>
              <w:left w:val="nil"/>
              <w:bottom w:val="single" w:sz="8" w:space="0" w:color="auto"/>
              <w:right w:val="nil"/>
            </w:tcBorders>
            <w:shd w:val="clear" w:color="auto" w:fill="auto"/>
            <w:noWrap/>
            <w:hideMark/>
          </w:tcPr>
          <w:p w:rsidR="00400920" w:rsidRPr="000559B7" w:rsidRDefault="00400920" w:rsidP="005D6EFB">
            <w:pPr>
              <w:jc w:val="right"/>
              <w:rPr>
                <w:color w:val="000000"/>
                <w:sz w:val="17"/>
                <w:szCs w:val="17"/>
                <w:lang w:val="ru-RU"/>
              </w:rPr>
            </w:pPr>
            <w:r w:rsidRPr="000559B7">
              <w:rPr>
                <w:color w:val="000000"/>
                <w:sz w:val="17"/>
                <w:szCs w:val="17"/>
                <w:lang w:val="ru-RU"/>
              </w:rPr>
              <w:t>130,7</w:t>
            </w:r>
          </w:p>
        </w:tc>
        <w:tc>
          <w:tcPr>
            <w:tcW w:w="1640" w:type="dxa"/>
            <w:tcBorders>
              <w:top w:val="nil"/>
              <w:left w:val="nil"/>
              <w:bottom w:val="single" w:sz="8" w:space="0" w:color="auto"/>
              <w:right w:val="nil"/>
            </w:tcBorders>
            <w:shd w:val="clear" w:color="auto" w:fill="auto"/>
            <w:hideMark/>
          </w:tcPr>
          <w:p w:rsidR="00400920" w:rsidRPr="000559B7" w:rsidRDefault="00400920" w:rsidP="005D6EFB">
            <w:pPr>
              <w:jc w:val="right"/>
              <w:rPr>
                <w:color w:val="000000"/>
                <w:sz w:val="17"/>
                <w:szCs w:val="17"/>
                <w:lang w:val="ru-RU"/>
              </w:rPr>
            </w:pPr>
            <w:r w:rsidRPr="000559B7">
              <w:rPr>
                <w:color w:val="000000"/>
                <w:sz w:val="17"/>
                <w:szCs w:val="17"/>
                <w:lang w:val="ru-RU"/>
              </w:rPr>
              <w:t>187,4</w:t>
            </w:r>
          </w:p>
        </w:tc>
      </w:tr>
      <w:tr w:rsidR="00400920" w:rsidRPr="000559B7" w:rsidTr="005D6EFB">
        <w:trPr>
          <w:trHeight w:val="300"/>
        </w:trPr>
        <w:tc>
          <w:tcPr>
            <w:tcW w:w="4520" w:type="dxa"/>
            <w:tcBorders>
              <w:top w:val="nil"/>
              <w:left w:val="nil"/>
              <w:bottom w:val="single" w:sz="8" w:space="0" w:color="auto"/>
              <w:right w:val="nil"/>
            </w:tcBorders>
            <w:shd w:val="clear" w:color="auto" w:fill="auto"/>
            <w:hideMark/>
          </w:tcPr>
          <w:p w:rsidR="00400920" w:rsidRPr="000559B7" w:rsidRDefault="007574D9" w:rsidP="005D6EFB">
            <w:pPr>
              <w:jc w:val="left"/>
              <w:rPr>
                <w:b/>
                <w:bCs/>
                <w:color w:val="000000"/>
                <w:sz w:val="17"/>
                <w:szCs w:val="17"/>
                <w:lang w:val="ru-RU"/>
              </w:rPr>
            </w:pPr>
            <w:r w:rsidRPr="000559B7">
              <w:rPr>
                <w:b/>
                <w:bCs/>
                <w:color w:val="000000"/>
                <w:sz w:val="17"/>
                <w:szCs w:val="17"/>
                <w:lang w:val="ru-RU"/>
              </w:rPr>
              <w:t>Итого </w:t>
            </w:r>
          </w:p>
        </w:tc>
        <w:tc>
          <w:tcPr>
            <w:tcW w:w="1360" w:type="dxa"/>
            <w:tcBorders>
              <w:top w:val="nil"/>
              <w:left w:val="nil"/>
              <w:bottom w:val="single" w:sz="8" w:space="0" w:color="auto"/>
              <w:right w:val="nil"/>
            </w:tcBorders>
            <w:shd w:val="clear" w:color="auto" w:fill="auto"/>
            <w:noWrap/>
            <w:hideMark/>
          </w:tcPr>
          <w:p w:rsidR="00400920" w:rsidRPr="000559B7" w:rsidRDefault="00400920" w:rsidP="005D6EFB">
            <w:pPr>
              <w:jc w:val="right"/>
              <w:rPr>
                <w:b/>
                <w:bCs/>
                <w:color w:val="000000"/>
                <w:sz w:val="17"/>
                <w:szCs w:val="17"/>
                <w:lang w:val="ru-RU"/>
              </w:rPr>
            </w:pPr>
            <w:r w:rsidRPr="000559B7">
              <w:rPr>
                <w:b/>
                <w:bCs/>
                <w:color w:val="000000"/>
                <w:sz w:val="17"/>
                <w:szCs w:val="17"/>
                <w:lang w:val="ru-RU"/>
              </w:rPr>
              <w:t>18 949,0</w:t>
            </w:r>
          </w:p>
        </w:tc>
        <w:tc>
          <w:tcPr>
            <w:tcW w:w="1600" w:type="dxa"/>
            <w:tcBorders>
              <w:top w:val="nil"/>
              <w:left w:val="nil"/>
              <w:bottom w:val="single" w:sz="8" w:space="0" w:color="auto"/>
              <w:right w:val="nil"/>
            </w:tcBorders>
            <w:shd w:val="clear" w:color="auto" w:fill="auto"/>
            <w:noWrap/>
            <w:hideMark/>
          </w:tcPr>
          <w:p w:rsidR="00400920" w:rsidRPr="000559B7" w:rsidRDefault="00400920" w:rsidP="005D6EFB">
            <w:pPr>
              <w:jc w:val="right"/>
              <w:rPr>
                <w:b/>
                <w:bCs/>
                <w:color w:val="000000"/>
                <w:sz w:val="17"/>
                <w:szCs w:val="17"/>
                <w:lang w:val="ru-RU"/>
              </w:rPr>
            </w:pPr>
            <w:r w:rsidRPr="000559B7">
              <w:rPr>
                <w:b/>
                <w:bCs/>
                <w:color w:val="000000"/>
                <w:sz w:val="17"/>
                <w:szCs w:val="17"/>
                <w:lang w:val="ru-RU"/>
              </w:rPr>
              <w:t>19 895,1</w:t>
            </w:r>
          </w:p>
        </w:tc>
        <w:tc>
          <w:tcPr>
            <w:tcW w:w="1640" w:type="dxa"/>
            <w:tcBorders>
              <w:top w:val="nil"/>
              <w:left w:val="nil"/>
              <w:bottom w:val="single" w:sz="8" w:space="0" w:color="auto"/>
              <w:right w:val="nil"/>
            </w:tcBorders>
            <w:shd w:val="clear" w:color="auto" w:fill="auto"/>
            <w:noWrap/>
            <w:hideMark/>
          </w:tcPr>
          <w:p w:rsidR="00400920" w:rsidRPr="000559B7" w:rsidRDefault="00400920" w:rsidP="005D6EFB">
            <w:pPr>
              <w:jc w:val="right"/>
              <w:rPr>
                <w:b/>
                <w:bCs/>
                <w:color w:val="000000"/>
                <w:sz w:val="17"/>
                <w:szCs w:val="17"/>
                <w:lang w:val="ru-RU"/>
              </w:rPr>
            </w:pPr>
            <w:r w:rsidRPr="000559B7">
              <w:rPr>
                <w:b/>
                <w:bCs/>
                <w:color w:val="000000"/>
                <w:sz w:val="17"/>
                <w:szCs w:val="17"/>
                <w:lang w:val="ru-RU"/>
              </w:rPr>
              <w:t>38 844,1</w:t>
            </w:r>
          </w:p>
        </w:tc>
      </w:tr>
      <w:tr w:rsidR="00400920" w:rsidRPr="000559B7" w:rsidTr="005D6EFB">
        <w:trPr>
          <w:trHeight w:val="288"/>
        </w:trPr>
        <w:tc>
          <w:tcPr>
            <w:tcW w:w="4520" w:type="dxa"/>
            <w:tcBorders>
              <w:top w:val="nil"/>
              <w:left w:val="nil"/>
              <w:bottom w:val="single" w:sz="4" w:space="0" w:color="auto"/>
              <w:right w:val="nil"/>
            </w:tcBorders>
            <w:shd w:val="clear" w:color="auto" w:fill="auto"/>
            <w:vAlign w:val="center"/>
            <w:hideMark/>
          </w:tcPr>
          <w:p w:rsidR="00400920" w:rsidRPr="000559B7" w:rsidRDefault="00400920" w:rsidP="003D4502">
            <w:pPr>
              <w:jc w:val="left"/>
              <w:rPr>
                <w:sz w:val="17"/>
                <w:szCs w:val="17"/>
                <w:lang w:val="ru-RU"/>
              </w:rPr>
            </w:pPr>
            <w:r w:rsidRPr="000559B7">
              <w:rPr>
                <w:sz w:val="17"/>
                <w:szCs w:val="17"/>
                <w:lang w:val="ru-RU"/>
              </w:rPr>
              <w:t xml:space="preserve">Доля Конвенции в </w:t>
            </w:r>
            <w:r w:rsidR="007574D9" w:rsidRPr="007574D9">
              <w:rPr>
                <w:sz w:val="17"/>
                <w:szCs w:val="17"/>
                <w:lang w:val="ru-RU"/>
              </w:rPr>
              <w:t xml:space="preserve">комплексном </w:t>
            </w:r>
            <w:r w:rsidRPr="000559B7">
              <w:rPr>
                <w:sz w:val="17"/>
                <w:szCs w:val="17"/>
                <w:lang w:val="ru-RU"/>
              </w:rPr>
              <w:t>бюджете (74%)</w:t>
            </w:r>
          </w:p>
        </w:tc>
        <w:tc>
          <w:tcPr>
            <w:tcW w:w="1360" w:type="dxa"/>
            <w:tcBorders>
              <w:top w:val="nil"/>
              <w:left w:val="nil"/>
              <w:bottom w:val="single" w:sz="4" w:space="0" w:color="auto"/>
              <w:right w:val="nil"/>
            </w:tcBorders>
            <w:shd w:val="clear" w:color="auto" w:fill="auto"/>
            <w:vAlign w:val="center"/>
            <w:hideMark/>
          </w:tcPr>
          <w:p w:rsidR="00400920" w:rsidRPr="000559B7" w:rsidRDefault="00400920" w:rsidP="005D6EFB">
            <w:pPr>
              <w:jc w:val="right"/>
              <w:rPr>
                <w:sz w:val="17"/>
                <w:szCs w:val="17"/>
                <w:lang w:val="ru-RU"/>
              </w:rPr>
            </w:pPr>
            <w:r w:rsidRPr="000559B7">
              <w:rPr>
                <w:sz w:val="17"/>
                <w:szCs w:val="17"/>
                <w:lang w:val="ru-RU"/>
              </w:rPr>
              <w:t>14 022,3</w:t>
            </w:r>
          </w:p>
        </w:tc>
        <w:tc>
          <w:tcPr>
            <w:tcW w:w="1600" w:type="dxa"/>
            <w:tcBorders>
              <w:top w:val="nil"/>
              <w:left w:val="nil"/>
              <w:bottom w:val="single" w:sz="4" w:space="0" w:color="auto"/>
              <w:right w:val="nil"/>
            </w:tcBorders>
            <w:shd w:val="clear" w:color="auto" w:fill="auto"/>
            <w:vAlign w:val="center"/>
            <w:hideMark/>
          </w:tcPr>
          <w:p w:rsidR="00400920" w:rsidRPr="000559B7" w:rsidRDefault="00400920" w:rsidP="005D6EFB">
            <w:pPr>
              <w:jc w:val="right"/>
              <w:rPr>
                <w:sz w:val="17"/>
                <w:szCs w:val="17"/>
                <w:lang w:val="ru-RU"/>
              </w:rPr>
            </w:pPr>
            <w:r w:rsidRPr="000559B7">
              <w:rPr>
                <w:sz w:val="17"/>
                <w:szCs w:val="17"/>
                <w:lang w:val="ru-RU"/>
              </w:rPr>
              <w:t>14 722,4</w:t>
            </w:r>
          </w:p>
        </w:tc>
        <w:tc>
          <w:tcPr>
            <w:tcW w:w="1640" w:type="dxa"/>
            <w:tcBorders>
              <w:top w:val="nil"/>
              <w:left w:val="nil"/>
              <w:bottom w:val="single" w:sz="4" w:space="0" w:color="auto"/>
              <w:right w:val="nil"/>
            </w:tcBorders>
            <w:shd w:val="clear" w:color="auto" w:fill="auto"/>
            <w:noWrap/>
            <w:hideMark/>
          </w:tcPr>
          <w:p w:rsidR="00400920" w:rsidRPr="000559B7" w:rsidRDefault="00400920" w:rsidP="005D6EFB">
            <w:pPr>
              <w:jc w:val="right"/>
              <w:rPr>
                <w:b/>
                <w:bCs/>
                <w:color w:val="000000"/>
                <w:sz w:val="17"/>
                <w:szCs w:val="17"/>
                <w:lang w:val="ru-RU"/>
              </w:rPr>
            </w:pPr>
            <w:r w:rsidRPr="000559B7">
              <w:rPr>
                <w:b/>
                <w:bCs/>
                <w:color w:val="000000"/>
                <w:sz w:val="17"/>
                <w:szCs w:val="17"/>
                <w:lang w:val="ru-RU"/>
              </w:rPr>
              <w:t>28 744,7</w:t>
            </w:r>
          </w:p>
        </w:tc>
      </w:tr>
      <w:tr w:rsidR="00400920" w:rsidRPr="000559B7" w:rsidTr="005D6EFB">
        <w:trPr>
          <w:trHeight w:val="288"/>
        </w:trPr>
        <w:tc>
          <w:tcPr>
            <w:tcW w:w="4520" w:type="dxa"/>
            <w:tcBorders>
              <w:top w:val="nil"/>
              <w:left w:val="nil"/>
              <w:bottom w:val="nil"/>
              <w:right w:val="nil"/>
            </w:tcBorders>
            <w:shd w:val="clear" w:color="auto" w:fill="auto"/>
            <w:hideMark/>
          </w:tcPr>
          <w:p w:rsidR="00400920" w:rsidRPr="007574D9" w:rsidRDefault="00400920" w:rsidP="005D6EFB">
            <w:pPr>
              <w:jc w:val="left"/>
              <w:rPr>
                <w:color w:val="000000"/>
                <w:sz w:val="17"/>
                <w:szCs w:val="17"/>
                <w:lang w:val="ru-RU"/>
              </w:rPr>
            </w:pPr>
            <w:r w:rsidRPr="007574D9">
              <w:rPr>
                <w:color w:val="000000"/>
                <w:sz w:val="17"/>
                <w:szCs w:val="17"/>
                <w:lang w:val="ru-RU"/>
              </w:rPr>
              <w:t>Минус:  Взнос принимающей страны</w:t>
            </w:r>
          </w:p>
        </w:tc>
        <w:tc>
          <w:tcPr>
            <w:tcW w:w="1360" w:type="dxa"/>
            <w:tcBorders>
              <w:top w:val="nil"/>
              <w:left w:val="nil"/>
              <w:bottom w:val="nil"/>
              <w:right w:val="nil"/>
            </w:tcBorders>
            <w:shd w:val="clear" w:color="auto" w:fill="auto"/>
            <w:vAlign w:val="center"/>
            <w:hideMark/>
          </w:tcPr>
          <w:p w:rsidR="00400920" w:rsidRPr="000559B7" w:rsidRDefault="00400920" w:rsidP="005D6EFB">
            <w:pPr>
              <w:jc w:val="right"/>
              <w:rPr>
                <w:sz w:val="17"/>
                <w:szCs w:val="17"/>
                <w:lang w:val="ru-RU"/>
              </w:rPr>
            </w:pPr>
            <w:r w:rsidRPr="000559B7">
              <w:rPr>
                <w:sz w:val="17"/>
                <w:szCs w:val="17"/>
                <w:lang w:val="ru-RU"/>
              </w:rPr>
              <w:t xml:space="preserve">               (909,8)</w:t>
            </w:r>
          </w:p>
        </w:tc>
        <w:tc>
          <w:tcPr>
            <w:tcW w:w="1600" w:type="dxa"/>
            <w:tcBorders>
              <w:top w:val="nil"/>
              <w:left w:val="nil"/>
              <w:bottom w:val="nil"/>
              <w:right w:val="nil"/>
            </w:tcBorders>
            <w:shd w:val="clear" w:color="auto" w:fill="auto"/>
            <w:vAlign w:val="center"/>
            <w:hideMark/>
          </w:tcPr>
          <w:p w:rsidR="00400920" w:rsidRPr="000559B7" w:rsidRDefault="00400920" w:rsidP="005D6EFB">
            <w:pPr>
              <w:jc w:val="right"/>
              <w:rPr>
                <w:sz w:val="17"/>
                <w:szCs w:val="17"/>
                <w:lang w:val="ru-RU"/>
              </w:rPr>
            </w:pPr>
            <w:r w:rsidRPr="000559B7">
              <w:rPr>
                <w:sz w:val="17"/>
                <w:szCs w:val="17"/>
                <w:lang w:val="ru-RU"/>
              </w:rPr>
              <w:t xml:space="preserve">                 (1 053,3)</w:t>
            </w:r>
          </w:p>
        </w:tc>
        <w:tc>
          <w:tcPr>
            <w:tcW w:w="1640" w:type="dxa"/>
            <w:tcBorders>
              <w:top w:val="nil"/>
              <w:left w:val="nil"/>
              <w:bottom w:val="nil"/>
              <w:right w:val="nil"/>
            </w:tcBorders>
            <w:shd w:val="clear" w:color="auto" w:fill="auto"/>
            <w:vAlign w:val="center"/>
            <w:hideMark/>
          </w:tcPr>
          <w:p w:rsidR="00400920" w:rsidRPr="000559B7" w:rsidRDefault="00400920" w:rsidP="005D6EFB">
            <w:pPr>
              <w:jc w:val="right"/>
              <w:rPr>
                <w:sz w:val="17"/>
                <w:szCs w:val="17"/>
                <w:lang w:val="ru-RU"/>
              </w:rPr>
            </w:pPr>
            <w:r w:rsidRPr="000559B7">
              <w:rPr>
                <w:sz w:val="17"/>
                <w:szCs w:val="17"/>
                <w:lang w:val="ru-RU"/>
              </w:rPr>
              <w:t xml:space="preserve">                  (1 963,1)</w:t>
            </w:r>
          </w:p>
        </w:tc>
      </w:tr>
      <w:tr w:rsidR="00400920" w:rsidRPr="000559B7" w:rsidTr="005D6EFB">
        <w:trPr>
          <w:trHeight w:val="288"/>
        </w:trPr>
        <w:tc>
          <w:tcPr>
            <w:tcW w:w="4520" w:type="dxa"/>
            <w:tcBorders>
              <w:top w:val="nil"/>
              <w:left w:val="nil"/>
              <w:bottom w:val="nil"/>
              <w:right w:val="nil"/>
            </w:tcBorders>
            <w:shd w:val="clear" w:color="auto" w:fill="auto"/>
            <w:hideMark/>
          </w:tcPr>
          <w:p w:rsidR="00400920" w:rsidRPr="007574D9" w:rsidRDefault="00400920" w:rsidP="005D6EFB">
            <w:pPr>
              <w:jc w:val="left"/>
              <w:rPr>
                <w:color w:val="000000"/>
                <w:sz w:val="17"/>
                <w:szCs w:val="17"/>
                <w:lang w:val="ru-RU"/>
              </w:rPr>
            </w:pPr>
            <w:r w:rsidRPr="007574D9">
              <w:rPr>
                <w:color w:val="000000"/>
                <w:sz w:val="17"/>
                <w:szCs w:val="17"/>
                <w:lang w:val="ru-RU"/>
              </w:rPr>
              <w:t xml:space="preserve">Минус: Использование резервов для </w:t>
            </w:r>
            <w:r w:rsidR="00180790" w:rsidRPr="00180790">
              <w:rPr>
                <w:color w:val="000000"/>
                <w:sz w:val="17"/>
                <w:szCs w:val="17"/>
                <w:lang w:val="ru-RU"/>
              </w:rPr>
              <w:t>внеочередных совещаний</w:t>
            </w:r>
          </w:p>
        </w:tc>
        <w:tc>
          <w:tcPr>
            <w:tcW w:w="1360" w:type="dxa"/>
            <w:tcBorders>
              <w:top w:val="nil"/>
              <w:left w:val="nil"/>
              <w:bottom w:val="nil"/>
              <w:right w:val="nil"/>
            </w:tcBorders>
            <w:shd w:val="clear" w:color="auto" w:fill="auto"/>
            <w:vAlign w:val="center"/>
            <w:hideMark/>
          </w:tcPr>
          <w:p w:rsidR="00400920" w:rsidRPr="000559B7" w:rsidRDefault="00400920" w:rsidP="005D6EFB">
            <w:pPr>
              <w:jc w:val="right"/>
              <w:rPr>
                <w:sz w:val="17"/>
                <w:szCs w:val="17"/>
                <w:lang w:val="ru-RU"/>
              </w:rPr>
            </w:pPr>
            <w:r w:rsidRPr="000559B7">
              <w:rPr>
                <w:sz w:val="17"/>
                <w:szCs w:val="17"/>
                <w:lang w:val="ru-RU"/>
              </w:rPr>
              <w:t xml:space="preserve">               (627,2)</w:t>
            </w:r>
          </w:p>
        </w:tc>
        <w:tc>
          <w:tcPr>
            <w:tcW w:w="1600" w:type="dxa"/>
            <w:tcBorders>
              <w:top w:val="nil"/>
              <w:left w:val="nil"/>
              <w:bottom w:val="nil"/>
              <w:right w:val="nil"/>
            </w:tcBorders>
            <w:shd w:val="clear" w:color="auto" w:fill="auto"/>
            <w:vAlign w:val="center"/>
            <w:hideMark/>
          </w:tcPr>
          <w:p w:rsidR="00400920" w:rsidRPr="000559B7" w:rsidRDefault="00400920" w:rsidP="005D6EFB">
            <w:pPr>
              <w:jc w:val="right"/>
              <w:rPr>
                <w:sz w:val="17"/>
                <w:szCs w:val="17"/>
                <w:lang w:val="ru-RU"/>
              </w:rPr>
            </w:pPr>
            <w:r w:rsidRPr="000559B7">
              <w:rPr>
                <w:sz w:val="17"/>
                <w:szCs w:val="17"/>
                <w:lang w:val="ru-RU"/>
              </w:rPr>
              <w:t xml:space="preserve">                    (468,3)</w:t>
            </w:r>
          </w:p>
        </w:tc>
        <w:tc>
          <w:tcPr>
            <w:tcW w:w="1640" w:type="dxa"/>
            <w:tcBorders>
              <w:top w:val="nil"/>
              <w:left w:val="nil"/>
              <w:bottom w:val="nil"/>
              <w:right w:val="nil"/>
            </w:tcBorders>
            <w:shd w:val="clear" w:color="auto" w:fill="auto"/>
            <w:vAlign w:val="center"/>
            <w:hideMark/>
          </w:tcPr>
          <w:p w:rsidR="00400920" w:rsidRPr="000559B7" w:rsidRDefault="00400920" w:rsidP="005D6EFB">
            <w:pPr>
              <w:jc w:val="right"/>
              <w:rPr>
                <w:sz w:val="17"/>
                <w:szCs w:val="17"/>
                <w:lang w:val="ru-RU"/>
              </w:rPr>
            </w:pPr>
            <w:r w:rsidRPr="000559B7">
              <w:rPr>
                <w:sz w:val="17"/>
                <w:szCs w:val="17"/>
                <w:lang w:val="ru-RU"/>
              </w:rPr>
              <w:t xml:space="preserve">                  (1 095,5)</w:t>
            </w:r>
          </w:p>
        </w:tc>
      </w:tr>
      <w:tr w:rsidR="00400920" w:rsidRPr="000559B7" w:rsidTr="005D6EFB">
        <w:trPr>
          <w:trHeight w:val="288"/>
        </w:trPr>
        <w:tc>
          <w:tcPr>
            <w:tcW w:w="4520" w:type="dxa"/>
            <w:tcBorders>
              <w:top w:val="nil"/>
              <w:left w:val="nil"/>
              <w:bottom w:val="nil"/>
              <w:right w:val="nil"/>
            </w:tcBorders>
            <w:shd w:val="clear" w:color="auto" w:fill="auto"/>
            <w:hideMark/>
          </w:tcPr>
          <w:p w:rsidR="00400920" w:rsidRPr="007574D9" w:rsidRDefault="00400920" w:rsidP="005D6EFB">
            <w:pPr>
              <w:jc w:val="left"/>
              <w:rPr>
                <w:color w:val="000000"/>
                <w:sz w:val="17"/>
                <w:szCs w:val="17"/>
                <w:lang w:val="ru-RU"/>
              </w:rPr>
            </w:pPr>
            <w:r w:rsidRPr="007574D9">
              <w:rPr>
                <w:color w:val="000000"/>
                <w:sz w:val="17"/>
                <w:szCs w:val="17"/>
                <w:lang w:val="ru-RU"/>
              </w:rPr>
              <w:t>Минус:  Использование резервов предыдущих лет</w:t>
            </w:r>
          </w:p>
        </w:tc>
        <w:tc>
          <w:tcPr>
            <w:tcW w:w="1360" w:type="dxa"/>
            <w:tcBorders>
              <w:top w:val="nil"/>
              <w:left w:val="nil"/>
              <w:bottom w:val="nil"/>
              <w:right w:val="nil"/>
            </w:tcBorders>
            <w:shd w:val="clear" w:color="auto" w:fill="auto"/>
            <w:vAlign w:val="center"/>
            <w:hideMark/>
          </w:tcPr>
          <w:p w:rsidR="00400920" w:rsidRPr="000559B7" w:rsidRDefault="00400920" w:rsidP="005D6EFB">
            <w:pPr>
              <w:jc w:val="right"/>
              <w:rPr>
                <w:sz w:val="17"/>
                <w:szCs w:val="17"/>
                <w:lang w:val="ru-RU"/>
              </w:rPr>
            </w:pPr>
            <w:r w:rsidRPr="000559B7">
              <w:rPr>
                <w:sz w:val="17"/>
                <w:szCs w:val="17"/>
                <w:lang w:val="ru-RU"/>
              </w:rPr>
              <w:t xml:space="preserve">               (638,7)</w:t>
            </w:r>
          </w:p>
        </w:tc>
        <w:tc>
          <w:tcPr>
            <w:tcW w:w="1600" w:type="dxa"/>
            <w:tcBorders>
              <w:top w:val="nil"/>
              <w:left w:val="nil"/>
              <w:bottom w:val="nil"/>
              <w:right w:val="nil"/>
            </w:tcBorders>
            <w:shd w:val="clear" w:color="auto" w:fill="auto"/>
            <w:vAlign w:val="center"/>
            <w:hideMark/>
          </w:tcPr>
          <w:p w:rsidR="00400920" w:rsidRPr="000559B7" w:rsidRDefault="00400920" w:rsidP="005D6EFB">
            <w:pPr>
              <w:jc w:val="right"/>
              <w:rPr>
                <w:sz w:val="17"/>
                <w:szCs w:val="17"/>
                <w:lang w:val="ru-RU"/>
              </w:rPr>
            </w:pPr>
            <w:r w:rsidRPr="000559B7">
              <w:rPr>
                <w:sz w:val="17"/>
                <w:szCs w:val="17"/>
                <w:lang w:val="ru-RU"/>
              </w:rPr>
              <w:t xml:space="preserve">                    (638,7)</w:t>
            </w:r>
          </w:p>
        </w:tc>
        <w:tc>
          <w:tcPr>
            <w:tcW w:w="1640" w:type="dxa"/>
            <w:tcBorders>
              <w:top w:val="nil"/>
              <w:left w:val="nil"/>
              <w:bottom w:val="nil"/>
              <w:right w:val="nil"/>
            </w:tcBorders>
            <w:shd w:val="clear" w:color="auto" w:fill="auto"/>
            <w:vAlign w:val="center"/>
            <w:hideMark/>
          </w:tcPr>
          <w:p w:rsidR="00400920" w:rsidRPr="000559B7" w:rsidRDefault="00400920" w:rsidP="005D6EFB">
            <w:pPr>
              <w:jc w:val="right"/>
              <w:rPr>
                <w:sz w:val="17"/>
                <w:szCs w:val="17"/>
                <w:lang w:val="ru-RU"/>
              </w:rPr>
            </w:pPr>
            <w:r w:rsidRPr="000559B7">
              <w:rPr>
                <w:sz w:val="17"/>
                <w:szCs w:val="17"/>
                <w:lang w:val="ru-RU"/>
              </w:rPr>
              <w:t xml:space="preserve">                  (1 277,4)</w:t>
            </w:r>
          </w:p>
        </w:tc>
      </w:tr>
      <w:tr w:rsidR="00400920" w:rsidRPr="000559B7" w:rsidTr="005D6EFB">
        <w:trPr>
          <w:trHeight w:val="300"/>
        </w:trPr>
        <w:tc>
          <w:tcPr>
            <w:tcW w:w="4520" w:type="dxa"/>
            <w:tcBorders>
              <w:top w:val="single" w:sz="4" w:space="0" w:color="auto"/>
              <w:left w:val="nil"/>
              <w:bottom w:val="single" w:sz="8" w:space="0" w:color="auto"/>
              <w:right w:val="nil"/>
            </w:tcBorders>
            <w:shd w:val="clear" w:color="auto" w:fill="auto"/>
            <w:hideMark/>
          </w:tcPr>
          <w:p w:rsidR="00400920" w:rsidRPr="000559B7" w:rsidRDefault="00400920" w:rsidP="00C666A2">
            <w:pPr>
              <w:jc w:val="left"/>
              <w:rPr>
                <w:color w:val="000000"/>
                <w:sz w:val="17"/>
                <w:szCs w:val="17"/>
                <w:lang w:val="ru-RU"/>
              </w:rPr>
            </w:pPr>
            <w:r w:rsidRPr="000559B7">
              <w:rPr>
                <w:color w:val="000000"/>
                <w:sz w:val="17"/>
                <w:szCs w:val="17"/>
                <w:lang w:val="ru-RU"/>
              </w:rPr>
              <w:t xml:space="preserve">Чистый итог </w:t>
            </w:r>
            <w:r w:rsidR="003D4502" w:rsidRPr="003D4502">
              <w:rPr>
                <w:color w:val="000000"/>
                <w:sz w:val="17"/>
                <w:szCs w:val="17"/>
                <w:lang w:val="ru-RU"/>
              </w:rPr>
              <w:t>(сумма для распределения между Сторонами)</w:t>
            </w:r>
          </w:p>
        </w:tc>
        <w:tc>
          <w:tcPr>
            <w:tcW w:w="1360" w:type="dxa"/>
            <w:tcBorders>
              <w:top w:val="single" w:sz="4" w:space="0" w:color="auto"/>
              <w:left w:val="nil"/>
              <w:bottom w:val="single" w:sz="8" w:space="0" w:color="auto"/>
              <w:right w:val="nil"/>
            </w:tcBorders>
            <w:shd w:val="clear" w:color="auto" w:fill="auto"/>
            <w:hideMark/>
          </w:tcPr>
          <w:p w:rsidR="00400920" w:rsidRPr="000559B7" w:rsidRDefault="00400920" w:rsidP="005D6EFB">
            <w:pPr>
              <w:jc w:val="right"/>
              <w:rPr>
                <w:color w:val="000000"/>
                <w:sz w:val="17"/>
                <w:szCs w:val="17"/>
                <w:lang w:val="ru-RU"/>
              </w:rPr>
            </w:pPr>
            <w:r w:rsidRPr="000559B7">
              <w:rPr>
                <w:color w:val="000000"/>
                <w:sz w:val="17"/>
                <w:szCs w:val="17"/>
                <w:lang w:val="ru-RU"/>
              </w:rPr>
              <w:t>11 846,6</w:t>
            </w:r>
          </w:p>
        </w:tc>
        <w:tc>
          <w:tcPr>
            <w:tcW w:w="1600" w:type="dxa"/>
            <w:tcBorders>
              <w:top w:val="single" w:sz="4" w:space="0" w:color="auto"/>
              <w:left w:val="nil"/>
              <w:bottom w:val="single" w:sz="8" w:space="0" w:color="auto"/>
              <w:right w:val="nil"/>
            </w:tcBorders>
            <w:shd w:val="clear" w:color="auto" w:fill="auto"/>
            <w:hideMark/>
          </w:tcPr>
          <w:p w:rsidR="00400920" w:rsidRPr="000559B7" w:rsidRDefault="00400920" w:rsidP="005D6EFB">
            <w:pPr>
              <w:jc w:val="right"/>
              <w:rPr>
                <w:color w:val="000000"/>
                <w:sz w:val="17"/>
                <w:szCs w:val="17"/>
                <w:lang w:val="ru-RU"/>
              </w:rPr>
            </w:pPr>
            <w:r w:rsidRPr="000559B7">
              <w:rPr>
                <w:color w:val="000000"/>
                <w:sz w:val="17"/>
                <w:szCs w:val="17"/>
                <w:lang w:val="ru-RU"/>
              </w:rPr>
              <w:t>12 562,1</w:t>
            </w:r>
          </w:p>
        </w:tc>
        <w:tc>
          <w:tcPr>
            <w:tcW w:w="1640" w:type="dxa"/>
            <w:tcBorders>
              <w:top w:val="single" w:sz="4" w:space="0" w:color="auto"/>
              <w:left w:val="nil"/>
              <w:bottom w:val="single" w:sz="8" w:space="0" w:color="auto"/>
              <w:right w:val="nil"/>
            </w:tcBorders>
            <w:shd w:val="clear" w:color="auto" w:fill="auto"/>
            <w:hideMark/>
          </w:tcPr>
          <w:p w:rsidR="00400920" w:rsidRPr="000559B7" w:rsidRDefault="00400920" w:rsidP="005D6EFB">
            <w:pPr>
              <w:jc w:val="right"/>
              <w:rPr>
                <w:color w:val="000000"/>
                <w:sz w:val="17"/>
                <w:szCs w:val="17"/>
                <w:lang w:val="ru-RU"/>
              </w:rPr>
            </w:pPr>
            <w:r w:rsidRPr="000559B7">
              <w:rPr>
                <w:color w:val="000000"/>
                <w:sz w:val="17"/>
                <w:szCs w:val="17"/>
                <w:lang w:val="ru-RU"/>
              </w:rPr>
              <w:t>24 408,7</w:t>
            </w:r>
          </w:p>
        </w:tc>
      </w:tr>
      <w:tr w:rsidR="00400920" w:rsidRPr="000559B7" w:rsidTr="005D6EFB">
        <w:trPr>
          <w:trHeight w:val="300"/>
        </w:trPr>
        <w:tc>
          <w:tcPr>
            <w:tcW w:w="4520" w:type="dxa"/>
            <w:tcBorders>
              <w:top w:val="nil"/>
              <w:left w:val="nil"/>
              <w:bottom w:val="nil"/>
              <w:right w:val="nil"/>
            </w:tcBorders>
            <w:shd w:val="clear" w:color="auto" w:fill="auto"/>
            <w:noWrap/>
            <w:vAlign w:val="bottom"/>
            <w:hideMark/>
          </w:tcPr>
          <w:p w:rsidR="00400920" w:rsidRPr="000559B7" w:rsidRDefault="00400920" w:rsidP="005D6EFB">
            <w:pPr>
              <w:jc w:val="left"/>
              <w:rPr>
                <w:rFonts w:ascii="Calibri" w:hAnsi="Calibri" w:cs="Calibri"/>
                <w:color w:val="000000"/>
                <w:lang w:val="ru-RU"/>
              </w:rPr>
            </w:pPr>
          </w:p>
        </w:tc>
        <w:tc>
          <w:tcPr>
            <w:tcW w:w="1360" w:type="dxa"/>
            <w:tcBorders>
              <w:top w:val="nil"/>
              <w:left w:val="nil"/>
              <w:bottom w:val="nil"/>
              <w:right w:val="nil"/>
            </w:tcBorders>
            <w:shd w:val="clear" w:color="auto" w:fill="auto"/>
            <w:noWrap/>
            <w:vAlign w:val="bottom"/>
            <w:hideMark/>
          </w:tcPr>
          <w:p w:rsidR="00400920" w:rsidRPr="000559B7" w:rsidRDefault="00400920" w:rsidP="005D6EFB">
            <w:pPr>
              <w:jc w:val="left"/>
              <w:rPr>
                <w:rFonts w:ascii="Calibri" w:hAnsi="Calibri" w:cs="Calibri"/>
                <w:color w:val="000000"/>
                <w:lang w:val="ru-RU"/>
              </w:rPr>
            </w:pPr>
          </w:p>
        </w:tc>
        <w:tc>
          <w:tcPr>
            <w:tcW w:w="1600" w:type="dxa"/>
            <w:tcBorders>
              <w:top w:val="nil"/>
              <w:left w:val="nil"/>
              <w:bottom w:val="nil"/>
              <w:right w:val="nil"/>
            </w:tcBorders>
            <w:shd w:val="clear" w:color="auto" w:fill="auto"/>
            <w:noWrap/>
            <w:vAlign w:val="bottom"/>
            <w:hideMark/>
          </w:tcPr>
          <w:p w:rsidR="00400920" w:rsidRPr="000559B7" w:rsidRDefault="00400920" w:rsidP="005D6EFB">
            <w:pPr>
              <w:jc w:val="left"/>
              <w:rPr>
                <w:rFonts w:ascii="Calibri" w:hAnsi="Calibri" w:cs="Calibri"/>
                <w:color w:val="000000"/>
                <w:lang w:val="ru-RU"/>
              </w:rPr>
            </w:pPr>
          </w:p>
        </w:tc>
        <w:tc>
          <w:tcPr>
            <w:tcW w:w="1640" w:type="dxa"/>
            <w:tcBorders>
              <w:top w:val="nil"/>
              <w:left w:val="nil"/>
              <w:bottom w:val="nil"/>
              <w:right w:val="nil"/>
            </w:tcBorders>
            <w:shd w:val="clear" w:color="auto" w:fill="auto"/>
            <w:noWrap/>
            <w:vAlign w:val="bottom"/>
            <w:hideMark/>
          </w:tcPr>
          <w:p w:rsidR="00400920" w:rsidRPr="000559B7" w:rsidRDefault="00400920" w:rsidP="005D6EFB">
            <w:pPr>
              <w:jc w:val="left"/>
              <w:rPr>
                <w:rFonts w:ascii="Calibri" w:hAnsi="Calibri" w:cs="Calibri"/>
                <w:color w:val="000000"/>
                <w:lang w:val="ru-RU"/>
              </w:rPr>
            </w:pPr>
          </w:p>
        </w:tc>
      </w:tr>
    </w:tbl>
    <w:p w:rsidR="00400920" w:rsidRPr="000559B7" w:rsidRDefault="00400920" w:rsidP="00836205">
      <w:pPr>
        <w:pStyle w:val="Default"/>
        <w:keepNext/>
        <w:spacing w:after="120"/>
        <w:rPr>
          <w:b/>
          <w:bCs/>
          <w:sz w:val="20"/>
          <w:szCs w:val="20"/>
          <w:lang w:val="ru-RU"/>
        </w:rPr>
      </w:pPr>
    </w:p>
    <w:p w:rsidR="00836205" w:rsidRPr="000559B7" w:rsidRDefault="00836205" w:rsidP="00836205">
      <w:pPr>
        <w:keepNext/>
        <w:spacing w:before="120" w:after="120"/>
        <w:ind w:left="990" w:hanging="990"/>
        <w:rPr>
          <w:rFonts w:eastAsia="Malgun Gothic"/>
          <w:b/>
          <w:bCs/>
          <w:iCs/>
          <w:snapToGrid w:val="0"/>
          <w:kern w:val="22"/>
          <w:lang w:val="ru-RU"/>
        </w:rPr>
      </w:pPr>
      <w:r w:rsidRPr="000559B7">
        <w:rPr>
          <w:b/>
          <w:bCs/>
          <w:iCs/>
          <w:snapToGrid w:val="0"/>
          <w:lang w:val="ru-RU"/>
        </w:rPr>
        <w:t>Таблица 1b.</w:t>
      </w:r>
      <w:r w:rsidRPr="000559B7">
        <w:rPr>
          <w:b/>
          <w:bCs/>
          <w:iCs/>
          <w:snapToGrid w:val="0"/>
          <w:lang w:val="ru-RU"/>
        </w:rPr>
        <w:tab/>
        <w:t>Комплексный бюджет целевых фондов Конвенции о биологическом разнообразии и протоколов к ней на двухлетний период 2019-2020 годов (по статьям расхода)</w:t>
      </w:r>
    </w:p>
    <w:p w:rsidR="00836205" w:rsidRPr="000559B7" w:rsidRDefault="00836205" w:rsidP="00836205">
      <w:pPr>
        <w:rPr>
          <w:lang w:val="ru-RU"/>
        </w:rPr>
      </w:pPr>
    </w:p>
    <w:tbl>
      <w:tblPr>
        <w:tblW w:w="0" w:type="auto"/>
        <w:tblInd w:w="93" w:type="dxa"/>
        <w:tblLook w:val="04A0"/>
      </w:tblPr>
      <w:tblGrid>
        <w:gridCol w:w="222"/>
        <w:gridCol w:w="2542"/>
        <w:gridCol w:w="2941"/>
        <w:gridCol w:w="1246"/>
        <w:gridCol w:w="1266"/>
        <w:gridCol w:w="1266"/>
      </w:tblGrid>
      <w:tr w:rsidR="00836205" w:rsidRPr="000559B7" w:rsidTr="00836205">
        <w:trPr>
          <w:trHeight w:val="261"/>
        </w:trPr>
        <w:tc>
          <w:tcPr>
            <w:tcW w:w="0" w:type="auto"/>
            <w:tcBorders>
              <w:top w:val="nil"/>
              <w:left w:val="nil"/>
              <w:bottom w:val="nil"/>
              <w:right w:val="nil"/>
            </w:tcBorders>
            <w:shd w:val="clear" w:color="auto" w:fill="auto"/>
            <w:noWrap/>
            <w:vAlign w:val="center"/>
            <w:hideMark/>
          </w:tcPr>
          <w:p w:rsidR="00836205" w:rsidRPr="000559B7" w:rsidRDefault="00836205" w:rsidP="00836205">
            <w:pPr>
              <w:jc w:val="right"/>
              <w:rPr>
                <w:color w:val="000000"/>
                <w:sz w:val="17"/>
                <w:szCs w:val="17"/>
                <w:lang w:val="ru-RU"/>
              </w:rPr>
            </w:pPr>
          </w:p>
        </w:tc>
        <w:tc>
          <w:tcPr>
            <w:tcW w:w="0" w:type="auto"/>
            <w:gridSpan w:val="2"/>
            <w:vMerge w:val="restart"/>
            <w:tcBorders>
              <w:top w:val="single" w:sz="8" w:space="0" w:color="auto"/>
              <w:left w:val="nil"/>
              <w:bottom w:val="single" w:sz="8" w:space="0" w:color="000000"/>
              <w:right w:val="nil"/>
            </w:tcBorders>
            <w:shd w:val="clear" w:color="auto" w:fill="auto"/>
            <w:vAlign w:val="center"/>
            <w:hideMark/>
          </w:tcPr>
          <w:p w:rsidR="00836205" w:rsidRPr="007574D9" w:rsidRDefault="00836205" w:rsidP="00836205">
            <w:pPr>
              <w:jc w:val="center"/>
              <w:rPr>
                <w:bCs/>
                <w:i/>
                <w:color w:val="000000"/>
                <w:sz w:val="16"/>
                <w:szCs w:val="16"/>
                <w:lang w:val="ru-RU"/>
              </w:rPr>
            </w:pPr>
            <w:r w:rsidRPr="007574D9">
              <w:rPr>
                <w:bCs/>
                <w:i/>
                <w:color w:val="000000"/>
                <w:sz w:val="16"/>
                <w:szCs w:val="16"/>
                <w:lang w:val="ru-RU"/>
              </w:rPr>
              <w:t>Статья расходов</w:t>
            </w:r>
          </w:p>
        </w:tc>
        <w:tc>
          <w:tcPr>
            <w:tcW w:w="0" w:type="auto"/>
            <w:tcBorders>
              <w:top w:val="single" w:sz="8" w:space="0" w:color="auto"/>
              <w:left w:val="nil"/>
              <w:bottom w:val="nil"/>
              <w:right w:val="nil"/>
            </w:tcBorders>
            <w:shd w:val="clear" w:color="auto" w:fill="auto"/>
            <w:vAlign w:val="center"/>
            <w:hideMark/>
          </w:tcPr>
          <w:p w:rsidR="00836205" w:rsidRPr="007574D9" w:rsidRDefault="00836205" w:rsidP="00836205">
            <w:pPr>
              <w:jc w:val="center"/>
              <w:rPr>
                <w:bCs/>
                <w:i/>
                <w:color w:val="000000"/>
                <w:sz w:val="16"/>
                <w:szCs w:val="16"/>
                <w:lang w:val="ru-RU"/>
              </w:rPr>
            </w:pPr>
            <w:r w:rsidRPr="007574D9">
              <w:rPr>
                <w:bCs/>
                <w:i/>
                <w:color w:val="000000"/>
                <w:sz w:val="16"/>
                <w:szCs w:val="16"/>
                <w:lang w:val="ru-RU"/>
              </w:rPr>
              <w:t>2019 год</w:t>
            </w:r>
          </w:p>
        </w:tc>
        <w:tc>
          <w:tcPr>
            <w:tcW w:w="0" w:type="auto"/>
            <w:tcBorders>
              <w:top w:val="single" w:sz="8" w:space="0" w:color="auto"/>
              <w:left w:val="nil"/>
              <w:bottom w:val="nil"/>
              <w:right w:val="nil"/>
            </w:tcBorders>
            <w:shd w:val="clear" w:color="auto" w:fill="auto"/>
            <w:vAlign w:val="center"/>
            <w:hideMark/>
          </w:tcPr>
          <w:p w:rsidR="00836205" w:rsidRPr="007574D9" w:rsidRDefault="00836205" w:rsidP="00836205">
            <w:pPr>
              <w:jc w:val="center"/>
              <w:rPr>
                <w:bCs/>
                <w:i/>
                <w:color w:val="000000"/>
                <w:sz w:val="16"/>
                <w:szCs w:val="16"/>
                <w:lang w:val="ru-RU"/>
              </w:rPr>
            </w:pPr>
            <w:r w:rsidRPr="007574D9">
              <w:rPr>
                <w:bCs/>
                <w:i/>
                <w:color w:val="000000"/>
                <w:sz w:val="16"/>
                <w:szCs w:val="16"/>
                <w:lang w:val="ru-RU"/>
              </w:rPr>
              <w:t>2020 год</w:t>
            </w:r>
          </w:p>
        </w:tc>
        <w:tc>
          <w:tcPr>
            <w:tcW w:w="0" w:type="auto"/>
            <w:tcBorders>
              <w:top w:val="single" w:sz="8" w:space="0" w:color="auto"/>
              <w:left w:val="nil"/>
              <w:bottom w:val="nil"/>
              <w:right w:val="nil"/>
            </w:tcBorders>
            <w:shd w:val="clear" w:color="auto" w:fill="auto"/>
            <w:vAlign w:val="center"/>
            <w:hideMark/>
          </w:tcPr>
          <w:p w:rsidR="00836205" w:rsidRPr="007574D9" w:rsidRDefault="007574D9" w:rsidP="007574D9">
            <w:pPr>
              <w:jc w:val="right"/>
              <w:rPr>
                <w:bCs/>
                <w:i/>
                <w:color w:val="000000"/>
                <w:sz w:val="16"/>
                <w:szCs w:val="16"/>
                <w:lang w:val="ru-RU"/>
              </w:rPr>
            </w:pPr>
            <w:r w:rsidRPr="007574D9">
              <w:rPr>
                <w:bCs/>
                <w:i/>
                <w:color w:val="000000"/>
                <w:sz w:val="16"/>
                <w:szCs w:val="16"/>
                <w:lang w:val="ru-RU"/>
              </w:rPr>
              <w:t>Итого</w:t>
            </w:r>
          </w:p>
        </w:tc>
      </w:tr>
      <w:tr w:rsidR="00836205" w:rsidRPr="000559B7" w:rsidTr="00836205">
        <w:trPr>
          <w:trHeight w:val="261"/>
        </w:trPr>
        <w:tc>
          <w:tcPr>
            <w:tcW w:w="0" w:type="auto"/>
            <w:tcBorders>
              <w:top w:val="nil"/>
              <w:left w:val="nil"/>
              <w:bottom w:val="nil"/>
              <w:right w:val="nil"/>
            </w:tcBorders>
            <w:shd w:val="clear" w:color="auto" w:fill="auto"/>
            <w:noWrap/>
            <w:vAlign w:val="center"/>
            <w:hideMark/>
          </w:tcPr>
          <w:p w:rsidR="00836205" w:rsidRPr="000559B7" w:rsidRDefault="00836205" w:rsidP="00836205">
            <w:pPr>
              <w:jc w:val="right"/>
              <w:rPr>
                <w:color w:val="000000"/>
                <w:sz w:val="17"/>
                <w:szCs w:val="17"/>
                <w:lang w:val="ru-RU"/>
              </w:rPr>
            </w:pPr>
          </w:p>
        </w:tc>
        <w:tc>
          <w:tcPr>
            <w:tcW w:w="0" w:type="auto"/>
            <w:gridSpan w:val="2"/>
            <w:vMerge/>
            <w:tcBorders>
              <w:top w:val="nil"/>
              <w:left w:val="nil"/>
              <w:bottom w:val="nil"/>
              <w:right w:val="nil"/>
            </w:tcBorders>
            <w:vAlign w:val="center"/>
            <w:hideMark/>
          </w:tcPr>
          <w:p w:rsidR="00836205" w:rsidRPr="007574D9" w:rsidRDefault="00836205" w:rsidP="00836205">
            <w:pPr>
              <w:rPr>
                <w:bCs/>
                <w:i/>
                <w:color w:val="000000"/>
                <w:sz w:val="16"/>
                <w:szCs w:val="16"/>
                <w:lang w:val="ru-RU"/>
              </w:rPr>
            </w:pPr>
          </w:p>
        </w:tc>
        <w:tc>
          <w:tcPr>
            <w:tcW w:w="0" w:type="auto"/>
            <w:gridSpan w:val="3"/>
            <w:tcBorders>
              <w:top w:val="nil"/>
              <w:left w:val="nil"/>
              <w:bottom w:val="nil"/>
              <w:right w:val="nil"/>
            </w:tcBorders>
            <w:shd w:val="clear" w:color="auto" w:fill="auto"/>
            <w:vAlign w:val="center"/>
            <w:hideMark/>
          </w:tcPr>
          <w:p w:rsidR="00836205" w:rsidRPr="007574D9" w:rsidRDefault="00836205" w:rsidP="00836205">
            <w:pPr>
              <w:jc w:val="center"/>
              <w:rPr>
                <w:i/>
                <w:iCs/>
                <w:color w:val="000000"/>
                <w:sz w:val="16"/>
                <w:szCs w:val="16"/>
                <w:lang w:val="ru-RU"/>
              </w:rPr>
            </w:pPr>
            <w:r w:rsidRPr="007574D9">
              <w:rPr>
                <w:i/>
                <w:iCs/>
                <w:color w:val="000000"/>
                <w:sz w:val="16"/>
                <w:szCs w:val="16"/>
                <w:lang w:val="ru-RU"/>
              </w:rPr>
              <w:t>(тысяч долл. США)</w:t>
            </w:r>
          </w:p>
        </w:tc>
      </w:tr>
      <w:tr w:rsidR="00836205" w:rsidRPr="000559B7" w:rsidTr="00836205">
        <w:trPr>
          <w:trHeight w:val="48"/>
        </w:trPr>
        <w:tc>
          <w:tcPr>
            <w:tcW w:w="0" w:type="auto"/>
            <w:tcBorders>
              <w:top w:val="nil"/>
              <w:left w:val="nil"/>
              <w:bottom w:val="nil"/>
              <w:right w:val="nil"/>
            </w:tcBorders>
            <w:shd w:val="clear" w:color="auto" w:fill="auto"/>
            <w:noWrap/>
            <w:vAlign w:val="center"/>
            <w:hideMark/>
          </w:tcPr>
          <w:p w:rsidR="00836205" w:rsidRPr="000559B7" w:rsidRDefault="00836205" w:rsidP="00836205">
            <w:pPr>
              <w:jc w:val="right"/>
              <w:rPr>
                <w:color w:val="000000"/>
                <w:sz w:val="17"/>
                <w:szCs w:val="17"/>
                <w:lang w:val="ru-RU"/>
              </w:rPr>
            </w:pPr>
          </w:p>
        </w:tc>
        <w:tc>
          <w:tcPr>
            <w:tcW w:w="0" w:type="auto"/>
            <w:gridSpan w:val="2"/>
            <w:vMerge/>
            <w:tcBorders>
              <w:top w:val="nil"/>
              <w:left w:val="nil"/>
              <w:bottom w:val="nil"/>
              <w:right w:val="nil"/>
            </w:tcBorders>
            <w:vAlign w:val="center"/>
            <w:hideMark/>
          </w:tcPr>
          <w:p w:rsidR="00836205" w:rsidRPr="000559B7" w:rsidRDefault="00836205" w:rsidP="00836205">
            <w:pPr>
              <w:rPr>
                <w:b/>
                <w:bCs/>
                <w:color w:val="000000"/>
                <w:sz w:val="14"/>
                <w:szCs w:val="14"/>
                <w:lang w:val="ru-RU"/>
              </w:rPr>
            </w:pPr>
          </w:p>
        </w:tc>
        <w:tc>
          <w:tcPr>
            <w:tcW w:w="0" w:type="auto"/>
            <w:tcBorders>
              <w:top w:val="nil"/>
              <w:left w:val="nil"/>
              <w:bottom w:val="single" w:sz="8" w:space="0" w:color="auto"/>
              <w:right w:val="nil"/>
            </w:tcBorders>
            <w:shd w:val="clear" w:color="auto" w:fill="auto"/>
            <w:vAlign w:val="center"/>
            <w:hideMark/>
          </w:tcPr>
          <w:p w:rsidR="00836205" w:rsidRPr="000559B7" w:rsidRDefault="00836205" w:rsidP="00836205">
            <w:pPr>
              <w:jc w:val="center"/>
              <w:rPr>
                <w:rFonts w:ascii="Calibri" w:hAnsi="Calibri" w:cs="Calibri"/>
                <w:b/>
                <w:bCs/>
                <w:color w:val="000000"/>
                <w:lang w:val="ru-RU"/>
              </w:rPr>
            </w:pPr>
            <w:r w:rsidRPr="000559B7">
              <w:rPr>
                <w:rFonts w:ascii="Calibri" w:hAnsi="Calibri"/>
                <w:b/>
                <w:bCs/>
                <w:color w:val="000000"/>
                <w:lang w:val="ru-RU"/>
              </w:rPr>
              <w:t> </w:t>
            </w:r>
          </w:p>
        </w:tc>
        <w:tc>
          <w:tcPr>
            <w:tcW w:w="0" w:type="auto"/>
            <w:tcBorders>
              <w:top w:val="nil"/>
              <w:left w:val="nil"/>
              <w:bottom w:val="single" w:sz="8" w:space="0" w:color="auto"/>
              <w:right w:val="nil"/>
            </w:tcBorders>
            <w:shd w:val="clear" w:color="auto" w:fill="auto"/>
            <w:vAlign w:val="center"/>
            <w:hideMark/>
          </w:tcPr>
          <w:p w:rsidR="00836205" w:rsidRPr="000559B7" w:rsidRDefault="00836205" w:rsidP="00836205">
            <w:pPr>
              <w:jc w:val="center"/>
              <w:rPr>
                <w:rFonts w:ascii="Calibri" w:hAnsi="Calibri" w:cs="Calibri"/>
                <w:b/>
                <w:bCs/>
                <w:color w:val="000000"/>
                <w:lang w:val="ru-RU"/>
              </w:rPr>
            </w:pPr>
            <w:r w:rsidRPr="000559B7">
              <w:rPr>
                <w:rFonts w:ascii="Calibri" w:hAnsi="Calibri"/>
                <w:b/>
                <w:bCs/>
                <w:color w:val="000000"/>
                <w:lang w:val="ru-RU"/>
              </w:rPr>
              <w:t> </w:t>
            </w:r>
          </w:p>
        </w:tc>
        <w:tc>
          <w:tcPr>
            <w:tcW w:w="0" w:type="auto"/>
            <w:tcBorders>
              <w:top w:val="nil"/>
              <w:left w:val="nil"/>
              <w:bottom w:val="single" w:sz="8" w:space="0" w:color="auto"/>
              <w:right w:val="nil"/>
            </w:tcBorders>
            <w:shd w:val="clear" w:color="auto" w:fill="auto"/>
            <w:vAlign w:val="center"/>
            <w:hideMark/>
          </w:tcPr>
          <w:p w:rsidR="00836205" w:rsidRPr="000559B7" w:rsidRDefault="00836205" w:rsidP="00836205">
            <w:pPr>
              <w:jc w:val="center"/>
              <w:rPr>
                <w:rFonts w:ascii="Calibri" w:hAnsi="Calibri" w:cs="Calibri"/>
                <w:b/>
                <w:bCs/>
                <w:color w:val="000000"/>
                <w:lang w:val="ru-RU"/>
              </w:rPr>
            </w:pPr>
            <w:r w:rsidRPr="000559B7">
              <w:rPr>
                <w:rFonts w:ascii="Calibri" w:hAnsi="Calibri"/>
                <w:b/>
                <w:bCs/>
                <w:color w:val="000000"/>
                <w:lang w:val="ru-RU"/>
              </w:rPr>
              <w:t> </w:t>
            </w:r>
          </w:p>
        </w:tc>
      </w:tr>
      <w:tr w:rsidR="00836205" w:rsidRPr="000559B7" w:rsidTr="00836205">
        <w:trPr>
          <w:trHeight w:val="261"/>
        </w:trPr>
        <w:tc>
          <w:tcPr>
            <w:tcW w:w="0" w:type="auto"/>
            <w:tcBorders>
              <w:top w:val="nil"/>
              <w:left w:val="nil"/>
              <w:bottom w:val="nil"/>
              <w:right w:val="nil"/>
            </w:tcBorders>
            <w:shd w:val="clear" w:color="auto" w:fill="auto"/>
            <w:noWrap/>
            <w:vAlign w:val="center"/>
            <w:hideMark/>
          </w:tcPr>
          <w:p w:rsidR="00836205" w:rsidRPr="000559B7" w:rsidRDefault="00836205" w:rsidP="00836205">
            <w:pPr>
              <w:jc w:val="right"/>
              <w:rPr>
                <w:color w:val="000000"/>
                <w:sz w:val="17"/>
                <w:szCs w:val="17"/>
                <w:lang w:val="ru-RU"/>
              </w:rPr>
            </w:pPr>
          </w:p>
        </w:tc>
        <w:tc>
          <w:tcPr>
            <w:tcW w:w="0" w:type="auto"/>
            <w:gridSpan w:val="2"/>
            <w:tcBorders>
              <w:top w:val="single" w:sz="8" w:space="0" w:color="auto"/>
              <w:left w:val="nil"/>
              <w:bottom w:val="nil"/>
              <w:right w:val="nil"/>
            </w:tcBorders>
            <w:shd w:val="clear" w:color="auto" w:fill="auto"/>
            <w:vAlign w:val="center"/>
            <w:hideMark/>
          </w:tcPr>
          <w:p w:rsidR="00836205" w:rsidRPr="000559B7" w:rsidRDefault="00D67EA4" w:rsidP="00836205">
            <w:pPr>
              <w:rPr>
                <w:color w:val="000000"/>
                <w:sz w:val="17"/>
                <w:szCs w:val="17"/>
                <w:lang w:val="ru-RU"/>
              </w:rPr>
            </w:pPr>
            <w:r w:rsidRPr="000559B7">
              <w:rPr>
                <w:color w:val="000000"/>
                <w:sz w:val="17"/>
                <w:szCs w:val="17"/>
                <w:lang w:val="ru-RU"/>
              </w:rPr>
              <w:t>A.</w:t>
            </w:r>
            <w:r>
              <w:rPr>
                <w:color w:val="000000"/>
                <w:sz w:val="17"/>
                <w:szCs w:val="17"/>
                <w:lang w:val="ru-RU"/>
              </w:rPr>
              <w:t xml:space="preserve"> </w:t>
            </w:r>
            <w:r w:rsidR="00836205" w:rsidRPr="000559B7">
              <w:rPr>
                <w:color w:val="000000"/>
                <w:sz w:val="17"/>
                <w:szCs w:val="17"/>
                <w:lang w:val="ru-RU"/>
              </w:rPr>
              <w:t>Расходы на персонал</w:t>
            </w:r>
          </w:p>
        </w:tc>
        <w:tc>
          <w:tcPr>
            <w:tcW w:w="0" w:type="auto"/>
            <w:tcBorders>
              <w:top w:val="nil"/>
              <w:left w:val="nil"/>
              <w:bottom w:val="nil"/>
              <w:right w:val="nil"/>
            </w:tcBorders>
            <w:shd w:val="clear" w:color="auto" w:fill="auto"/>
            <w:vAlign w:val="center"/>
            <w:hideMark/>
          </w:tcPr>
          <w:p w:rsidR="00836205" w:rsidRPr="000559B7" w:rsidRDefault="00836205" w:rsidP="00836205">
            <w:pPr>
              <w:jc w:val="right"/>
              <w:rPr>
                <w:color w:val="000000"/>
                <w:sz w:val="17"/>
                <w:szCs w:val="17"/>
                <w:lang w:val="ru-RU"/>
              </w:rPr>
            </w:pPr>
            <w:r w:rsidRPr="000559B7">
              <w:rPr>
                <w:color w:val="000000"/>
                <w:sz w:val="17"/>
                <w:szCs w:val="17"/>
                <w:lang w:val="ru-RU"/>
              </w:rPr>
              <w:t xml:space="preserve">11 453,9 </w:t>
            </w:r>
          </w:p>
        </w:tc>
        <w:tc>
          <w:tcPr>
            <w:tcW w:w="0" w:type="auto"/>
            <w:tcBorders>
              <w:top w:val="nil"/>
              <w:left w:val="nil"/>
              <w:bottom w:val="nil"/>
              <w:right w:val="nil"/>
            </w:tcBorders>
            <w:shd w:val="clear" w:color="auto" w:fill="auto"/>
            <w:vAlign w:val="center"/>
            <w:hideMark/>
          </w:tcPr>
          <w:p w:rsidR="00836205" w:rsidRPr="000559B7" w:rsidRDefault="00836205" w:rsidP="00836205">
            <w:pPr>
              <w:jc w:val="right"/>
              <w:rPr>
                <w:color w:val="000000"/>
                <w:sz w:val="17"/>
                <w:szCs w:val="17"/>
                <w:lang w:val="ru-RU"/>
              </w:rPr>
            </w:pPr>
            <w:r w:rsidRPr="000559B7">
              <w:rPr>
                <w:color w:val="000000"/>
                <w:sz w:val="17"/>
                <w:szCs w:val="17"/>
                <w:lang w:val="ru-RU"/>
              </w:rPr>
              <w:t xml:space="preserve">11 626,6 </w:t>
            </w:r>
          </w:p>
        </w:tc>
        <w:tc>
          <w:tcPr>
            <w:tcW w:w="0" w:type="auto"/>
            <w:tcBorders>
              <w:top w:val="nil"/>
              <w:left w:val="nil"/>
              <w:bottom w:val="nil"/>
              <w:right w:val="nil"/>
            </w:tcBorders>
            <w:shd w:val="clear" w:color="auto" w:fill="auto"/>
            <w:vAlign w:val="center"/>
            <w:hideMark/>
          </w:tcPr>
          <w:p w:rsidR="00836205" w:rsidRPr="000559B7" w:rsidRDefault="00836205" w:rsidP="00836205">
            <w:pPr>
              <w:jc w:val="right"/>
              <w:rPr>
                <w:color w:val="000000"/>
                <w:sz w:val="17"/>
                <w:szCs w:val="17"/>
                <w:lang w:val="ru-RU"/>
              </w:rPr>
            </w:pPr>
            <w:r w:rsidRPr="000559B7">
              <w:rPr>
                <w:color w:val="000000"/>
                <w:sz w:val="17"/>
                <w:szCs w:val="17"/>
                <w:lang w:val="ru-RU"/>
              </w:rPr>
              <w:t xml:space="preserve">23 080,5 </w:t>
            </w:r>
          </w:p>
        </w:tc>
      </w:tr>
      <w:tr w:rsidR="00836205" w:rsidRPr="000559B7" w:rsidTr="00836205">
        <w:trPr>
          <w:trHeight w:val="261"/>
        </w:trPr>
        <w:tc>
          <w:tcPr>
            <w:tcW w:w="0" w:type="auto"/>
            <w:tcBorders>
              <w:top w:val="nil"/>
              <w:left w:val="nil"/>
              <w:bottom w:val="nil"/>
              <w:right w:val="nil"/>
            </w:tcBorders>
            <w:shd w:val="clear" w:color="auto" w:fill="auto"/>
            <w:noWrap/>
            <w:vAlign w:val="center"/>
            <w:hideMark/>
          </w:tcPr>
          <w:p w:rsidR="00836205" w:rsidRPr="000559B7" w:rsidRDefault="00836205" w:rsidP="00836205">
            <w:pPr>
              <w:jc w:val="right"/>
              <w:rPr>
                <w:color w:val="000000"/>
                <w:sz w:val="17"/>
                <w:szCs w:val="17"/>
                <w:lang w:val="ru-RU"/>
              </w:rPr>
            </w:pPr>
          </w:p>
        </w:tc>
        <w:tc>
          <w:tcPr>
            <w:tcW w:w="0" w:type="auto"/>
            <w:gridSpan w:val="2"/>
            <w:tcBorders>
              <w:top w:val="nil"/>
              <w:left w:val="nil"/>
              <w:bottom w:val="nil"/>
              <w:right w:val="nil"/>
            </w:tcBorders>
            <w:shd w:val="clear" w:color="auto" w:fill="auto"/>
            <w:vAlign w:val="center"/>
            <w:hideMark/>
          </w:tcPr>
          <w:p w:rsidR="00836205" w:rsidRPr="000559B7" w:rsidRDefault="00D67EA4" w:rsidP="00836205">
            <w:pPr>
              <w:rPr>
                <w:color w:val="000000"/>
                <w:sz w:val="17"/>
                <w:szCs w:val="17"/>
                <w:lang w:val="ru-RU"/>
              </w:rPr>
            </w:pPr>
            <w:r>
              <w:rPr>
                <w:color w:val="000000"/>
                <w:sz w:val="17"/>
                <w:szCs w:val="17"/>
                <w:lang w:val="ru-RU"/>
              </w:rPr>
              <w:t xml:space="preserve">В. </w:t>
            </w:r>
            <w:r w:rsidR="00836205" w:rsidRPr="000559B7">
              <w:rPr>
                <w:color w:val="000000"/>
                <w:sz w:val="17"/>
                <w:szCs w:val="17"/>
                <w:lang w:val="ru-RU"/>
              </w:rPr>
              <w:t>Совещания бюро</w:t>
            </w:r>
          </w:p>
        </w:tc>
        <w:tc>
          <w:tcPr>
            <w:tcW w:w="0" w:type="auto"/>
            <w:tcBorders>
              <w:top w:val="nil"/>
              <w:left w:val="nil"/>
              <w:bottom w:val="nil"/>
              <w:right w:val="nil"/>
            </w:tcBorders>
            <w:shd w:val="clear" w:color="auto" w:fill="auto"/>
            <w:vAlign w:val="center"/>
            <w:hideMark/>
          </w:tcPr>
          <w:p w:rsidR="00836205" w:rsidRPr="000559B7" w:rsidRDefault="00836205" w:rsidP="00836205">
            <w:pPr>
              <w:jc w:val="right"/>
              <w:rPr>
                <w:color w:val="000000"/>
                <w:sz w:val="17"/>
                <w:szCs w:val="17"/>
                <w:lang w:val="ru-RU"/>
              </w:rPr>
            </w:pPr>
            <w:r w:rsidRPr="000559B7">
              <w:rPr>
                <w:color w:val="000000"/>
                <w:sz w:val="17"/>
                <w:szCs w:val="17"/>
                <w:lang w:val="ru-RU"/>
              </w:rPr>
              <w:t>150,0</w:t>
            </w:r>
          </w:p>
        </w:tc>
        <w:tc>
          <w:tcPr>
            <w:tcW w:w="0" w:type="auto"/>
            <w:tcBorders>
              <w:top w:val="nil"/>
              <w:left w:val="nil"/>
              <w:bottom w:val="nil"/>
              <w:right w:val="nil"/>
            </w:tcBorders>
            <w:shd w:val="clear" w:color="auto" w:fill="auto"/>
            <w:vAlign w:val="center"/>
            <w:hideMark/>
          </w:tcPr>
          <w:p w:rsidR="00836205" w:rsidRPr="000559B7" w:rsidRDefault="00836205" w:rsidP="00836205">
            <w:pPr>
              <w:jc w:val="right"/>
              <w:rPr>
                <w:color w:val="000000"/>
                <w:sz w:val="17"/>
                <w:szCs w:val="17"/>
                <w:lang w:val="ru-RU"/>
              </w:rPr>
            </w:pPr>
            <w:r w:rsidRPr="000559B7">
              <w:rPr>
                <w:color w:val="000000"/>
                <w:sz w:val="17"/>
                <w:szCs w:val="17"/>
                <w:lang w:val="ru-RU"/>
              </w:rPr>
              <w:t xml:space="preserve">215,0 </w:t>
            </w:r>
          </w:p>
        </w:tc>
        <w:tc>
          <w:tcPr>
            <w:tcW w:w="0" w:type="auto"/>
            <w:tcBorders>
              <w:top w:val="nil"/>
              <w:left w:val="nil"/>
              <w:bottom w:val="nil"/>
              <w:right w:val="nil"/>
            </w:tcBorders>
            <w:shd w:val="clear" w:color="auto" w:fill="auto"/>
            <w:vAlign w:val="center"/>
            <w:hideMark/>
          </w:tcPr>
          <w:p w:rsidR="00836205" w:rsidRPr="000559B7" w:rsidRDefault="00836205" w:rsidP="00836205">
            <w:pPr>
              <w:jc w:val="right"/>
              <w:rPr>
                <w:color w:val="000000"/>
                <w:sz w:val="17"/>
                <w:szCs w:val="17"/>
                <w:lang w:val="ru-RU"/>
              </w:rPr>
            </w:pPr>
            <w:r w:rsidRPr="000559B7">
              <w:rPr>
                <w:color w:val="000000"/>
                <w:sz w:val="17"/>
                <w:szCs w:val="17"/>
                <w:lang w:val="ru-RU"/>
              </w:rPr>
              <w:t xml:space="preserve">365,0 </w:t>
            </w:r>
          </w:p>
        </w:tc>
      </w:tr>
      <w:tr w:rsidR="00836205" w:rsidRPr="000559B7" w:rsidTr="00836205">
        <w:trPr>
          <w:trHeight w:val="261"/>
        </w:trPr>
        <w:tc>
          <w:tcPr>
            <w:tcW w:w="0" w:type="auto"/>
            <w:tcBorders>
              <w:top w:val="nil"/>
              <w:left w:val="nil"/>
              <w:bottom w:val="nil"/>
              <w:right w:val="nil"/>
            </w:tcBorders>
            <w:shd w:val="clear" w:color="auto" w:fill="auto"/>
            <w:noWrap/>
            <w:vAlign w:val="center"/>
            <w:hideMark/>
          </w:tcPr>
          <w:p w:rsidR="00836205" w:rsidRPr="000559B7" w:rsidRDefault="00836205" w:rsidP="00836205">
            <w:pPr>
              <w:jc w:val="right"/>
              <w:rPr>
                <w:color w:val="000000"/>
                <w:sz w:val="17"/>
                <w:szCs w:val="17"/>
                <w:lang w:val="ru-RU"/>
              </w:rPr>
            </w:pPr>
          </w:p>
        </w:tc>
        <w:tc>
          <w:tcPr>
            <w:tcW w:w="0" w:type="auto"/>
            <w:gridSpan w:val="2"/>
            <w:tcBorders>
              <w:top w:val="nil"/>
              <w:left w:val="nil"/>
              <w:bottom w:val="nil"/>
              <w:right w:val="nil"/>
            </w:tcBorders>
            <w:shd w:val="clear" w:color="auto" w:fill="auto"/>
            <w:vAlign w:val="center"/>
            <w:hideMark/>
          </w:tcPr>
          <w:p w:rsidR="00836205" w:rsidRPr="000559B7" w:rsidRDefault="00D67EA4" w:rsidP="00836205">
            <w:pPr>
              <w:rPr>
                <w:color w:val="000000"/>
                <w:sz w:val="17"/>
                <w:szCs w:val="17"/>
                <w:lang w:val="ru-RU"/>
              </w:rPr>
            </w:pPr>
            <w:r>
              <w:rPr>
                <w:color w:val="000000"/>
                <w:sz w:val="17"/>
                <w:szCs w:val="17"/>
                <w:lang w:val="ru-RU"/>
              </w:rPr>
              <w:t xml:space="preserve">С. </w:t>
            </w:r>
            <w:r w:rsidR="00836205" w:rsidRPr="000559B7">
              <w:rPr>
                <w:color w:val="000000"/>
                <w:sz w:val="17"/>
                <w:szCs w:val="17"/>
                <w:lang w:val="ru-RU"/>
              </w:rPr>
              <w:t>Служебные командировки</w:t>
            </w:r>
          </w:p>
        </w:tc>
        <w:tc>
          <w:tcPr>
            <w:tcW w:w="0" w:type="auto"/>
            <w:tcBorders>
              <w:top w:val="nil"/>
              <w:left w:val="nil"/>
              <w:bottom w:val="nil"/>
              <w:right w:val="nil"/>
            </w:tcBorders>
            <w:shd w:val="clear" w:color="auto" w:fill="auto"/>
            <w:vAlign w:val="center"/>
            <w:hideMark/>
          </w:tcPr>
          <w:p w:rsidR="00836205" w:rsidRPr="000559B7" w:rsidRDefault="00836205" w:rsidP="00836205">
            <w:pPr>
              <w:jc w:val="right"/>
              <w:rPr>
                <w:color w:val="000000"/>
                <w:sz w:val="17"/>
                <w:szCs w:val="17"/>
                <w:lang w:val="ru-RU"/>
              </w:rPr>
            </w:pPr>
            <w:r w:rsidRPr="000559B7">
              <w:rPr>
                <w:color w:val="000000"/>
                <w:sz w:val="17"/>
                <w:szCs w:val="17"/>
                <w:lang w:val="ru-RU"/>
              </w:rPr>
              <w:t>400,0</w:t>
            </w:r>
          </w:p>
        </w:tc>
        <w:tc>
          <w:tcPr>
            <w:tcW w:w="0" w:type="auto"/>
            <w:tcBorders>
              <w:top w:val="nil"/>
              <w:left w:val="nil"/>
              <w:bottom w:val="nil"/>
              <w:right w:val="nil"/>
            </w:tcBorders>
            <w:shd w:val="clear" w:color="auto" w:fill="auto"/>
            <w:vAlign w:val="center"/>
            <w:hideMark/>
          </w:tcPr>
          <w:p w:rsidR="00836205" w:rsidRPr="000559B7" w:rsidRDefault="00836205" w:rsidP="00836205">
            <w:pPr>
              <w:jc w:val="right"/>
              <w:rPr>
                <w:color w:val="000000"/>
                <w:sz w:val="17"/>
                <w:szCs w:val="17"/>
                <w:lang w:val="ru-RU"/>
              </w:rPr>
            </w:pPr>
            <w:r w:rsidRPr="000559B7">
              <w:rPr>
                <w:color w:val="000000"/>
                <w:sz w:val="17"/>
                <w:szCs w:val="17"/>
                <w:lang w:val="ru-RU"/>
              </w:rPr>
              <w:t xml:space="preserve">400,0 </w:t>
            </w:r>
          </w:p>
        </w:tc>
        <w:tc>
          <w:tcPr>
            <w:tcW w:w="0" w:type="auto"/>
            <w:tcBorders>
              <w:top w:val="nil"/>
              <w:left w:val="nil"/>
              <w:bottom w:val="nil"/>
              <w:right w:val="nil"/>
            </w:tcBorders>
            <w:shd w:val="clear" w:color="auto" w:fill="auto"/>
            <w:vAlign w:val="center"/>
            <w:hideMark/>
          </w:tcPr>
          <w:p w:rsidR="00836205" w:rsidRPr="000559B7" w:rsidRDefault="00836205" w:rsidP="00836205">
            <w:pPr>
              <w:jc w:val="right"/>
              <w:rPr>
                <w:color w:val="000000"/>
                <w:sz w:val="17"/>
                <w:szCs w:val="17"/>
                <w:lang w:val="ru-RU"/>
              </w:rPr>
            </w:pPr>
            <w:r w:rsidRPr="000559B7">
              <w:rPr>
                <w:color w:val="000000"/>
                <w:sz w:val="17"/>
                <w:szCs w:val="17"/>
                <w:lang w:val="ru-RU"/>
              </w:rPr>
              <w:t xml:space="preserve">800,0 </w:t>
            </w:r>
          </w:p>
        </w:tc>
      </w:tr>
      <w:tr w:rsidR="00836205" w:rsidRPr="000559B7" w:rsidTr="00836205">
        <w:trPr>
          <w:trHeight w:val="261"/>
        </w:trPr>
        <w:tc>
          <w:tcPr>
            <w:tcW w:w="0" w:type="auto"/>
            <w:tcBorders>
              <w:top w:val="nil"/>
              <w:left w:val="nil"/>
              <w:bottom w:val="nil"/>
              <w:right w:val="nil"/>
            </w:tcBorders>
            <w:shd w:val="clear" w:color="auto" w:fill="auto"/>
            <w:noWrap/>
            <w:vAlign w:val="center"/>
            <w:hideMark/>
          </w:tcPr>
          <w:p w:rsidR="00836205" w:rsidRPr="000559B7" w:rsidRDefault="00836205" w:rsidP="00836205">
            <w:pPr>
              <w:jc w:val="right"/>
              <w:rPr>
                <w:color w:val="000000"/>
                <w:sz w:val="17"/>
                <w:szCs w:val="17"/>
                <w:lang w:val="ru-RU"/>
              </w:rPr>
            </w:pPr>
          </w:p>
        </w:tc>
        <w:tc>
          <w:tcPr>
            <w:tcW w:w="0" w:type="auto"/>
            <w:gridSpan w:val="2"/>
            <w:tcBorders>
              <w:top w:val="nil"/>
              <w:left w:val="nil"/>
              <w:bottom w:val="nil"/>
              <w:right w:val="nil"/>
            </w:tcBorders>
            <w:shd w:val="clear" w:color="auto" w:fill="auto"/>
            <w:vAlign w:val="center"/>
            <w:hideMark/>
          </w:tcPr>
          <w:p w:rsidR="00836205" w:rsidRPr="000559B7" w:rsidRDefault="00D67EA4" w:rsidP="00836205">
            <w:pPr>
              <w:rPr>
                <w:sz w:val="17"/>
                <w:szCs w:val="17"/>
                <w:lang w:val="ru-RU"/>
              </w:rPr>
            </w:pPr>
            <w:r>
              <w:rPr>
                <w:sz w:val="17"/>
                <w:szCs w:val="17"/>
                <w:lang w:val="fr-FR"/>
              </w:rPr>
              <w:t xml:space="preserve">D. </w:t>
            </w:r>
            <w:r w:rsidR="007574D9">
              <w:rPr>
                <w:sz w:val="17"/>
                <w:szCs w:val="17"/>
                <w:lang w:val="ru-RU"/>
              </w:rPr>
              <w:t>Консультанты/</w:t>
            </w:r>
            <w:r w:rsidR="00836205" w:rsidRPr="000559B7">
              <w:rPr>
                <w:sz w:val="17"/>
                <w:szCs w:val="17"/>
                <w:lang w:val="ru-RU"/>
              </w:rPr>
              <w:t>субподрядчики</w:t>
            </w:r>
          </w:p>
        </w:tc>
        <w:tc>
          <w:tcPr>
            <w:tcW w:w="0" w:type="auto"/>
            <w:tcBorders>
              <w:top w:val="nil"/>
              <w:left w:val="nil"/>
              <w:bottom w:val="nil"/>
              <w:right w:val="nil"/>
            </w:tcBorders>
            <w:shd w:val="clear" w:color="auto" w:fill="auto"/>
            <w:vAlign w:val="center"/>
            <w:hideMark/>
          </w:tcPr>
          <w:p w:rsidR="00836205" w:rsidRPr="000559B7" w:rsidRDefault="00836205" w:rsidP="00836205">
            <w:pPr>
              <w:jc w:val="right"/>
              <w:rPr>
                <w:sz w:val="17"/>
                <w:szCs w:val="17"/>
                <w:lang w:val="ru-RU"/>
              </w:rPr>
            </w:pPr>
            <w:r w:rsidRPr="000559B7">
              <w:rPr>
                <w:sz w:val="17"/>
                <w:szCs w:val="17"/>
                <w:lang w:val="ru-RU"/>
              </w:rPr>
              <w:t>50,0</w:t>
            </w:r>
          </w:p>
        </w:tc>
        <w:tc>
          <w:tcPr>
            <w:tcW w:w="0" w:type="auto"/>
            <w:tcBorders>
              <w:top w:val="nil"/>
              <w:left w:val="nil"/>
              <w:bottom w:val="nil"/>
              <w:right w:val="nil"/>
            </w:tcBorders>
            <w:shd w:val="clear" w:color="auto" w:fill="auto"/>
            <w:vAlign w:val="center"/>
            <w:hideMark/>
          </w:tcPr>
          <w:p w:rsidR="00836205" w:rsidRPr="000559B7" w:rsidRDefault="00836205" w:rsidP="00836205">
            <w:pPr>
              <w:jc w:val="right"/>
              <w:rPr>
                <w:sz w:val="17"/>
                <w:szCs w:val="17"/>
                <w:lang w:val="ru-RU"/>
              </w:rPr>
            </w:pPr>
            <w:r w:rsidRPr="000559B7">
              <w:rPr>
                <w:sz w:val="17"/>
                <w:szCs w:val="17"/>
                <w:lang w:val="ru-RU"/>
              </w:rPr>
              <w:t xml:space="preserve">50,0 </w:t>
            </w:r>
          </w:p>
        </w:tc>
        <w:tc>
          <w:tcPr>
            <w:tcW w:w="0" w:type="auto"/>
            <w:tcBorders>
              <w:top w:val="nil"/>
              <w:left w:val="nil"/>
              <w:bottom w:val="nil"/>
              <w:right w:val="nil"/>
            </w:tcBorders>
            <w:shd w:val="clear" w:color="auto" w:fill="auto"/>
            <w:vAlign w:val="center"/>
            <w:hideMark/>
          </w:tcPr>
          <w:p w:rsidR="00836205" w:rsidRPr="000559B7" w:rsidRDefault="00836205" w:rsidP="00836205">
            <w:pPr>
              <w:jc w:val="right"/>
              <w:rPr>
                <w:color w:val="000000"/>
                <w:sz w:val="17"/>
                <w:szCs w:val="17"/>
                <w:lang w:val="ru-RU"/>
              </w:rPr>
            </w:pPr>
            <w:r w:rsidRPr="000559B7">
              <w:rPr>
                <w:color w:val="000000"/>
                <w:sz w:val="17"/>
                <w:szCs w:val="17"/>
                <w:lang w:val="ru-RU"/>
              </w:rPr>
              <w:t xml:space="preserve">100,0 </w:t>
            </w:r>
          </w:p>
        </w:tc>
      </w:tr>
      <w:tr w:rsidR="00836205" w:rsidRPr="000559B7" w:rsidTr="00836205">
        <w:trPr>
          <w:trHeight w:val="261"/>
        </w:trPr>
        <w:tc>
          <w:tcPr>
            <w:tcW w:w="0" w:type="auto"/>
            <w:tcBorders>
              <w:top w:val="nil"/>
              <w:left w:val="nil"/>
              <w:bottom w:val="nil"/>
              <w:right w:val="nil"/>
            </w:tcBorders>
            <w:shd w:val="clear" w:color="auto" w:fill="auto"/>
            <w:noWrap/>
            <w:vAlign w:val="center"/>
            <w:hideMark/>
          </w:tcPr>
          <w:p w:rsidR="00836205" w:rsidRPr="000559B7" w:rsidRDefault="00836205" w:rsidP="00836205">
            <w:pPr>
              <w:jc w:val="right"/>
              <w:rPr>
                <w:color w:val="000000"/>
                <w:sz w:val="17"/>
                <w:szCs w:val="17"/>
                <w:lang w:val="ru-RU"/>
              </w:rPr>
            </w:pPr>
          </w:p>
        </w:tc>
        <w:tc>
          <w:tcPr>
            <w:tcW w:w="0" w:type="auto"/>
            <w:gridSpan w:val="2"/>
            <w:tcBorders>
              <w:top w:val="nil"/>
              <w:left w:val="nil"/>
              <w:bottom w:val="nil"/>
              <w:right w:val="nil"/>
            </w:tcBorders>
            <w:shd w:val="clear" w:color="auto" w:fill="auto"/>
            <w:vAlign w:val="center"/>
            <w:hideMark/>
          </w:tcPr>
          <w:p w:rsidR="00836205" w:rsidRPr="000559B7" w:rsidRDefault="00D67EA4" w:rsidP="007574D9">
            <w:pPr>
              <w:tabs>
                <w:tab w:val="left" w:pos="206"/>
              </w:tabs>
              <w:jc w:val="left"/>
              <w:rPr>
                <w:sz w:val="17"/>
                <w:szCs w:val="17"/>
                <w:lang w:val="ru-RU"/>
              </w:rPr>
            </w:pPr>
            <w:r>
              <w:rPr>
                <w:sz w:val="17"/>
                <w:szCs w:val="17"/>
                <w:lang w:val="fr-FR"/>
              </w:rPr>
              <w:t xml:space="preserve">E. </w:t>
            </w:r>
            <w:r w:rsidR="007574D9">
              <w:rPr>
                <w:sz w:val="17"/>
                <w:szCs w:val="17"/>
                <w:lang w:val="ru-RU"/>
              </w:rPr>
              <w:t>И</w:t>
            </w:r>
            <w:r>
              <w:rPr>
                <w:sz w:val="17"/>
                <w:szCs w:val="17"/>
                <w:lang w:val="ru-RU"/>
              </w:rPr>
              <w:t>нформационные материалы/</w:t>
            </w:r>
            <w:r w:rsidR="007574D9">
              <w:rPr>
                <w:sz w:val="17"/>
                <w:szCs w:val="17"/>
                <w:lang w:val="ru-RU"/>
              </w:rPr>
              <w:t>ко</w:t>
            </w:r>
            <w:r w:rsidR="00836205" w:rsidRPr="000559B7">
              <w:rPr>
                <w:sz w:val="17"/>
                <w:szCs w:val="17"/>
                <w:lang w:val="ru-RU"/>
              </w:rPr>
              <w:t>ммуникаци</w:t>
            </w:r>
            <w:r w:rsidR="007574D9">
              <w:rPr>
                <w:sz w:val="17"/>
                <w:szCs w:val="17"/>
                <w:lang w:val="ru-RU"/>
              </w:rPr>
              <w:t>я</w:t>
            </w:r>
          </w:p>
        </w:tc>
        <w:tc>
          <w:tcPr>
            <w:tcW w:w="0" w:type="auto"/>
            <w:tcBorders>
              <w:top w:val="nil"/>
              <w:left w:val="nil"/>
              <w:bottom w:val="nil"/>
              <w:right w:val="nil"/>
            </w:tcBorders>
            <w:shd w:val="clear" w:color="auto" w:fill="auto"/>
            <w:vAlign w:val="center"/>
            <w:hideMark/>
          </w:tcPr>
          <w:p w:rsidR="00836205" w:rsidRPr="000559B7" w:rsidRDefault="00836205" w:rsidP="00836205">
            <w:pPr>
              <w:jc w:val="right"/>
              <w:rPr>
                <w:sz w:val="17"/>
                <w:szCs w:val="17"/>
                <w:lang w:val="ru-RU"/>
              </w:rPr>
            </w:pPr>
            <w:r w:rsidRPr="000559B7">
              <w:rPr>
                <w:sz w:val="17"/>
                <w:szCs w:val="17"/>
                <w:lang w:val="ru-RU"/>
              </w:rPr>
              <w:t>50,0</w:t>
            </w:r>
          </w:p>
        </w:tc>
        <w:tc>
          <w:tcPr>
            <w:tcW w:w="0" w:type="auto"/>
            <w:tcBorders>
              <w:top w:val="nil"/>
              <w:left w:val="nil"/>
              <w:bottom w:val="nil"/>
              <w:right w:val="nil"/>
            </w:tcBorders>
            <w:shd w:val="clear" w:color="auto" w:fill="auto"/>
            <w:vAlign w:val="center"/>
            <w:hideMark/>
          </w:tcPr>
          <w:p w:rsidR="00836205" w:rsidRPr="000559B7" w:rsidRDefault="00836205" w:rsidP="00836205">
            <w:pPr>
              <w:jc w:val="right"/>
              <w:rPr>
                <w:sz w:val="17"/>
                <w:szCs w:val="17"/>
                <w:lang w:val="ru-RU"/>
              </w:rPr>
            </w:pPr>
            <w:r w:rsidRPr="000559B7">
              <w:rPr>
                <w:sz w:val="17"/>
                <w:szCs w:val="17"/>
                <w:lang w:val="ru-RU"/>
              </w:rPr>
              <w:t xml:space="preserve">50,0 </w:t>
            </w:r>
          </w:p>
        </w:tc>
        <w:tc>
          <w:tcPr>
            <w:tcW w:w="0" w:type="auto"/>
            <w:tcBorders>
              <w:top w:val="nil"/>
              <w:left w:val="nil"/>
              <w:bottom w:val="nil"/>
              <w:right w:val="nil"/>
            </w:tcBorders>
            <w:shd w:val="clear" w:color="auto" w:fill="auto"/>
            <w:vAlign w:val="center"/>
            <w:hideMark/>
          </w:tcPr>
          <w:p w:rsidR="00836205" w:rsidRPr="000559B7" w:rsidRDefault="00836205" w:rsidP="00836205">
            <w:pPr>
              <w:jc w:val="right"/>
              <w:rPr>
                <w:color w:val="000000"/>
                <w:sz w:val="17"/>
                <w:szCs w:val="17"/>
                <w:lang w:val="ru-RU"/>
              </w:rPr>
            </w:pPr>
            <w:r w:rsidRPr="000559B7">
              <w:rPr>
                <w:color w:val="000000"/>
                <w:sz w:val="17"/>
                <w:szCs w:val="17"/>
                <w:lang w:val="ru-RU"/>
              </w:rPr>
              <w:t>100,0</w:t>
            </w:r>
          </w:p>
        </w:tc>
      </w:tr>
      <w:tr w:rsidR="00836205" w:rsidRPr="000559B7" w:rsidTr="00836205">
        <w:trPr>
          <w:trHeight w:val="261"/>
        </w:trPr>
        <w:tc>
          <w:tcPr>
            <w:tcW w:w="0" w:type="auto"/>
            <w:tcBorders>
              <w:top w:val="nil"/>
              <w:left w:val="nil"/>
              <w:bottom w:val="nil"/>
              <w:right w:val="nil"/>
            </w:tcBorders>
            <w:shd w:val="clear" w:color="auto" w:fill="auto"/>
            <w:noWrap/>
            <w:vAlign w:val="center"/>
            <w:hideMark/>
          </w:tcPr>
          <w:p w:rsidR="00836205" w:rsidRPr="000559B7" w:rsidRDefault="00836205" w:rsidP="00836205">
            <w:pPr>
              <w:jc w:val="right"/>
              <w:rPr>
                <w:color w:val="000000"/>
                <w:sz w:val="17"/>
                <w:szCs w:val="17"/>
                <w:lang w:val="ru-RU"/>
              </w:rPr>
            </w:pPr>
          </w:p>
        </w:tc>
        <w:tc>
          <w:tcPr>
            <w:tcW w:w="0" w:type="auto"/>
            <w:gridSpan w:val="2"/>
            <w:tcBorders>
              <w:top w:val="nil"/>
              <w:left w:val="nil"/>
              <w:bottom w:val="nil"/>
              <w:right w:val="nil"/>
            </w:tcBorders>
            <w:shd w:val="clear" w:color="auto" w:fill="auto"/>
            <w:vAlign w:val="center"/>
            <w:hideMark/>
          </w:tcPr>
          <w:p w:rsidR="00836205" w:rsidRPr="000559B7" w:rsidRDefault="00D67EA4" w:rsidP="007574D9">
            <w:pPr>
              <w:rPr>
                <w:color w:val="000000"/>
                <w:sz w:val="17"/>
                <w:szCs w:val="17"/>
                <w:lang w:val="ru-RU"/>
              </w:rPr>
            </w:pPr>
            <w:r>
              <w:rPr>
                <w:color w:val="000000"/>
                <w:sz w:val="17"/>
                <w:szCs w:val="17"/>
                <w:lang w:val="fr-FR"/>
              </w:rPr>
              <w:t>F</w:t>
            </w:r>
            <w:r w:rsidRPr="006F27B8">
              <w:rPr>
                <w:color w:val="000000"/>
                <w:sz w:val="17"/>
                <w:szCs w:val="17"/>
                <w:lang w:val="ru-RU"/>
              </w:rPr>
              <w:t xml:space="preserve">. </w:t>
            </w:r>
            <w:r w:rsidR="00836205" w:rsidRPr="000559B7">
              <w:rPr>
                <w:color w:val="000000"/>
                <w:sz w:val="17"/>
                <w:szCs w:val="17"/>
                <w:lang w:val="ru-RU"/>
              </w:rPr>
              <w:t>Временный персонал/оплата сверхурочных</w:t>
            </w:r>
          </w:p>
        </w:tc>
        <w:tc>
          <w:tcPr>
            <w:tcW w:w="0" w:type="auto"/>
            <w:tcBorders>
              <w:top w:val="nil"/>
              <w:left w:val="nil"/>
              <w:bottom w:val="nil"/>
              <w:right w:val="nil"/>
            </w:tcBorders>
            <w:shd w:val="clear" w:color="auto" w:fill="auto"/>
            <w:vAlign w:val="center"/>
            <w:hideMark/>
          </w:tcPr>
          <w:p w:rsidR="00836205" w:rsidRPr="000559B7" w:rsidRDefault="00836205" w:rsidP="00836205">
            <w:pPr>
              <w:jc w:val="right"/>
              <w:rPr>
                <w:color w:val="000000"/>
                <w:sz w:val="17"/>
                <w:szCs w:val="17"/>
                <w:lang w:val="ru-RU"/>
              </w:rPr>
            </w:pPr>
            <w:r w:rsidRPr="000559B7">
              <w:rPr>
                <w:color w:val="000000"/>
                <w:sz w:val="17"/>
                <w:szCs w:val="17"/>
                <w:lang w:val="ru-RU"/>
              </w:rPr>
              <w:t>100,0</w:t>
            </w:r>
          </w:p>
        </w:tc>
        <w:tc>
          <w:tcPr>
            <w:tcW w:w="0" w:type="auto"/>
            <w:tcBorders>
              <w:top w:val="nil"/>
              <w:left w:val="nil"/>
              <w:bottom w:val="nil"/>
              <w:right w:val="nil"/>
            </w:tcBorders>
            <w:shd w:val="clear" w:color="auto" w:fill="auto"/>
            <w:vAlign w:val="center"/>
            <w:hideMark/>
          </w:tcPr>
          <w:p w:rsidR="00836205" w:rsidRPr="000559B7" w:rsidRDefault="00836205" w:rsidP="00836205">
            <w:pPr>
              <w:jc w:val="right"/>
              <w:rPr>
                <w:color w:val="000000"/>
                <w:sz w:val="17"/>
                <w:szCs w:val="17"/>
                <w:lang w:val="ru-RU"/>
              </w:rPr>
            </w:pPr>
            <w:r w:rsidRPr="000559B7">
              <w:rPr>
                <w:color w:val="000000"/>
                <w:sz w:val="17"/>
                <w:szCs w:val="17"/>
                <w:lang w:val="ru-RU"/>
              </w:rPr>
              <w:t>100,0</w:t>
            </w:r>
          </w:p>
        </w:tc>
        <w:tc>
          <w:tcPr>
            <w:tcW w:w="0" w:type="auto"/>
            <w:tcBorders>
              <w:top w:val="nil"/>
              <w:left w:val="nil"/>
              <w:bottom w:val="nil"/>
              <w:right w:val="nil"/>
            </w:tcBorders>
            <w:shd w:val="clear" w:color="auto" w:fill="auto"/>
            <w:vAlign w:val="center"/>
            <w:hideMark/>
          </w:tcPr>
          <w:p w:rsidR="00836205" w:rsidRPr="000559B7" w:rsidRDefault="00836205" w:rsidP="00836205">
            <w:pPr>
              <w:jc w:val="right"/>
              <w:rPr>
                <w:color w:val="000000"/>
                <w:sz w:val="17"/>
                <w:szCs w:val="17"/>
                <w:lang w:val="ru-RU"/>
              </w:rPr>
            </w:pPr>
            <w:r w:rsidRPr="000559B7">
              <w:rPr>
                <w:color w:val="000000"/>
                <w:sz w:val="17"/>
                <w:szCs w:val="17"/>
                <w:lang w:val="ru-RU"/>
              </w:rPr>
              <w:t>200,0</w:t>
            </w:r>
          </w:p>
        </w:tc>
      </w:tr>
      <w:tr w:rsidR="00836205" w:rsidRPr="000559B7" w:rsidTr="00836205">
        <w:trPr>
          <w:trHeight w:val="261"/>
        </w:trPr>
        <w:tc>
          <w:tcPr>
            <w:tcW w:w="0" w:type="auto"/>
            <w:tcBorders>
              <w:top w:val="nil"/>
              <w:left w:val="nil"/>
              <w:bottom w:val="nil"/>
              <w:right w:val="nil"/>
            </w:tcBorders>
            <w:shd w:val="clear" w:color="auto" w:fill="auto"/>
            <w:noWrap/>
            <w:vAlign w:val="center"/>
            <w:hideMark/>
          </w:tcPr>
          <w:p w:rsidR="00836205" w:rsidRPr="000559B7" w:rsidRDefault="00836205" w:rsidP="00836205">
            <w:pPr>
              <w:jc w:val="right"/>
              <w:rPr>
                <w:color w:val="000000"/>
                <w:sz w:val="17"/>
                <w:szCs w:val="17"/>
                <w:lang w:val="ru-RU"/>
              </w:rPr>
            </w:pPr>
          </w:p>
        </w:tc>
        <w:tc>
          <w:tcPr>
            <w:tcW w:w="0" w:type="auto"/>
            <w:gridSpan w:val="2"/>
            <w:tcBorders>
              <w:top w:val="nil"/>
              <w:left w:val="nil"/>
              <w:bottom w:val="nil"/>
              <w:right w:val="nil"/>
            </w:tcBorders>
            <w:shd w:val="clear" w:color="auto" w:fill="auto"/>
            <w:vAlign w:val="center"/>
            <w:hideMark/>
          </w:tcPr>
          <w:p w:rsidR="00836205" w:rsidRPr="000559B7" w:rsidRDefault="00D67EA4" w:rsidP="00836205">
            <w:pPr>
              <w:rPr>
                <w:color w:val="000000"/>
                <w:sz w:val="17"/>
                <w:szCs w:val="17"/>
                <w:lang w:val="ru-RU"/>
              </w:rPr>
            </w:pPr>
            <w:r>
              <w:rPr>
                <w:color w:val="000000"/>
                <w:sz w:val="17"/>
                <w:szCs w:val="17"/>
                <w:lang w:val="fr-FR"/>
              </w:rPr>
              <w:t xml:space="preserve">G. </w:t>
            </w:r>
            <w:r w:rsidR="00836205" w:rsidRPr="000559B7">
              <w:rPr>
                <w:color w:val="000000"/>
                <w:sz w:val="17"/>
                <w:szCs w:val="17"/>
                <w:lang w:val="ru-RU"/>
              </w:rPr>
              <w:t>Профессиональная подготовка</w:t>
            </w:r>
          </w:p>
        </w:tc>
        <w:tc>
          <w:tcPr>
            <w:tcW w:w="0" w:type="auto"/>
            <w:tcBorders>
              <w:top w:val="nil"/>
              <w:left w:val="nil"/>
              <w:bottom w:val="nil"/>
              <w:right w:val="nil"/>
            </w:tcBorders>
            <w:shd w:val="clear" w:color="auto" w:fill="auto"/>
            <w:vAlign w:val="center"/>
            <w:hideMark/>
          </w:tcPr>
          <w:p w:rsidR="00836205" w:rsidRPr="000559B7" w:rsidRDefault="00836205" w:rsidP="00836205">
            <w:pPr>
              <w:jc w:val="right"/>
              <w:rPr>
                <w:color w:val="000000"/>
                <w:sz w:val="17"/>
                <w:szCs w:val="17"/>
                <w:lang w:val="ru-RU"/>
              </w:rPr>
            </w:pPr>
            <w:r w:rsidRPr="000559B7">
              <w:rPr>
                <w:color w:val="000000"/>
                <w:sz w:val="17"/>
                <w:szCs w:val="17"/>
                <w:lang w:val="ru-RU"/>
              </w:rPr>
              <w:t>5,0</w:t>
            </w:r>
          </w:p>
        </w:tc>
        <w:tc>
          <w:tcPr>
            <w:tcW w:w="0" w:type="auto"/>
            <w:tcBorders>
              <w:top w:val="nil"/>
              <w:left w:val="nil"/>
              <w:bottom w:val="nil"/>
              <w:right w:val="nil"/>
            </w:tcBorders>
            <w:shd w:val="clear" w:color="auto" w:fill="auto"/>
            <w:vAlign w:val="center"/>
            <w:hideMark/>
          </w:tcPr>
          <w:p w:rsidR="00836205" w:rsidRPr="000559B7" w:rsidRDefault="00836205" w:rsidP="00836205">
            <w:pPr>
              <w:jc w:val="right"/>
              <w:rPr>
                <w:color w:val="000000"/>
                <w:sz w:val="17"/>
                <w:szCs w:val="17"/>
                <w:lang w:val="ru-RU"/>
              </w:rPr>
            </w:pPr>
            <w:r w:rsidRPr="000559B7">
              <w:rPr>
                <w:color w:val="000000"/>
                <w:sz w:val="17"/>
                <w:szCs w:val="17"/>
                <w:lang w:val="ru-RU"/>
              </w:rPr>
              <w:t>5,0</w:t>
            </w:r>
          </w:p>
        </w:tc>
        <w:tc>
          <w:tcPr>
            <w:tcW w:w="0" w:type="auto"/>
            <w:tcBorders>
              <w:top w:val="nil"/>
              <w:left w:val="nil"/>
              <w:bottom w:val="nil"/>
              <w:right w:val="nil"/>
            </w:tcBorders>
            <w:shd w:val="clear" w:color="auto" w:fill="auto"/>
            <w:vAlign w:val="center"/>
            <w:hideMark/>
          </w:tcPr>
          <w:p w:rsidR="00836205" w:rsidRPr="000559B7" w:rsidRDefault="00836205" w:rsidP="00836205">
            <w:pPr>
              <w:jc w:val="right"/>
              <w:rPr>
                <w:color w:val="000000"/>
                <w:sz w:val="17"/>
                <w:szCs w:val="17"/>
                <w:lang w:val="ru-RU"/>
              </w:rPr>
            </w:pPr>
            <w:r w:rsidRPr="000559B7">
              <w:rPr>
                <w:color w:val="000000"/>
                <w:sz w:val="17"/>
                <w:szCs w:val="17"/>
                <w:lang w:val="ru-RU"/>
              </w:rPr>
              <w:t>10,0</w:t>
            </w:r>
          </w:p>
        </w:tc>
      </w:tr>
      <w:tr w:rsidR="00836205" w:rsidRPr="000559B7" w:rsidTr="00836205">
        <w:trPr>
          <w:trHeight w:val="261"/>
        </w:trPr>
        <w:tc>
          <w:tcPr>
            <w:tcW w:w="0" w:type="auto"/>
            <w:tcBorders>
              <w:top w:val="nil"/>
              <w:left w:val="nil"/>
              <w:bottom w:val="nil"/>
              <w:right w:val="nil"/>
            </w:tcBorders>
            <w:shd w:val="clear" w:color="auto" w:fill="auto"/>
            <w:noWrap/>
            <w:vAlign w:val="center"/>
            <w:hideMark/>
          </w:tcPr>
          <w:p w:rsidR="00836205" w:rsidRPr="000559B7" w:rsidRDefault="00836205" w:rsidP="00836205">
            <w:pPr>
              <w:jc w:val="right"/>
              <w:rPr>
                <w:color w:val="000000"/>
                <w:sz w:val="17"/>
                <w:szCs w:val="17"/>
                <w:lang w:val="ru-RU"/>
              </w:rPr>
            </w:pPr>
          </w:p>
        </w:tc>
        <w:tc>
          <w:tcPr>
            <w:tcW w:w="0" w:type="auto"/>
            <w:gridSpan w:val="2"/>
            <w:tcBorders>
              <w:top w:val="nil"/>
              <w:left w:val="nil"/>
              <w:bottom w:val="nil"/>
              <w:right w:val="nil"/>
            </w:tcBorders>
            <w:shd w:val="clear" w:color="auto" w:fill="auto"/>
            <w:vAlign w:val="center"/>
            <w:hideMark/>
          </w:tcPr>
          <w:p w:rsidR="00836205" w:rsidRPr="000559B7" w:rsidRDefault="00D67EA4" w:rsidP="00836205">
            <w:pPr>
              <w:rPr>
                <w:color w:val="000000"/>
                <w:sz w:val="17"/>
                <w:szCs w:val="17"/>
                <w:lang w:val="ru-RU"/>
              </w:rPr>
            </w:pPr>
            <w:r>
              <w:rPr>
                <w:color w:val="000000"/>
                <w:sz w:val="17"/>
                <w:szCs w:val="17"/>
                <w:lang w:val="fr-FR"/>
              </w:rPr>
              <w:t>H</w:t>
            </w:r>
            <w:r w:rsidRPr="006F27B8">
              <w:rPr>
                <w:color w:val="000000"/>
                <w:sz w:val="17"/>
                <w:szCs w:val="17"/>
                <w:lang w:val="ru-RU"/>
              </w:rPr>
              <w:t xml:space="preserve">. </w:t>
            </w:r>
            <w:r w:rsidR="00836205" w:rsidRPr="000559B7">
              <w:rPr>
                <w:color w:val="000000"/>
                <w:sz w:val="17"/>
                <w:szCs w:val="17"/>
                <w:lang w:val="ru-RU"/>
              </w:rPr>
              <w:t xml:space="preserve">Перевод веб-сайта </w:t>
            </w:r>
            <w:r w:rsidR="007574D9" w:rsidRPr="007574D9">
              <w:rPr>
                <w:color w:val="000000"/>
                <w:sz w:val="17"/>
                <w:szCs w:val="17"/>
                <w:lang w:val="ru-RU"/>
              </w:rPr>
              <w:t xml:space="preserve">механизма посредничества </w:t>
            </w:r>
            <w:r w:rsidR="00836205" w:rsidRPr="000559B7">
              <w:rPr>
                <w:color w:val="000000"/>
                <w:sz w:val="17"/>
                <w:szCs w:val="17"/>
                <w:lang w:val="ru-RU"/>
              </w:rPr>
              <w:t xml:space="preserve">/ проектов </w:t>
            </w:r>
            <w:proofErr w:type="spellStart"/>
            <w:r w:rsidR="00836205" w:rsidRPr="000559B7">
              <w:rPr>
                <w:color w:val="000000"/>
                <w:sz w:val="17"/>
                <w:szCs w:val="17"/>
                <w:lang w:val="ru-RU"/>
              </w:rPr>
              <w:t>веб-сайтов</w:t>
            </w:r>
            <w:proofErr w:type="spellEnd"/>
          </w:p>
        </w:tc>
        <w:tc>
          <w:tcPr>
            <w:tcW w:w="0" w:type="auto"/>
            <w:tcBorders>
              <w:top w:val="nil"/>
              <w:left w:val="nil"/>
              <w:bottom w:val="nil"/>
              <w:right w:val="nil"/>
            </w:tcBorders>
            <w:shd w:val="clear" w:color="auto" w:fill="auto"/>
            <w:vAlign w:val="center"/>
            <w:hideMark/>
          </w:tcPr>
          <w:p w:rsidR="00836205" w:rsidRPr="000559B7" w:rsidRDefault="00836205" w:rsidP="00836205">
            <w:pPr>
              <w:jc w:val="right"/>
              <w:rPr>
                <w:color w:val="000000"/>
                <w:sz w:val="17"/>
                <w:szCs w:val="17"/>
                <w:lang w:val="ru-RU"/>
              </w:rPr>
            </w:pPr>
            <w:r w:rsidRPr="000559B7">
              <w:rPr>
                <w:color w:val="000000"/>
                <w:sz w:val="17"/>
                <w:szCs w:val="17"/>
                <w:lang w:val="ru-RU"/>
              </w:rPr>
              <w:t>65,0</w:t>
            </w:r>
          </w:p>
        </w:tc>
        <w:tc>
          <w:tcPr>
            <w:tcW w:w="0" w:type="auto"/>
            <w:tcBorders>
              <w:top w:val="nil"/>
              <w:left w:val="nil"/>
              <w:bottom w:val="nil"/>
              <w:right w:val="nil"/>
            </w:tcBorders>
            <w:shd w:val="clear" w:color="auto" w:fill="auto"/>
            <w:vAlign w:val="center"/>
            <w:hideMark/>
          </w:tcPr>
          <w:p w:rsidR="00836205" w:rsidRPr="000559B7" w:rsidRDefault="00836205" w:rsidP="00836205">
            <w:pPr>
              <w:jc w:val="right"/>
              <w:rPr>
                <w:color w:val="000000"/>
                <w:sz w:val="17"/>
                <w:szCs w:val="17"/>
                <w:lang w:val="ru-RU"/>
              </w:rPr>
            </w:pPr>
            <w:r w:rsidRPr="000559B7">
              <w:rPr>
                <w:color w:val="000000"/>
                <w:sz w:val="17"/>
                <w:szCs w:val="17"/>
                <w:lang w:val="ru-RU"/>
              </w:rPr>
              <w:t>65,0</w:t>
            </w:r>
          </w:p>
        </w:tc>
        <w:tc>
          <w:tcPr>
            <w:tcW w:w="0" w:type="auto"/>
            <w:tcBorders>
              <w:top w:val="nil"/>
              <w:left w:val="nil"/>
              <w:bottom w:val="nil"/>
              <w:right w:val="nil"/>
            </w:tcBorders>
            <w:shd w:val="clear" w:color="auto" w:fill="auto"/>
            <w:vAlign w:val="center"/>
            <w:hideMark/>
          </w:tcPr>
          <w:p w:rsidR="00836205" w:rsidRPr="000559B7" w:rsidRDefault="00836205" w:rsidP="00836205">
            <w:pPr>
              <w:jc w:val="right"/>
              <w:rPr>
                <w:color w:val="000000"/>
                <w:sz w:val="17"/>
                <w:szCs w:val="17"/>
                <w:lang w:val="ru-RU"/>
              </w:rPr>
            </w:pPr>
            <w:r w:rsidRPr="000559B7">
              <w:rPr>
                <w:color w:val="000000"/>
                <w:sz w:val="17"/>
                <w:szCs w:val="17"/>
                <w:lang w:val="ru-RU"/>
              </w:rPr>
              <w:t>130,0</w:t>
            </w:r>
          </w:p>
        </w:tc>
      </w:tr>
      <w:tr w:rsidR="00836205" w:rsidRPr="000559B7" w:rsidTr="00836205">
        <w:trPr>
          <w:trHeight w:val="261"/>
        </w:trPr>
        <w:tc>
          <w:tcPr>
            <w:tcW w:w="0" w:type="auto"/>
            <w:tcBorders>
              <w:top w:val="nil"/>
              <w:left w:val="nil"/>
              <w:bottom w:val="nil"/>
              <w:right w:val="nil"/>
            </w:tcBorders>
            <w:shd w:val="clear" w:color="auto" w:fill="auto"/>
            <w:noWrap/>
            <w:vAlign w:val="center"/>
            <w:hideMark/>
          </w:tcPr>
          <w:p w:rsidR="00836205" w:rsidRPr="000559B7" w:rsidRDefault="00836205" w:rsidP="00836205">
            <w:pPr>
              <w:jc w:val="right"/>
              <w:rPr>
                <w:color w:val="000000"/>
                <w:sz w:val="17"/>
                <w:szCs w:val="17"/>
                <w:lang w:val="ru-RU"/>
              </w:rPr>
            </w:pPr>
          </w:p>
        </w:tc>
        <w:tc>
          <w:tcPr>
            <w:tcW w:w="0" w:type="auto"/>
            <w:gridSpan w:val="2"/>
            <w:tcBorders>
              <w:top w:val="nil"/>
              <w:left w:val="nil"/>
              <w:bottom w:val="nil"/>
              <w:right w:val="nil"/>
            </w:tcBorders>
            <w:shd w:val="clear" w:color="auto" w:fill="auto"/>
            <w:vAlign w:val="center"/>
            <w:hideMark/>
          </w:tcPr>
          <w:p w:rsidR="00836205" w:rsidRPr="000559B7" w:rsidRDefault="00D67EA4" w:rsidP="007574D9">
            <w:pPr>
              <w:rPr>
                <w:color w:val="000000"/>
                <w:sz w:val="17"/>
                <w:szCs w:val="17"/>
                <w:lang w:val="ru-RU"/>
              </w:rPr>
            </w:pPr>
            <w:r>
              <w:rPr>
                <w:color w:val="000000"/>
                <w:sz w:val="17"/>
                <w:szCs w:val="17"/>
                <w:lang w:val="fr-FR"/>
              </w:rPr>
              <w:t xml:space="preserve">I. </w:t>
            </w:r>
            <w:r w:rsidR="00836205" w:rsidRPr="000559B7">
              <w:rPr>
                <w:color w:val="000000"/>
                <w:sz w:val="17"/>
                <w:szCs w:val="17"/>
                <w:lang w:val="ru-RU"/>
              </w:rPr>
              <w:t xml:space="preserve">Совещания </w:t>
            </w:r>
            <w:r w:rsidR="007574D9">
              <w:rPr>
                <w:color w:val="000000"/>
                <w:sz w:val="17"/>
                <w:szCs w:val="17"/>
                <w:vertAlign w:val="superscript"/>
                <w:lang w:val="ru-RU"/>
              </w:rPr>
              <w:t>1/2/</w:t>
            </w:r>
            <w:r w:rsidR="00836205" w:rsidRPr="000559B7">
              <w:rPr>
                <w:color w:val="000000"/>
                <w:sz w:val="17"/>
                <w:szCs w:val="17"/>
                <w:vertAlign w:val="superscript"/>
                <w:lang w:val="ru-RU"/>
              </w:rPr>
              <w:t>3/</w:t>
            </w:r>
          </w:p>
        </w:tc>
        <w:tc>
          <w:tcPr>
            <w:tcW w:w="0" w:type="auto"/>
            <w:tcBorders>
              <w:top w:val="nil"/>
              <w:left w:val="nil"/>
              <w:bottom w:val="nil"/>
              <w:right w:val="nil"/>
            </w:tcBorders>
            <w:shd w:val="clear" w:color="auto" w:fill="auto"/>
            <w:vAlign w:val="center"/>
            <w:hideMark/>
          </w:tcPr>
          <w:p w:rsidR="00836205" w:rsidRPr="000559B7" w:rsidRDefault="00836205" w:rsidP="00836205">
            <w:pPr>
              <w:jc w:val="right"/>
              <w:rPr>
                <w:color w:val="000000"/>
                <w:sz w:val="17"/>
                <w:szCs w:val="17"/>
                <w:lang w:val="ru-RU"/>
              </w:rPr>
            </w:pPr>
            <w:r w:rsidRPr="000559B7">
              <w:rPr>
                <w:color w:val="000000"/>
                <w:sz w:val="17"/>
                <w:szCs w:val="17"/>
                <w:lang w:val="ru-RU"/>
              </w:rPr>
              <w:t>1 569,0</w:t>
            </w:r>
          </w:p>
        </w:tc>
        <w:tc>
          <w:tcPr>
            <w:tcW w:w="0" w:type="auto"/>
            <w:tcBorders>
              <w:top w:val="nil"/>
              <w:left w:val="nil"/>
              <w:bottom w:val="nil"/>
              <w:right w:val="nil"/>
            </w:tcBorders>
            <w:shd w:val="clear" w:color="auto" w:fill="auto"/>
            <w:vAlign w:val="center"/>
            <w:hideMark/>
          </w:tcPr>
          <w:p w:rsidR="00836205" w:rsidRPr="000559B7" w:rsidRDefault="00836205" w:rsidP="00836205">
            <w:pPr>
              <w:jc w:val="right"/>
              <w:rPr>
                <w:color w:val="000000"/>
                <w:sz w:val="17"/>
                <w:szCs w:val="17"/>
                <w:lang w:val="ru-RU"/>
              </w:rPr>
            </w:pPr>
            <w:r w:rsidRPr="000559B7">
              <w:rPr>
                <w:color w:val="000000"/>
                <w:sz w:val="17"/>
                <w:szCs w:val="17"/>
                <w:lang w:val="ru-RU"/>
              </w:rPr>
              <w:t>2 119,0</w:t>
            </w:r>
          </w:p>
        </w:tc>
        <w:tc>
          <w:tcPr>
            <w:tcW w:w="0" w:type="auto"/>
            <w:tcBorders>
              <w:top w:val="nil"/>
              <w:left w:val="nil"/>
              <w:bottom w:val="nil"/>
              <w:right w:val="nil"/>
            </w:tcBorders>
            <w:shd w:val="clear" w:color="auto" w:fill="auto"/>
            <w:vAlign w:val="center"/>
            <w:hideMark/>
          </w:tcPr>
          <w:p w:rsidR="00836205" w:rsidRPr="000559B7" w:rsidRDefault="00836205" w:rsidP="00836205">
            <w:pPr>
              <w:jc w:val="right"/>
              <w:rPr>
                <w:color w:val="000000"/>
                <w:sz w:val="17"/>
                <w:szCs w:val="17"/>
                <w:lang w:val="ru-RU"/>
              </w:rPr>
            </w:pPr>
            <w:r w:rsidRPr="000559B7">
              <w:rPr>
                <w:color w:val="000000"/>
                <w:sz w:val="17"/>
                <w:szCs w:val="17"/>
                <w:lang w:val="ru-RU"/>
              </w:rPr>
              <w:t>3 688,0</w:t>
            </w:r>
          </w:p>
        </w:tc>
      </w:tr>
      <w:tr w:rsidR="00836205" w:rsidRPr="000559B7" w:rsidTr="00836205">
        <w:trPr>
          <w:trHeight w:val="261"/>
        </w:trPr>
        <w:tc>
          <w:tcPr>
            <w:tcW w:w="0" w:type="auto"/>
            <w:tcBorders>
              <w:top w:val="nil"/>
              <w:left w:val="nil"/>
              <w:bottom w:val="nil"/>
              <w:right w:val="nil"/>
            </w:tcBorders>
            <w:shd w:val="clear" w:color="auto" w:fill="auto"/>
            <w:noWrap/>
            <w:vAlign w:val="center"/>
            <w:hideMark/>
          </w:tcPr>
          <w:p w:rsidR="00836205" w:rsidRPr="000559B7" w:rsidRDefault="00836205" w:rsidP="00836205">
            <w:pPr>
              <w:jc w:val="right"/>
              <w:rPr>
                <w:color w:val="000000"/>
                <w:sz w:val="17"/>
                <w:szCs w:val="17"/>
                <w:lang w:val="ru-RU"/>
              </w:rPr>
            </w:pPr>
          </w:p>
        </w:tc>
        <w:tc>
          <w:tcPr>
            <w:tcW w:w="0" w:type="auto"/>
            <w:gridSpan w:val="2"/>
            <w:tcBorders>
              <w:top w:val="nil"/>
              <w:left w:val="nil"/>
              <w:bottom w:val="nil"/>
              <w:right w:val="nil"/>
            </w:tcBorders>
            <w:shd w:val="clear" w:color="auto" w:fill="auto"/>
            <w:vAlign w:val="center"/>
            <w:hideMark/>
          </w:tcPr>
          <w:p w:rsidR="00836205" w:rsidRPr="000559B7" w:rsidRDefault="00D67EA4" w:rsidP="00836205">
            <w:pPr>
              <w:rPr>
                <w:color w:val="000000"/>
                <w:sz w:val="17"/>
                <w:szCs w:val="17"/>
                <w:lang w:val="ru-RU"/>
              </w:rPr>
            </w:pPr>
            <w:r>
              <w:rPr>
                <w:color w:val="000000"/>
                <w:sz w:val="17"/>
                <w:szCs w:val="17"/>
                <w:lang w:val="fr-FR"/>
              </w:rPr>
              <w:t xml:space="preserve">J. </w:t>
            </w:r>
            <w:r w:rsidR="00836205" w:rsidRPr="000559B7">
              <w:rPr>
                <w:color w:val="000000"/>
                <w:sz w:val="17"/>
                <w:szCs w:val="17"/>
                <w:lang w:val="ru-RU"/>
              </w:rPr>
              <w:t>Совещания экспертов</w:t>
            </w:r>
          </w:p>
        </w:tc>
        <w:tc>
          <w:tcPr>
            <w:tcW w:w="0" w:type="auto"/>
            <w:tcBorders>
              <w:top w:val="nil"/>
              <w:left w:val="nil"/>
              <w:bottom w:val="nil"/>
              <w:right w:val="nil"/>
            </w:tcBorders>
            <w:shd w:val="clear" w:color="auto" w:fill="auto"/>
            <w:vAlign w:val="center"/>
            <w:hideMark/>
          </w:tcPr>
          <w:p w:rsidR="00836205" w:rsidRPr="000559B7" w:rsidRDefault="00836205" w:rsidP="00836205">
            <w:pPr>
              <w:jc w:val="right"/>
              <w:rPr>
                <w:color w:val="000000"/>
                <w:sz w:val="17"/>
                <w:szCs w:val="17"/>
                <w:lang w:val="ru-RU"/>
              </w:rPr>
            </w:pPr>
            <w:r w:rsidRPr="000559B7">
              <w:rPr>
                <w:color w:val="000000"/>
                <w:sz w:val="17"/>
                <w:szCs w:val="17"/>
                <w:lang w:val="ru-RU"/>
              </w:rPr>
              <w:t>170,0</w:t>
            </w:r>
          </w:p>
        </w:tc>
        <w:tc>
          <w:tcPr>
            <w:tcW w:w="0" w:type="auto"/>
            <w:tcBorders>
              <w:top w:val="nil"/>
              <w:left w:val="nil"/>
              <w:bottom w:val="nil"/>
              <w:right w:val="nil"/>
            </w:tcBorders>
            <w:shd w:val="clear" w:color="auto" w:fill="auto"/>
            <w:vAlign w:val="center"/>
            <w:hideMark/>
          </w:tcPr>
          <w:p w:rsidR="00836205" w:rsidRPr="000559B7" w:rsidRDefault="00836205" w:rsidP="00836205">
            <w:pPr>
              <w:jc w:val="right"/>
              <w:rPr>
                <w:color w:val="000000"/>
                <w:sz w:val="17"/>
                <w:szCs w:val="17"/>
                <w:lang w:val="ru-RU"/>
              </w:rPr>
            </w:pPr>
            <w:r w:rsidRPr="000559B7">
              <w:rPr>
                <w:color w:val="000000"/>
                <w:sz w:val="17"/>
                <w:szCs w:val="17"/>
                <w:lang w:val="ru-RU"/>
              </w:rPr>
              <w:t>150,0</w:t>
            </w:r>
          </w:p>
        </w:tc>
        <w:tc>
          <w:tcPr>
            <w:tcW w:w="0" w:type="auto"/>
            <w:tcBorders>
              <w:top w:val="nil"/>
              <w:left w:val="nil"/>
              <w:bottom w:val="nil"/>
              <w:right w:val="nil"/>
            </w:tcBorders>
            <w:shd w:val="clear" w:color="auto" w:fill="auto"/>
            <w:vAlign w:val="center"/>
            <w:hideMark/>
          </w:tcPr>
          <w:p w:rsidR="00836205" w:rsidRPr="000559B7" w:rsidRDefault="00836205" w:rsidP="00836205">
            <w:pPr>
              <w:jc w:val="right"/>
              <w:rPr>
                <w:color w:val="000000"/>
                <w:sz w:val="17"/>
                <w:szCs w:val="17"/>
                <w:lang w:val="ru-RU"/>
              </w:rPr>
            </w:pPr>
            <w:r w:rsidRPr="000559B7">
              <w:rPr>
                <w:color w:val="000000"/>
                <w:sz w:val="17"/>
                <w:szCs w:val="17"/>
                <w:lang w:val="ru-RU"/>
              </w:rPr>
              <w:t>320,0</w:t>
            </w:r>
          </w:p>
        </w:tc>
      </w:tr>
      <w:tr w:rsidR="00836205" w:rsidRPr="000559B7" w:rsidTr="00836205">
        <w:trPr>
          <w:trHeight w:val="261"/>
        </w:trPr>
        <w:tc>
          <w:tcPr>
            <w:tcW w:w="0" w:type="auto"/>
            <w:tcBorders>
              <w:top w:val="nil"/>
              <w:left w:val="nil"/>
              <w:bottom w:val="nil"/>
              <w:right w:val="nil"/>
            </w:tcBorders>
            <w:shd w:val="clear" w:color="auto" w:fill="auto"/>
            <w:noWrap/>
            <w:vAlign w:val="center"/>
            <w:hideMark/>
          </w:tcPr>
          <w:p w:rsidR="00836205" w:rsidRPr="000559B7" w:rsidRDefault="00836205" w:rsidP="00836205">
            <w:pPr>
              <w:jc w:val="right"/>
              <w:rPr>
                <w:color w:val="000000"/>
                <w:sz w:val="17"/>
                <w:szCs w:val="17"/>
                <w:lang w:val="ru-RU"/>
              </w:rPr>
            </w:pPr>
          </w:p>
        </w:tc>
        <w:tc>
          <w:tcPr>
            <w:tcW w:w="0" w:type="auto"/>
            <w:gridSpan w:val="2"/>
            <w:tcBorders>
              <w:top w:val="nil"/>
              <w:left w:val="nil"/>
              <w:bottom w:val="nil"/>
              <w:right w:val="nil"/>
            </w:tcBorders>
            <w:shd w:val="clear" w:color="auto" w:fill="auto"/>
            <w:vAlign w:val="center"/>
            <w:hideMark/>
          </w:tcPr>
          <w:p w:rsidR="00836205" w:rsidRPr="000559B7" w:rsidRDefault="00D67EA4" w:rsidP="00836205">
            <w:pPr>
              <w:rPr>
                <w:color w:val="000000"/>
                <w:sz w:val="17"/>
                <w:szCs w:val="17"/>
                <w:lang w:val="ru-RU"/>
              </w:rPr>
            </w:pPr>
            <w:r>
              <w:rPr>
                <w:color w:val="000000"/>
                <w:sz w:val="17"/>
                <w:szCs w:val="17"/>
                <w:lang w:val="fr-FR"/>
              </w:rPr>
              <w:t>K</w:t>
            </w:r>
            <w:r w:rsidRPr="006F27B8">
              <w:rPr>
                <w:color w:val="000000"/>
                <w:sz w:val="17"/>
                <w:szCs w:val="17"/>
                <w:lang w:val="ru-RU"/>
              </w:rPr>
              <w:t xml:space="preserve">. </w:t>
            </w:r>
            <w:r w:rsidR="00836205" w:rsidRPr="000559B7">
              <w:rPr>
                <w:color w:val="000000"/>
                <w:sz w:val="17"/>
                <w:szCs w:val="17"/>
                <w:lang w:val="ru-RU"/>
              </w:rPr>
              <w:t xml:space="preserve">Внеочередные совещания по глобальной рамочной программе в области биоразнообразия на период после 2020 года </w:t>
            </w:r>
            <w:r w:rsidR="00180790" w:rsidRPr="00180790">
              <w:rPr>
                <w:color w:val="000000"/>
                <w:sz w:val="17"/>
                <w:szCs w:val="17"/>
                <w:vertAlign w:val="superscript"/>
                <w:lang w:val="ru-RU"/>
              </w:rPr>
              <w:t>/</w:t>
            </w:r>
            <w:r w:rsidR="00836205" w:rsidRPr="000559B7">
              <w:rPr>
                <w:color w:val="000000"/>
                <w:sz w:val="17"/>
                <w:szCs w:val="17"/>
                <w:vertAlign w:val="superscript"/>
                <w:lang w:val="ru-RU"/>
              </w:rPr>
              <w:t>4</w:t>
            </w:r>
          </w:p>
        </w:tc>
        <w:tc>
          <w:tcPr>
            <w:tcW w:w="0" w:type="auto"/>
            <w:tcBorders>
              <w:top w:val="nil"/>
              <w:left w:val="nil"/>
              <w:bottom w:val="nil"/>
              <w:right w:val="nil"/>
            </w:tcBorders>
            <w:shd w:val="clear" w:color="auto" w:fill="auto"/>
            <w:vAlign w:val="center"/>
            <w:hideMark/>
          </w:tcPr>
          <w:p w:rsidR="00836205" w:rsidRPr="000559B7" w:rsidRDefault="00836205" w:rsidP="00836205">
            <w:pPr>
              <w:jc w:val="right"/>
              <w:rPr>
                <w:sz w:val="17"/>
                <w:szCs w:val="17"/>
                <w:lang w:val="ru-RU"/>
              </w:rPr>
            </w:pPr>
            <w:r w:rsidRPr="000559B7">
              <w:rPr>
                <w:sz w:val="17"/>
                <w:szCs w:val="17"/>
                <w:lang w:val="ru-RU"/>
              </w:rPr>
              <w:t>750,0</w:t>
            </w:r>
          </w:p>
        </w:tc>
        <w:tc>
          <w:tcPr>
            <w:tcW w:w="0" w:type="auto"/>
            <w:tcBorders>
              <w:top w:val="nil"/>
              <w:left w:val="nil"/>
              <w:bottom w:val="nil"/>
              <w:right w:val="nil"/>
            </w:tcBorders>
            <w:shd w:val="clear" w:color="auto" w:fill="auto"/>
            <w:vAlign w:val="center"/>
            <w:hideMark/>
          </w:tcPr>
          <w:p w:rsidR="00836205" w:rsidRPr="000559B7" w:rsidRDefault="00836205" w:rsidP="00836205">
            <w:pPr>
              <w:jc w:val="right"/>
              <w:rPr>
                <w:sz w:val="17"/>
                <w:szCs w:val="17"/>
                <w:lang w:val="ru-RU"/>
              </w:rPr>
            </w:pPr>
            <w:r w:rsidRPr="000559B7">
              <w:rPr>
                <w:sz w:val="17"/>
                <w:szCs w:val="17"/>
                <w:lang w:val="ru-RU"/>
              </w:rPr>
              <w:t>560,0</w:t>
            </w:r>
          </w:p>
        </w:tc>
        <w:tc>
          <w:tcPr>
            <w:tcW w:w="0" w:type="auto"/>
            <w:tcBorders>
              <w:top w:val="nil"/>
              <w:left w:val="nil"/>
              <w:bottom w:val="nil"/>
              <w:right w:val="nil"/>
            </w:tcBorders>
            <w:shd w:val="clear" w:color="auto" w:fill="auto"/>
            <w:vAlign w:val="center"/>
            <w:hideMark/>
          </w:tcPr>
          <w:p w:rsidR="00836205" w:rsidRPr="000559B7" w:rsidRDefault="00836205" w:rsidP="00836205">
            <w:pPr>
              <w:jc w:val="right"/>
              <w:rPr>
                <w:color w:val="000000"/>
                <w:sz w:val="17"/>
                <w:szCs w:val="17"/>
                <w:lang w:val="ru-RU"/>
              </w:rPr>
            </w:pPr>
            <w:r w:rsidRPr="000559B7">
              <w:rPr>
                <w:color w:val="000000"/>
                <w:sz w:val="17"/>
                <w:szCs w:val="17"/>
                <w:lang w:val="ru-RU"/>
              </w:rPr>
              <w:t>1 310,0</w:t>
            </w:r>
          </w:p>
        </w:tc>
      </w:tr>
      <w:tr w:rsidR="00836205" w:rsidRPr="000559B7" w:rsidTr="00836205">
        <w:trPr>
          <w:trHeight w:val="261"/>
        </w:trPr>
        <w:tc>
          <w:tcPr>
            <w:tcW w:w="0" w:type="auto"/>
            <w:tcBorders>
              <w:top w:val="nil"/>
              <w:left w:val="nil"/>
              <w:bottom w:val="nil"/>
              <w:right w:val="nil"/>
            </w:tcBorders>
            <w:shd w:val="clear" w:color="auto" w:fill="auto"/>
            <w:noWrap/>
            <w:vAlign w:val="center"/>
            <w:hideMark/>
          </w:tcPr>
          <w:p w:rsidR="00836205" w:rsidRPr="000559B7" w:rsidRDefault="00836205" w:rsidP="00836205">
            <w:pPr>
              <w:jc w:val="right"/>
              <w:rPr>
                <w:color w:val="000000"/>
                <w:sz w:val="17"/>
                <w:szCs w:val="17"/>
                <w:lang w:val="ru-RU"/>
              </w:rPr>
            </w:pPr>
          </w:p>
        </w:tc>
        <w:tc>
          <w:tcPr>
            <w:tcW w:w="0" w:type="auto"/>
            <w:gridSpan w:val="2"/>
            <w:tcBorders>
              <w:top w:val="nil"/>
              <w:left w:val="nil"/>
              <w:bottom w:val="nil"/>
              <w:right w:val="nil"/>
            </w:tcBorders>
            <w:shd w:val="clear" w:color="auto" w:fill="auto"/>
            <w:vAlign w:val="center"/>
            <w:hideMark/>
          </w:tcPr>
          <w:p w:rsidR="00836205" w:rsidRPr="000559B7" w:rsidRDefault="00D67EA4" w:rsidP="00180790">
            <w:pPr>
              <w:rPr>
                <w:color w:val="000000"/>
                <w:sz w:val="17"/>
                <w:szCs w:val="17"/>
                <w:lang w:val="ru-RU"/>
              </w:rPr>
            </w:pPr>
            <w:r>
              <w:rPr>
                <w:color w:val="000000"/>
                <w:sz w:val="17"/>
                <w:szCs w:val="17"/>
                <w:lang w:val="fr-FR"/>
              </w:rPr>
              <w:t>L</w:t>
            </w:r>
            <w:r w:rsidRPr="006F27B8">
              <w:rPr>
                <w:color w:val="000000"/>
                <w:sz w:val="17"/>
                <w:szCs w:val="17"/>
                <w:lang w:val="ru-RU"/>
              </w:rPr>
              <w:t xml:space="preserve">. </w:t>
            </w:r>
            <w:r w:rsidR="00836205" w:rsidRPr="000559B7">
              <w:rPr>
                <w:color w:val="000000"/>
                <w:sz w:val="17"/>
                <w:szCs w:val="17"/>
                <w:lang w:val="ru-RU"/>
              </w:rPr>
              <w:t xml:space="preserve">Арендная плата и сопутствующие расходы </w:t>
            </w:r>
            <w:r w:rsidR="00180790" w:rsidRPr="00180790">
              <w:rPr>
                <w:color w:val="000000"/>
                <w:sz w:val="17"/>
                <w:szCs w:val="17"/>
                <w:vertAlign w:val="superscript"/>
                <w:lang w:val="ru-RU"/>
              </w:rPr>
              <w:t>/</w:t>
            </w:r>
            <w:r w:rsidR="00836205" w:rsidRPr="000559B7">
              <w:rPr>
                <w:color w:val="000000"/>
                <w:sz w:val="17"/>
                <w:szCs w:val="17"/>
                <w:vertAlign w:val="superscript"/>
                <w:lang w:val="ru-RU"/>
              </w:rPr>
              <w:t>5</w:t>
            </w:r>
          </w:p>
        </w:tc>
        <w:tc>
          <w:tcPr>
            <w:tcW w:w="0" w:type="auto"/>
            <w:tcBorders>
              <w:top w:val="nil"/>
              <w:left w:val="nil"/>
              <w:bottom w:val="nil"/>
              <w:right w:val="nil"/>
            </w:tcBorders>
            <w:shd w:val="clear" w:color="auto" w:fill="auto"/>
            <w:vAlign w:val="center"/>
            <w:hideMark/>
          </w:tcPr>
          <w:p w:rsidR="00836205" w:rsidRPr="000559B7" w:rsidRDefault="00836205" w:rsidP="00836205">
            <w:pPr>
              <w:jc w:val="right"/>
              <w:rPr>
                <w:color w:val="000000"/>
                <w:sz w:val="17"/>
                <w:szCs w:val="17"/>
                <w:lang w:val="ru-RU"/>
              </w:rPr>
            </w:pPr>
            <w:r w:rsidRPr="000559B7">
              <w:rPr>
                <w:color w:val="000000"/>
                <w:sz w:val="17"/>
                <w:szCs w:val="17"/>
                <w:lang w:val="ru-RU"/>
              </w:rPr>
              <w:t>1 229,5</w:t>
            </w:r>
          </w:p>
        </w:tc>
        <w:tc>
          <w:tcPr>
            <w:tcW w:w="0" w:type="auto"/>
            <w:tcBorders>
              <w:top w:val="nil"/>
              <w:left w:val="nil"/>
              <w:bottom w:val="nil"/>
              <w:right w:val="nil"/>
            </w:tcBorders>
            <w:shd w:val="clear" w:color="auto" w:fill="auto"/>
            <w:vAlign w:val="center"/>
            <w:hideMark/>
          </w:tcPr>
          <w:p w:rsidR="00836205" w:rsidRPr="000559B7" w:rsidRDefault="00836205" w:rsidP="00836205">
            <w:pPr>
              <w:jc w:val="right"/>
              <w:rPr>
                <w:color w:val="000000"/>
                <w:sz w:val="17"/>
                <w:szCs w:val="17"/>
                <w:lang w:val="ru-RU"/>
              </w:rPr>
            </w:pPr>
            <w:r w:rsidRPr="000559B7">
              <w:rPr>
                <w:color w:val="000000"/>
                <w:sz w:val="17"/>
                <w:szCs w:val="17"/>
                <w:lang w:val="ru-RU"/>
              </w:rPr>
              <w:t>1 423,4</w:t>
            </w:r>
          </w:p>
        </w:tc>
        <w:tc>
          <w:tcPr>
            <w:tcW w:w="0" w:type="auto"/>
            <w:tcBorders>
              <w:top w:val="nil"/>
              <w:left w:val="nil"/>
              <w:bottom w:val="nil"/>
              <w:right w:val="nil"/>
            </w:tcBorders>
            <w:shd w:val="clear" w:color="auto" w:fill="auto"/>
            <w:vAlign w:val="center"/>
            <w:hideMark/>
          </w:tcPr>
          <w:p w:rsidR="00836205" w:rsidRPr="000559B7" w:rsidRDefault="00836205" w:rsidP="00836205">
            <w:pPr>
              <w:jc w:val="right"/>
              <w:rPr>
                <w:color w:val="000000"/>
                <w:sz w:val="17"/>
                <w:szCs w:val="17"/>
                <w:lang w:val="ru-RU"/>
              </w:rPr>
            </w:pPr>
            <w:r w:rsidRPr="000559B7">
              <w:rPr>
                <w:color w:val="000000"/>
                <w:sz w:val="17"/>
                <w:szCs w:val="17"/>
                <w:lang w:val="ru-RU"/>
              </w:rPr>
              <w:t>2 652,9</w:t>
            </w:r>
          </w:p>
        </w:tc>
      </w:tr>
      <w:tr w:rsidR="00836205" w:rsidRPr="000559B7" w:rsidTr="00836205">
        <w:trPr>
          <w:trHeight w:val="261"/>
        </w:trPr>
        <w:tc>
          <w:tcPr>
            <w:tcW w:w="0" w:type="auto"/>
            <w:tcBorders>
              <w:top w:val="nil"/>
              <w:left w:val="nil"/>
              <w:bottom w:val="nil"/>
              <w:right w:val="nil"/>
            </w:tcBorders>
            <w:shd w:val="clear" w:color="auto" w:fill="auto"/>
            <w:noWrap/>
            <w:vAlign w:val="center"/>
            <w:hideMark/>
          </w:tcPr>
          <w:p w:rsidR="00836205" w:rsidRPr="000559B7" w:rsidRDefault="00836205" w:rsidP="00836205">
            <w:pPr>
              <w:jc w:val="right"/>
              <w:rPr>
                <w:color w:val="000000"/>
                <w:sz w:val="17"/>
                <w:szCs w:val="17"/>
                <w:lang w:val="ru-RU"/>
              </w:rPr>
            </w:pPr>
          </w:p>
        </w:tc>
        <w:tc>
          <w:tcPr>
            <w:tcW w:w="0" w:type="auto"/>
            <w:gridSpan w:val="2"/>
            <w:tcBorders>
              <w:top w:val="nil"/>
              <w:left w:val="nil"/>
              <w:bottom w:val="single" w:sz="4" w:space="0" w:color="auto"/>
              <w:right w:val="nil"/>
            </w:tcBorders>
            <w:shd w:val="clear" w:color="auto" w:fill="auto"/>
            <w:vAlign w:val="center"/>
            <w:hideMark/>
          </w:tcPr>
          <w:p w:rsidR="00836205" w:rsidRPr="000559B7" w:rsidRDefault="00D67EA4" w:rsidP="00836205">
            <w:pPr>
              <w:rPr>
                <w:color w:val="000000"/>
                <w:sz w:val="17"/>
                <w:szCs w:val="17"/>
                <w:lang w:val="ru-RU"/>
              </w:rPr>
            </w:pPr>
            <w:r>
              <w:rPr>
                <w:color w:val="000000"/>
                <w:sz w:val="17"/>
                <w:szCs w:val="17"/>
                <w:lang w:val="fr-FR"/>
              </w:rPr>
              <w:t xml:space="preserve">M. </w:t>
            </w:r>
            <w:r w:rsidR="00836205" w:rsidRPr="000559B7">
              <w:rPr>
                <w:color w:val="000000"/>
                <w:sz w:val="17"/>
                <w:szCs w:val="17"/>
                <w:lang w:val="ru-RU"/>
              </w:rPr>
              <w:t>Общие эксплуатационные расходы</w:t>
            </w:r>
          </w:p>
        </w:tc>
        <w:tc>
          <w:tcPr>
            <w:tcW w:w="0" w:type="auto"/>
            <w:tcBorders>
              <w:top w:val="nil"/>
              <w:left w:val="nil"/>
              <w:bottom w:val="nil"/>
              <w:right w:val="nil"/>
            </w:tcBorders>
            <w:shd w:val="clear" w:color="auto" w:fill="auto"/>
            <w:vAlign w:val="center"/>
            <w:hideMark/>
          </w:tcPr>
          <w:p w:rsidR="00836205" w:rsidRPr="000559B7" w:rsidRDefault="00836205" w:rsidP="00836205">
            <w:pPr>
              <w:jc w:val="right"/>
              <w:rPr>
                <w:color w:val="000000"/>
                <w:sz w:val="17"/>
                <w:szCs w:val="17"/>
                <w:lang w:val="ru-RU"/>
              </w:rPr>
            </w:pPr>
            <w:r w:rsidRPr="000559B7">
              <w:rPr>
                <w:color w:val="000000"/>
                <w:sz w:val="17"/>
                <w:szCs w:val="17"/>
                <w:lang w:val="ru-RU"/>
              </w:rPr>
              <w:t>726,6</w:t>
            </w:r>
          </w:p>
        </w:tc>
        <w:tc>
          <w:tcPr>
            <w:tcW w:w="0" w:type="auto"/>
            <w:tcBorders>
              <w:top w:val="nil"/>
              <w:left w:val="nil"/>
              <w:bottom w:val="nil"/>
              <w:right w:val="nil"/>
            </w:tcBorders>
            <w:shd w:val="clear" w:color="auto" w:fill="auto"/>
            <w:vAlign w:val="center"/>
            <w:hideMark/>
          </w:tcPr>
          <w:p w:rsidR="00836205" w:rsidRPr="000559B7" w:rsidRDefault="00836205" w:rsidP="00836205">
            <w:pPr>
              <w:jc w:val="right"/>
              <w:rPr>
                <w:color w:val="000000"/>
                <w:sz w:val="17"/>
                <w:szCs w:val="17"/>
                <w:lang w:val="ru-RU"/>
              </w:rPr>
            </w:pPr>
            <w:r w:rsidRPr="000559B7">
              <w:rPr>
                <w:color w:val="000000"/>
                <w:sz w:val="17"/>
                <w:szCs w:val="17"/>
                <w:lang w:val="ru-RU"/>
              </w:rPr>
              <w:t>726,6</w:t>
            </w:r>
          </w:p>
        </w:tc>
        <w:tc>
          <w:tcPr>
            <w:tcW w:w="0" w:type="auto"/>
            <w:tcBorders>
              <w:top w:val="nil"/>
              <w:left w:val="nil"/>
              <w:bottom w:val="nil"/>
              <w:right w:val="nil"/>
            </w:tcBorders>
            <w:shd w:val="clear" w:color="auto" w:fill="auto"/>
            <w:vAlign w:val="center"/>
            <w:hideMark/>
          </w:tcPr>
          <w:p w:rsidR="00836205" w:rsidRPr="000559B7" w:rsidRDefault="00836205" w:rsidP="00836205">
            <w:pPr>
              <w:jc w:val="right"/>
              <w:rPr>
                <w:color w:val="000000"/>
                <w:sz w:val="17"/>
                <w:szCs w:val="17"/>
                <w:lang w:val="ru-RU"/>
              </w:rPr>
            </w:pPr>
            <w:r w:rsidRPr="000559B7">
              <w:rPr>
                <w:color w:val="000000"/>
                <w:sz w:val="17"/>
                <w:szCs w:val="17"/>
                <w:lang w:val="ru-RU"/>
              </w:rPr>
              <w:t>1 453,2</w:t>
            </w:r>
          </w:p>
        </w:tc>
      </w:tr>
      <w:tr w:rsidR="00836205" w:rsidRPr="000559B7" w:rsidTr="00836205">
        <w:trPr>
          <w:trHeight w:val="261"/>
        </w:trPr>
        <w:tc>
          <w:tcPr>
            <w:tcW w:w="0" w:type="auto"/>
            <w:tcBorders>
              <w:top w:val="nil"/>
              <w:left w:val="nil"/>
              <w:bottom w:val="nil"/>
              <w:right w:val="nil"/>
            </w:tcBorders>
            <w:shd w:val="clear" w:color="auto" w:fill="auto"/>
            <w:noWrap/>
            <w:vAlign w:val="center"/>
            <w:hideMark/>
          </w:tcPr>
          <w:p w:rsidR="00836205" w:rsidRPr="000559B7" w:rsidRDefault="00836205" w:rsidP="00836205">
            <w:pPr>
              <w:jc w:val="right"/>
              <w:rPr>
                <w:b/>
                <w:bCs/>
                <w:color w:val="000000"/>
                <w:sz w:val="17"/>
                <w:szCs w:val="17"/>
                <w:lang w:val="ru-RU"/>
              </w:rPr>
            </w:pPr>
          </w:p>
        </w:tc>
        <w:tc>
          <w:tcPr>
            <w:tcW w:w="0" w:type="auto"/>
            <w:gridSpan w:val="2"/>
            <w:tcBorders>
              <w:top w:val="single" w:sz="4" w:space="0" w:color="auto"/>
              <w:left w:val="nil"/>
              <w:bottom w:val="single" w:sz="4" w:space="0" w:color="auto"/>
              <w:right w:val="nil"/>
            </w:tcBorders>
            <w:shd w:val="clear" w:color="auto" w:fill="auto"/>
            <w:vAlign w:val="center"/>
            <w:hideMark/>
          </w:tcPr>
          <w:p w:rsidR="00836205" w:rsidRPr="000559B7" w:rsidRDefault="00836205" w:rsidP="00836205">
            <w:pPr>
              <w:rPr>
                <w:b/>
                <w:bCs/>
                <w:sz w:val="17"/>
                <w:szCs w:val="17"/>
                <w:lang w:val="ru-RU"/>
              </w:rPr>
            </w:pPr>
            <w:r w:rsidRPr="000559B7">
              <w:rPr>
                <w:b/>
                <w:bCs/>
                <w:sz w:val="17"/>
                <w:szCs w:val="17"/>
                <w:lang w:val="ru-RU"/>
              </w:rPr>
              <w:t>Промежуточный итог (I)</w:t>
            </w:r>
          </w:p>
        </w:tc>
        <w:tc>
          <w:tcPr>
            <w:tcW w:w="0" w:type="auto"/>
            <w:tcBorders>
              <w:top w:val="single" w:sz="4" w:space="0" w:color="auto"/>
              <w:left w:val="nil"/>
              <w:bottom w:val="single" w:sz="4" w:space="0" w:color="auto"/>
              <w:right w:val="nil"/>
            </w:tcBorders>
            <w:shd w:val="clear" w:color="auto" w:fill="auto"/>
            <w:vAlign w:val="center"/>
            <w:hideMark/>
          </w:tcPr>
          <w:p w:rsidR="00836205" w:rsidRPr="000559B7" w:rsidRDefault="00836205" w:rsidP="00836205">
            <w:pPr>
              <w:jc w:val="right"/>
              <w:rPr>
                <w:b/>
                <w:bCs/>
                <w:sz w:val="17"/>
                <w:szCs w:val="17"/>
                <w:lang w:val="ru-RU"/>
              </w:rPr>
            </w:pPr>
            <w:r w:rsidRPr="000559B7">
              <w:rPr>
                <w:b/>
                <w:bCs/>
                <w:sz w:val="17"/>
                <w:szCs w:val="17"/>
                <w:lang w:val="ru-RU"/>
              </w:rPr>
              <w:t>16 719,0</w:t>
            </w:r>
          </w:p>
        </w:tc>
        <w:tc>
          <w:tcPr>
            <w:tcW w:w="0" w:type="auto"/>
            <w:tcBorders>
              <w:top w:val="single" w:sz="4" w:space="0" w:color="auto"/>
              <w:left w:val="nil"/>
              <w:bottom w:val="single" w:sz="4" w:space="0" w:color="auto"/>
              <w:right w:val="nil"/>
            </w:tcBorders>
            <w:shd w:val="clear" w:color="auto" w:fill="auto"/>
            <w:vAlign w:val="center"/>
            <w:hideMark/>
          </w:tcPr>
          <w:p w:rsidR="00836205" w:rsidRPr="000559B7" w:rsidRDefault="00836205" w:rsidP="00836205">
            <w:pPr>
              <w:jc w:val="right"/>
              <w:rPr>
                <w:b/>
                <w:bCs/>
                <w:sz w:val="17"/>
                <w:szCs w:val="17"/>
                <w:lang w:val="ru-RU"/>
              </w:rPr>
            </w:pPr>
            <w:r w:rsidRPr="000559B7">
              <w:rPr>
                <w:b/>
                <w:bCs/>
                <w:sz w:val="17"/>
                <w:szCs w:val="17"/>
                <w:lang w:val="ru-RU"/>
              </w:rPr>
              <w:t>17 490,6</w:t>
            </w:r>
          </w:p>
        </w:tc>
        <w:tc>
          <w:tcPr>
            <w:tcW w:w="0" w:type="auto"/>
            <w:tcBorders>
              <w:top w:val="single" w:sz="4" w:space="0" w:color="auto"/>
              <w:left w:val="nil"/>
              <w:bottom w:val="single" w:sz="4" w:space="0" w:color="auto"/>
              <w:right w:val="nil"/>
            </w:tcBorders>
            <w:shd w:val="clear" w:color="auto" w:fill="auto"/>
            <w:vAlign w:val="center"/>
            <w:hideMark/>
          </w:tcPr>
          <w:p w:rsidR="00836205" w:rsidRPr="000559B7" w:rsidRDefault="00836205" w:rsidP="00836205">
            <w:pPr>
              <w:jc w:val="right"/>
              <w:rPr>
                <w:b/>
                <w:bCs/>
                <w:sz w:val="17"/>
                <w:szCs w:val="17"/>
                <w:lang w:val="ru-RU"/>
              </w:rPr>
            </w:pPr>
            <w:r w:rsidRPr="000559B7">
              <w:rPr>
                <w:b/>
                <w:bCs/>
                <w:sz w:val="17"/>
                <w:szCs w:val="17"/>
                <w:lang w:val="ru-RU"/>
              </w:rPr>
              <w:t>34 209,6</w:t>
            </w:r>
          </w:p>
        </w:tc>
      </w:tr>
      <w:tr w:rsidR="00836205" w:rsidRPr="000559B7" w:rsidTr="00836205">
        <w:trPr>
          <w:trHeight w:val="261"/>
        </w:trPr>
        <w:tc>
          <w:tcPr>
            <w:tcW w:w="0" w:type="auto"/>
            <w:tcBorders>
              <w:top w:val="nil"/>
              <w:left w:val="nil"/>
              <w:bottom w:val="nil"/>
              <w:right w:val="nil"/>
            </w:tcBorders>
            <w:shd w:val="clear" w:color="auto" w:fill="auto"/>
            <w:noWrap/>
            <w:vAlign w:val="center"/>
            <w:hideMark/>
          </w:tcPr>
          <w:p w:rsidR="00836205" w:rsidRPr="00D67EA4" w:rsidRDefault="00836205" w:rsidP="00D67EA4">
            <w:pPr>
              <w:jc w:val="right"/>
              <w:rPr>
                <w:b/>
                <w:bCs/>
                <w:color w:val="000000"/>
                <w:sz w:val="17"/>
                <w:szCs w:val="17"/>
                <w:lang w:val="fr-FR"/>
              </w:rPr>
            </w:pPr>
          </w:p>
        </w:tc>
        <w:tc>
          <w:tcPr>
            <w:tcW w:w="0" w:type="auto"/>
            <w:gridSpan w:val="2"/>
            <w:tcBorders>
              <w:top w:val="single" w:sz="4" w:space="0" w:color="auto"/>
              <w:left w:val="nil"/>
              <w:bottom w:val="nil"/>
              <w:right w:val="nil"/>
            </w:tcBorders>
            <w:shd w:val="clear" w:color="auto" w:fill="auto"/>
            <w:vAlign w:val="center"/>
            <w:hideMark/>
          </w:tcPr>
          <w:p w:rsidR="00836205" w:rsidRPr="000559B7" w:rsidRDefault="00D67EA4" w:rsidP="00836205">
            <w:pPr>
              <w:rPr>
                <w:b/>
                <w:bCs/>
                <w:sz w:val="17"/>
                <w:szCs w:val="17"/>
                <w:lang w:val="ru-RU"/>
              </w:rPr>
            </w:pPr>
            <w:r>
              <w:rPr>
                <w:b/>
                <w:bCs/>
                <w:sz w:val="17"/>
                <w:szCs w:val="17"/>
                <w:lang w:val="fr-FR"/>
              </w:rPr>
              <w:t>II</w:t>
            </w:r>
            <w:r w:rsidRPr="006F27B8">
              <w:rPr>
                <w:b/>
                <w:bCs/>
                <w:sz w:val="17"/>
                <w:szCs w:val="17"/>
                <w:lang w:val="ru-RU"/>
              </w:rPr>
              <w:t xml:space="preserve">. </w:t>
            </w:r>
            <w:r w:rsidR="00836205" w:rsidRPr="000559B7">
              <w:rPr>
                <w:b/>
                <w:bCs/>
                <w:sz w:val="17"/>
                <w:szCs w:val="17"/>
                <w:lang w:val="ru-RU"/>
              </w:rPr>
              <w:t>Расходы на поддержку программ (13%)</w:t>
            </w:r>
          </w:p>
        </w:tc>
        <w:tc>
          <w:tcPr>
            <w:tcW w:w="0" w:type="auto"/>
            <w:tcBorders>
              <w:top w:val="nil"/>
              <w:left w:val="nil"/>
              <w:bottom w:val="nil"/>
              <w:right w:val="nil"/>
            </w:tcBorders>
            <w:shd w:val="clear" w:color="auto" w:fill="auto"/>
            <w:vAlign w:val="center"/>
            <w:hideMark/>
          </w:tcPr>
          <w:p w:rsidR="00836205" w:rsidRPr="000559B7" w:rsidRDefault="00836205" w:rsidP="00836205">
            <w:pPr>
              <w:jc w:val="right"/>
              <w:rPr>
                <w:sz w:val="17"/>
                <w:szCs w:val="17"/>
                <w:lang w:val="ru-RU"/>
              </w:rPr>
            </w:pPr>
            <w:r w:rsidRPr="000559B7">
              <w:rPr>
                <w:sz w:val="17"/>
                <w:szCs w:val="17"/>
                <w:lang w:val="ru-RU"/>
              </w:rPr>
              <w:t>2 173,5</w:t>
            </w:r>
          </w:p>
        </w:tc>
        <w:tc>
          <w:tcPr>
            <w:tcW w:w="0" w:type="auto"/>
            <w:tcBorders>
              <w:top w:val="nil"/>
              <w:left w:val="nil"/>
              <w:bottom w:val="nil"/>
              <w:right w:val="nil"/>
            </w:tcBorders>
            <w:shd w:val="clear" w:color="auto" w:fill="auto"/>
            <w:vAlign w:val="center"/>
            <w:hideMark/>
          </w:tcPr>
          <w:p w:rsidR="00836205" w:rsidRPr="000559B7" w:rsidRDefault="00836205" w:rsidP="00836205">
            <w:pPr>
              <w:jc w:val="right"/>
              <w:rPr>
                <w:sz w:val="17"/>
                <w:szCs w:val="17"/>
                <w:lang w:val="ru-RU"/>
              </w:rPr>
            </w:pPr>
            <w:r w:rsidRPr="000559B7">
              <w:rPr>
                <w:sz w:val="17"/>
                <w:szCs w:val="17"/>
                <w:lang w:val="ru-RU"/>
              </w:rPr>
              <w:t>2 273,8</w:t>
            </w:r>
          </w:p>
        </w:tc>
        <w:tc>
          <w:tcPr>
            <w:tcW w:w="0" w:type="auto"/>
            <w:tcBorders>
              <w:top w:val="nil"/>
              <w:left w:val="nil"/>
              <w:bottom w:val="nil"/>
              <w:right w:val="nil"/>
            </w:tcBorders>
            <w:shd w:val="clear" w:color="auto" w:fill="auto"/>
            <w:vAlign w:val="center"/>
            <w:hideMark/>
          </w:tcPr>
          <w:p w:rsidR="00836205" w:rsidRPr="000559B7" w:rsidRDefault="00836205" w:rsidP="00836205">
            <w:pPr>
              <w:jc w:val="right"/>
              <w:rPr>
                <w:sz w:val="17"/>
                <w:szCs w:val="17"/>
                <w:lang w:val="ru-RU"/>
              </w:rPr>
            </w:pPr>
            <w:r w:rsidRPr="000559B7">
              <w:rPr>
                <w:sz w:val="17"/>
                <w:szCs w:val="17"/>
                <w:lang w:val="ru-RU"/>
              </w:rPr>
              <w:t>4 447,2</w:t>
            </w:r>
          </w:p>
        </w:tc>
      </w:tr>
      <w:tr w:rsidR="00836205" w:rsidRPr="000559B7" w:rsidTr="00836205">
        <w:trPr>
          <w:trHeight w:val="261"/>
        </w:trPr>
        <w:tc>
          <w:tcPr>
            <w:tcW w:w="0" w:type="auto"/>
            <w:tcBorders>
              <w:top w:val="nil"/>
              <w:left w:val="nil"/>
              <w:bottom w:val="nil"/>
              <w:right w:val="nil"/>
            </w:tcBorders>
            <w:shd w:val="clear" w:color="auto" w:fill="auto"/>
            <w:noWrap/>
            <w:vAlign w:val="center"/>
            <w:hideMark/>
          </w:tcPr>
          <w:p w:rsidR="00836205" w:rsidRPr="000559B7" w:rsidRDefault="00836205" w:rsidP="00836205">
            <w:pPr>
              <w:jc w:val="right"/>
              <w:rPr>
                <w:b/>
                <w:bCs/>
                <w:color w:val="000000"/>
                <w:sz w:val="17"/>
                <w:szCs w:val="17"/>
                <w:lang w:val="ru-RU"/>
              </w:rPr>
            </w:pPr>
          </w:p>
        </w:tc>
        <w:tc>
          <w:tcPr>
            <w:tcW w:w="0" w:type="auto"/>
            <w:gridSpan w:val="2"/>
            <w:tcBorders>
              <w:top w:val="nil"/>
              <w:left w:val="nil"/>
              <w:bottom w:val="single" w:sz="4" w:space="0" w:color="auto"/>
              <w:right w:val="nil"/>
            </w:tcBorders>
            <w:shd w:val="clear" w:color="auto" w:fill="auto"/>
            <w:vAlign w:val="center"/>
            <w:hideMark/>
          </w:tcPr>
          <w:p w:rsidR="00836205" w:rsidRPr="000559B7" w:rsidRDefault="00836205" w:rsidP="00836205">
            <w:pPr>
              <w:rPr>
                <w:b/>
                <w:bCs/>
                <w:sz w:val="17"/>
                <w:szCs w:val="17"/>
                <w:lang w:val="ru-RU"/>
              </w:rPr>
            </w:pPr>
            <w:r w:rsidRPr="000559B7">
              <w:rPr>
                <w:b/>
                <w:bCs/>
                <w:sz w:val="17"/>
                <w:szCs w:val="17"/>
                <w:lang w:val="ru-RU"/>
              </w:rPr>
              <w:t>Промежуточный итог (I + II)</w:t>
            </w:r>
          </w:p>
        </w:tc>
        <w:tc>
          <w:tcPr>
            <w:tcW w:w="0" w:type="auto"/>
            <w:tcBorders>
              <w:top w:val="nil"/>
              <w:left w:val="nil"/>
              <w:bottom w:val="single" w:sz="4" w:space="0" w:color="auto"/>
              <w:right w:val="nil"/>
            </w:tcBorders>
            <w:shd w:val="clear" w:color="auto" w:fill="auto"/>
            <w:vAlign w:val="center"/>
            <w:hideMark/>
          </w:tcPr>
          <w:p w:rsidR="00836205" w:rsidRPr="000559B7" w:rsidRDefault="00836205" w:rsidP="00836205">
            <w:pPr>
              <w:jc w:val="right"/>
              <w:rPr>
                <w:b/>
                <w:bCs/>
                <w:sz w:val="17"/>
                <w:szCs w:val="17"/>
                <w:lang w:val="ru-RU"/>
              </w:rPr>
            </w:pPr>
            <w:r w:rsidRPr="000559B7">
              <w:rPr>
                <w:b/>
                <w:bCs/>
                <w:sz w:val="17"/>
                <w:szCs w:val="17"/>
                <w:lang w:val="ru-RU"/>
              </w:rPr>
              <w:t>18 892,4</w:t>
            </w:r>
          </w:p>
        </w:tc>
        <w:tc>
          <w:tcPr>
            <w:tcW w:w="0" w:type="auto"/>
            <w:tcBorders>
              <w:top w:val="nil"/>
              <w:left w:val="nil"/>
              <w:bottom w:val="single" w:sz="4" w:space="0" w:color="auto"/>
              <w:right w:val="nil"/>
            </w:tcBorders>
            <w:shd w:val="clear" w:color="auto" w:fill="auto"/>
            <w:vAlign w:val="center"/>
            <w:hideMark/>
          </w:tcPr>
          <w:p w:rsidR="00836205" w:rsidRPr="000559B7" w:rsidRDefault="00836205" w:rsidP="00836205">
            <w:pPr>
              <w:jc w:val="right"/>
              <w:rPr>
                <w:b/>
                <w:bCs/>
                <w:sz w:val="17"/>
                <w:szCs w:val="17"/>
                <w:lang w:val="ru-RU"/>
              </w:rPr>
            </w:pPr>
            <w:r w:rsidRPr="000559B7">
              <w:rPr>
                <w:b/>
                <w:bCs/>
                <w:sz w:val="17"/>
                <w:szCs w:val="17"/>
                <w:lang w:val="ru-RU"/>
              </w:rPr>
              <w:t>19 764,4</w:t>
            </w:r>
          </w:p>
        </w:tc>
        <w:tc>
          <w:tcPr>
            <w:tcW w:w="0" w:type="auto"/>
            <w:tcBorders>
              <w:top w:val="nil"/>
              <w:left w:val="nil"/>
              <w:bottom w:val="single" w:sz="4" w:space="0" w:color="auto"/>
              <w:right w:val="nil"/>
            </w:tcBorders>
            <w:shd w:val="clear" w:color="auto" w:fill="auto"/>
            <w:vAlign w:val="center"/>
            <w:hideMark/>
          </w:tcPr>
          <w:p w:rsidR="00836205" w:rsidRPr="000559B7" w:rsidRDefault="00836205" w:rsidP="00836205">
            <w:pPr>
              <w:jc w:val="right"/>
              <w:rPr>
                <w:b/>
                <w:bCs/>
                <w:sz w:val="17"/>
                <w:szCs w:val="17"/>
                <w:lang w:val="ru-RU"/>
              </w:rPr>
            </w:pPr>
            <w:r w:rsidRPr="000559B7">
              <w:rPr>
                <w:b/>
                <w:bCs/>
                <w:sz w:val="17"/>
                <w:szCs w:val="17"/>
                <w:lang w:val="ru-RU"/>
              </w:rPr>
              <w:t>38 656,8</w:t>
            </w:r>
          </w:p>
        </w:tc>
      </w:tr>
      <w:tr w:rsidR="00836205" w:rsidRPr="000559B7" w:rsidTr="00836205">
        <w:trPr>
          <w:trHeight w:val="261"/>
        </w:trPr>
        <w:tc>
          <w:tcPr>
            <w:tcW w:w="0" w:type="auto"/>
            <w:tcBorders>
              <w:top w:val="nil"/>
              <w:left w:val="nil"/>
              <w:bottom w:val="nil"/>
              <w:right w:val="nil"/>
            </w:tcBorders>
            <w:shd w:val="clear" w:color="auto" w:fill="auto"/>
            <w:noWrap/>
            <w:vAlign w:val="center"/>
            <w:hideMark/>
          </w:tcPr>
          <w:p w:rsidR="00836205" w:rsidRPr="00D67EA4" w:rsidRDefault="00836205" w:rsidP="00836205">
            <w:pPr>
              <w:jc w:val="right"/>
              <w:rPr>
                <w:b/>
                <w:bCs/>
                <w:color w:val="000000"/>
                <w:sz w:val="17"/>
                <w:szCs w:val="17"/>
                <w:lang w:val="fr-FR"/>
              </w:rPr>
            </w:pPr>
          </w:p>
        </w:tc>
        <w:tc>
          <w:tcPr>
            <w:tcW w:w="0" w:type="auto"/>
            <w:gridSpan w:val="2"/>
            <w:tcBorders>
              <w:top w:val="single" w:sz="4" w:space="0" w:color="auto"/>
              <w:left w:val="nil"/>
              <w:bottom w:val="nil"/>
              <w:right w:val="nil"/>
            </w:tcBorders>
            <w:shd w:val="clear" w:color="auto" w:fill="auto"/>
            <w:vAlign w:val="center"/>
            <w:hideMark/>
          </w:tcPr>
          <w:p w:rsidR="00836205" w:rsidRPr="00D67EA4" w:rsidRDefault="00D67EA4" w:rsidP="00836205">
            <w:pPr>
              <w:rPr>
                <w:b/>
                <w:sz w:val="17"/>
                <w:szCs w:val="17"/>
                <w:lang w:val="ru-RU"/>
              </w:rPr>
            </w:pPr>
            <w:r w:rsidRPr="00D67EA4">
              <w:rPr>
                <w:b/>
                <w:sz w:val="17"/>
                <w:szCs w:val="17"/>
                <w:lang w:val="fr-FR"/>
              </w:rPr>
              <w:t xml:space="preserve">III. </w:t>
            </w:r>
            <w:r w:rsidR="00836205" w:rsidRPr="00D67EA4">
              <w:rPr>
                <w:b/>
                <w:sz w:val="17"/>
                <w:szCs w:val="17"/>
                <w:lang w:val="ru-RU"/>
              </w:rPr>
              <w:t>Резерв оборотных средств</w:t>
            </w:r>
          </w:p>
        </w:tc>
        <w:tc>
          <w:tcPr>
            <w:tcW w:w="0" w:type="auto"/>
            <w:tcBorders>
              <w:top w:val="nil"/>
              <w:left w:val="nil"/>
              <w:bottom w:val="nil"/>
              <w:right w:val="nil"/>
            </w:tcBorders>
            <w:shd w:val="clear" w:color="auto" w:fill="auto"/>
            <w:vAlign w:val="center"/>
            <w:hideMark/>
          </w:tcPr>
          <w:p w:rsidR="00836205" w:rsidRPr="000559B7" w:rsidRDefault="00836205" w:rsidP="00836205">
            <w:pPr>
              <w:jc w:val="right"/>
              <w:rPr>
                <w:sz w:val="17"/>
                <w:szCs w:val="17"/>
                <w:lang w:val="ru-RU"/>
              </w:rPr>
            </w:pPr>
            <w:r w:rsidRPr="000559B7">
              <w:rPr>
                <w:sz w:val="17"/>
                <w:szCs w:val="17"/>
                <w:lang w:val="ru-RU"/>
              </w:rPr>
              <w:t xml:space="preserve">               56,6 </w:t>
            </w:r>
          </w:p>
        </w:tc>
        <w:tc>
          <w:tcPr>
            <w:tcW w:w="0" w:type="auto"/>
            <w:tcBorders>
              <w:top w:val="nil"/>
              <w:left w:val="nil"/>
              <w:bottom w:val="nil"/>
              <w:right w:val="nil"/>
            </w:tcBorders>
            <w:shd w:val="clear" w:color="auto" w:fill="auto"/>
            <w:vAlign w:val="center"/>
            <w:hideMark/>
          </w:tcPr>
          <w:p w:rsidR="00836205" w:rsidRPr="000559B7" w:rsidRDefault="00836205" w:rsidP="00836205">
            <w:pPr>
              <w:jc w:val="right"/>
              <w:rPr>
                <w:sz w:val="17"/>
                <w:szCs w:val="17"/>
                <w:lang w:val="ru-RU"/>
              </w:rPr>
            </w:pPr>
            <w:r w:rsidRPr="000559B7">
              <w:rPr>
                <w:sz w:val="17"/>
                <w:szCs w:val="17"/>
                <w:lang w:val="ru-RU"/>
              </w:rPr>
              <w:t>130,8</w:t>
            </w:r>
          </w:p>
        </w:tc>
        <w:tc>
          <w:tcPr>
            <w:tcW w:w="0" w:type="auto"/>
            <w:tcBorders>
              <w:top w:val="nil"/>
              <w:left w:val="nil"/>
              <w:bottom w:val="nil"/>
              <w:right w:val="nil"/>
            </w:tcBorders>
            <w:shd w:val="clear" w:color="auto" w:fill="auto"/>
            <w:vAlign w:val="center"/>
            <w:hideMark/>
          </w:tcPr>
          <w:p w:rsidR="00836205" w:rsidRPr="000559B7" w:rsidRDefault="00836205" w:rsidP="00836205">
            <w:pPr>
              <w:jc w:val="right"/>
              <w:rPr>
                <w:sz w:val="17"/>
                <w:szCs w:val="17"/>
                <w:lang w:val="ru-RU"/>
              </w:rPr>
            </w:pPr>
            <w:r w:rsidRPr="000559B7">
              <w:rPr>
                <w:sz w:val="17"/>
                <w:szCs w:val="17"/>
                <w:lang w:val="ru-RU"/>
              </w:rPr>
              <w:t>187,3</w:t>
            </w:r>
          </w:p>
        </w:tc>
      </w:tr>
      <w:tr w:rsidR="00836205" w:rsidRPr="000559B7" w:rsidTr="00836205">
        <w:trPr>
          <w:trHeight w:val="261"/>
        </w:trPr>
        <w:tc>
          <w:tcPr>
            <w:tcW w:w="0" w:type="auto"/>
            <w:tcBorders>
              <w:top w:val="nil"/>
              <w:left w:val="nil"/>
              <w:bottom w:val="nil"/>
              <w:right w:val="nil"/>
            </w:tcBorders>
            <w:shd w:val="clear" w:color="auto" w:fill="auto"/>
            <w:noWrap/>
            <w:vAlign w:val="center"/>
            <w:hideMark/>
          </w:tcPr>
          <w:p w:rsidR="00836205" w:rsidRPr="000559B7" w:rsidRDefault="00836205" w:rsidP="00836205">
            <w:pPr>
              <w:jc w:val="right"/>
              <w:rPr>
                <w:b/>
                <w:bCs/>
                <w:color w:val="000000"/>
                <w:sz w:val="17"/>
                <w:szCs w:val="17"/>
                <w:lang w:val="ru-RU"/>
              </w:rPr>
            </w:pPr>
          </w:p>
        </w:tc>
        <w:tc>
          <w:tcPr>
            <w:tcW w:w="0" w:type="auto"/>
            <w:gridSpan w:val="2"/>
            <w:tcBorders>
              <w:top w:val="nil"/>
              <w:left w:val="nil"/>
              <w:bottom w:val="single" w:sz="8" w:space="0" w:color="auto"/>
              <w:right w:val="nil"/>
            </w:tcBorders>
            <w:shd w:val="clear" w:color="auto" w:fill="auto"/>
            <w:vAlign w:val="center"/>
            <w:hideMark/>
          </w:tcPr>
          <w:p w:rsidR="00836205" w:rsidRPr="000559B7" w:rsidRDefault="00836205" w:rsidP="00836205">
            <w:pPr>
              <w:rPr>
                <w:b/>
                <w:bCs/>
                <w:color w:val="000000"/>
                <w:sz w:val="17"/>
                <w:szCs w:val="17"/>
                <w:lang w:val="ru-RU"/>
              </w:rPr>
            </w:pPr>
            <w:r w:rsidRPr="000559B7">
              <w:rPr>
                <w:b/>
                <w:bCs/>
                <w:color w:val="000000"/>
                <w:sz w:val="17"/>
                <w:szCs w:val="17"/>
                <w:lang w:val="ru-RU"/>
              </w:rPr>
              <w:t>Общий итог (II + III)</w:t>
            </w:r>
          </w:p>
        </w:tc>
        <w:tc>
          <w:tcPr>
            <w:tcW w:w="0" w:type="auto"/>
            <w:tcBorders>
              <w:top w:val="nil"/>
              <w:left w:val="nil"/>
              <w:bottom w:val="single" w:sz="8" w:space="0" w:color="auto"/>
              <w:right w:val="nil"/>
            </w:tcBorders>
            <w:shd w:val="clear" w:color="auto" w:fill="auto"/>
            <w:vAlign w:val="center"/>
            <w:hideMark/>
          </w:tcPr>
          <w:p w:rsidR="00836205" w:rsidRPr="000559B7" w:rsidRDefault="00836205" w:rsidP="00836205">
            <w:pPr>
              <w:jc w:val="right"/>
              <w:rPr>
                <w:b/>
                <w:bCs/>
                <w:color w:val="000000"/>
                <w:sz w:val="17"/>
                <w:szCs w:val="17"/>
                <w:lang w:val="ru-RU"/>
              </w:rPr>
            </w:pPr>
            <w:r w:rsidRPr="000559B7">
              <w:rPr>
                <w:b/>
                <w:bCs/>
                <w:color w:val="000000"/>
                <w:sz w:val="17"/>
                <w:szCs w:val="17"/>
                <w:lang w:val="ru-RU"/>
              </w:rPr>
              <w:t>18 949,0</w:t>
            </w:r>
          </w:p>
        </w:tc>
        <w:tc>
          <w:tcPr>
            <w:tcW w:w="0" w:type="auto"/>
            <w:tcBorders>
              <w:top w:val="nil"/>
              <w:left w:val="nil"/>
              <w:bottom w:val="single" w:sz="8" w:space="0" w:color="auto"/>
              <w:right w:val="nil"/>
            </w:tcBorders>
            <w:shd w:val="clear" w:color="auto" w:fill="auto"/>
            <w:vAlign w:val="center"/>
            <w:hideMark/>
          </w:tcPr>
          <w:p w:rsidR="00836205" w:rsidRPr="000559B7" w:rsidRDefault="00836205" w:rsidP="00836205">
            <w:pPr>
              <w:jc w:val="right"/>
              <w:rPr>
                <w:b/>
                <w:bCs/>
                <w:color w:val="000000"/>
                <w:sz w:val="17"/>
                <w:szCs w:val="17"/>
                <w:lang w:val="ru-RU"/>
              </w:rPr>
            </w:pPr>
            <w:r w:rsidRPr="000559B7">
              <w:rPr>
                <w:b/>
                <w:bCs/>
                <w:color w:val="000000"/>
                <w:sz w:val="17"/>
                <w:szCs w:val="17"/>
                <w:lang w:val="ru-RU"/>
              </w:rPr>
              <w:t xml:space="preserve">         19 895,1 </w:t>
            </w:r>
          </w:p>
        </w:tc>
        <w:tc>
          <w:tcPr>
            <w:tcW w:w="0" w:type="auto"/>
            <w:tcBorders>
              <w:top w:val="nil"/>
              <w:left w:val="nil"/>
              <w:bottom w:val="single" w:sz="8" w:space="0" w:color="auto"/>
              <w:right w:val="nil"/>
            </w:tcBorders>
            <w:shd w:val="clear" w:color="auto" w:fill="auto"/>
            <w:vAlign w:val="center"/>
            <w:hideMark/>
          </w:tcPr>
          <w:p w:rsidR="00836205" w:rsidRPr="000559B7" w:rsidRDefault="00836205" w:rsidP="00836205">
            <w:pPr>
              <w:jc w:val="right"/>
              <w:rPr>
                <w:b/>
                <w:bCs/>
                <w:color w:val="000000"/>
                <w:sz w:val="17"/>
                <w:szCs w:val="17"/>
                <w:lang w:val="ru-RU"/>
              </w:rPr>
            </w:pPr>
            <w:r w:rsidRPr="000559B7">
              <w:rPr>
                <w:b/>
                <w:bCs/>
                <w:color w:val="000000"/>
                <w:sz w:val="17"/>
                <w:szCs w:val="17"/>
                <w:lang w:val="ru-RU"/>
              </w:rPr>
              <w:t>38 844,1</w:t>
            </w:r>
          </w:p>
        </w:tc>
      </w:tr>
      <w:tr w:rsidR="00836205" w:rsidRPr="000559B7" w:rsidTr="00836205">
        <w:trPr>
          <w:trHeight w:val="261"/>
        </w:trPr>
        <w:tc>
          <w:tcPr>
            <w:tcW w:w="0" w:type="auto"/>
            <w:tcBorders>
              <w:top w:val="nil"/>
              <w:left w:val="nil"/>
              <w:bottom w:val="nil"/>
              <w:right w:val="nil"/>
            </w:tcBorders>
            <w:shd w:val="clear" w:color="auto" w:fill="auto"/>
            <w:noWrap/>
            <w:vAlign w:val="center"/>
            <w:hideMark/>
          </w:tcPr>
          <w:p w:rsidR="00836205" w:rsidRPr="000559B7" w:rsidRDefault="00836205" w:rsidP="00836205">
            <w:pPr>
              <w:jc w:val="right"/>
              <w:rPr>
                <w:color w:val="000000"/>
                <w:sz w:val="17"/>
                <w:szCs w:val="17"/>
                <w:lang w:val="ru-RU"/>
              </w:rPr>
            </w:pPr>
          </w:p>
        </w:tc>
        <w:tc>
          <w:tcPr>
            <w:tcW w:w="0" w:type="auto"/>
            <w:gridSpan w:val="2"/>
            <w:tcBorders>
              <w:top w:val="single" w:sz="8" w:space="0" w:color="auto"/>
              <w:left w:val="nil"/>
              <w:bottom w:val="single" w:sz="8" w:space="0" w:color="auto"/>
              <w:right w:val="nil"/>
            </w:tcBorders>
            <w:shd w:val="clear" w:color="auto" w:fill="auto"/>
            <w:vAlign w:val="center"/>
            <w:hideMark/>
          </w:tcPr>
          <w:p w:rsidR="00836205" w:rsidRPr="000559B7" w:rsidRDefault="00836205" w:rsidP="00180790">
            <w:pPr>
              <w:rPr>
                <w:sz w:val="17"/>
                <w:szCs w:val="17"/>
                <w:lang w:val="ru-RU"/>
              </w:rPr>
            </w:pPr>
            <w:r w:rsidRPr="000559B7">
              <w:rPr>
                <w:sz w:val="17"/>
                <w:szCs w:val="17"/>
                <w:lang w:val="ru-RU"/>
              </w:rPr>
              <w:t xml:space="preserve">Доля Конвенции в </w:t>
            </w:r>
            <w:r w:rsidR="007574D9" w:rsidRPr="007574D9">
              <w:rPr>
                <w:sz w:val="17"/>
                <w:szCs w:val="17"/>
                <w:lang w:val="ru-RU"/>
              </w:rPr>
              <w:t xml:space="preserve">комплексном </w:t>
            </w:r>
            <w:r w:rsidRPr="000559B7">
              <w:rPr>
                <w:sz w:val="17"/>
                <w:szCs w:val="17"/>
                <w:lang w:val="ru-RU"/>
              </w:rPr>
              <w:t>бюджете (74%)</w:t>
            </w:r>
          </w:p>
        </w:tc>
        <w:tc>
          <w:tcPr>
            <w:tcW w:w="0" w:type="auto"/>
            <w:tcBorders>
              <w:top w:val="nil"/>
              <w:left w:val="nil"/>
              <w:bottom w:val="single" w:sz="8" w:space="0" w:color="auto"/>
              <w:right w:val="nil"/>
            </w:tcBorders>
            <w:shd w:val="clear" w:color="auto" w:fill="auto"/>
            <w:vAlign w:val="center"/>
            <w:hideMark/>
          </w:tcPr>
          <w:p w:rsidR="00836205" w:rsidRPr="000559B7" w:rsidRDefault="00836205" w:rsidP="00836205">
            <w:pPr>
              <w:jc w:val="right"/>
              <w:rPr>
                <w:sz w:val="17"/>
                <w:szCs w:val="17"/>
                <w:lang w:val="ru-RU"/>
              </w:rPr>
            </w:pPr>
            <w:r w:rsidRPr="000559B7">
              <w:rPr>
                <w:sz w:val="17"/>
                <w:szCs w:val="17"/>
                <w:lang w:val="ru-RU"/>
              </w:rPr>
              <w:t xml:space="preserve">         14 022,2 </w:t>
            </w:r>
          </w:p>
        </w:tc>
        <w:tc>
          <w:tcPr>
            <w:tcW w:w="0" w:type="auto"/>
            <w:tcBorders>
              <w:top w:val="nil"/>
              <w:left w:val="nil"/>
              <w:bottom w:val="single" w:sz="8" w:space="0" w:color="auto"/>
              <w:right w:val="nil"/>
            </w:tcBorders>
            <w:shd w:val="clear" w:color="auto" w:fill="auto"/>
            <w:vAlign w:val="center"/>
            <w:hideMark/>
          </w:tcPr>
          <w:p w:rsidR="00836205" w:rsidRPr="000559B7" w:rsidRDefault="00836205" w:rsidP="00836205">
            <w:pPr>
              <w:jc w:val="right"/>
              <w:rPr>
                <w:sz w:val="17"/>
                <w:szCs w:val="17"/>
                <w:lang w:val="ru-RU"/>
              </w:rPr>
            </w:pPr>
            <w:r w:rsidRPr="000559B7">
              <w:rPr>
                <w:sz w:val="17"/>
                <w:szCs w:val="17"/>
                <w:lang w:val="ru-RU"/>
              </w:rPr>
              <w:t xml:space="preserve">         14 722,4 </w:t>
            </w:r>
          </w:p>
        </w:tc>
        <w:tc>
          <w:tcPr>
            <w:tcW w:w="0" w:type="auto"/>
            <w:tcBorders>
              <w:top w:val="nil"/>
              <w:left w:val="nil"/>
              <w:bottom w:val="single" w:sz="8" w:space="0" w:color="auto"/>
              <w:right w:val="nil"/>
            </w:tcBorders>
            <w:shd w:val="clear" w:color="auto" w:fill="auto"/>
            <w:vAlign w:val="center"/>
            <w:hideMark/>
          </w:tcPr>
          <w:p w:rsidR="00836205" w:rsidRPr="000559B7" w:rsidRDefault="00836205" w:rsidP="00836205">
            <w:pPr>
              <w:jc w:val="right"/>
              <w:rPr>
                <w:sz w:val="17"/>
                <w:szCs w:val="17"/>
                <w:lang w:val="ru-RU"/>
              </w:rPr>
            </w:pPr>
            <w:r w:rsidRPr="000559B7">
              <w:rPr>
                <w:sz w:val="17"/>
                <w:szCs w:val="17"/>
                <w:lang w:val="ru-RU"/>
              </w:rPr>
              <w:t xml:space="preserve">         28 744,6 </w:t>
            </w:r>
          </w:p>
        </w:tc>
      </w:tr>
      <w:tr w:rsidR="00836205" w:rsidRPr="000559B7" w:rsidTr="00836205">
        <w:trPr>
          <w:trHeight w:val="261"/>
        </w:trPr>
        <w:tc>
          <w:tcPr>
            <w:tcW w:w="0" w:type="auto"/>
            <w:tcBorders>
              <w:top w:val="nil"/>
              <w:left w:val="nil"/>
              <w:bottom w:val="nil"/>
              <w:right w:val="nil"/>
            </w:tcBorders>
            <w:shd w:val="clear" w:color="auto" w:fill="auto"/>
            <w:noWrap/>
            <w:vAlign w:val="center"/>
            <w:hideMark/>
          </w:tcPr>
          <w:p w:rsidR="00836205" w:rsidRPr="000559B7" w:rsidRDefault="00836205" w:rsidP="00836205">
            <w:pPr>
              <w:jc w:val="right"/>
              <w:rPr>
                <w:color w:val="000000"/>
                <w:sz w:val="17"/>
                <w:szCs w:val="17"/>
                <w:lang w:val="ru-RU"/>
              </w:rPr>
            </w:pPr>
          </w:p>
        </w:tc>
        <w:tc>
          <w:tcPr>
            <w:tcW w:w="0" w:type="auto"/>
            <w:gridSpan w:val="2"/>
            <w:tcBorders>
              <w:top w:val="nil"/>
              <w:left w:val="nil"/>
              <w:bottom w:val="nil"/>
              <w:right w:val="nil"/>
            </w:tcBorders>
            <w:shd w:val="clear" w:color="auto" w:fill="auto"/>
            <w:vAlign w:val="center"/>
            <w:hideMark/>
          </w:tcPr>
          <w:p w:rsidR="00836205" w:rsidRPr="007574D9" w:rsidRDefault="00836205" w:rsidP="00836205">
            <w:pPr>
              <w:rPr>
                <w:sz w:val="17"/>
                <w:szCs w:val="17"/>
                <w:lang w:val="ru-RU"/>
              </w:rPr>
            </w:pPr>
            <w:r w:rsidRPr="007574D9">
              <w:rPr>
                <w:sz w:val="17"/>
                <w:szCs w:val="17"/>
                <w:lang w:val="ru-RU"/>
              </w:rPr>
              <w:t>Минус</w:t>
            </w:r>
            <w:r w:rsidR="00180790">
              <w:rPr>
                <w:sz w:val="17"/>
                <w:szCs w:val="17"/>
                <w:lang w:val="ru-RU"/>
              </w:rPr>
              <w:t>:</w:t>
            </w:r>
            <w:r w:rsidRPr="007574D9">
              <w:rPr>
                <w:sz w:val="17"/>
                <w:szCs w:val="17"/>
                <w:lang w:val="ru-RU"/>
              </w:rPr>
              <w:t xml:space="preserve"> Взнос принимающей страны</w:t>
            </w:r>
            <w:r w:rsidR="00634324" w:rsidRPr="00634324">
              <w:rPr>
                <w:sz w:val="17"/>
                <w:szCs w:val="17"/>
                <w:vertAlign w:val="superscript"/>
                <w:lang w:val="ru-RU"/>
              </w:rPr>
              <w:t>/5</w:t>
            </w:r>
          </w:p>
        </w:tc>
        <w:tc>
          <w:tcPr>
            <w:tcW w:w="0" w:type="auto"/>
            <w:tcBorders>
              <w:top w:val="nil"/>
              <w:left w:val="nil"/>
              <w:bottom w:val="nil"/>
              <w:right w:val="nil"/>
            </w:tcBorders>
            <w:shd w:val="clear" w:color="auto" w:fill="auto"/>
            <w:vAlign w:val="center"/>
            <w:hideMark/>
          </w:tcPr>
          <w:p w:rsidR="00836205" w:rsidRPr="000559B7" w:rsidRDefault="00836205" w:rsidP="00836205">
            <w:pPr>
              <w:jc w:val="right"/>
              <w:rPr>
                <w:sz w:val="17"/>
                <w:szCs w:val="17"/>
                <w:lang w:val="ru-RU"/>
              </w:rPr>
            </w:pPr>
            <w:r w:rsidRPr="000559B7">
              <w:rPr>
                <w:sz w:val="17"/>
                <w:szCs w:val="17"/>
                <w:lang w:val="ru-RU"/>
              </w:rPr>
              <w:t xml:space="preserve">            (909,8)</w:t>
            </w:r>
          </w:p>
        </w:tc>
        <w:tc>
          <w:tcPr>
            <w:tcW w:w="0" w:type="auto"/>
            <w:tcBorders>
              <w:top w:val="nil"/>
              <w:left w:val="nil"/>
              <w:bottom w:val="nil"/>
              <w:right w:val="nil"/>
            </w:tcBorders>
            <w:shd w:val="clear" w:color="auto" w:fill="auto"/>
            <w:vAlign w:val="center"/>
            <w:hideMark/>
          </w:tcPr>
          <w:p w:rsidR="00836205" w:rsidRPr="000559B7" w:rsidRDefault="00836205" w:rsidP="00836205">
            <w:pPr>
              <w:jc w:val="right"/>
              <w:rPr>
                <w:sz w:val="17"/>
                <w:szCs w:val="17"/>
                <w:lang w:val="ru-RU"/>
              </w:rPr>
            </w:pPr>
            <w:r w:rsidRPr="000559B7">
              <w:rPr>
                <w:sz w:val="17"/>
                <w:szCs w:val="17"/>
                <w:lang w:val="ru-RU"/>
              </w:rPr>
              <w:t xml:space="preserve">         (1 053,3)</w:t>
            </w:r>
          </w:p>
        </w:tc>
        <w:tc>
          <w:tcPr>
            <w:tcW w:w="0" w:type="auto"/>
            <w:tcBorders>
              <w:top w:val="nil"/>
              <w:left w:val="nil"/>
              <w:bottom w:val="nil"/>
              <w:right w:val="nil"/>
            </w:tcBorders>
            <w:shd w:val="clear" w:color="auto" w:fill="auto"/>
            <w:vAlign w:val="center"/>
            <w:hideMark/>
          </w:tcPr>
          <w:p w:rsidR="00836205" w:rsidRPr="000559B7" w:rsidRDefault="00836205" w:rsidP="00836205">
            <w:pPr>
              <w:jc w:val="right"/>
              <w:rPr>
                <w:sz w:val="17"/>
                <w:szCs w:val="17"/>
                <w:lang w:val="ru-RU"/>
              </w:rPr>
            </w:pPr>
            <w:r w:rsidRPr="000559B7">
              <w:rPr>
                <w:sz w:val="17"/>
                <w:szCs w:val="17"/>
                <w:lang w:val="ru-RU"/>
              </w:rPr>
              <w:t xml:space="preserve">         (1 963,1)</w:t>
            </w:r>
          </w:p>
        </w:tc>
      </w:tr>
      <w:tr w:rsidR="00836205" w:rsidRPr="000559B7" w:rsidTr="00836205">
        <w:trPr>
          <w:trHeight w:val="261"/>
        </w:trPr>
        <w:tc>
          <w:tcPr>
            <w:tcW w:w="0" w:type="auto"/>
            <w:tcBorders>
              <w:top w:val="nil"/>
              <w:left w:val="nil"/>
              <w:bottom w:val="nil"/>
              <w:right w:val="nil"/>
            </w:tcBorders>
            <w:shd w:val="clear" w:color="auto" w:fill="auto"/>
            <w:noWrap/>
            <w:vAlign w:val="center"/>
            <w:hideMark/>
          </w:tcPr>
          <w:p w:rsidR="00836205" w:rsidRPr="000559B7" w:rsidRDefault="00836205" w:rsidP="00836205">
            <w:pPr>
              <w:jc w:val="right"/>
              <w:rPr>
                <w:color w:val="000000"/>
                <w:sz w:val="17"/>
                <w:szCs w:val="17"/>
                <w:lang w:val="ru-RU"/>
              </w:rPr>
            </w:pPr>
          </w:p>
        </w:tc>
        <w:tc>
          <w:tcPr>
            <w:tcW w:w="0" w:type="auto"/>
            <w:gridSpan w:val="2"/>
            <w:tcBorders>
              <w:top w:val="nil"/>
              <w:left w:val="nil"/>
              <w:bottom w:val="nil"/>
              <w:right w:val="nil"/>
            </w:tcBorders>
            <w:shd w:val="clear" w:color="auto" w:fill="auto"/>
            <w:vAlign w:val="center"/>
            <w:hideMark/>
          </w:tcPr>
          <w:p w:rsidR="00836205" w:rsidRPr="007574D9" w:rsidRDefault="00836205" w:rsidP="00836205">
            <w:pPr>
              <w:rPr>
                <w:sz w:val="17"/>
                <w:szCs w:val="17"/>
                <w:lang w:val="ru-RU"/>
              </w:rPr>
            </w:pPr>
            <w:r w:rsidRPr="007574D9">
              <w:rPr>
                <w:sz w:val="17"/>
                <w:szCs w:val="17"/>
                <w:lang w:val="ru-RU"/>
              </w:rPr>
              <w:t>Минус</w:t>
            </w:r>
            <w:r w:rsidR="00180790">
              <w:rPr>
                <w:sz w:val="17"/>
                <w:szCs w:val="17"/>
                <w:lang w:val="ru-RU"/>
              </w:rPr>
              <w:t>:</w:t>
            </w:r>
            <w:r w:rsidRPr="007574D9">
              <w:rPr>
                <w:sz w:val="17"/>
                <w:szCs w:val="17"/>
                <w:lang w:val="ru-RU"/>
              </w:rPr>
              <w:t xml:space="preserve"> использование резервов для внеочередных совещаний </w:t>
            </w:r>
            <w:r w:rsidR="00634324" w:rsidRPr="00634324">
              <w:rPr>
                <w:sz w:val="17"/>
                <w:szCs w:val="17"/>
                <w:vertAlign w:val="superscript"/>
                <w:lang w:val="ru-RU"/>
              </w:rPr>
              <w:t>/4</w:t>
            </w:r>
          </w:p>
        </w:tc>
        <w:tc>
          <w:tcPr>
            <w:tcW w:w="0" w:type="auto"/>
            <w:tcBorders>
              <w:top w:val="nil"/>
              <w:left w:val="nil"/>
              <w:bottom w:val="nil"/>
              <w:right w:val="nil"/>
            </w:tcBorders>
            <w:shd w:val="clear" w:color="auto" w:fill="auto"/>
            <w:vAlign w:val="center"/>
            <w:hideMark/>
          </w:tcPr>
          <w:p w:rsidR="00836205" w:rsidRPr="000559B7" w:rsidRDefault="00836205" w:rsidP="00836205">
            <w:pPr>
              <w:jc w:val="right"/>
              <w:rPr>
                <w:sz w:val="17"/>
                <w:szCs w:val="17"/>
                <w:lang w:val="ru-RU"/>
              </w:rPr>
            </w:pPr>
            <w:r w:rsidRPr="000559B7">
              <w:rPr>
                <w:sz w:val="17"/>
                <w:szCs w:val="17"/>
                <w:lang w:val="ru-RU"/>
              </w:rPr>
              <w:t xml:space="preserve">            (627,2)</w:t>
            </w:r>
          </w:p>
        </w:tc>
        <w:tc>
          <w:tcPr>
            <w:tcW w:w="0" w:type="auto"/>
            <w:tcBorders>
              <w:top w:val="nil"/>
              <w:left w:val="nil"/>
              <w:bottom w:val="nil"/>
              <w:right w:val="nil"/>
            </w:tcBorders>
            <w:shd w:val="clear" w:color="auto" w:fill="auto"/>
            <w:vAlign w:val="center"/>
            <w:hideMark/>
          </w:tcPr>
          <w:p w:rsidR="00836205" w:rsidRPr="000559B7" w:rsidRDefault="00836205" w:rsidP="00836205">
            <w:pPr>
              <w:jc w:val="right"/>
              <w:rPr>
                <w:sz w:val="17"/>
                <w:szCs w:val="17"/>
                <w:lang w:val="ru-RU"/>
              </w:rPr>
            </w:pPr>
            <w:r w:rsidRPr="000559B7">
              <w:rPr>
                <w:sz w:val="17"/>
                <w:szCs w:val="17"/>
                <w:lang w:val="ru-RU"/>
              </w:rPr>
              <w:t xml:space="preserve">            (468,3)</w:t>
            </w:r>
          </w:p>
        </w:tc>
        <w:tc>
          <w:tcPr>
            <w:tcW w:w="0" w:type="auto"/>
            <w:tcBorders>
              <w:top w:val="nil"/>
              <w:left w:val="nil"/>
              <w:bottom w:val="nil"/>
              <w:right w:val="nil"/>
            </w:tcBorders>
            <w:shd w:val="clear" w:color="auto" w:fill="auto"/>
            <w:vAlign w:val="center"/>
            <w:hideMark/>
          </w:tcPr>
          <w:p w:rsidR="00836205" w:rsidRPr="000559B7" w:rsidRDefault="00836205" w:rsidP="00836205">
            <w:pPr>
              <w:jc w:val="right"/>
              <w:rPr>
                <w:sz w:val="17"/>
                <w:szCs w:val="17"/>
                <w:lang w:val="ru-RU"/>
              </w:rPr>
            </w:pPr>
            <w:r w:rsidRPr="000559B7">
              <w:rPr>
                <w:sz w:val="17"/>
                <w:szCs w:val="17"/>
                <w:lang w:val="ru-RU"/>
              </w:rPr>
              <w:t xml:space="preserve">         (1 095,4)</w:t>
            </w:r>
          </w:p>
        </w:tc>
      </w:tr>
      <w:tr w:rsidR="00836205" w:rsidRPr="000559B7" w:rsidTr="00836205">
        <w:trPr>
          <w:trHeight w:val="261"/>
        </w:trPr>
        <w:tc>
          <w:tcPr>
            <w:tcW w:w="0" w:type="auto"/>
            <w:tcBorders>
              <w:top w:val="nil"/>
              <w:left w:val="nil"/>
              <w:bottom w:val="nil"/>
              <w:right w:val="nil"/>
            </w:tcBorders>
            <w:shd w:val="clear" w:color="auto" w:fill="auto"/>
            <w:noWrap/>
            <w:vAlign w:val="center"/>
            <w:hideMark/>
          </w:tcPr>
          <w:p w:rsidR="00836205" w:rsidRPr="000559B7" w:rsidRDefault="00836205" w:rsidP="00836205">
            <w:pPr>
              <w:jc w:val="right"/>
              <w:rPr>
                <w:color w:val="000000"/>
                <w:sz w:val="17"/>
                <w:szCs w:val="17"/>
                <w:lang w:val="ru-RU"/>
              </w:rPr>
            </w:pPr>
          </w:p>
        </w:tc>
        <w:tc>
          <w:tcPr>
            <w:tcW w:w="0" w:type="auto"/>
            <w:gridSpan w:val="2"/>
            <w:tcBorders>
              <w:top w:val="nil"/>
              <w:left w:val="nil"/>
              <w:bottom w:val="nil"/>
              <w:right w:val="nil"/>
            </w:tcBorders>
            <w:shd w:val="clear" w:color="auto" w:fill="auto"/>
            <w:vAlign w:val="center"/>
            <w:hideMark/>
          </w:tcPr>
          <w:p w:rsidR="00836205" w:rsidRPr="007574D9" w:rsidRDefault="00836205" w:rsidP="00634324">
            <w:pPr>
              <w:rPr>
                <w:sz w:val="17"/>
                <w:szCs w:val="17"/>
                <w:lang w:val="ru-RU"/>
              </w:rPr>
            </w:pPr>
            <w:r w:rsidRPr="007574D9">
              <w:rPr>
                <w:sz w:val="17"/>
                <w:szCs w:val="17"/>
                <w:lang w:val="ru-RU"/>
              </w:rPr>
              <w:t>Минус</w:t>
            </w:r>
            <w:r w:rsidR="00180790">
              <w:rPr>
                <w:sz w:val="17"/>
                <w:szCs w:val="17"/>
                <w:lang w:val="ru-RU"/>
              </w:rPr>
              <w:t>:</w:t>
            </w:r>
            <w:r w:rsidRPr="007574D9">
              <w:rPr>
                <w:sz w:val="17"/>
                <w:szCs w:val="17"/>
                <w:lang w:val="ru-RU"/>
              </w:rPr>
              <w:t xml:space="preserve"> использование резервов предыдущих лет</w:t>
            </w:r>
          </w:p>
        </w:tc>
        <w:tc>
          <w:tcPr>
            <w:tcW w:w="0" w:type="auto"/>
            <w:tcBorders>
              <w:top w:val="nil"/>
              <w:left w:val="nil"/>
              <w:bottom w:val="nil"/>
              <w:right w:val="nil"/>
            </w:tcBorders>
            <w:shd w:val="clear" w:color="auto" w:fill="auto"/>
            <w:vAlign w:val="center"/>
            <w:hideMark/>
          </w:tcPr>
          <w:p w:rsidR="00836205" w:rsidRPr="000559B7" w:rsidRDefault="00836205" w:rsidP="00836205">
            <w:pPr>
              <w:jc w:val="right"/>
              <w:rPr>
                <w:sz w:val="17"/>
                <w:szCs w:val="17"/>
                <w:lang w:val="ru-RU"/>
              </w:rPr>
            </w:pPr>
            <w:r w:rsidRPr="000559B7">
              <w:rPr>
                <w:sz w:val="17"/>
                <w:szCs w:val="17"/>
                <w:lang w:val="ru-RU"/>
              </w:rPr>
              <w:t xml:space="preserve">            (638,7)</w:t>
            </w:r>
          </w:p>
        </w:tc>
        <w:tc>
          <w:tcPr>
            <w:tcW w:w="0" w:type="auto"/>
            <w:tcBorders>
              <w:top w:val="nil"/>
              <w:left w:val="nil"/>
              <w:bottom w:val="nil"/>
              <w:right w:val="nil"/>
            </w:tcBorders>
            <w:shd w:val="clear" w:color="auto" w:fill="auto"/>
            <w:vAlign w:val="center"/>
            <w:hideMark/>
          </w:tcPr>
          <w:p w:rsidR="00836205" w:rsidRPr="000559B7" w:rsidRDefault="00836205" w:rsidP="00836205">
            <w:pPr>
              <w:jc w:val="right"/>
              <w:rPr>
                <w:sz w:val="17"/>
                <w:szCs w:val="17"/>
                <w:lang w:val="ru-RU"/>
              </w:rPr>
            </w:pPr>
            <w:r w:rsidRPr="000559B7">
              <w:rPr>
                <w:sz w:val="17"/>
                <w:szCs w:val="17"/>
                <w:lang w:val="ru-RU"/>
              </w:rPr>
              <w:t xml:space="preserve">            (638,7)</w:t>
            </w:r>
          </w:p>
        </w:tc>
        <w:tc>
          <w:tcPr>
            <w:tcW w:w="0" w:type="auto"/>
            <w:tcBorders>
              <w:top w:val="nil"/>
              <w:left w:val="nil"/>
              <w:bottom w:val="nil"/>
              <w:right w:val="nil"/>
            </w:tcBorders>
            <w:shd w:val="clear" w:color="auto" w:fill="auto"/>
            <w:vAlign w:val="center"/>
            <w:hideMark/>
          </w:tcPr>
          <w:p w:rsidR="00836205" w:rsidRPr="000559B7" w:rsidRDefault="00836205" w:rsidP="00836205">
            <w:pPr>
              <w:jc w:val="right"/>
              <w:rPr>
                <w:sz w:val="17"/>
                <w:szCs w:val="17"/>
                <w:lang w:val="ru-RU"/>
              </w:rPr>
            </w:pPr>
            <w:r w:rsidRPr="000559B7">
              <w:rPr>
                <w:sz w:val="17"/>
                <w:szCs w:val="17"/>
                <w:lang w:val="ru-RU"/>
              </w:rPr>
              <w:t xml:space="preserve">         (1 277,5)</w:t>
            </w:r>
          </w:p>
        </w:tc>
      </w:tr>
      <w:tr w:rsidR="00836205" w:rsidRPr="000559B7" w:rsidTr="00836205">
        <w:trPr>
          <w:trHeight w:val="261"/>
        </w:trPr>
        <w:tc>
          <w:tcPr>
            <w:tcW w:w="0" w:type="auto"/>
            <w:tcBorders>
              <w:top w:val="nil"/>
              <w:left w:val="nil"/>
              <w:bottom w:val="nil"/>
              <w:right w:val="nil"/>
            </w:tcBorders>
            <w:shd w:val="clear" w:color="auto" w:fill="auto"/>
            <w:noWrap/>
            <w:vAlign w:val="center"/>
            <w:hideMark/>
          </w:tcPr>
          <w:p w:rsidR="00836205" w:rsidRPr="000559B7" w:rsidRDefault="00836205" w:rsidP="00836205">
            <w:pPr>
              <w:jc w:val="right"/>
              <w:rPr>
                <w:b/>
                <w:bCs/>
                <w:color w:val="000000"/>
                <w:sz w:val="17"/>
                <w:szCs w:val="17"/>
                <w:lang w:val="ru-RU"/>
              </w:rPr>
            </w:pPr>
          </w:p>
        </w:tc>
        <w:tc>
          <w:tcPr>
            <w:tcW w:w="0" w:type="auto"/>
            <w:gridSpan w:val="2"/>
            <w:tcBorders>
              <w:top w:val="nil"/>
              <w:left w:val="nil"/>
              <w:bottom w:val="single" w:sz="4" w:space="0" w:color="auto"/>
              <w:right w:val="nil"/>
            </w:tcBorders>
            <w:shd w:val="clear" w:color="auto" w:fill="auto"/>
            <w:vAlign w:val="center"/>
            <w:hideMark/>
          </w:tcPr>
          <w:p w:rsidR="00836205" w:rsidRPr="007574D9" w:rsidRDefault="00836205" w:rsidP="00C666A2">
            <w:pPr>
              <w:rPr>
                <w:b/>
                <w:bCs/>
                <w:sz w:val="17"/>
                <w:szCs w:val="17"/>
                <w:lang w:val="ru-RU"/>
              </w:rPr>
            </w:pPr>
            <w:r w:rsidRPr="007574D9">
              <w:rPr>
                <w:b/>
                <w:bCs/>
                <w:sz w:val="17"/>
                <w:szCs w:val="17"/>
                <w:lang w:val="ru-RU"/>
              </w:rPr>
              <w:t>Чистый итог (</w:t>
            </w:r>
            <w:r w:rsidR="00180790" w:rsidRPr="00180790">
              <w:rPr>
                <w:b/>
                <w:bCs/>
                <w:sz w:val="17"/>
                <w:szCs w:val="17"/>
                <w:lang w:val="ru-RU"/>
              </w:rPr>
              <w:t>сумма для распределения между Сторонами</w:t>
            </w:r>
            <w:r w:rsidRPr="007574D9">
              <w:rPr>
                <w:b/>
                <w:bCs/>
                <w:sz w:val="17"/>
                <w:szCs w:val="17"/>
                <w:lang w:val="ru-RU"/>
              </w:rPr>
              <w:t>)</w:t>
            </w:r>
          </w:p>
        </w:tc>
        <w:tc>
          <w:tcPr>
            <w:tcW w:w="0" w:type="auto"/>
            <w:tcBorders>
              <w:top w:val="nil"/>
              <w:left w:val="nil"/>
              <w:bottom w:val="single" w:sz="4" w:space="0" w:color="auto"/>
              <w:right w:val="nil"/>
            </w:tcBorders>
            <w:shd w:val="clear" w:color="auto" w:fill="auto"/>
            <w:vAlign w:val="center"/>
            <w:hideMark/>
          </w:tcPr>
          <w:p w:rsidR="00836205" w:rsidRPr="000559B7" w:rsidRDefault="00836205" w:rsidP="00836205">
            <w:pPr>
              <w:jc w:val="right"/>
              <w:rPr>
                <w:b/>
                <w:bCs/>
                <w:sz w:val="17"/>
                <w:szCs w:val="17"/>
                <w:lang w:val="ru-RU"/>
              </w:rPr>
            </w:pPr>
            <w:r w:rsidRPr="000559B7">
              <w:rPr>
                <w:b/>
                <w:bCs/>
                <w:sz w:val="17"/>
                <w:szCs w:val="17"/>
                <w:lang w:val="ru-RU"/>
              </w:rPr>
              <w:t>11 846,5</w:t>
            </w:r>
          </w:p>
        </w:tc>
        <w:tc>
          <w:tcPr>
            <w:tcW w:w="0" w:type="auto"/>
            <w:tcBorders>
              <w:top w:val="nil"/>
              <w:left w:val="nil"/>
              <w:bottom w:val="single" w:sz="4" w:space="0" w:color="auto"/>
              <w:right w:val="nil"/>
            </w:tcBorders>
            <w:shd w:val="clear" w:color="auto" w:fill="auto"/>
            <w:vAlign w:val="center"/>
            <w:hideMark/>
          </w:tcPr>
          <w:p w:rsidR="00836205" w:rsidRPr="000559B7" w:rsidRDefault="00836205" w:rsidP="00836205">
            <w:pPr>
              <w:jc w:val="right"/>
              <w:rPr>
                <w:b/>
                <w:bCs/>
                <w:sz w:val="17"/>
                <w:szCs w:val="17"/>
                <w:lang w:val="ru-RU"/>
              </w:rPr>
            </w:pPr>
            <w:r w:rsidRPr="000559B7">
              <w:rPr>
                <w:b/>
                <w:bCs/>
                <w:sz w:val="17"/>
                <w:szCs w:val="17"/>
                <w:lang w:val="ru-RU"/>
              </w:rPr>
              <w:t>12 562,1</w:t>
            </w:r>
          </w:p>
        </w:tc>
        <w:tc>
          <w:tcPr>
            <w:tcW w:w="0" w:type="auto"/>
            <w:tcBorders>
              <w:top w:val="nil"/>
              <w:left w:val="nil"/>
              <w:bottom w:val="single" w:sz="4" w:space="0" w:color="auto"/>
              <w:right w:val="nil"/>
            </w:tcBorders>
            <w:shd w:val="clear" w:color="auto" w:fill="auto"/>
            <w:vAlign w:val="center"/>
            <w:hideMark/>
          </w:tcPr>
          <w:p w:rsidR="00836205" w:rsidRPr="000559B7" w:rsidRDefault="00836205" w:rsidP="00836205">
            <w:pPr>
              <w:jc w:val="right"/>
              <w:rPr>
                <w:b/>
                <w:bCs/>
                <w:sz w:val="17"/>
                <w:szCs w:val="17"/>
                <w:lang w:val="ru-RU"/>
              </w:rPr>
            </w:pPr>
            <w:r w:rsidRPr="000559B7">
              <w:rPr>
                <w:b/>
                <w:bCs/>
                <w:sz w:val="17"/>
                <w:szCs w:val="17"/>
                <w:lang w:val="ru-RU"/>
              </w:rPr>
              <w:t>24 408,6</w:t>
            </w:r>
          </w:p>
        </w:tc>
      </w:tr>
      <w:tr w:rsidR="00836205" w:rsidRPr="000559B7" w:rsidTr="00836205">
        <w:trPr>
          <w:trHeight w:val="288"/>
        </w:trPr>
        <w:tc>
          <w:tcPr>
            <w:tcW w:w="0" w:type="auto"/>
            <w:tcBorders>
              <w:top w:val="nil"/>
              <w:left w:val="nil"/>
              <w:bottom w:val="nil"/>
              <w:right w:val="nil"/>
            </w:tcBorders>
            <w:shd w:val="clear" w:color="auto" w:fill="auto"/>
            <w:noWrap/>
            <w:vAlign w:val="center"/>
            <w:hideMark/>
          </w:tcPr>
          <w:p w:rsidR="00836205" w:rsidRPr="000559B7" w:rsidRDefault="00836205" w:rsidP="00836205">
            <w:pPr>
              <w:jc w:val="right"/>
              <w:rPr>
                <w:color w:val="000000"/>
                <w:sz w:val="17"/>
                <w:szCs w:val="17"/>
                <w:lang w:val="ru-RU"/>
              </w:rPr>
            </w:pPr>
          </w:p>
        </w:tc>
        <w:tc>
          <w:tcPr>
            <w:tcW w:w="0" w:type="auto"/>
            <w:tcBorders>
              <w:top w:val="nil"/>
              <w:left w:val="nil"/>
              <w:bottom w:val="nil"/>
              <w:right w:val="nil"/>
            </w:tcBorders>
            <w:shd w:val="clear" w:color="auto" w:fill="auto"/>
            <w:noWrap/>
            <w:vAlign w:val="center"/>
            <w:hideMark/>
          </w:tcPr>
          <w:p w:rsidR="00836205" w:rsidRPr="000559B7" w:rsidRDefault="00836205" w:rsidP="00836205">
            <w:pPr>
              <w:rPr>
                <w:rFonts w:ascii="Calibri" w:hAnsi="Calibri" w:cs="Calibri"/>
                <w:color w:val="000000"/>
                <w:lang w:val="ru-RU"/>
              </w:rPr>
            </w:pPr>
          </w:p>
        </w:tc>
        <w:tc>
          <w:tcPr>
            <w:tcW w:w="0" w:type="auto"/>
            <w:tcBorders>
              <w:top w:val="nil"/>
              <w:left w:val="nil"/>
              <w:bottom w:val="nil"/>
              <w:right w:val="nil"/>
            </w:tcBorders>
            <w:shd w:val="clear" w:color="auto" w:fill="auto"/>
            <w:noWrap/>
            <w:vAlign w:val="center"/>
            <w:hideMark/>
          </w:tcPr>
          <w:p w:rsidR="00836205" w:rsidRPr="000559B7" w:rsidRDefault="00836205" w:rsidP="00836205">
            <w:pPr>
              <w:rPr>
                <w:rFonts w:ascii="Calibri" w:hAnsi="Calibri" w:cs="Calibri"/>
                <w:color w:val="000000"/>
                <w:lang w:val="ru-RU"/>
              </w:rPr>
            </w:pPr>
          </w:p>
        </w:tc>
        <w:tc>
          <w:tcPr>
            <w:tcW w:w="0" w:type="auto"/>
            <w:tcBorders>
              <w:top w:val="nil"/>
              <w:left w:val="nil"/>
              <w:bottom w:val="nil"/>
              <w:right w:val="nil"/>
            </w:tcBorders>
            <w:shd w:val="clear" w:color="auto" w:fill="auto"/>
            <w:noWrap/>
            <w:vAlign w:val="center"/>
            <w:hideMark/>
          </w:tcPr>
          <w:p w:rsidR="00836205" w:rsidRPr="000559B7" w:rsidRDefault="00836205" w:rsidP="00836205">
            <w:pPr>
              <w:rPr>
                <w:rFonts w:ascii="Calibri" w:hAnsi="Calibri" w:cs="Calibri"/>
                <w:color w:val="000000"/>
                <w:lang w:val="ru-RU"/>
              </w:rPr>
            </w:pPr>
          </w:p>
        </w:tc>
        <w:tc>
          <w:tcPr>
            <w:tcW w:w="0" w:type="auto"/>
            <w:tcBorders>
              <w:top w:val="nil"/>
              <w:left w:val="nil"/>
              <w:bottom w:val="nil"/>
              <w:right w:val="nil"/>
            </w:tcBorders>
            <w:shd w:val="clear" w:color="auto" w:fill="auto"/>
            <w:noWrap/>
            <w:vAlign w:val="center"/>
            <w:hideMark/>
          </w:tcPr>
          <w:p w:rsidR="00836205" w:rsidRPr="000559B7" w:rsidRDefault="00836205" w:rsidP="00836205">
            <w:pPr>
              <w:rPr>
                <w:rFonts w:ascii="Calibri" w:hAnsi="Calibri" w:cs="Calibri"/>
                <w:color w:val="000000"/>
                <w:lang w:val="ru-RU"/>
              </w:rPr>
            </w:pPr>
          </w:p>
        </w:tc>
        <w:tc>
          <w:tcPr>
            <w:tcW w:w="0" w:type="auto"/>
            <w:tcBorders>
              <w:top w:val="nil"/>
              <w:left w:val="nil"/>
              <w:bottom w:val="nil"/>
              <w:right w:val="nil"/>
            </w:tcBorders>
            <w:shd w:val="clear" w:color="auto" w:fill="auto"/>
            <w:noWrap/>
            <w:vAlign w:val="center"/>
            <w:hideMark/>
          </w:tcPr>
          <w:p w:rsidR="00836205" w:rsidRPr="000559B7" w:rsidRDefault="00836205" w:rsidP="00836205">
            <w:pPr>
              <w:rPr>
                <w:rFonts w:ascii="Calibri" w:hAnsi="Calibri" w:cs="Calibri"/>
                <w:color w:val="000000"/>
                <w:lang w:val="ru-RU"/>
              </w:rPr>
            </w:pPr>
          </w:p>
        </w:tc>
      </w:tr>
      <w:tr w:rsidR="00836205" w:rsidRPr="000559B7" w:rsidTr="00836205">
        <w:trPr>
          <w:trHeight w:val="216"/>
        </w:trPr>
        <w:tc>
          <w:tcPr>
            <w:tcW w:w="0" w:type="auto"/>
            <w:tcBorders>
              <w:top w:val="nil"/>
              <w:left w:val="nil"/>
              <w:bottom w:val="nil"/>
              <w:right w:val="nil"/>
            </w:tcBorders>
            <w:shd w:val="clear" w:color="auto" w:fill="auto"/>
            <w:noWrap/>
            <w:vAlign w:val="center"/>
            <w:hideMark/>
          </w:tcPr>
          <w:p w:rsidR="00836205" w:rsidRPr="000559B7" w:rsidRDefault="00836205" w:rsidP="00836205">
            <w:pPr>
              <w:jc w:val="right"/>
              <w:rPr>
                <w:color w:val="000000"/>
                <w:sz w:val="17"/>
                <w:szCs w:val="17"/>
                <w:lang w:val="ru-RU"/>
              </w:rPr>
            </w:pPr>
          </w:p>
        </w:tc>
        <w:tc>
          <w:tcPr>
            <w:tcW w:w="0" w:type="auto"/>
            <w:gridSpan w:val="5"/>
            <w:tcBorders>
              <w:top w:val="nil"/>
              <w:left w:val="nil"/>
              <w:bottom w:val="nil"/>
              <w:right w:val="nil"/>
            </w:tcBorders>
            <w:shd w:val="clear" w:color="auto" w:fill="auto"/>
            <w:vAlign w:val="center"/>
            <w:hideMark/>
          </w:tcPr>
          <w:p w:rsidR="00836205" w:rsidRPr="000559B7" w:rsidRDefault="00836205" w:rsidP="00836205">
            <w:pPr>
              <w:rPr>
                <w:color w:val="000000"/>
                <w:sz w:val="17"/>
                <w:szCs w:val="17"/>
                <w:lang w:val="ru-RU"/>
              </w:rPr>
            </w:pPr>
            <w:r w:rsidRPr="000559B7">
              <w:rPr>
                <w:color w:val="000000"/>
                <w:sz w:val="17"/>
                <w:szCs w:val="17"/>
                <w:lang w:val="ru-RU"/>
              </w:rPr>
              <w:t>1/ Регулярно проводимые совещания, подлежащие финансированию из основного бюджета:</w:t>
            </w:r>
          </w:p>
        </w:tc>
      </w:tr>
      <w:tr w:rsidR="00836205" w:rsidRPr="000559B7" w:rsidTr="00836205">
        <w:trPr>
          <w:trHeight w:val="216"/>
        </w:trPr>
        <w:tc>
          <w:tcPr>
            <w:tcW w:w="0" w:type="auto"/>
            <w:tcBorders>
              <w:top w:val="nil"/>
              <w:left w:val="nil"/>
              <w:bottom w:val="nil"/>
              <w:right w:val="nil"/>
            </w:tcBorders>
            <w:shd w:val="clear" w:color="auto" w:fill="auto"/>
            <w:noWrap/>
            <w:vAlign w:val="center"/>
            <w:hideMark/>
          </w:tcPr>
          <w:p w:rsidR="00836205" w:rsidRPr="000559B7" w:rsidRDefault="00836205" w:rsidP="00836205">
            <w:pPr>
              <w:jc w:val="right"/>
              <w:rPr>
                <w:color w:val="000000"/>
                <w:sz w:val="17"/>
                <w:szCs w:val="17"/>
                <w:lang w:val="ru-RU"/>
              </w:rPr>
            </w:pPr>
          </w:p>
        </w:tc>
        <w:tc>
          <w:tcPr>
            <w:tcW w:w="0" w:type="auto"/>
            <w:tcBorders>
              <w:top w:val="nil"/>
              <w:left w:val="nil"/>
              <w:bottom w:val="nil"/>
              <w:right w:val="nil"/>
            </w:tcBorders>
            <w:shd w:val="clear" w:color="auto" w:fill="auto"/>
            <w:noWrap/>
            <w:hideMark/>
          </w:tcPr>
          <w:p w:rsidR="00836205" w:rsidRPr="000559B7" w:rsidRDefault="00836205" w:rsidP="00836205">
            <w:pPr>
              <w:jc w:val="right"/>
              <w:rPr>
                <w:color w:val="000000"/>
                <w:sz w:val="17"/>
                <w:szCs w:val="17"/>
                <w:lang w:val="ru-RU"/>
              </w:rPr>
            </w:pPr>
            <w:r w:rsidRPr="000559B7">
              <w:rPr>
                <w:color w:val="000000"/>
                <w:sz w:val="17"/>
                <w:szCs w:val="17"/>
                <w:lang w:val="ru-RU"/>
              </w:rPr>
              <w:t>-</w:t>
            </w:r>
          </w:p>
        </w:tc>
        <w:tc>
          <w:tcPr>
            <w:tcW w:w="0" w:type="auto"/>
            <w:gridSpan w:val="4"/>
            <w:tcBorders>
              <w:top w:val="nil"/>
              <w:left w:val="nil"/>
              <w:bottom w:val="nil"/>
              <w:right w:val="nil"/>
            </w:tcBorders>
            <w:shd w:val="clear" w:color="auto" w:fill="auto"/>
            <w:vAlign w:val="center"/>
            <w:hideMark/>
          </w:tcPr>
          <w:p w:rsidR="00836205" w:rsidRPr="000559B7" w:rsidRDefault="00836205" w:rsidP="00836205">
            <w:pPr>
              <w:rPr>
                <w:color w:val="000000"/>
                <w:sz w:val="17"/>
                <w:szCs w:val="17"/>
                <w:lang w:val="ru-RU"/>
              </w:rPr>
            </w:pPr>
            <w:r w:rsidRPr="000559B7">
              <w:rPr>
                <w:color w:val="000000"/>
                <w:sz w:val="17"/>
                <w:szCs w:val="17"/>
                <w:lang w:val="ru-RU"/>
              </w:rPr>
              <w:t xml:space="preserve">11-е совещание Специальной рабочей группы открытого состава по осуществлению статьи 8 </w:t>
            </w:r>
            <w:proofErr w:type="spellStart"/>
            <w:r w:rsidRPr="000559B7">
              <w:rPr>
                <w:color w:val="000000"/>
                <w:sz w:val="17"/>
                <w:szCs w:val="17"/>
                <w:lang w:val="ru-RU"/>
              </w:rPr>
              <w:t>j</w:t>
            </w:r>
            <w:proofErr w:type="spellEnd"/>
            <w:r w:rsidRPr="000559B7">
              <w:rPr>
                <w:color w:val="000000"/>
                <w:sz w:val="17"/>
                <w:szCs w:val="17"/>
                <w:lang w:val="ru-RU"/>
              </w:rPr>
              <w:t>) и соответствующих положений Конвенции.</w:t>
            </w:r>
          </w:p>
        </w:tc>
      </w:tr>
      <w:tr w:rsidR="00836205" w:rsidRPr="000559B7" w:rsidTr="00836205">
        <w:trPr>
          <w:trHeight w:val="450"/>
        </w:trPr>
        <w:tc>
          <w:tcPr>
            <w:tcW w:w="0" w:type="auto"/>
            <w:tcBorders>
              <w:top w:val="nil"/>
              <w:left w:val="nil"/>
              <w:bottom w:val="nil"/>
              <w:right w:val="nil"/>
            </w:tcBorders>
            <w:shd w:val="clear" w:color="auto" w:fill="auto"/>
            <w:noWrap/>
            <w:vAlign w:val="center"/>
            <w:hideMark/>
          </w:tcPr>
          <w:p w:rsidR="00836205" w:rsidRPr="000559B7" w:rsidRDefault="00836205" w:rsidP="00836205">
            <w:pPr>
              <w:jc w:val="right"/>
              <w:rPr>
                <w:color w:val="000000"/>
                <w:sz w:val="17"/>
                <w:szCs w:val="17"/>
                <w:lang w:val="ru-RU"/>
              </w:rPr>
            </w:pPr>
          </w:p>
        </w:tc>
        <w:tc>
          <w:tcPr>
            <w:tcW w:w="0" w:type="auto"/>
            <w:tcBorders>
              <w:top w:val="nil"/>
              <w:left w:val="nil"/>
              <w:bottom w:val="nil"/>
              <w:right w:val="nil"/>
            </w:tcBorders>
            <w:shd w:val="clear" w:color="auto" w:fill="auto"/>
            <w:noWrap/>
            <w:hideMark/>
          </w:tcPr>
          <w:p w:rsidR="00836205" w:rsidRPr="000559B7" w:rsidRDefault="00836205" w:rsidP="00836205">
            <w:pPr>
              <w:jc w:val="right"/>
              <w:rPr>
                <w:color w:val="000000"/>
                <w:sz w:val="17"/>
                <w:szCs w:val="17"/>
                <w:lang w:val="ru-RU"/>
              </w:rPr>
            </w:pPr>
            <w:r w:rsidRPr="000559B7">
              <w:rPr>
                <w:color w:val="000000"/>
                <w:sz w:val="17"/>
                <w:szCs w:val="17"/>
                <w:lang w:val="ru-RU"/>
              </w:rPr>
              <w:t>-</w:t>
            </w:r>
          </w:p>
        </w:tc>
        <w:tc>
          <w:tcPr>
            <w:tcW w:w="0" w:type="auto"/>
            <w:gridSpan w:val="4"/>
            <w:tcBorders>
              <w:top w:val="nil"/>
              <w:left w:val="nil"/>
              <w:bottom w:val="nil"/>
              <w:right w:val="nil"/>
            </w:tcBorders>
            <w:shd w:val="clear" w:color="auto" w:fill="auto"/>
            <w:vAlign w:val="center"/>
            <w:hideMark/>
          </w:tcPr>
          <w:p w:rsidR="00836205" w:rsidRPr="000559B7" w:rsidRDefault="00836205" w:rsidP="00836205">
            <w:pPr>
              <w:rPr>
                <w:color w:val="000000"/>
                <w:sz w:val="17"/>
                <w:szCs w:val="17"/>
                <w:lang w:val="ru-RU"/>
              </w:rPr>
            </w:pPr>
            <w:r w:rsidRPr="000559B7">
              <w:rPr>
                <w:color w:val="000000"/>
                <w:sz w:val="17"/>
                <w:szCs w:val="17"/>
                <w:lang w:val="ru-RU"/>
              </w:rPr>
              <w:t>23-е и 24-е совещания Вспомогательного органа по научным, техническим и технологическим консультациям.</w:t>
            </w:r>
          </w:p>
        </w:tc>
      </w:tr>
      <w:tr w:rsidR="00836205" w:rsidRPr="000559B7" w:rsidTr="00836205">
        <w:trPr>
          <w:trHeight w:val="216"/>
        </w:trPr>
        <w:tc>
          <w:tcPr>
            <w:tcW w:w="0" w:type="auto"/>
            <w:tcBorders>
              <w:top w:val="nil"/>
              <w:left w:val="nil"/>
              <w:bottom w:val="nil"/>
              <w:right w:val="nil"/>
            </w:tcBorders>
            <w:shd w:val="clear" w:color="auto" w:fill="auto"/>
            <w:noWrap/>
            <w:vAlign w:val="center"/>
            <w:hideMark/>
          </w:tcPr>
          <w:p w:rsidR="00836205" w:rsidRPr="000559B7" w:rsidRDefault="00836205" w:rsidP="00836205">
            <w:pPr>
              <w:jc w:val="right"/>
              <w:rPr>
                <w:color w:val="000000"/>
                <w:sz w:val="17"/>
                <w:szCs w:val="17"/>
                <w:lang w:val="ru-RU"/>
              </w:rPr>
            </w:pPr>
          </w:p>
        </w:tc>
        <w:tc>
          <w:tcPr>
            <w:tcW w:w="0" w:type="auto"/>
            <w:tcBorders>
              <w:top w:val="nil"/>
              <w:left w:val="nil"/>
              <w:bottom w:val="nil"/>
              <w:right w:val="nil"/>
            </w:tcBorders>
            <w:shd w:val="clear" w:color="auto" w:fill="auto"/>
            <w:noWrap/>
            <w:hideMark/>
          </w:tcPr>
          <w:p w:rsidR="00836205" w:rsidRPr="000559B7" w:rsidRDefault="00836205" w:rsidP="00836205">
            <w:pPr>
              <w:jc w:val="right"/>
              <w:rPr>
                <w:color w:val="000000"/>
                <w:sz w:val="17"/>
                <w:szCs w:val="17"/>
                <w:lang w:val="ru-RU"/>
              </w:rPr>
            </w:pPr>
            <w:r w:rsidRPr="000559B7">
              <w:rPr>
                <w:color w:val="000000"/>
                <w:sz w:val="17"/>
                <w:szCs w:val="17"/>
                <w:lang w:val="ru-RU"/>
              </w:rPr>
              <w:t>-</w:t>
            </w:r>
          </w:p>
        </w:tc>
        <w:tc>
          <w:tcPr>
            <w:tcW w:w="0" w:type="auto"/>
            <w:gridSpan w:val="4"/>
            <w:tcBorders>
              <w:top w:val="nil"/>
              <w:left w:val="nil"/>
              <w:bottom w:val="nil"/>
              <w:right w:val="nil"/>
            </w:tcBorders>
            <w:shd w:val="clear" w:color="auto" w:fill="auto"/>
            <w:vAlign w:val="center"/>
            <w:hideMark/>
          </w:tcPr>
          <w:p w:rsidR="00836205" w:rsidRPr="000559B7" w:rsidRDefault="00836205" w:rsidP="00836205">
            <w:pPr>
              <w:rPr>
                <w:color w:val="000000"/>
                <w:sz w:val="17"/>
                <w:szCs w:val="17"/>
                <w:lang w:val="ru-RU"/>
              </w:rPr>
            </w:pPr>
            <w:r w:rsidRPr="000559B7">
              <w:rPr>
                <w:color w:val="000000"/>
                <w:sz w:val="17"/>
                <w:szCs w:val="17"/>
                <w:lang w:val="ru-RU"/>
              </w:rPr>
              <w:t>- Третье совещание Вспомогательного органа по осуществлению.</w:t>
            </w:r>
          </w:p>
        </w:tc>
      </w:tr>
      <w:tr w:rsidR="00836205" w:rsidRPr="000559B7" w:rsidTr="00836205">
        <w:trPr>
          <w:trHeight w:val="216"/>
        </w:trPr>
        <w:tc>
          <w:tcPr>
            <w:tcW w:w="0" w:type="auto"/>
            <w:tcBorders>
              <w:top w:val="nil"/>
              <w:left w:val="nil"/>
              <w:bottom w:val="nil"/>
              <w:right w:val="nil"/>
            </w:tcBorders>
            <w:shd w:val="clear" w:color="auto" w:fill="auto"/>
            <w:noWrap/>
            <w:vAlign w:val="center"/>
            <w:hideMark/>
          </w:tcPr>
          <w:p w:rsidR="00836205" w:rsidRPr="000559B7" w:rsidRDefault="00836205" w:rsidP="00836205">
            <w:pPr>
              <w:jc w:val="right"/>
              <w:rPr>
                <w:color w:val="000000"/>
                <w:sz w:val="17"/>
                <w:szCs w:val="17"/>
                <w:lang w:val="ru-RU"/>
              </w:rPr>
            </w:pPr>
          </w:p>
        </w:tc>
        <w:tc>
          <w:tcPr>
            <w:tcW w:w="0" w:type="auto"/>
            <w:tcBorders>
              <w:top w:val="nil"/>
              <w:left w:val="nil"/>
              <w:bottom w:val="nil"/>
              <w:right w:val="nil"/>
            </w:tcBorders>
            <w:shd w:val="clear" w:color="auto" w:fill="auto"/>
            <w:noWrap/>
            <w:hideMark/>
          </w:tcPr>
          <w:p w:rsidR="00836205" w:rsidRPr="000559B7" w:rsidRDefault="00836205" w:rsidP="00836205">
            <w:pPr>
              <w:jc w:val="right"/>
              <w:rPr>
                <w:color w:val="000000"/>
                <w:sz w:val="17"/>
                <w:szCs w:val="17"/>
                <w:lang w:val="ru-RU"/>
              </w:rPr>
            </w:pPr>
            <w:r w:rsidRPr="000559B7">
              <w:rPr>
                <w:color w:val="000000"/>
                <w:sz w:val="17"/>
                <w:szCs w:val="17"/>
                <w:lang w:val="ru-RU"/>
              </w:rPr>
              <w:t>-</w:t>
            </w:r>
          </w:p>
        </w:tc>
        <w:tc>
          <w:tcPr>
            <w:tcW w:w="0" w:type="auto"/>
            <w:gridSpan w:val="4"/>
            <w:tcBorders>
              <w:top w:val="nil"/>
              <w:left w:val="nil"/>
              <w:bottom w:val="nil"/>
              <w:right w:val="nil"/>
            </w:tcBorders>
            <w:shd w:val="clear" w:color="auto" w:fill="auto"/>
            <w:vAlign w:val="center"/>
            <w:hideMark/>
          </w:tcPr>
          <w:p w:rsidR="00836205" w:rsidRPr="000559B7" w:rsidRDefault="00836205" w:rsidP="007574D9">
            <w:pPr>
              <w:rPr>
                <w:color w:val="000000"/>
                <w:sz w:val="17"/>
                <w:szCs w:val="17"/>
                <w:lang w:val="ru-RU"/>
              </w:rPr>
            </w:pPr>
            <w:r w:rsidRPr="000559B7">
              <w:rPr>
                <w:color w:val="000000"/>
                <w:sz w:val="17"/>
                <w:szCs w:val="17"/>
                <w:lang w:val="ru-RU"/>
              </w:rPr>
              <w:t>- 15-е совещание Конференции Сторон Конвенции / 10-е совещание Сторон Картахенского протокола</w:t>
            </w:r>
            <w:proofErr w:type="gramStart"/>
            <w:r w:rsidRPr="000559B7">
              <w:rPr>
                <w:color w:val="000000"/>
                <w:sz w:val="17"/>
                <w:szCs w:val="17"/>
                <w:lang w:val="ru-RU"/>
              </w:rPr>
              <w:t xml:space="preserve"> / Ч</w:t>
            </w:r>
            <w:proofErr w:type="gramEnd"/>
            <w:r w:rsidRPr="000559B7">
              <w:rPr>
                <w:color w:val="000000"/>
                <w:sz w:val="17"/>
                <w:szCs w:val="17"/>
                <w:lang w:val="ru-RU"/>
              </w:rPr>
              <w:t>етвертое совеща</w:t>
            </w:r>
            <w:r w:rsidR="007574D9">
              <w:rPr>
                <w:color w:val="000000"/>
                <w:sz w:val="17"/>
                <w:szCs w:val="17"/>
                <w:lang w:val="ru-RU"/>
              </w:rPr>
              <w:t>ние Сторон Нагойского протокола</w:t>
            </w:r>
            <w:r w:rsidRPr="000559B7">
              <w:rPr>
                <w:color w:val="000000"/>
                <w:sz w:val="17"/>
                <w:szCs w:val="17"/>
                <w:lang w:val="ru-RU"/>
              </w:rPr>
              <w:t>, проводимые одновременно.</w:t>
            </w:r>
          </w:p>
        </w:tc>
      </w:tr>
      <w:tr w:rsidR="00836205" w:rsidRPr="000559B7" w:rsidTr="00836205">
        <w:trPr>
          <w:trHeight w:val="450"/>
        </w:trPr>
        <w:tc>
          <w:tcPr>
            <w:tcW w:w="0" w:type="auto"/>
            <w:tcBorders>
              <w:top w:val="nil"/>
              <w:left w:val="nil"/>
              <w:bottom w:val="nil"/>
              <w:right w:val="nil"/>
            </w:tcBorders>
            <w:shd w:val="clear" w:color="auto" w:fill="auto"/>
            <w:noWrap/>
            <w:vAlign w:val="center"/>
            <w:hideMark/>
          </w:tcPr>
          <w:p w:rsidR="00836205" w:rsidRPr="000559B7" w:rsidRDefault="00836205" w:rsidP="00836205">
            <w:pPr>
              <w:jc w:val="right"/>
              <w:rPr>
                <w:color w:val="000000"/>
                <w:sz w:val="17"/>
                <w:szCs w:val="17"/>
                <w:lang w:val="ru-RU"/>
              </w:rPr>
            </w:pPr>
          </w:p>
        </w:tc>
        <w:tc>
          <w:tcPr>
            <w:tcW w:w="0" w:type="auto"/>
            <w:gridSpan w:val="5"/>
            <w:tcBorders>
              <w:top w:val="nil"/>
              <w:left w:val="nil"/>
              <w:bottom w:val="nil"/>
              <w:right w:val="nil"/>
            </w:tcBorders>
            <w:shd w:val="clear" w:color="auto" w:fill="auto"/>
            <w:vAlign w:val="center"/>
            <w:hideMark/>
          </w:tcPr>
          <w:p w:rsidR="00836205" w:rsidRPr="000559B7" w:rsidRDefault="00836205" w:rsidP="00836205">
            <w:pPr>
              <w:rPr>
                <w:color w:val="000000"/>
                <w:sz w:val="17"/>
                <w:szCs w:val="17"/>
                <w:lang w:val="ru-RU"/>
              </w:rPr>
            </w:pPr>
            <w:r w:rsidRPr="000559B7">
              <w:rPr>
                <w:color w:val="000000"/>
                <w:sz w:val="17"/>
                <w:szCs w:val="17"/>
                <w:lang w:val="ru-RU"/>
              </w:rPr>
              <w:t>2/ ВОНТТК-23 (3 дня), Ст8j-11 (3 дня) последовательно</w:t>
            </w:r>
            <w:r w:rsidR="0000303C">
              <w:rPr>
                <w:color w:val="000000"/>
                <w:sz w:val="17"/>
                <w:szCs w:val="17"/>
                <w:lang w:val="ru-RU"/>
              </w:rPr>
              <w:t>е проведение</w:t>
            </w:r>
            <w:r w:rsidRPr="000559B7">
              <w:rPr>
                <w:color w:val="000000"/>
                <w:sz w:val="17"/>
                <w:szCs w:val="17"/>
                <w:lang w:val="ru-RU"/>
              </w:rPr>
              <w:t xml:space="preserve"> в 2019 году. ВОНТТК-24 (6 дней), ВОО-3 (5 дней) </w:t>
            </w:r>
            <w:r w:rsidR="0000303C" w:rsidRPr="0000303C">
              <w:rPr>
                <w:color w:val="000000"/>
                <w:sz w:val="17"/>
                <w:szCs w:val="17"/>
                <w:lang w:val="ru-RU"/>
              </w:rPr>
              <w:t>последовательное проведение</w:t>
            </w:r>
            <w:r w:rsidR="0000303C">
              <w:rPr>
                <w:color w:val="000000"/>
                <w:sz w:val="17"/>
                <w:szCs w:val="17"/>
                <w:lang w:val="ru-RU"/>
              </w:rPr>
              <w:t xml:space="preserve"> </w:t>
            </w:r>
            <w:r w:rsidRPr="000559B7">
              <w:rPr>
                <w:color w:val="000000"/>
                <w:sz w:val="17"/>
                <w:szCs w:val="17"/>
                <w:lang w:val="ru-RU"/>
              </w:rPr>
              <w:t>в 2020 году.</w:t>
            </w:r>
          </w:p>
        </w:tc>
      </w:tr>
      <w:tr w:rsidR="00836205" w:rsidRPr="000559B7" w:rsidTr="00836205">
        <w:trPr>
          <w:trHeight w:val="525"/>
        </w:trPr>
        <w:tc>
          <w:tcPr>
            <w:tcW w:w="0" w:type="auto"/>
            <w:tcBorders>
              <w:top w:val="nil"/>
              <w:left w:val="nil"/>
              <w:bottom w:val="nil"/>
              <w:right w:val="nil"/>
            </w:tcBorders>
            <w:shd w:val="clear" w:color="auto" w:fill="auto"/>
            <w:noWrap/>
            <w:vAlign w:val="center"/>
            <w:hideMark/>
          </w:tcPr>
          <w:p w:rsidR="00836205" w:rsidRPr="000559B7" w:rsidRDefault="00836205" w:rsidP="00836205">
            <w:pPr>
              <w:jc w:val="right"/>
              <w:rPr>
                <w:color w:val="000000"/>
                <w:sz w:val="17"/>
                <w:szCs w:val="17"/>
                <w:lang w:val="ru-RU"/>
              </w:rPr>
            </w:pPr>
          </w:p>
        </w:tc>
        <w:tc>
          <w:tcPr>
            <w:tcW w:w="0" w:type="auto"/>
            <w:gridSpan w:val="5"/>
            <w:tcBorders>
              <w:top w:val="nil"/>
              <w:left w:val="nil"/>
              <w:bottom w:val="nil"/>
              <w:right w:val="nil"/>
            </w:tcBorders>
            <w:shd w:val="clear" w:color="auto" w:fill="auto"/>
            <w:vAlign w:val="center"/>
            <w:hideMark/>
          </w:tcPr>
          <w:p w:rsidR="00836205" w:rsidRPr="000559B7" w:rsidRDefault="00836205" w:rsidP="00836205">
            <w:pPr>
              <w:rPr>
                <w:color w:val="000000"/>
                <w:sz w:val="17"/>
                <w:szCs w:val="17"/>
                <w:lang w:val="ru-RU"/>
              </w:rPr>
            </w:pPr>
            <w:r w:rsidRPr="000559B7">
              <w:rPr>
                <w:color w:val="000000"/>
                <w:sz w:val="17"/>
                <w:szCs w:val="17"/>
                <w:lang w:val="ru-RU"/>
              </w:rPr>
              <w:t>3/ Бюджет для КС-15/КС-ССП 10 и КС-ССП 4 разделен поровну между двумя годами двухлетнего периода.</w:t>
            </w:r>
          </w:p>
        </w:tc>
      </w:tr>
      <w:tr w:rsidR="00836205" w:rsidRPr="000559B7" w:rsidTr="00836205">
        <w:trPr>
          <w:trHeight w:val="444"/>
        </w:trPr>
        <w:tc>
          <w:tcPr>
            <w:tcW w:w="0" w:type="auto"/>
            <w:tcBorders>
              <w:top w:val="nil"/>
              <w:left w:val="nil"/>
              <w:bottom w:val="nil"/>
              <w:right w:val="nil"/>
            </w:tcBorders>
            <w:shd w:val="clear" w:color="auto" w:fill="auto"/>
            <w:noWrap/>
            <w:vAlign w:val="center"/>
            <w:hideMark/>
          </w:tcPr>
          <w:p w:rsidR="00836205" w:rsidRPr="000559B7" w:rsidRDefault="00836205" w:rsidP="00836205">
            <w:pPr>
              <w:jc w:val="right"/>
              <w:rPr>
                <w:color w:val="000000"/>
                <w:sz w:val="17"/>
                <w:szCs w:val="17"/>
                <w:lang w:val="ru-RU"/>
              </w:rPr>
            </w:pPr>
          </w:p>
        </w:tc>
        <w:tc>
          <w:tcPr>
            <w:tcW w:w="0" w:type="auto"/>
            <w:gridSpan w:val="5"/>
            <w:tcBorders>
              <w:top w:val="nil"/>
              <w:left w:val="nil"/>
              <w:bottom w:val="nil"/>
              <w:right w:val="nil"/>
            </w:tcBorders>
            <w:shd w:val="clear" w:color="auto" w:fill="auto"/>
            <w:vAlign w:val="center"/>
            <w:hideMark/>
          </w:tcPr>
          <w:p w:rsidR="00836205" w:rsidRPr="000559B7" w:rsidRDefault="00836205" w:rsidP="00D67EA4">
            <w:pPr>
              <w:rPr>
                <w:color w:val="000000"/>
                <w:sz w:val="17"/>
                <w:szCs w:val="17"/>
                <w:lang w:val="ru-RU"/>
              </w:rPr>
            </w:pPr>
            <w:r w:rsidRPr="000559B7">
              <w:rPr>
                <w:color w:val="000000"/>
                <w:sz w:val="17"/>
                <w:szCs w:val="17"/>
                <w:lang w:val="ru-RU"/>
              </w:rPr>
              <w:t>4</w:t>
            </w:r>
            <w:proofErr w:type="gramStart"/>
            <w:r w:rsidRPr="000559B7">
              <w:rPr>
                <w:color w:val="000000"/>
                <w:sz w:val="17"/>
                <w:szCs w:val="17"/>
                <w:lang w:val="ru-RU"/>
              </w:rPr>
              <w:t>/ Д</w:t>
            </w:r>
            <w:proofErr w:type="gramEnd"/>
            <w:r w:rsidRPr="000559B7">
              <w:rPr>
                <w:color w:val="000000"/>
                <w:sz w:val="17"/>
                <w:szCs w:val="17"/>
                <w:lang w:val="ru-RU"/>
              </w:rPr>
              <w:t xml:space="preserve">ва отдельных </w:t>
            </w:r>
            <w:r w:rsidR="00D67EA4">
              <w:rPr>
                <w:color w:val="000000"/>
                <w:sz w:val="17"/>
                <w:szCs w:val="17"/>
                <w:lang w:val="ru-RU"/>
              </w:rPr>
              <w:t>в</w:t>
            </w:r>
            <w:r w:rsidRPr="000559B7">
              <w:rPr>
                <w:color w:val="000000"/>
                <w:sz w:val="17"/>
                <w:szCs w:val="17"/>
                <w:lang w:val="ru-RU"/>
              </w:rPr>
              <w:t>неочередных совещания, по 5 дней каждое плюс продление на 2 дня для ВОНТТК-23</w:t>
            </w:r>
          </w:p>
        </w:tc>
      </w:tr>
      <w:tr w:rsidR="00836205" w:rsidRPr="000559B7" w:rsidTr="00836205">
        <w:trPr>
          <w:trHeight w:val="216"/>
        </w:trPr>
        <w:tc>
          <w:tcPr>
            <w:tcW w:w="0" w:type="auto"/>
            <w:tcBorders>
              <w:top w:val="nil"/>
              <w:left w:val="nil"/>
              <w:bottom w:val="nil"/>
              <w:right w:val="nil"/>
            </w:tcBorders>
            <w:shd w:val="clear" w:color="auto" w:fill="auto"/>
            <w:noWrap/>
            <w:vAlign w:val="center"/>
            <w:hideMark/>
          </w:tcPr>
          <w:p w:rsidR="00836205" w:rsidRPr="000559B7" w:rsidRDefault="00836205" w:rsidP="00836205">
            <w:pPr>
              <w:jc w:val="right"/>
              <w:rPr>
                <w:color w:val="000000"/>
                <w:sz w:val="17"/>
                <w:szCs w:val="17"/>
                <w:lang w:val="ru-RU"/>
              </w:rPr>
            </w:pPr>
          </w:p>
        </w:tc>
        <w:tc>
          <w:tcPr>
            <w:tcW w:w="0" w:type="auto"/>
            <w:gridSpan w:val="5"/>
            <w:tcBorders>
              <w:top w:val="nil"/>
              <w:left w:val="nil"/>
              <w:bottom w:val="nil"/>
              <w:right w:val="nil"/>
            </w:tcBorders>
            <w:shd w:val="clear" w:color="auto" w:fill="auto"/>
            <w:vAlign w:val="center"/>
            <w:hideMark/>
          </w:tcPr>
          <w:p w:rsidR="00836205" w:rsidRPr="000559B7" w:rsidRDefault="00836205" w:rsidP="00836205">
            <w:pPr>
              <w:rPr>
                <w:color w:val="000000"/>
                <w:sz w:val="17"/>
                <w:szCs w:val="17"/>
                <w:lang w:val="ru-RU"/>
              </w:rPr>
            </w:pPr>
            <w:r w:rsidRPr="000559B7">
              <w:rPr>
                <w:color w:val="000000"/>
                <w:sz w:val="17"/>
                <w:szCs w:val="17"/>
                <w:lang w:val="ru-RU"/>
              </w:rPr>
              <w:t xml:space="preserve">5/ Ориентировочно </w:t>
            </w:r>
          </w:p>
        </w:tc>
      </w:tr>
    </w:tbl>
    <w:p w:rsidR="00936BF4" w:rsidRDefault="00936BF4" w:rsidP="00836205">
      <w:pPr>
        <w:ind w:left="2160" w:hanging="2160"/>
        <w:rPr>
          <w:lang w:val="ru-RU"/>
        </w:rPr>
      </w:pPr>
    </w:p>
    <w:p w:rsidR="00936BF4" w:rsidRDefault="00936BF4">
      <w:pPr>
        <w:spacing w:after="160" w:line="259" w:lineRule="auto"/>
        <w:jc w:val="left"/>
        <w:rPr>
          <w:lang w:val="ru-RU"/>
        </w:rPr>
      </w:pPr>
      <w:r>
        <w:rPr>
          <w:lang w:val="ru-RU"/>
        </w:rPr>
        <w:br w:type="page"/>
      </w:r>
    </w:p>
    <w:p w:rsidR="00836205" w:rsidRPr="000559B7" w:rsidRDefault="00836205" w:rsidP="00836205">
      <w:pPr>
        <w:ind w:left="2160" w:hanging="2160"/>
        <w:rPr>
          <w:lang w:val="ru-RU"/>
        </w:rPr>
      </w:pPr>
    </w:p>
    <w:p w:rsidR="00836205" w:rsidRPr="002135C8" w:rsidRDefault="00836205" w:rsidP="002135C8">
      <w:pPr>
        <w:ind w:left="1440" w:hanging="1440"/>
        <w:rPr>
          <w:b/>
          <w:lang w:val="ru-RU"/>
        </w:rPr>
      </w:pPr>
      <w:r w:rsidRPr="002135C8">
        <w:rPr>
          <w:b/>
          <w:lang w:val="ru-RU"/>
        </w:rPr>
        <w:t>Таблица 2.</w:t>
      </w:r>
      <w:r w:rsidRPr="002135C8">
        <w:rPr>
          <w:b/>
          <w:lang w:val="ru-RU"/>
        </w:rPr>
        <w:tab/>
        <w:t>Потребности секретариата в персонале, финансируемом из основного бюджета Конвенции и протоколов к ней, на период 2019-2020 гг.</w:t>
      </w:r>
    </w:p>
    <w:tbl>
      <w:tblPr>
        <w:tblW w:w="4720" w:type="dxa"/>
        <w:jc w:val="center"/>
        <w:tblLook w:val="04A0"/>
      </w:tblPr>
      <w:tblGrid>
        <w:gridCol w:w="2800"/>
        <w:gridCol w:w="960"/>
        <w:gridCol w:w="960"/>
      </w:tblGrid>
      <w:tr w:rsidR="00836205" w:rsidRPr="000559B7" w:rsidTr="00836205">
        <w:trPr>
          <w:trHeight w:val="300"/>
          <w:jc w:val="center"/>
        </w:trPr>
        <w:tc>
          <w:tcPr>
            <w:tcW w:w="2800" w:type="dxa"/>
            <w:tcBorders>
              <w:top w:val="nil"/>
              <w:left w:val="nil"/>
              <w:bottom w:val="single" w:sz="8" w:space="0" w:color="auto"/>
              <w:right w:val="nil"/>
            </w:tcBorders>
            <w:shd w:val="clear" w:color="auto" w:fill="auto"/>
            <w:vAlign w:val="center"/>
            <w:hideMark/>
          </w:tcPr>
          <w:p w:rsidR="00836205" w:rsidRPr="000559B7" w:rsidRDefault="00836205" w:rsidP="00836205">
            <w:pPr>
              <w:jc w:val="center"/>
              <w:rPr>
                <w:i/>
                <w:iCs/>
                <w:color w:val="000000"/>
                <w:sz w:val="14"/>
                <w:szCs w:val="14"/>
                <w:lang w:val="ru-RU"/>
              </w:rPr>
            </w:pPr>
          </w:p>
        </w:tc>
        <w:tc>
          <w:tcPr>
            <w:tcW w:w="1920" w:type="dxa"/>
            <w:gridSpan w:val="2"/>
            <w:tcBorders>
              <w:top w:val="nil"/>
              <w:left w:val="nil"/>
              <w:bottom w:val="single" w:sz="8" w:space="0" w:color="auto"/>
              <w:right w:val="nil"/>
            </w:tcBorders>
            <w:shd w:val="clear" w:color="auto" w:fill="auto"/>
            <w:vAlign w:val="center"/>
            <w:hideMark/>
          </w:tcPr>
          <w:p w:rsidR="00836205" w:rsidRPr="000559B7" w:rsidRDefault="00836205" w:rsidP="00836205">
            <w:pPr>
              <w:jc w:val="center"/>
              <w:rPr>
                <w:i/>
                <w:iCs/>
                <w:color w:val="000000"/>
                <w:sz w:val="14"/>
                <w:szCs w:val="14"/>
                <w:lang w:val="ru-RU"/>
              </w:rPr>
            </w:pPr>
            <w:r w:rsidRPr="000559B7">
              <w:rPr>
                <w:i/>
                <w:iCs/>
                <w:color w:val="000000"/>
                <w:sz w:val="14"/>
                <w:szCs w:val="14"/>
                <w:lang w:val="ru-RU"/>
              </w:rPr>
              <w:t> </w:t>
            </w:r>
          </w:p>
        </w:tc>
      </w:tr>
      <w:tr w:rsidR="00836205" w:rsidRPr="000559B7" w:rsidTr="00836205">
        <w:trPr>
          <w:trHeight w:val="288"/>
          <w:jc w:val="center"/>
        </w:trPr>
        <w:tc>
          <w:tcPr>
            <w:tcW w:w="2800" w:type="dxa"/>
            <w:tcBorders>
              <w:top w:val="nil"/>
              <w:left w:val="nil"/>
              <w:bottom w:val="nil"/>
              <w:right w:val="nil"/>
            </w:tcBorders>
            <w:shd w:val="clear" w:color="auto" w:fill="auto"/>
            <w:vAlign w:val="center"/>
            <w:hideMark/>
          </w:tcPr>
          <w:p w:rsidR="00836205" w:rsidRPr="000559B7" w:rsidRDefault="00836205" w:rsidP="00836205">
            <w:pPr>
              <w:jc w:val="center"/>
              <w:rPr>
                <w:i/>
                <w:iCs/>
                <w:color w:val="000000"/>
                <w:sz w:val="14"/>
                <w:szCs w:val="14"/>
                <w:lang w:val="ru-RU"/>
              </w:rPr>
            </w:pPr>
          </w:p>
        </w:tc>
        <w:tc>
          <w:tcPr>
            <w:tcW w:w="960" w:type="dxa"/>
            <w:tcBorders>
              <w:top w:val="nil"/>
              <w:left w:val="nil"/>
              <w:bottom w:val="nil"/>
              <w:right w:val="nil"/>
            </w:tcBorders>
            <w:shd w:val="clear" w:color="auto" w:fill="auto"/>
            <w:vAlign w:val="center"/>
            <w:hideMark/>
          </w:tcPr>
          <w:p w:rsidR="00836205" w:rsidRPr="000559B7" w:rsidRDefault="00836205" w:rsidP="00836205">
            <w:pPr>
              <w:rPr>
                <w:sz w:val="20"/>
                <w:szCs w:val="20"/>
                <w:lang w:val="ru-RU"/>
              </w:rPr>
            </w:pPr>
          </w:p>
        </w:tc>
        <w:tc>
          <w:tcPr>
            <w:tcW w:w="960" w:type="dxa"/>
            <w:tcBorders>
              <w:top w:val="nil"/>
              <w:left w:val="nil"/>
              <w:bottom w:val="nil"/>
              <w:right w:val="nil"/>
            </w:tcBorders>
            <w:shd w:val="clear" w:color="auto" w:fill="auto"/>
            <w:vAlign w:val="center"/>
            <w:hideMark/>
          </w:tcPr>
          <w:p w:rsidR="00836205" w:rsidRPr="000559B7" w:rsidRDefault="00836205" w:rsidP="00836205">
            <w:pPr>
              <w:jc w:val="right"/>
              <w:rPr>
                <w:i/>
                <w:iCs/>
                <w:color w:val="000000"/>
                <w:sz w:val="14"/>
                <w:szCs w:val="14"/>
                <w:lang w:val="ru-RU"/>
              </w:rPr>
            </w:pPr>
            <w:r w:rsidRPr="000559B7">
              <w:rPr>
                <w:i/>
                <w:iCs/>
                <w:color w:val="000000"/>
                <w:sz w:val="14"/>
                <w:szCs w:val="14"/>
                <w:lang w:val="ru-RU"/>
              </w:rPr>
              <w:t> </w:t>
            </w:r>
          </w:p>
        </w:tc>
      </w:tr>
      <w:tr w:rsidR="00836205" w:rsidRPr="000559B7" w:rsidTr="00836205">
        <w:trPr>
          <w:trHeight w:val="300"/>
          <w:jc w:val="center"/>
        </w:trPr>
        <w:tc>
          <w:tcPr>
            <w:tcW w:w="2800" w:type="dxa"/>
            <w:tcBorders>
              <w:top w:val="nil"/>
              <w:left w:val="nil"/>
              <w:bottom w:val="single" w:sz="8" w:space="0" w:color="auto"/>
              <w:right w:val="nil"/>
            </w:tcBorders>
            <w:shd w:val="clear" w:color="auto" w:fill="auto"/>
            <w:vAlign w:val="center"/>
            <w:hideMark/>
          </w:tcPr>
          <w:p w:rsidR="00836205" w:rsidRPr="000559B7" w:rsidRDefault="00836205" w:rsidP="00836205">
            <w:pPr>
              <w:rPr>
                <w:i/>
                <w:iCs/>
                <w:color w:val="000000"/>
                <w:sz w:val="14"/>
                <w:szCs w:val="14"/>
                <w:lang w:val="ru-RU"/>
              </w:rPr>
            </w:pPr>
            <w:r w:rsidRPr="000559B7">
              <w:rPr>
                <w:i/>
                <w:iCs/>
                <w:color w:val="000000"/>
                <w:sz w:val="14"/>
                <w:szCs w:val="14"/>
                <w:lang w:val="ru-RU"/>
              </w:rPr>
              <w:t> </w:t>
            </w:r>
          </w:p>
        </w:tc>
        <w:tc>
          <w:tcPr>
            <w:tcW w:w="960" w:type="dxa"/>
            <w:tcBorders>
              <w:top w:val="nil"/>
              <w:left w:val="nil"/>
              <w:bottom w:val="single" w:sz="8" w:space="0" w:color="auto"/>
              <w:right w:val="nil"/>
            </w:tcBorders>
            <w:shd w:val="clear" w:color="auto" w:fill="auto"/>
            <w:vAlign w:val="center"/>
            <w:hideMark/>
          </w:tcPr>
          <w:p w:rsidR="00836205" w:rsidRPr="000559B7" w:rsidRDefault="00836205" w:rsidP="00836205">
            <w:pPr>
              <w:jc w:val="right"/>
              <w:rPr>
                <w:color w:val="000000"/>
                <w:sz w:val="16"/>
                <w:szCs w:val="16"/>
                <w:lang w:val="ru-RU"/>
              </w:rPr>
            </w:pPr>
            <w:r w:rsidRPr="000559B7">
              <w:rPr>
                <w:color w:val="000000"/>
                <w:sz w:val="16"/>
                <w:szCs w:val="16"/>
                <w:lang w:val="ru-RU"/>
              </w:rPr>
              <w:t>2019 год</w:t>
            </w:r>
          </w:p>
        </w:tc>
        <w:tc>
          <w:tcPr>
            <w:tcW w:w="960" w:type="dxa"/>
            <w:tcBorders>
              <w:top w:val="nil"/>
              <w:left w:val="nil"/>
              <w:bottom w:val="single" w:sz="8" w:space="0" w:color="auto"/>
              <w:right w:val="nil"/>
            </w:tcBorders>
            <w:shd w:val="clear" w:color="auto" w:fill="auto"/>
            <w:vAlign w:val="center"/>
            <w:hideMark/>
          </w:tcPr>
          <w:p w:rsidR="00836205" w:rsidRPr="000559B7" w:rsidRDefault="00836205" w:rsidP="00836205">
            <w:pPr>
              <w:jc w:val="right"/>
              <w:rPr>
                <w:color w:val="000000"/>
                <w:sz w:val="16"/>
                <w:szCs w:val="16"/>
                <w:lang w:val="ru-RU"/>
              </w:rPr>
            </w:pPr>
            <w:r w:rsidRPr="000559B7">
              <w:rPr>
                <w:color w:val="000000"/>
                <w:sz w:val="16"/>
                <w:szCs w:val="16"/>
                <w:lang w:val="ru-RU"/>
              </w:rPr>
              <w:t>2020 год</w:t>
            </w:r>
          </w:p>
        </w:tc>
      </w:tr>
      <w:tr w:rsidR="00836205" w:rsidRPr="000559B7" w:rsidTr="00836205">
        <w:trPr>
          <w:trHeight w:val="288"/>
          <w:jc w:val="center"/>
        </w:trPr>
        <w:tc>
          <w:tcPr>
            <w:tcW w:w="2800" w:type="dxa"/>
            <w:tcBorders>
              <w:top w:val="nil"/>
              <w:left w:val="nil"/>
              <w:bottom w:val="nil"/>
              <w:right w:val="nil"/>
            </w:tcBorders>
            <w:shd w:val="clear" w:color="auto" w:fill="auto"/>
            <w:noWrap/>
            <w:vAlign w:val="center"/>
            <w:hideMark/>
          </w:tcPr>
          <w:p w:rsidR="00836205" w:rsidRPr="000559B7" w:rsidRDefault="00836205" w:rsidP="00836205">
            <w:pPr>
              <w:rPr>
                <w:b/>
                <w:bCs/>
                <w:color w:val="000000"/>
                <w:sz w:val="17"/>
                <w:szCs w:val="17"/>
                <w:lang w:val="ru-RU"/>
              </w:rPr>
            </w:pPr>
            <w:r w:rsidRPr="000559B7">
              <w:rPr>
                <w:b/>
                <w:bCs/>
                <w:color w:val="000000"/>
                <w:sz w:val="17"/>
                <w:szCs w:val="17"/>
                <w:lang w:val="ru-RU"/>
              </w:rPr>
              <w:t>Категория специалистов и выше</w:t>
            </w:r>
          </w:p>
        </w:tc>
        <w:tc>
          <w:tcPr>
            <w:tcW w:w="960" w:type="dxa"/>
            <w:tcBorders>
              <w:top w:val="nil"/>
              <w:left w:val="nil"/>
              <w:bottom w:val="nil"/>
              <w:right w:val="nil"/>
            </w:tcBorders>
            <w:shd w:val="clear" w:color="auto" w:fill="auto"/>
            <w:vAlign w:val="center"/>
            <w:hideMark/>
          </w:tcPr>
          <w:p w:rsidR="00836205" w:rsidRPr="000559B7" w:rsidRDefault="00836205" w:rsidP="00836205">
            <w:pPr>
              <w:rPr>
                <w:b/>
                <w:bCs/>
                <w:color w:val="000000"/>
                <w:sz w:val="17"/>
                <w:szCs w:val="17"/>
                <w:lang w:val="ru-RU"/>
              </w:rPr>
            </w:pPr>
          </w:p>
        </w:tc>
        <w:tc>
          <w:tcPr>
            <w:tcW w:w="960" w:type="dxa"/>
            <w:tcBorders>
              <w:top w:val="nil"/>
              <w:left w:val="nil"/>
              <w:bottom w:val="nil"/>
              <w:right w:val="nil"/>
            </w:tcBorders>
            <w:shd w:val="clear" w:color="auto" w:fill="auto"/>
            <w:vAlign w:val="center"/>
            <w:hideMark/>
          </w:tcPr>
          <w:p w:rsidR="00836205" w:rsidRPr="000559B7" w:rsidRDefault="00836205" w:rsidP="00836205">
            <w:pPr>
              <w:rPr>
                <w:sz w:val="20"/>
                <w:szCs w:val="20"/>
                <w:lang w:val="ru-RU"/>
              </w:rPr>
            </w:pPr>
          </w:p>
        </w:tc>
      </w:tr>
      <w:tr w:rsidR="00836205" w:rsidRPr="000559B7" w:rsidTr="00836205">
        <w:trPr>
          <w:trHeight w:val="288"/>
          <w:jc w:val="center"/>
        </w:trPr>
        <w:tc>
          <w:tcPr>
            <w:tcW w:w="2800" w:type="dxa"/>
            <w:tcBorders>
              <w:top w:val="nil"/>
              <w:left w:val="nil"/>
              <w:bottom w:val="nil"/>
              <w:right w:val="nil"/>
            </w:tcBorders>
            <w:shd w:val="clear" w:color="auto" w:fill="auto"/>
            <w:vAlign w:val="center"/>
            <w:hideMark/>
          </w:tcPr>
          <w:p w:rsidR="00836205" w:rsidRPr="000559B7" w:rsidRDefault="00836205" w:rsidP="00836205">
            <w:pPr>
              <w:rPr>
                <w:color w:val="000000"/>
                <w:sz w:val="17"/>
                <w:szCs w:val="17"/>
                <w:lang w:val="ru-RU"/>
              </w:rPr>
            </w:pPr>
            <w:r w:rsidRPr="000559B7">
              <w:rPr>
                <w:color w:val="000000"/>
                <w:sz w:val="17"/>
                <w:szCs w:val="17"/>
                <w:lang w:val="ru-RU"/>
              </w:rPr>
              <w:t>ПГС</w:t>
            </w:r>
          </w:p>
        </w:tc>
        <w:tc>
          <w:tcPr>
            <w:tcW w:w="960" w:type="dxa"/>
            <w:tcBorders>
              <w:top w:val="nil"/>
              <w:left w:val="nil"/>
              <w:bottom w:val="nil"/>
              <w:right w:val="nil"/>
            </w:tcBorders>
            <w:shd w:val="clear" w:color="auto" w:fill="auto"/>
            <w:vAlign w:val="center"/>
            <w:hideMark/>
          </w:tcPr>
          <w:p w:rsidR="00836205" w:rsidRPr="000559B7" w:rsidRDefault="00836205" w:rsidP="00836205">
            <w:pPr>
              <w:jc w:val="right"/>
              <w:rPr>
                <w:color w:val="000000"/>
                <w:sz w:val="17"/>
                <w:szCs w:val="17"/>
                <w:lang w:val="ru-RU"/>
              </w:rPr>
            </w:pPr>
            <w:r w:rsidRPr="000559B7">
              <w:rPr>
                <w:color w:val="000000"/>
                <w:sz w:val="17"/>
                <w:szCs w:val="17"/>
                <w:lang w:val="ru-RU"/>
              </w:rPr>
              <w:t xml:space="preserve">1 </w:t>
            </w:r>
          </w:p>
        </w:tc>
        <w:tc>
          <w:tcPr>
            <w:tcW w:w="960" w:type="dxa"/>
            <w:tcBorders>
              <w:top w:val="nil"/>
              <w:left w:val="nil"/>
              <w:bottom w:val="nil"/>
              <w:right w:val="nil"/>
            </w:tcBorders>
            <w:shd w:val="clear" w:color="auto" w:fill="auto"/>
            <w:vAlign w:val="center"/>
            <w:hideMark/>
          </w:tcPr>
          <w:p w:rsidR="00836205" w:rsidRPr="000559B7" w:rsidRDefault="00836205" w:rsidP="00836205">
            <w:pPr>
              <w:jc w:val="right"/>
              <w:rPr>
                <w:color w:val="000000"/>
                <w:sz w:val="17"/>
                <w:szCs w:val="17"/>
                <w:lang w:val="ru-RU"/>
              </w:rPr>
            </w:pPr>
            <w:r w:rsidRPr="000559B7">
              <w:rPr>
                <w:color w:val="000000"/>
                <w:sz w:val="17"/>
                <w:szCs w:val="17"/>
                <w:lang w:val="ru-RU"/>
              </w:rPr>
              <w:t>1</w:t>
            </w:r>
          </w:p>
        </w:tc>
      </w:tr>
      <w:tr w:rsidR="00836205" w:rsidRPr="000559B7" w:rsidTr="00836205">
        <w:trPr>
          <w:trHeight w:val="288"/>
          <w:jc w:val="center"/>
        </w:trPr>
        <w:tc>
          <w:tcPr>
            <w:tcW w:w="2800" w:type="dxa"/>
            <w:tcBorders>
              <w:top w:val="nil"/>
              <w:left w:val="nil"/>
              <w:bottom w:val="nil"/>
              <w:right w:val="nil"/>
            </w:tcBorders>
            <w:shd w:val="clear" w:color="auto" w:fill="auto"/>
            <w:vAlign w:val="center"/>
            <w:hideMark/>
          </w:tcPr>
          <w:p w:rsidR="00836205" w:rsidRPr="000559B7" w:rsidRDefault="00836205" w:rsidP="00836205">
            <w:pPr>
              <w:rPr>
                <w:color w:val="000000"/>
                <w:sz w:val="17"/>
                <w:szCs w:val="17"/>
                <w:lang w:val="ru-RU"/>
              </w:rPr>
            </w:pPr>
            <w:r w:rsidRPr="000559B7">
              <w:rPr>
                <w:color w:val="000000"/>
                <w:sz w:val="17"/>
                <w:szCs w:val="17"/>
                <w:lang w:val="ru-RU"/>
              </w:rPr>
              <w:t>Д-2</w:t>
            </w:r>
          </w:p>
        </w:tc>
        <w:tc>
          <w:tcPr>
            <w:tcW w:w="960" w:type="dxa"/>
            <w:tcBorders>
              <w:top w:val="nil"/>
              <w:left w:val="nil"/>
              <w:bottom w:val="nil"/>
              <w:right w:val="nil"/>
            </w:tcBorders>
            <w:shd w:val="clear" w:color="auto" w:fill="auto"/>
            <w:vAlign w:val="center"/>
            <w:hideMark/>
          </w:tcPr>
          <w:p w:rsidR="00836205" w:rsidRPr="000559B7" w:rsidRDefault="00836205" w:rsidP="00836205">
            <w:pPr>
              <w:jc w:val="right"/>
              <w:rPr>
                <w:color w:val="000000"/>
                <w:sz w:val="17"/>
                <w:szCs w:val="17"/>
                <w:lang w:val="ru-RU"/>
              </w:rPr>
            </w:pPr>
            <w:r w:rsidRPr="000559B7">
              <w:rPr>
                <w:color w:val="000000"/>
                <w:sz w:val="17"/>
                <w:szCs w:val="17"/>
                <w:lang w:val="ru-RU"/>
              </w:rPr>
              <w:t>–</w:t>
            </w:r>
          </w:p>
        </w:tc>
        <w:tc>
          <w:tcPr>
            <w:tcW w:w="960" w:type="dxa"/>
            <w:tcBorders>
              <w:top w:val="nil"/>
              <w:left w:val="nil"/>
              <w:bottom w:val="nil"/>
              <w:right w:val="nil"/>
            </w:tcBorders>
            <w:shd w:val="clear" w:color="auto" w:fill="auto"/>
            <w:vAlign w:val="center"/>
            <w:hideMark/>
          </w:tcPr>
          <w:p w:rsidR="00836205" w:rsidRPr="000559B7" w:rsidRDefault="00836205" w:rsidP="00836205">
            <w:pPr>
              <w:jc w:val="right"/>
              <w:rPr>
                <w:color w:val="000000"/>
                <w:sz w:val="17"/>
                <w:szCs w:val="17"/>
                <w:lang w:val="ru-RU"/>
              </w:rPr>
            </w:pPr>
            <w:r w:rsidRPr="000559B7">
              <w:rPr>
                <w:color w:val="000000"/>
                <w:sz w:val="17"/>
                <w:szCs w:val="17"/>
                <w:lang w:val="ru-RU"/>
              </w:rPr>
              <w:t>–</w:t>
            </w:r>
          </w:p>
        </w:tc>
      </w:tr>
      <w:tr w:rsidR="00836205" w:rsidRPr="000559B7" w:rsidTr="00836205">
        <w:trPr>
          <w:trHeight w:val="288"/>
          <w:jc w:val="center"/>
        </w:trPr>
        <w:tc>
          <w:tcPr>
            <w:tcW w:w="2800" w:type="dxa"/>
            <w:tcBorders>
              <w:top w:val="nil"/>
              <w:left w:val="nil"/>
              <w:bottom w:val="nil"/>
              <w:right w:val="nil"/>
            </w:tcBorders>
            <w:shd w:val="clear" w:color="auto" w:fill="auto"/>
            <w:vAlign w:val="center"/>
            <w:hideMark/>
          </w:tcPr>
          <w:p w:rsidR="00836205" w:rsidRPr="000559B7" w:rsidRDefault="00836205" w:rsidP="00836205">
            <w:pPr>
              <w:rPr>
                <w:color w:val="000000"/>
                <w:sz w:val="17"/>
                <w:szCs w:val="17"/>
                <w:lang w:val="ru-RU"/>
              </w:rPr>
            </w:pPr>
            <w:r w:rsidRPr="000559B7">
              <w:rPr>
                <w:color w:val="000000"/>
                <w:sz w:val="17"/>
                <w:szCs w:val="17"/>
                <w:lang w:val="ru-RU"/>
              </w:rPr>
              <w:t>Д-1</w:t>
            </w:r>
          </w:p>
        </w:tc>
        <w:tc>
          <w:tcPr>
            <w:tcW w:w="960" w:type="dxa"/>
            <w:tcBorders>
              <w:top w:val="nil"/>
              <w:left w:val="nil"/>
              <w:bottom w:val="nil"/>
              <w:right w:val="nil"/>
            </w:tcBorders>
            <w:shd w:val="clear" w:color="auto" w:fill="auto"/>
            <w:vAlign w:val="center"/>
            <w:hideMark/>
          </w:tcPr>
          <w:p w:rsidR="00836205" w:rsidRPr="000559B7" w:rsidRDefault="00836205" w:rsidP="00836205">
            <w:pPr>
              <w:jc w:val="right"/>
              <w:rPr>
                <w:color w:val="000000"/>
                <w:sz w:val="17"/>
                <w:szCs w:val="17"/>
                <w:lang w:val="ru-RU"/>
              </w:rPr>
            </w:pPr>
            <w:r w:rsidRPr="000559B7">
              <w:rPr>
                <w:color w:val="000000"/>
                <w:sz w:val="17"/>
                <w:szCs w:val="17"/>
                <w:lang w:val="ru-RU"/>
              </w:rPr>
              <w:t xml:space="preserve">3 </w:t>
            </w:r>
          </w:p>
        </w:tc>
        <w:tc>
          <w:tcPr>
            <w:tcW w:w="960" w:type="dxa"/>
            <w:tcBorders>
              <w:top w:val="nil"/>
              <w:left w:val="nil"/>
              <w:bottom w:val="nil"/>
              <w:right w:val="nil"/>
            </w:tcBorders>
            <w:shd w:val="clear" w:color="auto" w:fill="auto"/>
            <w:vAlign w:val="center"/>
            <w:hideMark/>
          </w:tcPr>
          <w:p w:rsidR="00836205" w:rsidRPr="000559B7" w:rsidRDefault="00836205" w:rsidP="00836205">
            <w:pPr>
              <w:jc w:val="right"/>
              <w:rPr>
                <w:color w:val="000000"/>
                <w:sz w:val="17"/>
                <w:szCs w:val="17"/>
                <w:lang w:val="ru-RU"/>
              </w:rPr>
            </w:pPr>
            <w:r w:rsidRPr="000559B7">
              <w:rPr>
                <w:color w:val="000000"/>
                <w:sz w:val="17"/>
                <w:szCs w:val="17"/>
                <w:lang w:val="ru-RU"/>
              </w:rPr>
              <w:t>3</w:t>
            </w:r>
          </w:p>
        </w:tc>
      </w:tr>
      <w:tr w:rsidR="00836205" w:rsidRPr="000559B7" w:rsidTr="00836205">
        <w:trPr>
          <w:trHeight w:val="288"/>
          <w:jc w:val="center"/>
        </w:trPr>
        <w:tc>
          <w:tcPr>
            <w:tcW w:w="2800" w:type="dxa"/>
            <w:tcBorders>
              <w:top w:val="nil"/>
              <w:left w:val="nil"/>
              <w:bottom w:val="nil"/>
              <w:right w:val="nil"/>
            </w:tcBorders>
            <w:shd w:val="clear" w:color="auto" w:fill="auto"/>
            <w:vAlign w:val="center"/>
            <w:hideMark/>
          </w:tcPr>
          <w:p w:rsidR="00836205" w:rsidRPr="000559B7" w:rsidRDefault="00836205" w:rsidP="00836205">
            <w:pPr>
              <w:rPr>
                <w:color w:val="000000"/>
                <w:sz w:val="17"/>
                <w:szCs w:val="17"/>
                <w:lang w:val="ru-RU"/>
              </w:rPr>
            </w:pPr>
            <w:r w:rsidRPr="000559B7">
              <w:rPr>
                <w:color w:val="000000"/>
                <w:sz w:val="17"/>
                <w:szCs w:val="17"/>
                <w:lang w:val="ru-RU"/>
              </w:rPr>
              <w:t>С-5</w:t>
            </w:r>
          </w:p>
        </w:tc>
        <w:tc>
          <w:tcPr>
            <w:tcW w:w="960" w:type="dxa"/>
            <w:tcBorders>
              <w:top w:val="nil"/>
              <w:left w:val="nil"/>
              <w:bottom w:val="nil"/>
              <w:right w:val="nil"/>
            </w:tcBorders>
            <w:shd w:val="clear" w:color="auto" w:fill="auto"/>
            <w:vAlign w:val="center"/>
            <w:hideMark/>
          </w:tcPr>
          <w:p w:rsidR="00836205" w:rsidRPr="000559B7" w:rsidRDefault="00836205" w:rsidP="00836205">
            <w:pPr>
              <w:jc w:val="right"/>
              <w:rPr>
                <w:color w:val="000000"/>
                <w:sz w:val="17"/>
                <w:szCs w:val="17"/>
                <w:lang w:val="ru-RU"/>
              </w:rPr>
            </w:pPr>
            <w:r w:rsidRPr="000559B7">
              <w:rPr>
                <w:color w:val="000000"/>
                <w:sz w:val="17"/>
                <w:szCs w:val="17"/>
                <w:lang w:val="ru-RU"/>
              </w:rPr>
              <w:t>10</w:t>
            </w:r>
          </w:p>
        </w:tc>
        <w:tc>
          <w:tcPr>
            <w:tcW w:w="960" w:type="dxa"/>
            <w:tcBorders>
              <w:top w:val="nil"/>
              <w:left w:val="nil"/>
              <w:bottom w:val="nil"/>
              <w:right w:val="nil"/>
            </w:tcBorders>
            <w:shd w:val="clear" w:color="auto" w:fill="auto"/>
            <w:vAlign w:val="center"/>
            <w:hideMark/>
          </w:tcPr>
          <w:p w:rsidR="00836205" w:rsidRPr="000559B7" w:rsidRDefault="00836205" w:rsidP="00836205">
            <w:pPr>
              <w:jc w:val="right"/>
              <w:rPr>
                <w:color w:val="000000"/>
                <w:sz w:val="17"/>
                <w:szCs w:val="17"/>
                <w:lang w:val="ru-RU"/>
              </w:rPr>
            </w:pPr>
            <w:r w:rsidRPr="000559B7">
              <w:rPr>
                <w:color w:val="000000"/>
                <w:sz w:val="17"/>
                <w:szCs w:val="17"/>
                <w:lang w:val="ru-RU"/>
              </w:rPr>
              <w:t>10</w:t>
            </w:r>
          </w:p>
        </w:tc>
      </w:tr>
      <w:tr w:rsidR="00836205" w:rsidRPr="000559B7" w:rsidTr="00836205">
        <w:trPr>
          <w:trHeight w:val="288"/>
          <w:jc w:val="center"/>
        </w:trPr>
        <w:tc>
          <w:tcPr>
            <w:tcW w:w="2800" w:type="dxa"/>
            <w:tcBorders>
              <w:top w:val="nil"/>
              <w:left w:val="nil"/>
              <w:bottom w:val="nil"/>
              <w:right w:val="nil"/>
            </w:tcBorders>
            <w:shd w:val="clear" w:color="auto" w:fill="auto"/>
            <w:vAlign w:val="center"/>
            <w:hideMark/>
          </w:tcPr>
          <w:p w:rsidR="00836205" w:rsidRPr="000559B7" w:rsidRDefault="00836205" w:rsidP="00836205">
            <w:pPr>
              <w:rPr>
                <w:color w:val="000000"/>
                <w:sz w:val="17"/>
                <w:szCs w:val="17"/>
                <w:lang w:val="ru-RU"/>
              </w:rPr>
            </w:pPr>
            <w:r w:rsidRPr="000559B7">
              <w:rPr>
                <w:color w:val="000000"/>
                <w:sz w:val="17"/>
                <w:szCs w:val="17"/>
                <w:lang w:val="ru-RU"/>
              </w:rPr>
              <w:t>С-4</w:t>
            </w:r>
          </w:p>
        </w:tc>
        <w:tc>
          <w:tcPr>
            <w:tcW w:w="960" w:type="dxa"/>
            <w:tcBorders>
              <w:top w:val="nil"/>
              <w:left w:val="nil"/>
              <w:bottom w:val="nil"/>
              <w:right w:val="nil"/>
            </w:tcBorders>
            <w:shd w:val="clear" w:color="auto" w:fill="auto"/>
            <w:vAlign w:val="center"/>
            <w:hideMark/>
          </w:tcPr>
          <w:p w:rsidR="00836205" w:rsidRPr="000559B7" w:rsidRDefault="00836205" w:rsidP="00836205">
            <w:pPr>
              <w:jc w:val="right"/>
              <w:rPr>
                <w:color w:val="000000"/>
                <w:sz w:val="17"/>
                <w:szCs w:val="17"/>
                <w:lang w:val="ru-RU"/>
              </w:rPr>
            </w:pPr>
            <w:r w:rsidRPr="000559B7">
              <w:rPr>
                <w:color w:val="000000"/>
                <w:sz w:val="17"/>
                <w:szCs w:val="17"/>
                <w:lang w:val="ru-RU"/>
              </w:rPr>
              <w:t>12</w:t>
            </w:r>
          </w:p>
        </w:tc>
        <w:tc>
          <w:tcPr>
            <w:tcW w:w="960" w:type="dxa"/>
            <w:tcBorders>
              <w:top w:val="nil"/>
              <w:left w:val="nil"/>
              <w:bottom w:val="nil"/>
              <w:right w:val="nil"/>
            </w:tcBorders>
            <w:shd w:val="clear" w:color="auto" w:fill="auto"/>
            <w:vAlign w:val="center"/>
            <w:hideMark/>
          </w:tcPr>
          <w:p w:rsidR="00836205" w:rsidRPr="000559B7" w:rsidRDefault="00836205" w:rsidP="00836205">
            <w:pPr>
              <w:jc w:val="right"/>
              <w:rPr>
                <w:color w:val="000000"/>
                <w:sz w:val="17"/>
                <w:szCs w:val="17"/>
                <w:lang w:val="ru-RU"/>
              </w:rPr>
            </w:pPr>
            <w:r w:rsidRPr="000559B7">
              <w:rPr>
                <w:color w:val="000000"/>
                <w:sz w:val="17"/>
                <w:szCs w:val="17"/>
                <w:lang w:val="ru-RU"/>
              </w:rPr>
              <w:t>12</w:t>
            </w:r>
          </w:p>
        </w:tc>
      </w:tr>
      <w:tr w:rsidR="00836205" w:rsidRPr="000559B7" w:rsidTr="00836205">
        <w:trPr>
          <w:trHeight w:val="288"/>
          <w:jc w:val="center"/>
        </w:trPr>
        <w:tc>
          <w:tcPr>
            <w:tcW w:w="2800" w:type="dxa"/>
            <w:tcBorders>
              <w:top w:val="nil"/>
              <w:left w:val="nil"/>
              <w:bottom w:val="nil"/>
              <w:right w:val="nil"/>
            </w:tcBorders>
            <w:shd w:val="clear" w:color="auto" w:fill="auto"/>
            <w:vAlign w:val="center"/>
            <w:hideMark/>
          </w:tcPr>
          <w:p w:rsidR="00836205" w:rsidRPr="000559B7" w:rsidRDefault="00836205" w:rsidP="00836205">
            <w:pPr>
              <w:rPr>
                <w:color w:val="000000"/>
                <w:sz w:val="17"/>
                <w:szCs w:val="17"/>
                <w:lang w:val="ru-RU"/>
              </w:rPr>
            </w:pPr>
            <w:r w:rsidRPr="000559B7">
              <w:rPr>
                <w:color w:val="000000"/>
                <w:sz w:val="17"/>
                <w:szCs w:val="17"/>
                <w:lang w:val="ru-RU"/>
              </w:rPr>
              <w:t>С-3</w:t>
            </w:r>
          </w:p>
        </w:tc>
        <w:tc>
          <w:tcPr>
            <w:tcW w:w="960" w:type="dxa"/>
            <w:tcBorders>
              <w:top w:val="nil"/>
              <w:left w:val="nil"/>
              <w:bottom w:val="nil"/>
              <w:right w:val="nil"/>
            </w:tcBorders>
            <w:shd w:val="clear" w:color="auto" w:fill="auto"/>
            <w:vAlign w:val="center"/>
            <w:hideMark/>
          </w:tcPr>
          <w:p w:rsidR="00836205" w:rsidRPr="000559B7" w:rsidRDefault="00836205" w:rsidP="00836205">
            <w:pPr>
              <w:jc w:val="right"/>
              <w:rPr>
                <w:color w:val="000000"/>
                <w:sz w:val="17"/>
                <w:szCs w:val="17"/>
                <w:lang w:val="ru-RU"/>
              </w:rPr>
            </w:pPr>
            <w:r w:rsidRPr="000559B7">
              <w:rPr>
                <w:color w:val="000000"/>
                <w:sz w:val="17"/>
                <w:szCs w:val="17"/>
                <w:lang w:val="ru-RU"/>
              </w:rPr>
              <w:t>14</w:t>
            </w:r>
          </w:p>
        </w:tc>
        <w:tc>
          <w:tcPr>
            <w:tcW w:w="960" w:type="dxa"/>
            <w:tcBorders>
              <w:top w:val="nil"/>
              <w:left w:val="nil"/>
              <w:bottom w:val="nil"/>
              <w:right w:val="nil"/>
            </w:tcBorders>
            <w:shd w:val="clear" w:color="auto" w:fill="auto"/>
            <w:vAlign w:val="center"/>
            <w:hideMark/>
          </w:tcPr>
          <w:p w:rsidR="00836205" w:rsidRPr="000559B7" w:rsidRDefault="00836205" w:rsidP="00836205">
            <w:pPr>
              <w:jc w:val="right"/>
              <w:rPr>
                <w:color w:val="000000"/>
                <w:sz w:val="17"/>
                <w:szCs w:val="17"/>
                <w:lang w:val="ru-RU"/>
              </w:rPr>
            </w:pPr>
            <w:r w:rsidRPr="000559B7">
              <w:rPr>
                <w:color w:val="000000"/>
                <w:sz w:val="17"/>
                <w:szCs w:val="17"/>
                <w:lang w:val="ru-RU"/>
              </w:rPr>
              <w:t>14</w:t>
            </w:r>
          </w:p>
        </w:tc>
      </w:tr>
      <w:tr w:rsidR="00836205" w:rsidRPr="000559B7" w:rsidTr="00836205">
        <w:trPr>
          <w:trHeight w:val="300"/>
          <w:jc w:val="center"/>
        </w:trPr>
        <w:tc>
          <w:tcPr>
            <w:tcW w:w="2800" w:type="dxa"/>
            <w:tcBorders>
              <w:top w:val="nil"/>
              <w:left w:val="nil"/>
              <w:bottom w:val="nil"/>
              <w:right w:val="nil"/>
            </w:tcBorders>
            <w:shd w:val="clear" w:color="auto" w:fill="auto"/>
            <w:vAlign w:val="center"/>
            <w:hideMark/>
          </w:tcPr>
          <w:p w:rsidR="00836205" w:rsidRPr="000559B7" w:rsidRDefault="00836205" w:rsidP="00836205">
            <w:pPr>
              <w:rPr>
                <w:color w:val="000000"/>
                <w:sz w:val="17"/>
                <w:szCs w:val="17"/>
                <w:lang w:val="ru-RU"/>
              </w:rPr>
            </w:pPr>
            <w:r w:rsidRPr="000559B7">
              <w:rPr>
                <w:color w:val="000000"/>
                <w:sz w:val="17"/>
                <w:szCs w:val="17"/>
                <w:lang w:val="ru-RU"/>
              </w:rPr>
              <w:t>С-2/1</w:t>
            </w:r>
          </w:p>
        </w:tc>
        <w:tc>
          <w:tcPr>
            <w:tcW w:w="960" w:type="dxa"/>
            <w:tcBorders>
              <w:top w:val="nil"/>
              <w:left w:val="nil"/>
              <w:bottom w:val="nil"/>
              <w:right w:val="nil"/>
            </w:tcBorders>
            <w:shd w:val="clear" w:color="auto" w:fill="auto"/>
            <w:vAlign w:val="center"/>
            <w:hideMark/>
          </w:tcPr>
          <w:p w:rsidR="00836205" w:rsidRPr="000559B7" w:rsidRDefault="00836205" w:rsidP="00836205">
            <w:pPr>
              <w:jc w:val="right"/>
              <w:rPr>
                <w:color w:val="000000"/>
                <w:sz w:val="17"/>
                <w:szCs w:val="17"/>
                <w:lang w:val="ru-RU"/>
              </w:rPr>
            </w:pPr>
            <w:r w:rsidRPr="000559B7">
              <w:rPr>
                <w:color w:val="000000"/>
                <w:sz w:val="17"/>
                <w:szCs w:val="17"/>
                <w:lang w:val="ru-RU"/>
              </w:rPr>
              <w:t>9</w:t>
            </w:r>
          </w:p>
        </w:tc>
        <w:tc>
          <w:tcPr>
            <w:tcW w:w="960" w:type="dxa"/>
            <w:tcBorders>
              <w:top w:val="nil"/>
              <w:left w:val="nil"/>
              <w:bottom w:val="nil"/>
              <w:right w:val="nil"/>
            </w:tcBorders>
            <w:shd w:val="clear" w:color="auto" w:fill="auto"/>
            <w:vAlign w:val="center"/>
            <w:hideMark/>
          </w:tcPr>
          <w:p w:rsidR="00836205" w:rsidRPr="000559B7" w:rsidRDefault="00836205" w:rsidP="00836205">
            <w:pPr>
              <w:jc w:val="right"/>
              <w:rPr>
                <w:color w:val="000000"/>
                <w:sz w:val="17"/>
                <w:szCs w:val="17"/>
                <w:lang w:val="ru-RU"/>
              </w:rPr>
            </w:pPr>
            <w:r w:rsidRPr="000559B7">
              <w:rPr>
                <w:color w:val="000000"/>
                <w:sz w:val="17"/>
                <w:szCs w:val="17"/>
                <w:lang w:val="ru-RU"/>
              </w:rPr>
              <w:t>9</w:t>
            </w:r>
          </w:p>
        </w:tc>
      </w:tr>
      <w:tr w:rsidR="00836205" w:rsidRPr="000559B7" w:rsidTr="00836205">
        <w:trPr>
          <w:trHeight w:val="300"/>
          <w:jc w:val="center"/>
        </w:trPr>
        <w:tc>
          <w:tcPr>
            <w:tcW w:w="2800" w:type="dxa"/>
            <w:tcBorders>
              <w:top w:val="single" w:sz="8" w:space="0" w:color="auto"/>
              <w:left w:val="nil"/>
              <w:bottom w:val="single" w:sz="8" w:space="0" w:color="auto"/>
              <w:right w:val="nil"/>
            </w:tcBorders>
            <w:shd w:val="clear" w:color="auto" w:fill="auto"/>
            <w:vAlign w:val="center"/>
            <w:hideMark/>
          </w:tcPr>
          <w:p w:rsidR="00836205" w:rsidRPr="000559B7" w:rsidRDefault="00836205" w:rsidP="00836205">
            <w:pPr>
              <w:rPr>
                <w:b/>
                <w:bCs/>
                <w:color w:val="000000"/>
                <w:sz w:val="17"/>
                <w:szCs w:val="17"/>
                <w:lang w:val="ru-RU"/>
              </w:rPr>
            </w:pPr>
            <w:r w:rsidRPr="000559B7">
              <w:rPr>
                <w:b/>
                <w:bCs/>
                <w:color w:val="000000"/>
                <w:sz w:val="17"/>
                <w:szCs w:val="17"/>
                <w:lang w:val="ru-RU"/>
              </w:rPr>
              <w:t>Промежуточный итог</w:t>
            </w:r>
          </w:p>
        </w:tc>
        <w:tc>
          <w:tcPr>
            <w:tcW w:w="960" w:type="dxa"/>
            <w:tcBorders>
              <w:top w:val="single" w:sz="8" w:space="0" w:color="auto"/>
              <w:left w:val="nil"/>
              <w:bottom w:val="single" w:sz="8" w:space="0" w:color="auto"/>
              <w:right w:val="nil"/>
            </w:tcBorders>
            <w:shd w:val="clear" w:color="auto" w:fill="auto"/>
            <w:vAlign w:val="center"/>
            <w:hideMark/>
          </w:tcPr>
          <w:p w:rsidR="00836205" w:rsidRPr="000559B7" w:rsidRDefault="00836205" w:rsidP="00836205">
            <w:pPr>
              <w:jc w:val="right"/>
              <w:rPr>
                <w:b/>
                <w:bCs/>
                <w:color w:val="000000"/>
                <w:sz w:val="17"/>
                <w:szCs w:val="17"/>
                <w:lang w:val="ru-RU"/>
              </w:rPr>
            </w:pPr>
            <w:r w:rsidRPr="000559B7">
              <w:rPr>
                <w:b/>
                <w:bCs/>
                <w:color w:val="000000"/>
                <w:sz w:val="17"/>
                <w:szCs w:val="17"/>
                <w:lang w:val="ru-RU"/>
              </w:rPr>
              <w:t>49</w:t>
            </w:r>
          </w:p>
        </w:tc>
        <w:tc>
          <w:tcPr>
            <w:tcW w:w="960" w:type="dxa"/>
            <w:tcBorders>
              <w:top w:val="single" w:sz="8" w:space="0" w:color="auto"/>
              <w:left w:val="nil"/>
              <w:bottom w:val="single" w:sz="8" w:space="0" w:color="auto"/>
              <w:right w:val="nil"/>
            </w:tcBorders>
            <w:shd w:val="clear" w:color="auto" w:fill="auto"/>
            <w:vAlign w:val="center"/>
            <w:hideMark/>
          </w:tcPr>
          <w:p w:rsidR="00836205" w:rsidRPr="000559B7" w:rsidRDefault="00836205" w:rsidP="00836205">
            <w:pPr>
              <w:jc w:val="right"/>
              <w:rPr>
                <w:b/>
                <w:bCs/>
                <w:color w:val="000000"/>
                <w:sz w:val="17"/>
                <w:szCs w:val="17"/>
                <w:lang w:val="ru-RU"/>
              </w:rPr>
            </w:pPr>
            <w:r w:rsidRPr="000559B7">
              <w:rPr>
                <w:b/>
                <w:bCs/>
                <w:color w:val="000000"/>
                <w:sz w:val="17"/>
                <w:szCs w:val="17"/>
                <w:lang w:val="ru-RU"/>
              </w:rPr>
              <w:t>49</w:t>
            </w:r>
          </w:p>
        </w:tc>
      </w:tr>
      <w:tr w:rsidR="00836205" w:rsidRPr="000559B7" w:rsidTr="00836205">
        <w:trPr>
          <w:trHeight w:val="300"/>
          <w:jc w:val="center"/>
        </w:trPr>
        <w:tc>
          <w:tcPr>
            <w:tcW w:w="2800" w:type="dxa"/>
            <w:tcBorders>
              <w:top w:val="nil"/>
              <w:left w:val="nil"/>
              <w:bottom w:val="single" w:sz="8" w:space="0" w:color="auto"/>
              <w:right w:val="nil"/>
            </w:tcBorders>
            <w:shd w:val="clear" w:color="auto" w:fill="auto"/>
            <w:vAlign w:val="center"/>
            <w:hideMark/>
          </w:tcPr>
          <w:p w:rsidR="00836205" w:rsidRPr="000559B7" w:rsidRDefault="00836205" w:rsidP="00836205">
            <w:pPr>
              <w:rPr>
                <w:b/>
                <w:bCs/>
                <w:color w:val="000000"/>
                <w:sz w:val="17"/>
                <w:szCs w:val="17"/>
                <w:lang w:val="ru-RU"/>
              </w:rPr>
            </w:pPr>
            <w:r w:rsidRPr="000559B7">
              <w:rPr>
                <w:b/>
                <w:bCs/>
                <w:color w:val="000000"/>
                <w:sz w:val="17"/>
                <w:szCs w:val="17"/>
                <w:lang w:val="ru-RU"/>
              </w:rPr>
              <w:t>Категория общего обслуживания</w:t>
            </w:r>
          </w:p>
        </w:tc>
        <w:tc>
          <w:tcPr>
            <w:tcW w:w="960" w:type="dxa"/>
            <w:tcBorders>
              <w:top w:val="nil"/>
              <w:left w:val="nil"/>
              <w:bottom w:val="single" w:sz="8" w:space="0" w:color="auto"/>
              <w:right w:val="nil"/>
            </w:tcBorders>
            <w:shd w:val="clear" w:color="auto" w:fill="auto"/>
            <w:vAlign w:val="center"/>
            <w:hideMark/>
          </w:tcPr>
          <w:p w:rsidR="00836205" w:rsidRPr="000559B7" w:rsidRDefault="00836205" w:rsidP="00836205">
            <w:pPr>
              <w:jc w:val="right"/>
              <w:rPr>
                <w:color w:val="000000"/>
                <w:sz w:val="17"/>
                <w:szCs w:val="17"/>
                <w:lang w:val="ru-RU"/>
              </w:rPr>
            </w:pPr>
            <w:r w:rsidRPr="000559B7">
              <w:rPr>
                <w:color w:val="000000"/>
                <w:sz w:val="17"/>
                <w:szCs w:val="17"/>
                <w:lang w:val="ru-RU"/>
              </w:rPr>
              <w:t>29</w:t>
            </w:r>
          </w:p>
        </w:tc>
        <w:tc>
          <w:tcPr>
            <w:tcW w:w="960" w:type="dxa"/>
            <w:tcBorders>
              <w:top w:val="nil"/>
              <w:left w:val="nil"/>
              <w:bottom w:val="single" w:sz="8" w:space="0" w:color="auto"/>
              <w:right w:val="nil"/>
            </w:tcBorders>
            <w:shd w:val="clear" w:color="auto" w:fill="auto"/>
            <w:vAlign w:val="center"/>
            <w:hideMark/>
          </w:tcPr>
          <w:p w:rsidR="00836205" w:rsidRPr="000559B7" w:rsidRDefault="00836205" w:rsidP="00836205">
            <w:pPr>
              <w:jc w:val="right"/>
              <w:rPr>
                <w:color w:val="000000"/>
                <w:sz w:val="17"/>
                <w:szCs w:val="17"/>
                <w:lang w:val="ru-RU"/>
              </w:rPr>
            </w:pPr>
            <w:r w:rsidRPr="000559B7">
              <w:rPr>
                <w:color w:val="000000"/>
                <w:sz w:val="17"/>
                <w:szCs w:val="17"/>
                <w:lang w:val="ru-RU"/>
              </w:rPr>
              <w:t>29</w:t>
            </w:r>
          </w:p>
        </w:tc>
      </w:tr>
      <w:tr w:rsidR="00836205" w:rsidRPr="000559B7" w:rsidTr="00836205">
        <w:trPr>
          <w:trHeight w:val="300"/>
          <w:jc w:val="center"/>
        </w:trPr>
        <w:tc>
          <w:tcPr>
            <w:tcW w:w="2800" w:type="dxa"/>
            <w:tcBorders>
              <w:top w:val="nil"/>
              <w:left w:val="nil"/>
              <w:bottom w:val="single" w:sz="12" w:space="0" w:color="auto"/>
              <w:right w:val="nil"/>
            </w:tcBorders>
            <w:shd w:val="clear" w:color="auto" w:fill="auto"/>
            <w:vAlign w:val="center"/>
            <w:hideMark/>
          </w:tcPr>
          <w:p w:rsidR="00836205" w:rsidRPr="000559B7" w:rsidRDefault="00836205" w:rsidP="00836205">
            <w:pPr>
              <w:rPr>
                <w:b/>
                <w:bCs/>
                <w:color w:val="000000"/>
                <w:sz w:val="17"/>
                <w:szCs w:val="17"/>
                <w:lang w:val="ru-RU"/>
              </w:rPr>
            </w:pPr>
            <w:r w:rsidRPr="000559B7">
              <w:rPr>
                <w:b/>
                <w:bCs/>
                <w:color w:val="000000"/>
                <w:sz w:val="17"/>
                <w:szCs w:val="17"/>
                <w:lang w:val="ru-RU"/>
              </w:rPr>
              <w:t>Итого</w:t>
            </w:r>
          </w:p>
        </w:tc>
        <w:tc>
          <w:tcPr>
            <w:tcW w:w="960" w:type="dxa"/>
            <w:tcBorders>
              <w:top w:val="nil"/>
              <w:left w:val="nil"/>
              <w:bottom w:val="single" w:sz="12" w:space="0" w:color="auto"/>
              <w:right w:val="nil"/>
            </w:tcBorders>
            <w:shd w:val="clear" w:color="auto" w:fill="auto"/>
            <w:vAlign w:val="center"/>
            <w:hideMark/>
          </w:tcPr>
          <w:p w:rsidR="00836205" w:rsidRPr="000559B7" w:rsidRDefault="00836205" w:rsidP="00836205">
            <w:pPr>
              <w:jc w:val="right"/>
              <w:rPr>
                <w:b/>
                <w:bCs/>
                <w:color w:val="000000"/>
                <w:sz w:val="17"/>
                <w:szCs w:val="17"/>
                <w:lang w:val="ru-RU"/>
              </w:rPr>
            </w:pPr>
            <w:r w:rsidRPr="000559B7">
              <w:rPr>
                <w:b/>
                <w:bCs/>
                <w:color w:val="000000"/>
                <w:sz w:val="17"/>
                <w:szCs w:val="17"/>
                <w:lang w:val="ru-RU"/>
              </w:rPr>
              <w:t>78</w:t>
            </w:r>
          </w:p>
        </w:tc>
        <w:tc>
          <w:tcPr>
            <w:tcW w:w="960" w:type="dxa"/>
            <w:tcBorders>
              <w:top w:val="nil"/>
              <w:left w:val="nil"/>
              <w:bottom w:val="single" w:sz="12" w:space="0" w:color="auto"/>
              <w:right w:val="nil"/>
            </w:tcBorders>
            <w:shd w:val="clear" w:color="auto" w:fill="auto"/>
            <w:vAlign w:val="center"/>
            <w:hideMark/>
          </w:tcPr>
          <w:p w:rsidR="00836205" w:rsidRPr="000559B7" w:rsidRDefault="00836205" w:rsidP="00836205">
            <w:pPr>
              <w:jc w:val="right"/>
              <w:rPr>
                <w:b/>
                <w:bCs/>
                <w:color w:val="000000"/>
                <w:sz w:val="17"/>
                <w:szCs w:val="17"/>
                <w:lang w:val="ru-RU"/>
              </w:rPr>
            </w:pPr>
            <w:r w:rsidRPr="000559B7">
              <w:rPr>
                <w:b/>
                <w:bCs/>
                <w:color w:val="000000"/>
                <w:sz w:val="17"/>
                <w:szCs w:val="17"/>
                <w:lang w:val="ru-RU"/>
              </w:rPr>
              <w:t>78</w:t>
            </w:r>
          </w:p>
        </w:tc>
      </w:tr>
    </w:tbl>
    <w:p w:rsidR="00836205" w:rsidRPr="000559B7" w:rsidRDefault="00836205" w:rsidP="00836205">
      <w:pPr>
        <w:ind w:left="1440" w:hanging="1440"/>
        <w:rPr>
          <w:lang w:val="ru-RU"/>
        </w:rPr>
      </w:pPr>
    </w:p>
    <w:p w:rsidR="00836205" w:rsidRPr="000559B7" w:rsidRDefault="00836205" w:rsidP="00836205">
      <w:pPr>
        <w:spacing w:after="160" w:line="259" w:lineRule="auto"/>
        <w:jc w:val="left"/>
        <w:rPr>
          <w:b/>
          <w:bCs/>
          <w:color w:val="000000"/>
          <w:sz w:val="20"/>
          <w:szCs w:val="20"/>
          <w:lang w:val="ru-RU"/>
        </w:rPr>
      </w:pPr>
      <w:r w:rsidRPr="000559B7">
        <w:rPr>
          <w:lang w:val="ru-RU"/>
        </w:rPr>
        <w:br w:type="page"/>
      </w:r>
    </w:p>
    <w:p w:rsidR="006F3F0C" w:rsidRPr="000559B7" w:rsidRDefault="006F3F0C" w:rsidP="006F3F0C">
      <w:pPr>
        <w:ind w:left="1440" w:hanging="1440"/>
        <w:rPr>
          <w:b/>
          <w:lang w:val="ru-RU"/>
        </w:rPr>
      </w:pPr>
      <w:r w:rsidRPr="000F0C89">
        <w:rPr>
          <w:b/>
          <w:lang w:val="ru-RU"/>
        </w:rPr>
        <w:lastRenderedPageBreak/>
        <w:t>Таблица 3.</w:t>
      </w:r>
      <w:r w:rsidRPr="000F0C89">
        <w:rPr>
          <w:b/>
          <w:lang w:val="ru-RU"/>
        </w:rPr>
        <w:tab/>
      </w:r>
      <w:r w:rsidR="00422D3C" w:rsidRPr="000F0C89">
        <w:rPr>
          <w:b/>
          <w:lang w:val="ru-RU"/>
        </w:rPr>
        <w:t xml:space="preserve">Потребности в ресурсах из </w:t>
      </w:r>
      <w:r w:rsidR="00DC035E" w:rsidRPr="000F0C89">
        <w:rPr>
          <w:b/>
          <w:lang w:val="ru-RU"/>
        </w:rPr>
        <w:t>Специального</w:t>
      </w:r>
      <w:r w:rsidRPr="000F0C89">
        <w:rPr>
          <w:b/>
          <w:lang w:val="ru-RU"/>
        </w:rPr>
        <w:t xml:space="preserve"> добр</w:t>
      </w:r>
      <w:r w:rsidR="00422D3C" w:rsidRPr="000F0C89">
        <w:rPr>
          <w:b/>
          <w:lang w:val="ru-RU"/>
        </w:rPr>
        <w:t>овольного целевого фонда (BE</w:t>
      </w:r>
      <w:r w:rsidRPr="000F0C89">
        <w:rPr>
          <w:b/>
          <w:lang w:val="ru-RU"/>
        </w:rPr>
        <w:t>) для дополнительных добровольных взносов в поддержку утвержденных мероприятий на период 2019</w:t>
      </w:r>
      <w:r w:rsidR="002C1F16" w:rsidRPr="000F0C89">
        <w:rPr>
          <w:b/>
          <w:lang w:val="ru-RU"/>
        </w:rPr>
        <w:t>-</w:t>
      </w:r>
      <w:r w:rsidRPr="000F0C89">
        <w:rPr>
          <w:b/>
          <w:lang w:val="ru-RU"/>
        </w:rPr>
        <w:t>2020 годов</w:t>
      </w:r>
      <w:r w:rsidRPr="000559B7">
        <w:rPr>
          <w:b/>
          <w:lang w:val="ru-RU"/>
        </w:rPr>
        <w:t xml:space="preserve"> </w:t>
      </w:r>
    </w:p>
    <w:p w:rsidR="006F3F0C" w:rsidRPr="000559B7" w:rsidRDefault="006F3F0C" w:rsidP="006F3F0C">
      <w:pPr>
        <w:ind w:left="1440" w:hanging="1440"/>
        <w:rPr>
          <w:b/>
          <w:lang w:val="ru-RU"/>
        </w:rPr>
      </w:pPr>
    </w:p>
    <w:p w:rsidR="006F3F0C" w:rsidRPr="009B07B7" w:rsidRDefault="006F3F0C" w:rsidP="006F3F0C">
      <w:pPr>
        <w:pStyle w:val="Paragraphedeliste"/>
        <w:numPr>
          <w:ilvl w:val="0"/>
          <w:numId w:val="9"/>
        </w:numPr>
        <w:spacing w:after="160" w:line="259" w:lineRule="auto"/>
        <w:jc w:val="center"/>
        <w:rPr>
          <w:b/>
          <w:lang w:val="ru-RU"/>
        </w:rPr>
      </w:pPr>
      <w:r w:rsidRPr="009B07B7">
        <w:rPr>
          <w:b/>
          <w:lang w:val="ru-RU"/>
        </w:rPr>
        <w:t>Конвенция о биологическом разнообразии</w:t>
      </w:r>
    </w:p>
    <w:p w:rsidR="006F3F0C" w:rsidRPr="000559B7" w:rsidRDefault="006F3F0C" w:rsidP="006F3F0C">
      <w:pPr>
        <w:pStyle w:val="Paragraphedeliste"/>
        <w:jc w:val="center"/>
        <w:rPr>
          <w:lang w:val="ru-RU"/>
        </w:rPr>
      </w:pPr>
      <w:r w:rsidRPr="000559B7">
        <w:rPr>
          <w:i/>
          <w:lang w:val="ru-RU"/>
        </w:rPr>
        <w:t>(в</w:t>
      </w:r>
      <w:r w:rsidR="00064A11" w:rsidRPr="000559B7">
        <w:rPr>
          <w:i/>
          <w:lang w:val="ru-RU"/>
        </w:rPr>
        <w:t xml:space="preserve"> тыс</w:t>
      </w:r>
      <w:r w:rsidR="00547FC8" w:rsidRPr="000559B7">
        <w:rPr>
          <w:i/>
          <w:lang w:val="ru-RU"/>
        </w:rPr>
        <w:t>ячах</w:t>
      </w:r>
      <w:r w:rsidRPr="000559B7">
        <w:rPr>
          <w:i/>
          <w:lang w:val="ru-RU"/>
        </w:rPr>
        <w:t xml:space="preserve"> долл. США</w:t>
      </w:r>
      <w:r w:rsidRPr="000559B7">
        <w:rPr>
          <w:lang w:val="ru-RU"/>
        </w:rPr>
        <w:t>)</w:t>
      </w:r>
    </w:p>
    <w:p w:rsidR="006F3F0C" w:rsidRPr="000559B7" w:rsidRDefault="006F3F0C" w:rsidP="006F3F0C">
      <w:pPr>
        <w:pStyle w:val="Paragraphedeliste"/>
        <w:jc w:val="center"/>
        <w:rPr>
          <w:lang w:val="ru-RU"/>
        </w:rPr>
      </w:pPr>
    </w:p>
    <w:tbl>
      <w:tblPr>
        <w:tblW w:w="6972" w:type="dxa"/>
        <w:jc w:val="center"/>
        <w:tblLook w:val="04A0"/>
      </w:tblPr>
      <w:tblGrid>
        <w:gridCol w:w="5556"/>
        <w:gridCol w:w="1416"/>
      </w:tblGrid>
      <w:tr w:rsidR="003579C6" w:rsidRPr="000559B7" w:rsidTr="006E109B">
        <w:trPr>
          <w:trHeight w:val="291"/>
          <w:jc w:val="center"/>
        </w:trPr>
        <w:tc>
          <w:tcPr>
            <w:tcW w:w="5556" w:type="dxa"/>
            <w:tcBorders>
              <w:top w:val="nil"/>
              <w:left w:val="nil"/>
              <w:bottom w:val="nil"/>
              <w:right w:val="nil"/>
            </w:tcBorders>
            <w:shd w:val="clear" w:color="auto" w:fill="auto"/>
            <w:noWrap/>
            <w:vAlign w:val="bottom"/>
            <w:hideMark/>
          </w:tcPr>
          <w:p w:rsidR="003579C6" w:rsidRPr="000F0C89" w:rsidRDefault="003579C6" w:rsidP="00424A9D">
            <w:pPr>
              <w:rPr>
                <w:b/>
                <w:bCs/>
                <w:color w:val="000000"/>
                <w:sz w:val="20"/>
                <w:szCs w:val="20"/>
                <w:lang w:val="ru-RU"/>
              </w:rPr>
            </w:pPr>
            <w:r w:rsidRPr="000F0C89">
              <w:rPr>
                <w:b/>
                <w:bCs/>
                <w:color w:val="000000"/>
                <w:sz w:val="20"/>
                <w:szCs w:val="20"/>
                <w:lang w:val="ru-RU"/>
              </w:rPr>
              <w:t>Совещания экспертов</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b/>
                <w:bCs/>
                <w:color w:val="000000"/>
                <w:sz w:val="20"/>
                <w:szCs w:val="20"/>
                <w:u w:val="single"/>
                <w:lang w:val="ru-RU"/>
              </w:rPr>
            </w:pP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Статья 8 </w:t>
            </w:r>
            <w:proofErr w:type="spellStart"/>
            <w:r w:rsidRPr="000559B7">
              <w:rPr>
                <w:color w:val="000000"/>
                <w:sz w:val="20"/>
                <w:szCs w:val="20"/>
                <w:lang w:val="ru-RU"/>
              </w:rPr>
              <w:t>j</w:t>
            </w:r>
            <w:proofErr w:type="spellEnd"/>
            <w:r w:rsidRPr="000559B7">
              <w:rPr>
                <w:color w:val="000000"/>
                <w:sz w:val="20"/>
                <w:szCs w:val="20"/>
                <w:lang w:val="ru-RU"/>
              </w:rPr>
              <w:t>) и соответствующие положения Конвенции</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72,5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Создание потенциала</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165,5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Механизм посредничества</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55,0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Сотрудничество</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178,8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Цифровая информация о последовательностях</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73,5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Восстановление экосистем</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384,0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Гендерные аспекты</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53,5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Здравоохранение</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142,8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FF0000"/>
                <w:sz w:val="20"/>
                <w:szCs w:val="20"/>
                <w:lang w:val="ru-RU"/>
              </w:rPr>
            </w:pPr>
            <w:r w:rsidRPr="000559B7">
              <w:rPr>
                <w:sz w:val="20"/>
                <w:szCs w:val="20"/>
                <w:lang w:val="ru-RU"/>
              </w:rPr>
              <w:t>Панель высокого уровня</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100,0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Инвазивные чужеродные виды</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136,8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Актуализация</w:t>
            </w:r>
            <w:r w:rsidR="006F27B8">
              <w:rPr>
                <w:color w:val="000000"/>
                <w:sz w:val="20"/>
                <w:szCs w:val="20"/>
                <w:lang w:val="ru-RU"/>
              </w:rPr>
              <w:t xml:space="preserve"> тематики</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879,5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Морское биоразнообразие</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122,3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Глобальная рамочная программа в области биоразнообразия на период после 2020 года</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62,5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Механизмы обзора </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90,0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Устойчивое управление дикой природой</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212,0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Синтетическая биология</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71,5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Техническое и научное сотрудничество</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69,3 </w:t>
            </w:r>
          </w:p>
        </w:tc>
      </w:tr>
      <w:tr w:rsidR="003579C6" w:rsidRPr="000559B7" w:rsidTr="006E109B">
        <w:trPr>
          <w:trHeight w:val="264"/>
          <w:jc w:val="center"/>
        </w:trPr>
        <w:tc>
          <w:tcPr>
            <w:tcW w:w="5556" w:type="dxa"/>
            <w:tcBorders>
              <w:top w:val="single" w:sz="4" w:space="0" w:color="auto"/>
              <w:left w:val="nil"/>
              <w:bottom w:val="single" w:sz="4" w:space="0" w:color="auto"/>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Промежуточный итог</w:t>
            </w:r>
          </w:p>
        </w:tc>
        <w:tc>
          <w:tcPr>
            <w:tcW w:w="1416" w:type="dxa"/>
            <w:tcBorders>
              <w:top w:val="single" w:sz="4" w:space="0" w:color="auto"/>
              <w:left w:val="nil"/>
              <w:bottom w:val="single" w:sz="4" w:space="0" w:color="auto"/>
              <w:right w:val="nil"/>
            </w:tcBorders>
            <w:shd w:val="clear" w:color="auto" w:fill="auto"/>
            <w:noWrap/>
            <w:vAlign w:val="bottom"/>
            <w:hideMark/>
          </w:tcPr>
          <w:p w:rsidR="003579C6" w:rsidRPr="000559B7" w:rsidRDefault="00424A9D" w:rsidP="00424A9D">
            <w:pPr>
              <w:rPr>
                <w:color w:val="000000"/>
                <w:sz w:val="20"/>
                <w:szCs w:val="20"/>
                <w:lang w:val="ru-RU"/>
              </w:rPr>
            </w:pPr>
            <w:r w:rsidRPr="000559B7">
              <w:rPr>
                <w:color w:val="000000"/>
                <w:sz w:val="20"/>
                <w:szCs w:val="20"/>
                <w:lang w:val="ru-RU"/>
              </w:rPr>
              <w:t xml:space="preserve">            2 </w:t>
            </w:r>
            <w:r w:rsidR="003579C6" w:rsidRPr="000559B7">
              <w:rPr>
                <w:color w:val="000000"/>
                <w:sz w:val="20"/>
                <w:szCs w:val="20"/>
                <w:lang w:val="ru-RU"/>
              </w:rPr>
              <w:t xml:space="preserve">869,3 </w:t>
            </w:r>
          </w:p>
        </w:tc>
      </w:tr>
      <w:tr w:rsidR="003579C6" w:rsidRPr="000559B7" w:rsidTr="006E109B">
        <w:trPr>
          <w:trHeight w:val="300"/>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sz w:val="20"/>
                <w:szCs w:val="20"/>
                <w:lang w:val="ru-RU"/>
              </w:rPr>
            </w:pPr>
          </w:p>
        </w:tc>
      </w:tr>
      <w:tr w:rsidR="003579C6" w:rsidRPr="000559B7" w:rsidTr="006E109B">
        <w:trPr>
          <w:trHeight w:val="264"/>
          <w:jc w:val="center"/>
        </w:trPr>
        <w:tc>
          <w:tcPr>
            <w:tcW w:w="5556" w:type="dxa"/>
            <w:tcBorders>
              <w:top w:val="nil"/>
              <w:left w:val="nil"/>
              <w:bottom w:val="nil"/>
              <w:right w:val="nil"/>
            </w:tcBorders>
            <w:shd w:val="clear" w:color="auto" w:fill="auto"/>
            <w:noWrap/>
            <w:vAlign w:val="bottom"/>
            <w:hideMark/>
          </w:tcPr>
          <w:p w:rsidR="003579C6" w:rsidRPr="000F0C89" w:rsidRDefault="003579C6" w:rsidP="00424A9D">
            <w:pPr>
              <w:rPr>
                <w:b/>
                <w:bCs/>
                <w:color w:val="000000"/>
                <w:sz w:val="20"/>
                <w:szCs w:val="20"/>
                <w:lang w:val="ru-RU"/>
              </w:rPr>
            </w:pPr>
            <w:r w:rsidRPr="000F0C89">
              <w:rPr>
                <w:b/>
                <w:sz w:val="20"/>
                <w:szCs w:val="20"/>
                <w:lang w:val="ru-RU"/>
              </w:rPr>
              <w:t>Семинары по созданию потенциала</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b/>
                <w:bCs/>
                <w:color w:val="000000"/>
                <w:sz w:val="20"/>
                <w:szCs w:val="20"/>
                <w:u w:val="single"/>
                <w:lang w:val="ru-RU"/>
              </w:rPr>
            </w:pP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Статья 8 </w:t>
            </w:r>
            <w:proofErr w:type="spellStart"/>
            <w:r w:rsidRPr="000559B7">
              <w:rPr>
                <w:color w:val="000000"/>
                <w:sz w:val="20"/>
                <w:szCs w:val="20"/>
                <w:lang w:val="ru-RU"/>
              </w:rPr>
              <w:t>j</w:t>
            </w:r>
            <w:proofErr w:type="spellEnd"/>
            <w:r w:rsidRPr="000559B7">
              <w:rPr>
                <w:color w:val="000000"/>
                <w:sz w:val="20"/>
                <w:szCs w:val="20"/>
                <w:lang w:val="ru-RU"/>
              </w:rPr>
              <w:t>) и соответствующие положения Конвенции</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110,0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Создание потенциала</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435,5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Изменение климата</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684,0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Сотрудничество</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618,3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Механизм финансирования</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156,3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Здравоохранение</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546,0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Актуализация</w:t>
            </w:r>
            <w:r w:rsidR="006F27B8">
              <w:rPr>
                <w:color w:val="000000"/>
                <w:sz w:val="20"/>
                <w:szCs w:val="20"/>
                <w:lang w:val="ru-RU"/>
              </w:rPr>
              <w:t xml:space="preserve"> тематики</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596,0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Морское биоразнообразие</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86,3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Устойчивое управление дикой природой</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407,0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Техническое и научное сотрудничество</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265,0 </w:t>
            </w:r>
          </w:p>
        </w:tc>
      </w:tr>
      <w:tr w:rsidR="003579C6" w:rsidRPr="000559B7" w:rsidTr="006E109B">
        <w:trPr>
          <w:trHeight w:val="264"/>
          <w:jc w:val="center"/>
        </w:trPr>
        <w:tc>
          <w:tcPr>
            <w:tcW w:w="5556" w:type="dxa"/>
            <w:tcBorders>
              <w:top w:val="single" w:sz="4" w:space="0" w:color="auto"/>
              <w:left w:val="nil"/>
              <w:bottom w:val="single" w:sz="4" w:space="0" w:color="auto"/>
              <w:right w:val="nil"/>
            </w:tcBorders>
            <w:shd w:val="clear" w:color="auto" w:fill="auto"/>
            <w:vAlign w:val="bottom"/>
            <w:hideMark/>
          </w:tcPr>
          <w:p w:rsidR="003579C6" w:rsidRPr="000559B7" w:rsidRDefault="003579C6" w:rsidP="00424A9D">
            <w:pPr>
              <w:rPr>
                <w:color w:val="000000"/>
                <w:sz w:val="20"/>
                <w:szCs w:val="20"/>
                <w:lang w:val="ru-RU"/>
              </w:rPr>
            </w:pPr>
            <w:r w:rsidRPr="000559B7">
              <w:rPr>
                <w:bCs/>
                <w:color w:val="000000"/>
                <w:sz w:val="20"/>
                <w:szCs w:val="20"/>
                <w:lang w:val="ru-RU"/>
              </w:rPr>
              <w:t>Промежуточный итог</w:t>
            </w:r>
          </w:p>
        </w:tc>
        <w:tc>
          <w:tcPr>
            <w:tcW w:w="1416" w:type="dxa"/>
            <w:tcBorders>
              <w:top w:val="single" w:sz="4" w:space="0" w:color="auto"/>
              <w:left w:val="nil"/>
              <w:bottom w:val="single" w:sz="4" w:space="0" w:color="auto"/>
              <w:right w:val="nil"/>
            </w:tcBorders>
            <w:shd w:val="clear" w:color="auto" w:fill="auto"/>
            <w:noWrap/>
            <w:vAlign w:val="bottom"/>
            <w:hideMark/>
          </w:tcPr>
          <w:p w:rsidR="003579C6" w:rsidRPr="000559B7" w:rsidRDefault="00424A9D" w:rsidP="00424A9D">
            <w:pPr>
              <w:rPr>
                <w:color w:val="000000"/>
                <w:sz w:val="20"/>
                <w:szCs w:val="20"/>
                <w:lang w:val="ru-RU"/>
              </w:rPr>
            </w:pPr>
            <w:r w:rsidRPr="000559B7">
              <w:rPr>
                <w:color w:val="000000"/>
                <w:sz w:val="20"/>
                <w:szCs w:val="20"/>
                <w:lang w:val="ru-RU"/>
              </w:rPr>
              <w:t xml:space="preserve">            3 </w:t>
            </w:r>
            <w:r w:rsidR="003579C6" w:rsidRPr="000559B7">
              <w:rPr>
                <w:color w:val="000000"/>
                <w:sz w:val="20"/>
                <w:szCs w:val="20"/>
                <w:lang w:val="ru-RU"/>
              </w:rPr>
              <w:t xml:space="preserve">904,3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b/>
                <w:color w:val="000000"/>
                <w:sz w:val="20"/>
                <w:szCs w:val="20"/>
                <w:lang w:val="ru-RU"/>
              </w:rPr>
            </w:pP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sz w:val="20"/>
                <w:szCs w:val="20"/>
                <w:lang w:val="ru-RU"/>
              </w:rPr>
            </w:pPr>
          </w:p>
        </w:tc>
      </w:tr>
      <w:tr w:rsidR="003579C6" w:rsidRPr="000559B7" w:rsidTr="006E109B">
        <w:trPr>
          <w:trHeight w:val="264"/>
          <w:jc w:val="center"/>
        </w:trPr>
        <w:tc>
          <w:tcPr>
            <w:tcW w:w="5556" w:type="dxa"/>
            <w:tcBorders>
              <w:top w:val="nil"/>
              <w:left w:val="nil"/>
              <w:bottom w:val="nil"/>
              <w:right w:val="nil"/>
            </w:tcBorders>
            <w:shd w:val="clear" w:color="auto" w:fill="auto"/>
            <w:noWrap/>
            <w:vAlign w:val="bottom"/>
            <w:hideMark/>
          </w:tcPr>
          <w:p w:rsidR="003579C6" w:rsidRPr="000F0C89" w:rsidRDefault="003579C6" w:rsidP="00424A9D">
            <w:pPr>
              <w:rPr>
                <w:b/>
                <w:bCs/>
                <w:color w:val="000000"/>
                <w:sz w:val="20"/>
                <w:szCs w:val="20"/>
                <w:lang w:val="ru-RU"/>
              </w:rPr>
            </w:pPr>
            <w:r w:rsidRPr="000F0C89">
              <w:rPr>
                <w:b/>
                <w:sz w:val="20"/>
                <w:szCs w:val="20"/>
                <w:lang w:val="ru-RU"/>
              </w:rPr>
              <w:t>Другие семинары</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b/>
                <w:bCs/>
                <w:color w:val="000000"/>
                <w:sz w:val="20"/>
                <w:szCs w:val="20"/>
                <w:u w:val="single"/>
                <w:lang w:val="ru-RU"/>
              </w:rPr>
            </w:pP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Изменение климата</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65,0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Сотрудничество</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451,5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Гендерные аспекты</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150,0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Здравоохранение</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96,0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Актуализация</w:t>
            </w:r>
            <w:r w:rsidR="006F27B8">
              <w:rPr>
                <w:color w:val="000000"/>
                <w:sz w:val="20"/>
                <w:szCs w:val="20"/>
                <w:lang w:val="ru-RU"/>
              </w:rPr>
              <w:t xml:space="preserve"> тематики</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791,0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Морское биоразнообразие</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238,0 </w:t>
            </w:r>
          </w:p>
        </w:tc>
      </w:tr>
      <w:tr w:rsidR="003579C6" w:rsidRPr="000559B7" w:rsidTr="006E109B">
        <w:trPr>
          <w:trHeight w:val="417"/>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Глобальная рамочная программа в области биоразнообразия на период после 2020 года</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w:t>
            </w:r>
            <w:r w:rsidR="00424A9D" w:rsidRPr="000559B7">
              <w:rPr>
                <w:color w:val="000000"/>
                <w:sz w:val="20"/>
                <w:szCs w:val="20"/>
                <w:lang w:val="ru-RU"/>
              </w:rPr>
              <w:t>1 </w:t>
            </w:r>
            <w:r w:rsidRPr="000559B7">
              <w:rPr>
                <w:color w:val="000000"/>
                <w:sz w:val="20"/>
                <w:szCs w:val="20"/>
                <w:lang w:val="ru-RU"/>
              </w:rPr>
              <w:t xml:space="preserve">720,0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lastRenderedPageBreak/>
              <w:t xml:space="preserve">Охраняемые </w:t>
            </w:r>
            <w:r w:rsidR="006214F3" w:rsidRPr="006214F3">
              <w:rPr>
                <w:color w:val="000000"/>
                <w:sz w:val="20"/>
                <w:szCs w:val="20"/>
                <w:lang w:val="ru-RU"/>
              </w:rPr>
              <w:t>районы</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165,0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Техническое и научное сотрудничество</w:t>
            </w:r>
          </w:p>
        </w:tc>
        <w:tc>
          <w:tcPr>
            <w:tcW w:w="1416" w:type="dxa"/>
            <w:tcBorders>
              <w:top w:val="nil"/>
              <w:left w:val="nil"/>
              <w:bottom w:val="single" w:sz="4" w:space="0" w:color="auto"/>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360,0 </w:t>
            </w:r>
          </w:p>
        </w:tc>
      </w:tr>
      <w:tr w:rsidR="003579C6" w:rsidRPr="000559B7" w:rsidTr="006E109B">
        <w:trPr>
          <w:trHeight w:val="264"/>
          <w:jc w:val="center"/>
        </w:trPr>
        <w:tc>
          <w:tcPr>
            <w:tcW w:w="5556" w:type="dxa"/>
            <w:tcBorders>
              <w:top w:val="single" w:sz="4" w:space="0" w:color="auto"/>
              <w:left w:val="nil"/>
              <w:bottom w:val="single" w:sz="4" w:space="0" w:color="auto"/>
              <w:right w:val="nil"/>
            </w:tcBorders>
            <w:shd w:val="clear" w:color="auto" w:fill="auto"/>
            <w:vAlign w:val="bottom"/>
            <w:hideMark/>
          </w:tcPr>
          <w:p w:rsidR="003579C6" w:rsidRPr="000559B7" w:rsidRDefault="003579C6" w:rsidP="00424A9D">
            <w:pPr>
              <w:rPr>
                <w:color w:val="000000"/>
                <w:sz w:val="20"/>
                <w:szCs w:val="20"/>
                <w:lang w:val="ru-RU"/>
              </w:rPr>
            </w:pPr>
            <w:r w:rsidRPr="000559B7">
              <w:rPr>
                <w:bCs/>
                <w:color w:val="000000"/>
                <w:sz w:val="20"/>
                <w:szCs w:val="20"/>
                <w:lang w:val="ru-RU"/>
              </w:rPr>
              <w:t>Промежуточный итог</w:t>
            </w:r>
          </w:p>
        </w:tc>
        <w:tc>
          <w:tcPr>
            <w:tcW w:w="1416" w:type="dxa"/>
            <w:tcBorders>
              <w:top w:val="nil"/>
              <w:left w:val="nil"/>
              <w:bottom w:val="single" w:sz="4" w:space="0" w:color="auto"/>
              <w:right w:val="nil"/>
            </w:tcBorders>
            <w:shd w:val="clear" w:color="auto" w:fill="auto"/>
            <w:noWrap/>
            <w:vAlign w:val="bottom"/>
            <w:hideMark/>
          </w:tcPr>
          <w:p w:rsidR="003579C6" w:rsidRPr="000559B7" w:rsidRDefault="00424A9D" w:rsidP="00424A9D">
            <w:pPr>
              <w:rPr>
                <w:color w:val="000000"/>
                <w:sz w:val="20"/>
                <w:szCs w:val="20"/>
                <w:lang w:val="ru-RU"/>
              </w:rPr>
            </w:pPr>
            <w:r w:rsidRPr="000559B7">
              <w:rPr>
                <w:color w:val="000000"/>
                <w:sz w:val="20"/>
                <w:szCs w:val="20"/>
                <w:lang w:val="ru-RU"/>
              </w:rPr>
              <w:t xml:space="preserve">            4 </w:t>
            </w:r>
            <w:r w:rsidR="003579C6" w:rsidRPr="000559B7">
              <w:rPr>
                <w:color w:val="000000"/>
                <w:sz w:val="20"/>
                <w:szCs w:val="20"/>
                <w:lang w:val="ru-RU"/>
              </w:rPr>
              <w:t xml:space="preserve">036,5 </w:t>
            </w:r>
          </w:p>
        </w:tc>
      </w:tr>
      <w:tr w:rsidR="003579C6" w:rsidRPr="000559B7" w:rsidTr="006E109B">
        <w:trPr>
          <w:trHeight w:val="296"/>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sz w:val="20"/>
                <w:szCs w:val="20"/>
                <w:lang w:val="ru-RU"/>
              </w:rPr>
            </w:pPr>
          </w:p>
        </w:tc>
      </w:tr>
      <w:tr w:rsidR="003579C6" w:rsidRPr="000559B7" w:rsidTr="006E109B">
        <w:trPr>
          <w:trHeight w:val="264"/>
          <w:jc w:val="center"/>
        </w:trPr>
        <w:tc>
          <w:tcPr>
            <w:tcW w:w="5556" w:type="dxa"/>
            <w:tcBorders>
              <w:top w:val="nil"/>
              <w:left w:val="nil"/>
              <w:bottom w:val="nil"/>
              <w:right w:val="nil"/>
            </w:tcBorders>
            <w:shd w:val="clear" w:color="auto" w:fill="auto"/>
            <w:noWrap/>
            <w:vAlign w:val="bottom"/>
            <w:hideMark/>
          </w:tcPr>
          <w:p w:rsidR="003579C6" w:rsidRPr="006214F3" w:rsidRDefault="003579C6" w:rsidP="00424A9D">
            <w:pPr>
              <w:rPr>
                <w:b/>
                <w:bCs/>
                <w:color w:val="000000"/>
                <w:sz w:val="20"/>
                <w:szCs w:val="20"/>
                <w:lang w:val="ru-RU"/>
              </w:rPr>
            </w:pPr>
            <w:r w:rsidRPr="006214F3">
              <w:rPr>
                <w:b/>
                <w:sz w:val="20"/>
                <w:szCs w:val="20"/>
                <w:lang w:val="ru-RU"/>
              </w:rPr>
              <w:t>Штат</w:t>
            </w:r>
            <w:r w:rsidR="005F7CDA" w:rsidRPr="006214F3">
              <w:rPr>
                <w:b/>
                <w:sz w:val="20"/>
                <w:szCs w:val="20"/>
                <w:lang w:val="ru-RU"/>
              </w:rPr>
              <w:t>ный персонал</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b/>
                <w:bCs/>
                <w:color w:val="000000"/>
                <w:sz w:val="20"/>
                <w:szCs w:val="20"/>
                <w:u w:val="single"/>
                <w:lang w:val="ru-RU"/>
              </w:rPr>
            </w:pP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6214F3">
            <w:pPr>
              <w:rPr>
                <w:color w:val="000000"/>
                <w:sz w:val="20"/>
                <w:szCs w:val="20"/>
                <w:lang w:val="ru-RU"/>
              </w:rPr>
            </w:pPr>
            <w:r w:rsidRPr="000559B7">
              <w:rPr>
                <w:color w:val="000000"/>
                <w:sz w:val="20"/>
                <w:szCs w:val="20"/>
                <w:lang w:val="ru-RU"/>
              </w:rPr>
              <w:t>Специалист по сотрудничеству и взаимодействию (</w:t>
            </w:r>
            <w:r w:rsidR="006214F3">
              <w:rPr>
                <w:color w:val="000000"/>
                <w:sz w:val="20"/>
                <w:szCs w:val="20"/>
                <w:lang w:val="ru-RU"/>
              </w:rPr>
              <w:t>С</w:t>
            </w:r>
            <w:r w:rsidRPr="000559B7">
              <w:rPr>
                <w:color w:val="000000"/>
                <w:sz w:val="20"/>
                <w:szCs w:val="20"/>
                <w:lang w:val="ru-RU"/>
              </w:rPr>
              <w:t xml:space="preserve">-3)  </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327,0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6F27B8">
            <w:pPr>
              <w:rPr>
                <w:color w:val="000000"/>
                <w:sz w:val="20"/>
                <w:szCs w:val="20"/>
                <w:lang w:val="ru-RU"/>
              </w:rPr>
            </w:pPr>
            <w:r w:rsidRPr="000559B7">
              <w:rPr>
                <w:color w:val="000000"/>
                <w:sz w:val="20"/>
                <w:szCs w:val="20"/>
                <w:lang w:val="ru-RU"/>
              </w:rPr>
              <w:t>Научный сотрудник (</w:t>
            </w:r>
            <w:r w:rsidR="006214F3">
              <w:rPr>
                <w:color w:val="000000"/>
                <w:sz w:val="20"/>
                <w:szCs w:val="20"/>
                <w:lang w:val="ru-RU"/>
              </w:rPr>
              <w:t>С</w:t>
            </w:r>
            <w:r w:rsidRPr="000559B7">
              <w:rPr>
                <w:color w:val="000000"/>
                <w:sz w:val="20"/>
                <w:szCs w:val="20"/>
                <w:lang w:val="ru-RU"/>
              </w:rPr>
              <w:t xml:space="preserve">-4) </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404,0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6214F3" w:rsidP="00424A9D">
            <w:pPr>
              <w:rPr>
                <w:sz w:val="20"/>
                <w:szCs w:val="20"/>
                <w:lang w:val="ru-RU"/>
              </w:rPr>
            </w:pPr>
            <w:r w:rsidRPr="000559B7">
              <w:rPr>
                <w:sz w:val="20"/>
                <w:szCs w:val="20"/>
                <w:lang w:val="ru-RU"/>
              </w:rPr>
              <w:t>Специалист</w:t>
            </w:r>
            <w:r w:rsidR="003579C6" w:rsidRPr="000559B7">
              <w:rPr>
                <w:sz w:val="20"/>
                <w:szCs w:val="20"/>
                <w:lang w:val="ru-RU"/>
              </w:rPr>
              <w:t xml:space="preserve"> по восстановлению лесных экосистем (</w:t>
            </w:r>
            <w:r>
              <w:rPr>
                <w:sz w:val="20"/>
                <w:szCs w:val="20"/>
                <w:lang w:val="ru-RU"/>
              </w:rPr>
              <w:t>С</w:t>
            </w:r>
            <w:r w:rsidR="003579C6" w:rsidRPr="000559B7">
              <w:rPr>
                <w:sz w:val="20"/>
                <w:szCs w:val="20"/>
                <w:lang w:val="ru-RU"/>
              </w:rPr>
              <w:t xml:space="preserve">-3) </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sz w:val="20"/>
                <w:szCs w:val="20"/>
                <w:lang w:val="ru-RU"/>
              </w:rPr>
            </w:pPr>
            <w:r w:rsidRPr="000559B7">
              <w:rPr>
                <w:sz w:val="20"/>
                <w:szCs w:val="20"/>
                <w:lang w:val="ru-RU"/>
              </w:rPr>
              <w:t xml:space="preserve">               327,0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6214F3" w:rsidP="006F27B8">
            <w:pPr>
              <w:rPr>
                <w:color w:val="000000"/>
                <w:sz w:val="20"/>
                <w:szCs w:val="20"/>
                <w:lang w:val="ru-RU"/>
              </w:rPr>
            </w:pPr>
            <w:r w:rsidRPr="000559B7">
              <w:rPr>
                <w:color w:val="000000"/>
                <w:sz w:val="20"/>
                <w:szCs w:val="20"/>
                <w:lang w:val="ru-RU"/>
              </w:rPr>
              <w:t>Специалист</w:t>
            </w:r>
            <w:r w:rsidR="003579C6" w:rsidRPr="000559B7">
              <w:rPr>
                <w:color w:val="000000"/>
                <w:sz w:val="20"/>
                <w:szCs w:val="20"/>
                <w:lang w:val="ru-RU"/>
              </w:rPr>
              <w:t xml:space="preserve"> по охране здоровья (</w:t>
            </w:r>
            <w:r>
              <w:rPr>
                <w:color w:val="000000"/>
                <w:sz w:val="20"/>
                <w:szCs w:val="20"/>
                <w:lang w:val="ru-RU"/>
              </w:rPr>
              <w:t>С</w:t>
            </w:r>
            <w:r w:rsidR="003579C6" w:rsidRPr="000559B7">
              <w:rPr>
                <w:color w:val="000000"/>
                <w:sz w:val="20"/>
                <w:szCs w:val="20"/>
                <w:lang w:val="ru-RU"/>
              </w:rPr>
              <w:t xml:space="preserve">-3) </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327,0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6214F3" w:rsidP="006214F3">
            <w:pPr>
              <w:rPr>
                <w:color w:val="000000"/>
                <w:sz w:val="20"/>
                <w:szCs w:val="20"/>
                <w:lang w:val="ru-RU"/>
              </w:rPr>
            </w:pPr>
            <w:r>
              <w:rPr>
                <w:color w:val="000000"/>
                <w:sz w:val="20"/>
                <w:szCs w:val="20"/>
                <w:lang w:val="ru-RU"/>
              </w:rPr>
              <w:t>Ассистент</w:t>
            </w:r>
            <w:r w:rsidR="003579C6" w:rsidRPr="000559B7">
              <w:rPr>
                <w:color w:val="000000"/>
                <w:sz w:val="20"/>
                <w:szCs w:val="20"/>
                <w:lang w:val="ru-RU"/>
              </w:rPr>
              <w:t xml:space="preserve"> по </w:t>
            </w:r>
            <w:proofErr w:type="spellStart"/>
            <w:r w:rsidR="003579C6" w:rsidRPr="000559B7">
              <w:rPr>
                <w:color w:val="000000"/>
                <w:sz w:val="20"/>
                <w:szCs w:val="20"/>
                <w:lang w:val="ru-RU"/>
              </w:rPr>
              <w:t>веб-контенту</w:t>
            </w:r>
            <w:proofErr w:type="spellEnd"/>
            <w:r w:rsidR="003579C6" w:rsidRPr="000559B7">
              <w:rPr>
                <w:color w:val="000000"/>
                <w:sz w:val="20"/>
                <w:szCs w:val="20"/>
                <w:lang w:val="ru-RU"/>
              </w:rPr>
              <w:t xml:space="preserve"> (</w:t>
            </w:r>
            <w:r>
              <w:rPr>
                <w:color w:val="000000"/>
                <w:sz w:val="20"/>
                <w:szCs w:val="20"/>
                <w:lang w:val="ru-RU"/>
              </w:rPr>
              <w:t>ОО</w:t>
            </w:r>
            <w:r w:rsidR="003579C6" w:rsidRPr="000559B7">
              <w:rPr>
                <w:color w:val="000000"/>
                <w:sz w:val="20"/>
                <w:szCs w:val="20"/>
                <w:lang w:val="ru-RU"/>
              </w:rPr>
              <w:t xml:space="preserve">-7) </w:t>
            </w:r>
          </w:p>
        </w:tc>
        <w:tc>
          <w:tcPr>
            <w:tcW w:w="1416" w:type="dxa"/>
            <w:tcBorders>
              <w:top w:val="nil"/>
              <w:left w:val="nil"/>
              <w:bottom w:val="single" w:sz="4" w:space="0" w:color="auto"/>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148,0 </w:t>
            </w:r>
          </w:p>
        </w:tc>
      </w:tr>
      <w:tr w:rsidR="003579C6" w:rsidRPr="000559B7" w:rsidTr="006E109B">
        <w:trPr>
          <w:trHeight w:val="264"/>
          <w:jc w:val="center"/>
        </w:trPr>
        <w:tc>
          <w:tcPr>
            <w:tcW w:w="5556" w:type="dxa"/>
            <w:tcBorders>
              <w:top w:val="single" w:sz="4" w:space="0" w:color="auto"/>
              <w:left w:val="nil"/>
              <w:bottom w:val="single" w:sz="4" w:space="0" w:color="auto"/>
              <w:right w:val="nil"/>
            </w:tcBorders>
            <w:shd w:val="clear" w:color="auto" w:fill="auto"/>
            <w:vAlign w:val="bottom"/>
            <w:hideMark/>
          </w:tcPr>
          <w:p w:rsidR="003579C6" w:rsidRPr="000559B7" w:rsidRDefault="003579C6" w:rsidP="00424A9D">
            <w:pPr>
              <w:rPr>
                <w:color w:val="000000"/>
                <w:sz w:val="20"/>
                <w:szCs w:val="20"/>
                <w:lang w:val="ru-RU"/>
              </w:rPr>
            </w:pPr>
            <w:r w:rsidRPr="000559B7">
              <w:rPr>
                <w:bCs/>
                <w:color w:val="000000"/>
                <w:sz w:val="20"/>
                <w:szCs w:val="20"/>
                <w:lang w:val="ru-RU"/>
              </w:rPr>
              <w:t>Промежуточный итог</w:t>
            </w:r>
          </w:p>
        </w:tc>
        <w:tc>
          <w:tcPr>
            <w:tcW w:w="1416" w:type="dxa"/>
            <w:tcBorders>
              <w:top w:val="nil"/>
              <w:left w:val="nil"/>
              <w:bottom w:val="single" w:sz="4" w:space="0" w:color="auto"/>
              <w:right w:val="nil"/>
            </w:tcBorders>
            <w:shd w:val="clear" w:color="auto" w:fill="auto"/>
            <w:noWrap/>
            <w:vAlign w:val="bottom"/>
            <w:hideMark/>
          </w:tcPr>
          <w:p w:rsidR="003579C6" w:rsidRPr="000559B7" w:rsidRDefault="00424A9D" w:rsidP="00424A9D">
            <w:pPr>
              <w:rPr>
                <w:color w:val="000000"/>
                <w:sz w:val="20"/>
                <w:szCs w:val="20"/>
                <w:lang w:val="ru-RU"/>
              </w:rPr>
            </w:pPr>
            <w:r w:rsidRPr="000559B7">
              <w:rPr>
                <w:color w:val="000000"/>
                <w:sz w:val="20"/>
                <w:szCs w:val="20"/>
                <w:lang w:val="ru-RU"/>
              </w:rPr>
              <w:t xml:space="preserve">            1 </w:t>
            </w:r>
            <w:r w:rsidR="003579C6" w:rsidRPr="000559B7">
              <w:rPr>
                <w:color w:val="000000"/>
                <w:sz w:val="20"/>
                <w:szCs w:val="20"/>
                <w:lang w:val="ru-RU"/>
              </w:rPr>
              <w:t xml:space="preserve">533,0 </w:t>
            </w:r>
          </w:p>
        </w:tc>
      </w:tr>
      <w:tr w:rsidR="003579C6" w:rsidRPr="000559B7" w:rsidTr="006E109B">
        <w:trPr>
          <w:trHeight w:val="264"/>
          <w:jc w:val="center"/>
        </w:trPr>
        <w:tc>
          <w:tcPr>
            <w:tcW w:w="555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sz w:val="20"/>
                <w:szCs w:val="20"/>
                <w:lang w:val="ru-RU"/>
              </w:rPr>
            </w:pPr>
          </w:p>
        </w:tc>
      </w:tr>
      <w:tr w:rsidR="003579C6" w:rsidRPr="000559B7" w:rsidTr="006E109B">
        <w:trPr>
          <w:trHeight w:val="264"/>
          <w:jc w:val="center"/>
        </w:trPr>
        <w:tc>
          <w:tcPr>
            <w:tcW w:w="5556" w:type="dxa"/>
            <w:tcBorders>
              <w:top w:val="nil"/>
              <w:left w:val="nil"/>
              <w:bottom w:val="nil"/>
              <w:right w:val="nil"/>
            </w:tcBorders>
            <w:shd w:val="clear" w:color="auto" w:fill="auto"/>
            <w:noWrap/>
            <w:vAlign w:val="bottom"/>
            <w:hideMark/>
          </w:tcPr>
          <w:p w:rsidR="003579C6" w:rsidRPr="000559B7" w:rsidRDefault="003579C6" w:rsidP="00424A9D">
            <w:pPr>
              <w:rPr>
                <w:b/>
                <w:bCs/>
                <w:color w:val="000000"/>
                <w:sz w:val="20"/>
                <w:szCs w:val="20"/>
                <w:u w:val="single"/>
                <w:lang w:val="ru-RU"/>
              </w:rPr>
            </w:pPr>
            <w:r w:rsidRPr="006214F3">
              <w:rPr>
                <w:b/>
                <w:sz w:val="20"/>
                <w:szCs w:val="20"/>
                <w:lang w:val="ru-RU"/>
              </w:rPr>
              <w:t>Консультанты</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b/>
                <w:bCs/>
                <w:color w:val="000000"/>
                <w:sz w:val="20"/>
                <w:szCs w:val="20"/>
                <w:u w:val="single"/>
                <w:lang w:val="ru-RU"/>
              </w:rPr>
            </w:pP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Статья 8 </w:t>
            </w:r>
            <w:proofErr w:type="spellStart"/>
            <w:r w:rsidRPr="000559B7">
              <w:rPr>
                <w:color w:val="000000"/>
                <w:sz w:val="20"/>
                <w:szCs w:val="20"/>
                <w:lang w:val="ru-RU"/>
              </w:rPr>
              <w:t>j</w:t>
            </w:r>
            <w:proofErr w:type="spellEnd"/>
            <w:r w:rsidRPr="000559B7">
              <w:rPr>
                <w:color w:val="000000"/>
                <w:sz w:val="20"/>
                <w:szCs w:val="20"/>
                <w:lang w:val="ru-RU"/>
              </w:rPr>
              <w:t>) и соответствующие положения Конвенции</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35,0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Создание потенциала</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571,0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Изменение климата</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153,0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Коммуникационная стратегия</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150,0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Сотрудничество </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715,5 </w:t>
            </w:r>
          </w:p>
        </w:tc>
      </w:tr>
      <w:tr w:rsidR="003579C6" w:rsidRPr="000559B7" w:rsidTr="006E109B">
        <w:trPr>
          <w:trHeight w:val="292"/>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Цифровая информация о последовательностях</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60,0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Восстановление экосистем</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40,0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Механизм финансирования</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250,0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Гендерные аспекты</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77,5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Глобальная перспектива в области биоразнообразия</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910,0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Здравоохранение</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50,0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Инвазивные чужеродные виды</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20,0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Управление знаниями</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84,0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Актуализация</w:t>
            </w:r>
            <w:r w:rsidR="006F27B8">
              <w:rPr>
                <w:color w:val="000000"/>
                <w:sz w:val="20"/>
                <w:szCs w:val="20"/>
                <w:lang w:val="ru-RU"/>
              </w:rPr>
              <w:t xml:space="preserve"> тематики</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544,0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Морское биоразнообразие</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295,5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Опылители</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100,0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Глобальная рамочная программа в области биоразнообразия на период после 2020 года</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586,0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6214F3">
            <w:pPr>
              <w:rPr>
                <w:color w:val="000000"/>
                <w:sz w:val="20"/>
                <w:szCs w:val="20"/>
                <w:lang w:val="ru-RU"/>
              </w:rPr>
            </w:pPr>
            <w:r w:rsidRPr="000559B7">
              <w:rPr>
                <w:color w:val="000000"/>
                <w:sz w:val="20"/>
                <w:szCs w:val="20"/>
                <w:lang w:val="ru-RU"/>
              </w:rPr>
              <w:t xml:space="preserve">Охраняемые </w:t>
            </w:r>
            <w:r w:rsidR="006214F3">
              <w:rPr>
                <w:color w:val="000000"/>
                <w:sz w:val="20"/>
                <w:szCs w:val="20"/>
                <w:lang w:val="ru-RU"/>
              </w:rPr>
              <w:t>районы</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167,5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Мобилизация ресурсов</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250,0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Механизмы обзора</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42,0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6F27B8">
            <w:pPr>
              <w:rPr>
                <w:color w:val="000000"/>
                <w:sz w:val="20"/>
                <w:szCs w:val="20"/>
                <w:lang w:val="ru-RU"/>
              </w:rPr>
            </w:pPr>
            <w:r w:rsidRPr="000559B7">
              <w:rPr>
                <w:color w:val="000000"/>
                <w:sz w:val="20"/>
                <w:szCs w:val="20"/>
                <w:lang w:val="ru-RU"/>
              </w:rPr>
              <w:t>Стратегический</w:t>
            </w:r>
            <w:r w:rsidR="006F27B8">
              <w:rPr>
                <w:color w:val="000000"/>
                <w:sz w:val="20"/>
                <w:szCs w:val="20"/>
                <w:lang w:val="ru-RU"/>
              </w:rPr>
              <w:t xml:space="preserve"> </w:t>
            </w:r>
            <w:r w:rsidRPr="000559B7">
              <w:rPr>
                <w:color w:val="000000"/>
                <w:sz w:val="20"/>
                <w:szCs w:val="20"/>
                <w:lang w:val="ru-RU"/>
              </w:rPr>
              <w:t>план в области сохранения и устойчивого использования</w:t>
            </w:r>
            <w:r w:rsidR="006F27B8">
              <w:rPr>
                <w:color w:val="000000"/>
                <w:sz w:val="20"/>
                <w:szCs w:val="20"/>
                <w:lang w:val="ru-RU"/>
              </w:rPr>
              <w:t xml:space="preserve"> </w:t>
            </w:r>
            <w:r w:rsidRPr="000559B7">
              <w:rPr>
                <w:color w:val="000000"/>
                <w:sz w:val="20"/>
                <w:szCs w:val="20"/>
                <w:lang w:val="ru-RU"/>
              </w:rPr>
              <w:t>биоразнообразия на 2011-2020 годы</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48,0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Устойчивое управление дикой природой</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140,0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Синтетическая биология</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78,0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Техническое и научное сотрудничество</w:t>
            </w:r>
          </w:p>
        </w:tc>
        <w:tc>
          <w:tcPr>
            <w:tcW w:w="1416" w:type="dxa"/>
            <w:tcBorders>
              <w:top w:val="nil"/>
              <w:left w:val="nil"/>
              <w:bottom w:val="single" w:sz="4" w:space="0" w:color="auto"/>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340,0 </w:t>
            </w:r>
          </w:p>
        </w:tc>
      </w:tr>
      <w:tr w:rsidR="003579C6" w:rsidRPr="000559B7" w:rsidTr="006E109B">
        <w:trPr>
          <w:trHeight w:val="264"/>
          <w:jc w:val="center"/>
        </w:trPr>
        <w:tc>
          <w:tcPr>
            <w:tcW w:w="5556" w:type="dxa"/>
            <w:tcBorders>
              <w:top w:val="single" w:sz="4" w:space="0" w:color="auto"/>
              <w:left w:val="nil"/>
              <w:bottom w:val="single" w:sz="4" w:space="0" w:color="auto"/>
              <w:right w:val="nil"/>
            </w:tcBorders>
            <w:shd w:val="clear" w:color="auto" w:fill="auto"/>
            <w:vAlign w:val="bottom"/>
            <w:hideMark/>
          </w:tcPr>
          <w:p w:rsidR="003579C6" w:rsidRPr="000559B7" w:rsidRDefault="003579C6" w:rsidP="00424A9D">
            <w:pPr>
              <w:rPr>
                <w:color w:val="000000"/>
                <w:sz w:val="20"/>
                <w:szCs w:val="20"/>
                <w:lang w:val="ru-RU"/>
              </w:rPr>
            </w:pPr>
            <w:r w:rsidRPr="000559B7">
              <w:rPr>
                <w:bCs/>
                <w:color w:val="000000"/>
                <w:sz w:val="20"/>
                <w:szCs w:val="20"/>
                <w:lang w:val="ru-RU"/>
              </w:rPr>
              <w:t>Промежуточный итог</w:t>
            </w:r>
          </w:p>
        </w:tc>
        <w:tc>
          <w:tcPr>
            <w:tcW w:w="1416" w:type="dxa"/>
            <w:tcBorders>
              <w:top w:val="nil"/>
              <w:left w:val="nil"/>
              <w:bottom w:val="single" w:sz="4" w:space="0" w:color="auto"/>
              <w:right w:val="nil"/>
            </w:tcBorders>
            <w:shd w:val="clear" w:color="auto" w:fill="auto"/>
            <w:noWrap/>
            <w:vAlign w:val="bottom"/>
            <w:hideMark/>
          </w:tcPr>
          <w:p w:rsidR="003579C6" w:rsidRPr="000559B7" w:rsidRDefault="00424A9D" w:rsidP="00424A9D">
            <w:pPr>
              <w:rPr>
                <w:color w:val="000000"/>
                <w:sz w:val="20"/>
                <w:szCs w:val="20"/>
                <w:lang w:val="ru-RU"/>
              </w:rPr>
            </w:pPr>
            <w:r w:rsidRPr="000559B7">
              <w:rPr>
                <w:color w:val="000000"/>
                <w:sz w:val="20"/>
                <w:szCs w:val="20"/>
                <w:lang w:val="ru-RU"/>
              </w:rPr>
              <w:t xml:space="preserve">            5 </w:t>
            </w:r>
            <w:r w:rsidR="003579C6" w:rsidRPr="000559B7">
              <w:rPr>
                <w:color w:val="000000"/>
                <w:sz w:val="20"/>
                <w:szCs w:val="20"/>
                <w:lang w:val="ru-RU"/>
              </w:rPr>
              <w:t xml:space="preserve">707,0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sz w:val="20"/>
                <w:szCs w:val="20"/>
                <w:lang w:val="ru-RU"/>
              </w:rPr>
            </w:pPr>
          </w:p>
        </w:tc>
      </w:tr>
      <w:tr w:rsidR="003579C6" w:rsidRPr="000559B7" w:rsidTr="006E109B">
        <w:trPr>
          <w:trHeight w:val="264"/>
          <w:jc w:val="center"/>
        </w:trPr>
        <w:tc>
          <w:tcPr>
            <w:tcW w:w="5556" w:type="dxa"/>
            <w:tcBorders>
              <w:top w:val="nil"/>
              <w:left w:val="nil"/>
              <w:bottom w:val="nil"/>
              <w:right w:val="nil"/>
            </w:tcBorders>
            <w:shd w:val="clear" w:color="auto" w:fill="auto"/>
            <w:noWrap/>
            <w:vAlign w:val="bottom"/>
            <w:hideMark/>
          </w:tcPr>
          <w:p w:rsidR="003579C6" w:rsidRPr="000559B7" w:rsidRDefault="003579C6" w:rsidP="00424A9D">
            <w:pPr>
              <w:rPr>
                <w:b/>
                <w:bCs/>
                <w:color w:val="000000"/>
                <w:sz w:val="20"/>
                <w:szCs w:val="20"/>
                <w:u w:val="single"/>
                <w:lang w:val="ru-RU"/>
              </w:rPr>
            </w:pPr>
            <w:r w:rsidRPr="006214F3">
              <w:rPr>
                <w:b/>
                <w:sz w:val="20"/>
                <w:szCs w:val="20"/>
                <w:lang w:val="ru-RU"/>
              </w:rPr>
              <w:t>Служебные командировки</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b/>
                <w:bCs/>
                <w:color w:val="000000"/>
                <w:sz w:val="20"/>
                <w:szCs w:val="20"/>
                <w:u w:val="single"/>
                <w:lang w:val="ru-RU"/>
              </w:rPr>
            </w:pP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Изменение климата</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8,5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Сотрудничество</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42,0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Восстановление экосистем</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10,0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Гендерные аспекты</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10,0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Здравоохранение</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40,0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Актуализация</w:t>
            </w:r>
            <w:r w:rsidR="006F27B8">
              <w:rPr>
                <w:color w:val="000000"/>
                <w:sz w:val="20"/>
                <w:szCs w:val="20"/>
                <w:lang w:val="ru-RU"/>
              </w:rPr>
              <w:t xml:space="preserve"> тематики</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20,0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Морское биоразнообразие</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38,0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Глобальная рамочная программа в области биоразнообразия </w:t>
            </w:r>
            <w:r w:rsidRPr="000559B7">
              <w:rPr>
                <w:color w:val="000000"/>
                <w:sz w:val="20"/>
                <w:szCs w:val="20"/>
                <w:lang w:val="ru-RU"/>
              </w:rPr>
              <w:lastRenderedPageBreak/>
              <w:t>на период после 2020 года</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lastRenderedPageBreak/>
              <w:t xml:space="preserve">               150,0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DA2FD5">
            <w:pPr>
              <w:rPr>
                <w:color w:val="000000"/>
                <w:sz w:val="20"/>
                <w:szCs w:val="20"/>
                <w:lang w:val="ru-RU"/>
              </w:rPr>
            </w:pPr>
            <w:r w:rsidRPr="000559B7">
              <w:rPr>
                <w:color w:val="000000"/>
                <w:sz w:val="20"/>
                <w:szCs w:val="20"/>
                <w:lang w:val="ru-RU"/>
              </w:rPr>
              <w:lastRenderedPageBreak/>
              <w:t xml:space="preserve">Охраняемые </w:t>
            </w:r>
            <w:r w:rsidR="00DA2FD5">
              <w:rPr>
                <w:color w:val="000000"/>
                <w:sz w:val="20"/>
                <w:szCs w:val="20"/>
                <w:lang w:val="ru-RU"/>
              </w:rPr>
              <w:t>районы</w:t>
            </w:r>
          </w:p>
        </w:tc>
        <w:tc>
          <w:tcPr>
            <w:tcW w:w="1416" w:type="dxa"/>
            <w:tcBorders>
              <w:top w:val="nil"/>
              <w:left w:val="nil"/>
              <w:bottom w:val="single" w:sz="4" w:space="0" w:color="auto"/>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6,0 </w:t>
            </w:r>
          </w:p>
        </w:tc>
      </w:tr>
      <w:tr w:rsidR="003579C6" w:rsidRPr="000559B7" w:rsidTr="006E109B">
        <w:trPr>
          <w:trHeight w:val="264"/>
          <w:jc w:val="center"/>
        </w:trPr>
        <w:tc>
          <w:tcPr>
            <w:tcW w:w="5556" w:type="dxa"/>
            <w:tcBorders>
              <w:top w:val="single" w:sz="4" w:space="0" w:color="auto"/>
              <w:left w:val="nil"/>
              <w:bottom w:val="single" w:sz="4" w:space="0" w:color="auto"/>
              <w:right w:val="nil"/>
            </w:tcBorders>
            <w:shd w:val="clear" w:color="auto" w:fill="auto"/>
            <w:vAlign w:val="bottom"/>
            <w:hideMark/>
          </w:tcPr>
          <w:p w:rsidR="003579C6" w:rsidRPr="000559B7" w:rsidRDefault="003579C6" w:rsidP="00424A9D">
            <w:pPr>
              <w:rPr>
                <w:color w:val="000000"/>
                <w:sz w:val="20"/>
                <w:szCs w:val="20"/>
                <w:lang w:val="ru-RU"/>
              </w:rPr>
            </w:pPr>
            <w:r w:rsidRPr="000559B7">
              <w:rPr>
                <w:bCs/>
                <w:color w:val="000000"/>
                <w:sz w:val="20"/>
                <w:szCs w:val="20"/>
                <w:lang w:val="ru-RU"/>
              </w:rPr>
              <w:t>Промежуточный итог</w:t>
            </w:r>
          </w:p>
        </w:tc>
        <w:tc>
          <w:tcPr>
            <w:tcW w:w="1416" w:type="dxa"/>
            <w:tcBorders>
              <w:top w:val="nil"/>
              <w:left w:val="nil"/>
              <w:bottom w:val="single" w:sz="4" w:space="0" w:color="auto"/>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324,5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sz w:val="20"/>
                <w:szCs w:val="20"/>
                <w:lang w:val="ru-RU"/>
              </w:rPr>
            </w:pP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DA2FD5">
            <w:pPr>
              <w:rPr>
                <w:b/>
                <w:bCs/>
                <w:color w:val="000000"/>
                <w:sz w:val="20"/>
                <w:szCs w:val="20"/>
                <w:u w:val="single"/>
                <w:lang w:val="ru-RU"/>
              </w:rPr>
            </w:pPr>
            <w:r w:rsidRPr="006214F3">
              <w:rPr>
                <w:b/>
                <w:sz w:val="20"/>
                <w:szCs w:val="20"/>
                <w:lang w:val="ru-RU"/>
              </w:rPr>
              <w:t>Подготовка</w:t>
            </w:r>
            <w:r w:rsidR="00DA2FD5">
              <w:rPr>
                <w:b/>
                <w:sz w:val="20"/>
                <w:szCs w:val="20"/>
                <w:lang w:val="ru-RU"/>
              </w:rPr>
              <w:t xml:space="preserve"> и </w:t>
            </w:r>
            <w:r w:rsidRPr="006214F3">
              <w:rPr>
                <w:b/>
                <w:sz w:val="20"/>
                <w:szCs w:val="20"/>
                <w:lang w:val="ru-RU"/>
              </w:rPr>
              <w:t>печать доклад</w:t>
            </w:r>
            <w:r w:rsidR="006E109B" w:rsidRPr="006214F3">
              <w:rPr>
                <w:b/>
                <w:sz w:val="20"/>
                <w:szCs w:val="20"/>
                <w:lang w:val="ru-RU"/>
              </w:rPr>
              <w:t>ов</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b/>
                <w:bCs/>
                <w:color w:val="000000"/>
                <w:sz w:val="20"/>
                <w:szCs w:val="20"/>
                <w:u w:val="single"/>
                <w:lang w:val="ru-RU"/>
              </w:rPr>
            </w:pP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Создание потенциала</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20,0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Изменение климата</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7,0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Сотрудничество</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20,0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Глобальная перспектива в области биоразнообразия</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170,0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Гендерные аспекты</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6,5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Здравоохранение</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40,0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Управление знаниями</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50,0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Актуализация</w:t>
            </w:r>
            <w:r w:rsidR="006F27B8">
              <w:rPr>
                <w:color w:val="000000"/>
                <w:sz w:val="20"/>
                <w:szCs w:val="20"/>
                <w:lang w:val="ru-RU"/>
              </w:rPr>
              <w:t xml:space="preserve"> тематики</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60,0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Морское биоразнообразие</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10,0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Глобальная рамочная программа в области биоразнообразия на период после 2020 года</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10,0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Охраняемые </w:t>
            </w:r>
            <w:r w:rsidR="00DA2FD5" w:rsidRPr="00DA2FD5">
              <w:rPr>
                <w:color w:val="000000"/>
                <w:sz w:val="20"/>
                <w:szCs w:val="20"/>
                <w:lang w:val="ru-RU"/>
              </w:rPr>
              <w:t>районы</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3,0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Мобилизация ресурсов</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10,0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Техническое и научное сотрудничество</w:t>
            </w:r>
          </w:p>
        </w:tc>
        <w:tc>
          <w:tcPr>
            <w:tcW w:w="1416" w:type="dxa"/>
            <w:tcBorders>
              <w:top w:val="nil"/>
              <w:left w:val="nil"/>
              <w:bottom w:val="single" w:sz="4" w:space="0" w:color="auto"/>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25,0 </w:t>
            </w:r>
          </w:p>
        </w:tc>
      </w:tr>
      <w:tr w:rsidR="003579C6" w:rsidRPr="000559B7" w:rsidTr="006E109B">
        <w:trPr>
          <w:trHeight w:val="264"/>
          <w:jc w:val="center"/>
        </w:trPr>
        <w:tc>
          <w:tcPr>
            <w:tcW w:w="5556" w:type="dxa"/>
            <w:tcBorders>
              <w:top w:val="single" w:sz="4" w:space="0" w:color="auto"/>
              <w:left w:val="nil"/>
              <w:bottom w:val="single" w:sz="4" w:space="0" w:color="auto"/>
              <w:right w:val="nil"/>
            </w:tcBorders>
            <w:shd w:val="clear" w:color="auto" w:fill="auto"/>
            <w:vAlign w:val="bottom"/>
            <w:hideMark/>
          </w:tcPr>
          <w:p w:rsidR="003579C6" w:rsidRPr="000559B7" w:rsidRDefault="003579C6" w:rsidP="00424A9D">
            <w:pPr>
              <w:rPr>
                <w:color w:val="000000"/>
                <w:sz w:val="20"/>
                <w:szCs w:val="20"/>
                <w:lang w:val="ru-RU"/>
              </w:rPr>
            </w:pPr>
            <w:r w:rsidRPr="000559B7">
              <w:rPr>
                <w:bCs/>
                <w:color w:val="000000"/>
                <w:sz w:val="20"/>
                <w:szCs w:val="20"/>
                <w:lang w:val="ru-RU"/>
              </w:rPr>
              <w:t>Промежуточный итог</w:t>
            </w:r>
          </w:p>
        </w:tc>
        <w:tc>
          <w:tcPr>
            <w:tcW w:w="1416" w:type="dxa"/>
            <w:tcBorders>
              <w:top w:val="nil"/>
              <w:left w:val="nil"/>
              <w:bottom w:val="single" w:sz="4" w:space="0" w:color="auto"/>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431,5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b/>
                <w:color w:val="000000"/>
                <w:sz w:val="20"/>
                <w:szCs w:val="20"/>
                <w:lang w:val="ru-RU"/>
              </w:rPr>
            </w:pP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sz w:val="20"/>
                <w:szCs w:val="20"/>
                <w:lang w:val="ru-RU"/>
              </w:rPr>
            </w:pPr>
          </w:p>
        </w:tc>
      </w:tr>
      <w:tr w:rsidR="003579C6" w:rsidRPr="000559B7" w:rsidTr="006E109B">
        <w:trPr>
          <w:trHeight w:val="264"/>
          <w:jc w:val="center"/>
        </w:trPr>
        <w:tc>
          <w:tcPr>
            <w:tcW w:w="5556" w:type="dxa"/>
            <w:tcBorders>
              <w:top w:val="nil"/>
              <w:left w:val="nil"/>
              <w:bottom w:val="nil"/>
              <w:right w:val="nil"/>
            </w:tcBorders>
            <w:shd w:val="clear" w:color="auto" w:fill="auto"/>
            <w:noWrap/>
            <w:vAlign w:val="bottom"/>
            <w:hideMark/>
          </w:tcPr>
          <w:p w:rsidR="003579C6" w:rsidRPr="000559B7" w:rsidRDefault="003579C6" w:rsidP="00424A9D">
            <w:pPr>
              <w:rPr>
                <w:b/>
                <w:bCs/>
                <w:color w:val="000000"/>
                <w:sz w:val="20"/>
                <w:szCs w:val="20"/>
                <w:u w:val="single"/>
                <w:lang w:val="ru-RU"/>
              </w:rPr>
            </w:pPr>
            <w:r w:rsidRPr="006214F3">
              <w:rPr>
                <w:b/>
                <w:sz w:val="20"/>
                <w:szCs w:val="20"/>
                <w:lang w:val="ru-RU"/>
              </w:rPr>
              <w:t>Публикации</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b/>
                <w:bCs/>
                <w:color w:val="000000"/>
                <w:sz w:val="20"/>
                <w:szCs w:val="20"/>
                <w:u w:val="single"/>
                <w:lang w:val="ru-RU"/>
              </w:rPr>
            </w:pP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DA2FD5">
            <w:pPr>
              <w:rPr>
                <w:color w:val="000000"/>
                <w:sz w:val="20"/>
                <w:szCs w:val="20"/>
                <w:lang w:val="ru-RU"/>
              </w:rPr>
            </w:pPr>
            <w:r w:rsidRPr="000559B7">
              <w:rPr>
                <w:color w:val="000000"/>
                <w:sz w:val="20"/>
                <w:szCs w:val="20"/>
                <w:lang w:val="ru-RU"/>
              </w:rPr>
              <w:t>Статья 8</w:t>
            </w:r>
            <w:r w:rsidR="00DA2FD5">
              <w:rPr>
                <w:color w:val="000000"/>
                <w:sz w:val="20"/>
                <w:szCs w:val="20"/>
                <w:lang w:val="ru-RU"/>
              </w:rPr>
              <w:t> </w:t>
            </w:r>
            <w:proofErr w:type="spellStart"/>
            <w:r w:rsidRPr="000559B7">
              <w:rPr>
                <w:color w:val="000000"/>
                <w:sz w:val="20"/>
                <w:szCs w:val="20"/>
                <w:lang w:val="ru-RU"/>
              </w:rPr>
              <w:t>j</w:t>
            </w:r>
            <w:proofErr w:type="spellEnd"/>
            <w:r w:rsidRPr="000559B7">
              <w:rPr>
                <w:color w:val="000000"/>
                <w:sz w:val="20"/>
                <w:szCs w:val="20"/>
                <w:lang w:val="ru-RU"/>
              </w:rPr>
              <w:t>) и соответствующие положения Конвенции</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2,0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Создание потенциала</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35,0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Сотрудничество</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105,0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Глобальная перспектива в области биоразнообразия </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100,0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Гендерные аспекты</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3,0 </w:t>
            </w:r>
          </w:p>
        </w:tc>
      </w:tr>
      <w:tr w:rsidR="003579C6" w:rsidRPr="000559B7" w:rsidTr="006E109B">
        <w:trPr>
          <w:trHeight w:val="288"/>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Здравоохранение</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30,0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Управление знаниями</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100,0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Актуализация</w:t>
            </w:r>
            <w:r w:rsidR="006F27B8">
              <w:rPr>
                <w:color w:val="000000"/>
                <w:sz w:val="20"/>
                <w:szCs w:val="20"/>
                <w:lang w:val="ru-RU"/>
              </w:rPr>
              <w:t xml:space="preserve"> тематики</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118,0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Морское биоразнообразие</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20,0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Опылители</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50,0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Глобальная рамочная программа в области биоразнообразия на период после 2020 года</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15,0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Охраняемые </w:t>
            </w:r>
            <w:r w:rsidR="00DA2FD5" w:rsidRPr="00DA2FD5">
              <w:rPr>
                <w:color w:val="000000"/>
                <w:sz w:val="20"/>
                <w:szCs w:val="20"/>
                <w:lang w:val="ru-RU"/>
              </w:rPr>
              <w:t>районы</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3,0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Мобилизация ресурсов</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3,0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Устойчивое управление дикой природой</w:t>
            </w: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65,0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r w:rsidRPr="000559B7">
              <w:rPr>
                <w:color w:val="000000"/>
                <w:sz w:val="20"/>
                <w:szCs w:val="20"/>
                <w:lang w:val="ru-RU"/>
              </w:rPr>
              <w:t>Техническое и научное сотрудничество</w:t>
            </w:r>
          </w:p>
        </w:tc>
        <w:tc>
          <w:tcPr>
            <w:tcW w:w="1416" w:type="dxa"/>
            <w:tcBorders>
              <w:top w:val="nil"/>
              <w:left w:val="nil"/>
              <w:bottom w:val="single" w:sz="4" w:space="0" w:color="auto"/>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20,0 </w:t>
            </w:r>
          </w:p>
        </w:tc>
      </w:tr>
      <w:tr w:rsidR="003579C6" w:rsidRPr="000559B7" w:rsidTr="006E109B">
        <w:trPr>
          <w:trHeight w:val="264"/>
          <w:jc w:val="center"/>
        </w:trPr>
        <w:tc>
          <w:tcPr>
            <w:tcW w:w="5556" w:type="dxa"/>
            <w:tcBorders>
              <w:top w:val="single" w:sz="4" w:space="0" w:color="auto"/>
              <w:left w:val="nil"/>
              <w:bottom w:val="single" w:sz="4" w:space="0" w:color="auto"/>
              <w:right w:val="nil"/>
            </w:tcBorders>
            <w:shd w:val="clear" w:color="auto" w:fill="auto"/>
            <w:vAlign w:val="bottom"/>
            <w:hideMark/>
          </w:tcPr>
          <w:p w:rsidR="003579C6" w:rsidRPr="000559B7" w:rsidRDefault="003579C6" w:rsidP="00424A9D">
            <w:pPr>
              <w:rPr>
                <w:color w:val="000000"/>
                <w:sz w:val="20"/>
                <w:szCs w:val="20"/>
                <w:lang w:val="ru-RU"/>
              </w:rPr>
            </w:pPr>
            <w:r w:rsidRPr="000559B7">
              <w:rPr>
                <w:bCs/>
                <w:color w:val="000000"/>
                <w:sz w:val="20"/>
                <w:szCs w:val="20"/>
                <w:lang w:val="ru-RU"/>
              </w:rPr>
              <w:t>Промежуточный итог</w:t>
            </w:r>
          </w:p>
        </w:tc>
        <w:tc>
          <w:tcPr>
            <w:tcW w:w="1416" w:type="dxa"/>
            <w:tcBorders>
              <w:top w:val="nil"/>
              <w:left w:val="nil"/>
              <w:bottom w:val="single" w:sz="4" w:space="0" w:color="auto"/>
              <w:right w:val="nil"/>
            </w:tcBorders>
            <w:shd w:val="clear" w:color="auto" w:fill="auto"/>
            <w:noWrap/>
            <w:vAlign w:val="bottom"/>
            <w:hideMark/>
          </w:tcPr>
          <w:p w:rsidR="003579C6" w:rsidRPr="000559B7" w:rsidRDefault="003579C6" w:rsidP="00424A9D">
            <w:pPr>
              <w:rPr>
                <w:color w:val="000000"/>
                <w:sz w:val="20"/>
                <w:szCs w:val="20"/>
                <w:lang w:val="ru-RU"/>
              </w:rPr>
            </w:pPr>
            <w:r w:rsidRPr="000559B7">
              <w:rPr>
                <w:color w:val="000000"/>
                <w:sz w:val="20"/>
                <w:szCs w:val="20"/>
                <w:lang w:val="ru-RU"/>
              </w:rPr>
              <w:t xml:space="preserve">               669,0 </w:t>
            </w:r>
          </w:p>
        </w:tc>
      </w:tr>
      <w:tr w:rsidR="003579C6" w:rsidRPr="000559B7" w:rsidTr="006E109B">
        <w:trPr>
          <w:trHeight w:val="264"/>
          <w:jc w:val="center"/>
        </w:trPr>
        <w:tc>
          <w:tcPr>
            <w:tcW w:w="5556" w:type="dxa"/>
            <w:tcBorders>
              <w:top w:val="nil"/>
              <w:left w:val="nil"/>
              <w:bottom w:val="nil"/>
              <w:right w:val="nil"/>
            </w:tcBorders>
            <w:shd w:val="clear" w:color="auto" w:fill="auto"/>
            <w:vAlign w:val="bottom"/>
            <w:hideMark/>
          </w:tcPr>
          <w:p w:rsidR="003579C6" w:rsidRPr="000559B7" w:rsidRDefault="003579C6" w:rsidP="00424A9D">
            <w:pPr>
              <w:rPr>
                <w:color w:val="000000"/>
                <w:sz w:val="20"/>
                <w:szCs w:val="20"/>
                <w:lang w:val="ru-RU"/>
              </w:rPr>
            </w:pPr>
          </w:p>
        </w:tc>
        <w:tc>
          <w:tcPr>
            <w:tcW w:w="1416" w:type="dxa"/>
            <w:tcBorders>
              <w:top w:val="nil"/>
              <w:left w:val="nil"/>
              <w:bottom w:val="nil"/>
              <w:right w:val="nil"/>
            </w:tcBorders>
            <w:shd w:val="clear" w:color="auto" w:fill="auto"/>
            <w:noWrap/>
            <w:vAlign w:val="bottom"/>
            <w:hideMark/>
          </w:tcPr>
          <w:p w:rsidR="003579C6" w:rsidRPr="000559B7" w:rsidRDefault="003579C6" w:rsidP="00424A9D">
            <w:pPr>
              <w:rPr>
                <w:sz w:val="20"/>
                <w:szCs w:val="20"/>
                <w:lang w:val="ru-RU"/>
              </w:rPr>
            </w:pPr>
          </w:p>
        </w:tc>
      </w:tr>
      <w:tr w:rsidR="003579C6" w:rsidRPr="000559B7" w:rsidTr="006E109B">
        <w:trPr>
          <w:trHeight w:val="276"/>
          <w:jc w:val="center"/>
        </w:trPr>
        <w:tc>
          <w:tcPr>
            <w:tcW w:w="5556" w:type="dxa"/>
            <w:tcBorders>
              <w:top w:val="single" w:sz="4" w:space="0" w:color="auto"/>
              <w:left w:val="nil"/>
              <w:bottom w:val="single" w:sz="8" w:space="0" w:color="auto"/>
              <w:right w:val="nil"/>
            </w:tcBorders>
            <w:shd w:val="clear" w:color="auto" w:fill="auto"/>
            <w:noWrap/>
            <w:vAlign w:val="bottom"/>
            <w:hideMark/>
          </w:tcPr>
          <w:p w:rsidR="003579C6" w:rsidRPr="000559B7" w:rsidRDefault="003579C6" w:rsidP="00424A9D">
            <w:pPr>
              <w:rPr>
                <w:b/>
                <w:bCs/>
                <w:color w:val="000000"/>
                <w:sz w:val="20"/>
                <w:szCs w:val="20"/>
                <w:lang w:val="ru-RU"/>
              </w:rPr>
            </w:pPr>
            <w:r w:rsidRPr="000559B7">
              <w:rPr>
                <w:b/>
                <w:bCs/>
                <w:color w:val="000000"/>
                <w:sz w:val="20"/>
                <w:szCs w:val="20"/>
                <w:lang w:val="ru-RU"/>
              </w:rPr>
              <w:t>Итого</w:t>
            </w:r>
          </w:p>
        </w:tc>
        <w:tc>
          <w:tcPr>
            <w:tcW w:w="1416" w:type="dxa"/>
            <w:tcBorders>
              <w:top w:val="single" w:sz="4" w:space="0" w:color="auto"/>
              <w:left w:val="nil"/>
              <w:bottom w:val="single" w:sz="8" w:space="0" w:color="auto"/>
              <w:right w:val="nil"/>
            </w:tcBorders>
            <w:shd w:val="clear" w:color="auto" w:fill="auto"/>
            <w:noWrap/>
            <w:vAlign w:val="bottom"/>
            <w:hideMark/>
          </w:tcPr>
          <w:p w:rsidR="003579C6" w:rsidRPr="000559B7" w:rsidRDefault="00424A9D" w:rsidP="00424A9D">
            <w:pPr>
              <w:jc w:val="center"/>
              <w:rPr>
                <w:b/>
                <w:bCs/>
                <w:color w:val="000000"/>
                <w:sz w:val="20"/>
                <w:szCs w:val="20"/>
                <w:lang w:val="ru-RU"/>
              </w:rPr>
            </w:pPr>
            <w:r w:rsidRPr="000559B7">
              <w:rPr>
                <w:b/>
                <w:bCs/>
                <w:color w:val="000000"/>
                <w:sz w:val="20"/>
                <w:szCs w:val="20"/>
                <w:lang w:val="ru-RU"/>
              </w:rPr>
              <w:t xml:space="preserve">          19 </w:t>
            </w:r>
            <w:r w:rsidR="003579C6" w:rsidRPr="000559B7">
              <w:rPr>
                <w:b/>
                <w:bCs/>
                <w:color w:val="000000"/>
                <w:sz w:val="20"/>
                <w:szCs w:val="20"/>
                <w:lang w:val="ru-RU"/>
              </w:rPr>
              <w:t xml:space="preserve">475,0 </w:t>
            </w:r>
          </w:p>
        </w:tc>
      </w:tr>
      <w:tr w:rsidR="003579C6" w:rsidRPr="000559B7" w:rsidTr="006E109B">
        <w:trPr>
          <w:trHeight w:val="276"/>
          <w:jc w:val="center"/>
        </w:trPr>
        <w:tc>
          <w:tcPr>
            <w:tcW w:w="5556" w:type="dxa"/>
            <w:tcBorders>
              <w:top w:val="single" w:sz="4" w:space="0" w:color="auto"/>
              <w:left w:val="nil"/>
              <w:bottom w:val="single" w:sz="8" w:space="0" w:color="auto"/>
              <w:right w:val="nil"/>
            </w:tcBorders>
            <w:shd w:val="clear" w:color="auto" w:fill="auto"/>
            <w:noWrap/>
            <w:vAlign w:val="bottom"/>
            <w:hideMark/>
          </w:tcPr>
          <w:p w:rsidR="003579C6" w:rsidRPr="000559B7" w:rsidRDefault="003579C6" w:rsidP="00424A9D">
            <w:pPr>
              <w:rPr>
                <w:b/>
                <w:bCs/>
                <w:color w:val="000000"/>
                <w:sz w:val="20"/>
                <w:szCs w:val="20"/>
                <w:lang w:val="ru-RU"/>
              </w:rPr>
            </w:pPr>
            <w:r w:rsidRPr="000559B7">
              <w:rPr>
                <w:b/>
                <w:bCs/>
                <w:color w:val="000000"/>
                <w:sz w:val="20"/>
                <w:szCs w:val="20"/>
                <w:lang w:val="ru-RU"/>
              </w:rPr>
              <w:t>Расходы на поддержку программ (13%)</w:t>
            </w:r>
          </w:p>
        </w:tc>
        <w:tc>
          <w:tcPr>
            <w:tcW w:w="1416" w:type="dxa"/>
            <w:tcBorders>
              <w:top w:val="single" w:sz="4" w:space="0" w:color="auto"/>
              <w:left w:val="nil"/>
              <w:bottom w:val="single" w:sz="8" w:space="0" w:color="auto"/>
              <w:right w:val="nil"/>
            </w:tcBorders>
            <w:shd w:val="clear" w:color="auto" w:fill="auto"/>
            <w:noWrap/>
            <w:vAlign w:val="bottom"/>
            <w:hideMark/>
          </w:tcPr>
          <w:p w:rsidR="003579C6" w:rsidRPr="000559B7" w:rsidRDefault="00424A9D" w:rsidP="00424A9D">
            <w:pPr>
              <w:jc w:val="center"/>
              <w:rPr>
                <w:b/>
                <w:bCs/>
                <w:color w:val="000000"/>
                <w:sz w:val="20"/>
                <w:szCs w:val="20"/>
                <w:lang w:val="ru-RU"/>
              </w:rPr>
            </w:pPr>
            <w:r w:rsidRPr="000559B7">
              <w:rPr>
                <w:b/>
                <w:bCs/>
                <w:color w:val="000000"/>
                <w:sz w:val="20"/>
                <w:szCs w:val="20"/>
                <w:lang w:val="ru-RU"/>
              </w:rPr>
              <w:t xml:space="preserve">            2 </w:t>
            </w:r>
            <w:r w:rsidR="003579C6" w:rsidRPr="000559B7">
              <w:rPr>
                <w:b/>
                <w:bCs/>
                <w:color w:val="000000"/>
                <w:sz w:val="20"/>
                <w:szCs w:val="20"/>
                <w:lang w:val="ru-RU"/>
              </w:rPr>
              <w:t xml:space="preserve">531,8 </w:t>
            </w:r>
          </w:p>
        </w:tc>
      </w:tr>
      <w:tr w:rsidR="003579C6" w:rsidRPr="000559B7" w:rsidTr="006E109B">
        <w:trPr>
          <w:trHeight w:val="276"/>
          <w:jc w:val="center"/>
        </w:trPr>
        <w:tc>
          <w:tcPr>
            <w:tcW w:w="5556" w:type="dxa"/>
            <w:tcBorders>
              <w:top w:val="single" w:sz="4" w:space="0" w:color="auto"/>
              <w:left w:val="nil"/>
              <w:bottom w:val="single" w:sz="8" w:space="0" w:color="auto"/>
              <w:right w:val="nil"/>
            </w:tcBorders>
            <w:shd w:val="clear" w:color="auto" w:fill="auto"/>
            <w:noWrap/>
            <w:vAlign w:val="bottom"/>
            <w:hideMark/>
          </w:tcPr>
          <w:p w:rsidR="003579C6" w:rsidRPr="000559B7" w:rsidRDefault="00DA2FD5" w:rsidP="00DA2FD5">
            <w:pPr>
              <w:rPr>
                <w:b/>
                <w:bCs/>
                <w:color w:val="000000"/>
                <w:sz w:val="20"/>
                <w:szCs w:val="20"/>
                <w:lang w:val="ru-RU"/>
              </w:rPr>
            </w:pPr>
            <w:r>
              <w:rPr>
                <w:b/>
                <w:bCs/>
                <w:color w:val="000000"/>
                <w:sz w:val="20"/>
                <w:szCs w:val="20"/>
                <w:lang w:val="ru-RU"/>
              </w:rPr>
              <w:t>Итого по</w:t>
            </w:r>
            <w:r w:rsidR="003579C6" w:rsidRPr="000559B7">
              <w:rPr>
                <w:b/>
                <w:bCs/>
                <w:color w:val="000000"/>
                <w:sz w:val="20"/>
                <w:szCs w:val="20"/>
                <w:lang w:val="ru-RU"/>
              </w:rPr>
              <w:t xml:space="preserve"> Конвенци</w:t>
            </w:r>
            <w:r>
              <w:rPr>
                <w:b/>
                <w:bCs/>
                <w:color w:val="000000"/>
                <w:sz w:val="20"/>
                <w:szCs w:val="20"/>
                <w:lang w:val="ru-RU"/>
              </w:rPr>
              <w:t>и</w:t>
            </w:r>
            <w:r w:rsidR="003579C6" w:rsidRPr="000559B7">
              <w:rPr>
                <w:b/>
                <w:bCs/>
                <w:color w:val="000000"/>
                <w:sz w:val="20"/>
                <w:szCs w:val="20"/>
                <w:lang w:val="ru-RU"/>
              </w:rPr>
              <w:t xml:space="preserve"> о биологическом разнообразии </w:t>
            </w:r>
          </w:p>
        </w:tc>
        <w:tc>
          <w:tcPr>
            <w:tcW w:w="1416" w:type="dxa"/>
            <w:tcBorders>
              <w:top w:val="single" w:sz="4" w:space="0" w:color="auto"/>
              <w:left w:val="nil"/>
              <w:bottom w:val="single" w:sz="8" w:space="0" w:color="auto"/>
              <w:right w:val="nil"/>
            </w:tcBorders>
            <w:shd w:val="clear" w:color="auto" w:fill="auto"/>
            <w:noWrap/>
            <w:vAlign w:val="bottom"/>
            <w:hideMark/>
          </w:tcPr>
          <w:p w:rsidR="003579C6" w:rsidRPr="000559B7" w:rsidRDefault="003579C6" w:rsidP="00424A9D">
            <w:pPr>
              <w:jc w:val="center"/>
              <w:rPr>
                <w:b/>
                <w:bCs/>
                <w:color w:val="000000"/>
                <w:sz w:val="20"/>
                <w:szCs w:val="20"/>
                <w:lang w:val="ru-RU"/>
              </w:rPr>
            </w:pPr>
            <w:r w:rsidRPr="000559B7">
              <w:rPr>
                <w:b/>
                <w:bCs/>
                <w:color w:val="000000"/>
                <w:sz w:val="20"/>
                <w:szCs w:val="20"/>
                <w:lang w:val="ru-RU"/>
              </w:rPr>
              <w:t xml:space="preserve">          </w:t>
            </w:r>
            <w:r w:rsidR="00424A9D" w:rsidRPr="000559B7">
              <w:rPr>
                <w:b/>
                <w:bCs/>
                <w:color w:val="000000"/>
                <w:sz w:val="20"/>
                <w:szCs w:val="20"/>
                <w:lang w:val="ru-RU"/>
              </w:rPr>
              <w:t xml:space="preserve">22 </w:t>
            </w:r>
            <w:r w:rsidRPr="000559B7">
              <w:rPr>
                <w:b/>
                <w:bCs/>
                <w:color w:val="000000"/>
                <w:sz w:val="20"/>
                <w:szCs w:val="20"/>
                <w:lang w:val="ru-RU"/>
              </w:rPr>
              <w:t xml:space="preserve">006,8 </w:t>
            </w:r>
          </w:p>
        </w:tc>
      </w:tr>
    </w:tbl>
    <w:p w:rsidR="002F64CA" w:rsidRPr="000559B7" w:rsidRDefault="002F64CA" w:rsidP="006F3F0C">
      <w:pPr>
        <w:rPr>
          <w:lang w:val="ru-RU"/>
        </w:rPr>
      </w:pPr>
    </w:p>
    <w:p w:rsidR="001C6C0F" w:rsidRPr="009B07B7" w:rsidRDefault="002F64CA" w:rsidP="009B07B7">
      <w:pPr>
        <w:pStyle w:val="Paragraphedeliste"/>
        <w:keepNext/>
        <w:keepLines/>
        <w:numPr>
          <w:ilvl w:val="0"/>
          <w:numId w:val="9"/>
        </w:numPr>
        <w:spacing w:after="160" w:line="259" w:lineRule="auto"/>
        <w:jc w:val="center"/>
        <w:rPr>
          <w:b/>
          <w:color w:val="000000" w:themeColor="text1"/>
          <w:kern w:val="20"/>
          <w:lang w:val="en-GB"/>
        </w:rPr>
      </w:pPr>
      <w:r w:rsidRPr="000559B7">
        <w:rPr>
          <w:lang w:val="ru-RU"/>
        </w:rPr>
        <w:br w:type="column"/>
      </w:r>
      <w:r w:rsidR="001C6C0F" w:rsidRPr="009B07B7">
        <w:rPr>
          <w:b/>
          <w:color w:val="000000" w:themeColor="text1"/>
          <w:kern w:val="20"/>
          <w:lang w:val="en-GB"/>
        </w:rPr>
        <w:lastRenderedPageBreak/>
        <w:t>Картахенский протокол по биобезопасности</w:t>
      </w:r>
    </w:p>
    <w:p w:rsidR="001C6C0F" w:rsidRPr="000559B7" w:rsidRDefault="00547FC8" w:rsidP="001C6C0F">
      <w:pPr>
        <w:pStyle w:val="Paragraphedeliste"/>
        <w:keepNext/>
        <w:keepLines/>
        <w:jc w:val="center"/>
        <w:rPr>
          <w:i/>
          <w:lang w:val="ru-RU"/>
        </w:rPr>
      </w:pPr>
      <w:r w:rsidRPr="000559B7">
        <w:rPr>
          <w:i/>
          <w:lang w:val="ru-RU"/>
        </w:rPr>
        <w:t xml:space="preserve">(в тысячах </w:t>
      </w:r>
      <w:r w:rsidR="001C6C0F" w:rsidRPr="000559B7">
        <w:rPr>
          <w:i/>
          <w:lang w:val="ru-RU"/>
        </w:rPr>
        <w:t xml:space="preserve"> долл. США)</w:t>
      </w:r>
    </w:p>
    <w:p w:rsidR="001C6C0F" w:rsidRPr="000559B7" w:rsidRDefault="001C6C0F" w:rsidP="001C6C0F">
      <w:pPr>
        <w:pStyle w:val="Paragraphedeliste"/>
        <w:keepNext/>
        <w:keepLines/>
        <w:jc w:val="center"/>
        <w:rPr>
          <w:lang w:val="ru-RU"/>
        </w:rPr>
      </w:pPr>
    </w:p>
    <w:tbl>
      <w:tblPr>
        <w:tblW w:w="7792" w:type="dxa"/>
        <w:jc w:val="center"/>
        <w:tblLook w:val="04A0"/>
      </w:tblPr>
      <w:tblGrid>
        <w:gridCol w:w="6056"/>
        <w:gridCol w:w="1736"/>
      </w:tblGrid>
      <w:tr w:rsidR="001C6C0F" w:rsidRPr="000559B7" w:rsidTr="001C6C0F">
        <w:trPr>
          <w:trHeight w:val="264"/>
          <w:jc w:val="center"/>
        </w:trPr>
        <w:tc>
          <w:tcPr>
            <w:tcW w:w="6056" w:type="dxa"/>
            <w:tcBorders>
              <w:top w:val="nil"/>
              <w:left w:val="nil"/>
              <w:bottom w:val="nil"/>
              <w:right w:val="nil"/>
            </w:tcBorders>
            <w:shd w:val="clear" w:color="auto" w:fill="auto"/>
            <w:noWrap/>
            <w:vAlign w:val="bottom"/>
            <w:hideMark/>
          </w:tcPr>
          <w:p w:rsidR="001C6C0F" w:rsidRPr="00DA2FD5" w:rsidRDefault="001C6C0F" w:rsidP="001C6C0F">
            <w:pPr>
              <w:keepNext/>
              <w:keepLines/>
              <w:rPr>
                <w:b/>
                <w:bCs/>
                <w:color w:val="000000"/>
                <w:sz w:val="20"/>
                <w:szCs w:val="20"/>
                <w:lang w:val="ru-RU"/>
              </w:rPr>
            </w:pPr>
            <w:r w:rsidRPr="00DA2FD5">
              <w:rPr>
                <w:b/>
                <w:bCs/>
                <w:color w:val="000000"/>
                <w:sz w:val="20"/>
                <w:szCs w:val="20"/>
                <w:lang w:val="ru-RU"/>
              </w:rPr>
              <w:t>Совещания экспертов</w:t>
            </w:r>
          </w:p>
        </w:tc>
        <w:tc>
          <w:tcPr>
            <w:tcW w:w="1736" w:type="dxa"/>
            <w:tcBorders>
              <w:top w:val="nil"/>
              <w:left w:val="nil"/>
              <w:bottom w:val="nil"/>
              <w:right w:val="nil"/>
            </w:tcBorders>
            <w:shd w:val="clear" w:color="auto" w:fill="auto"/>
            <w:noWrap/>
            <w:vAlign w:val="bottom"/>
            <w:hideMark/>
          </w:tcPr>
          <w:p w:rsidR="001C6C0F" w:rsidRPr="000559B7" w:rsidRDefault="001C6C0F" w:rsidP="001C6C0F">
            <w:pPr>
              <w:keepNext/>
              <w:keepLines/>
              <w:rPr>
                <w:b/>
                <w:bCs/>
                <w:color w:val="000000"/>
                <w:sz w:val="20"/>
                <w:szCs w:val="20"/>
                <w:highlight w:val="magenta"/>
                <w:u w:val="single"/>
                <w:lang w:val="ru-RU"/>
              </w:rPr>
            </w:pPr>
          </w:p>
        </w:tc>
      </w:tr>
      <w:tr w:rsidR="001C6C0F" w:rsidRPr="000559B7" w:rsidTr="001C6C0F">
        <w:trPr>
          <w:trHeight w:val="264"/>
          <w:jc w:val="center"/>
        </w:trPr>
        <w:tc>
          <w:tcPr>
            <w:tcW w:w="6056" w:type="dxa"/>
            <w:tcBorders>
              <w:top w:val="nil"/>
              <w:left w:val="nil"/>
              <w:bottom w:val="nil"/>
              <w:right w:val="nil"/>
            </w:tcBorders>
            <w:shd w:val="clear" w:color="auto" w:fill="auto"/>
            <w:vAlign w:val="bottom"/>
            <w:hideMark/>
          </w:tcPr>
          <w:p w:rsidR="001C6C0F" w:rsidRPr="000559B7" w:rsidRDefault="001C6C0F" w:rsidP="001C6C0F">
            <w:pPr>
              <w:keepNext/>
              <w:keepLines/>
              <w:rPr>
                <w:color w:val="000000"/>
                <w:sz w:val="20"/>
                <w:szCs w:val="20"/>
                <w:lang w:val="ru-RU"/>
              </w:rPr>
            </w:pPr>
            <w:r w:rsidRPr="000559B7">
              <w:rPr>
                <w:color w:val="000000"/>
                <w:sz w:val="20"/>
                <w:szCs w:val="20"/>
                <w:lang w:val="ru-RU"/>
              </w:rPr>
              <w:t>Специальная группа технических экспертов по социально-экономическим соображениям</w:t>
            </w:r>
          </w:p>
        </w:tc>
        <w:tc>
          <w:tcPr>
            <w:tcW w:w="1736" w:type="dxa"/>
            <w:tcBorders>
              <w:top w:val="nil"/>
              <w:left w:val="nil"/>
              <w:bottom w:val="nil"/>
              <w:right w:val="nil"/>
            </w:tcBorders>
            <w:shd w:val="clear" w:color="auto" w:fill="auto"/>
            <w:noWrap/>
            <w:vAlign w:val="bottom"/>
            <w:hideMark/>
          </w:tcPr>
          <w:p w:rsidR="001C6C0F" w:rsidRPr="000559B7" w:rsidRDefault="001C6C0F" w:rsidP="001C6C0F">
            <w:pPr>
              <w:keepNext/>
              <w:keepLines/>
              <w:rPr>
                <w:color w:val="000000"/>
                <w:sz w:val="20"/>
                <w:szCs w:val="20"/>
                <w:lang w:val="ru-RU"/>
              </w:rPr>
            </w:pPr>
            <w:r w:rsidRPr="000559B7">
              <w:rPr>
                <w:color w:val="000000"/>
                <w:sz w:val="20"/>
                <w:szCs w:val="20"/>
                <w:lang w:val="ru-RU"/>
              </w:rPr>
              <w:t xml:space="preserve">                       78,0 </w:t>
            </w:r>
          </w:p>
        </w:tc>
      </w:tr>
      <w:tr w:rsidR="001C6C0F" w:rsidRPr="000559B7" w:rsidTr="001C6C0F">
        <w:trPr>
          <w:trHeight w:val="264"/>
          <w:jc w:val="center"/>
        </w:trPr>
        <w:tc>
          <w:tcPr>
            <w:tcW w:w="6056" w:type="dxa"/>
            <w:tcBorders>
              <w:top w:val="single" w:sz="4" w:space="0" w:color="auto"/>
              <w:left w:val="nil"/>
              <w:bottom w:val="single" w:sz="4" w:space="0" w:color="auto"/>
              <w:right w:val="nil"/>
            </w:tcBorders>
            <w:shd w:val="clear" w:color="auto" w:fill="auto"/>
            <w:vAlign w:val="bottom"/>
            <w:hideMark/>
          </w:tcPr>
          <w:p w:rsidR="001C6C0F" w:rsidRPr="000559B7" w:rsidRDefault="008B12C4" w:rsidP="001C6C0F">
            <w:pPr>
              <w:keepNext/>
              <w:keepLines/>
              <w:rPr>
                <w:color w:val="000000"/>
                <w:sz w:val="20"/>
                <w:szCs w:val="20"/>
                <w:lang w:val="ru-RU"/>
              </w:rPr>
            </w:pPr>
            <w:r w:rsidRPr="000559B7">
              <w:rPr>
                <w:color w:val="000000"/>
                <w:sz w:val="20"/>
                <w:szCs w:val="20"/>
                <w:lang w:val="ru-RU"/>
              </w:rPr>
              <w:t>Промежуточный итог</w:t>
            </w:r>
          </w:p>
        </w:tc>
        <w:tc>
          <w:tcPr>
            <w:tcW w:w="1736" w:type="dxa"/>
            <w:tcBorders>
              <w:top w:val="single" w:sz="4" w:space="0" w:color="auto"/>
              <w:left w:val="nil"/>
              <w:bottom w:val="single" w:sz="4" w:space="0" w:color="auto"/>
              <w:right w:val="nil"/>
            </w:tcBorders>
            <w:shd w:val="clear" w:color="auto" w:fill="auto"/>
            <w:noWrap/>
            <w:vAlign w:val="bottom"/>
            <w:hideMark/>
          </w:tcPr>
          <w:p w:rsidR="001C6C0F" w:rsidRPr="000559B7" w:rsidRDefault="001C6C0F" w:rsidP="001C6C0F">
            <w:pPr>
              <w:keepNext/>
              <w:keepLines/>
              <w:rPr>
                <w:color w:val="000000"/>
                <w:sz w:val="20"/>
                <w:szCs w:val="20"/>
                <w:lang w:val="ru-RU"/>
              </w:rPr>
            </w:pPr>
            <w:r w:rsidRPr="000559B7">
              <w:rPr>
                <w:color w:val="000000"/>
                <w:sz w:val="20"/>
                <w:szCs w:val="20"/>
                <w:lang w:val="ru-RU"/>
              </w:rPr>
              <w:t xml:space="preserve">                       78,0 </w:t>
            </w:r>
          </w:p>
        </w:tc>
      </w:tr>
      <w:tr w:rsidR="001C6C0F" w:rsidRPr="000559B7" w:rsidTr="001C6C0F">
        <w:trPr>
          <w:trHeight w:val="264"/>
          <w:jc w:val="center"/>
        </w:trPr>
        <w:tc>
          <w:tcPr>
            <w:tcW w:w="6056" w:type="dxa"/>
            <w:tcBorders>
              <w:top w:val="nil"/>
              <w:left w:val="nil"/>
              <w:bottom w:val="nil"/>
              <w:right w:val="nil"/>
            </w:tcBorders>
            <w:shd w:val="clear" w:color="auto" w:fill="auto"/>
            <w:noWrap/>
            <w:vAlign w:val="bottom"/>
            <w:hideMark/>
          </w:tcPr>
          <w:p w:rsidR="001C6C0F" w:rsidRPr="000559B7" w:rsidRDefault="001C6C0F" w:rsidP="001C6C0F">
            <w:pPr>
              <w:keepNext/>
              <w:keepLines/>
              <w:rPr>
                <w:color w:val="000000"/>
                <w:sz w:val="20"/>
                <w:szCs w:val="20"/>
                <w:highlight w:val="magenta"/>
                <w:lang w:val="ru-RU"/>
              </w:rPr>
            </w:pPr>
          </w:p>
        </w:tc>
        <w:tc>
          <w:tcPr>
            <w:tcW w:w="1736" w:type="dxa"/>
            <w:tcBorders>
              <w:top w:val="nil"/>
              <w:left w:val="nil"/>
              <w:bottom w:val="nil"/>
              <w:right w:val="nil"/>
            </w:tcBorders>
            <w:shd w:val="clear" w:color="auto" w:fill="auto"/>
            <w:noWrap/>
            <w:vAlign w:val="bottom"/>
            <w:hideMark/>
          </w:tcPr>
          <w:p w:rsidR="001C6C0F" w:rsidRPr="000559B7" w:rsidRDefault="001C6C0F" w:rsidP="001C6C0F">
            <w:pPr>
              <w:keepNext/>
              <w:keepLines/>
              <w:rPr>
                <w:sz w:val="20"/>
                <w:szCs w:val="20"/>
                <w:highlight w:val="magenta"/>
                <w:lang w:val="ru-RU"/>
              </w:rPr>
            </w:pPr>
          </w:p>
        </w:tc>
      </w:tr>
      <w:tr w:rsidR="001C6C0F" w:rsidRPr="000559B7" w:rsidTr="001C6C0F">
        <w:trPr>
          <w:trHeight w:val="264"/>
          <w:jc w:val="center"/>
        </w:trPr>
        <w:tc>
          <w:tcPr>
            <w:tcW w:w="6056" w:type="dxa"/>
            <w:tcBorders>
              <w:top w:val="nil"/>
              <w:left w:val="nil"/>
              <w:bottom w:val="nil"/>
              <w:right w:val="nil"/>
            </w:tcBorders>
            <w:shd w:val="clear" w:color="auto" w:fill="auto"/>
            <w:noWrap/>
            <w:vAlign w:val="bottom"/>
            <w:hideMark/>
          </w:tcPr>
          <w:p w:rsidR="001C6C0F" w:rsidRPr="00DA2FD5" w:rsidRDefault="001C6C0F" w:rsidP="001C6C0F">
            <w:pPr>
              <w:rPr>
                <w:b/>
                <w:bCs/>
                <w:color w:val="000000"/>
                <w:sz w:val="20"/>
                <w:szCs w:val="20"/>
                <w:lang w:val="ru-RU"/>
              </w:rPr>
            </w:pPr>
            <w:r w:rsidRPr="00DA2FD5">
              <w:rPr>
                <w:b/>
                <w:bCs/>
                <w:color w:val="000000"/>
                <w:sz w:val="20"/>
                <w:szCs w:val="20"/>
                <w:lang w:val="ru-RU"/>
              </w:rPr>
              <w:t>Семинары по созданию потенциала</w:t>
            </w:r>
          </w:p>
        </w:tc>
        <w:tc>
          <w:tcPr>
            <w:tcW w:w="1736" w:type="dxa"/>
            <w:tcBorders>
              <w:top w:val="nil"/>
              <w:left w:val="nil"/>
              <w:bottom w:val="nil"/>
              <w:right w:val="nil"/>
            </w:tcBorders>
            <w:shd w:val="clear" w:color="auto" w:fill="auto"/>
            <w:noWrap/>
            <w:vAlign w:val="bottom"/>
            <w:hideMark/>
          </w:tcPr>
          <w:p w:rsidR="001C6C0F" w:rsidRPr="000559B7" w:rsidRDefault="001C6C0F" w:rsidP="001C6C0F">
            <w:pPr>
              <w:rPr>
                <w:b/>
                <w:bCs/>
                <w:color w:val="000000"/>
                <w:sz w:val="20"/>
                <w:szCs w:val="20"/>
                <w:highlight w:val="magenta"/>
                <w:u w:val="single"/>
                <w:lang w:val="ru-RU"/>
              </w:rPr>
            </w:pPr>
          </w:p>
        </w:tc>
      </w:tr>
      <w:tr w:rsidR="001C6C0F" w:rsidRPr="000559B7" w:rsidTr="001C6C0F">
        <w:trPr>
          <w:trHeight w:val="264"/>
          <w:jc w:val="center"/>
        </w:trPr>
        <w:tc>
          <w:tcPr>
            <w:tcW w:w="6056" w:type="dxa"/>
            <w:tcBorders>
              <w:top w:val="nil"/>
              <w:left w:val="nil"/>
              <w:bottom w:val="nil"/>
              <w:right w:val="nil"/>
            </w:tcBorders>
            <w:shd w:val="clear" w:color="auto" w:fill="auto"/>
            <w:vAlign w:val="bottom"/>
            <w:hideMark/>
          </w:tcPr>
          <w:p w:rsidR="001C6C0F" w:rsidRPr="000559B7" w:rsidRDefault="00BE2507" w:rsidP="001C6C0F">
            <w:pPr>
              <w:rPr>
                <w:color w:val="000000"/>
                <w:sz w:val="20"/>
                <w:szCs w:val="20"/>
                <w:lang w:val="ru-RU"/>
              </w:rPr>
            </w:pPr>
            <w:r w:rsidRPr="000559B7">
              <w:rPr>
                <w:color w:val="000000"/>
                <w:sz w:val="20"/>
                <w:szCs w:val="20"/>
                <w:lang w:val="ru-RU"/>
              </w:rPr>
              <w:t>Нагойско</w:t>
            </w:r>
            <w:r w:rsidR="0079223A" w:rsidRPr="000559B7">
              <w:rPr>
                <w:color w:val="000000"/>
                <w:sz w:val="20"/>
                <w:szCs w:val="20"/>
                <w:lang w:val="ru-RU"/>
              </w:rPr>
              <w:t>-</w:t>
            </w:r>
            <w:r w:rsidRPr="000559B7">
              <w:rPr>
                <w:color w:val="000000"/>
                <w:sz w:val="20"/>
                <w:szCs w:val="20"/>
                <w:lang w:val="ru-RU"/>
              </w:rPr>
              <w:t>Куала-Л</w:t>
            </w:r>
            <w:r w:rsidR="001C6C0F" w:rsidRPr="000559B7">
              <w:rPr>
                <w:color w:val="000000"/>
                <w:sz w:val="20"/>
                <w:szCs w:val="20"/>
                <w:lang w:val="ru-RU"/>
              </w:rPr>
              <w:t>умпурский дополнительный протокол</w:t>
            </w:r>
          </w:p>
        </w:tc>
        <w:tc>
          <w:tcPr>
            <w:tcW w:w="1736" w:type="dxa"/>
            <w:tcBorders>
              <w:top w:val="nil"/>
              <w:left w:val="nil"/>
              <w:bottom w:val="nil"/>
              <w:right w:val="nil"/>
            </w:tcBorders>
            <w:shd w:val="clear" w:color="auto" w:fill="auto"/>
            <w:noWrap/>
            <w:vAlign w:val="bottom"/>
            <w:hideMark/>
          </w:tcPr>
          <w:p w:rsidR="001C6C0F" w:rsidRPr="000559B7" w:rsidRDefault="001C6C0F" w:rsidP="001C6C0F">
            <w:pPr>
              <w:rPr>
                <w:color w:val="000000"/>
                <w:sz w:val="20"/>
                <w:szCs w:val="20"/>
                <w:lang w:val="ru-RU"/>
              </w:rPr>
            </w:pPr>
            <w:r w:rsidRPr="000559B7">
              <w:rPr>
                <w:color w:val="000000"/>
                <w:sz w:val="20"/>
                <w:szCs w:val="20"/>
                <w:lang w:val="ru-RU"/>
              </w:rPr>
              <w:t xml:space="preserve">                     147,0 </w:t>
            </w:r>
          </w:p>
        </w:tc>
      </w:tr>
      <w:tr w:rsidR="001C6C0F" w:rsidRPr="000559B7" w:rsidTr="001C6C0F">
        <w:trPr>
          <w:trHeight w:val="264"/>
          <w:jc w:val="center"/>
        </w:trPr>
        <w:tc>
          <w:tcPr>
            <w:tcW w:w="6056" w:type="dxa"/>
            <w:tcBorders>
              <w:top w:val="nil"/>
              <w:left w:val="nil"/>
              <w:bottom w:val="nil"/>
              <w:right w:val="nil"/>
            </w:tcBorders>
            <w:shd w:val="clear" w:color="auto" w:fill="auto"/>
            <w:vAlign w:val="bottom"/>
            <w:hideMark/>
          </w:tcPr>
          <w:p w:rsidR="001C6C0F" w:rsidRPr="000559B7" w:rsidRDefault="001C6C0F" w:rsidP="001C6C0F">
            <w:pPr>
              <w:rPr>
                <w:color w:val="000000"/>
                <w:sz w:val="20"/>
                <w:szCs w:val="20"/>
                <w:lang w:val="ru-RU"/>
              </w:rPr>
            </w:pPr>
            <w:r w:rsidRPr="000559B7">
              <w:rPr>
                <w:color w:val="000000"/>
                <w:sz w:val="20"/>
                <w:szCs w:val="20"/>
                <w:lang w:val="ru-RU"/>
              </w:rPr>
              <w:t xml:space="preserve">Создание потенциала </w:t>
            </w:r>
          </w:p>
        </w:tc>
        <w:tc>
          <w:tcPr>
            <w:tcW w:w="1736" w:type="dxa"/>
            <w:tcBorders>
              <w:top w:val="nil"/>
              <w:left w:val="nil"/>
              <w:bottom w:val="single" w:sz="4" w:space="0" w:color="auto"/>
              <w:right w:val="nil"/>
            </w:tcBorders>
            <w:shd w:val="clear" w:color="auto" w:fill="auto"/>
            <w:noWrap/>
            <w:vAlign w:val="bottom"/>
            <w:hideMark/>
          </w:tcPr>
          <w:p w:rsidR="001C6C0F" w:rsidRPr="000559B7" w:rsidRDefault="001C6C0F" w:rsidP="001C6C0F">
            <w:pPr>
              <w:rPr>
                <w:color w:val="000000"/>
                <w:sz w:val="20"/>
                <w:szCs w:val="20"/>
                <w:lang w:val="ru-RU"/>
              </w:rPr>
            </w:pPr>
            <w:r w:rsidRPr="000559B7">
              <w:rPr>
                <w:color w:val="000000"/>
                <w:sz w:val="20"/>
                <w:szCs w:val="20"/>
                <w:lang w:val="ru-RU"/>
              </w:rPr>
              <w:t xml:space="preserve">                       15,0 </w:t>
            </w:r>
          </w:p>
        </w:tc>
      </w:tr>
      <w:tr w:rsidR="001C6C0F" w:rsidRPr="000559B7" w:rsidTr="001C6C0F">
        <w:trPr>
          <w:trHeight w:val="264"/>
          <w:jc w:val="center"/>
        </w:trPr>
        <w:tc>
          <w:tcPr>
            <w:tcW w:w="6056" w:type="dxa"/>
            <w:tcBorders>
              <w:top w:val="single" w:sz="4" w:space="0" w:color="auto"/>
              <w:left w:val="nil"/>
              <w:bottom w:val="single" w:sz="4" w:space="0" w:color="auto"/>
              <w:right w:val="nil"/>
            </w:tcBorders>
            <w:shd w:val="clear" w:color="auto" w:fill="auto"/>
            <w:vAlign w:val="bottom"/>
            <w:hideMark/>
          </w:tcPr>
          <w:p w:rsidR="001C6C0F" w:rsidRPr="000559B7" w:rsidRDefault="008B12C4" w:rsidP="001C6C0F">
            <w:pPr>
              <w:rPr>
                <w:color w:val="000000"/>
                <w:sz w:val="20"/>
                <w:szCs w:val="20"/>
                <w:lang w:val="ru-RU"/>
              </w:rPr>
            </w:pPr>
            <w:r w:rsidRPr="000559B7">
              <w:rPr>
                <w:color w:val="000000"/>
                <w:sz w:val="20"/>
                <w:szCs w:val="20"/>
                <w:lang w:val="ru-RU"/>
              </w:rPr>
              <w:t>Промежуточный итог</w:t>
            </w:r>
          </w:p>
        </w:tc>
        <w:tc>
          <w:tcPr>
            <w:tcW w:w="1736" w:type="dxa"/>
            <w:tcBorders>
              <w:top w:val="nil"/>
              <w:left w:val="nil"/>
              <w:bottom w:val="single" w:sz="4" w:space="0" w:color="auto"/>
              <w:right w:val="nil"/>
            </w:tcBorders>
            <w:shd w:val="clear" w:color="auto" w:fill="auto"/>
            <w:noWrap/>
            <w:vAlign w:val="bottom"/>
            <w:hideMark/>
          </w:tcPr>
          <w:p w:rsidR="001C6C0F" w:rsidRPr="000559B7" w:rsidRDefault="001C6C0F" w:rsidP="001C6C0F">
            <w:pPr>
              <w:rPr>
                <w:color w:val="000000"/>
                <w:sz w:val="20"/>
                <w:szCs w:val="20"/>
                <w:lang w:val="ru-RU"/>
              </w:rPr>
            </w:pPr>
            <w:r w:rsidRPr="000559B7">
              <w:rPr>
                <w:color w:val="000000"/>
                <w:sz w:val="20"/>
                <w:szCs w:val="20"/>
                <w:lang w:val="ru-RU"/>
              </w:rPr>
              <w:t xml:space="preserve">                     162,0 </w:t>
            </w:r>
          </w:p>
        </w:tc>
      </w:tr>
      <w:tr w:rsidR="001C6C0F" w:rsidRPr="000559B7" w:rsidTr="001C6C0F">
        <w:trPr>
          <w:trHeight w:val="264"/>
          <w:jc w:val="center"/>
        </w:trPr>
        <w:tc>
          <w:tcPr>
            <w:tcW w:w="6056" w:type="dxa"/>
            <w:tcBorders>
              <w:top w:val="nil"/>
              <w:left w:val="nil"/>
              <w:bottom w:val="nil"/>
              <w:right w:val="nil"/>
            </w:tcBorders>
            <w:shd w:val="clear" w:color="auto" w:fill="auto"/>
            <w:noWrap/>
            <w:vAlign w:val="bottom"/>
            <w:hideMark/>
          </w:tcPr>
          <w:p w:rsidR="001C6C0F" w:rsidRPr="000559B7" w:rsidRDefault="001C6C0F" w:rsidP="001C6C0F">
            <w:pPr>
              <w:rPr>
                <w:color w:val="000000"/>
                <w:sz w:val="20"/>
                <w:szCs w:val="20"/>
                <w:highlight w:val="magenta"/>
                <w:lang w:val="ru-RU"/>
              </w:rPr>
            </w:pPr>
          </w:p>
        </w:tc>
        <w:tc>
          <w:tcPr>
            <w:tcW w:w="1736" w:type="dxa"/>
            <w:tcBorders>
              <w:top w:val="nil"/>
              <w:left w:val="nil"/>
              <w:bottom w:val="nil"/>
              <w:right w:val="nil"/>
            </w:tcBorders>
            <w:shd w:val="clear" w:color="auto" w:fill="auto"/>
            <w:noWrap/>
            <w:vAlign w:val="bottom"/>
            <w:hideMark/>
          </w:tcPr>
          <w:p w:rsidR="001C6C0F" w:rsidRPr="000559B7" w:rsidRDefault="001C6C0F" w:rsidP="001C6C0F">
            <w:pPr>
              <w:rPr>
                <w:sz w:val="20"/>
                <w:szCs w:val="20"/>
                <w:highlight w:val="magenta"/>
                <w:lang w:val="ru-RU"/>
              </w:rPr>
            </w:pPr>
          </w:p>
        </w:tc>
      </w:tr>
      <w:tr w:rsidR="001C6C0F" w:rsidRPr="000559B7" w:rsidTr="001C6C0F">
        <w:trPr>
          <w:trHeight w:val="264"/>
          <w:jc w:val="center"/>
        </w:trPr>
        <w:tc>
          <w:tcPr>
            <w:tcW w:w="6056" w:type="dxa"/>
            <w:tcBorders>
              <w:top w:val="nil"/>
              <w:left w:val="nil"/>
              <w:bottom w:val="nil"/>
              <w:right w:val="nil"/>
            </w:tcBorders>
            <w:shd w:val="clear" w:color="auto" w:fill="auto"/>
            <w:noWrap/>
            <w:vAlign w:val="bottom"/>
            <w:hideMark/>
          </w:tcPr>
          <w:p w:rsidR="001C6C0F" w:rsidRPr="00480C6C" w:rsidRDefault="001C6C0F" w:rsidP="001C6C0F">
            <w:pPr>
              <w:rPr>
                <w:b/>
                <w:bCs/>
                <w:color w:val="000000"/>
                <w:sz w:val="20"/>
                <w:szCs w:val="20"/>
                <w:lang w:val="ru-RU"/>
              </w:rPr>
            </w:pPr>
            <w:r w:rsidRPr="00480C6C">
              <w:rPr>
                <w:b/>
                <w:bCs/>
                <w:color w:val="000000"/>
                <w:sz w:val="20"/>
                <w:szCs w:val="20"/>
                <w:lang w:val="ru-RU"/>
              </w:rPr>
              <w:t>Другие семинары</w:t>
            </w:r>
          </w:p>
        </w:tc>
        <w:tc>
          <w:tcPr>
            <w:tcW w:w="1736" w:type="dxa"/>
            <w:tcBorders>
              <w:top w:val="nil"/>
              <w:left w:val="nil"/>
              <w:bottom w:val="nil"/>
              <w:right w:val="nil"/>
            </w:tcBorders>
            <w:shd w:val="clear" w:color="auto" w:fill="auto"/>
            <w:noWrap/>
            <w:vAlign w:val="bottom"/>
            <w:hideMark/>
          </w:tcPr>
          <w:p w:rsidR="001C6C0F" w:rsidRPr="000559B7" w:rsidRDefault="001C6C0F" w:rsidP="001C6C0F">
            <w:pPr>
              <w:rPr>
                <w:b/>
                <w:bCs/>
                <w:color w:val="000000"/>
                <w:sz w:val="20"/>
                <w:szCs w:val="20"/>
                <w:highlight w:val="magenta"/>
                <w:u w:val="single"/>
                <w:lang w:val="ru-RU"/>
              </w:rPr>
            </w:pPr>
          </w:p>
        </w:tc>
      </w:tr>
      <w:tr w:rsidR="001C6C0F" w:rsidRPr="000559B7" w:rsidTr="001C6C0F">
        <w:trPr>
          <w:trHeight w:val="264"/>
          <w:jc w:val="center"/>
        </w:trPr>
        <w:tc>
          <w:tcPr>
            <w:tcW w:w="6056" w:type="dxa"/>
            <w:tcBorders>
              <w:top w:val="nil"/>
              <w:left w:val="nil"/>
              <w:bottom w:val="nil"/>
              <w:right w:val="nil"/>
            </w:tcBorders>
            <w:shd w:val="clear" w:color="auto" w:fill="auto"/>
            <w:vAlign w:val="bottom"/>
            <w:hideMark/>
          </w:tcPr>
          <w:p w:rsidR="001C6C0F" w:rsidRPr="000559B7" w:rsidRDefault="001C6C0F" w:rsidP="001C6C0F">
            <w:pPr>
              <w:rPr>
                <w:color w:val="000000"/>
                <w:sz w:val="20"/>
                <w:szCs w:val="20"/>
                <w:lang w:val="ru-RU"/>
              </w:rPr>
            </w:pPr>
            <w:r w:rsidRPr="000559B7">
              <w:rPr>
                <w:color w:val="000000"/>
                <w:sz w:val="20"/>
                <w:szCs w:val="20"/>
                <w:lang w:val="ru-RU"/>
              </w:rPr>
              <w:t>Стратегический план для Картахенского протокола по биобезопасности (2011-2020 гг.)</w:t>
            </w:r>
          </w:p>
        </w:tc>
        <w:tc>
          <w:tcPr>
            <w:tcW w:w="1736" w:type="dxa"/>
            <w:tcBorders>
              <w:top w:val="nil"/>
              <w:left w:val="nil"/>
              <w:bottom w:val="nil"/>
              <w:right w:val="nil"/>
            </w:tcBorders>
            <w:shd w:val="clear" w:color="auto" w:fill="auto"/>
            <w:noWrap/>
            <w:vAlign w:val="bottom"/>
            <w:hideMark/>
          </w:tcPr>
          <w:p w:rsidR="001C6C0F" w:rsidRPr="000559B7" w:rsidRDefault="001C6C0F" w:rsidP="001C6C0F">
            <w:pPr>
              <w:rPr>
                <w:color w:val="000000"/>
                <w:sz w:val="20"/>
                <w:szCs w:val="20"/>
                <w:lang w:val="ru-RU"/>
              </w:rPr>
            </w:pPr>
            <w:r w:rsidRPr="000559B7">
              <w:rPr>
                <w:color w:val="000000"/>
                <w:sz w:val="20"/>
                <w:szCs w:val="20"/>
                <w:lang w:val="ru-RU"/>
              </w:rPr>
              <w:t xml:space="preserve">                       69,0 </w:t>
            </w:r>
          </w:p>
        </w:tc>
      </w:tr>
      <w:tr w:rsidR="001C6C0F" w:rsidRPr="000559B7" w:rsidTr="001C6C0F">
        <w:trPr>
          <w:trHeight w:val="264"/>
          <w:jc w:val="center"/>
        </w:trPr>
        <w:tc>
          <w:tcPr>
            <w:tcW w:w="6056" w:type="dxa"/>
            <w:tcBorders>
              <w:top w:val="nil"/>
              <w:left w:val="nil"/>
              <w:bottom w:val="nil"/>
              <w:right w:val="nil"/>
            </w:tcBorders>
            <w:shd w:val="clear" w:color="auto" w:fill="auto"/>
            <w:vAlign w:val="bottom"/>
            <w:hideMark/>
          </w:tcPr>
          <w:p w:rsidR="001C6C0F" w:rsidRPr="000559B7" w:rsidRDefault="00480C6C" w:rsidP="00480C6C">
            <w:pPr>
              <w:rPr>
                <w:color w:val="000000"/>
                <w:sz w:val="20"/>
                <w:szCs w:val="20"/>
                <w:lang w:val="ru-RU"/>
              </w:rPr>
            </w:pPr>
            <w:r>
              <w:rPr>
                <w:color w:val="000000"/>
                <w:sz w:val="20"/>
                <w:szCs w:val="20"/>
                <w:lang w:val="ru-RU"/>
              </w:rPr>
              <w:t>Т</w:t>
            </w:r>
            <w:r w:rsidR="001C6C0F" w:rsidRPr="000559B7">
              <w:rPr>
                <w:color w:val="000000"/>
                <w:sz w:val="20"/>
                <w:szCs w:val="20"/>
                <w:lang w:val="ru-RU"/>
              </w:rPr>
              <w:t>рансграничные перемещения и чрезвычайные меры</w:t>
            </w:r>
          </w:p>
        </w:tc>
        <w:tc>
          <w:tcPr>
            <w:tcW w:w="1736" w:type="dxa"/>
            <w:tcBorders>
              <w:top w:val="nil"/>
              <w:left w:val="nil"/>
              <w:bottom w:val="single" w:sz="4" w:space="0" w:color="auto"/>
              <w:right w:val="nil"/>
            </w:tcBorders>
            <w:shd w:val="clear" w:color="auto" w:fill="auto"/>
            <w:noWrap/>
            <w:vAlign w:val="bottom"/>
            <w:hideMark/>
          </w:tcPr>
          <w:p w:rsidR="001C6C0F" w:rsidRPr="000559B7" w:rsidRDefault="001C6C0F" w:rsidP="001C6C0F">
            <w:pPr>
              <w:rPr>
                <w:color w:val="000000"/>
                <w:sz w:val="20"/>
                <w:szCs w:val="20"/>
                <w:lang w:val="ru-RU"/>
              </w:rPr>
            </w:pPr>
            <w:r w:rsidRPr="000559B7">
              <w:rPr>
                <w:color w:val="000000"/>
                <w:sz w:val="20"/>
                <w:szCs w:val="20"/>
                <w:lang w:val="ru-RU"/>
              </w:rPr>
              <w:t xml:space="preserve">                       48,0 </w:t>
            </w:r>
          </w:p>
        </w:tc>
      </w:tr>
      <w:tr w:rsidR="001C6C0F" w:rsidRPr="000559B7" w:rsidTr="001C6C0F">
        <w:trPr>
          <w:trHeight w:val="264"/>
          <w:jc w:val="center"/>
        </w:trPr>
        <w:tc>
          <w:tcPr>
            <w:tcW w:w="6056" w:type="dxa"/>
            <w:tcBorders>
              <w:top w:val="single" w:sz="4" w:space="0" w:color="auto"/>
              <w:left w:val="nil"/>
              <w:bottom w:val="single" w:sz="4" w:space="0" w:color="auto"/>
              <w:right w:val="nil"/>
            </w:tcBorders>
            <w:shd w:val="clear" w:color="auto" w:fill="auto"/>
            <w:vAlign w:val="bottom"/>
            <w:hideMark/>
          </w:tcPr>
          <w:p w:rsidR="001C6C0F" w:rsidRPr="000559B7" w:rsidRDefault="008B12C4" w:rsidP="001C6C0F">
            <w:pPr>
              <w:rPr>
                <w:color w:val="000000"/>
                <w:sz w:val="20"/>
                <w:szCs w:val="20"/>
                <w:lang w:val="ru-RU"/>
              </w:rPr>
            </w:pPr>
            <w:r w:rsidRPr="000559B7">
              <w:rPr>
                <w:color w:val="000000"/>
                <w:sz w:val="20"/>
                <w:szCs w:val="20"/>
                <w:lang w:val="ru-RU"/>
              </w:rPr>
              <w:t>Промежуточный итог</w:t>
            </w:r>
          </w:p>
        </w:tc>
        <w:tc>
          <w:tcPr>
            <w:tcW w:w="1736" w:type="dxa"/>
            <w:tcBorders>
              <w:top w:val="nil"/>
              <w:left w:val="nil"/>
              <w:bottom w:val="single" w:sz="4" w:space="0" w:color="auto"/>
              <w:right w:val="nil"/>
            </w:tcBorders>
            <w:shd w:val="clear" w:color="auto" w:fill="auto"/>
            <w:noWrap/>
            <w:vAlign w:val="bottom"/>
            <w:hideMark/>
          </w:tcPr>
          <w:p w:rsidR="001C6C0F" w:rsidRPr="000559B7" w:rsidRDefault="001C6C0F" w:rsidP="001C6C0F">
            <w:pPr>
              <w:rPr>
                <w:color w:val="000000"/>
                <w:sz w:val="20"/>
                <w:szCs w:val="20"/>
                <w:lang w:val="ru-RU"/>
              </w:rPr>
            </w:pPr>
            <w:r w:rsidRPr="000559B7">
              <w:rPr>
                <w:color w:val="000000"/>
                <w:sz w:val="20"/>
                <w:szCs w:val="20"/>
                <w:lang w:val="ru-RU"/>
              </w:rPr>
              <w:t xml:space="preserve">                     117,0 </w:t>
            </w:r>
          </w:p>
        </w:tc>
      </w:tr>
      <w:tr w:rsidR="001C6C0F" w:rsidRPr="000559B7" w:rsidTr="001C6C0F">
        <w:trPr>
          <w:trHeight w:val="264"/>
          <w:jc w:val="center"/>
        </w:trPr>
        <w:tc>
          <w:tcPr>
            <w:tcW w:w="6056" w:type="dxa"/>
            <w:tcBorders>
              <w:top w:val="nil"/>
              <w:left w:val="nil"/>
              <w:bottom w:val="nil"/>
              <w:right w:val="nil"/>
            </w:tcBorders>
            <w:shd w:val="clear" w:color="auto" w:fill="auto"/>
            <w:noWrap/>
            <w:vAlign w:val="bottom"/>
            <w:hideMark/>
          </w:tcPr>
          <w:p w:rsidR="001C6C0F" w:rsidRPr="000559B7" w:rsidRDefault="001C6C0F" w:rsidP="001C6C0F">
            <w:pPr>
              <w:rPr>
                <w:color w:val="000000"/>
                <w:sz w:val="20"/>
                <w:szCs w:val="20"/>
                <w:highlight w:val="magenta"/>
                <w:lang w:val="ru-RU"/>
              </w:rPr>
            </w:pPr>
          </w:p>
        </w:tc>
        <w:tc>
          <w:tcPr>
            <w:tcW w:w="1736" w:type="dxa"/>
            <w:tcBorders>
              <w:top w:val="nil"/>
              <w:left w:val="nil"/>
              <w:bottom w:val="nil"/>
              <w:right w:val="nil"/>
            </w:tcBorders>
            <w:shd w:val="clear" w:color="auto" w:fill="auto"/>
            <w:noWrap/>
            <w:vAlign w:val="bottom"/>
            <w:hideMark/>
          </w:tcPr>
          <w:p w:rsidR="001C6C0F" w:rsidRPr="000559B7" w:rsidRDefault="001C6C0F" w:rsidP="001C6C0F">
            <w:pPr>
              <w:rPr>
                <w:sz w:val="20"/>
                <w:szCs w:val="20"/>
                <w:highlight w:val="magenta"/>
                <w:lang w:val="ru-RU"/>
              </w:rPr>
            </w:pPr>
          </w:p>
        </w:tc>
      </w:tr>
      <w:tr w:rsidR="001C6C0F" w:rsidRPr="000559B7" w:rsidTr="001C6C0F">
        <w:trPr>
          <w:trHeight w:val="264"/>
          <w:jc w:val="center"/>
        </w:trPr>
        <w:tc>
          <w:tcPr>
            <w:tcW w:w="6056" w:type="dxa"/>
            <w:tcBorders>
              <w:top w:val="nil"/>
              <w:left w:val="nil"/>
              <w:bottom w:val="nil"/>
              <w:right w:val="nil"/>
            </w:tcBorders>
            <w:shd w:val="clear" w:color="auto" w:fill="auto"/>
            <w:noWrap/>
            <w:vAlign w:val="bottom"/>
            <w:hideMark/>
          </w:tcPr>
          <w:p w:rsidR="001C6C0F" w:rsidRPr="00DA2FD5" w:rsidRDefault="001C6C0F" w:rsidP="001C6C0F">
            <w:pPr>
              <w:rPr>
                <w:b/>
                <w:bCs/>
                <w:color w:val="000000"/>
                <w:sz w:val="20"/>
                <w:szCs w:val="20"/>
                <w:lang w:val="ru-RU"/>
              </w:rPr>
            </w:pPr>
            <w:r w:rsidRPr="00DA2FD5">
              <w:rPr>
                <w:b/>
                <w:bCs/>
                <w:color w:val="000000"/>
                <w:sz w:val="20"/>
                <w:szCs w:val="20"/>
                <w:lang w:val="ru-RU"/>
              </w:rPr>
              <w:t>Персонал</w:t>
            </w:r>
          </w:p>
        </w:tc>
        <w:tc>
          <w:tcPr>
            <w:tcW w:w="1736" w:type="dxa"/>
            <w:tcBorders>
              <w:top w:val="nil"/>
              <w:left w:val="nil"/>
              <w:bottom w:val="nil"/>
              <w:right w:val="nil"/>
            </w:tcBorders>
            <w:shd w:val="clear" w:color="auto" w:fill="auto"/>
            <w:noWrap/>
            <w:vAlign w:val="bottom"/>
            <w:hideMark/>
          </w:tcPr>
          <w:p w:rsidR="001C6C0F" w:rsidRPr="000559B7" w:rsidRDefault="001C6C0F" w:rsidP="001C6C0F">
            <w:pPr>
              <w:rPr>
                <w:b/>
                <w:bCs/>
                <w:color w:val="000000"/>
                <w:sz w:val="20"/>
                <w:szCs w:val="20"/>
                <w:highlight w:val="magenta"/>
                <w:u w:val="single"/>
                <w:lang w:val="ru-RU"/>
              </w:rPr>
            </w:pPr>
          </w:p>
        </w:tc>
      </w:tr>
      <w:tr w:rsidR="001C6C0F" w:rsidRPr="000559B7" w:rsidTr="001C6C0F">
        <w:trPr>
          <w:trHeight w:val="264"/>
          <w:jc w:val="center"/>
        </w:trPr>
        <w:tc>
          <w:tcPr>
            <w:tcW w:w="6056" w:type="dxa"/>
            <w:tcBorders>
              <w:top w:val="nil"/>
              <w:left w:val="nil"/>
              <w:bottom w:val="nil"/>
              <w:right w:val="nil"/>
            </w:tcBorders>
            <w:shd w:val="clear" w:color="auto" w:fill="auto"/>
            <w:vAlign w:val="bottom"/>
            <w:hideMark/>
          </w:tcPr>
          <w:p w:rsidR="001C6C0F" w:rsidRPr="000559B7" w:rsidRDefault="001C6C0F" w:rsidP="006F27B8">
            <w:pPr>
              <w:rPr>
                <w:color w:val="000000"/>
                <w:sz w:val="20"/>
                <w:szCs w:val="20"/>
                <w:lang w:val="ru-RU"/>
              </w:rPr>
            </w:pPr>
            <w:r w:rsidRPr="000559B7">
              <w:rPr>
                <w:color w:val="000000"/>
                <w:sz w:val="20"/>
                <w:szCs w:val="20"/>
                <w:lang w:val="ru-RU"/>
              </w:rPr>
              <w:t>Сотрудник по программам МПБ (С-3)</w:t>
            </w:r>
          </w:p>
        </w:tc>
        <w:tc>
          <w:tcPr>
            <w:tcW w:w="1736" w:type="dxa"/>
            <w:tcBorders>
              <w:top w:val="nil"/>
              <w:left w:val="nil"/>
              <w:bottom w:val="single" w:sz="4" w:space="0" w:color="auto"/>
              <w:right w:val="nil"/>
            </w:tcBorders>
            <w:shd w:val="clear" w:color="auto" w:fill="auto"/>
            <w:noWrap/>
            <w:vAlign w:val="bottom"/>
            <w:hideMark/>
          </w:tcPr>
          <w:p w:rsidR="001C6C0F" w:rsidRPr="000559B7" w:rsidRDefault="001C6C0F" w:rsidP="001C6C0F">
            <w:pPr>
              <w:rPr>
                <w:color w:val="000000"/>
                <w:sz w:val="20"/>
                <w:szCs w:val="20"/>
                <w:lang w:val="ru-RU"/>
              </w:rPr>
            </w:pPr>
            <w:r w:rsidRPr="000559B7">
              <w:rPr>
                <w:color w:val="000000"/>
                <w:sz w:val="20"/>
                <w:szCs w:val="20"/>
                <w:lang w:val="ru-RU"/>
              </w:rPr>
              <w:t xml:space="preserve">                     327,0 </w:t>
            </w:r>
          </w:p>
        </w:tc>
      </w:tr>
      <w:tr w:rsidR="001C6C0F" w:rsidRPr="000559B7" w:rsidTr="001C6C0F">
        <w:trPr>
          <w:trHeight w:val="264"/>
          <w:jc w:val="center"/>
        </w:trPr>
        <w:tc>
          <w:tcPr>
            <w:tcW w:w="6056" w:type="dxa"/>
            <w:tcBorders>
              <w:top w:val="single" w:sz="4" w:space="0" w:color="auto"/>
              <w:left w:val="nil"/>
              <w:bottom w:val="single" w:sz="4" w:space="0" w:color="auto"/>
              <w:right w:val="nil"/>
            </w:tcBorders>
            <w:shd w:val="clear" w:color="auto" w:fill="auto"/>
            <w:vAlign w:val="bottom"/>
            <w:hideMark/>
          </w:tcPr>
          <w:p w:rsidR="001C6C0F" w:rsidRPr="000559B7" w:rsidRDefault="008B12C4" w:rsidP="001C6C0F">
            <w:pPr>
              <w:rPr>
                <w:color w:val="000000"/>
                <w:sz w:val="20"/>
                <w:szCs w:val="20"/>
                <w:lang w:val="ru-RU"/>
              </w:rPr>
            </w:pPr>
            <w:r w:rsidRPr="000559B7">
              <w:rPr>
                <w:color w:val="000000"/>
                <w:sz w:val="20"/>
                <w:szCs w:val="20"/>
                <w:lang w:val="ru-RU"/>
              </w:rPr>
              <w:t>Промежуточный итог</w:t>
            </w:r>
          </w:p>
        </w:tc>
        <w:tc>
          <w:tcPr>
            <w:tcW w:w="1736" w:type="dxa"/>
            <w:tcBorders>
              <w:top w:val="nil"/>
              <w:left w:val="nil"/>
              <w:bottom w:val="single" w:sz="4" w:space="0" w:color="auto"/>
              <w:right w:val="nil"/>
            </w:tcBorders>
            <w:shd w:val="clear" w:color="auto" w:fill="auto"/>
            <w:noWrap/>
            <w:vAlign w:val="bottom"/>
            <w:hideMark/>
          </w:tcPr>
          <w:p w:rsidR="001C6C0F" w:rsidRPr="000559B7" w:rsidRDefault="001C6C0F" w:rsidP="001C6C0F">
            <w:pPr>
              <w:rPr>
                <w:color w:val="000000"/>
                <w:sz w:val="20"/>
                <w:szCs w:val="20"/>
                <w:lang w:val="ru-RU"/>
              </w:rPr>
            </w:pPr>
            <w:r w:rsidRPr="000559B7">
              <w:rPr>
                <w:color w:val="000000"/>
                <w:sz w:val="20"/>
                <w:szCs w:val="20"/>
                <w:lang w:val="ru-RU"/>
              </w:rPr>
              <w:t xml:space="preserve">                     327,0 </w:t>
            </w:r>
          </w:p>
        </w:tc>
      </w:tr>
      <w:tr w:rsidR="001C6C0F" w:rsidRPr="000559B7" w:rsidTr="001C6C0F">
        <w:trPr>
          <w:trHeight w:val="264"/>
          <w:jc w:val="center"/>
        </w:trPr>
        <w:tc>
          <w:tcPr>
            <w:tcW w:w="6056" w:type="dxa"/>
            <w:tcBorders>
              <w:top w:val="nil"/>
              <w:left w:val="nil"/>
              <w:bottom w:val="nil"/>
              <w:right w:val="nil"/>
            </w:tcBorders>
            <w:shd w:val="clear" w:color="auto" w:fill="auto"/>
            <w:noWrap/>
            <w:vAlign w:val="bottom"/>
            <w:hideMark/>
          </w:tcPr>
          <w:p w:rsidR="001C6C0F" w:rsidRPr="000559B7" w:rsidRDefault="001C6C0F" w:rsidP="001C6C0F">
            <w:pPr>
              <w:rPr>
                <w:color w:val="000000"/>
                <w:sz w:val="20"/>
                <w:szCs w:val="20"/>
                <w:highlight w:val="magenta"/>
                <w:lang w:val="ru-RU"/>
              </w:rPr>
            </w:pPr>
          </w:p>
        </w:tc>
        <w:tc>
          <w:tcPr>
            <w:tcW w:w="1736" w:type="dxa"/>
            <w:tcBorders>
              <w:top w:val="nil"/>
              <w:left w:val="nil"/>
              <w:bottom w:val="nil"/>
              <w:right w:val="nil"/>
            </w:tcBorders>
            <w:shd w:val="clear" w:color="auto" w:fill="auto"/>
            <w:noWrap/>
            <w:vAlign w:val="bottom"/>
            <w:hideMark/>
          </w:tcPr>
          <w:p w:rsidR="001C6C0F" w:rsidRPr="000559B7" w:rsidRDefault="001C6C0F" w:rsidP="001C6C0F">
            <w:pPr>
              <w:rPr>
                <w:sz w:val="20"/>
                <w:szCs w:val="20"/>
                <w:highlight w:val="magenta"/>
                <w:lang w:val="ru-RU"/>
              </w:rPr>
            </w:pPr>
          </w:p>
        </w:tc>
      </w:tr>
      <w:tr w:rsidR="001C6C0F" w:rsidRPr="000559B7" w:rsidTr="001C6C0F">
        <w:trPr>
          <w:trHeight w:val="264"/>
          <w:jc w:val="center"/>
        </w:trPr>
        <w:tc>
          <w:tcPr>
            <w:tcW w:w="6056" w:type="dxa"/>
            <w:tcBorders>
              <w:top w:val="nil"/>
              <w:left w:val="nil"/>
              <w:bottom w:val="nil"/>
              <w:right w:val="nil"/>
            </w:tcBorders>
            <w:shd w:val="clear" w:color="auto" w:fill="auto"/>
            <w:noWrap/>
            <w:vAlign w:val="bottom"/>
            <w:hideMark/>
          </w:tcPr>
          <w:p w:rsidR="001C6C0F" w:rsidRPr="00DA2FD5" w:rsidRDefault="001C6C0F" w:rsidP="001C6C0F">
            <w:pPr>
              <w:rPr>
                <w:b/>
                <w:bCs/>
                <w:color w:val="000000"/>
                <w:sz w:val="20"/>
                <w:szCs w:val="20"/>
                <w:lang w:val="ru-RU"/>
              </w:rPr>
            </w:pPr>
            <w:r w:rsidRPr="00DA2FD5">
              <w:rPr>
                <w:b/>
                <w:bCs/>
                <w:color w:val="000000"/>
                <w:sz w:val="20"/>
                <w:szCs w:val="20"/>
                <w:lang w:val="ru-RU"/>
              </w:rPr>
              <w:t>Консультанты</w:t>
            </w:r>
          </w:p>
        </w:tc>
        <w:tc>
          <w:tcPr>
            <w:tcW w:w="1736" w:type="dxa"/>
            <w:tcBorders>
              <w:top w:val="nil"/>
              <w:left w:val="nil"/>
              <w:bottom w:val="nil"/>
              <w:right w:val="nil"/>
            </w:tcBorders>
            <w:shd w:val="clear" w:color="auto" w:fill="auto"/>
            <w:noWrap/>
            <w:vAlign w:val="bottom"/>
            <w:hideMark/>
          </w:tcPr>
          <w:p w:rsidR="001C6C0F" w:rsidRPr="000559B7" w:rsidRDefault="001C6C0F" w:rsidP="001C6C0F">
            <w:pPr>
              <w:rPr>
                <w:b/>
                <w:bCs/>
                <w:color w:val="000000"/>
                <w:sz w:val="20"/>
                <w:szCs w:val="20"/>
                <w:highlight w:val="magenta"/>
                <w:u w:val="single"/>
                <w:lang w:val="ru-RU"/>
              </w:rPr>
            </w:pPr>
          </w:p>
        </w:tc>
      </w:tr>
      <w:tr w:rsidR="001C6C0F" w:rsidRPr="000559B7" w:rsidTr="001C6C0F">
        <w:trPr>
          <w:trHeight w:val="300"/>
          <w:jc w:val="center"/>
        </w:trPr>
        <w:tc>
          <w:tcPr>
            <w:tcW w:w="6056" w:type="dxa"/>
            <w:tcBorders>
              <w:top w:val="nil"/>
              <w:left w:val="nil"/>
              <w:bottom w:val="nil"/>
              <w:right w:val="nil"/>
            </w:tcBorders>
            <w:shd w:val="clear" w:color="auto" w:fill="auto"/>
            <w:vAlign w:val="bottom"/>
            <w:hideMark/>
          </w:tcPr>
          <w:p w:rsidR="001C6C0F" w:rsidRPr="000559B7" w:rsidRDefault="001C6C0F" w:rsidP="001C6C0F">
            <w:pPr>
              <w:rPr>
                <w:color w:val="000000"/>
                <w:sz w:val="20"/>
                <w:szCs w:val="20"/>
                <w:lang w:val="ru-RU"/>
              </w:rPr>
            </w:pPr>
            <w:r w:rsidRPr="000559B7">
              <w:rPr>
                <w:color w:val="000000"/>
                <w:sz w:val="20"/>
                <w:szCs w:val="20"/>
                <w:lang w:val="ru-RU"/>
              </w:rPr>
              <w:t>Осуществление планов действий по обеспечению соблюдения</w:t>
            </w:r>
          </w:p>
        </w:tc>
        <w:tc>
          <w:tcPr>
            <w:tcW w:w="1736" w:type="dxa"/>
            <w:tcBorders>
              <w:top w:val="nil"/>
              <w:left w:val="nil"/>
              <w:bottom w:val="nil"/>
              <w:right w:val="nil"/>
            </w:tcBorders>
            <w:shd w:val="clear" w:color="auto" w:fill="auto"/>
            <w:noWrap/>
            <w:vAlign w:val="bottom"/>
            <w:hideMark/>
          </w:tcPr>
          <w:p w:rsidR="001C6C0F" w:rsidRPr="000559B7" w:rsidRDefault="001C6C0F" w:rsidP="001C6C0F">
            <w:pPr>
              <w:rPr>
                <w:color w:val="000000"/>
                <w:sz w:val="20"/>
                <w:szCs w:val="20"/>
                <w:lang w:val="ru-RU"/>
              </w:rPr>
            </w:pPr>
            <w:r w:rsidRPr="000559B7">
              <w:rPr>
                <w:color w:val="000000"/>
                <w:sz w:val="20"/>
                <w:szCs w:val="20"/>
                <w:lang w:val="ru-RU"/>
              </w:rPr>
              <w:t xml:space="preserve">                       75,0 </w:t>
            </w:r>
          </w:p>
        </w:tc>
      </w:tr>
      <w:tr w:rsidR="001C6C0F" w:rsidRPr="000559B7" w:rsidTr="001C6C0F">
        <w:trPr>
          <w:trHeight w:val="264"/>
          <w:jc w:val="center"/>
        </w:trPr>
        <w:tc>
          <w:tcPr>
            <w:tcW w:w="6056" w:type="dxa"/>
            <w:tcBorders>
              <w:top w:val="nil"/>
              <w:left w:val="nil"/>
              <w:bottom w:val="nil"/>
              <w:right w:val="nil"/>
            </w:tcBorders>
            <w:shd w:val="clear" w:color="auto" w:fill="auto"/>
            <w:vAlign w:val="bottom"/>
            <w:hideMark/>
          </w:tcPr>
          <w:p w:rsidR="001C6C0F" w:rsidRPr="000559B7" w:rsidRDefault="001C6C0F" w:rsidP="001C6C0F">
            <w:pPr>
              <w:rPr>
                <w:color w:val="000000"/>
                <w:sz w:val="20"/>
                <w:szCs w:val="20"/>
                <w:lang w:val="ru-RU"/>
              </w:rPr>
            </w:pPr>
            <w:r w:rsidRPr="000559B7">
              <w:rPr>
                <w:color w:val="000000"/>
                <w:sz w:val="20"/>
                <w:szCs w:val="20"/>
                <w:lang w:val="ru-RU"/>
              </w:rPr>
              <w:t>Оценка рисков и регулирование рисков</w:t>
            </w:r>
          </w:p>
        </w:tc>
        <w:tc>
          <w:tcPr>
            <w:tcW w:w="1736" w:type="dxa"/>
            <w:tcBorders>
              <w:top w:val="nil"/>
              <w:left w:val="nil"/>
              <w:bottom w:val="nil"/>
              <w:right w:val="nil"/>
            </w:tcBorders>
            <w:shd w:val="clear" w:color="auto" w:fill="auto"/>
            <w:noWrap/>
            <w:vAlign w:val="bottom"/>
            <w:hideMark/>
          </w:tcPr>
          <w:p w:rsidR="001C6C0F" w:rsidRPr="000559B7" w:rsidRDefault="001C6C0F" w:rsidP="001C6C0F">
            <w:pPr>
              <w:rPr>
                <w:color w:val="000000"/>
                <w:sz w:val="20"/>
                <w:szCs w:val="20"/>
                <w:lang w:val="ru-RU"/>
              </w:rPr>
            </w:pPr>
            <w:r w:rsidRPr="000559B7">
              <w:rPr>
                <w:color w:val="000000"/>
                <w:sz w:val="20"/>
                <w:szCs w:val="20"/>
                <w:lang w:val="ru-RU"/>
              </w:rPr>
              <w:t xml:space="preserve">                       45,0 </w:t>
            </w:r>
          </w:p>
        </w:tc>
      </w:tr>
      <w:tr w:rsidR="001C6C0F" w:rsidRPr="000559B7" w:rsidTr="001C6C0F">
        <w:trPr>
          <w:trHeight w:val="264"/>
          <w:jc w:val="center"/>
        </w:trPr>
        <w:tc>
          <w:tcPr>
            <w:tcW w:w="6056" w:type="dxa"/>
            <w:tcBorders>
              <w:top w:val="nil"/>
              <w:left w:val="nil"/>
              <w:bottom w:val="nil"/>
              <w:right w:val="nil"/>
            </w:tcBorders>
            <w:shd w:val="clear" w:color="auto" w:fill="auto"/>
            <w:vAlign w:val="bottom"/>
            <w:hideMark/>
          </w:tcPr>
          <w:p w:rsidR="001C6C0F" w:rsidRPr="000559B7" w:rsidRDefault="0079223A" w:rsidP="001C6C0F">
            <w:pPr>
              <w:rPr>
                <w:color w:val="000000"/>
                <w:sz w:val="20"/>
                <w:szCs w:val="20"/>
                <w:lang w:val="ru-RU"/>
              </w:rPr>
            </w:pPr>
            <w:r w:rsidRPr="000559B7">
              <w:rPr>
                <w:color w:val="000000"/>
                <w:sz w:val="20"/>
                <w:szCs w:val="20"/>
                <w:lang w:val="ru-RU"/>
              </w:rPr>
              <w:t>Нагойско-Куала-Л</w:t>
            </w:r>
            <w:r w:rsidR="001C6C0F" w:rsidRPr="000559B7">
              <w:rPr>
                <w:color w:val="000000"/>
                <w:sz w:val="20"/>
                <w:szCs w:val="20"/>
                <w:lang w:val="ru-RU"/>
              </w:rPr>
              <w:t>умпурский дополнительный протокол</w:t>
            </w:r>
          </w:p>
        </w:tc>
        <w:tc>
          <w:tcPr>
            <w:tcW w:w="1736" w:type="dxa"/>
            <w:tcBorders>
              <w:top w:val="nil"/>
              <w:left w:val="nil"/>
              <w:bottom w:val="nil"/>
              <w:right w:val="nil"/>
            </w:tcBorders>
            <w:shd w:val="clear" w:color="auto" w:fill="auto"/>
            <w:noWrap/>
            <w:vAlign w:val="bottom"/>
            <w:hideMark/>
          </w:tcPr>
          <w:p w:rsidR="001C6C0F" w:rsidRPr="000559B7" w:rsidRDefault="001C6C0F" w:rsidP="001C6C0F">
            <w:pPr>
              <w:rPr>
                <w:color w:val="000000"/>
                <w:sz w:val="20"/>
                <w:szCs w:val="20"/>
                <w:lang w:val="ru-RU"/>
              </w:rPr>
            </w:pPr>
            <w:r w:rsidRPr="000559B7">
              <w:rPr>
                <w:color w:val="000000"/>
                <w:sz w:val="20"/>
                <w:szCs w:val="20"/>
                <w:lang w:val="ru-RU"/>
              </w:rPr>
              <w:t xml:space="preserve">                       85,0 </w:t>
            </w:r>
          </w:p>
        </w:tc>
      </w:tr>
      <w:tr w:rsidR="001C6C0F" w:rsidRPr="000559B7" w:rsidTr="001C6C0F">
        <w:trPr>
          <w:trHeight w:val="264"/>
          <w:jc w:val="center"/>
        </w:trPr>
        <w:tc>
          <w:tcPr>
            <w:tcW w:w="6056" w:type="dxa"/>
            <w:tcBorders>
              <w:top w:val="nil"/>
              <w:left w:val="nil"/>
              <w:bottom w:val="nil"/>
              <w:right w:val="nil"/>
            </w:tcBorders>
            <w:shd w:val="clear" w:color="auto" w:fill="auto"/>
            <w:vAlign w:val="bottom"/>
            <w:hideMark/>
          </w:tcPr>
          <w:p w:rsidR="001C6C0F" w:rsidRPr="000559B7" w:rsidRDefault="001C6C0F" w:rsidP="001C6C0F">
            <w:pPr>
              <w:rPr>
                <w:color w:val="000000"/>
                <w:sz w:val="20"/>
                <w:szCs w:val="20"/>
                <w:lang w:val="ru-RU"/>
              </w:rPr>
            </w:pPr>
            <w:r w:rsidRPr="000559B7">
              <w:rPr>
                <w:color w:val="000000"/>
                <w:sz w:val="20"/>
                <w:szCs w:val="20"/>
                <w:lang w:val="ru-RU"/>
              </w:rPr>
              <w:t>Механизм посредничества по биобезопасности</w:t>
            </w:r>
          </w:p>
        </w:tc>
        <w:tc>
          <w:tcPr>
            <w:tcW w:w="1736" w:type="dxa"/>
            <w:tcBorders>
              <w:top w:val="nil"/>
              <w:left w:val="nil"/>
              <w:bottom w:val="single" w:sz="4" w:space="0" w:color="auto"/>
              <w:right w:val="nil"/>
            </w:tcBorders>
            <w:shd w:val="clear" w:color="auto" w:fill="auto"/>
            <w:noWrap/>
            <w:vAlign w:val="bottom"/>
            <w:hideMark/>
          </w:tcPr>
          <w:p w:rsidR="001C6C0F" w:rsidRPr="000559B7" w:rsidRDefault="001C6C0F" w:rsidP="001C6C0F">
            <w:pPr>
              <w:rPr>
                <w:color w:val="000000"/>
                <w:sz w:val="20"/>
                <w:szCs w:val="20"/>
                <w:lang w:val="ru-RU"/>
              </w:rPr>
            </w:pPr>
            <w:r w:rsidRPr="000559B7">
              <w:rPr>
                <w:color w:val="000000"/>
                <w:sz w:val="20"/>
                <w:szCs w:val="20"/>
                <w:lang w:val="ru-RU"/>
              </w:rPr>
              <w:t xml:space="preserve">                       10,0 </w:t>
            </w:r>
          </w:p>
        </w:tc>
      </w:tr>
      <w:tr w:rsidR="001C6C0F" w:rsidRPr="000559B7" w:rsidTr="001C6C0F">
        <w:trPr>
          <w:trHeight w:val="264"/>
          <w:jc w:val="center"/>
        </w:trPr>
        <w:tc>
          <w:tcPr>
            <w:tcW w:w="6056" w:type="dxa"/>
            <w:tcBorders>
              <w:top w:val="single" w:sz="4" w:space="0" w:color="auto"/>
              <w:left w:val="nil"/>
              <w:bottom w:val="single" w:sz="4" w:space="0" w:color="auto"/>
              <w:right w:val="nil"/>
            </w:tcBorders>
            <w:shd w:val="clear" w:color="auto" w:fill="auto"/>
            <w:vAlign w:val="bottom"/>
            <w:hideMark/>
          </w:tcPr>
          <w:p w:rsidR="001C6C0F" w:rsidRPr="000559B7" w:rsidRDefault="008B12C4" w:rsidP="001C6C0F">
            <w:pPr>
              <w:rPr>
                <w:color w:val="000000"/>
                <w:sz w:val="20"/>
                <w:szCs w:val="20"/>
                <w:lang w:val="ru-RU"/>
              </w:rPr>
            </w:pPr>
            <w:r w:rsidRPr="000559B7">
              <w:rPr>
                <w:color w:val="000000"/>
                <w:sz w:val="20"/>
                <w:szCs w:val="20"/>
                <w:lang w:val="ru-RU"/>
              </w:rPr>
              <w:t>Промежуточный итог</w:t>
            </w:r>
          </w:p>
        </w:tc>
        <w:tc>
          <w:tcPr>
            <w:tcW w:w="1736" w:type="dxa"/>
            <w:tcBorders>
              <w:top w:val="nil"/>
              <w:left w:val="nil"/>
              <w:bottom w:val="single" w:sz="4" w:space="0" w:color="auto"/>
              <w:right w:val="nil"/>
            </w:tcBorders>
            <w:shd w:val="clear" w:color="auto" w:fill="auto"/>
            <w:noWrap/>
            <w:vAlign w:val="bottom"/>
            <w:hideMark/>
          </w:tcPr>
          <w:p w:rsidR="001C6C0F" w:rsidRPr="000559B7" w:rsidRDefault="001C6C0F" w:rsidP="001C6C0F">
            <w:pPr>
              <w:rPr>
                <w:color w:val="000000"/>
                <w:sz w:val="20"/>
                <w:szCs w:val="20"/>
                <w:lang w:val="ru-RU"/>
              </w:rPr>
            </w:pPr>
            <w:r w:rsidRPr="000559B7">
              <w:rPr>
                <w:color w:val="000000"/>
                <w:sz w:val="20"/>
                <w:szCs w:val="20"/>
                <w:lang w:val="ru-RU"/>
              </w:rPr>
              <w:t xml:space="preserve">                     215,0 </w:t>
            </w:r>
          </w:p>
        </w:tc>
      </w:tr>
      <w:tr w:rsidR="001C6C0F" w:rsidRPr="000559B7" w:rsidTr="001C6C0F">
        <w:trPr>
          <w:trHeight w:val="264"/>
          <w:jc w:val="center"/>
        </w:trPr>
        <w:tc>
          <w:tcPr>
            <w:tcW w:w="6056" w:type="dxa"/>
            <w:tcBorders>
              <w:top w:val="nil"/>
              <w:left w:val="nil"/>
              <w:bottom w:val="nil"/>
              <w:right w:val="nil"/>
            </w:tcBorders>
            <w:shd w:val="clear" w:color="auto" w:fill="auto"/>
            <w:noWrap/>
            <w:vAlign w:val="bottom"/>
            <w:hideMark/>
          </w:tcPr>
          <w:p w:rsidR="001C6C0F" w:rsidRPr="000559B7" w:rsidRDefault="001C6C0F" w:rsidP="001C6C0F">
            <w:pPr>
              <w:rPr>
                <w:color w:val="000000"/>
                <w:sz w:val="20"/>
                <w:szCs w:val="20"/>
                <w:highlight w:val="magenta"/>
                <w:lang w:val="ru-RU"/>
              </w:rPr>
            </w:pPr>
          </w:p>
        </w:tc>
        <w:tc>
          <w:tcPr>
            <w:tcW w:w="1736" w:type="dxa"/>
            <w:tcBorders>
              <w:top w:val="nil"/>
              <w:left w:val="nil"/>
              <w:bottom w:val="nil"/>
              <w:right w:val="nil"/>
            </w:tcBorders>
            <w:shd w:val="clear" w:color="auto" w:fill="auto"/>
            <w:noWrap/>
            <w:vAlign w:val="bottom"/>
            <w:hideMark/>
          </w:tcPr>
          <w:p w:rsidR="001C6C0F" w:rsidRPr="000559B7" w:rsidRDefault="001C6C0F" w:rsidP="001C6C0F">
            <w:pPr>
              <w:rPr>
                <w:sz w:val="20"/>
                <w:szCs w:val="20"/>
                <w:highlight w:val="magenta"/>
                <w:lang w:val="ru-RU"/>
              </w:rPr>
            </w:pPr>
          </w:p>
        </w:tc>
      </w:tr>
      <w:tr w:rsidR="001C6C0F" w:rsidRPr="000559B7" w:rsidTr="001C6C0F">
        <w:trPr>
          <w:trHeight w:val="264"/>
          <w:jc w:val="center"/>
        </w:trPr>
        <w:tc>
          <w:tcPr>
            <w:tcW w:w="6056" w:type="dxa"/>
            <w:tcBorders>
              <w:top w:val="single" w:sz="4" w:space="0" w:color="auto"/>
              <w:left w:val="nil"/>
              <w:bottom w:val="single" w:sz="4" w:space="0" w:color="auto"/>
              <w:right w:val="nil"/>
            </w:tcBorders>
            <w:shd w:val="clear" w:color="auto" w:fill="auto"/>
            <w:noWrap/>
            <w:vAlign w:val="bottom"/>
            <w:hideMark/>
          </w:tcPr>
          <w:p w:rsidR="001C6C0F" w:rsidRPr="000559B7" w:rsidRDefault="008B12C4" w:rsidP="001C6C0F">
            <w:pPr>
              <w:rPr>
                <w:b/>
                <w:bCs/>
                <w:color w:val="000000"/>
                <w:sz w:val="20"/>
                <w:szCs w:val="20"/>
                <w:lang w:val="ru-RU"/>
              </w:rPr>
            </w:pPr>
            <w:r w:rsidRPr="000559B7">
              <w:rPr>
                <w:b/>
                <w:bCs/>
                <w:color w:val="000000"/>
                <w:sz w:val="20"/>
                <w:szCs w:val="20"/>
                <w:lang w:val="ru-RU"/>
              </w:rPr>
              <w:t>Итого</w:t>
            </w:r>
          </w:p>
        </w:tc>
        <w:tc>
          <w:tcPr>
            <w:tcW w:w="1736" w:type="dxa"/>
            <w:tcBorders>
              <w:top w:val="single" w:sz="4" w:space="0" w:color="auto"/>
              <w:left w:val="nil"/>
              <w:bottom w:val="single" w:sz="4" w:space="0" w:color="auto"/>
              <w:right w:val="nil"/>
            </w:tcBorders>
            <w:shd w:val="clear" w:color="auto" w:fill="auto"/>
            <w:noWrap/>
            <w:vAlign w:val="bottom"/>
            <w:hideMark/>
          </w:tcPr>
          <w:p w:rsidR="001C6C0F" w:rsidRPr="000559B7" w:rsidRDefault="001C6C0F" w:rsidP="001C6C0F">
            <w:pPr>
              <w:jc w:val="center"/>
              <w:rPr>
                <w:b/>
                <w:bCs/>
                <w:color w:val="000000"/>
                <w:sz w:val="20"/>
                <w:szCs w:val="20"/>
                <w:lang w:val="ru-RU"/>
              </w:rPr>
            </w:pPr>
            <w:r w:rsidRPr="000559B7">
              <w:rPr>
                <w:b/>
                <w:bCs/>
                <w:color w:val="000000"/>
                <w:sz w:val="20"/>
                <w:szCs w:val="20"/>
                <w:lang w:val="ru-RU"/>
              </w:rPr>
              <w:t xml:space="preserve">                     899,0 </w:t>
            </w:r>
          </w:p>
        </w:tc>
      </w:tr>
      <w:tr w:rsidR="001C6C0F" w:rsidRPr="000559B7" w:rsidTr="001C6C0F">
        <w:trPr>
          <w:trHeight w:val="264"/>
          <w:jc w:val="center"/>
        </w:trPr>
        <w:tc>
          <w:tcPr>
            <w:tcW w:w="6056" w:type="dxa"/>
            <w:tcBorders>
              <w:top w:val="nil"/>
              <w:left w:val="nil"/>
              <w:bottom w:val="nil"/>
              <w:right w:val="nil"/>
            </w:tcBorders>
            <w:shd w:val="clear" w:color="auto" w:fill="auto"/>
            <w:noWrap/>
            <w:vAlign w:val="bottom"/>
            <w:hideMark/>
          </w:tcPr>
          <w:p w:rsidR="001C6C0F" w:rsidRPr="000559B7" w:rsidRDefault="001C6C0F" w:rsidP="006F27B8">
            <w:pPr>
              <w:rPr>
                <w:color w:val="000000"/>
                <w:sz w:val="20"/>
                <w:szCs w:val="20"/>
                <w:lang w:val="ru-RU"/>
              </w:rPr>
            </w:pPr>
            <w:r w:rsidRPr="000559B7">
              <w:rPr>
                <w:color w:val="000000"/>
                <w:sz w:val="20"/>
                <w:szCs w:val="20"/>
                <w:lang w:val="ru-RU"/>
              </w:rPr>
              <w:t>Расходы на поддержку программ (13%)</w:t>
            </w:r>
          </w:p>
        </w:tc>
        <w:tc>
          <w:tcPr>
            <w:tcW w:w="1736" w:type="dxa"/>
            <w:tcBorders>
              <w:top w:val="nil"/>
              <w:left w:val="nil"/>
              <w:bottom w:val="nil"/>
              <w:right w:val="nil"/>
            </w:tcBorders>
            <w:shd w:val="clear" w:color="auto" w:fill="auto"/>
            <w:noWrap/>
            <w:vAlign w:val="bottom"/>
            <w:hideMark/>
          </w:tcPr>
          <w:p w:rsidR="001C6C0F" w:rsidRPr="000559B7" w:rsidRDefault="001C6C0F" w:rsidP="001C6C0F">
            <w:pPr>
              <w:jc w:val="center"/>
              <w:rPr>
                <w:color w:val="000000"/>
                <w:sz w:val="20"/>
                <w:szCs w:val="20"/>
                <w:lang w:val="ru-RU"/>
              </w:rPr>
            </w:pPr>
            <w:r w:rsidRPr="000559B7">
              <w:rPr>
                <w:color w:val="000000"/>
                <w:sz w:val="20"/>
                <w:szCs w:val="20"/>
                <w:lang w:val="ru-RU"/>
              </w:rPr>
              <w:t xml:space="preserve">                     116,9 </w:t>
            </w:r>
          </w:p>
        </w:tc>
      </w:tr>
      <w:tr w:rsidR="001C6C0F" w:rsidRPr="000559B7" w:rsidTr="001C6C0F">
        <w:trPr>
          <w:trHeight w:val="264"/>
          <w:jc w:val="center"/>
        </w:trPr>
        <w:tc>
          <w:tcPr>
            <w:tcW w:w="6056" w:type="dxa"/>
            <w:tcBorders>
              <w:top w:val="single" w:sz="4" w:space="0" w:color="auto"/>
              <w:left w:val="nil"/>
              <w:bottom w:val="single" w:sz="4" w:space="0" w:color="auto"/>
              <w:right w:val="nil"/>
            </w:tcBorders>
            <w:shd w:val="clear" w:color="auto" w:fill="auto"/>
            <w:noWrap/>
            <w:vAlign w:val="bottom"/>
            <w:hideMark/>
          </w:tcPr>
          <w:p w:rsidR="001C6C0F" w:rsidRPr="000559B7" w:rsidRDefault="008B12C4" w:rsidP="00DA2FD5">
            <w:pPr>
              <w:rPr>
                <w:b/>
                <w:bCs/>
                <w:color w:val="000000"/>
                <w:sz w:val="20"/>
                <w:szCs w:val="20"/>
                <w:lang w:val="ru-RU"/>
              </w:rPr>
            </w:pPr>
            <w:r w:rsidRPr="000559B7">
              <w:rPr>
                <w:b/>
                <w:bCs/>
                <w:color w:val="000000"/>
                <w:sz w:val="20"/>
                <w:szCs w:val="20"/>
                <w:lang w:val="ru-RU"/>
              </w:rPr>
              <w:t>Итого</w:t>
            </w:r>
            <w:r w:rsidR="00DA2FD5">
              <w:rPr>
                <w:b/>
                <w:bCs/>
                <w:color w:val="000000"/>
                <w:sz w:val="20"/>
                <w:szCs w:val="20"/>
                <w:lang w:val="ru-RU"/>
              </w:rPr>
              <w:t xml:space="preserve"> по</w:t>
            </w:r>
            <w:r w:rsidR="001C6C0F" w:rsidRPr="000559B7">
              <w:rPr>
                <w:b/>
                <w:bCs/>
                <w:color w:val="000000"/>
                <w:sz w:val="20"/>
                <w:szCs w:val="20"/>
                <w:lang w:val="ru-RU"/>
              </w:rPr>
              <w:t xml:space="preserve"> Картахенск</w:t>
            </w:r>
            <w:r w:rsidR="00DA2FD5">
              <w:rPr>
                <w:b/>
                <w:bCs/>
                <w:color w:val="000000"/>
                <w:sz w:val="20"/>
                <w:szCs w:val="20"/>
                <w:lang w:val="ru-RU"/>
              </w:rPr>
              <w:t>ому</w:t>
            </w:r>
            <w:r w:rsidR="001C6C0F" w:rsidRPr="000559B7">
              <w:rPr>
                <w:b/>
                <w:bCs/>
                <w:color w:val="000000"/>
                <w:sz w:val="20"/>
                <w:szCs w:val="20"/>
                <w:lang w:val="ru-RU"/>
              </w:rPr>
              <w:t xml:space="preserve"> протокол</w:t>
            </w:r>
            <w:r w:rsidR="00DA2FD5">
              <w:rPr>
                <w:b/>
                <w:bCs/>
                <w:color w:val="000000"/>
                <w:sz w:val="20"/>
                <w:szCs w:val="20"/>
                <w:lang w:val="ru-RU"/>
              </w:rPr>
              <w:t>у</w:t>
            </w:r>
            <w:r w:rsidR="001C6C0F" w:rsidRPr="000559B7">
              <w:rPr>
                <w:b/>
                <w:bCs/>
                <w:color w:val="000000"/>
                <w:sz w:val="20"/>
                <w:szCs w:val="20"/>
                <w:lang w:val="ru-RU"/>
              </w:rPr>
              <w:t xml:space="preserve"> по биобезопасности</w:t>
            </w:r>
          </w:p>
        </w:tc>
        <w:tc>
          <w:tcPr>
            <w:tcW w:w="1736" w:type="dxa"/>
            <w:tcBorders>
              <w:top w:val="single" w:sz="4" w:space="0" w:color="auto"/>
              <w:left w:val="nil"/>
              <w:bottom w:val="single" w:sz="4" w:space="0" w:color="auto"/>
              <w:right w:val="nil"/>
            </w:tcBorders>
            <w:shd w:val="clear" w:color="auto" w:fill="auto"/>
            <w:noWrap/>
            <w:vAlign w:val="bottom"/>
            <w:hideMark/>
          </w:tcPr>
          <w:p w:rsidR="001C6C0F" w:rsidRPr="000559B7" w:rsidRDefault="001C6C0F" w:rsidP="001C6C0F">
            <w:pPr>
              <w:jc w:val="center"/>
              <w:rPr>
                <w:b/>
                <w:bCs/>
                <w:color w:val="000000"/>
                <w:sz w:val="20"/>
                <w:szCs w:val="20"/>
                <w:lang w:val="ru-RU"/>
              </w:rPr>
            </w:pPr>
            <w:r w:rsidRPr="000559B7">
              <w:rPr>
                <w:b/>
                <w:bCs/>
                <w:color w:val="000000"/>
                <w:sz w:val="20"/>
                <w:szCs w:val="20"/>
                <w:lang w:val="ru-RU"/>
              </w:rPr>
              <w:t xml:space="preserve">                  1015,9 </w:t>
            </w:r>
          </w:p>
        </w:tc>
      </w:tr>
    </w:tbl>
    <w:p w:rsidR="00480C6C" w:rsidRDefault="00480C6C" w:rsidP="00480C6C">
      <w:pPr>
        <w:pStyle w:val="Paragraphedeliste"/>
        <w:widowControl w:val="0"/>
        <w:spacing w:after="160" w:line="259" w:lineRule="auto"/>
        <w:jc w:val="center"/>
        <w:rPr>
          <w:b/>
          <w:lang w:val="ru-RU"/>
        </w:rPr>
      </w:pPr>
    </w:p>
    <w:p w:rsidR="001C6C0F" w:rsidRPr="009B07B7" w:rsidRDefault="009B07B7" w:rsidP="00480C6C">
      <w:pPr>
        <w:pStyle w:val="Paragraphedeliste"/>
        <w:widowControl w:val="0"/>
        <w:spacing w:after="160" w:line="259" w:lineRule="auto"/>
        <w:jc w:val="center"/>
        <w:rPr>
          <w:b/>
          <w:lang w:val="ru-RU"/>
        </w:rPr>
      </w:pPr>
      <w:r>
        <w:rPr>
          <w:b/>
          <w:lang w:val="ru-RU"/>
        </w:rPr>
        <w:t>С.</w:t>
      </w:r>
      <w:r>
        <w:rPr>
          <w:b/>
          <w:lang w:val="ru-RU"/>
        </w:rPr>
        <w:tab/>
      </w:r>
      <w:r w:rsidR="001C6C0F" w:rsidRPr="009B07B7">
        <w:rPr>
          <w:b/>
          <w:lang w:val="ru-RU"/>
        </w:rPr>
        <w:t>Нагойский протокол регулирования доступа к генетическим ресурсам</w:t>
      </w:r>
      <w:r w:rsidR="001C6C0F" w:rsidRPr="009B07B7">
        <w:rPr>
          <w:b/>
          <w:lang w:val="ru-RU"/>
        </w:rPr>
        <w:br/>
        <w:t>и совместного использования выгод</w:t>
      </w:r>
    </w:p>
    <w:p w:rsidR="001C6C0F" w:rsidRPr="000559B7" w:rsidRDefault="001C6C0F" w:rsidP="001C6C0F">
      <w:pPr>
        <w:pStyle w:val="Paragraphedeliste"/>
        <w:keepNext/>
        <w:keepLines/>
        <w:jc w:val="center"/>
        <w:rPr>
          <w:i/>
          <w:lang w:val="ru-RU"/>
        </w:rPr>
      </w:pPr>
      <w:r w:rsidRPr="000559B7">
        <w:rPr>
          <w:i/>
          <w:lang w:val="ru-RU"/>
        </w:rPr>
        <w:t>(в тыс</w:t>
      </w:r>
      <w:r w:rsidR="00547FC8" w:rsidRPr="000559B7">
        <w:rPr>
          <w:i/>
          <w:lang w:val="ru-RU"/>
        </w:rPr>
        <w:t>ячах</w:t>
      </w:r>
      <w:r w:rsidRPr="000559B7">
        <w:rPr>
          <w:i/>
          <w:lang w:val="ru-RU"/>
        </w:rPr>
        <w:t xml:space="preserve"> долл. США)</w:t>
      </w:r>
    </w:p>
    <w:p w:rsidR="001C6C0F" w:rsidRPr="000559B7" w:rsidRDefault="001C6C0F" w:rsidP="00480C6C">
      <w:pPr>
        <w:pStyle w:val="Paragraphedeliste"/>
        <w:widowControl w:val="0"/>
        <w:spacing w:after="160" w:line="259" w:lineRule="auto"/>
        <w:jc w:val="center"/>
        <w:rPr>
          <w:lang w:val="ru-RU"/>
        </w:rPr>
      </w:pPr>
    </w:p>
    <w:tbl>
      <w:tblPr>
        <w:tblW w:w="7724" w:type="dxa"/>
        <w:jc w:val="center"/>
        <w:tblLook w:val="04A0"/>
      </w:tblPr>
      <w:tblGrid>
        <w:gridCol w:w="6728"/>
        <w:gridCol w:w="996"/>
      </w:tblGrid>
      <w:tr w:rsidR="001C6C0F" w:rsidRPr="000559B7" w:rsidTr="001C6C0F">
        <w:trPr>
          <w:trHeight w:val="264"/>
          <w:jc w:val="center"/>
        </w:trPr>
        <w:tc>
          <w:tcPr>
            <w:tcW w:w="6728" w:type="dxa"/>
            <w:tcBorders>
              <w:top w:val="nil"/>
              <w:left w:val="nil"/>
              <w:bottom w:val="nil"/>
              <w:right w:val="nil"/>
            </w:tcBorders>
            <w:shd w:val="clear" w:color="auto" w:fill="auto"/>
            <w:noWrap/>
            <w:vAlign w:val="bottom"/>
            <w:hideMark/>
          </w:tcPr>
          <w:p w:rsidR="001C6C0F" w:rsidRPr="00480C6C" w:rsidRDefault="001C6C0F" w:rsidP="00480C6C">
            <w:pPr>
              <w:widowControl w:val="0"/>
              <w:rPr>
                <w:b/>
                <w:bCs/>
                <w:color w:val="000000"/>
                <w:sz w:val="20"/>
                <w:szCs w:val="20"/>
                <w:lang w:val="ru-RU"/>
              </w:rPr>
            </w:pPr>
            <w:r w:rsidRPr="00480C6C">
              <w:rPr>
                <w:b/>
                <w:bCs/>
                <w:color w:val="000000"/>
                <w:sz w:val="20"/>
                <w:szCs w:val="20"/>
                <w:lang w:val="ru-RU"/>
              </w:rPr>
              <w:t>Семинары по созданию потенциала</w:t>
            </w:r>
          </w:p>
        </w:tc>
        <w:tc>
          <w:tcPr>
            <w:tcW w:w="996" w:type="dxa"/>
            <w:tcBorders>
              <w:top w:val="nil"/>
              <w:left w:val="nil"/>
              <w:bottom w:val="nil"/>
              <w:right w:val="nil"/>
            </w:tcBorders>
            <w:shd w:val="clear" w:color="auto" w:fill="auto"/>
            <w:noWrap/>
            <w:vAlign w:val="bottom"/>
            <w:hideMark/>
          </w:tcPr>
          <w:p w:rsidR="001C6C0F" w:rsidRPr="000559B7" w:rsidRDefault="001C6C0F" w:rsidP="001C6C0F">
            <w:pPr>
              <w:keepNext/>
              <w:keepLines/>
              <w:rPr>
                <w:b/>
                <w:bCs/>
                <w:color w:val="000000"/>
                <w:sz w:val="20"/>
                <w:szCs w:val="20"/>
                <w:highlight w:val="magenta"/>
                <w:u w:val="single"/>
                <w:lang w:val="ru-RU"/>
              </w:rPr>
            </w:pPr>
          </w:p>
        </w:tc>
      </w:tr>
      <w:tr w:rsidR="001C6C0F" w:rsidRPr="000559B7" w:rsidTr="001C6C0F">
        <w:trPr>
          <w:trHeight w:val="264"/>
          <w:jc w:val="center"/>
        </w:trPr>
        <w:tc>
          <w:tcPr>
            <w:tcW w:w="6728" w:type="dxa"/>
            <w:tcBorders>
              <w:top w:val="nil"/>
              <w:left w:val="nil"/>
              <w:bottom w:val="nil"/>
              <w:right w:val="nil"/>
            </w:tcBorders>
            <w:shd w:val="clear" w:color="auto" w:fill="auto"/>
            <w:vAlign w:val="bottom"/>
            <w:hideMark/>
          </w:tcPr>
          <w:p w:rsidR="001C6C0F" w:rsidRPr="000559B7" w:rsidRDefault="001C6C0F" w:rsidP="0087236C">
            <w:pPr>
              <w:widowControl w:val="0"/>
              <w:rPr>
                <w:color w:val="000000"/>
                <w:sz w:val="20"/>
                <w:szCs w:val="20"/>
                <w:lang w:val="ru-RU"/>
              </w:rPr>
            </w:pPr>
            <w:r w:rsidRPr="000559B7">
              <w:rPr>
                <w:color w:val="000000"/>
                <w:sz w:val="20"/>
                <w:szCs w:val="20"/>
                <w:lang w:val="ru-RU"/>
              </w:rPr>
              <w:t>Долгосрочная стратегия по созданию потенциала на период после 202</w:t>
            </w:r>
            <w:r w:rsidR="0087236C">
              <w:rPr>
                <w:color w:val="000000"/>
                <w:sz w:val="20"/>
                <w:szCs w:val="20"/>
                <w:lang w:val="fr-FR"/>
              </w:rPr>
              <w:t>0</w:t>
            </w:r>
            <w:r w:rsidRPr="000559B7">
              <w:rPr>
                <w:color w:val="000000"/>
                <w:sz w:val="20"/>
                <w:szCs w:val="20"/>
                <w:lang w:val="ru-RU"/>
              </w:rPr>
              <w:t xml:space="preserve"> г.</w:t>
            </w:r>
          </w:p>
        </w:tc>
        <w:tc>
          <w:tcPr>
            <w:tcW w:w="996" w:type="dxa"/>
            <w:tcBorders>
              <w:top w:val="nil"/>
              <w:left w:val="nil"/>
              <w:bottom w:val="nil"/>
              <w:right w:val="nil"/>
            </w:tcBorders>
            <w:shd w:val="clear" w:color="auto" w:fill="auto"/>
            <w:noWrap/>
            <w:vAlign w:val="bottom"/>
            <w:hideMark/>
          </w:tcPr>
          <w:p w:rsidR="001C6C0F" w:rsidRPr="000559B7" w:rsidRDefault="001C6C0F" w:rsidP="001C6C0F">
            <w:pPr>
              <w:keepNext/>
              <w:keepLines/>
              <w:rPr>
                <w:color w:val="000000"/>
                <w:sz w:val="20"/>
                <w:szCs w:val="20"/>
                <w:lang w:val="ru-RU"/>
              </w:rPr>
            </w:pPr>
            <w:r w:rsidRPr="000559B7">
              <w:rPr>
                <w:color w:val="000000"/>
                <w:sz w:val="20"/>
                <w:szCs w:val="20"/>
                <w:lang w:val="ru-RU"/>
              </w:rPr>
              <w:t xml:space="preserve">        83,0 </w:t>
            </w:r>
          </w:p>
        </w:tc>
      </w:tr>
      <w:tr w:rsidR="001C6C0F" w:rsidRPr="000559B7" w:rsidTr="001C6C0F">
        <w:trPr>
          <w:trHeight w:val="264"/>
          <w:jc w:val="center"/>
        </w:trPr>
        <w:tc>
          <w:tcPr>
            <w:tcW w:w="6728" w:type="dxa"/>
            <w:tcBorders>
              <w:top w:val="single" w:sz="4" w:space="0" w:color="auto"/>
              <w:left w:val="nil"/>
              <w:bottom w:val="single" w:sz="4" w:space="0" w:color="auto"/>
              <w:right w:val="nil"/>
            </w:tcBorders>
            <w:shd w:val="clear" w:color="auto" w:fill="auto"/>
            <w:vAlign w:val="bottom"/>
            <w:hideMark/>
          </w:tcPr>
          <w:p w:rsidR="001C6C0F" w:rsidRPr="000559B7" w:rsidRDefault="0079223A" w:rsidP="00480C6C">
            <w:pPr>
              <w:widowControl w:val="0"/>
              <w:rPr>
                <w:color w:val="000000"/>
                <w:sz w:val="20"/>
                <w:szCs w:val="20"/>
                <w:lang w:val="ru-RU"/>
              </w:rPr>
            </w:pPr>
            <w:r w:rsidRPr="000559B7">
              <w:rPr>
                <w:color w:val="000000"/>
                <w:sz w:val="20"/>
                <w:szCs w:val="20"/>
                <w:lang w:val="ru-RU"/>
              </w:rPr>
              <w:t>Промежуточный итог</w:t>
            </w:r>
          </w:p>
        </w:tc>
        <w:tc>
          <w:tcPr>
            <w:tcW w:w="996" w:type="dxa"/>
            <w:tcBorders>
              <w:top w:val="single" w:sz="4" w:space="0" w:color="auto"/>
              <w:left w:val="nil"/>
              <w:bottom w:val="single" w:sz="4" w:space="0" w:color="auto"/>
              <w:right w:val="nil"/>
            </w:tcBorders>
            <w:shd w:val="clear" w:color="auto" w:fill="auto"/>
            <w:noWrap/>
            <w:vAlign w:val="bottom"/>
            <w:hideMark/>
          </w:tcPr>
          <w:p w:rsidR="001C6C0F" w:rsidRPr="000559B7" w:rsidRDefault="001C6C0F" w:rsidP="001C6C0F">
            <w:pPr>
              <w:keepNext/>
              <w:keepLines/>
              <w:rPr>
                <w:color w:val="000000"/>
                <w:sz w:val="20"/>
                <w:szCs w:val="20"/>
                <w:lang w:val="ru-RU"/>
              </w:rPr>
            </w:pPr>
            <w:r w:rsidRPr="000559B7">
              <w:rPr>
                <w:color w:val="000000"/>
                <w:sz w:val="20"/>
                <w:szCs w:val="20"/>
                <w:lang w:val="ru-RU"/>
              </w:rPr>
              <w:t xml:space="preserve">        83,0 </w:t>
            </w:r>
          </w:p>
        </w:tc>
      </w:tr>
      <w:tr w:rsidR="001C6C0F" w:rsidRPr="000559B7" w:rsidTr="001C6C0F">
        <w:trPr>
          <w:trHeight w:val="264"/>
          <w:jc w:val="center"/>
        </w:trPr>
        <w:tc>
          <w:tcPr>
            <w:tcW w:w="6728" w:type="dxa"/>
            <w:tcBorders>
              <w:top w:val="nil"/>
              <w:left w:val="nil"/>
              <w:bottom w:val="nil"/>
              <w:right w:val="nil"/>
            </w:tcBorders>
            <w:shd w:val="clear" w:color="auto" w:fill="auto"/>
            <w:noWrap/>
            <w:vAlign w:val="bottom"/>
            <w:hideMark/>
          </w:tcPr>
          <w:p w:rsidR="001C6C0F" w:rsidRPr="000559B7" w:rsidRDefault="001C6C0F" w:rsidP="00480C6C">
            <w:pPr>
              <w:widowControl w:val="0"/>
              <w:rPr>
                <w:color w:val="000000"/>
                <w:sz w:val="20"/>
                <w:szCs w:val="20"/>
                <w:highlight w:val="magenta"/>
                <w:lang w:val="ru-RU"/>
              </w:rPr>
            </w:pPr>
          </w:p>
        </w:tc>
        <w:tc>
          <w:tcPr>
            <w:tcW w:w="996" w:type="dxa"/>
            <w:tcBorders>
              <w:top w:val="nil"/>
              <w:left w:val="nil"/>
              <w:bottom w:val="nil"/>
              <w:right w:val="nil"/>
            </w:tcBorders>
            <w:shd w:val="clear" w:color="auto" w:fill="auto"/>
            <w:noWrap/>
            <w:vAlign w:val="bottom"/>
            <w:hideMark/>
          </w:tcPr>
          <w:p w:rsidR="001C6C0F" w:rsidRPr="000559B7" w:rsidRDefault="001C6C0F" w:rsidP="001C6C0F">
            <w:pPr>
              <w:keepNext/>
              <w:keepLines/>
              <w:rPr>
                <w:sz w:val="20"/>
                <w:szCs w:val="20"/>
                <w:highlight w:val="magenta"/>
                <w:lang w:val="ru-RU"/>
              </w:rPr>
            </w:pPr>
          </w:p>
        </w:tc>
      </w:tr>
      <w:tr w:rsidR="001C6C0F" w:rsidRPr="000559B7" w:rsidTr="001C6C0F">
        <w:trPr>
          <w:trHeight w:val="264"/>
          <w:jc w:val="center"/>
        </w:trPr>
        <w:tc>
          <w:tcPr>
            <w:tcW w:w="6728" w:type="dxa"/>
            <w:tcBorders>
              <w:top w:val="nil"/>
              <w:left w:val="nil"/>
              <w:bottom w:val="nil"/>
              <w:right w:val="nil"/>
            </w:tcBorders>
            <w:shd w:val="clear" w:color="auto" w:fill="auto"/>
            <w:noWrap/>
            <w:vAlign w:val="bottom"/>
            <w:hideMark/>
          </w:tcPr>
          <w:p w:rsidR="001C6C0F" w:rsidRPr="00480C6C" w:rsidRDefault="001C6C0F" w:rsidP="00480C6C">
            <w:pPr>
              <w:widowControl w:val="0"/>
              <w:rPr>
                <w:b/>
                <w:bCs/>
                <w:color w:val="000000"/>
                <w:sz w:val="20"/>
                <w:szCs w:val="20"/>
                <w:lang w:val="ru-RU"/>
              </w:rPr>
            </w:pPr>
            <w:r w:rsidRPr="00480C6C">
              <w:rPr>
                <w:b/>
                <w:bCs/>
                <w:color w:val="000000"/>
                <w:sz w:val="20"/>
                <w:szCs w:val="20"/>
                <w:lang w:val="ru-RU"/>
              </w:rPr>
              <w:t>Консультанты</w:t>
            </w:r>
          </w:p>
        </w:tc>
        <w:tc>
          <w:tcPr>
            <w:tcW w:w="996" w:type="dxa"/>
            <w:tcBorders>
              <w:top w:val="nil"/>
              <w:left w:val="nil"/>
              <w:bottom w:val="nil"/>
              <w:right w:val="nil"/>
            </w:tcBorders>
            <w:shd w:val="clear" w:color="auto" w:fill="auto"/>
            <w:noWrap/>
            <w:vAlign w:val="bottom"/>
            <w:hideMark/>
          </w:tcPr>
          <w:p w:rsidR="001C6C0F" w:rsidRPr="000559B7" w:rsidRDefault="001C6C0F" w:rsidP="001C6C0F">
            <w:pPr>
              <w:keepNext/>
              <w:keepLines/>
              <w:rPr>
                <w:b/>
                <w:bCs/>
                <w:color w:val="000000"/>
                <w:sz w:val="20"/>
                <w:szCs w:val="20"/>
                <w:highlight w:val="magenta"/>
                <w:u w:val="single"/>
                <w:lang w:val="ru-RU"/>
              </w:rPr>
            </w:pPr>
          </w:p>
        </w:tc>
      </w:tr>
      <w:tr w:rsidR="001C6C0F" w:rsidRPr="000559B7" w:rsidTr="001C6C0F">
        <w:trPr>
          <w:trHeight w:val="264"/>
          <w:jc w:val="center"/>
        </w:trPr>
        <w:tc>
          <w:tcPr>
            <w:tcW w:w="6728" w:type="dxa"/>
            <w:tcBorders>
              <w:top w:val="nil"/>
              <w:left w:val="nil"/>
              <w:bottom w:val="nil"/>
              <w:right w:val="nil"/>
            </w:tcBorders>
            <w:shd w:val="clear" w:color="auto" w:fill="auto"/>
            <w:vAlign w:val="bottom"/>
            <w:hideMark/>
          </w:tcPr>
          <w:p w:rsidR="001C6C0F" w:rsidRPr="000559B7" w:rsidRDefault="001C6C0F" w:rsidP="0087236C">
            <w:pPr>
              <w:widowControl w:val="0"/>
              <w:rPr>
                <w:color w:val="000000"/>
                <w:sz w:val="20"/>
                <w:szCs w:val="20"/>
                <w:lang w:val="ru-RU"/>
              </w:rPr>
            </w:pPr>
            <w:r w:rsidRPr="000559B7">
              <w:rPr>
                <w:color w:val="000000"/>
                <w:sz w:val="20"/>
                <w:szCs w:val="20"/>
                <w:lang w:val="ru-RU"/>
              </w:rPr>
              <w:t>Долгосрочная стратегия по созданию потенциала на период после 202</w:t>
            </w:r>
            <w:r w:rsidR="0087236C">
              <w:rPr>
                <w:color w:val="000000"/>
                <w:sz w:val="20"/>
                <w:szCs w:val="20"/>
                <w:lang w:val="fr-FR"/>
              </w:rPr>
              <w:t>0</w:t>
            </w:r>
            <w:r w:rsidRPr="000559B7">
              <w:rPr>
                <w:color w:val="000000"/>
                <w:sz w:val="20"/>
                <w:szCs w:val="20"/>
                <w:lang w:val="ru-RU"/>
              </w:rPr>
              <w:t xml:space="preserve"> г.</w:t>
            </w:r>
          </w:p>
        </w:tc>
        <w:tc>
          <w:tcPr>
            <w:tcW w:w="996" w:type="dxa"/>
            <w:tcBorders>
              <w:top w:val="nil"/>
              <w:left w:val="nil"/>
              <w:bottom w:val="nil"/>
              <w:right w:val="nil"/>
            </w:tcBorders>
            <w:shd w:val="clear" w:color="auto" w:fill="auto"/>
            <w:noWrap/>
            <w:vAlign w:val="bottom"/>
            <w:hideMark/>
          </w:tcPr>
          <w:p w:rsidR="001C6C0F" w:rsidRPr="000559B7" w:rsidRDefault="001C6C0F" w:rsidP="001C6C0F">
            <w:pPr>
              <w:keepNext/>
              <w:keepLines/>
              <w:rPr>
                <w:color w:val="000000"/>
                <w:sz w:val="20"/>
                <w:szCs w:val="20"/>
                <w:lang w:val="ru-RU"/>
              </w:rPr>
            </w:pPr>
            <w:r w:rsidRPr="000559B7">
              <w:rPr>
                <w:color w:val="000000"/>
                <w:sz w:val="20"/>
                <w:szCs w:val="20"/>
                <w:lang w:val="ru-RU"/>
              </w:rPr>
              <w:t xml:space="preserve">      111,0 </w:t>
            </w:r>
          </w:p>
        </w:tc>
      </w:tr>
      <w:tr w:rsidR="001C6C0F" w:rsidRPr="000559B7" w:rsidTr="001C6C0F">
        <w:trPr>
          <w:trHeight w:val="264"/>
          <w:jc w:val="center"/>
        </w:trPr>
        <w:tc>
          <w:tcPr>
            <w:tcW w:w="6728" w:type="dxa"/>
            <w:tcBorders>
              <w:top w:val="nil"/>
              <w:left w:val="nil"/>
              <w:bottom w:val="nil"/>
              <w:right w:val="nil"/>
            </w:tcBorders>
            <w:shd w:val="clear" w:color="auto" w:fill="auto"/>
            <w:vAlign w:val="bottom"/>
            <w:hideMark/>
          </w:tcPr>
          <w:p w:rsidR="001C6C0F" w:rsidRPr="000559B7" w:rsidRDefault="001C6C0F" w:rsidP="00480C6C">
            <w:pPr>
              <w:widowControl w:val="0"/>
              <w:rPr>
                <w:color w:val="000000"/>
                <w:sz w:val="20"/>
                <w:szCs w:val="20"/>
                <w:lang w:val="ru-RU"/>
              </w:rPr>
            </w:pPr>
            <w:r w:rsidRPr="000559B7">
              <w:rPr>
                <w:color w:val="000000"/>
                <w:sz w:val="20"/>
                <w:szCs w:val="20"/>
                <w:lang w:val="ru-RU"/>
              </w:rPr>
              <w:t>Глобальный многосторонний механизм совместного использования выгод (статья 10)</w:t>
            </w:r>
          </w:p>
        </w:tc>
        <w:tc>
          <w:tcPr>
            <w:tcW w:w="996" w:type="dxa"/>
            <w:tcBorders>
              <w:top w:val="nil"/>
              <w:left w:val="nil"/>
              <w:bottom w:val="nil"/>
              <w:right w:val="nil"/>
            </w:tcBorders>
            <w:shd w:val="clear" w:color="auto" w:fill="auto"/>
            <w:noWrap/>
            <w:vAlign w:val="bottom"/>
            <w:hideMark/>
          </w:tcPr>
          <w:p w:rsidR="001C6C0F" w:rsidRPr="000559B7" w:rsidRDefault="001C6C0F" w:rsidP="001C6C0F">
            <w:pPr>
              <w:keepNext/>
              <w:keepLines/>
              <w:rPr>
                <w:color w:val="000000"/>
                <w:sz w:val="20"/>
                <w:szCs w:val="20"/>
                <w:lang w:val="ru-RU"/>
              </w:rPr>
            </w:pPr>
            <w:r w:rsidRPr="000559B7">
              <w:rPr>
                <w:color w:val="000000"/>
                <w:sz w:val="20"/>
                <w:szCs w:val="20"/>
                <w:lang w:val="ru-RU"/>
              </w:rPr>
              <w:t xml:space="preserve">        21,0 </w:t>
            </w:r>
          </w:p>
        </w:tc>
      </w:tr>
      <w:tr w:rsidR="001C6C0F" w:rsidRPr="000559B7" w:rsidTr="001C6C0F">
        <w:trPr>
          <w:trHeight w:val="264"/>
          <w:jc w:val="center"/>
        </w:trPr>
        <w:tc>
          <w:tcPr>
            <w:tcW w:w="6728" w:type="dxa"/>
            <w:tcBorders>
              <w:top w:val="single" w:sz="4" w:space="0" w:color="auto"/>
              <w:left w:val="nil"/>
              <w:bottom w:val="single" w:sz="4" w:space="0" w:color="auto"/>
              <w:right w:val="nil"/>
            </w:tcBorders>
            <w:shd w:val="clear" w:color="auto" w:fill="auto"/>
            <w:vAlign w:val="bottom"/>
            <w:hideMark/>
          </w:tcPr>
          <w:p w:rsidR="001C6C0F" w:rsidRPr="000559B7" w:rsidRDefault="0079223A" w:rsidP="00480C6C">
            <w:pPr>
              <w:widowControl w:val="0"/>
              <w:rPr>
                <w:color w:val="000000"/>
                <w:sz w:val="20"/>
                <w:szCs w:val="20"/>
                <w:lang w:val="ru-RU"/>
              </w:rPr>
            </w:pPr>
            <w:r w:rsidRPr="000559B7">
              <w:rPr>
                <w:color w:val="000000"/>
                <w:sz w:val="20"/>
                <w:szCs w:val="20"/>
                <w:lang w:val="ru-RU"/>
              </w:rPr>
              <w:t>Промежуточный итог</w:t>
            </w:r>
          </w:p>
        </w:tc>
        <w:tc>
          <w:tcPr>
            <w:tcW w:w="996" w:type="dxa"/>
            <w:tcBorders>
              <w:top w:val="single" w:sz="4" w:space="0" w:color="auto"/>
              <w:left w:val="nil"/>
              <w:bottom w:val="single" w:sz="4" w:space="0" w:color="auto"/>
              <w:right w:val="nil"/>
            </w:tcBorders>
            <w:shd w:val="clear" w:color="auto" w:fill="auto"/>
            <w:noWrap/>
            <w:vAlign w:val="bottom"/>
            <w:hideMark/>
          </w:tcPr>
          <w:p w:rsidR="001C6C0F" w:rsidRPr="000559B7" w:rsidRDefault="001C6C0F" w:rsidP="001C6C0F">
            <w:pPr>
              <w:keepNext/>
              <w:keepLines/>
              <w:rPr>
                <w:color w:val="000000"/>
                <w:sz w:val="20"/>
                <w:szCs w:val="20"/>
                <w:lang w:val="ru-RU"/>
              </w:rPr>
            </w:pPr>
            <w:r w:rsidRPr="000559B7">
              <w:rPr>
                <w:color w:val="000000"/>
                <w:sz w:val="20"/>
                <w:szCs w:val="20"/>
                <w:lang w:val="ru-RU"/>
              </w:rPr>
              <w:t xml:space="preserve">      132,0 </w:t>
            </w:r>
          </w:p>
        </w:tc>
      </w:tr>
      <w:tr w:rsidR="001C6C0F" w:rsidRPr="000559B7" w:rsidTr="001C6C0F">
        <w:trPr>
          <w:trHeight w:val="264"/>
          <w:jc w:val="center"/>
        </w:trPr>
        <w:tc>
          <w:tcPr>
            <w:tcW w:w="6728" w:type="dxa"/>
            <w:tcBorders>
              <w:top w:val="nil"/>
              <w:left w:val="nil"/>
              <w:bottom w:val="nil"/>
              <w:right w:val="nil"/>
            </w:tcBorders>
            <w:shd w:val="clear" w:color="auto" w:fill="auto"/>
            <w:noWrap/>
            <w:vAlign w:val="bottom"/>
            <w:hideMark/>
          </w:tcPr>
          <w:p w:rsidR="001C6C0F" w:rsidRPr="000559B7" w:rsidRDefault="001C6C0F" w:rsidP="00480C6C">
            <w:pPr>
              <w:widowControl w:val="0"/>
              <w:rPr>
                <w:color w:val="000000"/>
                <w:sz w:val="20"/>
                <w:szCs w:val="20"/>
                <w:highlight w:val="magenta"/>
                <w:lang w:val="ru-RU"/>
              </w:rPr>
            </w:pPr>
          </w:p>
        </w:tc>
        <w:tc>
          <w:tcPr>
            <w:tcW w:w="996" w:type="dxa"/>
            <w:tcBorders>
              <w:top w:val="nil"/>
              <w:left w:val="nil"/>
              <w:bottom w:val="nil"/>
              <w:right w:val="nil"/>
            </w:tcBorders>
            <w:shd w:val="clear" w:color="auto" w:fill="auto"/>
            <w:noWrap/>
            <w:vAlign w:val="bottom"/>
            <w:hideMark/>
          </w:tcPr>
          <w:p w:rsidR="001C6C0F" w:rsidRPr="000559B7" w:rsidRDefault="001C6C0F" w:rsidP="001C6C0F">
            <w:pPr>
              <w:keepNext/>
              <w:keepLines/>
              <w:rPr>
                <w:sz w:val="20"/>
                <w:szCs w:val="20"/>
                <w:highlight w:val="magenta"/>
                <w:lang w:val="ru-RU"/>
              </w:rPr>
            </w:pPr>
          </w:p>
        </w:tc>
      </w:tr>
      <w:tr w:rsidR="001C6C0F" w:rsidRPr="000559B7" w:rsidTr="001C6C0F">
        <w:trPr>
          <w:trHeight w:val="264"/>
          <w:jc w:val="center"/>
        </w:trPr>
        <w:tc>
          <w:tcPr>
            <w:tcW w:w="6728" w:type="dxa"/>
            <w:tcBorders>
              <w:top w:val="nil"/>
              <w:left w:val="nil"/>
              <w:bottom w:val="nil"/>
              <w:right w:val="nil"/>
            </w:tcBorders>
            <w:shd w:val="clear" w:color="auto" w:fill="auto"/>
            <w:noWrap/>
            <w:vAlign w:val="bottom"/>
            <w:hideMark/>
          </w:tcPr>
          <w:p w:rsidR="001C6C0F" w:rsidRPr="00480C6C" w:rsidRDefault="001C6C0F" w:rsidP="00480C6C">
            <w:pPr>
              <w:widowControl w:val="0"/>
              <w:rPr>
                <w:b/>
                <w:bCs/>
                <w:color w:val="000000"/>
                <w:sz w:val="20"/>
                <w:szCs w:val="20"/>
                <w:lang w:val="ru-RU"/>
              </w:rPr>
            </w:pPr>
            <w:r w:rsidRPr="00480C6C">
              <w:rPr>
                <w:b/>
                <w:bCs/>
                <w:color w:val="000000"/>
                <w:sz w:val="20"/>
                <w:szCs w:val="20"/>
                <w:lang w:val="ru-RU"/>
              </w:rPr>
              <w:t>Служебные командировки</w:t>
            </w:r>
          </w:p>
        </w:tc>
        <w:tc>
          <w:tcPr>
            <w:tcW w:w="996" w:type="dxa"/>
            <w:tcBorders>
              <w:top w:val="nil"/>
              <w:left w:val="nil"/>
              <w:bottom w:val="nil"/>
              <w:right w:val="nil"/>
            </w:tcBorders>
            <w:shd w:val="clear" w:color="auto" w:fill="auto"/>
            <w:noWrap/>
            <w:vAlign w:val="bottom"/>
            <w:hideMark/>
          </w:tcPr>
          <w:p w:rsidR="001C6C0F" w:rsidRPr="000559B7" w:rsidRDefault="001C6C0F" w:rsidP="001C6C0F">
            <w:pPr>
              <w:keepNext/>
              <w:keepLines/>
              <w:rPr>
                <w:b/>
                <w:bCs/>
                <w:color w:val="000000"/>
                <w:sz w:val="20"/>
                <w:szCs w:val="20"/>
                <w:highlight w:val="magenta"/>
                <w:u w:val="single"/>
                <w:lang w:val="ru-RU"/>
              </w:rPr>
            </w:pPr>
          </w:p>
        </w:tc>
      </w:tr>
      <w:tr w:rsidR="001C6C0F" w:rsidRPr="000559B7" w:rsidTr="001C6C0F">
        <w:trPr>
          <w:trHeight w:val="264"/>
          <w:jc w:val="center"/>
        </w:trPr>
        <w:tc>
          <w:tcPr>
            <w:tcW w:w="6728" w:type="dxa"/>
            <w:tcBorders>
              <w:top w:val="nil"/>
              <w:left w:val="nil"/>
              <w:bottom w:val="nil"/>
              <w:right w:val="nil"/>
            </w:tcBorders>
            <w:shd w:val="clear" w:color="auto" w:fill="auto"/>
            <w:vAlign w:val="bottom"/>
            <w:hideMark/>
          </w:tcPr>
          <w:p w:rsidR="001C6C0F" w:rsidRPr="000559B7" w:rsidRDefault="001C6C0F" w:rsidP="00480C6C">
            <w:pPr>
              <w:widowControl w:val="0"/>
              <w:rPr>
                <w:color w:val="000000"/>
                <w:sz w:val="20"/>
                <w:szCs w:val="20"/>
                <w:lang w:val="ru-RU"/>
              </w:rPr>
            </w:pPr>
            <w:r w:rsidRPr="000559B7">
              <w:rPr>
                <w:color w:val="000000"/>
                <w:sz w:val="20"/>
                <w:szCs w:val="20"/>
                <w:lang w:val="ru-RU"/>
              </w:rPr>
              <w:lastRenderedPageBreak/>
              <w:t xml:space="preserve">Первая оценка и обзор эффективности </w:t>
            </w:r>
            <w:r w:rsidR="00A2363F">
              <w:rPr>
                <w:color w:val="000000"/>
                <w:sz w:val="20"/>
                <w:szCs w:val="20"/>
                <w:lang w:val="ru-RU"/>
              </w:rPr>
              <w:t>п</w:t>
            </w:r>
            <w:r w:rsidRPr="000559B7">
              <w:rPr>
                <w:color w:val="000000"/>
                <w:sz w:val="20"/>
                <w:szCs w:val="20"/>
                <w:lang w:val="ru-RU"/>
              </w:rPr>
              <w:t>ротокола</w:t>
            </w:r>
          </w:p>
        </w:tc>
        <w:tc>
          <w:tcPr>
            <w:tcW w:w="996" w:type="dxa"/>
            <w:tcBorders>
              <w:top w:val="nil"/>
              <w:left w:val="nil"/>
              <w:bottom w:val="nil"/>
              <w:right w:val="nil"/>
            </w:tcBorders>
            <w:shd w:val="clear" w:color="auto" w:fill="auto"/>
            <w:noWrap/>
            <w:vAlign w:val="bottom"/>
            <w:hideMark/>
          </w:tcPr>
          <w:p w:rsidR="001C6C0F" w:rsidRPr="000559B7" w:rsidRDefault="001C6C0F" w:rsidP="001C6C0F">
            <w:pPr>
              <w:keepNext/>
              <w:keepLines/>
              <w:rPr>
                <w:color w:val="000000"/>
                <w:sz w:val="20"/>
                <w:szCs w:val="20"/>
                <w:lang w:val="ru-RU"/>
              </w:rPr>
            </w:pPr>
            <w:r w:rsidRPr="000559B7">
              <w:rPr>
                <w:color w:val="000000"/>
                <w:sz w:val="20"/>
                <w:szCs w:val="20"/>
                <w:lang w:val="ru-RU"/>
              </w:rPr>
              <w:t xml:space="preserve">        23,0 </w:t>
            </w:r>
          </w:p>
        </w:tc>
      </w:tr>
      <w:tr w:rsidR="001C6C0F" w:rsidRPr="000559B7" w:rsidTr="001C6C0F">
        <w:trPr>
          <w:trHeight w:val="264"/>
          <w:jc w:val="center"/>
        </w:trPr>
        <w:tc>
          <w:tcPr>
            <w:tcW w:w="6728" w:type="dxa"/>
            <w:tcBorders>
              <w:top w:val="single" w:sz="4" w:space="0" w:color="auto"/>
              <w:left w:val="nil"/>
              <w:bottom w:val="single" w:sz="4" w:space="0" w:color="auto"/>
              <w:right w:val="nil"/>
            </w:tcBorders>
            <w:shd w:val="clear" w:color="auto" w:fill="auto"/>
            <w:vAlign w:val="bottom"/>
            <w:hideMark/>
          </w:tcPr>
          <w:p w:rsidR="001C6C0F" w:rsidRPr="000559B7" w:rsidRDefault="0079223A" w:rsidP="00480C6C">
            <w:pPr>
              <w:widowControl w:val="0"/>
              <w:rPr>
                <w:color w:val="000000"/>
                <w:sz w:val="20"/>
                <w:szCs w:val="20"/>
                <w:lang w:val="ru-RU"/>
              </w:rPr>
            </w:pPr>
            <w:r w:rsidRPr="000559B7">
              <w:rPr>
                <w:color w:val="000000"/>
                <w:sz w:val="20"/>
                <w:szCs w:val="20"/>
                <w:lang w:val="ru-RU"/>
              </w:rPr>
              <w:t>Промежуточный итог</w:t>
            </w:r>
          </w:p>
        </w:tc>
        <w:tc>
          <w:tcPr>
            <w:tcW w:w="996" w:type="dxa"/>
            <w:tcBorders>
              <w:top w:val="single" w:sz="4" w:space="0" w:color="auto"/>
              <w:left w:val="nil"/>
              <w:bottom w:val="single" w:sz="4" w:space="0" w:color="auto"/>
              <w:right w:val="nil"/>
            </w:tcBorders>
            <w:shd w:val="clear" w:color="auto" w:fill="auto"/>
            <w:noWrap/>
            <w:vAlign w:val="bottom"/>
            <w:hideMark/>
          </w:tcPr>
          <w:p w:rsidR="001C6C0F" w:rsidRPr="000559B7" w:rsidRDefault="001C6C0F" w:rsidP="001C6C0F">
            <w:pPr>
              <w:keepNext/>
              <w:keepLines/>
              <w:rPr>
                <w:color w:val="000000"/>
                <w:sz w:val="20"/>
                <w:szCs w:val="20"/>
                <w:lang w:val="ru-RU"/>
              </w:rPr>
            </w:pPr>
            <w:r w:rsidRPr="000559B7">
              <w:rPr>
                <w:color w:val="000000"/>
                <w:sz w:val="20"/>
                <w:szCs w:val="20"/>
                <w:lang w:val="ru-RU"/>
              </w:rPr>
              <w:t xml:space="preserve">        23,0 </w:t>
            </w:r>
          </w:p>
        </w:tc>
      </w:tr>
      <w:tr w:rsidR="001C6C0F" w:rsidRPr="000559B7" w:rsidTr="001C6C0F">
        <w:trPr>
          <w:trHeight w:val="264"/>
          <w:jc w:val="center"/>
        </w:trPr>
        <w:tc>
          <w:tcPr>
            <w:tcW w:w="6728" w:type="dxa"/>
            <w:tcBorders>
              <w:top w:val="nil"/>
              <w:left w:val="nil"/>
              <w:bottom w:val="nil"/>
              <w:right w:val="nil"/>
            </w:tcBorders>
            <w:shd w:val="clear" w:color="auto" w:fill="auto"/>
            <w:noWrap/>
            <w:vAlign w:val="bottom"/>
            <w:hideMark/>
          </w:tcPr>
          <w:p w:rsidR="001C6C0F" w:rsidRPr="000559B7" w:rsidRDefault="001C6C0F" w:rsidP="00480C6C">
            <w:pPr>
              <w:widowControl w:val="0"/>
              <w:rPr>
                <w:color w:val="000000"/>
                <w:sz w:val="20"/>
                <w:szCs w:val="20"/>
                <w:highlight w:val="magenta"/>
                <w:lang w:val="ru-RU"/>
              </w:rPr>
            </w:pPr>
          </w:p>
        </w:tc>
        <w:tc>
          <w:tcPr>
            <w:tcW w:w="996" w:type="dxa"/>
            <w:tcBorders>
              <w:top w:val="nil"/>
              <w:left w:val="nil"/>
              <w:bottom w:val="nil"/>
              <w:right w:val="nil"/>
            </w:tcBorders>
            <w:shd w:val="clear" w:color="auto" w:fill="auto"/>
            <w:noWrap/>
            <w:vAlign w:val="bottom"/>
            <w:hideMark/>
          </w:tcPr>
          <w:p w:rsidR="001C6C0F" w:rsidRPr="000559B7" w:rsidRDefault="001C6C0F" w:rsidP="001C6C0F">
            <w:pPr>
              <w:keepNext/>
              <w:keepLines/>
              <w:rPr>
                <w:sz w:val="20"/>
                <w:szCs w:val="20"/>
                <w:highlight w:val="magenta"/>
                <w:lang w:val="ru-RU"/>
              </w:rPr>
            </w:pPr>
          </w:p>
        </w:tc>
      </w:tr>
      <w:tr w:rsidR="001C6C0F" w:rsidRPr="000559B7" w:rsidTr="001C6C0F">
        <w:trPr>
          <w:trHeight w:val="264"/>
          <w:jc w:val="center"/>
        </w:trPr>
        <w:tc>
          <w:tcPr>
            <w:tcW w:w="6728" w:type="dxa"/>
            <w:tcBorders>
              <w:top w:val="single" w:sz="4" w:space="0" w:color="auto"/>
              <w:left w:val="nil"/>
              <w:bottom w:val="single" w:sz="4" w:space="0" w:color="auto"/>
              <w:right w:val="nil"/>
            </w:tcBorders>
            <w:shd w:val="clear" w:color="auto" w:fill="auto"/>
            <w:noWrap/>
            <w:vAlign w:val="bottom"/>
            <w:hideMark/>
          </w:tcPr>
          <w:p w:rsidR="001C6C0F" w:rsidRPr="000559B7" w:rsidRDefault="0079223A" w:rsidP="00480C6C">
            <w:pPr>
              <w:widowControl w:val="0"/>
              <w:rPr>
                <w:b/>
                <w:bCs/>
                <w:color w:val="000000"/>
                <w:sz w:val="20"/>
                <w:szCs w:val="20"/>
                <w:lang w:val="ru-RU"/>
              </w:rPr>
            </w:pPr>
            <w:r w:rsidRPr="000559B7">
              <w:rPr>
                <w:b/>
                <w:bCs/>
                <w:color w:val="000000"/>
                <w:sz w:val="20"/>
                <w:szCs w:val="20"/>
                <w:lang w:val="ru-RU"/>
              </w:rPr>
              <w:t>Итого</w:t>
            </w:r>
          </w:p>
        </w:tc>
        <w:tc>
          <w:tcPr>
            <w:tcW w:w="996" w:type="dxa"/>
            <w:tcBorders>
              <w:top w:val="single" w:sz="4" w:space="0" w:color="auto"/>
              <w:left w:val="nil"/>
              <w:bottom w:val="single" w:sz="4" w:space="0" w:color="auto"/>
              <w:right w:val="nil"/>
            </w:tcBorders>
            <w:shd w:val="clear" w:color="auto" w:fill="auto"/>
            <w:noWrap/>
            <w:vAlign w:val="bottom"/>
            <w:hideMark/>
          </w:tcPr>
          <w:p w:rsidR="001C6C0F" w:rsidRPr="000559B7" w:rsidRDefault="001C6C0F" w:rsidP="001C6C0F">
            <w:pPr>
              <w:keepNext/>
              <w:keepLines/>
              <w:jc w:val="center"/>
              <w:rPr>
                <w:b/>
                <w:bCs/>
                <w:color w:val="000000"/>
                <w:sz w:val="20"/>
                <w:szCs w:val="20"/>
                <w:lang w:val="ru-RU"/>
              </w:rPr>
            </w:pPr>
            <w:r w:rsidRPr="000559B7">
              <w:rPr>
                <w:b/>
                <w:bCs/>
                <w:color w:val="000000"/>
                <w:sz w:val="20"/>
                <w:szCs w:val="20"/>
                <w:lang w:val="ru-RU"/>
              </w:rPr>
              <w:t xml:space="preserve">      238,0 </w:t>
            </w:r>
          </w:p>
        </w:tc>
      </w:tr>
      <w:tr w:rsidR="001C6C0F" w:rsidRPr="000559B7" w:rsidTr="001C6C0F">
        <w:trPr>
          <w:trHeight w:val="264"/>
          <w:jc w:val="center"/>
        </w:trPr>
        <w:tc>
          <w:tcPr>
            <w:tcW w:w="6728" w:type="dxa"/>
            <w:tcBorders>
              <w:top w:val="nil"/>
              <w:left w:val="nil"/>
              <w:bottom w:val="nil"/>
              <w:right w:val="nil"/>
            </w:tcBorders>
            <w:shd w:val="clear" w:color="auto" w:fill="auto"/>
            <w:noWrap/>
            <w:vAlign w:val="bottom"/>
            <w:hideMark/>
          </w:tcPr>
          <w:p w:rsidR="001C6C0F" w:rsidRPr="000559B7" w:rsidRDefault="001C6C0F" w:rsidP="00480C6C">
            <w:pPr>
              <w:widowControl w:val="0"/>
              <w:rPr>
                <w:color w:val="000000"/>
                <w:sz w:val="20"/>
                <w:szCs w:val="20"/>
                <w:lang w:val="ru-RU"/>
              </w:rPr>
            </w:pPr>
            <w:r w:rsidRPr="000559B7">
              <w:rPr>
                <w:color w:val="000000"/>
                <w:sz w:val="20"/>
                <w:szCs w:val="20"/>
                <w:lang w:val="ru-RU"/>
              </w:rPr>
              <w:t>Расходы на поддержку программ (13%)</w:t>
            </w:r>
          </w:p>
        </w:tc>
        <w:tc>
          <w:tcPr>
            <w:tcW w:w="996" w:type="dxa"/>
            <w:tcBorders>
              <w:top w:val="nil"/>
              <w:left w:val="nil"/>
              <w:bottom w:val="nil"/>
              <w:right w:val="nil"/>
            </w:tcBorders>
            <w:shd w:val="clear" w:color="auto" w:fill="auto"/>
            <w:noWrap/>
            <w:vAlign w:val="bottom"/>
            <w:hideMark/>
          </w:tcPr>
          <w:p w:rsidR="001C6C0F" w:rsidRPr="000559B7" w:rsidRDefault="001C6C0F" w:rsidP="001C6C0F">
            <w:pPr>
              <w:keepNext/>
              <w:keepLines/>
              <w:jc w:val="center"/>
              <w:rPr>
                <w:color w:val="000000"/>
                <w:sz w:val="20"/>
                <w:szCs w:val="20"/>
                <w:lang w:val="ru-RU"/>
              </w:rPr>
            </w:pPr>
            <w:r w:rsidRPr="000559B7">
              <w:rPr>
                <w:color w:val="000000"/>
                <w:sz w:val="20"/>
                <w:szCs w:val="20"/>
                <w:lang w:val="ru-RU"/>
              </w:rPr>
              <w:t xml:space="preserve">        30,9 </w:t>
            </w:r>
          </w:p>
        </w:tc>
      </w:tr>
      <w:tr w:rsidR="001C6C0F" w:rsidRPr="000559B7" w:rsidTr="001C6C0F">
        <w:trPr>
          <w:trHeight w:val="300"/>
          <w:jc w:val="center"/>
        </w:trPr>
        <w:tc>
          <w:tcPr>
            <w:tcW w:w="6728" w:type="dxa"/>
            <w:tcBorders>
              <w:top w:val="single" w:sz="4" w:space="0" w:color="auto"/>
              <w:left w:val="nil"/>
              <w:bottom w:val="single" w:sz="4" w:space="0" w:color="auto"/>
              <w:right w:val="nil"/>
            </w:tcBorders>
            <w:shd w:val="clear" w:color="auto" w:fill="auto"/>
            <w:noWrap/>
            <w:vAlign w:val="bottom"/>
            <w:hideMark/>
          </w:tcPr>
          <w:p w:rsidR="001C6C0F" w:rsidRPr="000559B7" w:rsidRDefault="0079223A" w:rsidP="00480C6C">
            <w:pPr>
              <w:widowControl w:val="0"/>
              <w:rPr>
                <w:b/>
                <w:bCs/>
                <w:color w:val="000000"/>
                <w:sz w:val="20"/>
                <w:szCs w:val="20"/>
                <w:lang w:val="ru-RU"/>
              </w:rPr>
            </w:pPr>
            <w:r w:rsidRPr="000559B7">
              <w:rPr>
                <w:b/>
                <w:bCs/>
                <w:color w:val="000000"/>
                <w:sz w:val="20"/>
                <w:szCs w:val="20"/>
                <w:lang w:val="ru-RU"/>
              </w:rPr>
              <w:t>Итого</w:t>
            </w:r>
            <w:r w:rsidR="00480C6C">
              <w:rPr>
                <w:b/>
                <w:bCs/>
                <w:color w:val="000000"/>
                <w:sz w:val="20"/>
                <w:szCs w:val="20"/>
                <w:lang w:val="ru-RU"/>
              </w:rPr>
              <w:t xml:space="preserve"> по</w:t>
            </w:r>
            <w:r w:rsidR="001C6C0F" w:rsidRPr="000559B7">
              <w:rPr>
                <w:b/>
                <w:bCs/>
                <w:color w:val="000000"/>
                <w:sz w:val="20"/>
                <w:szCs w:val="20"/>
                <w:lang w:val="ru-RU"/>
              </w:rPr>
              <w:t xml:space="preserve"> Нагойск</w:t>
            </w:r>
            <w:r w:rsidR="00480C6C">
              <w:rPr>
                <w:b/>
                <w:bCs/>
                <w:color w:val="000000"/>
                <w:sz w:val="20"/>
                <w:szCs w:val="20"/>
                <w:lang w:val="ru-RU"/>
              </w:rPr>
              <w:t>ому</w:t>
            </w:r>
            <w:r w:rsidR="001C6C0F" w:rsidRPr="000559B7">
              <w:rPr>
                <w:b/>
                <w:bCs/>
                <w:color w:val="000000"/>
                <w:sz w:val="20"/>
                <w:szCs w:val="20"/>
                <w:lang w:val="ru-RU"/>
              </w:rPr>
              <w:t xml:space="preserve"> протокол</w:t>
            </w:r>
            <w:r w:rsidR="00480C6C">
              <w:rPr>
                <w:b/>
                <w:bCs/>
                <w:color w:val="000000"/>
                <w:sz w:val="20"/>
                <w:szCs w:val="20"/>
                <w:lang w:val="ru-RU"/>
              </w:rPr>
              <w:t>у</w:t>
            </w:r>
            <w:r w:rsidR="001C6C0F" w:rsidRPr="000559B7">
              <w:rPr>
                <w:b/>
                <w:bCs/>
                <w:color w:val="000000"/>
                <w:sz w:val="20"/>
                <w:szCs w:val="20"/>
                <w:lang w:val="ru-RU"/>
              </w:rPr>
              <w:t xml:space="preserve"> регулирования доступа к генетическим ресурсам и совместного использования выгод</w:t>
            </w:r>
          </w:p>
        </w:tc>
        <w:tc>
          <w:tcPr>
            <w:tcW w:w="996" w:type="dxa"/>
            <w:tcBorders>
              <w:top w:val="single" w:sz="4" w:space="0" w:color="auto"/>
              <w:left w:val="nil"/>
              <w:bottom w:val="single" w:sz="4" w:space="0" w:color="auto"/>
              <w:right w:val="nil"/>
            </w:tcBorders>
            <w:shd w:val="clear" w:color="auto" w:fill="auto"/>
            <w:noWrap/>
            <w:vAlign w:val="bottom"/>
            <w:hideMark/>
          </w:tcPr>
          <w:p w:rsidR="001C6C0F" w:rsidRPr="000559B7" w:rsidRDefault="001C6C0F" w:rsidP="001C6C0F">
            <w:pPr>
              <w:keepNext/>
              <w:keepLines/>
              <w:jc w:val="center"/>
              <w:rPr>
                <w:b/>
                <w:bCs/>
                <w:color w:val="000000"/>
                <w:sz w:val="20"/>
                <w:szCs w:val="20"/>
                <w:lang w:val="ru-RU"/>
              </w:rPr>
            </w:pPr>
            <w:r w:rsidRPr="000559B7">
              <w:rPr>
                <w:b/>
                <w:bCs/>
                <w:color w:val="000000"/>
                <w:sz w:val="20"/>
                <w:szCs w:val="20"/>
                <w:lang w:val="ru-RU"/>
              </w:rPr>
              <w:t xml:space="preserve">      268,9 </w:t>
            </w:r>
          </w:p>
        </w:tc>
      </w:tr>
      <w:tr w:rsidR="001C6C0F" w:rsidRPr="000559B7" w:rsidTr="001C6C0F">
        <w:trPr>
          <w:trHeight w:val="264"/>
          <w:jc w:val="center"/>
        </w:trPr>
        <w:tc>
          <w:tcPr>
            <w:tcW w:w="6728" w:type="dxa"/>
            <w:tcBorders>
              <w:top w:val="nil"/>
              <w:left w:val="nil"/>
              <w:bottom w:val="nil"/>
              <w:right w:val="nil"/>
            </w:tcBorders>
            <w:shd w:val="clear" w:color="auto" w:fill="auto"/>
            <w:noWrap/>
            <w:vAlign w:val="bottom"/>
            <w:hideMark/>
          </w:tcPr>
          <w:p w:rsidR="001C6C0F" w:rsidRPr="000559B7" w:rsidRDefault="001C6C0F" w:rsidP="001C6C0F">
            <w:pPr>
              <w:keepNext/>
              <w:keepLines/>
              <w:jc w:val="center"/>
              <w:rPr>
                <w:b/>
                <w:bCs/>
                <w:color w:val="000000"/>
                <w:sz w:val="20"/>
                <w:szCs w:val="20"/>
                <w:highlight w:val="magenta"/>
                <w:lang w:val="ru-RU"/>
              </w:rPr>
            </w:pPr>
          </w:p>
        </w:tc>
        <w:tc>
          <w:tcPr>
            <w:tcW w:w="996" w:type="dxa"/>
            <w:tcBorders>
              <w:top w:val="nil"/>
              <w:left w:val="nil"/>
              <w:bottom w:val="nil"/>
              <w:right w:val="nil"/>
            </w:tcBorders>
            <w:shd w:val="clear" w:color="auto" w:fill="auto"/>
            <w:noWrap/>
            <w:vAlign w:val="bottom"/>
            <w:hideMark/>
          </w:tcPr>
          <w:p w:rsidR="001C6C0F" w:rsidRPr="000559B7" w:rsidRDefault="001C6C0F" w:rsidP="001C6C0F">
            <w:pPr>
              <w:keepNext/>
              <w:keepLines/>
              <w:rPr>
                <w:sz w:val="20"/>
                <w:szCs w:val="20"/>
                <w:highlight w:val="magenta"/>
                <w:lang w:val="ru-RU"/>
              </w:rPr>
            </w:pPr>
          </w:p>
        </w:tc>
      </w:tr>
    </w:tbl>
    <w:p w:rsidR="001C6C0F" w:rsidRPr="000559B7" w:rsidRDefault="001C6C0F" w:rsidP="001C6C0F">
      <w:pPr>
        <w:spacing w:after="160" w:line="259" w:lineRule="auto"/>
        <w:jc w:val="left"/>
        <w:rPr>
          <w:b/>
          <w:bCs/>
          <w:sz w:val="20"/>
          <w:szCs w:val="20"/>
          <w:lang w:val="ru-RU"/>
        </w:rPr>
      </w:pPr>
    </w:p>
    <w:tbl>
      <w:tblPr>
        <w:tblW w:w="7460" w:type="dxa"/>
        <w:tblInd w:w="93" w:type="dxa"/>
        <w:tblLook w:val="04A0"/>
      </w:tblPr>
      <w:tblGrid>
        <w:gridCol w:w="3400"/>
        <w:gridCol w:w="1240"/>
        <w:gridCol w:w="1720"/>
        <w:gridCol w:w="1100"/>
      </w:tblGrid>
      <w:tr w:rsidR="001C6C0F" w:rsidRPr="00480C6C" w:rsidTr="001C6C0F">
        <w:trPr>
          <w:trHeight w:val="516"/>
        </w:trPr>
        <w:tc>
          <w:tcPr>
            <w:tcW w:w="3400" w:type="dxa"/>
            <w:tcBorders>
              <w:top w:val="single" w:sz="4" w:space="0" w:color="auto"/>
              <w:left w:val="nil"/>
              <w:bottom w:val="single" w:sz="8" w:space="0" w:color="auto"/>
              <w:right w:val="nil"/>
            </w:tcBorders>
            <w:shd w:val="clear" w:color="auto" w:fill="auto"/>
            <w:noWrap/>
            <w:vAlign w:val="center"/>
            <w:hideMark/>
          </w:tcPr>
          <w:p w:rsidR="001C6C0F" w:rsidRPr="000559B7" w:rsidRDefault="001C6C0F" w:rsidP="001C6C0F">
            <w:pPr>
              <w:jc w:val="center"/>
              <w:rPr>
                <w:b/>
                <w:bCs/>
                <w:color w:val="000000"/>
                <w:sz w:val="15"/>
                <w:szCs w:val="15"/>
                <w:lang w:val="ru-RU"/>
              </w:rPr>
            </w:pPr>
            <w:r w:rsidRPr="000559B7">
              <w:rPr>
                <w:b/>
                <w:bCs/>
                <w:color w:val="000000"/>
                <w:sz w:val="15"/>
                <w:szCs w:val="15"/>
                <w:lang w:val="ru-RU"/>
              </w:rPr>
              <w:t> </w:t>
            </w:r>
          </w:p>
        </w:tc>
        <w:tc>
          <w:tcPr>
            <w:tcW w:w="1240" w:type="dxa"/>
            <w:tcBorders>
              <w:top w:val="single" w:sz="4" w:space="0" w:color="auto"/>
              <w:left w:val="nil"/>
              <w:bottom w:val="single" w:sz="8" w:space="0" w:color="auto"/>
              <w:right w:val="nil"/>
            </w:tcBorders>
            <w:shd w:val="clear" w:color="auto" w:fill="auto"/>
            <w:vAlign w:val="center"/>
            <w:hideMark/>
          </w:tcPr>
          <w:p w:rsidR="001C6C0F" w:rsidRPr="00480C6C" w:rsidRDefault="001C6C0F" w:rsidP="001C6C0F">
            <w:pPr>
              <w:jc w:val="center"/>
              <w:rPr>
                <w:b/>
                <w:bCs/>
                <w:i/>
                <w:iCs/>
                <w:color w:val="000000"/>
                <w:sz w:val="16"/>
                <w:szCs w:val="16"/>
                <w:lang w:val="ru-RU"/>
              </w:rPr>
            </w:pPr>
            <w:r w:rsidRPr="00480C6C">
              <w:rPr>
                <w:b/>
                <w:bCs/>
                <w:i/>
                <w:iCs/>
                <w:color w:val="000000"/>
                <w:sz w:val="16"/>
                <w:szCs w:val="16"/>
                <w:lang w:val="ru-RU"/>
              </w:rPr>
              <w:t xml:space="preserve">Сумма </w:t>
            </w:r>
            <w:r w:rsidR="00480C6C">
              <w:rPr>
                <w:b/>
                <w:bCs/>
                <w:i/>
                <w:iCs/>
                <w:color w:val="000000"/>
                <w:sz w:val="16"/>
                <w:szCs w:val="16"/>
                <w:lang w:val="ru-RU"/>
              </w:rPr>
              <w:br/>
            </w:r>
            <w:r w:rsidRPr="00480C6C">
              <w:rPr>
                <w:b/>
                <w:bCs/>
                <w:i/>
                <w:iCs/>
                <w:color w:val="000000"/>
                <w:sz w:val="16"/>
                <w:szCs w:val="16"/>
                <w:lang w:val="ru-RU"/>
              </w:rPr>
              <w:t>(в тыс. долл. США)</w:t>
            </w:r>
          </w:p>
        </w:tc>
        <w:tc>
          <w:tcPr>
            <w:tcW w:w="1720" w:type="dxa"/>
            <w:tcBorders>
              <w:top w:val="single" w:sz="4" w:space="0" w:color="auto"/>
              <w:left w:val="nil"/>
              <w:bottom w:val="single" w:sz="8" w:space="0" w:color="auto"/>
              <w:right w:val="nil"/>
            </w:tcBorders>
            <w:shd w:val="clear" w:color="auto" w:fill="auto"/>
            <w:vAlign w:val="center"/>
            <w:hideMark/>
          </w:tcPr>
          <w:p w:rsidR="001C6C0F" w:rsidRPr="00480C6C" w:rsidRDefault="001C6C0F" w:rsidP="0086629D">
            <w:pPr>
              <w:jc w:val="center"/>
              <w:rPr>
                <w:b/>
                <w:bCs/>
                <w:i/>
                <w:iCs/>
                <w:color w:val="000000"/>
                <w:sz w:val="16"/>
                <w:szCs w:val="16"/>
                <w:lang w:val="ru-RU"/>
              </w:rPr>
            </w:pPr>
            <w:r w:rsidRPr="00480C6C">
              <w:rPr>
                <w:b/>
                <w:bCs/>
                <w:i/>
                <w:iCs/>
                <w:color w:val="000000"/>
                <w:sz w:val="16"/>
                <w:szCs w:val="16"/>
                <w:lang w:val="ru-RU"/>
              </w:rPr>
              <w:t xml:space="preserve">Расходы на поддержку программ </w:t>
            </w:r>
          </w:p>
        </w:tc>
        <w:tc>
          <w:tcPr>
            <w:tcW w:w="1100" w:type="dxa"/>
            <w:tcBorders>
              <w:top w:val="single" w:sz="4" w:space="0" w:color="auto"/>
              <w:left w:val="nil"/>
              <w:bottom w:val="single" w:sz="8" w:space="0" w:color="auto"/>
              <w:right w:val="nil"/>
            </w:tcBorders>
            <w:shd w:val="clear" w:color="auto" w:fill="auto"/>
            <w:noWrap/>
            <w:vAlign w:val="center"/>
            <w:hideMark/>
          </w:tcPr>
          <w:p w:rsidR="001C6C0F" w:rsidRPr="00480C6C" w:rsidRDefault="00150EC8" w:rsidP="001C6C0F">
            <w:pPr>
              <w:jc w:val="center"/>
              <w:rPr>
                <w:b/>
                <w:bCs/>
                <w:i/>
                <w:iCs/>
                <w:color w:val="000000"/>
                <w:sz w:val="16"/>
                <w:szCs w:val="16"/>
                <w:lang w:val="ru-RU"/>
              </w:rPr>
            </w:pPr>
            <w:r w:rsidRPr="00480C6C">
              <w:rPr>
                <w:b/>
                <w:bCs/>
                <w:i/>
                <w:iCs/>
                <w:color w:val="000000"/>
                <w:sz w:val="16"/>
                <w:szCs w:val="16"/>
                <w:lang w:val="ru-RU"/>
              </w:rPr>
              <w:t>Итого</w:t>
            </w:r>
          </w:p>
        </w:tc>
      </w:tr>
      <w:tr w:rsidR="001C6C0F" w:rsidRPr="000559B7" w:rsidTr="001C6C0F">
        <w:trPr>
          <w:trHeight w:val="288"/>
        </w:trPr>
        <w:tc>
          <w:tcPr>
            <w:tcW w:w="3400" w:type="dxa"/>
            <w:tcBorders>
              <w:top w:val="nil"/>
              <w:left w:val="nil"/>
              <w:bottom w:val="nil"/>
              <w:right w:val="nil"/>
            </w:tcBorders>
            <w:shd w:val="clear" w:color="auto" w:fill="auto"/>
            <w:noWrap/>
            <w:vAlign w:val="center"/>
            <w:hideMark/>
          </w:tcPr>
          <w:p w:rsidR="001C6C0F" w:rsidRPr="00480C6C" w:rsidRDefault="001C6C0F" w:rsidP="001C6C0F">
            <w:pPr>
              <w:jc w:val="left"/>
              <w:rPr>
                <w:color w:val="000000"/>
                <w:sz w:val="20"/>
                <w:szCs w:val="20"/>
                <w:lang w:val="ru-RU"/>
              </w:rPr>
            </w:pPr>
            <w:r w:rsidRPr="00480C6C">
              <w:rPr>
                <w:color w:val="000000"/>
                <w:sz w:val="20"/>
                <w:szCs w:val="20"/>
                <w:lang w:val="ru-RU"/>
              </w:rPr>
              <w:t>Конвенция о биологическом разнообразии</w:t>
            </w:r>
          </w:p>
        </w:tc>
        <w:tc>
          <w:tcPr>
            <w:tcW w:w="1240" w:type="dxa"/>
            <w:tcBorders>
              <w:top w:val="nil"/>
              <w:left w:val="nil"/>
              <w:bottom w:val="nil"/>
              <w:right w:val="nil"/>
            </w:tcBorders>
            <w:shd w:val="clear" w:color="auto" w:fill="auto"/>
            <w:noWrap/>
            <w:vAlign w:val="center"/>
            <w:hideMark/>
          </w:tcPr>
          <w:p w:rsidR="001C6C0F" w:rsidRPr="00480C6C" w:rsidRDefault="001C6C0F" w:rsidP="001C6C0F">
            <w:pPr>
              <w:jc w:val="right"/>
              <w:rPr>
                <w:color w:val="000000"/>
                <w:sz w:val="20"/>
                <w:szCs w:val="20"/>
                <w:lang w:val="ru-RU"/>
              </w:rPr>
            </w:pPr>
            <w:r w:rsidRPr="00480C6C">
              <w:rPr>
                <w:color w:val="000000"/>
                <w:sz w:val="20"/>
                <w:szCs w:val="20"/>
                <w:lang w:val="ru-RU"/>
              </w:rPr>
              <w:t>19 475,0</w:t>
            </w:r>
          </w:p>
        </w:tc>
        <w:tc>
          <w:tcPr>
            <w:tcW w:w="1720" w:type="dxa"/>
            <w:tcBorders>
              <w:top w:val="nil"/>
              <w:left w:val="nil"/>
              <w:bottom w:val="nil"/>
              <w:right w:val="nil"/>
            </w:tcBorders>
            <w:shd w:val="clear" w:color="auto" w:fill="auto"/>
            <w:noWrap/>
            <w:vAlign w:val="center"/>
            <w:hideMark/>
          </w:tcPr>
          <w:p w:rsidR="001C6C0F" w:rsidRPr="00480C6C" w:rsidRDefault="001C6C0F" w:rsidP="001C6C0F">
            <w:pPr>
              <w:jc w:val="right"/>
              <w:rPr>
                <w:color w:val="000000"/>
                <w:sz w:val="20"/>
                <w:szCs w:val="20"/>
                <w:lang w:val="ru-RU"/>
              </w:rPr>
            </w:pPr>
            <w:r w:rsidRPr="00480C6C">
              <w:rPr>
                <w:color w:val="000000"/>
                <w:sz w:val="20"/>
                <w:szCs w:val="20"/>
                <w:lang w:val="ru-RU"/>
              </w:rPr>
              <w:t>2531,8</w:t>
            </w:r>
          </w:p>
        </w:tc>
        <w:tc>
          <w:tcPr>
            <w:tcW w:w="1100" w:type="dxa"/>
            <w:tcBorders>
              <w:top w:val="nil"/>
              <w:left w:val="nil"/>
              <w:bottom w:val="nil"/>
              <w:right w:val="nil"/>
            </w:tcBorders>
            <w:shd w:val="clear" w:color="auto" w:fill="auto"/>
            <w:noWrap/>
            <w:vAlign w:val="center"/>
            <w:hideMark/>
          </w:tcPr>
          <w:p w:rsidR="001C6C0F" w:rsidRPr="00480C6C" w:rsidRDefault="001C6C0F" w:rsidP="001C6C0F">
            <w:pPr>
              <w:jc w:val="right"/>
              <w:rPr>
                <w:color w:val="000000"/>
                <w:sz w:val="20"/>
                <w:szCs w:val="20"/>
                <w:lang w:val="ru-RU"/>
              </w:rPr>
            </w:pPr>
            <w:r w:rsidRPr="00480C6C">
              <w:rPr>
                <w:color w:val="000000"/>
                <w:sz w:val="20"/>
                <w:szCs w:val="20"/>
                <w:lang w:val="ru-RU"/>
              </w:rPr>
              <w:t>22 006,8</w:t>
            </w:r>
          </w:p>
        </w:tc>
      </w:tr>
      <w:tr w:rsidR="001C6C0F" w:rsidRPr="000559B7" w:rsidTr="001C6C0F">
        <w:trPr>
          <w:trHeight w:val="288"/>
        </w:trPr>
        <w:tc>
          <w:tcPr>
            <w:tcW w:w="3400" w:type="dxa"/>
            <w:tcBorders>
              <w:top w:val="nil"/>
              <w:left w:val="nil"/>
              <w:bottom w:val="nil"/>
              <w:right w:val="nil"/>
            </w:tcBorders>
            <w:shd w:val="clear" w:color="auto" w:fill="auto"/>
            <w:noWrap/>
            <w:vAlign w:val="center"/>
            <w:hideMark/>
          </w:tcPr>
          <w:p w:rsidR="001C6C0F" w:rsidRPr="00480C6C" w:rsidRDefault="001C6C0F" w:rsidP="001C6C0F">
            <w:pPr>
              <w:jc w:val="left"/>
              <w:rPr>
                <w:color w:val="000000"/>
                <w:sz w:val="20"/>
                <w:szCs w:val="20"/>
                <w:lang w:val="ru-RU"/>
              </w:rPr>
            </w:pPr>
            <w:r w:rsidRPr="00480C6C">
              <w:rPr>
                <w:color w:val="000000"/>
                <w:sz w:val="20"/>
                <w:szCs w:val="20"/>
                <w:lang w:val="ru-RU"/>
              </w:rPr>
              <w:t>Картахенский протокол по биобезопасности</w:t>
            </w:r>
          </w:p>
        </w:tc>
        <w:tc>
          <w:tcPr>
            <w:tcW w:w="1240" w:type="dxa"/>
            <w:tcBorders>
              <w:top w:val="nil"/>
              <w:left w:val="nil"/>
              <w:bottom w:val="nil"/>
              <w:right w:val="nil"/>
            </w:tcBorders>
            <w:shd w:val="clear" w:color="auto" w:fill="auto"/>
            <w:noWrap/>
            <w:vAlign w:val="center"/>
            <w:hideMark/>
          </w:tcPr>
          <w:p w:rsidR="001C6C0F" w:rsidRPr="00480C6C" w:rsidRDefault="001C6C0F" w:rsidP="001C6C0F">
            <w:pPr>
              <w:jc w:val="right"/>
              <w:rPr>
                <w:color w:val="000000"/>
                <w:sz w:val="20"/>
                <w:szCs w:val="20"/>
                <w:lang w:val="ru-RU"/>
              </w:rPr>
            </w:pPr>
            <w:r w:rsidRPr="00480C6C">
              <w:rPr>
                <w:color w:val="000000"/>
                <w:sz w:val="20"/>
                <w:szCs w:val="20"/>
                <w:lang w:val="ru-RU"/>
              </w:rPr>
              <w:t>899,0</w:t>
            </w:r>
          </w:p>
        </w:tc>
        <w:tc>
          <w:tcPr>
            <w:tcW w:w="1720" w:type="dxa"/>
            <w:tcBorders>
              <w:top w:val="nil"/>
              <w:left w:val="nil"/>
              <w:bottom w:val="nil"/>
              <w:right w:val="nil"/>
            </w:tcBorders>
            <w:shd w:val="clear" w:color="auto" w:fill="auto"/>
            <w:noWrap/>
            <w:vAlign w:val="center"/>
            <w:hideMark/>
          </w:tcPr>
          <w:p w:rsidR="001C6C0F" w:rsidRPr="00480C6C" w:rsidRDefault="001C6C0F" w:rsidP="001C6C0F">
            <w:pPr>
              <w:jc w:val="right"/>
              <w:rPr>
                <w:color w:val="000000"/>
                <w:sz w:val="20"/>
                <w:szCs w:val="20"/>
                <w:lang w:val="ru-RU"/>
              </w:rPr>
            </w:pPr>
            <w:r w:rsidRPr="00480C6C">
              <w:rPr>
                <w:color w:val="000000"/>
                <w:sz w:val="20"/>
                <w:szCs w:val="20"/>
                <w:lang w:val="ru-RU"/>
              </w:rPr>
              <w:t>116,9</w:t>
            </w:r>
          </w:p>
        </w:tc>
        <w:tc>
          <w:tcPr>
            <w:tcW w:w="1100" w:type="dxa"/>
            <w:tcBorders>
              <w:top w:val="nil"/>
              <w:left w:val="nil"/>
              <w:bottom w:val="nil"/>
              <w:right w:val="nil"/>
            </w:tcBorders>
            <w:shd w:val="clear" w:color="auto" w:fill="auto"/>
            <w:noWrap/>
            <w:vAlign w:val="center"/>
            <w:hideMark/>
          </w:tcPr>
          <w:p w:rsidR="001C6C0F" w:rsidRPr="00480C6C" w:rsidRDefault="001C6C0F" w:rsidP="001C6C0F">
            <w:pPr>
              <w:jc w:val="right"/>
              <w:rPr>
                <w:color w:val="000000"/>
                <w:sz w:val="20"/>
                <w:szCs w:val="20"/>
                <w:lang w:val="ru-RU"/>
              </w:rPr>
            </w:pPr>
            <w:r w:rsidRPr="00480C6C">
              <w:rPr>
                <w:color w:val="000000"/>
                <w:sz w:val="20"/>
                <w:szCs w:val="20"/>
                <w:lang w:val="ru-RU"/>
              </w:rPr>
              <w:t>1015,9</w:t>
            </w:r>
          </w:p>
        </w:tc>
      </w:tr>
      <w:tr w:rsidR="001C6C0F" w:rsidRPr="000559B7" w:rsidTr="001C6C0F">
        <w:trPr>
          <w:trHeight w:val="288"/>
        </w:trPr>
        <w:tc>
          <w:tcPr>
            <w:tcW w:w="3400" w:type="dxa"/>
            <w:tcBorders>
              <w:top w:val="nil"/>
              <w:left w:val="nil"/>
              <w:bottom w:val="nil"/>
              <w:right w:val="nil"/>
            </w:tcBorders>
            <w:shd w:val="clear" w:color="auto" w:fill="auto"/>
            <w:noWrap/>
            <w:vAlign w:val="center"/>
            <w:hideMark/>
          </w:tcPr>
          <w:p w:rsidR="001C6C0F" w:rsidRPr="00480C6C" w:rsidRDefault="001C6C0F" w:rsidP="001C6C0F">
            <w:pPr>
              <w:jc w:val="left"/>
              <w:rPr>
                <w:color w:val="000000"/>
                <w:sz w:val="20"/>
                <w:szCs w:val="20"/>
                <w:lang w:val="ru-RU"/>
              </w:rPr>
            </w:pPr>
            <w:r w:rsidRPr="00480C6C">
              <w:rPr>
                <w:color w:val="000000"/>
                <w:sz w:val="20"/>
                <w:szCs w:val="20"/>
                <w:lang w:val="ru-RU"/>
              </w:rPr>
              <w:t>Нагойский протокол</w:t>
            </w:r>
          </w:p>
        </w:tc>
        <w:tc>
          <w:tcPr>
            <w:tcW w:w="1240" w:type="dxa"/>
            <w:tcBorders>
              <w:top w:val="nil"/>
              <w:left w:val="nil"/>
              <w:bottom w:val="nil"/>
              <w:right w:val="nil"/>
            </w:tcBorders>
            <w:shd w:val="clear" w:color="auto" w:fill="auto"/>
            <w:noWrap/>
            <w:vAlign w:val="center"/>
            <w:hideMark/>
          </w:tcPr>
          <w:p w:rsidR="001C6C0F" w:rsidRPr="00480C6C" w:rsidRDefault="001C6C0F" w:rsidP="001C6C0F">
            <w:pPr>
              <w:jc w:val="right"/>
              <w:rPr>
                <w:color w:val="000000"/>
                <w:sz w:val="20"/>
                <w:szCs w:val="20"/>
                <w:lang w:val="ru-RU"/>
              </w:rPr>
            </w:pPr>
            <w:r w:rsidRPr="00480C6C">
              <w:rPr>
                <w:color w:val="000000"/>
                <w:sz w:val="20"/>
                <w:szCs w:val="20"/>
                <w:lang w:val="ru-RU"/>
              </w:rPr>
              <w:t>238,0</w:t>
            </w:r>
          </w:p>
        </w:tc>
        <w:tc>
          <w:tcPr>
            <w:tcW w:w="1720" w:type="dxa"/>
            <w:tcBorders>
              <w:top w:val="nil"/>
              <w:left w:val="nil"/>
              <w:bottom w:val="nil"/>
              <w:right w:val="nil"/>
            </w:tcBorders>
            <w:shd w:val="clear" w:color="auto" w:fill="auto"/>
            <w:noWrap/>
            <w:vAlign w:val="center"/>
            <w:hideMark/>
          </w:tcPr>
          <w:p w:rsidR="001C6C0F" w:rsidRPr="00480C6C" w:rsidRDefault="001C6C0F" w:rsidP="001C6C0F">
            <w:pPr>
              <w:jc w:val="right"/>
              <w:rPr>
                <w:color w:val="000000"/>
                <w:sz w:val="20"/>
                <w:szCs w:val="20"/>
                <w:lang w:val="ru-RU"/>
              </w:rPr>
            </w:pPr>
            <w:r w:rsidRPr="00480C6C">
              <w:rPr>
                <w:color w:val="000000"/>
                <w:sz w:val="20"/>
                <w:szCs w:val="20"/>
                <w:lang w:val="ru-RU"/>
              </w:rPr>
              <w:t>30,9</w:t>
            </w:r>
          </w:p>
        </w:tc>
        <w:tc>
          <w:tcPr>
            <w:tcW w:w="1100" w:type="dxa"/>
            <w:tcBorders>
              <w:top w:val="nil"/>
              <w:left w:val="nil"/>
              <w:bottom w:val="nil"/>
              <w:right w:val="nil"/>
            </w:tcBorders>
            <w:shd w:val="clear" w:color="auto" w:fill="auto"/>
            <w:noWrap/>
            <w:vAlign w:val="center"/>
            <w:hideMark/>
          </w:tcPr>
          <w:p w:rsidR="001C6C0F" w:rsidRPr="00480C6C" w:rsidRDefault="001C6C0F" w:rsidP="001C6C0F">
            <w:pPr>
              <w:jc w:val="right"/>
              <w:rPr>
                <w:color w:val="000000"/>
                <w:sz w:val="20"/>
                <w:szCs w:val="20"/>
                <w:lang w:val="ru-RU"/>
              </w:rPr>
            </w:pPr>
            <w:r w:rsidRPr="00480C6C">
              <w:rPr>
                <w:color w:val="000000"/>
                <w:sz w:val="20"/>
                <w:szCs w:val="20"/>
                <w:lang w:val="ru-RU"/>
              </w:rPr>
              <w:t>268,9</w:t>
            </w:r>
          </w:p>
        </w:tc>
      </w:tr>
      <w:tr w:rsidR="001C6C0F" w:rsidRPr="000559B7" w:rsidTr="001C6C0F">
        <w:trPr>
          <w:trHeight w:val="300"/>
        </w:trPr>
        <w:tc>
          <w:tcPr>
            <w:tcW w:w="3400" w:type="dxa"/>
            <w:tcBorders>
              <w:top w:val="single" w:sz="4" w:space="0" w:color="auto"/>
              <w:left w:val="nil"/>
              <w:bottom w:val="single" w:sz="8" w:space="0" w:color="auto"/>
              <w:right w:val="nil"/>
            </w:tcBorders>
            <w:shd w:val="clear" w:color="auto" w:fill="auto"/>
            <w:noWrap/>
            <w:vAlign w:val="center"/>
            <w:hideMark/>
          </w:tcPr>
          <w:p w:rsidR="001C6C0F" w:rsidRPr="00480C6C" w:rsidRDefault="001C6C0F" w:rsidP="001C6C0F">
            <w:pPr>
              <w:jc w:val="left"/>
              <w:rPr>
                <w:b/>
                <w:color w:val="000000"/>
                <w:sz w:val="20"/>
                <w:szCs w:val="20"/>
                <w:lang w:val="ru-RU"/>
              </w:rPr>
            </w:pPr>
            <w:r w:rsidRPr="00480C6C">
              <w:rPr>
                <w:b/>
                <w:color w:val="000000"/>
                <w:sz w:val="20"/>
                <w:szCs w:val="20"/>
                <w:lang w:val="ru-RU"/>
              </w:rPr>
              <w:t>Общий итог</w:t>
            </w:r>
          </w:p>
        </w:tc>
        <w:tc>
          <w:tcPr>
            <w:tcW w:w="1240" w:type="dxa"/>
            <w:tcBorders>
              <w:top w:val="single" w:sz="4" w:space="0" w:color="auto"/>
              <w:left w:val="nil"/>
              <w:bottom w:val="single" w:sz="8" w:space="0" w:color="auto"/>
              <w:right w:val="nil"/>
            </w:tcBorders>
            <w:shd w:val="clear" w:color="auto" w:fill="auto"/>
            <w:noWrap/>
            <w:vAlign w:val="center"/>
            <w:hideMark/>
          </w:tcPr>
          <w:p w:rsidR="001C6C0F" w:rsidRPr="00480C6C" w:rsidRDefault="001C6C0F" w:rsidP="001C6C0F">
            <w:pPr>
              <w:jc w:val="right"/>
              <w:rPr>
                <w:color w:val="000000"/>
                <w:sz w:val="20"/>
                <w:szCs w:val="20"/>
                <w:lang w:val="ru-RU"/>
              </w:rPr>
            </w:pPr>
            <w:r w:rsidRPr="00480C6C">
              <w:rPr>
                <w:color w:val="000000"/>
                <w:sz w:val="20"/>
                <w:szCs w:val="20"/>
                <w:lang w:val="ru-RU"/>
              </w:rPr>
              <w:t>20 612,0</w:t>
            </w:r>
          </w:p>
        </w:tc>
        <w:tc>
          <w:tcPr>
            <w:tcW w:w="1720" w:type="dxa"/>
            <w:tcBorders>
              <w:top w:val="single" w:sz="4" w:space="0" w:color="auto"/>
              <w:left w:val="nil"/>
              <w:bottom w:val="single" w:sz="8" w:space="0" w:color="auto"/>
              <w:right w:val="nil"/>
            </w:tcBorders>
            <w:shd w:val="clear" w:color="auto" w:fill="auto"/>
            <w:noWrap/>
            <w:vAlign w:val="center"/>
            <w:hideMark/>
          </w:tcPr>
          <w:p w:rsidR="001C6C0F" w:rsidRPr="00480C6C" w:rsidRDefault="001C6C0F" w:rsidP="001C6C0F">
            <w:pPr>
              <w:jc w:val="right"/>
              <w:rPr>
                <w:color w:val="000000"/>
                <w:sz w:val="20"/>
                <w:szCs w:val="20"/>
                <w:lang w:val="ru-RU"/>
              </w:rPr>
            </w:pPr>
            <w:r w:rsidRPr="00480C6C">
              <w:rPr>
                <w:color w:val="000000"/>
                <w:sz w:val="20"/>
                <w:szCs w:val="20"/>
                <w:lang w:val="ru-RU"/>
              </w:rPr>
              <w:t>2679,6</w:t>
            </w:r>
          </w:p>
        </w:tc>
        <w:tc>
          <w:tcPr>
            <w:tcW w:w="1100" w:type="dxa"/>
            <w:tcBorders>
              <w:top w:val="single" w:sz="4" w:space="0" w:color="auto"/>
              <w:left w:val="nil"/>
              <w:bottom w:val="single" w:sz="8" w:space="0" w:color="auto"/>
              <w:right w:val="nil"/>
            </w:tcBorders>
            <w:shd w:val="clear" w:color="auto" w:fill="auto"/>
            <w:noWrap/>
            <w:vAlign w:val="center"/>
            <w:hideMark/>
          </w:tcPr>
          <w:p w:rsidR="001C6C0F" w:rsidRPr="00480C6C" w:rsidRDefault="001C6C0F" w:rsidP="001C6C0F">
            <w:pPr>
              <w:jc w:val="right"/>
              <w:rPr>
                <w:color w:val="000000"/>
                <w:sz w:val="20"/>
                <w:szCs w:val="20"/>
                <w:lang w:val="ru-RU"/>
              </w:rPr>
            </w:pPr>
            <w:r w:rsidRPr="00480C6C">
              <w:rPr>
                <w:color w:val="000000"/>
                <w:sz w:val="20"/>
                <w:szCs w:val="20"/>
                <w:lang w:val="ru-RU"/>
              </w:rPr>
              <w:t>23 291,6</w:t>
            </w:r>
          </w:p>
        </w:tc>
      </w:tr>
    </w:tbl>
    <w:p w:rsidR="001C6C0F" w:rsidRPr="000559B7" w:rsidRDefault="001C6C0F" w:rsidP="001C6C0F">
      <w:pPr>
        <w:spacing w:after="160" w:line="259" w:lineRule="auto"/>
        <w:jc w:val="left"/>
        <w:rPr>
          <w:b/>
          <w:bCs/>
          <w:sz w:val="20"/>
          <w:szCs w:val="20"/>
          <w:lang w:val="ru-RU"/>
        </w:rPr>
      </w:pPr>
    </w:p>
    <w:p w:rsidR="001C6C0F" w:rsidRPr="000559B7" w:rsidRDefault="001C6C0F" w:rsidP="001C6C0F">
      <w:pPr>
        <w:spacing w:after="160" w:line="259" w:lineRule="auto"/>
        <w:jc w:val="left"/>
        <w:rPr>
          <w:b/>
          <w:bCs/>
          <w:sz w:val="20"/>
          <w:szCs w:val="20"/>
          <w:lang w:val="ru-RU"/>
        </w:rPr>
      </w:pPr>
    </w:p>
    <w:p w:rsidR="001C6C0F" w:rsidRPr="000559B7" w:rsidRDefault="001C6C0F" w:rsidP="001C6C0F">
      <w:pPr>
        <w:spacing w:after="160" w:line="259" w:lineRule="auto"/>
        <w:jc w:val="left"/>
        <w:rPr>
          <w:b/>
          <w:bCs/>
          <w:sz w:val="20"/>
          <w:szCs w:val="20"/>
          <w:lang w:val="ru-RU"/>
        </w:rPr>
      </w:pPr>
    </w:p>
    <w:p w:rsidR="001C6C0F" w:rsidRPr="000559B7" w:rsidRDefault="001C6C0F" w:rsidP="001C6C0F">
      <w:pPr>
        <w:spacing w:after="160" w:line="259" w:lineRule="auto"/>
        <w:jc w:val="left"/>
        <w:rPr>
          <w:b/>
          <w:bCs/>
          <w:color w:val="000000"/>
          <w:sz w:val="20"/>
          <w:szCs w:val="20"/>
          <w:lang w:val="ru-RU"/>
        </w:rPr>
      </w:pPr>
      <w:r w:rsidRPr="000559B7">
        <w:rPr>
          <w:b/>
          <w:bCs/>
          <w:sz w:val="20"/>
          <w:szCs w:val="20"/>
          <w:lang w:val="ru-RU"/>
        </w:rPr>
        <w:br w:type="page"/>
      </w:r>
    </w:p>
    <w:p w:rsidR="001C6C0F" w:rsidRPr="009B07B7" w:rsidRDefault="001C6C0F" w:rsidP="009B07B7">
      <w:pPr>
        <w:keepNext/>
        <w:ind w:left="1701" w:hanging="981"/>
        <w:rPr>
          <w:b/>
          <w:color w:val="000000" w:themeColor="text1"/>
          <w:kern w:val="20"/>
          <w:lang w:val="en-GB"/>
        </w:rPr>
      </w:pPr>
      <w:proofErr w:type="spellStart"/>
      <w:proofErr w:type="gramStart"/>
      <w:r w:rsidRPr="009B07B7">
        <w:rPr>
          <w:b/>
          <w:color w:val="000000" w:themeColor="text1"/>
          <w:kern w:val="20"/>
          <w:lang w:val="en-GB"/>
        </w:rPr>
        <w:lastRenderedPageBreak/>
        <w:t>Таблица</w:t>
      </w:r>
      <w:proofErr w:type="spellEnd"/>
      <w:r w:rsidRPr="009B07B7">
        <w:rPr>
          <w:b/>
          <w:color w:val="000000" w:themeColor="text1"/>
          <w:kern w:val="20"/>
          <w:lang w:val="en-GB"/>
        </w:rPr>
        <w:t xml:space="preserve"> 4.</w:t>
      </w:r>
      <w:proofErr w:type="gramEnd"/>
      <w:r w:rsidRPr="009B07B7">
        <w:rPr>
          <w:b/>
          <w:color w:val="000000" w:themeColor="text1"/>
          <w:kern w:val="20"/>
          <w:lang w:val="en-GB"/>
        </w:rPr>
        <w:tab/>
        <w:t>Потребности в ресурсах из Специального добровольного целевого фонда (BZ) для оказания содействия участию Сторон в процессе осуществления Конвенции на период 2019-2020 гг.</w:t>
      </w:r>
    </w:p>
    <w:p w:rsidR="001C6C0F" w:rsidRPr="000559B7" w:rsidRDefault="001C6C0F" w:rsidP="001C6C0F">
      <w:pPr>
        <w:pStyle w:val="Default"/>
        <w:keepNext/>
        <w:spacing w:after="120"/>
        <w:ind w:left="907" w:hanging="907"/>
        <w:jc w:val="center"/>
        <w:rPr>
          <w:b/>
          <w:bCs/>
          <w:sz w:val="20"/>
          <w:szCs w:val="20"/>
          <w:lang w:val="ru-RU"/>
        </w:rPr>
      </w:pPr>
    </w:p>
    <w:tbl>
      <w:tblPr>
        <w:tblW w:w="8640" w:type="dxa"/>
        <w:tblInd w:w="93" w:type="dxa"/>
        <w:tblLook w:val="04A0"/>
      </w:tblPr>
      <w:tblGrid>
        <w:gridCol w:w="6843"/>
        <w:gridCol w:w="1797"/>
      </w:tblGrid>
      <w:tr w:rsidR="001C6C0F" w:rsidRPr="009B07B7" w:rsidTr="001C6C0F">
        <w:trPr>
          <w:trHeight w:val="288"/>
        </w:trPr>
        <w:tc>
          <w:tcPr>
            <w:tcW w:w="6843" w:type="dxa"/>
            <w:vMerge w:val="restart"/>
            <w:tcBorders>
              <w:top w:val="single" w:sz="8" w:space="0" w:color="000000"/>
              <w:left w:val="nil"/>
              <w:bottom w:val="single" w:sz="8" w:space="0" w:color="000000"/>
              <w:right w:val="nil"/>
            </w:tcBorders>
            <w:shd w:val="clear" w:color="auto" w:fill="auto"/>
            <w:vAlign w:val="center"/>
            <w:hideMark/>
          </w:tcPr>
          <w:p w:rsidR="001C6C0F" w:rsidRPr="009B07B7" w:rsidRDefault="001C6C0F" w:rsidP="001C6C0F">
            <w:pPr>
              <w:jc w:val="center"/>
              <w:rPr>
                <w:i/>
                <w:iCs/>
                <w:color w:val="000000"/>
                <w:sz w:val="16"/>
                <w:szCs w:val="16"/>
                <w:lang w:val="ru-RU"/>
              </w:rPr>
            </w:pPr>
            <w:r w:rsidRPr="009B07B7">
              <w:rPr>
                <w:i/>
                <w:iCs/>
                <w:color w:val="000000"/>
                <w:sz w:val="16"/>
                <w:szCs w:val="16"/>
                <w:lang w:val="ru-RU"/>
              </w:rPr>
              <w:t>Описание совещаний</w:t>
            </w:r>
          </w:p>
        </w:tc>
        <w:tc>
          <w:tcPr>
            <w:tcW w:w="1797" w:type="dxa"/>
            <w:tcBorders>
              <w:top w:val="single" w:sz="8" w:space="0" w:color="000000"/>
              <w:left w:val="nil"/>
              <w:bottom w:val="nil"/>
              <w:right w:val="nil"/>
            </w:tcBorders>
            <w:shd w:val="clear" w:color="auto" w:fill="auto"/>
            <w:vAlign w:val="center"/>
            <w:hideMark/>
          </w:tcPr>
          <w:p w:rsidR="001C6C0F" w:rsidRPr="009B07B7" w:rsidRDefault="001C6C0F" w:rsidP="001C6C0F">
            <w:pPr>
              <w:jc w:val="center"/>
              <w:rPr>
                <w:i/>
                <w:iCs/>
                <w:color w:val="000000"/>
                <w:sz w:val="16"/>
                <w:szCs w:val="16"/>
                <w:lang w:val="ru-RU"/>
              </w:rPr>
            </w:pPr>
            <w:r w:rsidRPr="009B07B7">
              <w:rPr>
                <w:i/>
                <w:iCs/>
                <w:color w:val="000000"/>
                <w:sz w:val="16"/>
                <w:szCs w:val="16"/>
                <w:lang w:val="ru-RU"/>
              </w:rPr>
              <w:t>2019-2020 гг.</w:t>
            </w:r>
          </w:p>
        </w:tc>
      </w:tr>
      <w:tr w:rsidR="001C6C0F" w:rsidRPr="009B07B7" w:rsidTr="001C6C0F">
        <w:trPr>
          <w:trHeight w:val="300"/>
        </w:trPr>
        <w:tc>
          <w:tcPr>
            <w:tcW w:w="6843" w:type="dxa"/>
            <w:vMerge/>
            <w:tcBorders>
              <w:top w:val="single" w:sz="8" w:space="0" w:color="000000"/>
              <w:left w:val="nil"/>
              <w:bottom w:val="single" w:sz="8" w:space="0" w:color="000000"/>
              <w:right w:val="nil"/>
            </w:tcBorders>
            <w:vAlign w:val="center"/>
            <w:hideMark/>
          </w:tcPr>
          <w:p w:rsidR="001C6C0F" w:rsidRPr="000559B7" w:rsidRDefault="001C6C0F" w:rsidP="001C6C0F">
            <w:pPr>
              <w:jc w:val="left"/>
              <w:rPr>
                <w:i/>
                <w:iCs/>
                <w:color w:val="000000"/>
                <w:sz w:val="15"/>
                <w:szCs w:val="15"/>
                <w:highlight w:val="magenta"/>
                <w:lang w:val="ru-RU"/>
              </w:rPr>
            </w:pPr>
          </w:p>
        </w:tc>
        <w:tc>
          <w:tcPr>
            <w:tcW w:w="1797" w:type="dxa"/>
            <w:tcBorders>
              <w:top w:val="nil"/>
              <w:left w:val="nil"/>
              <w:bottom w:val="single" w:sz="8" w:space="0" w:color="000000"/>
              <w:right w:val="nil"/>
            </w:tcBorders>
            <w:shd w:val="clear" w:color="auto" w:fill="auto"/>
            <w:vAlign w:val="center"/>
            <w:hideMark/>
          </w:tcPr>
          <w:p w:rsidR="001C6C0F" w:rsidRPr="009B07B7" w:rsidRDefault="001C6C0F" w:rsidP="001C6C0F">
            <w:pPr>
              <w:jc w:val="center"/>
              <w:rPr>
                <w:i/>
                <w:iCs/>
                <w:color w:val="000000"/>
                <w:sz w:val="16"/>
                <w:szCs w:val="16"/>
                <w:lang w:val="ru-RU"/>
              </w:rPr>
            </w:pPr>
            <w:r w:rsidRPr="009B07B7">
              <w:rPr>
                <w:i/>
                <w:iCs/>
                <w:color w:val="000000"/>
                <w:sz w:val="16"/>
                <w:szCs w:val="16"/>
                <w:lang w:val="ru-RU"/>
              </w:rPr>
              <w:t>(в тысячах долл. США)</w:t>
            </w:r>
          </w:p>
        </w:tc>
      </w:tr>
      <w:tr w:rsidR="001C6C0F" w:rsidRPr="000559B7" w:rsidTr="001C6C0F">
        <w:trPr>
          <w:trHeight w:val="288"/>
        </w:trPr>
        <w:tc>
          <w:tcPr>
            <w:tcW w:w="6843" w:type="dxa"/>
            <w:tcBorders>
              <w:top w:val="nil"/>
              <w:left w:val="nil"/>
              <w:bottom w:val="nil"/>
              <w:right w:val="nil"/>
            </w:tcBorders>
            <w:shd w:val="clear" w:color="auto" w:fill="auto"/>
            <w:vAlign w:val="center"/>
            <w:hideMark/>
          </w:tcPr>
          <w:p w:rsidR="001C6C0F" w:rsidRPr="000559B7" w:rsidRDefault="001C6C0F" w:rsidP="001C6C0F">
            <w:pPr>
              <w:jc w:val="left"/>
              <w:rPr>
                <w:b/>
                <w:bCs/>
                <w:color w:val="000000"/>
                <w:sz w:val="17"/>
                <w:szCs w:val="17"/>
                <w:lang w:val="ru-RU"/>
              </w:rPr>
            </w:pPr>
            <w:r w:rsidRPr="000559B7">
              <w:rPr>
                <w:b/>
                <w:bCs/>
                <w:color w:val="000000"/>
                <w:sz w:val="17"/>
                <w:szCs w:val="17"/>
                <w:lang w:val="ru-RU"/>
              </w:rPr>
              <w:t>I. Совещания</w:t>
            </w:r>
          </w:p>
        </w:tc>
        <w:tc>
          <w:tcPr>
            <w:tcW w:w="1797" w:type="dxa"/>
            <w:tcBorders>
              <w:top w:val="nil"/>
              <w:left w:val="nil"/>
              <w:bottom w:val="nil"/>
              <w:right w:val="nil"/>
            </w:tcBorders>
            <w:shd w:val="clear" w:color="auto" w:fill="auto"/>
            <w:vAlign w:val="center"/>
            <w:hideMark/>
          </w:tcPr>
          <w:p w:rsidR="001C6C0F" w:rsidRPr="000559B7" w:rsidRDefault="001C6C0F" w:rsidP="001C6C0F">
            <w:pPr>
              <w:jc w:val="right"/>
              <w:rPr>
                <w:color w:val="000000"/>
                <w:sz w:val="17"/>
                <w:szCs w:val="17"/>
                <w:highlight w:val="magenta"/>
                <w:lang w:val="ru-RU"/>
              </w:rPr>
            </w:pPr>
          </w:p>
        </w:tc>
      </w:tr>
      <w:tr w:rsidR="001C6C0F" w:rsidRPr="000559B7" w:rsidTr="001C6C0F">
        <w:trPr>
          <w:trHeight w:val="288"/>
        </w:trPr>
        <w:tc>
          <w:tcPr>
            <w:tcW w:w="6843" w:type="dxa"/>
            <w:tcBorders>
              <w:top w:val="nil"/>
              <w:left w:val="nil"/>
              <w:bottom w:val="nil"/>
              <w:right w:val="nil"/>
            </w:tcBorders>
            <w:shd w:val="clear" w:color="auto" w:fill="auto"/>
            <w:noWrap/>
            <w:vAlign w:val="center"/>
            <w:hideMark/>
          </w:tcPr>
          <w:p w:rsidR="001C6C0F" w:rsidRPr="000559B7" w:rsidRDefault="001C6C0F" w:rsidP="001C6C0F">
            <w:pPr>
              <w:jc w:val="left"/>
              <w:rPr>
                <w:color w:val="000000"/>
                <w:sz w:val="17"/>
                <w:szCs w:val="17"/>
                <w:lang w:val="ru-RU"/>
              </w:rPr>
            </w:pPr>
            <w:r w:rsidRPr="000559B7">
              <w:rPr>
                <w:color w:val="000000"/>
                <w:sz w:val="17"/>
                <w:szCs w:val="17"/>
                <w:lang w:val="ru-RU"/>
              </w:rPr>
              <w:t>КС-15, КС-ССП-10 Картахенского протокола и КС-ССП-4 Нагойского протокола</w:t>
            </w:r>
          </w:p>
        </w:tc>
        <w:tc>
          <w:tcPr>
            <w:tcW w:w="1797" w:type="dxa"/>
            <w:tcBorders>
              <w:top w:val="nil"/>
              <w:left w:val="nil"/>
              <w:bottom w:val="nil"/>
              <w:right w:val="nil"/>
            </w:tcBorders>
            <w:shd w:val="clear" w:color="auto" w:fill="auto"/>
            <w:vAlign w:val="center"/>
            <w:hideMark/>
          </w:tcPr>
          <w:p w:rsidR="001C6C0F" w:rsidRPr="000559B7" w:rsidRDefault="001C6C0F" w:rsidP="001C6C0F">
            <w:pPr>
              <w:jc w:val="right"/>
              <w:rPr>
                <w:color w:val="000000"/>
                <w:sz w:val="17"/>
                <w:szCs w:val="17"/>
                <w:lang w:val="ru-RU"/>
              </w:rPr>
            </w:pPr>
            <w:r w:rsidRPr="000559B7">
              <w:rPr>
                <w:color w:val="000000"/>
                <w:sz w:val="17"/>
                <w:szCs w:val="17"/>
                <w:lang w:val="ru-RU"/>
              </w:rPr>
              <w:t>1500,0</w:t>
            </w:r>
          </w:p>
        </w:tc>
      </w:tr>
      <w:tr w:rsidR="001C6C0F" w:rsidRPr="000559B7" w:rsidTr="001C6C0F">
        <w:trPr>
          <w:trHeight w:val="288"/>
        </w:trPr>
        <w:tc>
          <w:tcPr>
            <w:tcW w:w="6843" w:type="dxa"/>
            <w:tcBorders>
              <w:top w:val="nil"/>
              <w:left w:val="nil"/>
              <w:bottom w:val="nil"/>
              <w:right w:val="nil"/>
            </w:tcBorders>
            <w:shd w:val="clear" w:color="auto" w:fill="auto"/>
            <w:noWrap/>
            <w:vAlign w:val="center"/>
            <w:hideMark/>
          </w:tcPr>
          <w:p w:rsidR="001C6C0F" w:rsidRPr="000559B7" w:rsidRDefault="001C6C0F" w:rsidP="001C6C0F">
            <w:pPr>
              <w:jc w:val="left"/>
              <w:rPr>
                <w:color w:val="000000"/>
                <w:sz w:val="17"/>
                <w:szCs w:val="17"/>
                <w:lang w:val="ru-RU"/>
              </w:rPr>
            </w:pPr>
            <w:r w:rsidRPr="000559B7">
              <w:rPr>
                <w:color w:val="000000"/>
                <w:sz w:val="17"/>
                <w:szCs w:val="17"/>
                <w:lang w:val="ru-RU"/>
              </w:rPr>
              <w:t>Региональные подготовительные совещания к одновременным совещаниям в рамках Конференции Сторон</w:t>
            </w:r>
          </w:p>
        </w:tc>
        <w:tc>
          <w:tcPr>
            <w:tcW w:w="1797" w:type="dxa"/>
            <w:tcBorders>
              <w:top w:val="nil"/>
              <w:left w:val="nil"/>
              <w:bottom w:val="nil"/>
              <w:right w:val="nil"/>
            </w:tcBorders>
            <w:shd w:val="clear" w:color="auto" w:fill="auto"/>
            <w:vAlign w:val="center"/>
            <w:hideMark/>
          </w:tcPr>
          <w:p w:rsidR="001C6C0F" w:rsidRPr="000559B7" w:rsidRDefault="001C6C0F" w:rsidP="001C6C0F">
            <w:pPr>
              <w:jc w:val="right"/>
              <w:rPr>
                <w:color w:val="000000"/>
                <w:sz w:val="17"/>
                <w:szCs w:val="17"/>
                <w:lang w:val="ru-RU"/>
              </w:rPr>
            </w:pPr>
            <w:r w:rsidRPr="000559B7">
              <w:rPr>
                <w:color w:val="000000"/>
                <w:sz w:val="17"/>
                <w:szCs w:val="17"/>
                <w:lang w:val="ru-RU"/>
              </w:rPr>
              <w:t>100,0</w:t>
            </w:r>
          </w:p>
        </w:tc>
      </w:tr>
      <w:tr w:rsidR="001C6C0F" w:rsidRPr="000559B7" w:rsidTr="001C6C0F">
        <w:trPr>
          <w:trHeight w:val="288"/>
        </w:trPr>
        <w:tc>
          <w:tcPr>
            <w:tcW w:w="6843" w:type="dxa"/>
            <w:tcBorders>
              <w:top w:val="nil"/>
              <w:left w:val="nil"/>
              <w:bottom w:val="nil"/>
              <w:right w:val="nil"/>
            </w:tcBorders>
            <w:shd w:val="clear" w:color="auto" w:fill="auto"/>
            <w:noWrap/>
            <w:vAlign w:val="center"/>
            <w:hideMark/>
          </w:tcPr>
          <w:p w:rsidR="001C6C0F" w:rsidRPr="000559B7" w:rsidRDefault="001C6C0F" w:rsidP="009B07B7">
            <w:pPr>
              <w:jc w:val="left"/>
              <w:rPr>
                <w:color w:val="000000"/>
                <w:sz w:val="17"/>
                <w:szCs w:val="17"/>
                <w:lang w:val="ru-RU"/>
              </w:rPr>
            </w:pPr>
            <w:r w:rsidRPr="000559B7">
              <w:rPr>
                <w:color w:val="000000"/>
                <w:sz w:val="17"/>
                <w:szCs w:val="17"/>
                <w:lang w:val="ru-RU"/>
              </w:rPr>
              <w:t>Вспомогательный орган по научным, техническим и технологическим консультациям (ВОНТТК</w:t>
            </w:r>
            <w:r w:rsidR="009B07B7">
              <w:rPr>
                <w:color w:val="000000"/>
                <w:sz w:val="17"/>
                <w:szCs w:val="17"/>
                <w:lang w:val="ru-RU"/>
              </w:rPr>
              <w:t>-</w:t>
            </w:r>
            <w:r w:rsidRPr="000559B7">
              <w:rPr>
                <w:color w:val="000000"/>
                <w:sz w:val="17"/>
                <w:szCs w:val="17"/>
                <w:lang w:val="ru-RU"/>
              </w:rPr>
              <w:t>23 и ВОНТТК</w:t>
            </w:r>
            <w:r w:rsidR="009B07B7">
              <w:rPr>
                <w:color w:val="000000"/>
                <w:sz w:val="17"/>
                <w:szCs w:val="17"/>
                <w:lang w:val="ru-RU"/>
              </w:rPr>
              <w:t>-</w:t>
            </w:r>
            <w:r w:rsidRPr="000559B7">
              <w:rPr>
                <w:color w:val="000000"/>
                <w:sz w:val="17"/>
                <w:szCs w:val="17"/>
                <w:lang w:val="ru-RU"/>
              </w:rPr>
              <w:t>24)</w:t>
            </w:r>
          </w:p>
        </w:tc>
        <w:tc>
          <w:tcPr>
            <w:tcW w:w="1797" w:type="dxa"/>
            <w:tcBorders>
              <w:top w:val="nil"/>
              <w:left w:val="nil"/>
              <w:bottom w:val="nil"/>
              <w:right w:val="nil"/>
            </w:tcBorders>
            <w:shd w:val="clear" w:color="auto" w:fill="auto"/>
            <w:vAlign w:val="center"/>
            <w:hideMark/>
          </w:tcPr>
          <w:p w:rsidR="001C6C0F" w:rsidRPr="000559B7" w:rsidRDefault="001C6C0F" w:rsidP="001C6C0F">
            <w:pPr>
              <w:jc w:val="right"/>
              <w:rPr>
                <w:color w:val="000000"/>
                <w:sz w:val="17"/>
                <w:szCs w:val="17"/>
                <w:lang w:val="ru-RU"/>
              </w:rPr>
            </w:pPr>
            <w:r w:rsidRPr="000559B7">
              <w:rPr>
                <w:color w:val="000000"/>
                <w:sz w:val="17"/>
                <w:szCs w:val="17"/>
                <w:lang w:val="ru-RU"/>
              </w:rPr>
              <w:t>1200,0</w:t>
            </w:r>
          </w:p>
        </w:tc>
      </w:tr>
      <w:tr w:rsidR="001C6C0F" w:rsidRPr="000559B7" w:rsidTr="001C6C0F">
        <w:trPr>
          <w:trHeight w:val="288"/>
        </w:trPr>
        <w:tc>
          <w:tcPr>
            <w:tcW w:w="6843" w:type="dxa"/>
            <w:tcBorders>
              <w:top w:val="nil"/>
              <w:left w:val="nil"/>
              <w:bottom w:val="nil"/>
              <w:right w:val="nil"/>
            </w:tcBorders>
            <w:shd w:val="clear" w:color="auto" w:fill="auto"/>
            <w:noWrap/>
            <w:vAlign w:val="center"/>
            <w:hideMark/>
          </w:tcPr>
          <w:p w:rsidR="001C6C0F" w:rsidRPr="000559B7" w:rsidRDefault="001C6C0F" w:rsidP="001C6C0F">
            <w:pPr>
              <w:jc w:val="left"/>
              <w:rPr>
                <w:color w:val="000000"/>
                <w:sz w:val="17"/>
                <w:szCs w:val="17"/>
                <w:lang w:val="ru-RU"/>
              </w:rPr>
            </w:pPr>
            <w:r w:rsidRPr="000559B7">
              <w:rPr>
                <w:color w:val="000000"/>
                <w:sz w:val="17"/>
                <w:szCs w:val="17"/>
                <w:lang w:val="ru-RU"/>
              </w:rPr>
              <w:t xml:space="preserve">Специальная рабочая группа открытого состава по осуществлению статьи 8 </w:t>
            </w:r>
            <w:proofErr w:type="spellStart"/>
            <w:r w:rsidRPr="000559B7">
              <w:rPr>
                <w:color w:val="000000"/>
                <w:sz w:val="17"/>
                <w:szCs w:val="17"/>
                <w:lang w:val="ru-RU"/>
              </w:rPr>
              <w:t>j</w:t>
            </w:r>
            <w:proofErr w:type="spellEnd"/>
            <w:r w:rsidRPr="000559B7">
              <w:rPr>
                <w:color w:val="000000"/>
                <w:sz w:val="17"/>
                <w:szCs w:val="17"/>
                <w:lang w:val="ru-RU"/>
              </w:rPr>
              <w:t>) и соответствующих положений Конвенции (11-е совещание)</w:t>
            </w:r>
          </w:p>
        </w:tc>
        <w:tc>
          <w:tcPr>
            <w:tcW w:w="1797" w:type="dxa"/>
            <w:tcBorders>
              <w:top w:val="nil"/>
              <w:left w:val="nil"/>
              <w:bottom w:val="nil"/>
              <w:right w:val="nil"/>
            </w:tcBorders>
            <w:shd w:val="clear" w:color="auto" w:fill="auto"/>
            <w:vAlign w:val="center"/>
            <w:hideMark/>
          </w:tcPr>
          <w:p w:rsidR="001C6C0F" w:rsidRPr="000559B7" w:rsidRDefault="001C6C0F" w:rsidP="001C6C0F">
            <w:pPr>
              <w:jc w:val="right"/>
              <w:rPr>
                <w:color w:val="000000"/>
                <w:sz w:val="17"/>
                <w:szCs w:val="17"/>
                <w:lang w:val="ru-RU"/>
              </w:rPr>
            </w:pPr>
            <w:r w:rsidRPr="000559B7">
              <w:rPr>
                <w:color w:val="000000"/>
                <w:sz w:val="17"/>
                <w:szCs w:val="17"/>
                <w:lang w:val="ru-RU"/>
              </w:rPr>
              <w:t>150,0</w:t>
            </w:r>
          </w:p>
        </w:tc>
      </w:tr>
      <w:tr w:rsidR="001C6C0F" w:rsidRPr="000559B7" w:rsidTr="001C6C0F">
        <w:trPr>
          <w:trHeight w:val="288"/>
        </w:trPr>
        <w:tc>
          <w:tcPr>
            <w:tcW w:w="6843" w:type="dxa"/>
            <w:tcBorders>
              <w:top w:val="nil"/>
              <w:left w:val="nil"/>
              <w:bottom w:val="nil"/>
              <w:right w:val="nil"/>
            </w:tcBorders>
            <w:shd w:val="clear" w:color="auto" w:fill="auto"/>
            <w:noWrap/>
            <w:vAlign w:val="center"/>
            <w:hideMark/>
          </w:tcPr>
          <w:p w:rsidR="001C6C0F" w:rsidRPr="000559B7" w:rsidRDefault="001C6C0F" w:rsidP="001C6C0F">
            <w:pPr>
              <w:jc w:val="left"/>
              <w:rPr>
                <w:color w:val="000000"/>
                <w:sz w:val="17"/>
                <w:szCs w:val="17"/>
                <w:lang w:val="ru-RU"/>
              </w:rPr>
            </w:pPr>
            <w:r w:rsidRPr="000559B7">
              <w:rPr>
                <w:color w:val="000000"/>
                <w:sz w:val="17"/>
                <w:szCs w:val="17"/>
                <w:lang w:val="ru-RU"/>
              </w:rPr>
              <w:t>Вспомогательный орган по осуществлению (ВОО-3)</w:t>
            </w:r>
          </w:p>
        </w:tc>
        <w:tc>
          <w:tcPr>
            <w:tcW w:w="1797" w:type="dxa"/>
            <w:tcBorders>
              <w:top w:val="nil"/>
              <w:left w:val="nil"/>
              <w:bottom w:val="nil"/>
              <w:right w:val="nil"/>
            </w:tcBorders>
            <w:shd w:val="clear" w:color="auto" w:fill="auto"/>
            <w:vAlign w:val="center"/>
            <w:hideMark/>
          </w:tcPr>
          <w:p w:rsidR="001C6C0F" w:rsidRPr="000559B7" w:rsidRDefault="001C6C0F" w:rsidP="001C6C0F">
            <w:pPr>
              <w:jc w:val="right"/>
              <w:rPr>
                <w:color w:val="000000"/>
                <w:sz w:val="17"/>
                <w:szCs w:val="17"/>
                <w:lang w:val="ru-RU"/>
              </w:rPr>
            </w:pPr>
            <w:r w:rsidRPr="000559B7">
              <w:rPr>
                <w:color w:val="000000"/>
                <w:sz w:val="17"/>
                <w:szCs w:val="17"/>
                <w:lang w:val="ru-RU"/>
              </w:rPr>
              <w:t>150,0</w:t>
            </w:r>
          </w:p>
        </w:tc>
      </w:tr>
      <w:tr w:rsidR="001C6C0F" w:rsidRPr="000559B7" w:rsidTr="001C6C0F">
        <w:trPr>
          <w:trHeight w:val="300"/>
        </w:trPr>
        <w:tc>
          <w:tcPr>
            <w:tcW w:w="6843" w:type="dxa"/>
            <w:tcBorders>
              <w:top w:val="nil"/>
              <w:left w:val="nil"/>
              <w:bottom w:val="single" w:sz="8" w:space="0" w:color="000000"/>
              <w:right w:val="nil"/>
            </w:tcBorders>
            <w:shd w:val="clear" w:color="auto" w:fill="auto"/>
            <w:noWrap/>
            <w:vAlign w:val="center"/>
            <w:hideMark/>
          </w:tcPr>
          <w:p w:rsidR="001C6C0F" w:rsidRPr="000559B7" w:rsidRDefault="001C6C0F" w:rsidP="001C6C0F">
            <w:pPr>
              <w:jc w:val="left"/>
              <w:rPr>
                <w:color w:val="000000"/>
                <w:sz w:val="17"/>
                <w:szCs w:val="17"/>
                <w:lang w:val="ru-RU"/>
              </w:rPr>
            </w:pPr>
            <w:r w:rsidRPr="000559B7">
              <w:rPr>
                <w:color w:val="000000"/>
                <w:sz w:val="17"/>
                <w:szCs w:val="17"/>
                <w:lang w:val="ru-RU"/>
              </w:rPr>
              <w:t>Внеочередные совещания по вопросам деятельности после 2020 г.</w:t>
            </w:r>
          </w:p>
        </w:tc>
        <w:tc>
          <w:tcPr>
            <w:tcW w:w="1797" w:type="dxa"/>
            <w:tcBorders>
              <w:top w:val="nil"/>
              <w:left w:val="nil"/>
              <w:bottom w:val="single" w:sz="8" w:space="0" w:color="000000"/>
              <w:right w:val="nil"/>
            </w:tcBorders>
            <w:shd w:val="clear" w:color="auto" w:fill="auto"/>
            <w:vAlign w:val="center"/>
            <w:hideMark/>
          </w:tcPr>
          <w:p w:rsidR="001C6C0F" w:rsidRPr="000559B7" w:rsidRDefault="001C6C0F" w:rsidP="001C6C0F">
            <w:pPr>
              <w:jc w:val="right"/>
              <w:rPr>
                <w:color w:val="000000"/>
                <w:sz w:val="17"/>
                <w:szCs w:val="17"/>
                <w:lang w:val="ru-RU"/>
              </w:rPr>
            </w:pPr>
            <w:r w:rsidRPr="000559B7">
              <w:rPr>
                <w:color w:val="000000"/>
                <w:sz w:val="17"/>
                <w:szCs w:val="17"/>
                <w:lang w:val="ru-RU"/>
              </w:rPr>
              <w:t>300,0</w:t>
            </w:r>
          </w:p>
        </w:tc>
      </w:tr>
      <w:tr w:rsidR="001C6C0F" w:rsidRPr="000559B7" w:rsidTr="001C6C0F">
        <w:trPr>
          <w:trHeight w:val="300"/>
        </w:trPr>
        <w:tc>
          <w:tcPr>
            <w:tcW w:w="6843" w:type="dxa"/>
            <w:tcBorders>
              <w:top w:val="nil"/>
              <w:left w:val="nil"/>
              <w:bottom w:val="single" w:sz="8" w:space="0" w:color="000000"/>
              <w:right w:val="nil"/>
            </w:tcBorders>
            <w:shd w:val="clear" w:color="auto" w:fill="auto"/>
            <w:vAlign w:val="center"/>
            <w:hideMark/>
          </w:tcPr>
          <w:p w:rsidR="001C6C0F" w:rsidRPr="000559B7" w:rsidRDefault="00480C6C" w:rsidP="001C6C0F">
            <w:pPr>
              <w:jc w:val="left"/>
              <w:rPr>
                <w:b/>
                <w:bCs/>
                <w:color w:val="000000"/>
                <w:sz w:val="17"/>
                <w:szCs w:val="17"/>
                <w:lang w:val="ru-RU"/>
              </w:rPr>
            </w:pPr>
            <w:r w:rsidRPr="00480C6C">
              <w:rPr>
                <w:b/>
                <w:bCs/>
                <w:color w:val="000000"/>
                <w:sz w:val="17"/>
                <w:szCs w:val="17"/>
                <w:lang w:val="ru-RU"/>
              </w:rPr>
              <w:t>Промежуточный итог</w:t>
            </w:r>
          </w:p>
        </w:tc>
        <w:tc>
          <w:tcPr>
            <w:tcW w:w="1797" w:type="dxa"/>
            <w:tcBorders>
              <w:top w:val="nil"/>
              <w:left w:val="nil"/>
              <w:bottom w:val="single" w:sz="8" w:space="0" w:color="000000"/>
              <w:right w:val="nil"/>
            </w:tcBorders>
            <w:shd w:val="clear" w:color="auto" w:fill="auto"/>
            <w:vAlign w:val="center"/>
            <w:hideMark/>
          </w:tcPr>
          <w:p w:rsidR="001C6C0F" w:rsidRPr="000559B7" w:rsidRDefault="001C6C0F" w:rsidP="001C6C0F">
            <w:pPr>
              <w:jc w:val="right"/>
              <w:rPr>
                <w:b/>
                <w:bCs/>
                <w:color w:val="000000"/>
                <w:sz w:val="17"/>
                <w:szCs w:val="17"/>
                <w:lang w:val="ru-RU"/>
              </w:rPr>
            </w:pPr>
            <w:r w:rsidRPr="000559B7">
              <w:rPr>
                <w:b/>
                <w:bCs/>
                <w:color w:val="000000"/>
                <w:sz w:val="17"/>
                <w:szCs w:val="17"/>
                <w:lang w:val="ru-RU"/>
              </w:rPr>
              <w:t>3400,0</w:t>
            </w:r>
          </w:p>
        </w:tc>
      </w:tr>
      <w:tr w:rsidR="001C6C0F" w:rsidRPr="000559B7" w:rsidTr="001C6C0F">
        <w:trPr>
          <w:trHeight w:val="300"/>
        </w:trPr>
        <w:tc>
          <w:tcPr>
            <w:tcW w:w="6843" w:type="dxa"/>
            <w:tcBorders>
              <w:top w:val="nil"/>
              <w:left w:val="nil"/>
              <w:bottom w:val="single" w:sz="8" w:space="0" w:color="000000"/>
              <w:right w:val="nil"/>
            </w:tcBorders>
            <w:shd w:val="clear" w:color="auto" w:fill="auto"/>
            <w:vAlign w:val="center"/>
            <w:hideMark/>
          </w:tcPr>
          <w:p w:rsidR="001C6C0F" w:rsidRPr="000559B7" w:rsidRDefault="001C6C0F" w:rsidP="001C6C0F">
            <w:pPr>
              <w:jc w:val="left"/>
              <w:rPr>
                <w:b/>
                <w:bCs/>
                <w:color w:val="000000"/>
                <w:sz w:val="17"/>
                <w:szCs w:val="17"/>
                <w:lang w:val="ru-RU"/>
              </w:rPr>
            </w:pPr>
            <w:r w:rsidRPr="000559B7">
              <w:rPr>
                <w:b/>
                <w:bCs/>
                <w:color w:val="000000"/>
                <w:sz w:val="17"/>
                <w:szCs w:val="17"/>
                <w:lang w:val="ru-RU"/>
              </w:rPr>
              <w:t>II. Расходы на поддержку программ</w:t>
            </w:r>
          </w:p>
        </w:tc>
        <w:tc>
          <w:tcPr>
            <w:tcW w:w="1797" w:type="dxa"/>
            <w:tcBorders>
              <w:top w:val="nil"/>
              <w:left w:val="nil"/>
              <w:bottom w:val="single" w:sz="8" w:space="0" w:color="000000"/>
              <w:right w:val="nil"/>
            </w:tcBorders>
            <w:shd w:val="clear" w:color="auto" w:fill="auto"/>
            <w:vAlign w:val="center"/>
            <w:hideMark/>
          </w:tcPr>
          <w:p w:rsidR="001C6C0F" w:rsidRPr="000559B7" w:rsidRDefault="001C6C0F" w:rsidP="001C6C0F">
            <w:pPr>
              <w:jc w:val="right"/>
              <w:rPr>
                <w:b/>
                <w:bCs/>
                <w:color w:val="000000"/>
                <w:sz w:val="17"/>
                <w:szCs w:val="17"/>
                <w:lang w:val="ru-RU"/>
              </w:rPr>
            </w:pPr>
            <w:r w:rsidRPr="000559B7">
              <w:rPr>
                <w:b/>
                <w:bCs/>
                <w:color w:val="000000"/>
                <w:sz w:val="17"/>
                <w:szCs w:val="17"/>
                <w:lang w:val="ru-RU"/>
              </w:rPr>
              <w:t>442,0</w:t>
            </w:r>
          </w:p>
        </w:tc>
      </w:tr>
      <w:tr w:rsidR="001C6C0F" w:rsidRPr="000559B7" w:rsidTr="001C6C0F">
        <w:trPr>
          <w:trHeight w:val="300"/>
        </w:trPr>
        <w:tc>
          <w:tcPr>
            <w:tcW w:w="6843" w:type="dxa"/>
            <w:tcBorders>
              <w:top w:val="nil"/>
              <w:left w:val="nil"/>
              <w:bottom w:val="single" w:sz="8" w:space="0" w:color="000000"/>
              <w:right w:val="nil"/>
            </w:tcBorders>
            <w:shd w:val="clear" w:color="auto" w:fill="auto"/>
            <w:vAlign w:val="center"/>
            <w:hideMark/>
          </w:tcPr>
          <w:p w:rsidR="001C6C0F" w:rsidRPr="000559B7" w:rsidRDefault="00480C6C" w:rsidP="00480C6C">
            <w:pPr>
              <w:jc w:val="left"/>
              <w:rPr>
                <w:b/>
                <w:bCs/>
                <w:color w:val="000000"/>
                <w:sz w:val="17"/>
                <w:szCs w:val="17"/>
                <w:lang w:val="ru-RU"/>
              </w:rPr>
            </w:pPr>
            <w:r>
              <w:rPr>
                <w:b/>
                <w:bCs/>
                <w:color w:val="000000"/>
                <w:sz w:val="17"/>
                <w:szCs w:val="17"/>
                <w:lang w:val="ru-RU"/>
              </w:rPr>
              <w:t>Итого</w:t>
            </w:r>
            <w:r w:rsidR="001C6C0F" w:rsidRPr="000559B7">
              <w:rPr>
                <w:b/>
                <w:bCs/>
                <w:color w:val="000000"/>
                <w:sz w:val="17"/>
                <w:szCs w:val="17"/>
                <w:lang w:val="ru-RU"/>
              </w:rPr>
              <w:t xml:space="preserve"> расходы (I+II)</w:t>
            </w:r>
          </w:p>
        </w:tc>
        <w:tc>
          <w:tcPr>
            <w:tcW w:w="1797" w:type="dxa"/>
            <w:tcBorders>
              <w:top w:val="nil"/>
              <w:left w:val="nil"/>
              <w:bottom w:val="single" w:sz="8" w:space="0" w:color="000000"/>
              <w:right w:val="nil"/>
            </w:tcBorders>
            <w:shd w:val="clear" w:color="auto" w:fill="auto"/>
            <w:vAlign w:val="center"/>
            <w:hideMark/>
          </w:tcPr>
          <w:p w:rsidR="001C6C0F" w:rsidRPr="000559B7" w:rsidRDefault="001C6C0F" w:rsidP="001C6C0F">
            <w:pPr>
              <w:jc w:val="right"/>
              <w:rPr>
                <w:b/>
                <w:bCs/>
                <w:color w:val="000000"/>
                <w:sz w:val="17"/>
                <w:szCs w:val="17"/>
                <w:lang w:val="ru-RU"/>
              </w:rPr>
            </w:pPr>
            <w:r w:rsidRPr="000559B7">
              <w:rPr>
                <w:b/>
                <w:bCs/>
                <w:color w:val="000000"/>
                <w:sz w:val="17"/>
                <w:szCs w:val="17"/>
                <w:lang w:val="ru-RU"/>
              </w:rPr>
              <w:t>3842,0</w:t>
            </w:r>
          </w:p>
        </w:tc>
      </w:tr>
      <w:tr w:rsidR="001C6C0F" w:rsidRPr="000559B7" w:rsidTr="001C6C0F">
        <w:trPr>
          <w:trHeight w:val="288"/>
        </w:trPr>
        <w:tc>
          <w:tcPr>
            <w:tcW w:w="6843" w:type="dxa"/>
            <w:tcBorders>
              <w:top w:val="nil"/>
              <w:left w:val="nil"/>
              <w:bottom w:val="nil"/>
              <w:right w:val="nil"/>
            </w:tcBorders>
            <w:shd w:val="clear" w:color="auto" w:fill="auto"/>
            <w:noWrap/>
            <w:vAlign w:val="center"/>
            <w:hideMark/>
          </w:tcPr>
          <w:p w:rsidR="001C6C0F" w:rsidRPr="00480C6C" w:rsidRDefault="00480C6C" w:rsidP="001C6C0F">
            <w:pPr>
              <w:rPr>
                <w:i/>
                <w:color w:val="000000"/>
                <w:sz w:val="16"/>
                <w:szCs w:val="16"/>
                <w:highlight w:val="magenta"/>
                <w:lang w:val="ru-RU"/>
              </w:rPr>
            </w:pPr>
            <w:r w:rsidRPr="00480C6C">
              <w:rPr>
                <w:i/>
                <w:color w:val="000000"/>
                <w:sz w:val="16"/>
                <w:szCs w:val="16"/>
                <w:lang w:val="ru-RU"/>
              </w:rPr>
              <w:t>Примечания:</w:t>
            </w:r>
          </w:p>
        </w:tc>
        <w:tc>
          <w:tcPr>
            <w:tcW w:w="1797" w:type="dxa"/>
            <w:tcBorders>
              <w:top w:val="nil"/>
              <w:left w:val="nil"/>
              <w:bottom w:val="nil"/>
              <w:right w:val="nil"/>
            </w:tcBorders>
            <w:shd w:val="clear" w:color="auto" w:fill="auto"/>
            <w:noWrap/>
            <w:vAlign w:val="center"/>
            <w:hideMark/>
          </w:tcPr>
          <w:p w:rsidR="001C6C0F" w:rsidRPr="000559B7" w:rsidRDefault="001C6C0F" w:rsidP="001C6C0F">
            <w:pPr>
              <w:jc w:val="left"/>
              <w:rPr>
                <w:color w:val="000000"/>
                <w:highlight w:val="magenta"/>
                <w:lang w:val="ru-RU"/>
              </w:rPr>
            </w:pPr>
          </w:p>
        </w:tc>
      </w:tr>
      <w:tr w:rsidR="001C6C0F" w:rsidRPr="000559B7" w:rsidTr="001C6C0F">
        <w:trPr>
          <w:trHeight w:val="288"/>
        </w:trPr>
        <w:tc>
          <w:tcPr>
            <w:tcW w:w="6843" w:type="dxa"/>
            <w:tcBorders>
              <w:top w:val="nil"/>
              <w:left w:val="nil"/>
              <w:bottom w:val="nil"/>
              <w:right w:val="nil"/>
            </w:tcBorders>
            <w:shd w:val="clear" w:color="auto" w:fill="auto"/>
            <w:vAlign w:val="center"/>
            <w:hideMark/>
          </w:tcPr>
          <w:p w:rsidR="001C6C0F" w:rsidRPr="000559B7" w:rsidRDefault="001C6C0F" w:rsidP="0086629D">
            <w:pPr>
              <w:jc w:val="left"/>
              <w:rPr>
                <w:color w:val="000000"/>
                <w:sz w:val="17"/>
                <w:szCs w:val="17"/>
                <w:lang w:val="ru-RU"/>
              </w:rPr>
            </w:pPr>
            <w:r w:rsidRPr="000559B7">
              <w:rPr>
                <w:color w:val="000000"/>
                <w:sz w:val="17"/>
                <w:szCs w:val="17"/>
                <w:lang w:val="ru-RU"/>
              </w:rPr>
              <w:t>1/ С</w:t>
            </w:r>
            <w:r w:rsidR="0086629D">
              <w:rPr>
                <w:color w:val="000000"/>
                <w:sz w:val="17"/>
                <w:szCs w:val="17"/>
                <w:lang w:val="ru-RU"/>
              </w:rPr>
              <w:t>м.</w:t>
            </w:r>
            <w:r w:rsidRPr="000559B7">
              <w:rPr>
                <w:color w:val="000000"/>
                <w:sz w:val="17"/>
                <w:szCs w:val="17"/>
                <w:lang w:val="ru-RU"/>
              </w:rPr>
              <w:t xml:space="preserve"> пункты 4</w:t>
            </w:r>
            <w:r w:rsidR="0086629D">
              <w:rPr>
                <w:color w:val="000000"/>
                <w:sz w:val="17"/>
                <w:szCs w:val="17"/>
                <w:lang w:val="ru-RU"/>
              </w:rPr>
              <w:t>0</w:t>
            </w:r>
            <w:r w:rsidRPr="000559B7">
              <w:rPr>
                <w:color w:val="000000"/>
                <w:sz w:val="17"/>
                <w:szCs w:val="17"/>
                <w:lang w:val="ru-RU"/>
              </w:rPr>
              <w:t>-46 решения 14</w:t>
            </w:r>
            <w:r w:rsidR="0086629D">
              <w:rPr>
                <w:color w:val="000000"/>
                <w:sz w:val="17"/>
                <w:szCs w:val="17"/>
                <w:lang w:val="ru-RU"/>
              </w:rPr>
              <w:t>/37 Конференции Сторон</w:t>
            </w:r>
          </w:p>
        </w:tc>
        <w:tc>
          <w:tcPr>
            <w:tcW w:w="1797" w:type="dxa"/>
            <w:tcBorders>
              <w:top w:val="nil"/>
              <w:left w:val="nil"/>
              <w:bottom w:val="nil"/>
              <w:right w:val="nil"/>
            </w:tcBorders>
            <w:shd w:val="clear" w:color="auto" w:fill="auto"/>
            <w:noWrap/>
            <w:vAlign w:val="center"/>
            <w:hideMark/>
          </w:tcPr>
          <w:p w:rsidR="001C6C0F" w:rsidRPr="000559B7" w:rsidRDefault="001C6C0F" w:rsidP="001C6C0F">
            <w:pPr>
              <w:jc w:val="left"/>
              <w:rPr>
                <w:color w:val="000000"/>
                <w:highlight w:val="magenta"/>
                <w:lang w:val="ru-RU"/>
              </w:rPr>
            </w:pPr>
          </w:p>
        </w:tc>
      </w:tr>
      <w:tr w:rsidR="001C6C0F" w:rsidRPr="000559B7" w:rsidTr="001C6C0F">
        <w:trPr>
          <w:trHeight w:val="432"/>
        </w:trPr>
        <w:tc>
          <w:tcPr>
            <w:tcW w:w="6843" w:type="dxa"/>
            <w:tcBorders>
              <w:top w:val="nil"/>
              <w:left w:val="nil"/>
              <w:bottom w:val="nil"/>
              <w:right w:val="nil"/>
            </w:tcBorders>
            <w:shd w:val="clear" w:color="auto" w:fill="auto"/>
            <w:vAlign w:val="center"/>
            <w:hideMark/>
          </w:tcPr>
          <w:p w:rsidR="001C6C0F" w:rsidRPr="000559B7" w:rsidRDefault="001C6C0F" w:rsidP="006F27B8">
            <w:pPr>
              <w:jc w:val="left"/>
              <w:rPr>
                <w:color w:val="000000"/>
                <w:sz w:val="17"/>
                <w:szCs w:val="17"/>
                <w:lang w:val="ru-RU"/>
              </w:rPr>
            </w:pPr>
            <w:r w:rsidRPr="000559B7">
              <w:rPr>
                <w:color w:val="000000"/>
                <w:sz w:val="17"/>
                <w:szCs w:val="17"/>
                <w:lang w:val="ru-RU"/>
              </w:rPr>
              <w:t xml:space="preserve">2/ Первоначальные обязательства Европейского союза, правительств </w:t>
            </w:r>
            <w:r w:rsidR="0086629D" w:rsidRPr="000559B7">
              <w:rPr>
                <w:color w:val="000000"/>
                <w:sz w:val="17"/>
                <w:szCs w:val="17"/>
                <w:lang w:val="ru-RU"/>
              </w:rPr>
              <w:t>Германии</w:t>
            </w:r>
            <w:r w:rsidR="0086629D">
              <w:rPr>
                <w:color w:val="000000"/>
                <w:sz w:val="17"/>
                <w:szCs w:val="17"/>
                <w:lang w:val="ru-RU"/>
              </w:rPr>
              <w:t xml:space="preserve">, Канады, </w:t>
            </w:r>
            <w:r w:rsidR="0086629D" w:rsidRPr="000559B7">
              <w:rPr>
                <w:color w:val="000000"/>
                <w:sz w:val="17"/>
                <w:szCs w:val="17"/>
                <w:lang w:val="ru-RU"/>
              </w:rPr>
              <w:t>Норвегии, Соединенного Королевства</w:t>
            </w:r>
            <w:r w:rsidR="0086629D">
              <w:rPr>
                <w:color w:val="000000"/>
                <w:sz w:val="17"/>
                <w:szCs w:val="17"/>
                <w:lang w:val="ru-RU"/>
              </w:rPr>
              <w:t>, Ф</w:t>
            </w:r>
            <w:r w:rsidRPr="000559B7">
              <w:rPr>
                <w:color w:val="000000"/>
                <w:sz w:val="17"/>
                <w:szCs w:val="17"/>
                <w:lang w:val="ru-RU"/>
              </w:rPr>
              <w:t>инляндии,</w:t>
            </w:r>
            <w:r w:rsidR="0086629D">
              <w:rPr>
                <w:color w:val="000000"/>
                <w:sz w:val="17"/>
                <w:szCs w:val="17"/>
                <w:lang w:val="ru-RU"/>
              </w:rPr>
              <w:t xml:space="preserve"> Южной Африки и Японии (</w:t>
            </w:r>
            <w:r w:rsidR="0086629D" w:rsidRPr="0086629D">
              <w:rPr>
                <w:color w:val="000000"/>
                <w:sz w:val="17"/>
                <w:szCs w:val="17"/>
                <w:lang w:val="ru-RU"/>
              </w:rPr>
              <w:t>Японск</w:t>
            </w:r>
            <w:r w:rsidR="0086629D">
              <w:rPr>
                <w:color w:val="000000"/>
                <w:sz w:val="17"/>
                <w:szCs w:val="17"/>
                <w:lang w:val="ru-RU"/>
              </w:rPr>
              <w:t>ий</w:t>
            </w:r>
            <w:r w:rsidR="0086629D" w:rsidRPr="0086629D">
              <w:rPr>
                <w:color w:val="000000"/>
                <w:sz w:val="17"/>
                <w:szCs w:val="17"/>
                <w:lang w:val="ru-RU"/>
              </w:rPr>
              <w:t xml:space="preserve"> фонд биоразнообразия</w:t>
            </w:r>
            <w:r w:rsidR="0086629D">
              <w:rPr>
                <w:color w:val="000000"/>
                <w:sz w:val="17"/>
                <w:szCs w:val="17"/>
                <w:lang w:val="ru-RU"/>
              </w:rPr>
              <w:t>)</w:t>
            </w:r>
          </w:p>
        </w:tc>
        <w:tc>
          <w:tcPr>
            <w:tcW w:w="1797" w:type="dxa"/>
            <w:tcBorders>
              <w:top w:val="nil"/>
              <w:left w:val="nil"/>
              <w:bottom w:val="nil"/>
              <w:right w:val="nil"/>
            </w:tcBorders>
            <w:shd w:val="clear" w:color="auto" w:fill="auto"/>
            <w:noWrap/>
            <w:vAlign w:val="center"/>
            <w:hideMark/>
          </w:tcPr>
          <w:p w:rsidR="001C6C0F" w:rsidRPr="000559B7" w:rsidRDefault="001C6C0F" w:rsidP="001C6C0F">
            <w:pPr>
              <w:jc w:val="left"/>
              <w:rPr>
                <w:color w:val="000000"/>
                <w:highlight w:val="magenta"/>
                <w:lang w:val="ru-RU"/>
              </w:rPr>
            </w:pPr>
          </w:p>
        </w:tc>
      </w:tr>
      <w:tr w:rsidR="001C6C0F" w:rsidRPr="000559B7" w:rsidTr="001C6C0F">
        <w:trPr>
          <w:trHeight w:val="288"/>
        </w:trPr>
        <w:tc>
          <w:tcPr>
            <w:tcW w:w="6843" w:type="dxa"/>
            <w:tcBorders>
              <w:top w:val="nil"/>
              <w:left w:val="nil"/>
              <w:bottom w:val="nil"/>
              <w:right w:val="nil"/>
            </w:tcBorders>
            <w:shd w:val="clear" w:color="auto" w:fill="auto"/>
            <w:vAlign w:val="center"/>
            <w:hideMark/>
          </w:tcPr>
          <w:p w:rsidR="001C6C0F" w:rsidRPr="000559B7" w:rsidRDefault="001C6C0F" w:rsidP="0086629D">
            <w:pPr>
              <w:jc w:val="left"/>
              <w:rPr>
                <w:color w:val="000000"/>
                <w:sz w:val="17"/>
                <w:szCs w:val="17"/>
                <w:lang w:val="ru-RU"/>
              </w:rPr>
            </w:pPr>
          </w:p>
        </w:tc>
        <w:tc>
          <w:tcPr>
            <w:tcW w:w="1797" w:type="dxa"/>
            <w:tcBorders>
              <w:top w:val="nil"/>
              <w:left w:val="nil"/>
              <w:bottom w:val="nil"/>
              <w:right w:val="nil"/>
            </w:tcBorders>
            <w:shd w:val="clear" w:color="auto" w:fill="auto"/>
            <w:noWrap/>
            <w:vAlign w:val="center"/>
            <w:hideMark/>
          </w:tcPr>
          <w:p w:rsidR="001C6C0F" w:rsidRPr="000559B7" w:rsidRDefault="001C6C0F" w:rsidP="001C6C0F">
            <w:pPr>
              <w:jc w:val="left"/>
              <w:rPr>
                <w:color w:val="000000"/>
                <w:highlight w:val="magenta"/>
                <w:lang w:val="ru-RU"/>
              </w:rPr>
            </w:pPr>
          </w:p>
        </w:tc>
      </w:tr>
    </w:tbl>
    <w:p w:rsidR="001C6C0F" w:rsidRPr="000559B7" w:rsidRDefault="001C6C0F" w:rsidP="001C6C0F">
      <w:pPr>
        <w:ind w:left="2160" w:hanging="1440"/>
        <w:rPr>
          <w:sz w:val="18"/>
          <w:szCs w:val="18"/>
          <w:lang w:val="ru-RU"/>
        </w:rPr>
      </w:pPr>
    </w:p>
    <w:p w:rsidR="001C6C0F" w:rsidRPr="000559B7" w:rsidRDefault="001C6C0F" w:rsidP="001C6C0F">
      <w:pPr>
        <w:ind w:left="2160" w:hanging="1440"/>
        <w:rPr>
          <w:lang w:val="ru-RU"/>
        </w:rPr>
      </w:pPr>
    </w:p>
    <w:p w:rsidR="001C6C0F" w:rsidRPr="009B07B7" w:rsidRDefault="001C6C0F" w:rsidP="009B07B7">
      <w:pPr>
        <w:keepNext/>
        <w:ind w:left="1701" w:hanging="981"/>
        <w:rPr>
          <w:b/>
          <w:color w:val="000000" w:themeColor="text1"/>
          <w:kern w:val="20"/>
          <w:lang w:val="en-GB"/>
        </w:rPr>
      </w:pPr>
      <w:r w:rsidRPr="009B07B7">
        <w:rPr>
          <w:b/>
          <w:color w:val="000000" w:themeColor="text1"/>
          <w:kern w:val="20"/>
          <w:lang w:val="en-GB"/>
        </w:rPr>
        <w:t>Таблица 5.</w:t>
      </w:r>
      <w:r w:rsidRPr="009B07B7">
        <w:rPr>
          <w:b/>
          <w:color w:val="000000" w:themeColor="text1"/>
          <w:kern w:val="20"/>
          <w:lang w:val="en-GB"/>
        </w:rPr>
        <w:tab/>
        <w:t>Добровольный целевой фонд (VB) для оказания содействия участию коренных народов и местных общин в процессе осуществления Конвенции на период 2019-2020 гг.</w:t>
      </w:r>
    </w:p>
    <w:p w:rsidR="001C6C0F" w:rsidRPr="000559B7" w:rsidRDefault="001C6C0F" w:rsidP="001C6C0F">
      <w:pPr>
        <w:ind w:left="2160" w:hanging="1440"/>
        <w:rPr>
          <w:lang w:val="ru-RU"/>
        </w:rPr>
      </w:pPr>
    </w:p>
    <w:tbl>
      <w:tblPr>
        <w:tblW w:w="8904" w:type="dxa"/>
        <w:jc w:val="center"/>
        <w:tblBorders>
          <w:top w:val="nil"/>
          <w:left w:val="nil"/>
          <w:bottom w:val="nil"/>
          <w:right w:val="nil"/>
        </w:tblBorders>
        <w:tblLayout w:type="fixed"/>
        <w:tblLook w:val="0000"/>
      </w:tblPr>
      <w:tblGrid>
        <w:gridCol w:w="6792"/>
        <w:gridCol w:w="2112"/>
      </w:tblGrid>
      <w:tr w:rsidR="001C6C0F" w:rsidRPr="000559B7" w:rsidTr="001C6C0F">
        <w:trPr>
          <w:trHeight w:val="133"/>
          <w:jc w:val="center"/>
        </w:trPr>
        <w:tc>
          <w:tcPr>
            <w:tcW w:w="6792" w:type="dxa"/>
            <w:tcBorders>
              <w:top w:val="single" w:sz="8" w:space="0" w:color="000000"/>
              <w:left w:val="nil"/>
              <w:bottom w:val="nil"/>
              <w:right w:val="nil"/>
            </w:tcBorders>
          </w:tcPr>
          <w:p w:rsidR="001C6C0F" w:rsidRPr="000559B7" w:rsidRDefault="001C6C0F" w:rsidP="001C6C0F">
            <w:pPr>
              <w:pStyle w:val="Default"/>
              <w:jc w:val="center"/>
              <w:rPr>
                <w:i/>
                <w:iCs/>
                <w:sz w:val="22"/>
                <w:szCs w:val="22"/>
                <w:lang w:val="ru-RU"/>
              </w:rPr>
            </w:pPr>
            <w:r w:rsidRPr="000559B7">
              <w:rPr>
                <w:i/>
                <w:iCs/>
                <w:sz w:val="22"/>
                <w:szCs w:val="22"/>
                <w:lang w:val="ru-RU"/>
              </w:rPr>
              <w:t xml:space="preserve">Описание </w:t>
            </w:r>
          </w:p>
        </w:tc>
        <w:tc>
          <w:tcPr>
            <w:tcW w:w="2112" w:type="dxa"/>
            <w:tcBorders>
              <w:top w:val="single" w:sz="8" w:space="0" w:color="000000"/>
              <w:left w:val="nil"/>
              <w:bottom w:val="nil"/>
              <w:right w:val="nil"/>
            </w:tcBorders>
          </w:tcPr>
          <w:p w:rsidR="001C6C0F" w:rsidRPr="000559B7" w:rsidRDefault="001C6C0F" w:rsidP="001C6C0F">
            <w:pPr>
              <w:pStyle w:val="Default"/>
              <w:jc w:val="center"/>
              <w:rPr>
                <w:i/>
                <w:iCs/>
                <w:sz w:val="22"/>
                <w:szCs w:val="22"/>
                <w:lang w:val="ru-RU"/>
              </w:rPr>
            </w:pPr>
            <w:r w:rsidRPr="000559B7">
              <w:rPr>
                <w:i/>
                <w:iCs/>
                <w:sz w:val="22"/>
                <w:szCs w:val="22"/>
                <w:lang w:val="ru-RU"/>
              </w:rPr>
              <w:t>2019-2020 гг.</w:t>
            </w:r>
          </w:p>
        </w:tc>
      </w:tr>
      <w:tr w:rsidR="001C6C0F" w:rsidRPr="000559B7" w:rsidTr="001C6C0F">
        <w:trPr>
          <w:trHeight w:val="151"/>
          <w:jc w:val="center"/>
        </w:trPr>
        <w:tc>
          <w:tcPr>
            <w:tcW w:w="6792" w:type="dxa"/>
            <w:tcBorders>
              <w:top w:val="nil"/>
              <w:bottom w:val="nil"/>
            </w:tcBorders>
          </w:tcPr>
          <w:p w:rsidR="001C6C0F" w:rsidRPr="000559B7" w:rsidRDefault="001C6C0F" w:rsidP="001C6C0F">
            <w:pPr>
              <w:pStyle w:val="Default"/>
              <w:rPr>
                <w:sz w:val="22"/>
                <w:szCs w:val="22"/>
                <w:highlight w:val="magenta"/>
                <w:lang w:val="ru-RU"/>
              </w:rPr>
            </w:pPr>
          </w:p>
        </w:tc>
        <w:tc>
          <w:tcPr>
            <w:tcW w:w="2112" w:type="dxa"/>
            <w:tcBorders>
              <w:top w:val="nil"/>
              <w:bottom w:val="nil"/>
            </w:tcBorders>
          </w:tcPr>
          <w:p w:rsidR="001C6C0F" w:rsidRPr="000559B7" w:rsidRDefault="001C6C0F" w:rsidP="001C6C0F">
            <w:pPr>
              <w:pStyle w:val="Default"/>
              <w:jc w:val="center"/>
              <w:rPr>
                <w:i/>
                <w:iCs/>
                <w:sz w:val="22"/>
                <w:szCs w:val="22"/>
                <w:lang w:val="ru-RU"/>
              </w:rPr>
            </w:pPr>
            <w:r w:rsidRPr="000559B7">
              <w:rPr>
                <w:i/>
                <w:iCs/>
                <w:sz w:val="22"/>
                <w:szCs w:val="22"/>
                <w:lang w:val="ru-RU"/>
              </w:rPr>
              <w:t>(в тысячах долл. США)</w:t>
            </w:r>
          </w:p>
        </w:tc>
      </w:tr>
      <w:tr w:rsidR="001C6C0F" w:rsidRPr="000559B7" w:rsidTr="001C6C0F">
        <w:trPr>
          <w:trHeight w:val="140"/>
          <w:jc w:val="center"/>
        </w:trPr>
        <w:tc>
          <w:tcPr>
            <w:tcW w:w="6792" w:type="dxa"/>
            <w:tcBorders>
              <w:top w:val="nil"/>
              <w:bottom w:val="single" w:sz="8" w:space="0" w:color="000000"/>
            </w:tcBorders>
          </w:tcPr>
          <w:p w:rsidR="001C6C0F" w:rsidRPr="000559B7" w:rsidRDefault="001C6C0F" w:rsidP="001C6C0F">
            <w:pPr>
              <w:pStyle w:val="Default"/>
              <w:rPr>
                <w:sz w:val="22"/>
                <w:szCs w:val="22"/>
                <w:highlight w:val="magenta"/>
                <w:lang w:val="ru-RU"/>
              </w:rPr>
            </w:pPr>
          </w:p>
        </w:tc>
        <w:tc>
          <w:tcPr>
            <w:tcW w:w="2112" w:type="dxa"/>
            <w:tcBorders>
              <w:top w:val="nil"/>
              <w:bottom w:val="single" w:sz="8" w:space="0" w:color="000000"/>
            </w:tcBorders>
            <w:vAlign w:val="center"/>
          </w:tcPr>
          <w:p w:rsidR="001C6C0F" w:rsidRPr="000559B7" w:rsidRDefault="001C6C0F" w:rsidP="001C6C0F">
            <w:pPr>
              <w:pStyle w:val="Default"/>
              <w:jc w:val="center"/>
              <w:rPr>
                <w:i/>
                <w:iCs/>
                <w:sz w:val="22"/>
                <w:szCs w:val="22"/>
                <w:highlight w:val="magenta"/>
                <w:lang w:val="ru-RU"/>
              </w:rPr>
            </w:pPr>
          </w:p>
        </w:tc>
      </w:tr>
      <w:tr w:rsidR="001C6C0F" w:rsidRPr="000559B7" w:rsidTr="001C6C0F">
        <w:trPr>
          <w:trHeight w:val="150"/>
          <w:jc w:val="center"/>
        </w:trPr>
        <w:tc>
          <w:tcPr>
            <w:tcW w:w="6792" w:type="dxa"/>
            <w:tcBorders>
              <w:top w:val="single" w:sz="8" w:space="0" w:color="000000"/>
            </w:tcBorders>
          </w:tcPr>
          <w:p w:rsidR="001C6C0F" w:rsidRPr="000559B7" w:rsidRDefault="001C6C0F" w:rsidP="001C6C0F">
            <w:pPr>
              <w:pStyle w:val="Default"/>
              <w:rPr>
                <w:b/>
                <w:sz w:val="17"/>
                <w:szCs w:val="17"/>
                <w:lang w:val="ru-RU"/>
              </w:rPr>
            </w:pPr>
            <w:r w:rsidRPr="000559B7">
              <w:rPr>
                <w:b/>
                <w:bCs/>
                <w:sz w:val="17"/>
                <w:szCs w:val="17"/>
                <w:lang w:val="ru-RU"/>
              </w:rPr>
              <w:t>I. Совещания:</w:t>
            </w:r>
          </w:p>
        </w:tc>
        <w:tc>
          <w:tcPr>
            <w:tcW w:w="2112" w:type="dxa"/>
            <w:tcBorders>
              <w:top w:val="single" w:sz="8" w:space="0" w:color="000000"/>
            </w:tcBorders>
          </w:tcPr>
          <w:p w:rsidR="001C6C0F" w:rsidRPr="000559B7" w:rsidRDefault="001C6C0F" w:rsidP="001C6C0F">
            <w:pPr>
              <w:pStyle w:val="Default"/>
              <w:jc w:val="right"/>
              <w:rPr>
                <w:sz w:val="17"/>
                <w:szCs w:val="17"/>
                <w:highlight w:val="magenta"/>
                <w:lang w:val="ru-RU"/>
              </w:rPr>
            </w:pPr>
          </w:p>
        </w:tc>
      </w:tr>
      <w:tr w:rsidR="001C6C0F" w:rsidRPr="000559B7" w:rsidTr="001C6C0F">
        <w:trPr>
          <w:trHeight w:val="132"/>
          <w:jc w:val="center"/>
        </w:trPr>
        <w:tc>
          <w:tcPr>
            <w:tcW w:w="6792" w:type="dxa"/>
            <w:tcBorders>
              <w:bottom w:val="single" w:sz="8" w:space="0" w:color="000000"/>
            </w:tcBorders>
            <w:vAlign w:val="center"/>
          </w:tcPr>
          <w:p w:rsidR="001C6C0F" w:rsidRPr="000559B7" w:rsidRDefault="001C6C0F" w:rsidP="001C6C0F">
            <w:pPr>
              <w:pStyle w:val="Default"/>
              <w:rPr>
                <w:sz w:val="17"/>
                <w:szCs w:val="17"/>
                <w:lang w:val="ru-RU"/>
              </w:rPr>
            </w:pPr>
            <w:r w:rsidRPr="000559B7">
              <w:rPr>
                <w:sz w:val="17"/>
                <w:szCs w:val="17"/>
                <w:lang w:val="ru-RU"/>
              </w:rPr>
              <w:t>Оказание поддержки коренным народам и местным общинам</w:t>
            </w:r>
          </w:p>
        </w:tc>
        <w:tc>
          <w:tcPr>
            <w:tcW w:w="2112" w:type="dxa"/>
            <w:tcBorders>
              <w:bottom w:val="single" w:sz="8" w:space="0" w:color="000000"/>
            </w:tcBorders>
            <w:vAlign w:val="center"/>
          </w:tcPr>
          <w:p w:rsidR="001C6C0F" w:rsidRPr="000559B7" w:rsidRDefault="001C6C0F" w:rsidP="001C6C0F">
            <w:pPr>
              <w:pStyle w:val="Default"/>
              <w:ind w:right="498"/>
              <w:jc w:val="right"/>
              <w:rPr>
                <w:sz w:val="17"/>
                <w:szCs w:val="17"/>
                <w:lang w:val="ru-RU"/>
              </w:rPr>
            </w:pPr>
            <w:r w:rsidRPr="000559B7">
              <w:rPr>
                <w:sz w:val="17"/>
                <w:szCs w:val="17"/>
                <w:lang w:val="ru-RU"/>
              </w:rPr>
              <w:t>500,0</w:t>
            </w:r>
          </w:p>
        </w:tc>
      </w:tr>
      <w:tr w:rsidR="001C6C0F" w:rsidRPr="000559B7" w:rsidTr="001C6C0F">
        <w:trPr>
          <w:trHeight w:val="132"/>
          <w:jc w:val="center"/>
        </w:trPr>
        <w:tc>
          <w:tcPr>
            <w:tcW w:w="6792" w:type="dxa"/>
            <w:tcBorders>
              <w:top w:val="single" w:sz="8" w:space="0" w:color="000000"/>
              <w:bottom w:val="single" w:sz="8" w:space="0" w:color="000000"/>
            </w:tcBorders>
            <w:vAlign w:val="center"/>
          </w:tcPr>
          <w:p w:rsidR="001C6C0F" w:rsidRPr="000559B7" w:rsidRDefault="00645641" w:rsidP="001C6C0F">
            <w:pPr>
              <w:pStyle w:val="Default"/>
              <w:rPr>
                <w:sz w:val="17"/>
                <w:szCs w:val="17"/>
                <w:lang w:val="ru-RU"/>
              </w:rPr>
            </w:pPr>
            <w:r w:rsidRPr="000559B7">
              <w:rPr>
                <w:b/>
                <w:bCs/>
                <w:sz w:val="17"/>
                <w:szCs w:val="17"/>
                <w:lang w:val="ru-RU"/>
              </w:rPr>
              <w:t>Промежуточный итог</w:t>
            </w:r>
          </w:p>
        </w:tc>
        <w:tc>
          <w:tcPr>
            <w:tcW w:w="2112" w:type="dxa"/>
            <w:tcBorders>
              <w:top w:val="single" w:sz="8" w:space="0" w:color="000000"/>
              <w:bottom w:val="single" w:sz="8" w:space="0" w:color="000000"/>
            </w:tcBorders>
            <w:vAlign w:val="center"/>
          </w:tcPr>
          <w:p w:rsidR="001C6C0F" w:rsidRPr="000559B7" w:rsidRDefault="001C6C0F" w:rsidP="001C6C0F">
            <w:pPr>
              <w:pStyle w:val="Default"/>
              <w:ind w:right="498"/>
              <w:jc w:val="right"/>
              <w:rPr>
                <w:sz w:val="17"/>
                <w:szCs w:val="17"/>
                <w:lang w:val="ru-RU"/>
              </w:rPr>
            </w:pPr>
            <w:r w:rsidRPr="000559B7">
              <w:rPr>
                <w:b/>
                <w:bCs/>
                <w:sz w:val="17"/>
                <w:szCs w:val="17"/>
                <w:lang w:val="ru-RU"/>
              </w:rPr>
              <w:t>500,0</w:t>
            </w:r>
          </w:p>
        </w:tc>
      </w:tr>
      <w:tr w:rsidR="001C6C0F" w:rsidRPr="000559B7" w:rsidTr="001C6C0F">
        <w:trPr>
          <w:trHeight w:val="132"/>
          <w:jc w:val="center"/>
        </w:trPr>
        <w:tc>
          <w:tcPr>
            <w:tcW w:w="6792" w:type="dxa"/>
            <w:tcBorders>
              <w:top w:val="single" w:sz="8" w:space="0" w:color="000000"/>
              <w:bottom w:val="single" w:sz="8" w:space="0" w:color="000000"/>
            </w:tcBorders>
            <w:vAlign w:val="center"/>
          </w:tcPr>
          <w:p w:rsidR="001C6C0F" w:rsidRPr="000559B7" w:rsidRDefault="001C6C0F" w:rsidP="001C6C0F">
            <w:pPr>
              <w:pStyle w:val="Default"/>
              <w:rPr>
                <w:b/>
                <w:bCs/>
                <w:sz w:val="17"/>
                <w:szCs w:val="17"/>
                <w:lang w:val="ru-RU"/>
              </w:rPr>
            </w:pPr>
            <w:r w:rsidRPr="000559B7">
              <w:rPr>
                <w:b/>
                <w:bCs/>
                <w:sz w:val="17"/>
                <w:szCs w:val="17"/>
                <w:lang w:val="ru-RU"/>
              </w:rPr>
              <w:t>II. Расходы на поддержку программ</w:t>
            </w:r>
          </w:p>
        </w:tc>
        <w:tc>
          <w:tcPr>
            <w:tcW w:w="2112" w:type="dxa"/>
            <w:tcBorders>
              <w:top w:val="single" w:sz="8" w:space="0" w:color="000000"/>
              <w:bottom w:val="single" w:sz="8" w:space="0" w:color="000000"/>
            </w:tcBorders>
            <w:vAlign w:val="center"/>
          </w:tcPr>
          <w:p w:rsidR="001C6C0F" w:rsidRPr="000559B7" w:rsidRDefault="001C6C0F" w:rsidP="001C6C0F">
            <w:pPr>
              <w:pStyle w:val="Default"/>
              <w:ind w:right="498"/>
              <w:jc w:val="right"/>
              <w:rPr>
                <w:b/>
                <w:bCs/>
                <w:sz w:val="17"/>
                <w:szCs w:val="17"/>
                <w:lang w:val="ru-RU"/>
              </w:rPr>
            </w:pPr>
            <w:r w:rsidRPr="000559B7">
              <w:rPr>
                <w:b/>
                <w:bCs/>
                <w:sz w:val="17"/>
                <w:szCs w:val="17"/>
                <w:lang w:val="ru-RU"/>
              </w:rPr>
              <w:t>65,0</w:t>
            </w:r>
          </w:p>
        </w:tc>
      </w:tr>
      <w:tr w:rsidR="001C6C0F" w:rsidRPr="000559B7" w:rsidTr="001C6C0F">
        <w:trPr>
          <w:trHeight w:val="132"/>
          <w:jc w:val="center"/>
        </w:trPr>
        <w:tc>
          <w:tcPr>
            <w:tcW w:w="6792" w:type="dxa"/>
            <w:tcBorders>
              <w:top w:val="single" w:sz="8" w:space="0" w:color="000000"/>
              <w:bottom w:val="single" w:sz="8" w:space="0" w:color="000000"/>
            </w:tcBorders>
            <w:vAlign w:val="center"/>
          </w:tcPr>
          <w:p w:rsidR="001C6C0F" w:rsidRPr="000559B7" w:rsidRDefault="00645641" w:rsidP="001C6C0F">
            <w:pPr>
              <w:pStyle w:val="Default"/>
              <w:rPr>
                <w:b/>
                <w:bCs/>
                <w:sz w:val="17"/>
                <w:szCs w:val="17"/>
                <w:lang w:val="ru-RU"/>
              </w:rPr>
            </w:pPr>
            <w:r w:rsidRPr="000559B7">
              <w:rPr>
                <w:b/>
                <w:bCs/>
                <w:sz w:val="17"/>
                <w:szCs w:val="17"/>
                <w:lang w:val="ru-RU"/>
              </w:rPr>
              <w:t>Итого</w:t>
            </w:r>
            <w:r w:rsidR="001C6C0F" w:rsidRPr="000559B7">
              <w:rPr>
                <w:b/>
                <w:bCs/>
                <w:sz w:val="17"/>
                <w:szCs w:val="17"/>
                <w:lang w:val="ru-RU"/>
              </w:rPr>
              <w:t xml:space="preserve"> расходы (I+II)</w:t>
            </w:r>
          </w:p>
        </w:tc>
        <w:tc>
          <w:tcPr>
            <w:tcW w:w="2112" w:type="dxa"/>
            <w:tcBorders>
              <w:top w:val="single" w:sz="8" w:space="0" w:color="000000"/>
              <w:bottom w:val="single" w:sz="8" w:space="0" w:color="000000"/>
            </w:tcBorders>
            <w:vAlign w:val="center"/>
          </w:tcPr>
          <w:p w:rsidR="001C6C0F" w:rsidRPr="000559B7" w:rsidRDefault="001C6C0F" w:rsidP="001C6C0F">
            <w:pPr>
              <w:pStyle w:val="Default"/>
              <w:ind w:right="498"/>
              <w:jc w:val="right"/>
              <w:rPr>
                <w:b/>
                <w:bCs/>
                <w:i/>
                <w:iCs/>
                <w:sz w:val="17"/>
                <w:szCs w:val="17"/>
                <w:lang w:val="ru-RU"/>
              </w:rPr>
            </w:pPr>
            <w:r w:rsidRPr="000559B7">
              <w:rPr>
                <w:b/>
                <w:bCs/>
                <w:sz w:val="17"/>
                <w:szCs w:val="17"/>
                <w:lang w:val="ru-RU"/>
              </w:rPr>
              <w:t>565,0</w:t>
            </w:r>
          </w:p>
        </w:tc>
      </w:tr>
    </w:tbl>
    <w:p w:rsidR="001C6C0F" w:rsidRPr="000559B7" w:rsidRDefault="001C6C0F" w:rsidP="001C6C0F">
      <w:pPr>
        <w:ind w:left="2160" w:hanging="1440"/>
        <w:rPr>
          <w:lang w:val="ru-RU"/>
        </w:rPr>
      </w:pPr>
    </w:p>
    <w:p w:rsidR="001C6C0F" w:rsidRPr="000559B7" w:rsidRDefault="001C6C0F" w:rsidP="001C6C0F">
      <w:pPr>
        <w:pStyle w:val="Default"/>
        <w:keepNext/>
        <w:spacing w:after="120"/>
        <w:ind w:left="907" w:hanging="907"/>
        <w:jc w:val="center"/>
        <w:rPr>
          <w:b/>
          <w:bCs/>
          <w:sz w:val="20"/>
          <w:szCs w:val="20"/>
          <w:lang w:val="ru-RU"/>
        </w:rPr>
        <w:sectPr w:rsidR="001C6C0F" w:rsidRPr="000559B7" w:rsidSect="00F750BF">
          <w:headerReference w:type="even" r:id="rId11"/>
          <w:headerReference w:type="default" r:id="rId12"/>
          <w:pgSz w:w="12240" w:h="15840" w:code="1"/>
          <w:pgMar w:top="1134" w:right="1440" w:bottom="1134" w:left="1440" w:header="709" w:footer="709" w:gutter="0"/>
          <w:cols w:space="708"/>
          <w:titlePg/>
          <w:docGrid w:linePitch="360"/>
        </w:sectPr>
      </w:pPr>
    </w:p>
    <w:p w:rsidR="001C6C0F" w:rsidRPr="000559B7" w:rsidRDefault="001C6C0F" w:rsidP="001C6C0F">
      <w:pPr>
        <w:rPr>
          <w:lang w:val="ru-RU"/>
        </w:rPr>
      </w:pPr>
      <w:r w:rsidRPr="006F27B8">
        <w:rPr>
          <w:b/>
          <w:color w:val="000000" w:themeColor="text1"/>
          <w:kern w:val="20"/>
          <w:lang w:val="en-GB"/>
        </w:rPr>
        <w:lastRenderedPageBreak/>
        <w:t xml:space="preserve">Таблица 6.  Взносы в Целевой фонд Конвенции о биологическом разнообразии на двухлетний период 2019-2020 гг. </w:t>
      </w:r>
      <w:r w:rsidRPr="000559B7">
        <w:rPr>
          <w:rStyle w:val="Appelnotedebasdep"/>
          <w:lang w:val="ru-RU"/>
        </w:rPr>
        <w:footnoteReference w:id="9"/>
      </w:r>
    </w:p>
    <w:tbl>
      <w:tblPr>
        <w:tblW w:w="5000" w:type="pct"/>
        <w:tblLook w:val="04A0"/>
      </w:tblPr>
      <w:tblGrid>
        <w:gridCol w:w="3950"/>
        <w:gridCol w:w="1686"/>
        <w:gridCol w:w="2107"/>
        <w:gridCol w:w="1688"/>
        <w:gridCol w:w="1688"/>
        <w:gridCol w:w="2669"/>
      </w:tblGrid>
      <w:tr w:rsidR="006F27B8" w:rsidRPr="000559B7" w:rsidTr="00FE3DCB">
        <w:trPr>
          <w:trHeight w:val="1404"/>
        </w:trPr>
        <w:tc>
          <w:tcPr>
            <w:tcW w:w="1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jc w:val="center"/>
              <w:rPr>
                <w:b/>
                <w:bCs/>
                <w:lang w:val="ru-RU"/>
              </w:rPr>
            </w:pPr>
            <w:r w:rsidRPr="000559B7">
              <w:rPr>
                <w:b/>
                <w:bCs/>
                <w:lang w:val="ru-RU"/>
              </w:rPr>
              <w:t>Стороны</w:t>
            </w:r>
          </w:p>
        </w:tc>
        <w:tc>
          <w:tcPr>
            <w:tcW w:w="611" w:type="pct"/>
            <w:tcBorders>
              <w:top w:val="single" w:sz="4" w:space="0" w:color="auto"/>
              <w:left w:val="nil"/>
              <w:bottom w:val="single" w:sz="4" w:space="0" w:color="auto"/>
              <w:right w:val="single" w:sz="4" w:space="0" w:color="auto"/>
            </w:tcBorders>
            <w:shd w:val="clear" w:color="auto" w:fill="auto"/>
            <w:vAlign w:val="center"/>
            <w:hideMark/>
          </w:tcPr>
          <w:p w:rsidR="006F27B8" w:rsidRPr="000559B7" w:rsidRDefault="006F27B8" w:rsidP="006F27B8">
            <w:pPr>
              <w:jc w:val="center"/>
              <w:rPr>
                <w:b/>
                <w:bCs/>
                <w:lang w:val="ru-RU"/>
              </w:rPr>
            </w:pPr>
            <w:r w:rsidRPr="000559B7">
              <w:rPr>
                <w:b/>
                <w:bCs/>
                <w:lang w:val="ru-RU"/>
              </w:rPr>
              <w:t>Шкала взносов за 2016-2018 годы</w:t>
            </w:r>
          </w:p>
        </w:tc>
        <w:tc>
          <w:tcPr>
            <w:tcW w:w="764" w:type="pct"/>
            <w:tcBorders>
              <w:top w:val="single" w:sz="4" w:space="0" w:color="auto"/>
              <w:left w:val="nil"/>
              <w:bottom w:val="single" w:sz="4" w:space="0" w:color="auto"/>
              <w:right w:val="single" w:sz="4" w:space="0" w:color="auto"/>
            </w:tcBorders>
            <w:shd w:val="clear" w:color="auto" w:fill="auto"/>
            <w:vAlign w:val="center"/>
            <w:hideMark/>
          </w:tcPr>
          <w:p w:rsidR="006F27B8" w:rsidRPr="000559B7" w:rsidRDefault="006F27B8" w:rsidP="004C451A">
            <w:pPr>
              <w:jc w:val="right"/>
              <w:rPr>
                <w:b/>
                <w:bCs/>
                <w:lang w:val="ru-RU"/>
              </w:rPr>
            </w:pPr>
            <w:r w:rsidRPr="000559B7">
              <w:rPr>
                <w:b/>
                <w:bCs/>
                <w:lang w:val="ru-RU"/>
              </w:rPr>
              <w:t>Шкала с предельным взносом в 22%; ни одна НРС не вносит более 0,01%</w:t>
            </w:r>
          </w:p>
        </w:tc>
        <w:tc>
          <w:tcPr>
            <w:tcW w:w="612" w:type="pct"/>
            <w:tcBorders>
              <w:top w:val="single" w:sz="4" w:space="0" w:color="auto"/>
              <w:left w:val="nil"/>
              <w:bottom w:val="single" w:sz="4" w:space="0" w:color="auto"/>
              <w:right w:val="single" w:sz="4" w:space="0" w:color="auto"/>
            </w:tcBorders>
            <w:shd w:val="clear" w:color="auto" w:fill="auto"/>
            <w:vAlign w:val="center"/>
            <w:hideMark/>
          </w:tcPr>
          <w:p w:rsidR="006F27B8" w:rsidRPr="000559B7" w:rsidRDefault="006F27B8" w:rsidP="001C6C0F">
            <w:pPr>
              <w:jc w:val="center"/>
              <w:rPr>
                <w:b/>
                <w:bCs/>
                <w:lang w:val="ru-RU"/>
              </w:rPr>
            </w:pPr>
            <w:r w:rsidRPr="000559B7">
              <w:rPr>
                <w:b/>
                <w:bCs/>
                <w:lang w:val="ru-RU"/>
              </w:rPr>
              <w:t xml:space="preserve">Взнос на </w:t>
            </w:r>
            <w:r w:rsidR="00AC73D1">
              <w:rPr>
                <w:b/>
                <w:bCs/>
                <w:lang w:val="fr-FR"/>
              </w:rPr>
              <w:br/>
            </w:r>
            <w:r w:rsidRPr="000559B7">
              <w:rPr>
                <w:b/>
                <w:bCs/>
                <w:lang w:val="ru-RU"/>
              </w:rPr>
              <w:t xml:space="preserve">1 января </w:t>
            </w:r>
            <w:r w:rsidRPr="000559B7">
              <w:rPr>
                <w:b/>
                <w:bCs/>
                <w:lang w:val="ru-RU"/>
              </w:rPr>
              <w:br/>
              <w:t>2019 г.</w:t>
            </w:r>
          </w:p>
        </w:tc>
        <w:tc>
          <w:tcPr>
            <w:tcW w:w="612" w:type="pct"/>
            <w:tcBorders>
              <w:top w:val="single" w:sz="4" w:space="0" w:color="auto"/>
              <w:left w:val="nil"/>
              <w:bottom w:val="single" w:sz="4" w:space="0" w:color="auto"/>
              <w:right w:val="single" w:sz="4" w:space="0" w:color="auto"/>
            </w:tcBorders>
            <w:shd w:val="clear" w:color="auto" w:fill="auto"/>
            <w:vAlign w:val="center"/>
            <w:hideMark/>
          </w:tcPr>
          <w:p w:rsidR="006F27B8" w:rsidRPr="000559B7" w:rsidRDefault="006F27B8" w:rsidP="001C6C0F">
            <w:pPr>
              <w:jc w:val="center"/>
              <w:rPr>
                <w:b/>
                <w:bCs/>
                <w:lang w:val="ru-RU"/>
              </w:rPr>
            </w:pPr>
            <w:r w:rsidRPr="000559B7">
              <w:rPr>
                <w:b/>
                <w:bCs/>
                <w:lang w:val="ru-RU"/>
              </w:rPr>
              <w:t xml:space="preserve">Взнос на </w:t>
            </w:r>
            <w:r w:rsidR="00AC73D1">
              <w:rPr>
                <w:b/>
                <w:bCs/>
                <w:lang w:val="fr-FR"/>
              </w:rPr>
              <w:br/>
            </w:r>
            <w:r w:rsidRPr="000559B7">
              <w:rPr>
                <w:b/>
                <w:bCs/>
                <w:lang w:val="ru-RU"/>
              </w:rPr>
              <w:t>1 января</w:t>
            </w:r>
            <w:r w:rsidRPr="000559B7">
              <w:rPr>
                <w:b/>
                <w:bCs/>
                <w:lang w:val="ru-RU"/>
              </w:rPr>
              <w:br/>
              <w:t xml:space="preserve"> 2020 г.</w:t>
            </w:r>
          </w:p>
        </w:tc>
        <w:tc>
          <w:tcPr>
            <w:tcW w:w="968" w:type="pct"/>
            <w:tcBorders>
              <w:top w:val="single" w:sz="4" w:space="0" w:color="auto"/>
              <w:left w:val="nil"/>
              <w:bottom w:val="single" w:sz="4" w:space="0" w:color="auto"/>
              <w:right w:val="single" w:sz="4" w:space="0" w:color="auto"/>
            </w:tcBorders>
            <w:shd w:val="clear" w:color="auto" w:fill="auto"/>
            <w:vAlign w:val="center"/>
            <w:hideMark/>
          </w:tcPr>
          <w:p w:rsidR="006F27B8" w:rsidRPr="000559B7" w:rsidRDefault="006F27B8" w:rsidP="001C6C0F">
            <w:pPr>
              <w:jc w:val="center"/>
              <w:rPr>
                <w:b/>
                <w:bCs/>
                <w:lang w:val="ru-RU"/>
              </w:rPr>
            </w:pPr>
            <w:r w:rsidRPr="000559B7">
              <w:rPr>
                <w:b/>
                <w:bCs/>
                <w:lang w:val="ru-RU"/>
              </w:rPr>
              <w:t>Итого 2019-2020 гг.</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Австралия</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2,337</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2,922</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346 102</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367 008</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713 110</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Австрия</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0,720</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0,900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106 630</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113 070</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219 700</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Азербайджан</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0,060</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0,075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8886</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9423</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18 308</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Албания</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0,008</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0,010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1185</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1256</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2441</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Алжир</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0,161</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0,201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23 844</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25 284</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49 127</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Ангола</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0,010</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0,010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1185</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1256</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2441</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Андорра</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0,006</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0,008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889</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942</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1831</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 xml:space="preserve">Антигуа и </w:t>
            </w:r>
            <w:proofErr w:type="spellStart"/>
            <w:r w:rsidRPr="000559B7">
              <w:rPr>
                <w:lang w:val="ru-RU"/>
              </w:rPr>
              <w:t>Барбуда</w:t>
            </w:r>
            <w:proofErr w:type="spellEnd"/>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0,002</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0,003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296</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314</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610</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Аргентина</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0,892</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1,115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132 102</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140 082</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272 184</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Армения</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0,006</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0,008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889</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942</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1831</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Афганистан</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0,006</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0,008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889</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942</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1831</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Багамские Острова</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0,014</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0,018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2073</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2199</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4272</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Бангладеш</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0,010</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0,010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1185</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1256</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2441</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Барбадос</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0,007</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0,009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1037</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1099</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2136</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Бахрейн</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0,044</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0,055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6516</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6910</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13 426</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Беларусь</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0,056</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0,070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8293</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8794</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17 088</w:t>
            </w:r>
          </w:p>
        </w:tc>
      </w:tr>
      <w:tr w:rsidR="006F27B8" w:rsidRPr="000559B7" w:rsidTr="00FE3DCB">
        <w:trPr>
          <w:trHeight w:val="338"/>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Белиз</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0,001</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0,001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148</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157</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305</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Бельгия</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0,885</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1,106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131 065</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138 982</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270 048</w:t>
            </w:r>
          </w:p>
        </w:tc>
      </w:tr>
      <w:tr w:rsidR="006F27B8" w:rsidRPr="000559B7" w:rsidTr="00FE3DCB">
        <w:trPr>
          <w:trHeight w:val="341"/>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Бенин</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0,003</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0,004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444</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471</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915</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Болгария</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0,045</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0,056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6664</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7067</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13 731</w:t>
            </w:r>
          </w:p>
        </w:tc>
      </w:tr>
      <w:tr w:rsidR="006F27B8" w:rsidRPr="000559B7" w:rsidTr="00FE3DCB">
        <w:trPr>
          <w:trHeight w:val="1404"/>
        </w:trPr>
        <w:tc>
          <w:tcPr>
            <w:tcW w:w="1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jc w:val="center"/>
              <w:rPr>
                <w:b/>
                <w:bCs/>
                <w:lang w:val="ru-RU"/>
              </w:rPr>
            </w:pPr>
            <w:r w:rsidRPr="000559B7">
              <w:rPr>
                <w:b/>
                <w:bCs/>
                <w:lang w:val="ru-RU"/>
              </w:rPr>
              <w:lastRenderedPageBreak/>
              <w:t>Стороны</w:t>
            </w:r>
          </w:p>
        </w:tc>
        <w:tc>
          <w:tcPr>
            <w:tcW w:w="611" w:type="pct"/>
            <w:tcBorders>
              <w:top w:val="single" w:sz="4" w:space="0" w:color="auto"/>
              <w:left w:val="nil"/>
              <w:bottom w:val="single" w:sz="4" w:space="0" w:color="auto"/>
              <w:right w:val="single" w:sz="4" w:space="0" w:color="auto"/>
            </w:tcBorders>
            <w:shd w:val="clear" w:color="auto" w:fill="auto"/>
            <w:vAlign w:val="center"/>
            <w:hideMark/>
          </w:tcPr>
          <w:p w:rsidR="006F27B8" w:rsidRPr="000559B7" w:rsidRDefault="006F27B8" w:rsidP="00AC73D1">
            <w:pPr>
              <w:jc w:val="center"/>
              <w:rPr>
                <w:b/>
                <w:bCs/>
                <w:lang w:val="ru-RU"/>
              </w:rPr>
            </w:pPr>
            <w:r w:rsidRPr="000559B7">
              <w:rPr>
                <w:b/>
                <w:bCs/>
                <w:lang w:val="ru-RU"/>
              </w:rPr>
              <w:t>Шкала взносов за 2016-2018 годы</w:t>
            </w:r>
          </w:p>
        </w:tc>
        <w:tc>
          <w:tcPr>
            <w:tcW w:w="764" w:type="pct"/>
            <w:tcBorders>
              <w:top w:val="single" w:sz="4" w:space="0" w:color="auto"/>
              <w:left w:val="nil"/>
              <w:bottom w:val="single" w:sz="4" w:space="0" w:color="auto"/>
              <w:right w:val="single" w:sz="4" w:space="0" w:color="auto"/>
            </w:tcBorders>
            <w:shd w:val="clear" w:color="auto" w:fill="auto"/>
            <w:vAlign w:val="center"/>
            <w:hideMark/>
          </w:tcPr>
          <w:p w:rsidR="006F27B8" w:rsidRPr="000559B7" w:rsidRDefault="006F27B8" w:rsidP="00AC73D1">
            <w:pPr>
              <w:jc w:val="center"/>
              <w:rPr>
                <w:b/>
                <w:bCs/>
                <w:lang w:val="ru-RU"/>
              </w:rPr>
            </w:pPr>
            <w:r w:rsidRPr="000559B7">
              <w:rPr>
                <w:b/>
                <w:bCs/>
                <w:lang w:val="ru-RU"/>
              </w:rPr>
              <w:t>Шкала с предельным взносом в 22%; ни одна НРС не вносит более 0,01%</w:t>
            </w:r>
          </w:p>
        </w:tc>
        <w:tc>
          <w:tcPr>
            <w:tcW w:w="612" w:type="pct"/>
            <w:tcBorders>
              <w:top w:val="single" w:sz="4" w:space="0" w:color="auto"/>
              <w:left w:val="nil"/>
              <w:bottom w:val="single" w:sz="4" w:space="0" w:color="auto"/>
              <w:right w:val="single" w:sz="4" w:space="0" w:color="auto"/>
            </w:tcBorders>
            <w:shd w:val="clear" w:color="auto" w:fill="auto"/>
            <w:vAlign w:val="center"/>
            <w:hideMark/>
          </w:tcPr>
          <w:p w:rsidR="006F27B8" w:rsidRPr="000559B7" w:rsidRDefault="006F27B8" w:rsidP="001C6C0F">
            <w:pPr>
              <w:jc w:val="center"/>
              <w:rPr>
                <w:b/>
                <w:bCs/>
                <w:lang w:val="ru-RU"/>
              </w:rPr>
            </w:pPr>
            <w:r w:rsidRPr="000559B7">
              <w:rPr>
                <w:b/>
                <w:bCs/>
                <w:lang w:val="ru-RU"/>
              </w:rPr>
              <w:t xml:space="preserve">Взнос на </w:t>
            </w:r>
            <w:r w:rsidR="00AC73D1">
              <w:rPr>
                <w:b/>
                <w:bCs/>
                <w:lang w:val="fr-FR"/>
              </w:rPr>
              <w:br/>
            </w:r>
            <w:r w:rsidRPr="000559B7">
              <w:rPr>
                <w:b/>
                <w:bCs/>
                <w:lang w:val="ru-RU"/>
              </w:rPr>
              <w:t xml:space="preserve">1 января </w:t>
            </w:r>
            <w:r w:rsidRPr="000559B7">
              <w:rPr>
                <w:b/>
                <w:bCs/>
                <w:lang w:val="ru-RU"/>
              </w:rPr>
              <w:br/>
              <w:t>2019 г.</w:t>
            </w:r>
          </w:p>
        </w:tc>
        <w:tc>
          <w:tcPr>
            <w:tcW w:w="612" w:type="pct"/>
            <w:tcBorders>
              <w:top w:val="single" w:sz="4" w:space="0" w:color="auto"/>
              <w:left w:val="nil"/>
              <w:bottom w:val="single" w:sz="4" w:space="0" w:color="auto"/>
              <w:right w:val="single" w:sz="4" w:space="0" w:color="auto"/>
            </w:tcBorders>
            <w:shd w:val="clear" w:color="auto" w:fill="auto"/>
            <w:vAlign w:val="center"/>
            <w:hideMark/>
          </w:tcPr>
          <w:p w:rsidR="006F27B8" w:rsidRPr="000559B7" w:rsidRDefault="006F27B8" w:rsidP="001C6C0F">
            <w:pPr>
              <w:jc w:val="center"/>
              <w:rPr>
                <w:b/>
                <w:bCs/>
                <w:lang w:val="ru-RU"/>
              </w:rPr>
            </w:pPr>
            <w:r w:rsidRPr="000559B7">
              <w:rPr>
                <w:b/>
                <w:bCs/>
                <w:lang w:val="ru-RU"/>
              </w:rPr>
              <w:t xml:space="preserve">Взнос на </w:t>
            </w:r>
            <w:r w:rsidR="00AC73D1">
              <w:rPr>
                <w:b/>
                <w:bCs/>
                <w:lang w:val="fr-FR"/>
              </w:rPr>
              <w:br/>
            </w:r>
            <w:r w:rsidRPr="000559B7">
              <w:rPr>
                <w:b/>
                <w:bCs/>
                <w:lang w:val="ru-RU"/>
              </w:rPr>
              <w:t>1 января</w:t>
            </w:r>
            <w:r w:rsidRPr="000559B7">
              <w:rPr>
                <w:b/>
                <w:bCs/>
                <w:lang w:val="ru-RU"/>
              </w:rPr>
              <w:br/>
              <w:t xml:space="preserve"> 2020 г.</w:t>
            </w:r>
          </w:p>
        </w:tc>
        <w:tc>
          <w:tcPr>
            <w:tcW w:w="968" w:type="pct"/>
            <w:tcBorders>
              <w:top w:val="single" w:sz="4" w:space="0" w:color="auto"/>
              <w:left w:val="nil"/>
              <w:bottom w:val="single" w:sz="4" w:space="0" w:color="auto"/>
              <w:right w:val="single" w:sz="4" w:space="0" w:color="auto"/>
            </w:tcBorders>
            <w:shd w:val="clear" w:color="auto" w:fill="auto"/>
            <w:vAlign w:val="center"/>
            <w:hideMark/>
          </w:tcPr>
          <w:p w:rsidR="006F27B8" w:rsidRPr="000559B7" w:rsidRDefault="006F27B8" w:rsidP="001C6C0F">
            <w:pPr>
              <w:jc w:val="center"/>
              <w:rPr>
                <w:b/>
                <w:bCs/>
                <w:lang w:val="ru-RU"/>
              </w:rPr>
            </w:pPr>
            <w:r w:rsidRPr="000559B7">
              <w:rPr>
                <w:b/>
                <w:bCs/>
                <w:lang w:val="ru-RU"/>
              </w:rPr>
              <w:t>Итого 2019-2020 гг.</w:t>
            </w:r>
          </w:p>
        </w:tc>
      </w:tr>
      <w:tr w:rsidR="006F27B8" w:rsidRPr="000559B7" w:rsidTr="00FE3DCB">
        <w:trPr>
          <w:trHeight w:val="381"/>
        </w:trPr>
        <w:tc>
          <w:tcPr>
            <w:tcW w:w="1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Боливия (Многонациональное Государство)</w:t>
            </w:r>
          </w:p>
        </w:tc>
        <w:tc>
          <w:tcPr>
            <w:tcW w:w="611" w:type="pct"/>
            <w:tcBorders>
              <w:top w:val="single" w:sz="4" w:space="0" w:color="auto"/>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0,012</w:t>
            </w:r>
          </w:p>
        </w:tc>
        <w:tc>
          <w:tcPr>
            <w:tcW w:w="764" w:type="pct"/>
            <w:tcBorders>
              <w:top w:val="single" w:sz="4" w:space="0" w:color="auto"/>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0,015 </w:t>
            </w:r>
          </w:p>
        </w:tc>
        <w:tc>
          <w:tcPr>
            <w:tcW w:w="612" w:type="pct"/>
            <w:tcBorders>
              <w:top w:val="single" w:sz="4" w:space="0" w:color="auto"/>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1777</w:t>
            </w:r>
          </w:p>
        </w:tc>
        <w:tc>
          <w:tcPr>
            <w:tcW w:w="612" w:type="pct"/>
            <w:tcBorders>
              <w:top w:val="single" w:sz="4" w:space="0" w:color="auto"/>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1885</w:t>
            </w:r>
          </w:p>
        </w:tc>
        <w:tc>
          <w:tcPr>
            <w:tcW w:w="968" w:type="pct"/>
            <w:tcBorders>
              <w:top w:val="single" w:sz="4" w:space="0" w:color="auto"/>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3662</w:t>
            </w:r>
          </w:p>
        </w:tc>
      </w:tr>
      <w:tr w:rsidR="006F27B8" w:rsidRPr="000559B7" w:rsidTr="00FE3DCB">
        <w:trPr>
          <w:trHeight w:val="276"/>
        </w:trPr>
        <w:tc>
          <w:tcPr>
            <w:tcW w:w="1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Босния и Герцеговина</w:t>
            </w:r>
          </w:p>
        </w:tc>
        <w:tc>
          <w:tcPr>
            <w:tcW w:w="611" w:type="pct"/>
            <w:tcBorders>
              <w:top w:val="single" w:sz="4" w:space="0" w:color="auto"/>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0,013</w:t>
            </w:r>
          </w:p>
        </w:tc>
        <w:tc>
          <w:tcPr>
            <w:tcW w:w="764" w:type="pct"/>
            <w:tcBorders>
              <w:top w:val="single" w:sz="4" w:space="0" w:color="auto"/>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0,016 </w:t>
            </w:r>
          </w:p>
        </w:tc>
        <w:tc>
          <w:tcPr>
            <w:tcW w:w="612" w:type="pct"/>
            <w:tcBorders>
              <w:top w:val="single" w:sz="4" w:space="0" w:color="auto"/>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1925</w:t>
            </w:r>
          </w:p>
        </w:tc>
        <w:tc>
          <w:tcPr>
            <w:tcW w:w="612" w:type="pct"/>
            <w:tcBorders>
              <w:top w:val="single" w:sz="4" w:space="0" w:color="auto"/>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2042</w:t>
            </w:r>
          </w:p>
        </w:tc>
        <w:tc>
          <w:tcPr>
            <w:tcW w:w="968" w:type="pct"/>
            <w:tcBorders>
              <w:top w:val="single" w:sz="4" w:space="0" w:color="auto"/>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3967</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Ботсвана</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0,014</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0,018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2073</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2199</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4272</w:t>
            </w:r>
          </w:p>
        </w:tc>
      </w:tr>
      <w:tr w:rsidR="006F27B8" w:rsidRPr="000559B7" w:rsidTr="00FE3DCB">
        <w:trPr>
          <w:trHeight w:val="311"/>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Бразилия</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3,823</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4,779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566 173</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600 373</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1 166 546</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proofErr w:type="spellStart"/>
            <w:r w:rsidRPr="000559B7">
              <w:rPr>
                <w:lang w:val="ru-RU"/>
              </w:rPr>
              <w:t>Бруней-Даруссалам</w:t>
            </w:r>
            <w:proofErr w:type="spellEnd"/>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0,029</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0,036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4295</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4554</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8849</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Буркина-Фасо</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0,004</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0,005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592</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628</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1221</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Бурунди</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0,001</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0,001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148</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157</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305</w:t>
            </w:r>
          </w:p>
        </w:tc>
      </w:tr>
      <w:tr w:rsidR="006F27B8" w:rsidRPr="000559B7" w:rsidTr="00FE3DCB">
        <w:trPr>
          <w:trHeight w:val="332"/>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Бутан</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0,001</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0,001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148</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157</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305</w:t>
            </w:r>
          </w:p>
        </w:tc>
      </w:tr>
      <w:tr w:rsidR="006F27B8" w:rsidRPr="000559B7" w:rsidTr="00FE3DCB">
        <w:trPr>
          <w:trHeight w:val="552"/>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Бывшая югославская Республика Македония</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0,007</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0,009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1037</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1099</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2136</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proofErr w:type="spellStart"/>
            <w:r w:rsidRPr="000559B7">
              <w:rPr>
                <w:lang w:val="ru-RU"/>
              </w:rPr>
              <w:t>Вануату</w:t>
            </w:r>
            <w:proofErr w:type="spellEnd"/>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0,001</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0,001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148</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157</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305</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Венгрия</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0,161</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0,201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23 844</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25 284</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49 127</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Венесуэла</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0,571</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0,714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84 563</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89 671</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174 234</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Вьетнам</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0,058</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0,073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8590</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9108</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17 698</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Габон</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0,017</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0,021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2518</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2670</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5187</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Гайана</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0,002</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0,003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296</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314</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610</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Гаити</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0,003</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0,004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444</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471</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915</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Гамбия</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0,001</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0,001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148</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157</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305</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Гана</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0,016</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0,020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2370</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2513</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4882</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Гватемала</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0,028</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0,035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4147</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4397</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8544</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Гвинея</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0,002</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0,003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296</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314</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610</w:t>
            </w:r>
          </w:p>
        </w:tc>
      </w:tr>
    </w:tbl>
    <w:p w:rsidR="00FE3DCB" w:rsidRDefault="00FE3DCB">
      <w:r>
        <w:br w:type="page"/>
      </w:r>
    </w:p>
    <w:tbl>
      <w:tblPr>
        <w:tblW w:w="5000" w:type="pct"/>
        <w:tblLook w:val="04A0"/>
      </w:tblPr>
      <w:tblGrid>
        <w:gridCol w:w="3950"/>
        <w:gridCol w:w="1686"/>
        <w:gridCol w:w="2107"/>
        <w:gridCol w:w="1688"/>
        <w:gridCol w:w="1688"/>
        <w:gridCol w:w="2669"/>
      </w:tblGrid>
      <w:tr w:rsidR="006F27B8" w:rsidRPr="000559B7" w:rsidTr="00FE3DCB">
        <w:trPr>
          <w:trHeight w:val="1404"/>
        </w:trPr>
        <w:tc>
          <w:tcPr>
            <w:tcW w:w="1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jc w:val="center"/>
              <w:rPr>
                <w:b/>
                <w:bCs/>
                <w:lang w:val="ru-RU"/>
              </w:rPr>
            </w:pPr>
            <w:r w:rsidRPr="000559B7">
              <w:rPr>
                <w:b/>
                <w:bCs/>
                <w:lang w:val="ru-RU"/>
              </w:rPr>
              <w:lastRenderedPageBreak/>
              <w:t>Стороны</w:t>
            </w:r>
          </w:p>
        </w:tc>
        <w:tc>
          <w:tcPr>
            <w:tcW w:w="611" w:type="pct"/>
            <w:tcBorders>
              <w:top w:val="single" w:sz="4" w:space="0" w:color="auto"/>
              <w:left w:val="nil"/>
              <w:bottom w:val="single" w:sz="4" w:space="0" w:color="auto"/>
              <w:right w:val="single" w:sz="4" w:space="0" w:color="auto"/>
            </w:tcBorders>
            <w:shd w:val="clear" w:color="auto" w:fill="auto"/>
            <w:vAlign w:val="center"/>
            <w:hideMark/>
          </w:tcPr>
          <w:p w:rsidR="006F27B8" w:rsidRPr="000559B7" w:rsidRDefault="006F27B8" w:rsidP="00AC73D1">
            <w:pPr>
              <w:jc w:val="center"/>
              <w:rPr>
                <w:b/>
                <w:bCs/>
                <w:lang w:val="ru-RU"/>
              </w:rPr>
            </w:pPr>
            <w:r w:rsidRPr="000559B7">
              <w:rPr>
                <w:b/>
                <w:bCs/>
                <w:lang w:val="ru-RU"/>
              </w:rPr>
              <w:t>Шкала взносов за 2016-2018 годы</w:t>
            </w:r>
          </w:p>
        </w:tc>
        <w:tc>
          <w:tcPr>
            <w:tcW w:w="764" w:type="pct"/>
            <w:tcBorders>
              <w:top w:val="single" w:sz="4" w:space="0" w:color="auto"/>
              <w:left w:val="nil"/>
              <w:bottom w:val="single" w:sz="4" w:space="0" w:color="auto"/>
              <w:right w:val="single" w:sz="4" w:space="0" w:color="auto"/>
            </w:tcBorders>
            <w:shd w:val="clear" w:color="auto" w:fill="auto"/>
            <w:vAlign w:val="center"/>
            <w:hideMark/>
          </w:tcPr>
          <w:p w:rsidR="006F27B8" w:rsidRPr="000559B7" w:rsidRDefault="006F27B8" w:rsidP="00AC73D1">
            <w:pPr>
              <w:jc w:val="center"/>
              <w:rPr>
                <w:b/>
                <w:bCs/>
                <w:lang w:val="ru-RU"/>
              </w:rPr>
            </w:pPr>
            <w:r w:rsidRPr="000559B7">
              <w:rPr>
                <w:b/>
                <w:bCs/>
                <w:lang w:val="ru-RU"/>
              </w:rPr>
              <w:t>Шкала с предельным взносом в 22%; ни одна НРС не вносит более 0,01%</w:t>
            </w:r>
          </w:p>
        </w:tc>
        <w:tc>
          <w:tcPr>
            <w:tcW w:w="612" w:type="pct"/>
            <w:tcBorders>
              <w:top w:val="single" w:sz="4" w:space="0" w:color="auto"/>
              <w:left w:val="nil"/>
              <w:bottom w:val="single" w:sz="4" w:space="0" w:color="auto"/>
              <w:right w:val="single" w:sz="4" w:space="0" w:color="auto"/>
            </w:tcBorders>
            <w:shd w:val="clear" w:color="auto" w:fill="auto"/>
            <w:vAlign w:val="center"/>
            <w:hideMark/>
          </w:tcPr>
          <w:p w:rsidR="00AC73D1" w:rsidRDefault="006F27B8" w:rsidP="001C6C0F">
            <w:pPr>
              <w:jc w:val="center"/>
              <w:rPr>
                <w:b/>
                <w:bCs/>
                <w:lang w:val="fr-FR"/>
              </w:rPr>
            </w:pPr>
            <w:r w:rsidRPr="000559B7">
              <w:rPr>
                <w:b/>
                <w:bCs/>
                <w:lang w:val="ru-RU"/>
              </w:rPr>
              <w:t xml:space="preserve">Взнос </w:t>
            </w:r>
            <w:proofErr w:type="gramStart"/>
            <w:r w:rsidRPr="000559B7">
              <w:rPr>
                <w:b/>
                <w:bCs/>
                <w:lang w:val="ru-RU"/>
              </w:rPr>
              <w:t>на</w:t>
            </w:r>
            <w:proofErr w:type="gramEnd"/>
            <w:r w:rsidRPr="000559B7">
              <w:rPr>
                <w:b/>
                <w:bCs/>
                <w:lang w:val="ru-RU"/>
              </w:rPr>
              <w:t xml:space="preserve"> </w:t>
            </w:r>
          </w:p>
          <w:p w:rsidR="006F27B8" w:rsidRPr="000559B7" w:rsidRDefault="006F27B8" w:rsidP="001C6C0F">
            <w:pPr>
              <w:jc w:val="center"/>
              <w:rPr>
                <w:b/>
                <w:bCs/>
                <w:lang w:val="ru-RU"/>
              </w:rPr>
            </w:pPr>
            <w:r w:rsidRPr="000559B7">
              <w:rPr>
                <w:b/>
                <w:bCs/>
                <w:lang w:val="ru-RU"/>
              </w:rPr>
              <w:t>1 января</w:t>
            </w:r>
            <w:r w:rsidRPr="000559B7">
              <w:rPr>
                <w:b/>
                <w:bCs/>
                <w:lang w:val="ru-RU"/>
              </w:rPr>
              <w:br/>
              <w:t xml:space="preserve"> 2019 г.</w:t>
            </w:r>
          </w:p>
        </w:tc>
        <w:tc>
          <w:tcPr>
            <w:tcW w:w="612" w:type="pct"/>
            <w:tcBorders>
              <w:top w:val="single" w:sz="4" w:space="0" w:color="auto"/>
              <w:left w:val="nil"/>
              <w:bottom w:val="single" w:sz="4" w:space="0" w:color="auto"/>
              <w:right w:val="single" w:sz="4" w:space="0" w:color="auto"/>
            </w:tcBorders>
            <w:shd w:val="clear" w:color="auto" w:fill="auto"/>
            <w:vAlign w:val="center"/>
            <w:hideMark/>
          </w:tcPr>
          <w:p w:rsidR="00AC73D1" w:rsidRDefault="006F27B8" w:rsidP="001C6C0F">
            <w:pPr>
              <w:jc w:val="center"/>
              <w:rPr>
                <w:b/>
                <w:bCs/>
                <w:lang w:val="fr-FR"/>
              </w:rPr>
            </w:pPr>
            <w:r w:rsidRPr="000559B7">
              <w:rPr>
                <w:b/>
                <w:bCs/>
                <w:lang w:val="ru-RU"/>
              </w:rPr>
              <w:t xml:space="preserve">Взнос </w:t>
            </w:r>
            <w:proofErr w:type="gramStart"/>
            <w:r w:rsidRPr="000559B7">
              <w:rPr>
                <w:b/>
                <w:bCs/>
                <w:lang w:val="ru-RU"/>
              </w:rPr>
              <w:t>на</w:t>
            </w:r>
            <w:proofErr w:type="gramEnd"/>
            <w:r w:rsidRPr="000559B7">
              <w:rPr>
                <w:b/>
                <w:bCs/>
                <w:lang w:val="ru-RU"/>
              </w:rPr>
              <w:t xml:space="preserve"> </w:t>
            </w:r>
          </w:p>
          <w:p w:rsidR="006F27B8" w:rsidRPr="000559B7" w:rsidRDefault="006F27B8" w:rsidP="001C6C0F">
            <w:pPr>
              <w:jc w:val="center"/>
              <w:rPr>
                <w:b/>
                <w:bCs/>
                <w:lang w:val="ru-RU"/>
              </w:rPr>
            </w:pPr>
            <w:r w:rsidRPr="000559B7">
              <w:rPr>
                <w:b/>
                <w:bCs/>
                <w:lang w:val="ru-RU"/>
              </w:rPr>
              <w:t>1 января</w:t>
            </w:r>
            <w:r w:rsidRPr="000559B7">
              <w:rPr>
                <w:b/>
                <w:bCs/>
                <w:lang w:val="ru-RU"/>
              </w:rPr>
              <w:br/>
              <w:t xml:space="preserve"> 2020 г.</w:t>
            </w:r>
          </w:p>
        </w:tc>
        <w:tc>
          <w:tcPr>
            <w:tcW w:w="968" w:type="pct"/>
            <w:tcBorders>
              <w:top w:val="single" w:sz="4" w:space="0" w:color="auto"/>
              <w:left w:val="nil"/>
              <w:bottom w:val="single" w:sz="4" w:space="0" w:color="auto"/>
              <w:right w:val="single" w:sz="4" w:space="0" w:color="auto"/>
            </w:tcBorders>
            <w:shd w:val="clear" w:color="auto" w:fill="auto"/>
            <w:vAlign w:val="center"/>
            <w:hideMark/>
          </w:tcPr>
          <w:p w:rsidR="006F27B8" w:rsidRPr="000559B7" w:rsidRDefault="006F27B8" w:rsidP="001C6C0F">
            <w:pPr>
              <w:jc w:val="center"/>
              <w:rPr>
                <w:b/>
                <w:bCs/>
                <w:lang w:val="ru-RU"/>
              </w:rPr>
            </w:pPr>
            <w:r w:rsidRPr="000559B7">
              <w:rPr>
                <w:b/>
                <w:bCs/>
                <w:lang w:val="ru-RU"/>
              </w:rPr>
              <w:t>Итого 2019-2020 гг.</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Гвинея-Бисау</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0,001</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0,001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148</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157</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305</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Германия</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6,389</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7,987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946 189</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1 003 343</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1 949 532</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Гондурас</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0,008</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0,010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1185</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1256</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2441</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Государство Палестина</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0,007</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0,009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1037</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1099</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2136</w:t>
            </w:r>
          </w:p>
        </w:tc>
      </w:tr>
      <w:tr w:rsidR="006F27B8" w:rsidRPr="000559B7" w:rsidTr="00FE3DCB">
        <w:trPr>
          <w:trHeight w:val="276"/>
        </w:trPr>
        <w:tc>
          <w:tcPr>
            <w:tcW w:w="1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Гренада</w:t>
            </w:r>
          </w:p>
        </w:tc>
        <w:tc>
          <w:tcPr>
            <w:tcW w:w="611" w:type="pct"/>
            <w:tcBorders>
              <w:top w:val="single" w:sz="4" w:space="0" w:color="auto"/>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0,001</w:t>
            </w:r>
          </w:p>
        </w:tc>
        <w:tc>
          <w:tcPr>
            <w:tcW w:w="764" w:type="pct"/>
            <w:tcBorders>
              <w:top w:val="single" w:sz="4" w:space="0" w:color="auto"/>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0,001 </w:t>
            </w:r>
          </w:p>
        </w:tc>
        <w:tc>
          <w:tcPr>
            <w:tcW w:w="612" w:type="pct"/>
            <w:tcBorders>
              <w:top w:val="single" w:sz="4" w:space="0" w:color="auto"/>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148</w:t>
            </w:r>
          </w:p>
        </w:tc>
        <w:tc>
          <w:tcPr>
            <w:tcW w:w="612" w:type="pct"/>
            <w:tcBorders>
              <w:top w:val="single" w:sz="4" w:space="0" w:color="auto"/>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157</w:t>
            </w:r>
          </w:p>
        </w:tc>
        <w:tc>
          <w:tcPr>
            <w:tcW w:w="968" w:type="pct"/>
            <w:tcBorders>
              <w:top w:val="single" w:sz="4" w:space="0" w:color="auto"/>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305</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Греция</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0,471</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0,589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69 754</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73 967</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143 720</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Грузия</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0,008</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0,010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1185</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1256</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2441</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Дания</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0,584</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0,730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86 488</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91 713</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178 201</w:t>
            </w:r>
          </w:p>
        </w:tc>
      </w:tr>
      <w:tr w:rsidR="006F27B8" w:rsidRPr="000559B7" w:rsidTr="00FE3DCB">
        <w:trPr>
          <w:trHeight w:val="552"/>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822082">
            <w:pPr>
              <w:rPr>
                <w:lang w:val="ru-RU"/>
              </w:rPr>
            </w:pPr>
            <w:r w:rsidRPr="000559B7">
              <w:rPr>
                <w:lang w:val="ru-RU"/>
              </w:rPr>
              <w:t>Демократическая Республика Конго</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822082">
            <w:pPr>
              <w:jc w:val="right"/>
              <w:rPr>
                <w:lang w:val="ru-RU"/>
              </w:rPr>
            </w:pPr>
            <w:r w:rsidRPr="000559B7">
              <w:rPr>
                <w:lang w:val="ru-RU"/>
              </w:rPr>
              <w:t>0,008</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0,010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822082">
            <w:pPr>
              <w:jc w:val="right"/>
              <w:rPr>
                <w:lang w:val="ru-RU"/>
              </w:rPr>
            </w:pPr>
            <w:r w:rsidRPr="000559B7">
              <w:rPr>
                <w:lang w:val="ru-RU"/>
              </w:rPr>
              <w:t>1185</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822082">
            <w:pPr>
              <w:jc w:val="right"/>
              <w:rPr>
                <w:lang w:val="ru-RU"/>
              </w:rPr>
            </w:pPr>
            <w:r w:rsidRPr="000559B7">
              <w:rPr>
                <w:lang w:val="ru-RU"/>
              </w:rPr>
              <w:t>1256</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822082">
            <w:pPr>
              <w:jc w:val="right"/>
              <w:rPr>
                <w:lang w:val="ru-RU"/>
              </w:rPr>
            </w:pPr>
            <w:r w:rsidRPr="000559B7">
              <w:rPr>
                <w:lang w:val="ru-RU"/>
              </w:rPr>
              <w:t>2441</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Джибути</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0,001</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0,001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148</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157</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305</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Доминика</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0,001</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0,001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148</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157</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305</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Доминиканская Республика</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0,046</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0,058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6812</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7224</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14 036</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Европейский союз</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 </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2,500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296 163</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314 052</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610 215</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Египет</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0,152</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0,190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22 511</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23 870</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46 381</w:t>
            </w:r>
          </w:p>
        </w:tc>
      </w:tr>
      <w:tr w:rsidR="006F27B8" w:rsidRPr="000559B7" w:rsidTr="00FE3DCB">
        <w:trPr>
          <w:trHeight w:val="276"/>
        </w:trPr>
        <w:tc>
          <w:tcPr>
            <w:tcW w:w="1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Замбия</w:t>
            </w:r>
          </w:p>
        </w:tc>
        <w:tc>
          <w:tcPr>
            <w:tcW w:w="611" w:type="pct"/>
            <w:tcBorders>
              <w:top w:val="single" w:sz="4" w:space="0" w:color="auto"/>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0,007</w:t>
            </w:r>
          </w:p>
        </w:tc>
        <w:tc>
          <w:tcPr>
            <w:tcW w:w="764" w:type="pct"/>
            <w:tcBorders>
              <w:top w:val="single" w:sz="4" w:space="0" w:color="auto"/>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0,009 </w:t>
            </w:r>
          </w:p>
        </w:tc>
        <w:tc>
          <w:tcPr>
            <w:tcW w:w="612" w:type="pct"/>
            <w:tcBorders>
              <w:top w:val="single" w:sz="4" w:space="0" w:color="auto"/>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1037</w:t>
            </w:r>
          </w:p>
        </w:tc>
        <w:tc>
          <w:tcPr>
            <w:tcW w:w="612" w:type="pct"/>
            <w:tcBorders>
              <w:top w:val="single" w:sz="4" w:space="0" w:color="auto"/>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1099</w:t>
            </w:r>
          </w:p>
        </w:tc>
        <w:tc>
          <w:tcPr>
            <w:tcW w:w="968" w:type="pct"/>
            <w:tcBorders>
              <w:top w:val="single" w:sz="4" w:space="0" w:color="auto"/>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2136</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Зимбабве</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0,004</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0,005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592</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628</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1221</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Йемен</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0,010</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0,010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1185</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1256</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2441</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Израиль</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0,430</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0,538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63 682</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67 528</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131 210</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Индия</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0,737</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0,921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109 147</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115 740</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224 887</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Индонезия</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0,504</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0,630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74 641</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79 149</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153 790</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Иордания</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0,020</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0,025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2962</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3141</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6103</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Ирак</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0,129</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0,161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19 104</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20 258</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39 363</w:t>
            </w:r>
          </w:p>
        </w:tc>
      </w:tr>
      <w:tr w:rsidR="006F27B8" w:rsidRPr="000559B7" w:rsidTr="00FE3DCB">
        <w:trPr>
          <w:trHeight w:val="552"/>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5535C2">
            <w:pPr>
              <w:jc w:val="left"/>
              <w:rPr>
                <w:lang w:val="ru-RU"/>
              </w:rPr>
            </w:pPr>
            <w:r w:rsidRPr="000559B7">
              <w:rPr>
                <w:lang w:val="ru-RU"/>
              </w:rPr>
              <w:t>Иран (Исламская Республика)</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0,471</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0,589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69 754</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73 967</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143 720</w:t>
            </w:r>
          </w:p>
        </w:tc>
      </w:tr>
      <w:tr w:rsidR="006F27B8" w:rsidRPr="000559B7" w:rsidTr="00FE3DCB">
        <w:trPr>
          <w:trHeight w:val="1404"/>
        </w:trPr>
        <w:tc>
          <w:tcPr>
            <w:tcW w:w="1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jc w:val="center"/>
              <w:rPr>
                <w:b/>
                <w:bCs/>
                <w:lang w:val="ru-RU"/>
              </w:rPr>
            </w:pPr>
            <w:r w:rsidRPr="000559B7">
              <w:rPr>
                <w:b/>
                <w:bCs/>
                <w:lang w:val="ru-RU"/>
              </w:rPr>
              <w:lastRenderedPageBreak/>
              <w:t>Стороны</w:t>
            </w:r>
          </w:p>
        </w:tc>
        <w:tc>
          <w:tcPr>
            <w:tcW w:w="611" w:type="pct"/>
            <w:tcBorders>
              <w:top w:val="single" w:sz="4" w:space="0" w:color="auto"/>
              <w:left w:val="nil"/>
              <w:bottom w:val="single" w:sz="4" w:space="0" w:color="auto"/>
              <w:right w:val="single" w:sz="4" w:space="0" w:color="auto"/>
            </w:tcBorders>
            <w:shd w:val="clear" w:color="auto" w:fill="auto"/>
            <w:vAlign w:val="center"/>
            <w:hideMark/>
          </w:tcPr>
          <w:p w:rsidR="006F27B8" w:rsidRPr="000559B7" w:rsidRDefault="006F27B8" w:rsidP="00AC73D1">
            <w:pPr>
              <w:jc w:val="center"/>
              <w:rPr>
                <w:b/>
                <w:bCs/>
                <w:lang w:val="ru-RU"/>
              </w:rPr>
            </w:pPr>
            <w:r w:rsidRPr="000559B7">
              <w:rPr>
                <w:b/>
                <w:bCs/>
                <w:lang w:val="ru-RU"/>
              </w:rPr>
              <w:t>Шкала взносов за 2016-2018 годы</w:t>
            </w:r>
          </w:p>
        </w:tc>
        <w:tc>
          <w:tcPr>
            <w:tcW w:w="764" w:type="pct"/>
            <w:tcBorders>
              <w:top w:val="single" w:sz="4" w:space="0" w:color="auto"/>
              <w:left w:val="nil"/>
              <w:bottom w:val="single" w:sz="4" w:space="0" w:color="auto"/>
              <w:right w:val="single" w:sz="4" w:space="0" w:color="auto"/>
            </w:tcBorders>
            <w:shd w:val="clear" w:color="auto" w:fill="auto"/>
            <w:vAlign w:val="center"/>
            <w:hideMark/>
          </w:tcPr>
          <w:p w:rsidR="006F27B8" w:rsidRPr="000559B7" w:rsidRDefault="006F27B8" w:rsidP="00AC73D1">
            <w:pPr>
              <w:jc w:val="center"/>
              <w:rPr>
                <w:b/>
                <w:bCs/>
                <w:lang w:val="ru-RU"/>
              </w:rPr>
            </w:pPr>
            <w:r w:rsidRPr="000559B7">
              <w:rPr>
                <w:b/>
                <w:bCs/>
                <w:lang w:val="ru-RU"/>
              </w:rPr>
              <w:t>Шкала с предельным взносом в 22%; ни одна НРС не вносит более 0,01%</w:t>
            </w:r>
          </w:p>
        </w:tc>
        <w:tc>
          <w:tcPr>
            <w:tcW w:w="612" w:type="pct"/>
            <w:tcBorders>
              <w:top w:val="single" w:sz="4" w:space="0" w:color="auto"/>
              <w:left w:val="nil"/>
              <w:bottom w:val="single" w:sz="4" w:space="0" w:color="auto"/>
              <w:right w:val="single" w:sz="4" w:space="0" w:color="auto"/>
            </w:tcBorders>
            <w:shd w:val="clear" w:color="auto" w:fill="auto"/>
            <w:vAlign w:val="center"/>
            <w:hideMark/>
          </w:tcPr>
          <w:p w:rsidR="00AC73D1" w:rsidRDefault="006F27B8" w:rsidP="001C6C0F">
            <w:pPr>
              <w:jc w:val="center"/>
              <w:rPr>
                <w:b/>
                <w:bCs/>
                <w:lang w:val="fr-FR"/>
              </w:rPr>
            </w:pPr>
            <w:r w:rsidRPr="000559B7">
              <w:rPr>
                <w:b/>
                <w:bCs/>
                <w:lang w:val="ru-RU"/>
              </w:rPr>
              <w:t xml:space="preserve">Взнос </w:t>
            </w:r>
            <w:proofErr w:type="gramStart"/>
            <w:r w:rsidRPr="000559B7">
              <w:rPr>
                <w:b/>
                <w:bCs/>
                <w:lang w:val="ru-RU"/>
              </w:rPr>
              <w:t>на</w:t>
            </w:r>
            <w:proofErr w:type="gramEnd"/>
          </w:p>
          <w:p w:rsidR="006F27B8" w:rsidRPr="000559B7" w:rsidRDefault="006F27B8" w:rsidP="001C6C0F">
            <w:pPr>
              <w:jc w:val="center"/>
              <w:rPr>
                <w:b/>
                <w:bCs/>
                <w:lang w:val="ru-RU"/>
              </w:rPr>
            </w:pPr>
            <w:r w:rsidRPr="000559B7">
              <w:rPr>
                <w:b/>
                <w:bCs/>
                <w:lang w:val="ru-RU"/>
              </w:rPr>
              <w:t>1 января</w:t>
            </w:r>
            <w:r w:rsidRPr="000559B7">
              <w:rPr>
                <w:b/>
                <w:bCs/>
                <w:lang w:val="ru-RU"/>
              </w:rPr>
              <w:br/>
              <w:t xml:space="preserve"> 2019 г.</w:t>
            </w:r>
          </w:p>
        </w:tc>
        <w:tc>
          <w:tcPr>
            <w:tcW w:w="612" w:type="pct"/>
            <w:tcBorders>
              <w:top w:val="single" w:sz="4" w:space="0" w:color="auto"/>
              <w:left w:val="nil"/>
              <w:bottom w:val="single" w:sz="4" w:space="0" w:color="auto"/>
              <w:right w:val="single" w:sz="4" w:space="0" w:color="auto"/>
            </w:tcBorders>
            <w:shd w:val="clear" w:color="auto" w:fill="auto"/>
            <w:vAlign w:val="center"/>
            <w:hideMark/>
          </w:tcPr>
          <w:p w:rsidR="00AC73D1" w:rsidRDefault="006F27B8" w:rsidP="001C6C0F">
            <w:pPr>
              <w:jc w:val="center"/>
              <w:rPr>
                <w:b/>
                <w:bCs/>
                <w:lang w:val="fr-FR"/>
              </w:rPr>
            </w:pPr>
            <w:r w:rsidRPr="000559B7">
              <w:rPr>
                <w:b/>
                <w:bCs/>
                <w:lang w:val="ru-RU"/>
              </w:rPr>
              <w:t xml:space="preserve">Взнос </w:t>
            </w:r>
            <w:proofErr w:type="gramStart"/>
            <w:r w:rsidRPr="000559B7">
              <w:rPr>
                <w:b/>
                <w:bCs/>
                <w:lang w:val="ru-RU"/>
              </w:rPr>
              <w:t>на</w:t>
            </w:r>
            <w:proofErr w:type="gramEnd"/>
            <w:r w:rsidRPr="000559B7">
              <w:rPr>
                <w:b/>
                <w:bCs/>
                <w:lang w:val="ru-RU"/>
              </w:rPr>
              <w:t xml:space="preserve"> </w:t>
            </w:r>
          </w:p>
          <w:p w:rsidR="006F27B8" w:rsidRPr="000559B7" w:rsidRDefault="006F27B8" w:rsidP="001C6C0F">
            <w:pPr>
              <w:jc w:val="center"/>
              <w:rPr>
                <w:b/>
                <w:bCs/>
                <w:lang w:val="ru-RU"/>
              </w:rPr>
            </w:pPr>
            <w:r w:rsidRPr="000559B7">
              <w:rPr>
                <w:b/>
                <w:bCs/>
                <w:lang w:val="ru-RU"/>
              </w:rPr>
              <w:t xml:space="preserve">1 января </w:t>
            </w:r>
            <w:r w:rsidRPr="000559B7">
              <w:rPr>
                <w:b/>
                <w:bCs/>
                <w:lang w:val="ru-RU"/>
              </w:rPr>
              <w:br/>
              <w:t>2020 г.</w:t>
            </w:r>
          </w:p>
        </w:tc>
        <w:tc>
          <w:tcPr>
            <w:tcW w:w="968" w:type="pct"/>
            <w:tcBorders>
              <w:top w:val="single" w:sz="4" w:space="0" w:color="auto"/>
              <w:left w:val="nil"/>
              <w:bottom w:val="single" w:sz="4" w:space="0" w:color="auto"/>
              <w:right w:val="single" w:sz="4" w:space="0" w:color="auto"/>
            </w:tcBorders>
            <w:shd w:val="clear" w:color="auto" w:fill="auto"/>
            <w:vAlign w:val="center"/>
            <w:hideMark/>
          </w:tcPr>
          <w:p w:rsidR="006F27B8" w:rsidRPr="000559B7" w:rsidRDefault="006F27B8" w:rsidP="001C6C0F">
            <w:pPr>
              <w:jc w:val="center"/>
              <w:rPr>
                <w:b/>
                <w:bCs/>
                <w:lang w:val="ru-RU"/>
              </w:rPr>
            </w:pPr>
            <w:r w:rsidRPr="000559B7">
              <w:rPr>
                <w:b/>
                <w:bCs/>
                <w:lang w:val="ru-RU"/>
              </w:rPr>
              <w:t>Итого 2019-2020 гг.</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Ирландия</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0,335</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0,419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49 612</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52 609</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102 222</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Исландия</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0,023</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0,029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3406</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3612</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7018</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Испания</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2,443</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3,054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361 800</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383 654</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745 454</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Италия</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3,748</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4,685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555 066</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588 594</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1 143 661</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Кабо-Верде</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0,001</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0,001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148</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157</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305</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Казахстан</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0,191</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0,239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28 286</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29 995</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58 282</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Камбоджа</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0,004</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0,005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592</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628</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1221</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Камерун</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0,010</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0,013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1481</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1570</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3051</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Канада</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2,921</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3,652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432 590</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458 720</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891 311</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Катар</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0,269</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0,336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39 838</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42 244</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82 082</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Кения</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0,018</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0,023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2666</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2827</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5492</w:t>
            </w:r>
          </w:p>
        </w:tc>
      </w:tr>
      <w:tr w:rsidR="006F27B8" w:rsidRPr="000559B7" w:rsidTr="00FE3DCB">
        <w:trPr>
          <w:trHeight w:val="62"/>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Кипр</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0,043</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0,054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6368</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6753</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13 121</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Кирибати</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0,001</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0,001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148</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157</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305</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Китай</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7,921</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9,902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1 173 073</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1 243 932</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2 417 005</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Колумбия</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0,322</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0,403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47 687</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50 568</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98 255</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Коморские Острова</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0,001</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0,001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148</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157</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305</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Конго</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0,006</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0,008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889</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942</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1831</w:t>
            </w:r>
          </w:p>
        </w:tc>
      </w:tr>
      <w:tr w:rsidR="006F27B8" w:rsidRPr="000559B7" w:rsidTr="00FE3DCB">
        <w:trPr>
          <w:trHeight w:val="552"/>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Корейская Народно-Демократическая Республика</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0,005</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0,006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740</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785</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1526</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Коста-Рика</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0,047</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0,059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6961</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7381</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14 342</w:t>
            </w:r>
          </w:p>
        </w:tc>
      </w:tr>
      <w:tr w:rsidR="006F27B8" w:rsidRPr="000559B7" w:rsidTr="00FE3DCB">
        <w:trPr>
          <w:trHeight w:val="249"/>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proofErr w:type="spellStart"/>
            <w:r w:rsidRPr="000559B7">
              <w:rPr>
                <w:lang w:val="ru-RU"/>
              </w:rPr>
              <w:t>Кот-д'Ивуар</w:t>
            </w:r>
            <w:proofErr w:type="spellEnd"/>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0,009</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0,011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1333</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1413</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2746</w:t>
            </w:r>
          </w:p>
        </w:tc>
      </w:tr>
      <w:tr w:rsidR="006F27B8" w:rsidRPr="000559B7" w:rsidTr="00FE3DCB">
        <w:trPr>
          <w:trHeight w:val="204"/>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Куба</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0,065</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0,081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9626</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10 208</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19 834</w:t>
            </w:r>
          </w:p>
        </w:tc>
      </w:tr>
    </w:tbl>
    <w:p w:rsidR="00FE3DCB" w:rsidRDefault="00FE3DCB">
      <w:r>
        <w:br w:type="page"/>
      </w:r>
    </w:p>
    <w:tbl>
      <w:tblPr>
        <w:tblW w:w="5000" w:type="pct"/>
        <w:tblLook w:val="04A0"/>
      </w:tblPr>
      <w:tblGrid>
        <w:gridCol w:w="3950"/>
        <w:gridCol w:w="1686"/>
        <w:gridCol w:w="2107"/>
        <w:gridCol w:w="1688"/>
        <w:gridCol w:w="1688"/>
        <w:gridCol w:w="2669"/>
      </w:tblGrid>
      <w:tr w:rsidR="006F27B8" w:rsidRPr="000559B7" w:rsidTr="00FE3DCB">
        <w:trPr>
          <w:trHeight w:val="1404"/>
        </w:trPr>
        <w:tc>
          <w:tcPr>
            <w:tcW w:w="1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jc w:val="center"/>
              <w:rPr>
                <w:b/>
                <w:bCs/>
                <w:lang w:val="ru-RU"/>
              </w:rPr>
            </w:pPr>
            <w:r w:rsidRPr="000559B7">
              <w:rPr>
                <w:b/>
                <w:bCs/>
                <w:lang w:val="ru-RU"/>
              </w:rPr>
              <w:lastRenderedPageBreak/>
              <w:t>Стороны</w:t>
            </w:r>
          </w:p>
        </w:tc>
        <w:tc>
          <w:tcPr>
            <w:tcW w:w="611" w:type="pct"/>
            <w:tcBorders>
              <w:top w:val="single" w:sz="4" w:space="0" w:color="auto"/>
              <w:left w:val="nil"/>
              <w:bottom w:val="single" w:sz="4" w:space="0" w:color="auto"/>
              <w:right w:val="single" w:sz="4" w:space="0" w:color="auto"/>
            </w:tcBorders>
            <w:shd w:val="clear" w:color="auto" w:fill="auto"/>
            <w:vAlign w:val="center"/>
            <w:hideMark/>
          </w:tcPr>
          <w:p w:rsidR="006F27B8" w:rsidRPr="000559B7" w:rsidRDefault="006F27B8" w:rsidP="00AC73D1">
            <w:pPr>
              <w:jc w:val="center"/>
              <w:rPr>
                <w:b/>
                <w:bCs/>
                <w:lang w:val="ru-RU"/>
              </w:rPr>
            </w:pPr>
            <w:r w:rsidRPr="000559B7">
              <w:rPr>
                <w:b/>
                <w:bCs/>
                <w:lang w:val="ru-RU"/>
              </w:rPr>
              <w:t>Шкала взносов за 2016-2018 годы</w:t>
            </w:r>
          </w:p>
        </w:tc>
        <w:tc>
          <w:tcPr>
            <w:tcW w:w="764" w:type="pct"/>
            <w:tcBorders>
              <w:top w:val="single" w:sz="4" w:space="0" w:color="auto"/>
              <w:left w:val="nil"/>
              <w:bottom w:val="single" w:sz="4" w:space="0" w:color="auto"/>
              <w:right w:val="single" w:sz="4" w:space="0" w:color="auto"/>
            </w:tcBorders>
            <w:shd w:val="clear" w:color="auto" w:fill="auto"/>
            <w:vAlign w:val="center"/>
            <w:hideMark/>
          </w:tcPr>
          <w:p w:rsidR="006F27B8" w:rsidRPr="000559B7" w:rsidRDefault="006F27B8" w:rsidP="00AC73D1">
            <w:pPr>
              <w:jc w:val="center"/>
              <w:rPr>
                <w:b/>
                <w:bCs/>
                <w:lang w:val="ru-RU"/>
              </w:rPr>
            </w:pPr>
            <w:r w:rsidRPr="000559B7">
              <w:rPr>
                <w:b/>
                <w:bCs/>
                <w:lang w:val="ru-RU"/>
              </w:rPr>
              <w:t>Шкала с предельным взносом в 22%; ни одна НРС не вносит более 0,01%</w:t>
            </w:r>
          </w:p>
        </w:tc>
        <w:tc>
          <w:tcPr>
            <w:tcW w:w="612" w:type="pct"/>
            <w:tcBorders>
              <w:top w:val="single" w:sz="4" w:space="0" w:color="auto"/>
              <w:left w:val="nil"/>
              <w:bottom w:val="single" w:sz="4" w:space="0" w:color="auto"/>
              <w:right w:val="single" w:sz="4" w:space="0" w:color="auto"/>
            </w:tcBorders>
            <w:shd w:val="clear" w:color="auto" w:fill="auto"/>
            <w:vAlign w:val="center"/>
            <w:hideMark/>
          </w:tcPr>
          <w:p w:rsidR="00AC73D1" w:rsidRDefault="006F27B8" w:rsidP="001C6C0F">
            <w:pPr>
              <w:jc w:val="center"/>
              <w:rPr>
                <w:b/>
                <w:bCs/>
                <w:lang w:val="fr-FR"/>
              </w:rPr>
            </w:pPr>
            <w:r w:rsidRPr="000559B7">
              <w:rPr>
                <w:b/>
                <w:bCs/>
                <w:lang w:val="ru-RU"/>
              </w:rPr>
              <w:t xml:space="preserve">Взнос </w:t>
            </w:r>
            <w:proofErr w:type="gramStart"/>
            <w:r w:rsidRPr="000559B7">
              <w:rPr>
                <w:b/>
                <w:bCs/>
                <w:lang w:val="ru-RU"/>
              </w:rPr>
              <w:t>на</w:t>
            </w:r>
            <w:proofErr w:type="gramEnd"/>
            <w:r w:rsidRPr="000559B7">
              <w:rPr>
                <w:b/>
                <w:bCs/>
                <w:lang w:val="ru-RU"/>
              </w:rPr>
              <w:t xml:space="preserve"> </w:t>
            </w:r>
          </w:p>
          <w:p w:rsidR="006F27B8" w:rsidRPr="000559B7" w:rsidRDefault="006F27B8" w:rsidP="001C6C0F">
            <w:pPr>
              <w:jc w:val="center"/>
              <w:rPr>
                <w:b/>
                <w:bCs/>
                <w:lang w:val="ru-RU"/>
              </w:rPr>
            </w:pPr>
            <w:r w:rsidRPr="000559B7">
              <w:rPr>
                <w:b/>
                <w:bCs/>
                <w:lang w:val="ru-RU"/>
              </w:rPr>
              <w:t xml:space="preserve">1 января </w:t>
            </w:r>
            <w:r w:rsidRPr="000559B7">
              <w:rPr>
                <w:b/>
                <w:bCs/>
                <w:lang w:val="ru-RU"/>
              </w:rPr>
              <w:br/>
              <w:t>2019 г.</w:t>
            </w:r>
          </w:p>
        </w:tc>
        <w:tc>
          <w:tcPr>
            <w:tcW w:w="612" w:type="pct"/>
            <w:tcBorders>
              <w:top w:val="single" w:sz="4" w:space="0" w:color="auto"/>
              <w:left w:val="nil"/>
              <w:bottom w:val="single" w:sz="4" w:space="0" w:color="auto"/>
              <w:right w:val="single" w:sz="4" w:space="0" w:color="auto"/>
            </w:tcBorders>
            <w:shd w:val="clear" w:color="auto" w:fill="auto"/>
            <w:vAlign w:val="center"/>
            <w:hideMark/>
          </w:tcPr>
          <w:p w:rsidR="00AC73D1" w:rsidRDefault="006F27B8" w:rsidP="001C6C0F">
            <w:pPr>
              <w:jc w:val="center"/>
              <w:rPr>
                <w:b/>
                <w:bCs/>
                <w:lang w:val="fr-FR"/>
              </w:rPr>
            </w:pPr>
            <w:r w:rsidRPr="000559B7">
              <w:rPr>
                <w:b/>
                <w:bCs/>
                <w:lang w:val="ru-RU"/>
              </w:rPr>
              <w:t xml:space="preserve">Взнос </w:t>
            </w:r>
            <w:proofErr w:type="gramStart"/>
            <w:r w:rsidRPr="000559B7">
              <w:rPr>
                <w:b/>
                <w:bCs/>
                <w:lang w:val="ru-RU"/>
              </w:rPr>
              <w:t>на</w:t>
            </w:r>
            <w:proofErr w:type="gramEnd"/>
            <w:r w:rsidRPr="000559B7">
              <w:rPr>
                <w:b/>
                <w:bCs/>
                <w:lang w:val="ru-RU"/>
              </w:rPr>
              <w:t xml:space="preserve"> </w:t>
            </w:r>
          </w:p>
          <w:p w:rsidR="006F27B8" w:rsidRPr="000559B7" w:rsidRDefault="006F27B8" w:rsidP="001C6C0F">
            <w:pPr>
              <w:jc w:val="center"/>
              <w:rPr>
                <w:b/>
                <w:bCs/>
                <w:lang w:val="ru-RU"/>
              </w:rPr>
            </w:pPr>
            <w:r w:rsidRPr="000559B7">
              <w:rPr>
                <w:b/>
                <w:bCs/>
                <w:lang w:val="ru-RU"/>
              </w:rPr>
              <w:t xml:space="preserve">1 января </w:t>
            </w:r>
            <w:r w:rsidRPr="000559B7">
              <w:rPr>
                <w:b/>
                <w:bCs/>
                <w:lang w:val="ru-RU"/>
              </w:rPr>
              <w:br/>
              <w:t>2020 г.</w:t>
            </w:r>
          </w:p>
        </w:tc>
        <w:tc>
          <w:tcPr>
            <w:tcW w:w="968" w:type="pct"/>
            <w:tcBorders>
              <w:top w:val="single" w:sz="4" w:space="0" w:color="auto"/>
              <w:left w:val="nil"/>
              <w:bottom w:val="single" w:sz="4" w:space="0" w:color="auto"/>
              <w:right w:val="single" w:sz="4" w:space="0" w:color="auto"/>
            </w:tcBorders>
            <w:shd w:val="clear" w:color="auto" w:fill="auto"/>
            <w:vAlign w:val="center"/>
            <w:hideMark/>
          </w:tcPr>
          <w:p w:rsidR="006F27B8" w:rsidRPr="000559B7" w:rsidRDefault="006F27B8" w:rsidP="001C6C0F">
            <w:pPr>
              <w:jc w:val="center"/>
              <w:rPr>
                <w:b/>
                <w:bCs/>
                <w:lang w:val="ru-RU"/>
              </w:rPr>
            </w:pPr>
            <w:r w:rsidRPr="000559B7">
              <w:rPr>
                <w:b/>
                <w:bCs/>
                <w:lang w:val="ru-RU"/>
              </w:rPr>
              <w:t>Итого 2019-2020 гг.</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Кувейт</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0,285</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0,356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42 208</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44 757</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86 965</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Кыргызстан</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0,002</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0,003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296</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314</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610</w:t>
            </w:r>
          </w:p>
        </w:tc>
      </w:tr>
      <w:tr w:rsidR="006F27B8" w:rsidRPr="000559B7" w:rsidTr="00FE3DCB">
        <w:trPr>
          <w:trHeight w:val="552"/>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Лаосская Народно-Демократическая Республика</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0,003</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0,004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444</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471</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915</w:t>
            </w:r>
          </w:p>
        </w:tc>
      </w:tr>
      <w:tr w:rsidR="006F27B8" w:rsidRPr="000559B7" w:rsidTr="00FE3DCB">
        <w:trPr>
          <w:trHeight w:val="276"/>
        </w:trPr>
        <w:tc>
          <w:tcPr>
            <w:tcW w:w="1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Латвия</w:t>
            </w:r>
          </w:p>
        </w:tc>
        <w:tc>
          <w:tcPr>
            <w:tcW w:w="611" w:type="pct"/>
            <w:tcBorders>
              <w:top w:val="single" w:sz="4" w:space="0" w:color="auto"/>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0,050</w:t>
            </w:r>
          </w:p>
        </w:tc>
        <w:tc>
          <w:tcPr>
            <w:tcW w:w="764" w:type="pct"/>
            <w:tcBorders>
              <w:top w:val="single" w:sz="4" w:space="0" w:color="auto"/>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0,063 </w:t>
            </w:r>
          </w:p>
        </w:tc>
        <w:tc>
          <w:tcPr>
            <w:tcW w:w="612" w:type="pct"/>
            <w:tcBorders>
              <w:top w:val="single" w:sz="4" w:space="0" w:color="auto"/>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7405</w:t>
            </w:r>
          </w:p>
        </w:tc>
        <w:tc>
          <w:tcPr>
            <w:tcW w:w="612" w:type="pct"/>
            <w:tcBorders>
              <w:top w:val="single" w:sz="4" w:space="0" w:color="auto"/>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7852</w:t>
            </w:r>
          </w:p>
        </w:tc>
        <w:tc>
          <w:tcPr>
            <w:tcW w:w="968" w:type="pct"/>
            <w:tcBorders>
              <w:top w:val="single" w:sz="4" w:space="0" w:color="auto"/>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15 257</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Лесото</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0,001</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0,001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148</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157</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305</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Либерия</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0,001</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0,001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148</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157</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305</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Ливан</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0,046</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0,058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6812</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7224</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14 036</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Ливия</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0,125</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0,156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18 512</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19 630</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38 142</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Литва</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0,072</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0,090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10 663</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11 307</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21 970</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Лихтенштейн</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0,007</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0,009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1037</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1099</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2136</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Люксембург</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0,064</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0,080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9478</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10 051</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19 529</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Маврикий</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0,012</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0,015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1777</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1885</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3662</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Мавритания</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0,002</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0,003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296</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314</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610</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Мадагаскар</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0,003</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0,004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444</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471</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915</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Малави</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0,002</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0,003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296</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314</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610</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Малайзия</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0,322</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0,403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47 687</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50 568</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98 255</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Мали</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0,003</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0,004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444</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471</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915</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Мальдивские Острова</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0,002</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0,003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296</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314</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610</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Мальта</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0,016</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0,020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2370</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2513</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4882</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Марокко</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0,054</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0,068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7997</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8480</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16 477</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Маршалловы Острова</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0,001</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0,001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148</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157</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305</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Мексика</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1,435</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1,794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212 519</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225 356</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437 874</w:t>
            </w:r>
          </w:p>
        </w:tc>
      </w:tr>
    </w:tbl>
    <w:p w:rsidR="004C451A" w:rsidRDefault="004C451A">
      <w:r>
        <w:br w:type="page"/>
      </w:r>
    </w:p>
    <w:tbl>
      <w:tblPr>
        <w:tblW w:w="5000" w:type="pct"/>
        <w:tblLook w:val="04A0"/>
      </w:tblPr>
      <w:tblGrid>
        <w:gridCol w:w="3950"/>
        <w:gridCol w:w="1686"/>
        <w:gridCol w:w="2107"/>
        <w:gridCol w:w="1688"/>
        <w:gridCol w:w="1688"/>
        <w:gridCol w:w="2669"/>
      </w:tblGrid>
      <w:tr w:rsidR="006F27B8" w:rsidRPr="000559B7" w:rsidTr="00FE3DCB">
        <w:trPr>
          <w:trHeight w:val="1404"/>
        </w:trPr>
        <w:tc>
          <w:tcPr>
            <w:tcW w:w="1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jc w:val="center"/>
              <w:rPr>
                <w:b/>
                <w:bCs/>
                <w:lang w:val="ru-RU"/>
              </w:rPr>
            </w:pPr>
            <w:r w:rsidRPr="000559B7">
              <w:rPr>
                <w:b/>
                <w:bCs/>
                <w:lang w:val="ru-RU"/>
              </w:rPr>
              <w:lastRenderedPageBreak/>
              <w:t>Стороны</w:t>
            </w:r>
          </w:p>
        </w:tc>
        <w:tc>
          <w:tcPr>
            <w:tcW w:w="611" w:type="pct"/>
            <w:tcBorders>
              <w:top w:val="single" w:sz="4" w:space="0" w:color="auto"/>
              <w:left w:val="nil"/>
              <w:bottom w:val="single" w:sz="4" w:space="0" w:color="auto"/>
              <w:right w:val="single" w:sz="4" w:space="0" w:color="auto"/>
            </w:tcBorders>
            <w:shd w:val="clear" w:color="auto" w:fill="auto"/>
            <w:vAlign w:val="center"/>
            <w:hideMark/>
          </w:tcPr>
          <w:p w:rsidR="006F27B8" w:rsidRPr="000559B7" w:rsidRDefault="006F27B8" w:rsidP="00AC73D1">
            <w:pPr>
              <w:jc w:val="center"/>
              <w:rPr>
                <w:b/>
                <w:bCs/>
                <w:lang w:val="ru-RU"/>
              </w:rPr>
            </w:pPr>
            <w:r w:rsidRPr="000559B7">
              <w:rPr>
                <w:b/>
                <w:bCs/>
                <w:lang w:val="ru-RU"/>
              </w:rPr>
              <w:t>Шкала взносов за 2016-2018 годы</w:t>
            </w:r>
          </w:p>
        </w:tc>
        <w:tc>
          <w:tcPr>
            <w:tcW w:w="764" w:type="pct"/>
            <w:tcBorders>
              <w:top w:val="single" w:sz="4" w:space="0" w:color="auto"/>
              <w:left w:val="nil"/>
              <w:bottom w:val="single" w:sz="4" w:space="0" w:color="auto"/>
              <w:right w:val="single" w:sz="4" w:space="0" w:color="auto"/>
            </w:tcBorders>
            <w:shd w:val="clear" w:color="auto" w:fill="auto"/>
            <w:vAlign w:val="center"/>
            <w:hideMark/>
          </w:tcPr>
          <w:p w:rsidR="006F27B8" w:rsidRPr="000559B7" w:rsidRDefault="006F27B8" w:rsidP="00AC73D1">
            <w:pPr>
              <w:jc w:val="center"/>
              <w:rPr>
                <w:b/>
                <w:bCs/>
                <w:lang w:val="ru-RU"/>
              </w:rPr>
            </w:pPr>
            <w:r w:rsidRPr="000559B7">
              <w:rPr>
                <w:b/>
                <w:bCs/>
                <w:lang w:val="ru-RU"/>
              </w:rPr>
              <w:t>Шкала с предельным взносом в 22%; ни одна НРС не вносит более 0,01%</w:t>
            </w:r>
          </w:p>
        </w:tc>
        <w:tc>
          <w:tcPr>
            <w:tcW w:w="612" w:type="pct"/>
            <w:tcBorders>
              <w:top w:val="single" w:sz="4" w:space="0" w:color="auto"/>
              <w:left w:val="nil"/>
              <w:bottom w:val="single" w:sz="4" w:space="0" w:color="auto"/>
              <w:right w:val="single" w:sz="4" w:space="0" w:color="auto"/>
            </w:tcBorders>
            <w:shd w:val="clear" w:color="auto" w:fill="auto"/>
            <w:vAlign w:val="center"/>
            <w:hideMark/>
          </w:tcPr>
          <w:p w:rsidR="00AC73D1" w:rsidRDefault="006F27B8" w:rsidP="001C6C0F">
            <w:pPr>
              <w:jc w:val="center"/>
              <w:rPr>
                <w:b/>
                <w:bCs/>
                <w:lang w:val="fr-FR"/>
              </w:rPr>
            </w:pPr>
            <w:r w:rsidRPr="000559B7">
              <w:rPr>
                <w:b/>
                <w:bCs/>
                <w:lang w:val="ru-RU"/>
              </w:rPr>
              <w:t xml:space="preserve">Взнос </w:t>
            </w:r>
            <w:proofErr w:type="gramStart"/>
            <w:r w:rsidRPr="000559B7">
              <w:rPr>
                <w:b/>
                <w:bCs/>
                <w:lang w:val="ru-RU"/>
              </w:rPr>
              <w:t>на</w:t>
            </w:r>
            <w:proofErr w:type="gramEnd"/>
          </w:p>
          <w:p w:rsidR="006F27B8" w:rsidRPr="000559B7" w:rsidRDefault="006F27B8" w:rsidP="001C6C0F">
            <w:pPr>
              <w:jc w:val="center"/>
              <w:rPr>
                <w:b/>
                <w:bCs/>
                <w:lang w:val="ru-RU"/>
              </w:rPr>
            </w:pPr>
            <w:r w:rsidRPr="000559B7">
              <w:rPr>
                <w:b/>
                <w:bCs/>
                <w:lang w:val="ru-RU"/>
              </w:rPr>
              <w:t>1 января</w:t>
            </w:r>
            <w:r w:rsidRPr="000559B7">
              <w:rPr>
                <w:b/>
                <w:bCs/>
                <w:lang w:val="ru-RU"/>
              </w:rPr>
              <w:br/>
              <w:t xml:space="preserve"> 2019 г.</w:t>
            </w:r>
          </w:p>
        </w:tc>
        <w:tc>
          <w:tcPr>
            <w:tcW w:w="612" w:type="pct"/>
            <w:tcBorders>
              <w:top w:val="single" w:sz="4" w:space="0" w:color="auto"/>
              <w:left w:val="nil"/>
              <w:bottom w:val="single" w:sz="4" w:space="0" w:color="auto"/>
              <w:right w:val="single" w:sz="4" w:space="0" w:color="auto"/>
            </w:tcBorders>
            <w:shd w:val="clear" w:color="auto" w:fill="auto"/>
            <w:vAlign w:val="center"/>
            <w:hideMark/>
          </w:tcPr>
          <w:p w:rsidR="00AC73D1" w:rsidRDefault="006F27B8" w:rsidP="001C6C0F">
            <w:pPr>
              <w:jc w:val="center"/>
              <w:rPr>
                <w:b/>
                <w:bCs/>
                <w:lang w:val="fr-FR"/>
              </w:rPr>
            </w:pPr>
            <w:r w:rsidRPr="000559B7">
              <w:rPr>
                <w:b/>
                <w:bCs/>
                <w:lang w:val="ru-RU"/>
              </w:rPr>
              <w:t xml:space="preserve">Взнос </w:t>
            </w:r>
            <w:proofErr w:type="gramStart"/>
            <w:r w:rsidRPr="000559B7">
              <w:rPr>
                <w:b/>
                <w:bCs/>
                <w:lang w:val="ru-RU"/>
              </w:rPr>
              <w:t>на</w:t>
            </w:r>
            <w:proofErr w:type="gramEnd"/>
            <w:r w:rsidRPr="000559B7">
              <w:rPr>
                <w:b/>
                <w:bCs/>
                <w:lang w:val="ru-RU"/>
              </w:rPr>
              <w:t xml:space="preserve"> </w:t>
            </w:r>
          </w:p>
          <w:p w:rsidR="006F27B8" w:rsidRPr="000559B7" w:rsidRDefault="006F27B8" w:rsidP="001C6C0F">
            <w:pPr>
              <w:jc w:val="center"/>
              <w:rPr>
                <w:b/>
                <w:bCs/>
                <w:lang w:val="ru-RU"/>
              </w:rPr>
            </w:pPr>
            <w:r w:rsidRPr="000559B7">
              <w:rPr>
                <w:b/>
                <w:bCs/>
                <w:lang w:val="ru-RU"/>
              </w:rPr>
              <w:t xml:space="preserve">1 января </w:t>
            </w:r>
            <w:r w:rsidRPr="000559B7">
              <w:rPr>
                <w:b/>
                <w:bCs/>
                <w:lang w:val="ru-RU"/>
              </w:rPr>
              <w:br/>
              <w:t>2020 г.</w:t>
            </w:r>
          </w:p>
        </w:tc>
        <w:tc>
          <w:tcPr>
            <w:tcW w:w="968" w:type="pct"/>
            <w:tcBorders>
              <w:top w:val="single" w:sz="4" w:space="0" w:color="auto"/>
              <w:left w:val="nil"/>
              <w:bottom w:val="single" w:sz="4" w:space="0" w:color="auto"/>
              <w:right w:val="single" w:sz="4" w:space="0" w:color="auto"/>
            </w:tcBorders>
            <w:shd w:val="clear" w:color="auto" w:fill="auto"/>
            <w:vAlign w:val="center"/>
            <w:hideMark/>
          </w:tcPr>
          <w:p w:rsidR="006F27B8" w:rsidRPr="000559B7" w:rsidRDefault="006F27B8" w:rsidP="001C6C0F">
            <w:pPr>
              <w:jc w:val="center"/>
              <w:rPr>
                <w:b/>
                <w:bCs/>
                <w:lang w:val="ru-RU"/>
              </w:rPr>
            </w:pPr>
            <w:r w:rsidRPr="000559B7">
              <w:rPr>
                <w:b/>
                <w:bCs/>
                <w:lang w:val="ru-RU"/>
              </w:rPr>
              <w:t>Итого 2019-2020 гг.</w:t>
            </w:r>
          </w:p>
        </w:tc>
      </w:tr>
      <w:tr w:rsidR="006F27B8" w:rsidRPr="000559B7" w:rsidTr="00AC73D1">
        <w:trPr>
          <w:trHeight w:val="309"/>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Микронезия (Федеративные Штаты)</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0,001</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0,001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148</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157</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305</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Мозамбик</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0,004</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0,005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592</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628</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1221</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Монако</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0,010</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0,013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1481</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1570</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3051</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Монголия</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0,005</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0,006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740</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785</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1526</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Мьянма</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0,010</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0,010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1185</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1256</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2441</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Намибия</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0,010</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0,013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1481</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1570</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3051</w:t>
            </w:r>
          </w:p>
        </w:tc>
      </w:tr>
      <w:tr w:rsidR="006F27B8" w:rsidRPr="000559B7" w:rsidTr="00FE3DCB">
        <w:trPr>
          <w:trHeight w:val="276"/>
        </w:trPr>
        <w:tc>
          <w:tcPr>
            <w:tcW w:w="1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Науру</w:t>
            </w:r>
          </w:p>
        </w:tc>
        <w:tc>
          <w:tcPr>
            <w:tcW w:w="611" w:type="pct"/>
            <w:tcBorders>
              <w:top w:val="single" w:sz="4" w:space="0" w:color="auto"/>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0,001</w:t>
            </w:r>
          </w:p>
        </w:tc>
        <w:tc>
          <w:tcPr>
            <w:tcW w:w="764" w:type="pct"/>
            <w:tcBorders>
              <w:top w:val="single" w:sz="4" w:space="0" w:color="auto"/>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0,001 </w:t>
            </w:r>
          </w:p>
        </w:tc>
        <w:tc>
          <w:tcPr>
            <w:tcW w:w="612" w:type="pct"/>
            <w:tcBorders>
              <w:top w:val="single" w:sz="4" w:space="0" w:color="auto"/>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148</w:t>
            </w:r>
          </w:p>
        </w:tc>
        <w:tc>
          <w:tcPr>
            <w:tcW w:w="612" w:type="pct"/>
            <w:tcBorders>
              <w:top w:val="single" w:sz="4" w:space="0" w:color="auto"/>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157</w:t>
            </w:r>
          </w:p>
        </w:tc>
        <w:tc>
          <w:tcPr>
            <w:tcW w:w="968" w:type="pct"/>
            <w:tcBorders>
              <w:top w:val="single" w:sz="4" w:space="0" w:color="auto"/>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305</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Непал</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0,006</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0,008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889</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942</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1831</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Нигер</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0,002</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0,003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296</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314</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610</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Нигерия</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0,209</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0,261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30 952</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32 822</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63 774</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Нидерланды</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1,482</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1,853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219 479</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232 737</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452 216</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Никарагуа</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0,004</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0,005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592</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628</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1221</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proofErr w:type="spellStart"/>
            <w:r w:rsidRPr="000559B7">
              <w:rPr>
                <w:lang w:val="ru-RU"/>
              </w:rPr>
              <w:t>Ниуэ</w:t>
            </w:r>
            <w:proofErr w:type="spellEnd"/>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0,001</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0,001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148</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157</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305</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Новая Зеландия</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0,268</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0,335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39 690</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42 087</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81 777</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Норвегия</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0,849</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1,061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125 734</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133 329</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259 063</w:t>
            </w:r>
          </w:p>
        </w:tc>
      </w:tr>
      <w:tr w:rsidR="006F27B8" w:rsidRPr="000559B7" w:rsidTr="00AC73D1">
        <w:trPr>
          <w:trHeight w:val="231"/>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Объединенная Республика Танзания</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0,010</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0,010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1185</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1256</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2441</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Объединенные Арабские Эмираты</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0,604</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0,755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89 450</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94 854</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184 304</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Оман</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0,113</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0,141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16 735</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17 746</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34 481</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Острова Кука</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0,001</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0,001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148</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157</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305</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Пакистан</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0,093</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0,116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13 773</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14 605</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28 378</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Палау</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0,001</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0,001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148</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157</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305</w:t>
            </w:r>
          </w:p>
        </w:tc>
      </w:tr>
    </w:tbl>
    <w:p w:rsidR="00FE3DCB" w:rsidRDefault="00FE3DCB">
      <w:r>
        <w:br w:type="page"/>
      </w:r>
    </w:p>
    <w:tbl>
      <w:tblPr>
        <w:tblW w:w="5000" w:type="pct"/>
        <w:tblLook w:val="04A0"/>
      </w:tblPr>
      <w:tblGrid>
        <w:gridCol w:w="3950"/>
        <w:gridCol w:w="1686"/>
        <w:gridCol w:w="2107"/>
        <w:gridCol w:w="1688"/>
        <w:gridCol w:w="1688"/>
        <w:gridCol w:w="2669"/>
      </w:tblGrid>
      <w:tr w:rsidR="006F27B8" w:rsidRPr="000559B7" w:rsidTr="00FE3DCB">
        <w:trPr>
          <w:trHeight w:val="1404"/>
        </w:trPr>
        <w:tc>
          <w:tcPr>
            <w:tcW w:w="1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jc w:val="center"/>
              <w:rPr>
                <w:b/>
                <w:bCs/>
                <w:lang w:val="ru-RU"/>
              </w:rPr>
            </w:pPr>
            <w:r w:rsidRPr="000559B7">
              <w:rPr>
                <w:b/>
                <w:bCs/>
                <w:lang w:val="ru-RU"/>
              </w:rPr>
              <w:lastRenderedPageBreak/>
              <w:t>Стороны</w:t>
            </w:r>
          </w:p>
        </w:tc>
        <w:tc>
          <w:tcPr>
            <w:tcW w:w="611" w:type="pct"/>
            <w:tcBorders>
              <w:top w:val="single" w:sz="4" w:space="0" w:color="auto"/>
              <w:left w:val="nil"/>
              <w:bottom w:val="single" w:sz="4" w:space="0" w:color="auto"/>
              <w:right w:val="single" w:sz="4" w:space="0" w:color="auto"/>
            </w:tcBorders>
            <w:shd w:val="clear" w:color="auto" w:fill="auto"/>
            <w:vAlign w:val="center"/>
            <w:hideMark/>
          </w:tcPr>
          <w:p w:rsidR="006F27B8" w:rsidRPr="000559B7" w:rsidRDefault="006F27B8" w:rsidP="00AC73D1">
            <w:pPr>
              <w:jc w:val="center"/>
              <w:rPr>
                <w:b/>
                <w:bCs/>
                <w:lang w:val="ru-RU"/>
              </w:rPr>
            </w:pPr>
            <w:r w:rsidRPr="000559B7">
              <w:rPr>
                <w:b/>
                <w:bCs/>
                <w:lang w:val="ru-RU"/>
              </w:rPr>
              <w:t>Шкала взносов за 2016-2018 годы</w:t>
            </w:r>
          </w:p>
        </w:tc>
        <w:tc>
          <w:tcPr>
            <w:tcW w:w="764" w:type="pct"/>
            <w:tcBorders>
              <w:top w:val="single" w:sz="4" w:space="0" w:color="auto"/>
              <w:left w:val="nil"/>
              <w:bottom w:val="single" w:sz="4" w:space="0" w:color="auto"/>
              <w:right w:val="single" w:sz="4" w:space="0" w:color="auto"/>
            </w:tcBorders>
            <w:shd w:val="clear" w:color="auto" w:fill="auto"/>
            <w:vAlign w:val="center"/>
            <w:hideMark/>
          </w:tcPr>
          <w:p w:rsidR="006F27B8" w:rsidRPr="000559B7" w:rsidRDefault="006F27B8" w:rsidP="00AC73D1">
            <w:pPr>
              <w:jc w:val="center"/>
              <w:rPr>
                <w:b/>
                <w:bCs/>
                <w:lang w:val="ru-RU"/>
              </w:rPr>
            </w:pPr>
            <w:r w:rsidRPr="000559B7">
              <w:rPr>
                <w:b/>
                <w:bCs/>
                <w:lang w:val="ru-RU"/>
              </w:rPr>
              <w:t>Шкала с предельным взносом в 22%; ни одна НРС не вносит более 0,01%</w:t>
            </w:r>
          </w:p>
        </w:tc>
        <w:tc>
          <w:tcPr>
            <w:tcW w:w="612" w:type="pct"/>
            <w:tcBorders>
              <w:top w:val="single" w:sz="4" w:space="0" w:color="auto"/>
              <w:left w:val="nil"/>
              <w:bottom w:val="single" w:sz="4" w:space="0" w:color="auto"/>
              <w:right w:val="single" w:sz="4" w:space="0" w:color="auto"/>
            </w:tcBorders>
            <w:shd w:val="clear" w:color="auto" w:fill="auto"/>
            <w:vAlign w:val="center"/>
            <w:hideMark/>
          </w:tcPr>
          <w:p w:rsidR="00AC73D1" w:rsidRDefault="006F27B8" w:rsidP="001C6C0F">
            <w:pPr>
              <w:jc w:val="center"/>
              <w:rPr>
                <w:b/>
                <w:bCs/>
                <w:lang w:val="fr-FR"/>
              </w:rPr>
            </w:pPr>
            <w:r w:rsidRPr="000559B7">
              <w:rPr>
                <w:b/>
                <w:bCs/>
                <w:lang w:val="ru-RU"/>
              </w:rPr>
              <w:t xml:space="preserve">Взнос </w:t>
            </w:r>
            <w:proofErr w:type="gramStart"/>
            <w:r w:rsidRPr="000559B7">
              <w:rPr>
                <w:b/>
                <w:bCs/>
                <w:lang w:val="ru-RU"/>
              </w:rPr>
              <w:t>на</w:t>
            </w:r>
            <w:proofErr w:type="gramEnd"/>
            <w:r w:rsidRPr="000559B7">
              <w:rPr>
                <w:b/>
                <w:bCs/>
                <w:lang w:val="ru-RU"/>
              </w:rPr>
              <w:t xml:space="preserve"> </w:t>
            </w:r>
          </w:p>
          <w:p w:rsidR="006F27B8" w:rsidRPr="000559B7" w:rsidRDefault="006F27B8" w:rsidP="001C6C0F">
            <w:pPr>
              <w:jc w:val="center"/>
              <w:rPr>
                <w:b/>
                <w:bCs/>
                <w:lang w:val="ru-RU"/>
              </w:rPr>
            </w:pPr>
            <w:r w:rsidRPr="000559B7">
              <w:rPr>
                <w:b/>
                <w:bCs/>
                <w:lang w:val="ru-RU"/>
              </w:rPr>
              <w:t>1 января</w:t>
            </w:r>
            <w:r w:rsidRPr="000559B7">
              <w:rPr>
                <w:b/>
                <w:bCs/>
                <w:lang w:val="ru-RU"/>
              </w:rPr>
              <w:br/>
              <w:t xml:space="preserve"> 2019 г.</w:t>
            </w:r>
          </w:p>
        </w:tc>
        <w:tc>
          <w:tcPr>
            <w:tcW w:w="612" w:type="pct"/>
            <w:tcBorders>
              <w:top w:val="single" w:sz="4" w:space="0" w:color="auto"/>
              <w:left w:val="nil"/>
              <w:bottom w:val="single" w:sz="4" w:space="0" w:color="auto"/>
              <w:right w:val="single" w:sz="4" w:space="0" w:color="auto"/>
            </w:tcBorders>
            <w:shd w:val="clear" w:color="auto" w:fill="auto"/>
            <w:vAlign w:val="center"/>
            <w:hideMark/>
          </w:tcPr>
          <w:p w:rsidR="00AC73D1" w:rsidRDefault="006F27B8" w:rsidP="001C6C0F">
            <w:pPr>
              <w:jc w:val="center"/>
              <w:rPr>
                <w:b/>
                <w:bCs/>
                <w:lang w:val="fr-FR"/>
              </w:rPr>
            </w:pPr>
            <w:r w:rsidRPr="000559B7">
              <w:rPr>
                <w:b/>
                <w:bCs/>
                <w:lang w:val="ru-RU"/>
              </w:rPr>
              <w:t xml:space="preserve">Взнос </w:t>
            </w:r>
            <w:proofErr w:type="gramStart"/>
            <w:r w:rsidRPr="000559B7">
              <w:rPr>
                <w:b/>
                <w:bCs/>
                <w:lang w:val="ru-RU"/>
              </w:rPr>
              <w:t>на</w:t>
            </w:r>
            <w:proofErr w:type="gramEnd"/>
            <w:r w:rsidRPr="000559B7">
              <w:rPr>
                <w:b/>
                <w:bCs/>
                <w:lang w:val="ru-RU"/>
              </w:rPr>
              <w:t xml:space="preserve"> </w:t>
            </w:r>
          </w:p>
          <w:p w:rsidR="006F27B8" w:rsidRPr="000559B7" w:rsidRDefault="006F27B8" w:rsidP="001C6C0F">
            <w:pPr>
              <w:jc w:val="center"/>
              <w:rPr>
                <w:b/>
                <w:bCs/>
                <w:lang w:val="ru-RU"/>
              </w:rPr>
            </w:pPr>
            <w:r w:rsidRPr="000559B7">
              <w:rPr>
                <w:b/>
                <w:bCs/>
                <w:lang w:val="ru-RU"/>
              </w:rPr>
              <w:t xml:space="preserve">1 января </w:t>
            </w:r>
            <w:r w:rsidRPr="000559B7">
              <w:rPr>
                <w:b/>
                <w:bCs/>
                <w:lang w:val="ru-RU"/>
              </w:rPr>
              <w:br/>
              <w:t>2020 г.</w:t>
            </w:r>
          </w:p>
        </w:tc>
        <w:tc>
          <w:tcPr>
            <w:tcW w:w="968" w:type="pct"/>
            <w:tcBorders>
              <w:top w:val="single" w:sz="4" w:space="0" w:color="auto"/>
              <w:left w:val="nil"/>
              <w:bottom w:val="single" w:sz="4" w:space="0" w:color="auto"/>
              <w:right w:val="single" w:sz="4" w:space="0" w:color="auto"/>
            </w:tcBorders>
            <w:shd w:val="clear" w:color="auto" w:fill="auto"/>
            <w:vAlign w:val="center"/>
            <w:hideMark/>
          </w:tcPr>
          <w:p w:rsidR="006F27B8" w:rsidRPr="000559B7" w:rsidRDefault="006F27B8" w:rsidP="001C6C0F">
            <w:pPr>
              <w:jc w:val="center"/>
              <w:rPr>
                <w:b/>
                <w:bCs/>
                <w:lang w:val="ru-RU"/>
              </w:rPr>
            </w:pPr>
            <w:r w:rsidRPr="000559B7">
              <w:rPr>
                <w:b/>
                <w:bCs/>
                <w:lang w:val="ru-RU"/>
              </w:rPr>
              <w:t>Итого 2019-2020 гг.</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Панама</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0,034</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0,043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5035</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5339</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10 375</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proofErr w:type="spellStart"/>
            <w:proofErr w:type="gramStart"/>
            <w:r w:rsidRPr="000559B7">
              <w:rPr>
                <w:lang w:val="ru-RU"/>
              </w:rPr>
              <w:t>Папуа-Новая</w:t>
            </w:r>
            <w:proofErr w:type="spellEnd"/>
            <w:proofErr w:type="gramEnd"/>
            <w:r w:rsidRPr="000559B7">
              <w:rPr>
                <w:lang w:val="ru-RU"/>
              </w:rPr>
              <w:t xml:space="preserve"> Гвинея</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0,004</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0,005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592</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628</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1221</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Парагвай</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0,014</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0,018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2073</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2199</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4272</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Перу</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0,136</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0,170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20 141</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21 358</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41 499</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Польша</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0,841</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1,051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124 549</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132 073</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256 622</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Португалия</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0,392</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0,490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58 054</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61 561</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119 614</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Республика Корея</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2,039</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2,549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301 969</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320 209</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622 178</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Республика Молдова</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0,004</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0,005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592</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628</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1221</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Российская Федерация</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3,088</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3,860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457 322</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484 947</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942 269</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Руанда</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0,002</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0,003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296</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314</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610</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Румыния</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0,184</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0,230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27 250</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28 896</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56 146</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Сальвадор</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0,014</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0,018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2073</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2199</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4272</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Самоа</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0,001</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0,001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148</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157</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305</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Сан-Марино</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0,003</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0,004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444</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471</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915</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Сан-Томе и Принсипи</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0,001</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0,001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148</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157</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305</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Саудовская Аравия</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1,146</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1,433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169 719</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179 970</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349 689</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Сейшельские Острова</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0,001</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0,001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148</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157</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305</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Сенегал</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0,005</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0,006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740</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785</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1526</w:t>
            </w:r>
          </w:p>
        </w:tc>
      </w:tr>
      <w:tr w:rsidR="006F27B8" w:rsidRPr="000559B7" w:rsidTr="004C451A">
        <w:trPr>
          <w:trHeight w:val="383"/>
        </w:trPr>
        <w:tc>
          <w:tcPr>
            <w:tcW w:w="1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Сент-Винсент и Гренадины</w:t>
            </w:r>
          </w:p>
        </w:tc>
        <w:tc>
          <w:tcPr>
            <w:tcW w:w="611" w:type="pct"/>
            <w:tcBorders>
              <w:top w:val="single" w:sz="4" w:space="0" w:color="auto"/>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0,001</w:t>
            </w:r>
          </w:p>
        </w:tc>
        <w:tc>
          <w:tcPr>
            <w:tcW w:w="764" w:type="pct"/>
            <w:tcBorders>
              <w:top w:val="single" w:sz="4" w:space="0" w:color="auto"/>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0,001 </w:t>
            </w:r>
          </w:p>
        </w:tc>
        <w:tc>
          <w:tcPr>
            <w:tcW w:w="612" w:type="pct"/>
            <w:tcBorders>
              <w:top w:val="single" w:sz="4" w:space="0" w:color="auto"/>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148</w:t>
            </w:r>
          </w:p>
        </w:tc>
        <w:tc>
          <w:tcPr>
            <w:tcW w:w="612" w:type="pct"/>
            <w:tcBorders>
              <w:top w:val="single" w:sz="4" w:space="0" w:color="auto"/>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157</w:t>
            </w:r>
          </w:p>
        </w:tc>
        <w:tc>
          <w:tcPr>
            <w:tcW w:w="968" w:type="pct"/>
            <w:tcBorders>
              <w:top w:val="single" w:sz="4" w:space="0" w:color="auto"/>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305</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proofErr w:type="spellStart"/>
            <w:r w:rsidRPr="000559B7">
              <w:rPr>
                <w:lang w:val="ru-RU"/>
              </w:rPr>
              <w:t>Сент-Китс</w:t>
            </w:r>
            <w:proofErr w:type="spellEnd"/>
            <w:r w:rsidRPr="000559B7">
              <w:rPr>
                <w:lang w:val="ru-RU"/>
              </w:rPr>
              <w:t xml:space="preserve"> и </w:t>
            </w:r>
            <w:proofErr w:type="spellStart"/>
            <w:r w:rsidRPr="000559B7">
              <w:rPr>
                <w:lang w:val="ru-RU"/>
              </w:rPr>
              <w:t>Невис</w:t>
            </w:r>
            <w:proofErr w:type="spellEnd"/>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0,001</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0,001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148</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157</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305</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Сент-Люсия</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0,001</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0,001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148</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157</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305</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Сербия</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0,032</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0,040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4739</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5025</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9764</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Сингапур</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0,447</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0,559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66 199</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70 198</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136 397</w:t>
            </w:r>
          </w:p>
        </w:tc>
      </w:tr>
      <w:tr w:rsidR="006F27B8" w:rsidRPr="000559B7" w:rsidTr="00FE3DCB">
        <w:trPr>
          <w:trHeight w:val="1404"/>
        </w:trPr>
        <w:tc>
          <w:tcPr>
            <w:tcW w:w="1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jc w:val="center"/>
              <w:rPr>
                <w:b/>
                <w:bCs/>
                <w:lang w:val="ru-RU"/>
              </w:rPr>
            </w:pPr>
            <w:r w:rsidRPr="000559B7">
              <w:rPr>
                <w:b/>
                <w:bCs/>
                <w:lang w:val="ru-RU"/>
              </w:rPr>
              <w:lastRenderedPageBreak/>
              <w:t>Стороны</w:t>
            </w:r>
          </w:p>
        </w:tc>
        <w:tc>
          <w:tcPr>
            <w:tcW w:w="611" w:type="pct"/>
            <w:tcBorders>
              <w:top w:val="single" w:sz="4" w:space="0" w:color="auto"/>
              <w:left w:val="nil"/>
              <w:bottom w:val="single" w:sz="4" w:space="0" w:color="auto"/>
              <w:right w:val="single" w:sz="4" w:space="0" w:color="auto"/>
            </w:tcBorders>
            <w:shd w:val="clear" w:color="auto" w:fill="auto"/>
            <w:vAlign w:val="center"/>
            <w:hideMark/>
          </w:tcPr>
          <w:p w:rsidR="006F27B8" w:rsidRPr="000559B7" w:rsidRDefault="006F27B8" w:rsidP="00AC73D1">
            <w:pPr>
              <w:jc w:val="center"/>
              <w:rPr>
                <w:b/>
                <w:bCs/>
                <w:lang w:val="ru-RU"/>
              </w:rPr>
            </w:pPr>
            <w:r w:rsidRPr="000559B7">
              <w:rPr>
                <w:b/>
                <w:bCs/>
                <w:lang w:val="ru-RU"/>
              </w:rPr>
              <w:t>Шкала взносов за 2016-2018 годы</w:t>
            </w:r>
          </w:p>
        </w:tc>
        <w:tc>
          <w:tcPr>
            <w:tcW w:w="764" w:type="pct"/>
            <w:tcBorders>
              <w:top w:val="single" w:sz="4" w:space="0" w:color="auto"/>
              <w:left w:val="nil"/>
              <w:bottom w:val="single" w:sz="4" w:space="0" w:color="auto"/>
              <w:right w:val="single" w:sz="4" w:space="0" w:color="auto"/>
            </w:tcBorders>
            <w:shd w:val="clear" w:color="auto" w:fill="auto"/>
            <w:vAlign w:val="center"/>
            <w:hideMark/>
          </w:tcPr>
          <w:p w:rsidR="006F27B8" w:rsidRPr="000559B7" w:rsidRDefault="006F27B8" w:rsidP="00AC73D1">
            <w:pPr>
              <w:jc w:val="center"/>
              <w:rPr>
                <w:b/>
                <w:bCs/>
                <w:lang w:val="ru-RU"/>
              </w:rPr>
            </w:pPr>
            <w:r w:rsidRPr="000559B7">
              <w:rPr>
                <w:b/>
                <w:bCs/>
                <w:lang w:val="ru-RU"/>
              </w:rPr>
              <w:t>Шкала с предельным взносом в 22%; ни одна НРС не вносит более 0,01%</w:t>
            </w:r>
          </w:p>
        </w:tc>
        <w:tc>
          <w:tcPr>
            <w:tcW w:w="612" w:type="pct"/>
            <w:tcBorders>
              <w:top w:val="single" w:sz="4" w:space="0" w:color="auto"/>
              <w:left w:val="nil"/>
              <w:bottom w:val="single" w:sz="4" w:space="0" w:color="auto"/>
              <w:right w:val="single" w:sz="4" w:space="0" w:color="auto"/>
            </w:tcBorders>
            <w:shd w:val="clear" w:color="auto" w:fill="auto"/>
            <w:vAlign w:val="center"/>
            <w:hideMark/>
          </w:tcPr>
          <w:p w:rsidR="00AC73D1" w:rsidRDefault="006F27B8" w:rsidP="001C6C0F">
            <w:pPr>
              <w:jc w:val="center"/>
              <w:rPr>
                <w:b/>
                <w:bCs/>
                <w:lang w:val="fr-FR"/>
              </w:rPr>
            </w:pPr>
            <w:r w:rsidRPr="000559B7">
              <w:rPr>
                <w:b/>
                <w:bCs/>
                <w:lang w:val="ru-RU"/>
              </w:rPr>
              <w:t xml:space="preserve">Взнос </w:t>
            </w:r>
            <w:proofErr w:type="gramStart"/>
            <w:r w:rsidRPr="000559B7">
              <w:rPr>
                <w:b/>
                <w:bCs/>
                <w:lang w:val="ru-RU"/>
              </w:rPr>
              <w:t>на</w:t>
            </w:r>
            <w:proofErr w:type="gramEnd"/>
            <w:r w:rsidRPr="000559B7">
              <w:rPr>
                <w:b/>
                <w:bCs/>
                <w:lang w:val="ru-RU"/>
              </w:rPr>
              <w:t xml:space="preserve"> </w:t>
            </w:r>
          </w:p>
          <w:p w:rsidR="006F27B8" w:rsidRPr="000559B7" w:rsidRDefault="006F27B8" w:rsidP="001C6C0F">
            <w:pPr>
              <w:jc w:val="center"/>
              <w:rPr>
                <w:b/>
                <w:bCs/>
                <w:lang w:val="ru-RU"/>
              </w:rPr>
            </w:pPr>
            <w:r w:rsidRPr="000559B7">
              <w:rPr>
                <w:b/>
                <w:bCs/>
                <w:lang w:val="ru-RU"/>
              </w:rPr>
              <w:t xml:space="preserve">1 января </w:t>
            </w:r>
            <w:r w:rsidRPr="000559B7">
              <w:rPr>
                <w:b/>
                <w:bCs/>
                <w:lang w:val="ru-RU"/>
              </w:rPr>
              <w:br/>
              <w:t>2019 г.</w:t>
            </w:r>
          </w:p>
        </w:tc>
        <w:tc>
          <w:tcPr>
            <w:tcW w:w="612" w:type="pct"/>
            <w:tcBorders>
              <w:top w:val="single" w:sz="4" w:space="0" w:color="auto"/>
              <w:left w:val="nil"/>
              <w:bottom w:val="single" w:sz="4" w:space="0" w:color="auto"/>
              <w:right w:val="single" w:sz="4" w:space="0" w:color="auto"/>
            </w:tcBorders>
            <w:shd w:val="clear" w:color="auto" w:fill="auto"/>
            <w:vAlign w:val="center"/>
            <w:hideMark/>
          </w:tcPr>
          <w:p w:rsidR="00AC73D1" w:rsidRDefault="006F27B8" w:rsidP="001C6C0F">
            <w:pPr>
              <w:jc w:val="center"/>
              <w:rPr>
                <w:b/>
                <w:bCs/>
                <w:lang w:val="fr-FR"/>
              </w:rPr>
            </w:pPr>
            <w:r w:rsidRPr="000559B7">
              <w:rPr>
                <w:b/>
                <w:bCs/>
                <w:lang w:val="ru-RU"/>
              </w:rPr>
              <w:t xml:space="preserve">Взнос </w:t>
            </w:r>
            <w:proofErr w:type="gramStart"/>
            <w:r w:rsidRPr="000559B7">
              <w:rPr>
                <w:b/>
                <w:bCs/>
                <w:lang w:val="ru-RU"/>
              </w:rPr>
              <w:t>на</w:t>
            </w:r>
            <w:proofErr w:type="gramEnd"/>
            <w:r w:rsidRPr="000559B7">
              <w:rPr>
                <w:b/>
                <w:bCs/>
                <w:lang w:val="ru-RU"/>
              </w:rPr>
              <w:t xml:space="preserve"> </w:t>
            </w:r>
          </w:p>
          <w:p w:rsidR="006F27B8" w:rsidRPr="000559B7" w:rsidRDefault="006F27B8" w:rsidP="001C6C0F">
            <w:pPr>
              <w:jc w:val="center"/>
              <w:rPr>
                <w:b/>
                <w:bCs/>
                <w:lang w:val="ru-RU"/>
              </w:rPr>
            </w:pPr>
            <w:r w:rsidRPr="000559B7">
              <w:rPr>
                <w:b/>
                <w:bCs/>
                <w:lang w:val="ru-RU"/>
              </w:rPr>
              <w:t xml:space="preserve">1 января </w:t>
            </w:r>
            <w:r w:rsidRPr="000559B7">
              <w:rPr>
                <w:b/>
                <w:bCs/>
                <w:lang w:val="ru-RU"/>
              </w:rPr>
              <w:br/>
              <w:t>2020 г.</w:t>
            </w:r>
          </w:p>
        </w:tc>
        <w:tc>
          <w:tcPr>
            <w:tcW w:w="968" w:type="pct"/>
            <w:tcBorders>
              <w:top w:val="single" w:sz="4" w:space="0" w:color="auto"/>
              <w:left w:val="nil"/>
              <w:bottom w:val="single" w:sz="4" w:space="0" w:color="auto"/>
              <w:right w:val="single" w:sz="4" w:space="0" w:color="auto"/>
            </w:tcBorders>
            <w:shd w:val="clear" w:color="auto" w:fill="auto"/>
            <w:vAlign w:val="center"/>
            <w:hideMark/>
          </w:tcPr>
          <w:p w:rsidR="006F27B8" w:rsidRPr="000559B7" w:rsidRDefault="006F27B8" w:rsidP="001C6C0F">
            <w:pPr>
              <w:jc w:val="center"/>
              <w:rPr>
                <w:b/>
                <w:bCs/>
                <w:lang w:val="ru-RU"/>
              </w:rPr>
            </w:pPr>
            <w:r w:rsidRPr="000559B7">
              <w:rPr>
                <w:b/>
                <w:bCs/>
                <w:lang w:val="ru-RU"/>
              </w:rPr>
              <w:t>Итого 2019-2020 гг.</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Сирийская Арабская Республика</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0,024</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0,030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3554</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3769</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7323</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Словакия</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0,160</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0,200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23 695</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25 127</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48 822</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Словения</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0,084</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0,105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12 440</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13 192</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25 632</w:t>
            </w:r>
          </w:p>
        </w:tc>
      </w:tr>
      <w:tr w:rsidR="006F27B8" w:rsidRPr="000559B7" w:rsidTr="00FE3DCB">
        <w:trPr>
          <w:trHeight w:val="5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Соединенное Королевство Великобритании и Северной Ирландии</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4,463</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5,579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660 955</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700 880</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1 361 835</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Соломоновы Острова</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0,001</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0,001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148</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157</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305</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Сомали</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0,001</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0,001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148</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157</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305</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Судан</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0,010</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0,010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1185</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1256</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2441</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Суринам</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0,006</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0,008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889</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942</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1831</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Сьерра-Леоне</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0,001</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0,001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148</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157</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305</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Таджикистан</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0,004</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0,005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592</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628</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1221</w:t>
            </w:r>
          </w:p>
        </w:tc>
      </w:tr>
      <w:tr w:rsidR="006F27B8" w:rsidRPr="000559B7" w:rsidTr="00FE3DCB">
        <w:trPr>
          <w:trHeight w:val="276"/>
        </w:trPr>
        <w:tc>
          <w:tcPr>
            <w:tcW w:w="1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Таиланд</w:t>
            </w:r>
          </w:p>
        </w:tc>
        <w:tc>
          <w:tcPr>
            <w:tcW w:w="611" w:type="pct"/>
            <w:tcBorders>
              <w:top w:val="single" w:sz="4" w:space="0" w:color="auto"/>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0,291</w:t>
            </w:r>
          </w:p>
        </w:tc>
        <w:tc>
          <w:tcPr>
            <w:tcW w:w="764" w:type="pct"/>
            <w:tcBorders>
              <w:top w:val="single" w:sz="4" w:space="0" w:color="auto"/>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0,364 </w:t>
            </w:r>
          </w:p>
        </w:tc>
        <w:tc>
          <w:tcPr>
            <w:tcW w:w="612" w:type="pct"/>
            <w:tcBorders>
              <w:top w:val="single" w:sz="4" w:space="0" w:color="auto"/>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43 096</w:t>
            </w:r>
          </w:p>
        </w:tc>
        <w:tc>
          <w:tcPr>
            <w:tcW w:w="612" w:type="pct"/>
            <w:tcBorders>
              <w:top w:val="single" w:sz="4" w:space="0" w:color="auto"/>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45 699</w:t>
            </w:r>
          </w:p>
        </w:tc>
        <w:tc>
          <w:tcPr>
            <w:tcW w:w="968" w:type="pct"/>
            <w:tcBorders>
              <w:top w:val="single" w:sz="4" w:space="0" w:color="auto"/>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88 795</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Тимор-Лешти</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0,003</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0,004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444</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471</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915</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Того</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0,001</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0,001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148</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157</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305</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Тонга</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0,001</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0,001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148</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157</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305</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Тринидад и Тобаго</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0,034</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0,043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5035</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5339</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10 375</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Тувалу</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0,001</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0,001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148</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157</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305</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Тунис</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0,028</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0,035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4147</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4397</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8544</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Туркменистан</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0,026</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0,033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3851</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4083</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7934</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Турция</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1,018</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1,273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150 762</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159 869</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310 631</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Уганда</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0,009</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0,010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1185</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1256</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2441</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Узбекистан</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0,023</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0,029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3406</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3612</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7018</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Украина</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0,103</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0,129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15 254</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16 175</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31 429</w:t>
            </w:r>
          </w:p>
        </w:tc>
      </w:tr>
    </w:tbl>
    <w:p w:rsidR="00FE3DCB" w:rsidRDefault="00FE3DCB">
      <w:r>
        <w:br w:type="page"/>
      </w:r>
    </w:p>
    <w:tbl>
      <w:tblPr>
        <w:tblW w:w="5000" w:type="pct"/>
        <w:tblLook w:val="04A0"/>
      </w:tblPr>
      <w:tblGrid>
        <w:gridCol w:w="3950"/>
        <w:gridCol w:w="1686"/>
        <w:gridCol w:w="2107"/>
        <w:gridCol w:w="1688"/>
        <w:gridCol w:w="1688"/>
        <w:gridCol w:w="2669"/>
      </w:tblGrid>
      <w:tr w:rsidR="006F27B8" w:rsidRPr="000559B7" w:rsidTr="00FE3DCB">
        <w:trPr>
          <w:trHeight w:val="1404"/>
        </w:trPr>
        <w:tc>
          <w:tcPr>
            <w:tcW w:w="1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F27B8" w:rsidRPr="000559B7" w:rsidRDefault="006F27B8" w:rsidP="00FE3DCB">
            <w:pPr>
              <w:ind w:right="-108"/>
              <w:jc w:val="center"/>
              <w:rPr>
                <w:b/>
                <w:bCs/>
                <w:lang w:val="ru-RU"/>
              </w:rPr>
            </w:pPr>
            <w:r w:rsidRPr="000559B7">
              <w:rPr>
                <w:b/>
                <w:bCs/>
                <w:lang w:val="ru-RU"/>
              </w:rPr>
              <w:lastRenderedPageBreak/>
              <w:t>Стороны</w:t>
            </w:r>
          </w:p>
        </w:tc>
        <w:tc>
          <w:tcPr>
            <w:tcW w:w="611" w:type="pct"/>
            <w:tcBorders>
              <w:top w:val="single" w:sz="4" w:space="0" w:color="auto"/>
              <w:left w:val="nil"/>
              <w:bottom w:val="single" w:sz="4" w:space="0" w:color="auto"/>
              <w:right w:val="single" w:sz="4" w:space="0" w:color="auto"/>
            </w:tcBorders>
            <w:shd w:val="clear" w:color="auto" w:fill="auto"/>
            <w:vAlign w:val="center"/>
            <w:hideMark/>
          </w:tcPr>
          <w:p w:rsidR="006F27B8" w:rsidRPr="000559B7" w:rsidRDefault="006F27B8" w:rsidP="00AC73D1">
            <w:pPr>
              <w:jc w:val="center"/>
              <w:rPr>
                <w:b/>
                <w:bCs/>
                <w:lang w:val="ru-RU"/>
              </w:rPr>
            </w:pPr>
            <w:r w:rsidRPr="000559B7">
              <w:rPr>
                <w:b/>
                <w:bCs/>
                <w:lang w:val="ru-RU"/>
              </w:rPr>
              <w:t>Шкала взносов за 2016-2018 годы</w:t>
            </w:r>
          </w:p>
        </w:tc>
        <w:tc>
          <w:tcPr>
            <w:tcW w:w="764" w:type="pct"/>
            <w:tcBorders>
              <w:top w:val="single" w:sz="4" w:space="0" w:color="auto"/>
              <w:left w:val="nil"/>
              <w:bottom w:val="single" w:sz="4" w:space="0" w:color="auto"/>
              <w:right w:val="single" w:sz="4" w:space="0" w:color="auto"/>
            </w:tcBorders>
            <w:shd w:val="clear" w:color="auto" w:fill="auto"/>
            <w:vAlign w:val="center"/>
            <w:hideMark/>
          </w:tcPr>
          <w:p w:rsidR="006F27B8" w:rsidRPr="000559B7" w:rsidRDefault="006F27B8" w:rsidP="00AC73D1">
            <w:pPr>
              <w:jc w:val="center"/>
              <w:rPr>
                <w:b/>
                <w:bCs/>
                <w:lang w:val="ru-RU"/>
              </w:rPr>
            </w:pPr>
            <w:r w:rsidRPr="000559B7">
              <w:rPr>
                <w:b/>
                <w:bCs/>
                <w:lang w:val="ru-RU"/>
              </w:rPr>
              <w:t>Шкала с предельным взносом в 22%; ни одна НРС не вносит более 0,01%</w:t>
            </w:r>
          </w:p>
        </w:tc>
        <w:tc>
          <w:tcPr>
            <w:tcW w:w="612" w:type="pct"/>
            <w:tcBorders>
              <w:top w:val="single" w:sz="4" w:space="0" w:color="auto"/>
              <w:left w:val="nil"/>
              <w:bottom w:val="single" w:sz="4" w:space="0" w:color="auto"/>
              <w:right w:val="single" w:sz="4" w:space="0" w:color="auto"/>
            </w:tcBorders>
            <w:shd w:val="clear" w:color="auto" w:fill="auto"/>
            <w:vAlign w:val="center"/>
            <w:hideMark/>
          </w:tcPr>
          <w:p w:rsidR="00AC73D1" w:rsidRDefault="006F27B8" w:rsidP="001C6C0F">
            <w:pPr>
              <w:jc w:val="center"/>
              <w:rPr>
                <w:b/>
                <w:bCs/>
                <w:lang w:val="fr-FR"/>
              </w:rPr>
            </w:pPr>
            <w:r w:rsidRPr="000559B7">
              <w:rPr>
                <w:b/>
                <w:bCs/>
                <w:lang w:val="ru-RU"/>
              </w:rPr>
              <w:t xml:space="preserve">Взнос </w:t>
            </w:r>
            <w:proofErr w:type="gramStart"/>
            <w:r w:rsidRPr="000559B7">
              <w:rPr>
                <w:b/>
                <w:bCs/>
                <w:lang w:val="ru-RU"/>
              </w:rPr>
              <w:t>на</w:t>
            </w:r>
            <w:proofErr w:type="gramEnd"/>
            <w:r w:rsidRPr="000559B7">
              <w:rPr>
                <w:b/>
                <w:bCs/>
                <w:lang w:val="ru-RU"/>
              </w:rPr>
              <w:t xml:space="preserve"> </w:t>
            </w:r>
          </w:p>
          <w:p w:rsidR="006F27B8" w:rsidRPr="000559B7" w:rsidRDefault="006F27B8" w:rsidP="001C6C0F">
            <w:pPr>
              <w:jc w:val="center"/>
              <w:rPr>
                <w:b/>
                <w:bCs/>
                <w:lang w:val="ru-RU"/>
              </w:rPr>
            </w:pPr>
            <w:r w:rsidRPr="000559B7">
              <w:rPr>
                <w:b/>
                <w:bCs/>
                <w:lang w:val="ru-RU"/>
              </w:rPr>
              <w:t>1 января</w:t>
            </w:r>
            <w:r w:rsidRPr="000559B7">
              <w:rPr>
                <w:b/>
                <w:bCs/>
                <w:lang w:val="ru-RU"/>
              </w:rPr>
              <w:br/>
              <w:t xml:space="preserve"> 2019 г.</w:t>
            </w:r>
          </w:p>
        </w:tc>
        <w:tc>
          <w:tcPr>
            <w:tcW w:w="612" w:type="pct"/>
            <w:tcBorders>
              <w:top w:val="single" w:sz="4" w:space="0" w:color="auto"/>
              <w:left w:val="nil"/>
              <w:bottom w:val="single" w:sz="4" w:space="0" w:color="auto"/>
              <w:right w:val="single" w:sz="4" w:space="0" w:color="auto"/>
            </w:tcBorders>
            <w:shd w:val="clear" w:color="auto" w:fill="auto"/>
            <w:vAlign w:val="center"/>
            <w:hideMark/>
          </w:tcPr>
          <w:p w:rsidR="00AC73D1" w:rsidRDefault="006F27B8" w:rsidP="001C6C0F">
            <w:pPr>
              <w:jc w:val="center"/>
              <w:rPr>
                <w:b/>
                <w:bCs/>
                <w:lang w:val="fr-FR"/>
              </w:rPr>
            </w:pPr>
            <w:r w:rsidRPr="000559B7">
              <w:rPr>
                <w:b/>
                <w:bCs/>
                <w:lang w:val="ru-RU"/>
              </w:rPr>
              <w:t xml:space="preserve">Взнос </w:t>
            </w:r>
            <w:proofErr w:type="gramStart"/>
            <w:r w:rsidRPr="000559B7">
              <w:rPr>
                <w:b/>
                <w:bCs/>
                <w:lang w:val="ru-RU"/>
              </w:rPr>
              <w:t>на</w:t>
            </w:r>
            <w:proofErr w:type="gramEnd"/>
            <w:r w:rsidRPr="000559B7">
              <w:rPr>
                <w:b/>
                <w:bCs/>
                <w:lang w:val="ru-RU"/>
              </w:rPr>
              <w:t xml:space="preserve"> </w:t>
            </w:r>
          </w:p>
          <w:p w:rsidR="006F27B8" w:rsidRPr="000559B7" w:rsidRDefault="006F27B8" w:rsidP="001C6C0F">
            <w:pPr>
              <w:jc w:val="center"/>
              <w:rPr>
                <w:b/>
                <w:bCs/>
                <w:lang w:val="ru-RU"/>
              </w:rPr>
            </w:pPr>
            <w:r w:rsidRPr="000559B7">
              <w:rPr>
                <w:b/>
                <w:bCs/>
                <w:lang w:val="ru-RU"/>
              </w:rPr>
              <w:t xml:space="preserve">1 января </w:t>
            </w:r>
            <w:r w:rsidRPr="000559B7">
              <w:rPr>
                <w:b/>
                <w:bCs/>
                <w:lang w:val="ru-RU"/>
              </w:rPr>
              <w:br/>
              <w:t>2020 г.</w:t>
            </w:r>
          </w:p>
        </w:tc>
        <w:tc>
          <w:tcPr>
            <w:tcW w:w="968" w:type="pct"/>
            <w:tcBorders>
              <w:top w:val="single" w:sz="4" w:space="0" w:color="auto"/>
              <w:left w:val="nil"/>
              <w:bottom w:val="single" w:sz="4" w:space="0" w:color="auto"/>
              <w:right w:val="single" w:sz="4" w:space="0" w:color="auto"/>
            </w:tcBorders>
            <w:shd w:val="clear" w:color="auto" w:fill="auto"/>
            <w:vAlign w:val="center"/>
            <w:hideMark/>
          </w:tcPr>
          <w:p w:rsidR="006F27B8" w:rsidRPr="000559B7" w:rsidRDefault="006F27B8" w:rsidP="001C6C0F">
            <w:pPr>
              <w:jc w:val="center"/>
              <w:rPr>
                <w:b/>
                <w:bCs/>
                <w:lang w:val="ru-RU"/>
              </w:rPr>
            </w:pPr>
            <w:r w:rsidRPr="000559B7">
              <w:rPr>
                <w:b/>
                <w:bCs/>
                <w:lang w:val="ru-RU"/>
              </w:rPr>
              <w:t>Итого 2019-2020 гг.</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Уругвай</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0,079</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0,099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11 700</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12 406</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24 106</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Фиджи</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0,003</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0,004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444</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471</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915</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Филиппины</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0,165</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0,206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24 436</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25 912</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50 348</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Финляндия</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0,456</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0,570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67 532</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71 611</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139 143</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Франция</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4,859</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6,074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719 601</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763 068</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1 482 670</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Хорватия</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0,099</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0,124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14 662</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15 547</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30 209</w:t>
            </w:r>
          </w:p>
        </w:tc>
      </w:tr>
      <w:tr w:rsidR="006F27B8" w:rsidRPr="000559B7" w:rsidTr="00FE3DCB">
        <w:trPr>
          <w:trHeight w:val="295"/>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sz w:val="20"/>
                <w:szCs w:val="20"/>
                <w:lang w:val="ru-RU"/>
              </w:rPr>
            </w:pPr>
            <w:r w:rsidRPr="004C451A">
              <w:rPr>
                <w:lang w:val="ru-RU"/>
              </w:rPr>
              <w:t>Центральноафриканская Республика</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0,001</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0,001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148</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157</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305</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Чад</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0,005</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0,006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740</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785</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1526</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Черногория</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0,004</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0,005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592</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628</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1221</w:t>
            </w:r>
          </w:p>
        </w:tc>
      </w:tr>
      <w:tr w:rsidR="006F27B8" w:rsidRPr="000559B7" w:rsidTr="00FE3DCB">
        <w:trPr>
          <w:trHeight w:val="276"/>
        </w:trPr>
        <w:tc>
          <w:tcPr>
            <w:tcW w:w="1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Чешская Республика</w:t>
            </w:r>
          </w:p>
        </w:tc>
        <w:tc>
          <w:tcPr>
            <w:tcW w:w="611" w:type="pct"/>
            <w:tcBorders>
              <w:top w:val="single" w:sz="4" w:space="0" w:color="auto"/>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0,344</w:t>
            </w:r>
          </w:p>
        </w:tc>
        <w:tc>
          <w:tcPr>
            <w:tcW w:w="764" w:type="pct"/>
            <w:tcBorders>
              <w:top w:val="single" w:sz="4" w:space="0" w:color="auto"/>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0,430 </w:t>
            </w:r>
          </w:p>
        </w:tc>
        <w:tc>
          <w:tcPr>
            <w:tcW w:w="612" w:type="pct"/>
            <w:tcBorders>
              <w:top w:val="single" w:sz="4" w:space="0" w:color="auto"/>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50 945</w:t>
            </w:r>
          </w:p>
        </w:tc>
        <w:tc>
          <w:tcPr>
            <w:tcW w:w="612" w:type="pct"/>
            <w:tcBorders>
              <w:top w:val="single" w:sz="4" w:space="0" w:color="auto"/>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54 023</w:t>
            </w:r>
          </w:p>
        </w:tc>
        <w:tc>
          <w:tcPr>
            <w:tcW w:w="968" w:type="pct"/>
            <w:tcBorders>
              <w:top w:val="single" w:sz="4" w:space="0" w:color="auto"/>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104 968</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Чили</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0,399</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0,499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59 091</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62 660</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121 750</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 xml:space="preserve">Швейцария </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1,140</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1,425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168 830</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179 028</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347 858</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Швеция</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0,956</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1,195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141 580</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150 132</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291 713</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Шри-Ланка</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0,031</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0,039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4591</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4868</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9459</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Эквадор</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0,067</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0,084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9922</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10 522</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20 444</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Экваториальная Гвинея</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0,010</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0,010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1185</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1256</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2441</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Эритрея</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0,001</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0,001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148</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157</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305</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proofErr w:type="spellStart"/>
            <w:r w:rsidRPr="000559B7">
              <w:rPr>
                <w:lang w:val="ru-RU"/>
              </w:rPr>
              <w:t>Эсватини</w:t>
            </w:r>
            <w:proofErr w:type="spellEnd"/>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0,002</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0,003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296</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314</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610</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 xml:space="preserve">Эстония </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0,038</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0,048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5628</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5968</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11 595</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Эфиопия</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0,010</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0,010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1185</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1256</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2441</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proofErr w:type="gramStart"/>
            <w:r w:rsidRPr="000559B7">
              <w:rPr>
                <w:lang w:val="ru-RU"/>
              </w:rPr>
              <w:t>Южный</w:t>
            </w:r>
            <w:proofErr w:type="gramEnd"/>
            <w:r w:rsidRPr="000559B7">
              <w:rPr>
                <w:lang w:val="ru-RU"/>
              </w:rPr>
              <w:t xml:space="preserve"> Африка</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0,364</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0,455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53 907</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57 163</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111 071</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Южный Судан</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0,003</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0,004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444</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471</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915</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Ямайка</w:t>
            </w:r>
          </w:p>
        </w:tc>
        <w:tc>
          <w:tcPr>
            <w:tcW w:w="611" w:type="pct"/>
            <w:tcBorders>
              <w:top w:val="nil"/>
              <w:left w:val="nil"/>
              <w:bottom w:val="single" w:sz="4" w:space="0" w:color="auto"/>
              <w:right w:val="single" w:sz="4" w:space="0" w:color="auto"/>
            </w:tcBorders>
            <w:shd w:val="clear" w:color="auto" w:fill="auto"/>
            <w:vAlign w:val="center"/>
            <w:hideMark/>
          </w:tcPr>
          <w:p w:rsidR="006F27B8" w:rsidRPr="000559B7" w:rsidRDefault="006F27B8" w:rsidP="001C6C0F">
            <w:pPr>
              <w:jc w:val="right"/>
              <w:rPr>
                <w:lang w:val="ru-RU"/>
              </w:rPr>
            </w:pPr>
            <w:r w:rsidRPr="000559B7">
              <w:rPr>
                <w:lang w:val="ru-RU"/>
              </w:rPr>
              <w:t>0,009</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0,011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1333</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1413</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2746</w:t>
            </w:r>
          </w:p>
        </w:tc>
      </w:tr>
      <w:tr w:rsidR="006F27B8" w:rsidRPr="000559B7" w:rsidTr="00FE3DCB">
        <w:trPr>
          <w:trHeight w:val="276"/>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lang w:val="ru-RU"/>
              </w:rPr>
            </w:pPr>
            <w:r w:rsidRPr="000559B7">
              <w:rPr>
                <w:lang w:val="ru-RU"/>
              </w:rPr>
              <w:t>Япония</w:t>
            </w:r>
          </w:p>
        </w:tc>
        <w:tc>
          <w:tcPr>
            <w:tcW w:w="611"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9,680</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lang w:val="ru-RU"/>
              </w:rPr>
            </w:pPr>
            <w:r w:rsidRPr="000559B7">
              <w:rPr>
                <w:lang w:val="ru-RU"/>
              </w:rPr>
              <w:t xml:space="preserve">          12,101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1 433 575</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1 520 169</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lang w:val="ru-RU"/>
              </w:rPr>
            </w:pPr>
            <w:r w:rsidRPr="000559B7">
              <w:rPr>
                <w:lang w:val="ru-RU"/>
              </w:rPr>
              <w:t>2 953 744</w:t>
            </w:r>
          </w:p>
        </w:tc>
      </w:tr>
      <w:tr w:rsidR="006F27B8" w:rsidRPr="000559B7" w:rsidTr="00FE3DCB">
        <w:trPr>
          <w:trHeight w:val="57"/>
        </w:trPr>
        <w:tc>
          <w:tcPr>
            <w:tcW w:w="1432" w:type="pct"/>
            <w:tcBorders>
              <w:top w:val="nil"/>
              <w:left w:val="single" w:sz="4" w:space="0" w:color="auto"/>
              <w:bottom w:val="single" w:sz="4" w:space="0" w:color="auto"/>
              <w:right w:val="single" w:sz="4" w:space="0" w:color="auto"/>
            </w:tcBorders>
            <w:shd w:val="clear" w:color="auto" w:fill="auto"/>
            <w:vAlign w:val="center"/>
            <w:hideMark/>
          </w:tcPr>
          <w:p w:rsidR="006F27B8" w:rsidRPr="000559B7" w:rsidRDefault="006F27B8" w:rsidP="001C6C0F">
            <w:pPr>
              <w:rPr>
                <w:b/>
                <w:bCs/>
                <w:lang w:val="ru-RU"/>
              </w:rPr>
            </w:pPr>
            <w:r w:rsidRPr="000559B7">
              <w:rPr>
                <w:b/>
                <w:bCs/>
                <w:lang w:val="ru-RU"/>
              </w:rPr>
              <w:t>Ито</w:t>
            </w:r>
            <w:bookmarkStart w:id="1" w:name="_GoBack"/>
            <w:bookmarkEnd w:id="1"/>
            <w:r w:rsidRPr="000559B7">
              <w:rPr>
                <w:b/>
                <w:bCs/>
                <w:lang w:val="ru-RU"/>
              </w:rPr>
              <w:t>го</w:t>
            </w:r>
          </w:p>
        </w:tc>
        <w:tc>
          <w:tcPr>
            <w:tcW w:w="611"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rPr>
                <w:b/>
                <w:bCs/>
                <w:lang w:val="ru-RU"/>
              </w:rPr>
            </w:pPr>
            <w:r w:rsidRPr="000559B7">
              <w:rPr>
                <w:b/>
                <w:bCs/>
                <w:lang w:val="ru-RU"/>
              </w:rPr>
              <w:t xml:space="preserve">          78,009 </w:t>
            </w:r>
          </w:p>
        </w:tc>
        <w:tc>
          <w:tcPr>
            <w:tcW w:w="764"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4C451A">
            <w:pPr>
              <w:jc w:val="right"/>
              <w:rPr>
                <w:b/>
                <w:bCs/>
                <w:lang w:val="ru-RU"/>
              </w:rPr>
            </w:pPr>
            <w:r w:rsidRPr="000559B7">
              <w:rPr>
                <w:b/>
                <w:bCs/>
                <w:lang w:val="ru-RU"/>
              </w:rPr>
              <w:t xml:space="preserve">               100 </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b/>
                <w:bCs/>
                <w:lang w:val="ru-RU"/>
              </w:rPr>
            </w:pPr>
            <w:r w:rsidRPr="000559B7">
              <w:rPr>
                <w:b/>
                <w:bCs/>
                <w:lang w:val="ru-RU"/>
              </w:rPr>
              <w:t>11 846 512</w:t>
            </w:r>
          </w:p>
        </w:tc>
        <w:tc>
          <w:tcPr>
            <w:tcW w:w="612"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b/>
                <w:bCs/>
                <w:lang w:val="ru-RU"/>
              </w:rPr>
            </w:pPr>
            <w:r w:rsidRPr="000559B7">
              <w:rPr>
                <w:b/>
                <w:bCs/>
                <w:lang w:val="ru-RU"/>
              </w:rPr>
              <w:t>12 562 092</w:t>
            </w:r>
          </w:p>
        </w:tc>
        <w:tc>
          <w:tcPr>
            <w:tcW w:w="968" w:type="pct"/>
            <w:tcBorders>
              <w:top w:val="nil"/>
              <w:left w:val="nil"/>
              <w:bottom w:val="single" w:sz="4" w:space="0" w:color="auto"/>
              <w:right w:val="single" w:sz="4" w:space="0" w:color="auto"/>
            </w:tcBorders>
            <w:shd w:val="clear" w:color="auto" w:fill="auto"/>
            <w:noWrap/>
            <w:vAlign w:val="center"/>
            <w:hideMark/>
          </w:tcPr>
          <w:p w:rsidR="006F27B8" w:rsidRPr="000559B7" w:rsidRDefault="006F27B8" w:rsidP="001C6C0F">
            <w:pPr>
              <w:jc w:val="right"/>
              <w:rPr>
                <w:b/>
                <w:bCs/>
                <w:lang w:val="ru-RU"/>
              </w:rPr>
            </w:pPr>
            <w:r w:rsidRPr="000559B7">
              <w:rPr>
                <w:b/>
                <w:bCs/>
                <w:lang w:val="ru-RU"/>
              </w:rPr>
              <w:t>24 408 604</w:t>
            </w:r>
          </w:p>
        </w:tc>
      </w:tr>
      <w:tr w:rsidR="006F27B8" w:rsidRPr="000559B7" w:rsidTr="00FE3DCB">
        <w:trPr>
          <w:trHeight w:val="276"/>
        </w:trPr>
        <w:tc>
          <w:tcPr>
            <w:tcW w:w="1432" w:type="pct"/>
            <w:tcBorders>
              <w:top w:val="nil"/>
              <w:left w:val="nil"/>
              <w:bottom w:val="nil"/>
              <w:right w:val="nil"/>
            </w:tcBorders>
            <w:shd w:val="clear" w:color="auto" w:fill="auto"/>
            <w:vAlign w:val="center"/>
            <w:hideMark/>
          </w:tcPr>
          <w:p w:rsidR="006F27B8" w:rsidRPr="000559B7" w:rsidRDefault="006F27B8" w:rsidP="001C6C0F">
            <w:pPr>
              <w:rPr>
                <w:highlight w:val="magenta"/>
                <w:lang w:val="ru-RU"/>
              </w:rPr>
            </w:pPr>
          </w:p>
        </w:tc>
        <w:tc>
          <w:tcPr>
            <w:tcW w:w="611" w:type="pct"/>
            <w:tcBorders>
              <w:top w:val="nil"/>
              <w:left w:val="nil"/>
              <w:bottom w:val="nil"/>
              <w:right w:val="nil"/>
            </w:tcBorders>
            <w:shd w:val="clear" w:color="auto" w:fill="auto"/>
            <w:noWrap/>
            <w:vAlign w:val="center"/>
            <w:hideMark/>
          </w:tcPr>
          <w:p w:rsidR="006F27B8" w:rsidRPr="000559B7" w:rsidRDefault="006F27B8" w:rsidP="001C6C0F">
            <w:pPr>
              <w:rPr>
                <w:highlight w:val="magenta"/>
                <w:lang w:val="ru-RU"/>
              </w:rPr>
            </w:pPr>
          </w:p>
        </w:tc>
        <w:tc>
          <w:tcPr>
            <w:tcW w:w="764" w:type="pct"/>
            <w:tcBorders>
              <w:top w:val="nil"/>
              <w:left w:val="nil"/>
              <w:bottom w:val="nil"/>
              <w:right w:val="nil"/>
            </w:tcBorders>
            <w:shd w:val="clear" w:color="auto" w:fill="auto"/>
            <w:noWrap/>
            <w:vAlign w:val="center"/>
            <w:hideMark/>
          </w:tcPr>
          <w:p w:rsidR="006F27B8" w:rsidRPr="000559B7" w:rsidRDefault="006F27B8" w:rsidP="001C6C0F">
            <w:pPr>
              <w:rPr>
                <w:highlight w:val="magenta"/>
                <w:lang w:val="ru-RU"/>
              </w:rPr>
            </w:pPr>
          </w:p>
        </w:tc>
        <w:tc>
          <w:tcPr>
            <w:tcW w:w="612" w:type="pct"/>
            <w:tcBorders>
              <w:top w:val="nil"/>
              <w:left w:val="nil"/>
              <w:bottom w:val="nil"/>
              <w:right w:val="nil"/>
            </w:tcBorders>
            <w:shd w:val="clear" w:color="auto" w:fill="auto"/>
            <w:noWrap/>
            <w:vAlign w:val="center"/>
            <w:hideMark/>
          </w:tcPr>
          <w:p w:rsidR="006F27B8" w:rsidRPr="000559B7" w:rsidRDefault="006F27B8" w:rsidP="001C6C0F">
            <w:pPr>
              <w:rPr>
                <w:highlight w:val="magenta"/>
                <w:lang w:val="ru-RU"/>
              </w:rPr>
            </w:pPr>
          </w:p>
        </w:tc>
        <w:tc>
          <w:tcPr>
            <w:tcW w:w="612" w:type="pct"/>
            <w:tcBorders>
              <w:top w:val="nil"/>
              <w:left w:val="nil"/>
              <w:bottom w:val="nil"/>
              <w:right w:val="nil"/>
            </w:tcBorders>
            <w:shd w:val="clear" w:color="auto" w:fill="auto"/>
            <w:noWrap/>
            <w:vAlign w:val="center"/>
            <w:hideMark/>
          </w:tcPr>
          <w:p w:rsidR="006F27B8" w:rsidRPr="000559B7" w:rsidRDefault="006F27B8" w:rsidP="001C6C0F">
            <w:pPr>
              <w:rPr>
                <w:highlight w:val="magenta"/>
                <w:lang w:val="ru-RU"/>
              </w:rPr>
            </w:pPr>
          </w:p>
        </w:tc>
        <w:tc>
          <w:tcPr>
            <w:tcW w:w="968" w:type="pct"/>
            <w:tcBorders>
              <w:top w:val="nil"/>
              <w:left w:val="nil"/>
              <w:bottom w:val="nil"/>
              <w:right w:val="nil"/>
            </w:tcBorders>
            <w:shd w:val="clear" w:color="auto" w:fill="auto"/>
            <w:noWrap/>
            <w:vAlign w:val="center"/>
            <w:hideMark/>
          </w:tcPr>
          <w:p w:rsidR="006F27B8" w:rsidRPr="000559B7" w:rsidRDefault="006F27B8" w:rsidP="001C6C0F">
            <w:pPr>
              <w:rPr>
                <w:highlight w:val="magenta"/>
                <w:lang w:val="ru-RU"/>
              </w:rPr>
            </w:pPr>
          </w:p>
        </w:tc>
      </w:tr>
    </w:tbl>
    <w:p w:rsidR="001C6C0F" w:rsidRPr="000559B7" w:rsidRDefault="001C6C0F" w:rsidP="001C6C0F">
      <w:pPr>
        <w:rPr>
          <w:lang w:val="ru-RU"/>
        </w:rPr>
      </w:pPr>
    </w:p>
    <w:p w:rsidR="002F64CA" w:rsidRPr="000559B7" w:rsidRDefault="001C6C0F" w:rsidP="0007306A">
      <w:pPr>
        <w:pStyle w:val="Default"/>
        <w:keepNext/>
        <w:spacing w:after="120"/>
        <w:ind w:left="907" w:hanging="907"/>
        <w:jc w:val="center"/>
        <w:rPr>
          <w:b/>
          <w:bCs/>
          <w:sz w:val="20"/>
          <w:szCs w:val="20"/>
          <w:lang w:val="ru-RU"/>
        </w:rPr>
      </w:pPr>
      <w:r w:rsidRPr="000559B7">
        <w:rPr>
          <w:b/>
          <w:bCs/>
          <w:sz w:val="20"/>
          <w:szCs w:val="20"/>
          <w:lang w:val="ru-RU"/>
        </w:rPr>
        <w:t>__________</w:t>
      </w:r>
    </w:p>
    <w:sectPr w:rsidR="002F64CA" w:rsidRPr="000559B7" w:rsidSect="005535C2">
      <w:pgSz w:w="15840" w:h="12240" w:orient="landscape" w:code="1"/>
      <w:pgMar w:top="1440" w:right="1134" w:bottom="1143"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C11" w:rsidRDefault="00831C11" w:rsidP="00451B9F">
      <w:r>
        <w:separator/>
      </w:r>
    </w:p>
  </w:endnote>
  <w:endnote w:type="continuationSeparator" w:id="0">
    <w:p w:rsidR="00831C11" w:rsidRDefault="00831C11" w:rsidP="00451B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C11" w:rsidRDefault="00831C11" w:rsidP="00451B9F">
      <w:r>
        <w:separator/>
      </w:r>
    </w:p>
  </w:footnote>
  <w:footnote w:type="continuationSeparator" w:id="0">
    <w:p w:rsidR="00831C11" w:rsidRDefault="00831C11" w:rsidP="00451B9F">
      <w:r>
        <w:continuationSeparator/>
      </w:r>
    </w:p>
  </w:footnote>
  <w:footnote w:id="1">
    <w:p w:rsidR="006214F3" w:rsidRPr="00621DF0" w:rsidRDefault="006214F3" w:rsidP="00037173">
      <w:pPr>
        <w:pStyle w:val="Paragraphedeliste"/>
        <w:spacing w:after="60"/>
        <w:ind w:left="0"/>
        <w:contextualSpacing w:val="0"/>
        <w:jc w:val="left"/>
        <w:rPr>
          <w:kern w:val="18"/>
          <w:szCs w:val="18"/>
          <w:lang w:val="ru-RU"/>
        </w:rPr>
      </w:pPr>
      <w:r w:rsidRPr="00806D57">
        <w:rPr>
          <w:rStyle w:val="Appelnotedebasdep"/>
          <w:kern w:val="18"/>
          <w:sz w:val="18"/>
          <w:szCs w:val="18"/>
          <w:lang w:val="en-GB"/>
        </w:rPr>
        <w:footnoteRef/>
      </w:r>
      <w:r w:rsidRPr="00B6390D">
        <w:rPr>
          <w:kern w:val="18"/>
          <w:sz w:val="18"/>
          <w:szCs w:val="18"/>
          <w:lang w:val="ru-RU"/>
        </w:rPr>
        <w:t xml:space="preserve"> </w:t>
      </w:r>
      <w:r>
        <w:rPr>
          <w:kern w:val="18"/>
          <w:sz w:val="18"/>
          <w:szCs w:val="18"/>
          <w:lang w:val="ru-RU"/>
        </w:rPr>
        <w:t>См. с</w:t>
      </w:r>
      <w:r w:rsidRPr="00621DF0">
        <w:rPr>
          <w:kern w:val="18"/>
          <w:sz w:val="18"/>
          <w:szCs w:val="18"/>
          <w:lang w:val="ru-RU"/>
        </w:rPr>
        <w:t>носк</w:t>
      </w:r>
      <w:r>
        <w:rPr>
          <w:kern w:val="18"/>
          <w:sz w:val="18"/>
          <w:szCs w:val="18"/>
          <w:lang w:val="ru-RU"/>
        </w:rPr>
        <w:t>у</w:t>
      </w:r>
      <w:r w:rsidRPr="00B6390D">
        <w:rPr>
          <w:kern w:val="18"/>
          <w:sz w:val="18"/>
          <w:szCs w:val="18"/>
          <w:lang w:val="ru-RU"/>
        </w:rPr>
        <w:t xml:space="preserve"> </w:t>
      </w:r>
      <w:r w:rsidRPr="00621DF0">
        <w:rPr>
          <w:kern w:val="18"/>
          <w:sz w:val="18"/>
          <w:szCs w:val="18"/>
          <w:lang w:val="ru-RU"/>
        </w:rPr>
        <w:t>к</w:t>
      </w:r>
      <w:r w:rsidRPr="00B6390D">
        <w:rPr>
          <w:kern w:val="18"/>
          <w:sz w:val="18"/>
          <w:szCs w:val="18"/>
          <w:lang w:val="ru-RU"/>
        </w:rPr>
        <w:t xml:space="preserve"> </w:t>
      </w:r>
      <w:r>
        <w:rPr>
          <w:kern w:val="18"/>
          <w:sz w:val="18"/>
          <w:szCs w:val="18"/>
          <w:lang w:val="ru-RU"/>
        </w:rPr>
        <w:t>таблице</w:t>
      </w:r>
      <w:r w:rsidRPr="00B6390D">
        <w:rPr>
          <w:kern w:val="18"/>
          <w:sz w:val="18"/>
          <w:szCs w:val="18"/>
          <w:lang w:val="ru-RU"/>
        </w:rPr>
        <w:t xml:space="preserve"> </w:t>
      </w:r>
      <w:r w:rsidRPr="00621DF0">
        <w:rPr>
          <w:kern w:val="18"/>
          <w:sz w:val="18"/>
          <w:szCs w:val="18"/>
          <w:lang w:val="ru-RU"/>
        </w:rPr>
        <w:t>6</w:t>
      </w:r>
      <w:r>
        <w:rPr>
          <w:kern w:val="18"/>
          <w:sz w:val="18"/>
          <w:szCs w:val="18"/>
          <w:lang w:val="ru-RU"/>
        </w:rPr>
        <w:t xml:space="preserve">. </w:t>
      </w:r>
      <w:r w:rsidRPr="00621DF0">
        <w:rPr>
          <w:kern w:val="18"/>
          <w:sz w:val="18"/>
          <w:szCs w:val="18"/>
          <w:lang w:val="ru-RU"/>
        </w:rPr>
        <w:t>В соответствии с резолюцией 70/245 Генеральной Ассамблеи</w:t>
      </w:r>
      <w:r>
        <w:rPr>
          <w:kern w:val="18"/>
          <w:sz w:val="18"/>
          <w:szCs w:val="18"/>
          <w:lang w:val="ru-RU"/>
        </w:rPr>
        <w:t xml:space="preserve"> Организации Объединенных Наций</w:t>
      </w:r>
      <w:r w:rsidRPr="00621DF0">
        <w:rPr>
          <w:kern w:val="18"/>
          <w:sz w:val="18"/>
          <w:szCs w:val="18"/>
          <w:lang w:val="ru-RU"/>
        </w:rPr>
        <w:t xml:space="preserve">. </w:t>
      </w:r>
    </w:p>
  </w:footnote>
  <w:footnote w:id="2">
    <w:p w:rsidR="006214F3" w:rsidRPr="00451F9C" w:rsidRDefault="006214F3" w:rsidP="00A54B0E">
      <w:pPr>
        <w:pStyle w:val="Notedebasdepage"/>
        <w:ind w:firstLine="0"/>
        <w:jc w:val="left"/>
        <w:rPr>
          <w:kern w:val="18"/>
          <w:szCs w:val="18"/>
          <w:lang w:val="en-GB"/>
        </w:rPr>
      </w:pPr>
      <w:r w:rsidRPr="00451F9C">
        <w:rPr>
          <w:rStyle w:val="Appelnotedebasdep"/>
          <w:kern w:val="18"/>
          <w:szCs w:val="18"/>
          <w:lang w:val="en-GB"/>
        </w:rPr>
        <w:footnoteRef/>
      </w:r>
      <w:r w:rsidRPr="00451F9C">
        <w:rPr>
          <w:kern w:val="18"/>
          <w:szCs w:val="18"/>
          <w:lang w:val="en-GB"/>
        </w:rPr>
        <w:t xml:space="preserve"> </w:t>
      </w:r>
      <w:hyperlink r:id="rId1" w:history="1">
        <w:proofErr w:type="gramStart"/>
        <w:r w:rsidRPr="00451F9C">
          <w:rPr>
            <w:rStyle w:val="Lienhypertexte"/>
            <w:rFonts w:eastAsia="Malgun Gothic"/>
            <w:kern w:val="18"/>
            <w:szCs w:val="18"/>
          </w:rPr>
          <w:t>CBD/COP</w:t>
        </w:r>
        <w:r w:rsidRPr="00000BF5">
          <w:rPr>
            <w:rStyle w:val="Lienhypertexte"/>
            <w:rFonts w:eastAsia="Malgun Gothic"/>
            <w:iCs/>
            <w:kern w:val="18"/>
            <w:szCs w:val="18"/>
            <w:lang w:val="en-GB" w:eastAsia="ko-KR"/>
          </w:rPr>
          <w:t>/</w:t>
        </w:r>
        <w:r w:rsidRPr="00451F9C">
          <w:rPr>
            <w:rStyle w:val="Lienhypertexte"/>
            <w:rFonts w:eastAsia="Malgun Gothic"/>
            <w:kern w:val="18"/>
            <w:szCs w:val="18"/>
          </w:rPr>
          <w:t>14/4</w:t>
        </w:r>
      </w:hyperlink>
      <w:r w:rsidRPr="00451F9C">
        <w:rPr>
          <w:rFonts w:eastAsia="Malgun Gothic"/>
          <w:iCs/>
          <w:kern w:val="18"/>
          <w:szCs w:val="18"/>
          <w:lang w:val="en-GB" w:eastAsia="ko-KR"/>
        </w:rPr>
        <w:t>.</w:t>
      </w:r>
      <w:proofErr w:type="gramEnd"/>
    </w:p>
  </w:footnote>
  <w:footnote w:id="3">
    <w:p w:rsidR="006214F3" w:rsidRPr="00451F9C" w:rsidRDefault="006214F3" w:rsidP="00A54B0E">
      <w:pPr>
        <w:pStyle w:val="Notedebasdepage"/>
        <w:ind w:firstLine="0"/>
        <w:jc w:val="left"/>
        <w:rPr>
          <w:kern w:val="18"/>
          <w:szCs w:val="18"/>
          <w:lang w:val="en-GB"/>
        </w:rPr>
      </w:pPr>
      <w:r w:rsidRPr="00451F9C">
        <w:rPr>
          <w:rStyle w:val="Appelnotedebasdep"/>
          <w:kern w:val="18"/>
          <w:szCs w:val="18"/>
          <w:lang w:val="en-GB"/>
        </w:rPr>
        <w:footnoteRef/>
      </w:r>
      <w:r w:rsidRPr="00451F9C">
        <w:rPr>
          <w:kern w:val="18"/>
          <w:szCs w:val="18"/>
          <w:lang w:val="en-GB"/>
        </w:rPr>
        <w:t xml:space="preserve"> </w:t>
      </w:r>
      <w:r w:rsidRPr="00A54B0E">
        <w:rPr>
          <w:kern w:val="18"/>
          <w:szCs w:val="18"/>
          <w:lang w:val="ru-RU"/>
        </w:rPr>
        <w:t xml:space="preserve">См. </w:t>
      </w:r>
      <w:hyperlink r:id="rId2" w:history="1">
        <w:r w:rsidRPr="00B62A6B">
          <w:t xml:space="preserve">резолюцию Генеральной Ассамблеи </w:t>
        </w:r>
        <w:r w:rsidRPr="00A54B0E">
          <w:rPr>
            <w:rStyle w:val="Lienhypertexte"/>
            <w:kern w:val="18"/>
            <w:szCs w:val="18"/>
            <w:lang w:val="ru-RU"/>
          </w:rPr>
          <w:t>60/283</w:t>
        </w:r>
        <w:r w:rsidRPr="00B62A6B">
          <w:t>, раздел IV</w:t>
        </w:r>
      </w:hyperlink>
      <w:r w:rsidRPr="00A54B0E">
        <w:rPr>
          <w:kern w:val="18"/>
          <w:szCs w:val="18"/>
          <w:lang w:val="ru-RU"/>
        </w:rPr>
        <w:t>.</w:t>
      </w:r>
    </w:p>
  </w:footnote>
  <w:footnote w:id="4">
    <w:p w:rsidR="006214F3" w:rsidRPr="00451F9C" w:rsidRDefault="006214F3" w:rsidP="00A54B0E">
      <w:pPr>
        <w:pStyle w:val="Notedebasdepage"/>
        <w:ind w:firstLine="0"/>
        <w:jc w:val="left"/>
        <w:rPr>
          <w:kern w:val="18"/>
          <w:szCs w:val="18"/>
          <w:lang w:val="en-GB"/>
        </w:rPr>
      </w:pPr>
      <w:r w:rsidRPr="00451F9C">
        <w:rPr>
          <w:rStyle w:val="Appelnotedebasdep"/>
          <w:kern w:val="18"/>
          <w:szCs w:val="18"/>
          <w:lang w:val="en-GB"/>
        </w:rPr>
        <w:footnoteRef/>
      </w:r>
      <w:r w:rsidRPr="00451F9C">
        <w:rPr>
          <w:kern w:val="18"/>
          <w:szCs w:val="18"/>
          <w:lang w:val="en-GB"/>
        </w:rPr>
        <w:t xml:space="preserve"> </w:t>
      </w:r>
      <w:r>
        <w:rPr>
          <w:kern w:val="18"/>
          <w:szCs w:val="18"/>
          <w:lang w:val="ru-RU"/>
        </w:rPr>
        <w:t>См.</w:t>
      </w:r>
      <w:r w:rsidRPr="006F27B8">
        <w:rPr>
          <w:kern w:val="18"/>
          <w:szCs w:val="18"/>
          <w:lang w:val="ru-RU"/>
        </w:rPr>
        <w:t xml:space="preserve"> </w:t>
      </w:r>
      <w:r>
        <w:rPr>
          <w:kern w:val="18"/>
          <w:szCs w:val="18"/>
          <w:lang w:val="ru-RU"/>
        </w:rPr>
        <w:t xml:space="preserve">раздел </w:t>
      </w:r>
      <w:r>
        <w:rPr>
          <w:kern w:val="18"/>
          <w:szCs w:val="18"/>
          <w:lang w:val="fr-FR"/>
        </w:rPr>
        <w:t>I</w:t>
      </w:r>
      <w:r w:rsidRPr="006F27B8">
        <w:rPr>
          <w:kern w:val="18"/>
          <w:szCs w:val="18"/>
          <w:lang w:val="ru-RU"/>
        </w:rPr>
        <w:t xml:space="preserve"> </w:t>
      </w:r>
      <w:r>
        <w:rPr>
          <w:kern w:val="18"/>
          <w:szCs w:val="18"/>
          <w:lang w:val="ru-RU"/>
        </w:rPr>
        <w:t xml:space="preserve">документа </w:t>
      </w:r>
      <w:hyperlink r:id="rId3" w:history="1">
        <w:r w:rsidRPr="00451F9C">
          <w:rPr>
            <w:rStyle w:val="Lienhypertexte"/>
            <w:kern w:val="18"/>
            <w:szCs w:val="18"/>
            <w:lang w:val="en-GB"/>
          </w:rPr>
          <w:t>CBD/SBI/2/22</w:t>
        </w:r>
      </w:hyperlink>
      <w:r w:rsidRPr="00451F9C">
        <w:rPr>
          <w:kern w:val="18"/>
          <w:szCs w:val="18"/>
          <w:lang w:val="en-GB"/>
        </w:rPr>
        <w:t>.</w:t>
      </w:r>
    </w:p>
  </w:footnote>
  <w:footnote w:id="5">
    <w:p w:rsidR="006214F3" w:rsidRPr="00451F9C" w:rsidRDefault="006214F3" w:rsidP="007A6C3D">
      <w:pPr>
        <w:pStyle w:val="Notedebasdepage"/>
        <w:ind w:firstLine="0"/>
        <w:jc w:val="left"/>
        <w:rPr>
          <w:kern w:val="18"/>
          <w:szCs w:val="18"/>
          <w:lang w:val="en-GB"/>
        </w:rPr>
      </w:pPr>
      <w:r w:rsidRPr="00451F9C">
        <w:rPr>
          <w:rStyle w:val="Appelnotedebasdep"/>
          <w:kern w:val="18"/>
          <w:szCs w:val="18"/>
          <w:lang w:val="en-GB"/>
        </w:rPr>
        <w:footnoteRef/>
      </w:r>
      <w:r w:rsidRPr="00451F9C">
        <w:rPr>
          <w:kern w:val="18"/>
          <w:szCs w:val="18"/>
          <w:lang w:val="en-GB"/>
        </w:rPr>
        <w:t xml:space="preserve"> </w:t>
      </w:r>
      <w:r>
        <w:rPr>
          <w:kern w:val="18"/>
          <w:szCs w:val="18"/>
          <w:lang w:val="ru-RU"/>
        </w:rPr>
        <w:t xml:space="preserve">См. </w:t>
      </w:r>
      <w:r w:rsidRPr="000559B7">
        <w:rPr>
          <w:color w:val="000000"/>
          <w:szCs w:val="22"/>
          <w:lang w:val="ru-RU"/>
        </w:rPr>
        <w:t xml:space="preserve">приложение к решению </w:t>
      </w:r>
      <w:hyperlink r:id="rId4" w:history="1">
        <w:r w:rsidRPr="00451F9C">
          <w:rPr>
            <w:rStyle w:val="Lienhypertexte"/>
            <w:kern w:val="18"/>
            <w:szCs w:val="18"/>
          </w:rPr>
          <w:t>IX/34</w:t>
        </w:r>
      </w:hyperlink>
      <w:r w:rsidRPr="00451F9C">
        <w:rPr>
          <w:color w:val="000000"/>
          <w:kern w:val="18"/>
          <w:szCs w:val="18"/>
          <w:lang w:val="en-GB"/>
        </w:rPr>
        <w:t>.</w:t>
      </w:r>
    </w:p>
  </w:footnote>
  <w:footnote w:id="6">
    <w:p w:rsidR="006214F3" w:rsidRPr="009B10A2" w:rsidRDefault="006214F3" w:rsidP="0052494F">
      <w:pPr>
        <w:pStyle w:val="Notedebasdepage"/>
        <w:rPr>
          <w:lang w:val="ru-RU"/>
        </w:rPr>
      </w:pPr>
      <w:r w:rsidRPr="00351EDD">
        <w:rPr>
          <w:rStyle w:val="Appelnotedebasdep"/>
        </w:rPr>
        <w:footnoteRef/>
      </w:r>
      <w:r w:rsidRPr="009B10A2">
        <w:rPr>
          <w:lang w:val="ru-RU"/>
        </w:rPr>
        <w:t xml:space="preserve"> </w:t>
      </w:r>
      <w:r>
        <w:rPr>
          <w:lang w:val="ru-RU"/>
        </w:rPr>
        <w:t>В</w:t>
      </w:r>
      <w:r w:rsidRPr="009B10A2">
        <w:rPr>
          <w:lang w:val="ru-RU"/>
        </w:rPr>
        <w:t xml:space="preserve"> 2020 </w:t>
      </w:r>
      <w:r>
        <w:rPr>
          <w:lang w:val="ru-RU"/>
        </w:rPr>
        <w:t>году</w:t>
      </w:r>
      <w:r w:rsidRPr="009B10A2">
        <w:rPr>
          <w:lang w:val="ru-RU"/>
        </w:rPr>
        <w:t xml:space="preserve"> </w:t>
      </w:r>
      <w:r>
        <w:rPr>
          <w:lang w:val="ru-RU"/>
        </w:rPr>
        <w:t>ожидается</w:t>
      </w:r>
      <w:r w:rsidRPr="009B10A2">
        <w:rPr>
          <w:lang w:val="ru-RU"/>
        </w:rPr>
        <w:t xml:space="preserve"> </w:t>
      </w:r>
      <w:r>
        <w:rPr>
          <w:lang w:val="ru-RU"/>
        </w:rPr>
        <w:t>прекращение</w:t>
      </w:r>
      <w:r w:rsidRPr="009B10A2">
        <w:rPr>
          <w:lang w:val="ru-RU"/>
        </w:rPr>
        <w:t xml:space="preserve"> </w:t>
      </w:r>
      <w:r>
        <w:rPr>
          <w:lang w:val="ru-RU"/>
        </w:rPr>
        <w:t>деятельности</w:t>
      </w:r>
      <w:r w:rsidRPr="009B10A2">
        <w:rPr>
          <w:lang w:val="ru-RU"/>
        </w:rPr>
        <w:t xml:space="preserve"> </w:t>
      </w:r>
      <w:r>
        <w:rPr>
          <w:lang w:val="ru-RU"/>
        </w:rPr>
        <w:t>Фонда</w:t>
      </w:r>
      <w:r w:rsidRPr="009B10A2">
        <w:rPr>
          <w:lang w:val="ru-RU"/>
        </w:rPr>
        <w:t xml:space="preserve"> </w:t>
      </w:r>
      <w:r>
        <w:rPr>
          <w:lang w:val="ru-RU"/>
        </w:rPr>
        <w:t>биоразнообразия</w:t>
      </w:r>
      <w:r w:rsidRPr="009B10A2">
        <w:rPr>
          <w:lang w:val="ru-RU"/>
        </w:rPr>
        <w:t xml:space="preserve"> </w:t>
      </w:r>
      <w:r>
        <w:rPr>
          <w:lang w:val="ru-RU"/>
        </w:rPr>
        <w:t>Японии</w:t>
      </w:r>
      <w:r w:rsidRPr="009B10A2">
        <w:rPr>
          <w:rFonts w:eastAsia="Malgun Gothic"/>
          <w:iCs/>
          <w:kern w:val="18"/>
          <w:lang w:val="ru-RU"/>
        </w:rPr>
        <w:t xml:space="preserve">, </w:t>
      </w:r>
      <w:r>
        <w:rPr>
          <w:rFonts w:eastAsia="Malgun Gothic"/>
          <w:iCs/>
          <w:kern w:val="18"/>
          <w:lang w:val="ru-RU"/>
        </w:rPr>
        <w:t xml:space="preserve">в </w:t>
      </w:r>
      <w:proofErr w:type="gramStart"/>
      <w:r>
        <w:rPr>
          <w:rFonts w:eastAsia="Malgun Gothic"/>
          <w:iCs/>
          <w:kern w:val="18"/>
          <w:lang w:val="ru-RU"/>
        </w:rPr>
        <w:t>связи</w:t>
      </w:r>
      <w:proofErr w:type="gramEnd"/>
      <w:r>
        <w:rPr>
          <w:rFonts w:eastAsia="Malgun Gothic"/>
          <w:iCs/>
          <w:kern w:val="18"/>
          <w:lang w:val="ru-RU"/>
        </w:rPr>
        <w:t xml:space="preserve"> с чем взносы должны быть внесены до конца </w:t>
      </w:r>
      <w:r w:rsidRPr="009B10A2">
        <w:rPr>
          <w:rFonts w:eastAsia="Malgun Gothic"/>
          <w:iCs/>
          <w:kern w:val="18"/>
          <w:lang w:val="ru-RU"/>
        </w:rPr>
        <w:t>2020</w:t>
      </w:r>
      <w:r>
        <w:rPr>
          <w:rFonts w:eastAsia="Malgun Gothic"/>
          <w:iCs/>
          <w:kern w:val="18"/>
          <w:lang w:val="ru-RU"/>
        </w:rPr>
        <w:t xml:space="preserve"> года</w:t>
      </w:r>
      <w:r w:rsidRPr="009B10A2">
        <w:rPr>
          <w:rFonts w:eastAsia="Malgun Gothic"/>
          <w:iCs/>
          <w:kern w:val="18"/>
          <w:lang w:val="ru-RU"/>
        </w:rPr>
        <w:t>.</w:t>
      </w:r>
    </w:p>
  </w:footnote>
  <w:footnote w:id="7">
    <w:p w:rsidR="006214F3" w:rsidRPr="009B10A2" w:rsidRDefault="006214F3" w:rsidP="009B10A2">
      <w:pPr>
        <w:pStyle w:val="Notedebasdepage"/>
        <w:rPr>
          <w:lang w:val="ru-RU"/>
        </w:rPr>
      </w:pPr>
      <w:r w:rsidRPr="00351EDD">
        <w:rPr>
          <w:rStyle w:val="Appelnotedebasdep"/>
        </w:rPr>
        <w:footnoteRef/>
      </w:r>
      <w:r w:rsidRPr="009B10A2">
        <w:rPr>
          <w:lang w:val="ru-RU"/>
        </w:rPr>
        <w:t xml:space="preserve"> </w:t>
      </w:r>
      <w:r>
        <w:rPr>
          <w:lang w:val="ru-RU"/>
        </w:rPr>
        <w:t>Исключительные</w:t>
      </w:r>
      <w:r w:rsidRPr="009B10A2">
        <w:rPr>
          <w:lang w:val="ru-RU"/>
        </w:rPr>
        <w:t xml:space="preserve"> </w:t>
      </w:r>
      <w:r>
        <w:rPr>
          <w:lang w:val="ru-RU"/>
        </w:rPr>
        <w:t>обстоятельства</w:t>
      </w:r>
      <w:r w:rsidRPr="009B10A2">
        <w:rPr>
          <w:lang w:val="ru-RU"/>
        </w:rPr>
        <w:t xml:space="preserve"> </w:t>
      </w:r>
      <w:r>
        <w:rPr>
          <w:lang w:val="ru-RU"/>
        </w:rPr>
        <w:t>будут</w:t>
      </w:r>
      <w:r w:rsidRPr="009B10A2">
        <w:rPr>
          <w:lang w:val="ru-RU"/>
        </w:rPr>
        <w:t xml:space="preserve"> </w:t>
      </w:r>
      <w:r>
        <w:rPr>
          <w:lang w:val="ru-RU"/>
        </w:rPr>
        <w:t>включать</w:t>
      </w:r>
      <w:r w:rsidRPr="009B10A2">
        <w:rPr>
          <w:lang w:val="ru-RU"/>
        </w:rPr>
        <w:t xml:space="preserve"> </w:t>
      </w:r>
      <w:r>
        <w:rPr>
          <w:lang w:val="ru-RU"/>
        </w:rPr>
        <w:t>ситуации</w:t>
      </w:r>
      <w:r w:rsidRPr="009B10A2">
        <w:rPr>
          <w:lang w:val="ru-RU"/>
        </w:rPr>
        <w:t xml:space="preserve">, </w:t>
      </w:r>
      <w:r>
        <w:rPr>
          <w:lang w:val="ru-RU"/>
        </w:rPr>
        <w:t>в</w:t>
      </w:r>
      <w:r w:rsidRPr="009B10A2">
        <w:rPr>
          <w:lang w:val="ru-RU"/>
        </w:rPr>
        <w:t xml:space="preserve"> </w:t>
      </w:r>
      <w:r>
        <w:rPr>
          <w:lang w:val="ru-RU"/>
        </w:rPr>
        <w:t>которых</w:t>
      </w:r>
      <w:r w:rsidRPr="009B10A2">
        <w:rPr>
          <w:lang w:val="ru-RU"/>
        </w:rPr>
        <w:t xml:space="preserve"> </w:t>
      </w:r>
      <w:r>
        <w:rPr>
          <w:lang w:val="ru-RU"/>
        </w:rPr>
        <w:t>за</w:t>
      </w:r>
      <w:r w:rsidRPr="009B10A2">
        <w:rPr>
          <w:lang w:val="ru-RU"/>
        </w:rPr>
        <w:t xml:space="preserve"> 3 </w:t>
      </w:r>
      <w:r>
        <w:rPr>
          <w:lang w:val="ru-RU"/>
        </w:rPr>
        <w:t>месяца</w:t>
      </w:r>
      <w:r w:rsidRPr="009B10A2">
        <w:rPr>
          <w:lang w:val="ru-RU"/>
        </w:rPr>
        <w:t xml:space="preserve"> </w:t>
      </w:r>
      <w:r>
        <w:rPr>
          <w:lang w:val="ru-RU"/>
        </w:rPr>
        <w:t>до</w:t>
      </w:r>
      <w:r w:rsidRPr="009B10A2">
        <w:rPr>
          <w:lang w:val="ru-RU"/>
        </w:rPr>
        <w:t xml:space="preserve"> </w:t>
      </w:r>
      <w:r>
        <w:rPr>
          <w:lang w:val="ru-RU"/>
        </w:rPr>
        <w:t>совещания</w:t>
      </w:r>
      <w:r w:rsidRPr="009B10A2">
        <w:rPr>
          <w:lang w:val="ru-RU"/>
        </w:rPr>
        <w:t xml:space="preserve"> </w:t>
      </w:r>
      <w:r>
        <w:rPr>
          <w:iCs/>
          <w:color w:val="212121"/>
          <w:szCs w:val="22"/>
          <w:lang w:val="ru-RU"/>
        </w:rPr>
        <w:t>Д</w:t>
      </w:r>
      <w:r w:rsidRPr="000559B7">
        <w:rPr>
          <w:iCs/>
          <w:color w:val="212121"/>
          <w:szCs w:val="22"/>
          <w:lang w:val="ru-RU"/>
        </w:rPr>
        <w:t>иректор</w:t>
      </w:r>
      <w:r>
        <w:rPr>
          <w:iCs/>
          <w:color w:val="212121"/>
          <w:szCs w:val="22"/>
          <w:lang w:val="ru-RU"/>
        </w:rPr>
        <w:t>-и</w:t>
      </w:r>
      <w:r w:rsidRPr="000559B7">
        <w:rPr>
          <w:iCs/>
          <w:color w:val="212121"/>
          <w:szCs w:val="22"/>
          <w:lang w:val="ru-RU"/>
        </w:rPr>
        <w:t>сполнител</w:t>
      </w:r>
      <w:r>
        <w:rPr>
          <w:iCs/>
          <w:color w:val="212121"/>
          <w:szCs w:val="22"/>
          <w:lang w:val="ru-RU"/>
        </w:rPr>
        <w:t>ь</w:t>
      </w:r>
      <w:r w:rsidRPr="009B10A2">
        <w:rPr>
          <w:lang w:val="ru-RU"/>
        </w:rPr>
        <w:t xml:space="preserve"> </w:t>
      </w:r>
      <w:r>
        <w:rPr>
          <w:lang w:val="ru-RU"/>
        </w:rPr>
        <w:t>посчитает</w:t>
      </w:r>
      <w:r w:rsidRPr="009B10A2">
        <w:rPr>
          <w:lang w:val="ru-RU"/>
        </w:rPr>
        <w:t xml:space="preserve">, </w:t>
      </w:r>
      <w:r>
        <w:rPr>
          <w:lang w:val="ru-RU"/>
        </w:rPr>
        <w:t>что</w:t>
      </w:r>
      <w:r w:rsidRPr="009B10A2">
        <w:rPr>
          <w:lang w:val="ru-RU"/>
        </w:rPr>
        <w:t xml:space="preserve"> </w:t>
      </w:r>
      <w:r>
        <w:rPr>
          <w:lang w:val="ru-RU"/>
        </w:rPr>
        <w:t>уровень</w:t>
      </w:r>
      <w:r w:rsidRPr="009B10A2">
        <w:rPr>
          <w:lang w:val="ru-RU"/>
        </w:rPr>
        <w:t xml:space="preserve"> </w:t>
      </w:r>
      <w:r>
        <w:rPr>
          <w:lang w:val="ru-RU"/>
        </w:rPr>
        <w:t>участия</w:t>
      </w:r>
      <w:r w:rsidRPr="009B10A2">
        <w:rPr>
          <w:lang w:val="ru-RU"/>
        </w:rPr>
        <w:t xml:space="preserve"> </w:t>
      </w:r>
      <w:r>
        <w:rPr>
          <w:lang w:val="ru-RU"/>
        </w:rPr>
        <w:t>в</w:t>
      </w:r>
      <w:r w:rsidRPr="009B10A2">
        <w:rPr>
          <w:lang w:val="ru-RU"/>
        </w:rPr>
        <w:t xml:space="preserve"> </w:t>
      </w:r>
      <w:r>
        <w:rPr>
          <w:lang w:val="ru-RU"/>
        </w:rPr>
        <w:t>совещании</w:t>
      </w:r>
      <w:r w:rsidRPr="009B10A2">
        <w:rPr>
          <w:lang w:val="ru-RU"/>
        </w:rPr>
        <w:t xml:space="preserve"> </w:t>
      </w:r>
      <w:r>
        <w:rPr>
          <w:lang w:val="ru-RU"/>
        </w:rPr>
        <w:t>поставлен под угрозу в связи с недостатком сре</w:t>
      </w:r>
      <w:proofErr w:type="gramStart"/>
      <w:r>
        <w:rPr>
          <w:lang w:val="ru-RU"/>
        </w:rPr>
        <w:t>дств в Ц</w:t>
      </w:r>
      <w:proofErr w:type="gramEnd"/>
      <w:r>
        <w:rPr>
          <w:lang w:val="ru-RU"/>
        </w:rPr>
        <w:t xml:space="preserve">елевом фонде </w:t>
      </w:r>
      <w:r w:rsidRPr="00351EDD">
        <w:t>BZ</w:t>
      </w:r>
      <w:r w:rsidRPr="009B10A2">
        <w:rPr>
          <w:lang w:val="ru-RU"/>
        </w:rPr>
        <w:t>.</w:t>
      </w:r>
    </w:p>
  </w:footnote>
  <w:footnote w:id="8">
    <w:p w:rsidR="006214F3" w:rsidRPr="009B10A2" w:rsidRDefault="006214F3" w:rsidP="009B10A2">
      <w:pPr>
        <w:pStyle w:val="Notedebasdepage"/>
        <w:rPr>
          <w:lang w:val="ru-RU"/>
        </w:rPr>
      </w:pPr>
      <w:r w:rsidRPr="00351EDD">
        <w:rPr>
          <w:rStyle w:val="Appelnotedebasdep"/>
        </w:rPr>
        <w:footnoteRef/>
      </w:r>
      <w:r w:rsidRPr="009B10A2">
        <w:rPr>
          <w:lang w:val="ru-RU"/>
        </w:rPr>
        <w:t xml:space="preserve"> </w:t>
      </w:r>
      <w:proofErr w:type="gramStart"/>
      <w:r>
        <w:rPr>
          <w:lang w:val="ru-RU"/>
        </w:rPr>
        <w:t>Приоритетные</w:t>
      </w:r>
      <w:r w:rsidRPr="009B10A2">
        <w:rPr>
          <w:lang w:val="ru-RU"/>
        </w:rPr>
        <w:t xml:space="preserve"> </w:t>
      </w:r>
      <w:r>
        <w:rPr>
          <w:lang w:val="ru-RU"/>
        </w:rPr>
        <w:t>совещания</w:t>
      </w:r>
      <w:r w:rsidRPr="009B10A2">
        <w:rPr>
          <w:lang w:val="ru-RU"/>
        </w:rPr>
        <w:t xml:space="preserve">: </w:t>
      </w:r>
      <w:r>
        <w:rPr>
          <w:lang w:val="ru-RU"/>
        </w:rPr>
        <w:t xml:space="preserve">совещания </w:t>
      </w:r>
      <w:r w:rsidRPr="00876F9C">
        <w:rPr>
          <w:lang w:val="ru-RU"/>
        </w:rPr>
        <w:t>Конференци</w:t>
      </w:r>
      <w:r>
        <w:rPr>
          <w:lang w:val="ru-RU"/>
        </w:rPr>
        <w:t>и</w:t>
      </w:r>
      <w:r w:rsidRPr="00876F9C">
        <w:rPr>
          <w:lang w:val="ru-RU"/>
        </w:rPr>
        <w:t xml:space="preserve"> Сторон, Конференци</w:t>
      </w:r>
      <w:r>
        <w:rPr>
          <w:lang w:val="ru-RU"/>
        </w:rPr>
        <w:t>и</w:t>
      </w:r>
      <w:r w:rsidRPr="00876F9C">
        <w:rPr>
          <w:lang w:val="ru-RU"/>
        </w:rPr>
        <w:t xml:space="preserve"> Сторон, выступающ</w:t>
      </w:r>
      <w:r>
        <w:rPr>
          <w:lang w:val="ru-RU"/>
        </w:rPr>
        <w:t>ей</w:t>
      </w:r>
      <w:r w:rsidRPr="00876F9C">
        <w:rPr>
          <w:lang w:val="ru-RU"/>
        </w:rPr>
        <w:t xml:space="preserve"> в качестве </w:t>
      </w:r>
      <w:r>
        <w:rPr>
          <w:lang w:val="ru-RU"/>
        </w:rPr>
        <w:t>с</w:t>
      </w:r>
      <w:r w:rsidRPr="00876F9C">
        <w:rPr>
          <w:lang w:val="ru-RU"/>
        </w:rPr>
        <w:t>овещания Сторон Картахенского и Нагойского протоколов, Вспомогательн</w:t>
      </w:r>
      <w:r>
        <w:rPr>
          <w:lang w:val="ru-RU"/>
        </w:rPr>
        <w:t xml:space="preserve">ого </w:t>
      </w:r>
      <w:r w:rsidRPr="00876F9C">
        <w:rPr>
          <w:lang w:val="ru-RU"/>
        </w:rPr>
        <w:t>орган</w:t>
      </w:r>
      <w:r>
        <w:rPr>
          <w:lang w:val="ru-RU"/>
        </w:rPr>
        <w:t>а</w:t>
      </w:r>
      <w:r w:rsidRPr="00876F9C">
        <w:rPr>
          <w:lang w:val="ru-RU"/>
        </w:rPr>
        <w:t xml:space="preserve"> по научным, техническим и технологическим консультациям, Вспомогательн</w:t>
      </w:r>
      <w:r>
        <w:rPr>
          <w:lang w:val="ru-RU"/>
        </w:rPr>
        <w:t>ого</w:t>
      </w:r>
      <w:r w:rsidRPr="00876F9C">
        <w:rPr>
          <w:lang w:val="ru-RU"/>
        </w:rPr>
        <w:t xml:space="preserve"> орган</w:t>
      </w:r>
      <w:r>
        <w:rPr>
          <w:lang w:val="ru-RU"/>
        </w:rPr>
        <w:t>а</w:t>
      </w:r>
      <w:r w:rsidRPr="00876F9C">
        <w:rPr>
          <w:lang w:val="ru-RU"/>
        </w:rPr>
        <w:t xml:space="preserve"> по осуществлению, Специальн</w:t>
      </w:r>
      <w:r>
        <w:rPr>
          <w:lang w:val="ru-RU"/>
        </w:rPr>
        <w:t>ой</w:t>
      </w:r>
      <w:r w:rsidRPr="00876F9C">
        <w:rPr>
          <w:lang w:val="ru-RU"/>
        </w:rPr>
        <w:t xml:space="preserve"> рабоч</w:t>
      </w:r>
      <w:r>
        <w:rPr>
          <w:lang w:val="ru-RU"/>
        </w:rPr>
        <w:t>ей</w:t>
      </w:r>
      <w:r w:rsidRPr="00876F9C">
        <w:rPr>
          <w:lang w:val="ru-RU"/>
        </w:rPr>
        <w:t xml:space="preserve"> групп</w:t>
      </w:r>
      <w:r>
        <w:rPr>
          <w:lang w:val="ru-RU"/>
        </w:rPr>
        <w:t>ы</w:t>
      </w:r>
      <w:r w:rsidRPr="00876F9C">
        <w:rPr>
          <w:lang w:val="ru-RU"/>
        </w:rPr>
        <w:t xml:space="preserve"> открытого состава по осуществлению статьи 8 </w:t>
      </w:r>
      <w:proofErr w:type="spellStart"/>
      <w:r w:rsidRPr="00876F9C">
        <w:rPr>
          <w:lang w:val="ru-RU"/>
        </w:rPr>
        <w:t>j</w:t>
      </w:r>
      <w:proofErr w:type="spellEnd"/>
      <w:r w:rsidRPr="00876F9C">
        <w:rPr>
          <w:lang w:val="ru-RU"/>
        </w:rPr>
        <w:t>) и соответствующи</w:t>
      </w:r>
      <w:r>
        <w:rPr>
          <w:lang w:val="ru-RU"/>
        </w:rPr>
        <w:t>х</w:t>
      </w:r>
      <w:r w:rsidRPr="00876F9C">
        <w:rPr>
          <w:lang w:val="ru-RU"/>
        </w:rPr>
        <w:t xml:space="preserve"> положени</w:t>
      </w:r>
      <w:r>
        <w:rPr>
          <w:lang w:val="ru-RU"/>
        </w:rPr>
        <w:t>й Конвенции</w:t>
      </w:r>
      <w:r w:rsidRPr="00876F9C">
        <w:rPr>
          <w:lang w:val="ru-RU"/>
        </w:rPr>
        <w:t>, а также внеочередные совещания по глобальной рамочной программ</w:t>
      </w:r>
      <w:r>
        <w:rPr>
          <w:lang w:val="ru-RU"/>
        </w:rPr>
        <w:t>е</w:t>
      </w:r>
      <w:r w:rsidRPr="00876F9C">
        <w:rPr>
          <w:lang w:val="ru-RU"/>
        </w:rPr>
        <w:t xml:space="preserve"> в области биоразнообразия на период после 2020 года.</w:t>
      </w:r>
      <w:proofErr w:type="gramEnd"/>
    </w:p>
  </w:footnote>
  <w:footnote w:id="9">
    <w:p w:rsidR="006214F3" w:rsidRPr="00122F5F" w:rsidRDefault="006214F3" w:rsidP="001C6C0F">
      <w:pPr>
        <w:pStyle w:val="Notedebasdepage"/>
        <w:rPr>
          <w:i/>
          <w:lang w:val="ru-RU"/>
        </w:rPr>
      </w:pPr>
      <w:r>
        <w:rPr>
          <w:rStyle w:val="Appelnotedebasdep"/>
        </w:rPr>
        <w:footnoteRef/>
      </w:r>
      <w:r w:rsidRPr="00122F5F">
        <w:rPr>
          <w:lang w:val="ru-RU"/>
        </w:rPr>
        <w:t xml:space="preserve"> Согласно резолюции 70/245 Генеральной Ассамблеи Организации Объединенных Наций для расчета начисленных взносов на двухгодичный период 2019-2020 годы будет применяться пересмотренная шкала взносов на трехлетний период после ее опубликования</w:t>
      </w:r>
      <w:r>
        <w:rPr>
          <w:lang w:val="ru-RU"/>
        </w:rPr>
        <w:t xml:space="preserve"> </w:t>
      </w:r>
      <w:r>
        <w:rPr>
          <w:kern w:val="18"/>
          <w:szCs w:val="18"/>
          <w:lang w:val="en-GB"/>
        </w:rPr>
        <w:t>(</w:t>
      </w:r>
      <w:proofErr w:type="gramStart"/>
      <w:r>
        <w:rPr>
          <w:kern w:val="18"/>
          <w:szCs w:val="18"/>
          <w:lang w:val="ru-RU"/>
        </w:rPr>
        <w:t>см</w:t>
      </w:r>
      <w:proofErr w:type="gramEnd"/>
      <w:r>
        <w:rPr>
          <w:kern w:val="18"/>
          <w:szCs w:val="18"/>
          <w:lang w:val="ru-RU"/>
        </w:rPr>
        <w:t>.</w:t>
      </w:r>
      <w:r>
        <w:rPr>
          <w:kern w:val="18"/>
          <w:szCs w:val="18"/>
          <w:lang w:val="en-GB"/>
        </w:rPr>
        <w:t xml:space="preserve"> </w:t>
      </w:r>
      <w:r w:rsidRPr="0086629D">
        <w:rPr>
          <w:kern w:val="18"/>
          <w:szCs w:val="18"/>
          <w:lang w:val="en-GB"/>
        </w:rPr>
        <w:t>https://www.cbd.int/doc/notifications/2019/ntf-2019-015-budget-cbd-en.pdf</w:t>
      </w:r>
      <w:r>
        <w:rPr>
          <w:kern w:val="18"/>
          <w:szCs w:val="18"/>
          <w:lang w:val="en-GB"/>
        </w:rPr>
        <w:t>)</w:t>
      </w:r>
      <w:r w:rsidRPr="009C1B16">
        <w:rPr>
          <w:kern w:val="18"/>
          <w:szCs w:val="18"/>
          <w:lang w:val="en-GB"/>
        </w:rPr>
        <w:t>.</w:t>
      </w:r>
    </w:p>
    <w:p w:rsidR="006214F3" w:rsidRPr="00122F5F" w:rsidRDefault="006214F3" w:rsidP="001C6C0F">
      <w:pPr>
        <w:pStyle w:val="Notedebasdepage"/>
        <w:rPr>
          <w:lang w:val="ru-RU"/>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ru-RU"/>
      </w:rPr>
      <w:alias w:val="Subject"/>
      <w:tag w:val=""/>
      <w:id w:val="-1885015078"/>
      <w:placeholder>
        <w:docPart w:val="50CF7706DFD34484A99FA4C687D0A024"/>
      </w:placeholder>
      <w:dataBinding w:prefixMappings="xmlns:ns0='http://purl.org/dc/elements/1.1/' xmlns:ns1='http://schemas.openxmlformats.org/package/2006/metadata/core-properties' " w:xpath="/ns1:coreProperties[1]/ns0:subject[1]" w:storeItemID="{6C3C8BC8-F283-45AE-878A-BAB7291924A1}"/>
      <w:text/>
    </w:sdtPr>
    <w:sdtContent>
      <w:p w:rsidR="006214F3" w:rsidRPr="00822082" w:rsidRDefault="006214F3" w:rsidP="00EA647B">
        <w:pPr>
          <w:pStyle w:val="En-tte"/>
          <w:rPr>
            <w:lang w:val="ru-RU"/>
          </w:rPr>
        </w:pPr>
        <w:r>
          <w:rPr>
            <w:lang w:val="fr-FR"/>
          </w:rPr>
          <w:t>CBD/COP/DEC/14/37</w:t>
        </w:r>
      </w:p>
    </w:sdtContent>
  </w:sdt>
  <w:p w:rsidR="006214F3" w:rsidRDefault="006214F3" w:rsidP="00EA647B">
    <w:pPr>
      <w:pStyle w:val="En-tte"/>
      <w:jc w:val="left"/>
    </w:pPr>
    <w:r>
      <w:rPr>
        <w:lang w:val="ru-RU"/>
      </w:rPr>
      <w:t>Страница</w:t>
    </w:r>
    <w:r w:rsidRPr="00F972CC">
      <w:t xml:space="preserve"> </w:t>
    </w:r>
    <w:fldSimple w:instr=" PAGE   \* MERGEFORMAT ">
      <w:r w:rsidR="00C666A2">
        <w:rPr>
          <w:noProof/>
        </w:rPr>
        <w:t>10</w:t>
      </w:r>
    </w:fldSimple>
  </w:p>
  <w:p w:rsidR="006214F3" w:rsidRPr="00F972CC" w:rsidRDefault="006214F3" w:rsidP="00EA647B">
    <w:pPr>
      <w:pStyle w:val="En-tte"/>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4F3" w:rsidRPr="00F972CC" w:rsidRDefault="006214F3" w:rsidP="00351EDD">
    <w:pPr>
      <w:pStyle w:val="En-tte"/>
      <w:jc w:val="right"/>
    </w:pPr>
    <w:r w:rsidRPr="00F972CC">
      <w:t>CBD/COP/</w:t>
    </w:r>
    <w:r>
      <w:t>DEC/</w:t>
    </w:r>
    <w:r w:rsidRPr="00F972CC">
      <w:t>14/37</w:t>
    </w:r>
  </w:p>
  <w:p w:rsidR="006214F3" w:rsidRPr="00F972CC" w:rsidRDefault="006214F3" w:rsidP="004C1652">
    <w:pPr>
      <w:pStyle w:val="En-tte"/>
      <w:spacing w:after="120"/>
      <w:jc w:val="right"/>
    </w:pPr>
    <w:r>
      <w:rPr>
        <w:lang w:val="ru-RU"/>
      </w:rPr>
      <w:t>Страница</w:t>
    </w:r>
    <w:r w:rsidRPr="00F972CC">
      <w:t xml:space="preserve"> </w:t>
    </w:r>
    <w:fldSimple w:instr=" PAGE   \* MERGEFORMAT ">
      <w:r w:rsidR="00C666A2">
        <w:rPr>
          <w:noProof/>
        </w:rPr>
        <w:t>11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A11C9"/>
    <w:multiLevelType w:val="multilevel"/>
    <w:tmpl w:val="0574AAAE"/>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1">
    <w:nsid w:val="23F34B8F"/>
    <w:multiLevelType w:val="hybridMultilevel"/>
    <w:tmpl w:val="553EA020"/>
    <w:lvl w:ilvl="0" w:tplc="9D24F478">
      <w:start w:val="1"/>
      <w:numFmt w:val="decimal"/>
      <w:lvlText w:val="%1."/>
      <w:lvlJc w:val="left"/>
      <w:pPr>
        <w:ind w:left="1440" w:hanging="72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5204183"/>
    <w:multiLevelType w:val="hybridMultilevel"/>
    <w:tmpl w:val="2670E2FA"/>
    <w:lvl w:ilvl="0" w:tplc="B824B77A">
      <w:start w:val="3"/>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36673AF2"/>
    <w:multiLevelType w:val="multilevel"/>
    <w:tmpl w:val="CF8A7408"/>
    <w:lvl w:ilvl="0">
      <w:start w:val="1"/>
      <w:numFmt w:val="lowerLetter"/>
      <w:lvlText w:val=" %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4">
    <w:nsid w:val="396814BD"/>
    <w:multiLevelType w:val="hybridMultilevel"/>
    <w:tmpl w:val="A4BE7762"/>
    <w:lvl w:ilvl="0" w:tplc="93C8D45A">
      <w:start w:val="1"/>
      <w:numFmt w:val="lowerLetter"/>
      <w:lvlText w:val=" %1)"/>
      <w:lvlJc w:val="left"/>
      <w:pPr>
        <w:ind w:left="1440" w:hanging="360"/>
      </w:pPr>
      <w:rPr>
        <w:rFonts w:cs="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A8B0E24"/>
    <w:multiLevelType w:val="multilevel"/>
    <w:tmpl w:val="7D42E2E6"/>
    <w:lvl w:ilvl="0">
      <w:start w:val="1"/>
      <w:numFmt w:val="upp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540A3D30"/>
    <w:multiLevelType w:val="hybridMultilevel"/>
    <w:tmpl w:val="980EF43E"/>
    <w:lvl w:ilvl="0" w:tplc="3716CFE2">
      <w:start w:val="1"/>
      <w:numFmt w:val="decimal"/>
      <w:lvlText w:val="%1."/>
      <w:lvlJc w:val="left"/>
      <w:pPr>
        <w:ind w:left="644" w:hanging="360"/>
      </w:pPr>
      <w:rPr>
        <w:rFonts w:cs="Times New Roman"/>
        <w:color w:val="1F497D"/>
      </w:rPr>
    </w:lvl>
    <w:lvl w:ilvl="1" w:tplc="0C070019">
      <w:start w:val="1"/>
      <w:numFmt w:val="lowerLetter"/>
      <w:lvlText w:val="%2."/>
      <w:lvlJc w:val="left"/>
      <w:pPr>
        <w:ind w:left="1364" w:hanging="360"/>
      </w:pPr>
      <w:rPr>
        <w:rFonts w:cs="Times New Roman"/>
      </w:rPr>
    </w:lvl>
    <w:lvl w:ilvl="2" w:tplc="0C07001B">
      <w:start w:val="1"/>
      <w:numFmt w:val="lowerRoman"/>
      <w:lvlText w:val="%3."/>
      <w:lvlJc w:val="right"/>
      <w:pPr>
        <w:ind w:left="2084" w:hanging="180"/>
      </w:pPr>
      <w:rPr>
        <w:rFonts w:cs="Times New Roman"/>
      </w:rPr>
    </w:lvl>
    <w:lvl w:ilvl="3" w:tplc="0C07000F">
      <w:start w:val="1"/>
      <w:numFmt w:val="decimal"/>
      <w:lvlText w:val="%4."/>
      <w:lvlJc w:val="left"/>
      <w:pPr>
        <w:ind w:left="2804" w:hanging="360"/>
      </w:pPr>
      <w:rPr>
        <w:rFonts w:cs="Times New Roman"/>
      </w:rPr>
    </w:lvl>
    <w:lvl w:ilvl="4" w:tplc="0C070019">
      <w:start w:val="1"/>
      <w:numFmt w:val="lowerLetter"/>
      <w:lvlText w:val="%5."/>
      <w:lvlJc w:val="left"/>
      <w:pPr>
        <w:ind w:left="3524" w:hanging="360"/>
      </w:pPr>
      <w:rPr>
        <w:rFonts w:cs="Times New Roman"/>
      </w:rPr>
    </w:lvl>
    <w:lvl w:ilvl="5" w:tplc="0C07001B">
      <w:start w:val="1"/>
      <w:numFmt w:val="lowerRoman"/>
      <w:lvlText w:val="%6."/>
      <w:lvlJc w:val="right"/>
      <w:pPr>
        <w:ind w:left="4244" w:hanging="180"/>
      </w:pPr>
      <w:rPr>
        <w:rFonts w:cs="Times New Roman"/>
      </w:rPr>
    </w:lvl>
    <w:lvl w:ilvl="6" w:tplc="0C07000F">
      <w:start w:val="1"/>
      <w:numFmt w:val="decimal"/>
      <w:lvlText w:val="%7."/>
      <w:lvlJc w:val="left"/>
      <w:pPr>
        <w:ind w:left="4964" w:hanging="360"/>
      </w:pPr>
      <w:rPr>
        <w:rFonts w:cs="Times New Roman"/>
      </w:rPr>
    </w:lvl>
    <w:lvl w:ilvl="7" w:tplc="0C070019">
      <w:start w:val="1"/>
      <w:numFmt w:val="lowerLetter"/>
      <w:lvlText w:val="%8."/>
      <w:lvlJc w:val="left"/>
      <w:pPr>
        <w:ind w:left="5684" w:hanging="360"/>
      </w:pPr>
      <w:rPr>
        <w:rFonts w:cs="Times New Roman"/>
      </w:rPr>
    </w:lvl>
    <w:lvl w:ilvl="8" w:tplc="0C07001B">
      <w:start w:val="1"/>
      <w:numFmt w:val="lowerRoman"/>
      <w:lvlText w:val="%9."/>
      <w:lvlJc w:val="right"/>
      <w:pPr>
        <w:ind w:left="6404" w:hanging="180"/>
      </w:pPr>
      <w:rPr>
        <w:rFonts w:cs="Times New Roman"/>
      </w:rPr>
    </w:lvl>
  </w:abstractNum>
  <w:abstractNum w:abstractNumId="8">
    <w:nsid w:val="697C072D"/>
    <w:multiLevelType w:val="hybridMultilevel"/>
    <w:tmpl w:val="D7BE13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71F8750C"/>
    <w:multiLevelType w:val="multilevel"/>
    <w:tmpl w:val="2C9E1E02"/>
    <w:lvl w:ilvl="0">
      <w:start w:val="2"/>
      <w:numFmt w:val="upperLetter"/>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784D753F"/>
    <w:multiLevelType w:val="hybridMultilevel"/>
    <w:tmpl w:val="21CCE7BC"/>
    <w:lvl w:ilvl="0" w:tplc="A320864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
  </w:num>
  <w:num w:numId="8">
    <w:abstractNumId w:val="3"/>
  </w:num>
  <w:num w:numId="9">
    <w:abstractNumId w:val="10"/>
  </w:num>
  <w:num w:numId="10">
    <w:abstractNumId w:val="9"/>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GrammaticalErrors/>
  <w:activeWritingStyle w:appName="MSWord" w:lang="de-AT" w:vendorID="64" w:dllVersion="6" w:nlCheck="1" w:checkStyle="0"/>
  <w:activeWritingStyle w:appName="MSWord" w:lang="en-CA" w:vendorID="64" w:dllVersion="6" w:nlCheck="1" w:checkStyle="0"/>
  <w:activeWritingStyle w:appName="MSWord" w:lang="en-GB" w:vendorID="64" w:dllVersion="6" w:nlCheck="1" w:checkStyle="0"/>
  <w:activeWritingStyle w:appName="MSWord" w:lang="en-US" w:vendorID="64" w:dllVersion="6" w:nlCheck="1" w:checkStyle="1"/>
  <w:activeWritingStyle w:appName="MSWord" w:lang="fr-FR" w:vendorID="64" w:dllVersion="6" w:nlCheck="1" w:checkStyle="0"/>
  <w:activeWritingStyle w:appName="MSWord" w:lang="en-CA" w:vendorID="64" w:dllVersion="0" w:nlCheck="1" w:checkStyle="0"/>
  <w:activeWritingStyle w:appName="MSWord" w:lang="en-US" w:vendorID="64" w:dllVersion="0" w:nlCheck="1" w:checkStyle="0"/>
  <w:activeWritingStyle w:appName="MSWord" w:lang="de-CH" w:vendorID="64" w:dllVersion="6" w:nlCheck="1" w:checkStyle="0"/>
  <w:activeWritingStyle w:appName="MSWord" w:lang="en-GB" w:vendorID="64" w:dllVersion="0" w:nlCheck="1" w:checkStyle="0"/>
  <w:activeWritingStyle w:appName="MSWord" w:lang="ru-RU" w:vendorID="64" w:dllVersion="6" w:nlCheck="1" w:checkStyle="0"/>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proofState w:spelling="clean" w:grammar="clean"/>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7650"/>
  </w:hdrShapeDefaults>
  <w:footnotePr>
    <w:footnote w:id="-1"/>
    <w:footnote w:id="0"/>
  </w:footnotePr>
  <w:endnotePr>
    <w:endnote w:id="-1"/>
    <w:endnote w:id="0"/>
  </w:endnotePr>
  <w:compat/>
  <w:rsids>
    <w:rsidRoot w:val="00451B9F"/>
    <w:rsid w:val="0000303C"/>
    <w:rsid w:val="00033686"/>
    <w:rsid w:val="00037173"/>
    <w:rsid w:val="000413C5"/>
    <w:rsid w:val="00053C8C"/>
    <w:rsid w:val="000559B7"/>
    <w:rsid w:val="00064A11"/>
    <w:rsid w:val="00065000"/>
    <w:rsid w:val="0007306A"/>
    <w:rsid w:val="00075F4E"/>
    <w:rsid w:val="00082BD6"/>
    <w:rsid w:val="00084126"/>
    <w:rsid w:val="00090CAA"/>
    <w:rsid w:val="00095C6B"/>
    <w:rsid w:val="000B4667"/>
    <w:rsid w:val="000C44C3"/>
    <w:rsid w:val="000C7391"/>
    <w:rsid w:val="000D0E73"/>
    <w:rsid w:val="000D4173"/>
    <w:rsid w:val="000E1180"/>
    <w:rsid w:val="000E35DD"/>
    <w:rsid w:val="000E7ACC"/>
    <w:rsid w:val="000F0C89"/>
    <w:rsid w:val="000F5904"/>
    <w:rsid w:val="0011600A"/>
    <w:rsid w:val="00121DD4"/>
    <w:rsid w:val="001341D4"/>
    <w:rsid w:val="001427F2"/>
    <w:rsid w:val="00150EC8"/>
    <w:rsid w:val="00151001"/>
    <w:rsid w:val="00152328"/>
    <w:rsid w:val="00160B61"/>
    <w:rsid w:val="0017409A"/>
    <w:rsid w:val="00180790"/>
    <w:rsid w:val="0018593F"/>
    <w:rsid w:val="00190BE3"/>
    <w:rsid w:val="001922FB"/>
    <w:rsid w:val="001B0829"/>
    <w:rsid w:val="001C6C0F"/>
    <w:rsid w:val="001D2379"/>
    <w:rsid w:val="001E0E0E"/>
    <w:rsid w:val="001F247D"/>
    <w:rsid w:val="001F67EA"/>
    <w:rsid w:val="001F73E0"/>
    <w:rsid w:val="002036EB"/>
    <w:rsid w:val="00203DEB"/>
    <w:rsid w:val="002108B1"/>
    <w:rsid w:val="00212D47"/>
    <w:rsid w:val="002135C8"/>
    <w:rsid w:val="00215A0C"/>
    <w:rsid w:val="00221321"/>
    <w:rsid w:val="002338D2"/>
    <w:rsid w:val="0024162D"/>
    <w:rsid w:val="00251166"/>
    <w:rsid w:val="0026551A"/>
    <w:rsid w:val="00266F78"/>
    <w:rsid w:val="00281899"/>
    <w:rsid w:val="002A30AA"/>
    <w:rsid w:val="002A4384"/>
    <w:rsid w:val="002B2ECB"/>
    <w:rsid w:val="002C1B04"/>
    <w:rsid w:val="002C1F16"/>
    <w:rsid w:val="002C27AA"/>
    <w:rsid w:val="002D14D3"/>
    <w:rsid w:val="002D7B60"/>
    <w:rsid w:val="002E3A3B"/>
    <w:rsid w:val="002F06FB"/>
    <w:rsid w:val="002F3C77"/>
    <w:rsid w:val="002F64CA"/>
    <w:rsid w:val="00301330"/>
    <w:rsid w:val="003042B5"/>
    <w:rsid w:val="00307AC2"/>
    <w:rsid w:val="0032491D"/>
    <w:rsid w:val="00325204"/>
    <w:rsid w:val="003267A8"/>
    <w:rsid w:val="00332522"/>
    <w:rsid w:val="00333900"/>
    <w:rsid w:val="00334C76"/>
    <w:rsid w:val="0034409E"/>
    <w:rsid w:val="00351EDD"/>
    <w:rsid w:val="003579C6"/>
    <w:rsid w:val="0037499E"/>
    <w:rsid w:val="00390AF4"/>
    <w:rsid w:val="0039569D"/>
    <w:rsid w:val="003A7491"/>
    <w:rsid w:val="003B7CB1"/>
    <w:rsid w:val="003D4502"/>
    <w:rsid w:val="003D494D"/>
    <w:rsid w:val="003F2355"/>
    <w:rsid w:val="00400920"/>
    <w:rsid w:val="00403FB5"/>
    <w:rsid w:val="00422D3C"/>
    <w:rsid w:val="00424A9D"/>
    <w:rsid w:val="00431281"/>
    <w:rsid w:val="004334BB"/>
    <w:rsid w:val="0043419D"/>
    <w:rsid w:val="00451B9F"/>
    <w:rsid w:val="00455DCD"/>
    <w:rsid w:val="00463F19"/>
    <w:rsid w:val="004653D2"/>
    <w:rsid w:val="004709AC"/>
    <w:rsid w:val="004760C1"/>
    <w:rsid w:val="0047688B"/>
    <w:rsid w:val="00480C6C"/>
    <w:rsid w:val="00480D83"/>
    <w:rsid w:val="004854D4"/>
    <w:rsid w:val="00490C53"/>
    <w:rsid w:val="004B0C5F"/>
    <w:rsid w:val="004B1629"/>
    <w:rsid w:val="004B5E31"/>
    <w:rsid w:val="004C10CF"/>
    <w:rsid w:val="004C1652"/>
    <w:rsid w:val="004C451A"/>
    <w:rsid w:val="004C72D8"/>
    <w:rsid w:val="004D04AF"/>
    <w:rsid w:val="004D3419"/>
    <w:rsid w:val="004E31EE"/>
    <w:rsid w:val="004F233D"/>
    <w:rsid w:val="004F6EE9"/>
    <w:rsid w:val="00507137"/>
    <w:rsid w:val="00520E0C"/>
    <w:rsid w:val="00523BCC"/>
    <w:rsid w:val="0052494F"/>
    <w:rsid w:val="0052536C"/>
    <w:rsid w:val="005375A7"/>
    <w:rsid w:val="00540D6D"/>
    <w:rsid w:val="00542CDF"/>
    <w:rsid w:val="00547FC8"/>
    <w:rsid w:val="005535C2"/>
    <w:rsid w:val="00561F54"/>
    <w:rsid w:val="00567DBB"/>
    <w:rsid w:val="0058100B"/>
    <w:rsid w:val="0058669C"/>
    <w:rsid w:val="005C6F76"/>
    <w:rsid w:val="005D00CC"/>
    <w:rsid w:val="005D6EFB"/>
    <w:rsid w:val="005E53E9"/>
    <w:rsid w:val="005E6782"/>
    <w:rsid w:val="005F7CDA"/>
    <w:rsid w:val="00600F36"/>
    <w:rsid w:val="00605855"/>
    <w:rsid w:val="00614E12"/>
    <w:rsid w:val="006214F3"/>
    <w:rsid w:val="00624D2B"/>
    <w:rsid w:val="00630B40"/>
    <w:rsid w:val="00634324"/>
    <w:rsid w:val="00645641"/>
    <w:rsid w:val="00651A2B"/>
    <w:rsid w:val="00653BF2"/>
    <w:rsid w:val="00654A81"/>
    <w:rsid w:val="00657526"/>
    <w:rsid w:val="006678A0"/>
    <w:rsid w:val="0068315E"/>
    <w:rsid w:val="0068622A"/>
    <w:rsid w:val="00693100"/>
    <w:rsid w:val="00695116"/>
    <w:rsid w:val="006972AA"/>
    <w:rsid w:val="006A5A37"/>
    <w:rsid w:val="006B0BFC"/>
    <w:rsid w:val="006B53F5"/>
    <w:rsid w:val="006B7A7A"/>
    <w:rsid w:val="006B7E6E"/>
    <w:rsid w:val="006D062E"/>
    <w:rsid w:val="006D0B8E"/>
    <w:rsid w:val="006D0E54"/>
    <w:rsid w:val="006D2283"/>
    <w:rsid w:val="006D2735"/>
    <w:rsid w:val="006E109B"/>
    <w:rsid w:val="006E10C0"/>
    <w:rsid w:val="006E3A31"/>
    <w:rsid w:val="006F27B8"/>
    <w:rsid w:val="006F3F0C"/>
    <w:rsid w:val="006F43D8"/>
    <w:rsid w:val="006F7FE1"/>
    <w:rsid w:val="0072401A"/>
    <w:rsid w:val="00725D1B"/>
    <w:rsid w:val="00737C67"/>
    <w:rsid w:val="00741ABD"/>
    <w:rsid w:val="00744888"/>
    <w:rsid w:val="007574D9"/>
    <w:rsid w:val="00760D68"/>
    <w:rsid w:val="00785152"/>
    <w:rsid w:val="00787455"/>
    <w:rsid w:val="0079223A"/>
    <w:rsid w:val="00793187"/>
    <w:rsid w:val="007A14A8"/>
    <w:rsid w:val="007A532F"/>
    <w:rsid w:val="007A6C3D"/>
    <w:rsid w:val="007A6EAA"/>
    <w:rsid w:val="007B28AB"/>
    <w:rsid w:val="007C07B4"/>
    <w:rsid w:val="007C202E"/>
    <w:rsid w:val="007C2264"/>
    <w:rsid w:val="007D44DF"/>
    <w:rsid w:val="007E6F83"/>
    <w:rsid w:val="00805FCB"/>
    <w:rsid w:val="00806360"/>
    <w:rsid w:val="0080671F"/>
    <w:rsid w:val="00806E02"/>
    <w:rsid w:val="00815EA9"/>
    <w:rsid w:val="00822082"/>
    <w:rsid w:val="0082397A"/>
    <w:rsid w:val="00831C11"/>
    <w:rsid w:val="00836205"/>
    <w:rsid w:val="00841FBB"/>
    <w:rsid w:val="008568B0"/>
    <w:rsid w:val="0086629D"/>
    <w:rsid w:val="00866960"/>
    <w:rsid w:val="00871336"/>
    <w:rsid w:val="0087236C"/>
    <w:rsid w:val="00876F9C"/>
    <w:rsid w:val="008814B8"/>
    <w:rsid w:val="00887B40"/>
    <w:rsid w:val="00895E33"/>
    <w:rsid w:val="00895EDC"/>
    <w:rsid w:val="008A0214"/>
    <w:rsid w:val="008A6984"/>
    <w:rsid w:val="008B12C4"/>
    <w:rsid w:val="008C0E06"/>
    <w:rsid w:val="008C3C21"/>
    <w:rsid w:val="008D38DE"/>
    <w:rsid w:val="008D4D79"/>
    <w:rsid w:val="008D7F4A"/>
    <w:rsid w:val="008F1FE8"/>
    <w:rsid w:val="0090023B"/>
    <w:rsid w:val="00902EBD"/>
    <w:rsid w:val="00914FAE"/>
    <w:rsid w:val="00916B62"/>
    <w:rsid w:val="00922CFD"/>
    <w:rsid w:val="00932F37"/>
    <w:rsid w:val="00936BF4"/>
    <w:rsid w:val="00942917"/>
    <w:rsid w:val="00956219"/>
    <w:rsid w:val="00961128"/>
    <w:rsid w:val="0099292C"/>
    <w:rsid w:val="0099483F"/>
    <w:rsid w:val="00996E4D"/>
    <w:rsid w:val="00997BD5"/>
    <w:rsid w:val="009A298A"/>
    <w:rsid w:val="009A29BF"/>
    <w:rsid w:val="009B07B7"/>
    <w:rsid w:val="009B10A2"/>
    <w:rsid w:val="009B23AF"/>
    <w:rsid w:val="009B5B57"/>
    <w:rsid w:val="009B7C4F"/>
    <w:rsid w:val="009C7EEC"/>
    <w:rsid w:val="009D1473"/>
    <w:rsid w:val="009E51B3"/>
    <w:rsid w:val="009F2756"/>
    <w:rsid w:val="00A06E4B"/>
    <w:rsid w:val="00A10383"/>
    <w:rsid w:val="00A20F99"/>
    <w:rsid w:val="00A2363F"/>
    <w:rsid w:val="00A33CCF"/>
    <w:rsid w:val="00A40E5F"/>
    <w:rsid w:val="00A54B0E"/>
    <w:rsid w:val="00AB368D"/>
    <w:rsid w:val="00AB3D02"/>
    <w:rsid w:val="00AB46DF"/>
    <w:rsid w:val="00AC3299"/>
    <w:rsid w:val="00AC5789"/>
    <w:rsid w:val="00AC73D1"/>
    <w:rsid w:val="00AC7690"/>
    <w:rsid w:val="00AD46FF"/>
    <w:rsid w:val="00AD4CCE"/>
    <w:rsid w:val="00AD4F29"/>
    <w:rsid w:val="00AE4660"/>
    <w:rsid w:val="00AF0B11"/>
    <w:rsid w:val="00B33CD2"/>
    <w:rsid w:val="00B34EEC"/>
    <w:rsid w:val="00B624D7"/>
    <w:rsid w:val="00B62A6B"/>
    <w:rsid w:val="00B70A57"/>
    <w:rsid w:val="00B73631"/>
    <w:rsid w:val="00BA6006"/>
    <w:rsid w:val="00BB0F0E"/>
    <w:rsid w:val="00BB2B43"/>
    <w:rsid w:val="00BC05B0"/>
    <w:rsid w:val="00BC4DBE"/>
    <w:rsid w:val="00BD3FCD"/>
    <w:rsid w:val="00BE2507"/>
    <w:rsid w:val="00C044BB"/>
    <w:rsid w:val="00C06070"/>
    <w:rsid w:val="00C35762"/>
    <w:rsid w:val="00C40643"/>
    <w:rsid w:val="00C51173"/>
    <w:rsid w:val="00C5747F"/>
    <w:rsid w:val="00C637B6"/>
    <w:rsid w:val="00C666A2"/>
    <w:rsid w:val="00C66F16"/>
    <w:rsid w:val="00C70E5F"/>
    <w:rsid w:val="00C72B9B"/>
    <w:rsid w:val="00C86D82"/>
    <w:rsid w:val="00CB3044"/>
    <w:rsid w:val="00CE0B57"/>
    <w:rsid w:val="00CE2E84"/>
    <w:rsid w:val="00D10AB6"/>
    <w:rsid w:val="00D32595"/>
    <w:rsid w:val="00D34FC1"/>
    <w:rsid w:val="00D40A81"/>
    <w:rsid w:val="00D42B0C"/>
    <w:rsid w:val="00D42D76"/>
    <w:rsid w:val="00D439FE"/>
    <w:rsid w:val="00D50FCB"/>
    <w:rsid w:val="00D52559"/>
    <w:rsid w:val="00D53497"/>
    <w:rsid w:val="00D65AD9"/>
    <w:rsid w:val="00D67EA4"/>
    <w:rsid w:val="00D976EA"/>
    <w:rsid w:val="00DA0689"/>
    <w:rsid w:val="00DA2FD5"/>
    <w:rsid w:val="00DB09E8"/>
    <w:rsid w:val="00DC035E"/>
    <w:rsid w:val="00DC1697"/>
    <w:rsid w:val="00DC2E00"/>
    <w:rsid w:val="00DD7939"/>
    <w:rsid w:val="00DE59D5"/>
    <w:rsid w:val="00DE728D"/>
    <w:rsid w:val="00DF309F"/>
    <w:rsid w:val="00E01D6F"/>
    <w:rsid w:val="00E1232A"/>
    <w:rsid w:val="00E345AB"/>
    <w:rsid w:val="00E446EF"/>
    <w:rsid w:val="00E45A28"/>
    <w:rsid w:val="00E4766C"/>
    <w:rsid w:val="00E53AD7"/>
    <w:rsid w:val="00E54ACA"/>
    <w:rsid w:val="00E6745D"/>
    <w:rsid w:val="00E67F0E"/>
    <w:rsid w:val="00E71386"/>
    <w:rsid w:val="00E71642"/>
    <w:rsid w:val="00E760C7"/>
    <w:rsid w:val="00E80C90"/>
    <w:rsid w:val="00E83D5B"/>
    <w:rsid w:val="00E8748B"/>
    <w:rsid w:val="00E907CE"/>
    <w:rsid w:val="00E91F41"/>
    <w:rsid w:val="00E94B99"/>
    <w:rsid w:val="00EA647B"/>
    <w:rsid w:val="00EB5280"/>
    <w:rsid w:val="00EC0141"/>
    <w:rsid w:val="00ED3974"/>
    <w:rsid w:val="00ED48FB"/>
    <w:rsid w:val="00EF49B4"/>
    <w:rsid w:val="00F03818"/>
    <w:rsid w:val="00F164B3"/>
    <w:rsid w:val="00F442C8"/>
    <w:rsid w:val="00F6713F"/>
    <w:rsid w:val="00F67CE3"/>
    <w:rsid w:val="00F739CB"/>
    <w:rsid w:val="00F750BF"/>
    <w:rsid w:val="00F80C78"/>
    <w:rsid w:val="00F8762E"/>
    <w:rsid w:val="00FA03AB"/>
    <w:rsid w:val="00FA1089"/>
    <w:rsid w:val="00FA49D6"/>
    <w:rsid w:val="00FB27FB"/>
    <w:rsid w:val="00FC0DAF"/>
    <w:rsid w:val="00FC18A9"/>
    <w:rsid w:val="00FC2473"/>
    <w:rsid w:val="00FC5060"/>
    <w:rsid w:val="00FD0076"/>
    <w:rsid w:val="00FD5E7D"/>
    <w:rsid w:val="00FE3DCB"/>
    <w:rsid w:val="00FE72F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B9F"/>
    <w:pPr>
      <w:spacing w:after="0" w:line="240" w:lineRule="auto"/>
      <w:jc w:val="both"/>
    </w:pPr>
    <w:rPr>
      <w:rFonts w:ascii="Times New Roman" w:eastAsia="Times New Roman" w:hAnsi="Times New Roman" w:cs="Times New Roman"/>
      <w:szCs w:val="24"/>
      <w:lang w:eastAsia="en-CA"/>
    </w:rPr>
  </w:style>
  <w:style w:type="paragraph" w:styleId="Titre2">
    <w:name w:val="heading 2"/>
    <w:basedOn w:val="Normal"/>
    <w:next w:val="Normal"/>
    <w:link w:val="Titre2Car"/>
    <w:uiPriority w:val="9"/>
    <w:semiHidden/>
    <w:unhideWhenUsed/>
    <w:qFormat/>
    <w:rsid w:val="00451B9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51B9F"/>
    <w:rPr>
      <w:vertAlign w:val="superscript"/>
    </w:rPr>
  </w:style>
  <w:style w:type="paragraph" w:styleId="Notedebasdepage">
    <w:name w:val="footnote text"/>
    <w:aliases w:val="fn,Geneva 9,Font: Geneva 9,Boston 10,f,ft,Fotnotstext Char,ft Char,single space,footnote text,FOOTNOTES,ADB,single space1,footnote text1,FOOTNOTES1,fn1,ADB1,single space2,footnote text2,FOOTNOTES2,fn2,ADB2,single space3,fn3"/>
    <w:basedOn w:val="Normal"/>
    <w:link w:val="NotedebasdepageCar"/>
    <w:uiPriority w:val="99"/>
    <w:qFormat/>
    <w:rsid w:val="00451B9F"/>
    <w:pPr>
      <w:keepLines/>
      <w:spacing w:after="60"/>
      <w:ind w:firstLine="720"/>
    </w:pPr>
    <w:rPr>
      <w:sz w:val="18"/>
    </w:rPr>
  </w:style>
  <w:style w:type="character" w:customStyle="1" w:styleId="NotedebasdepageCar">
    <w:name w:val="Note de bas de page Car"/>
    <w:aliases w:val="fn Car,Geneva 9 Car,Font: Geneva 9 Car,Boston 10 Car,f Car,ft Car,Fotnotstext Char Car,ft Char Car,single space Car,footnote text Car,FOOTNOTES Car,ADB Car,single space1 Car,footnote text1 Car,FOOTNOTES1 Car,fn1 Car,ADB1 Car"/>
    <w:basedOn w:val="Policepardfaut"/>
    <w:link w:val="Notedebasdepage"/>
    <w:uiPriority w:val="99"/>
    <w:rsid w:val="00451B9F"/>
    <w:rPr>
      <w:rFonts w:ascii="Times New Roman" w:eastAsia="Times New Roman" w:hAnsi="Times New Roman" w:cs="Times New Roman"/>
      <w:sz w:val="18"/>
      <w:szCs w:val="24"/>
      <w:lang w:eastAsia="en-CA"/>
    </w:rPr>
  </w:style>
  <w:style w:type="paragraph" w:customStyle="1" w:styleId="Para1">
    <w:name w:val="Para1"/>
    <w:basedOn w:val="Normal"/>
    <w:link w:val="Para1Char"/>
    <w:rsid w:val="00451B9F"/>
    <w:pPr>
      <w:numPr>
        <w:numId w:val="1"/>
      </w:numPr>
      <w:spacing w:before="120" w:after="120"/>
    </w:pPr>
    <w:rPr>
      <w:snapToGrid w:val="0"/>
      <w:szCs w:val="18"/>
    </w:rPr>
  </w:style>
  <w:style w:type="paragraph" w:customStyle="1" w:styleId="recommendationheader">
    <w:name w:val="recommendation header"/>
    <w:basedOn w:val="Titre2"/>
    <w:qFormat/>
    <w:rsid w:val="00451B9F"/>
    <w:pPr>
      <w:keepLines w:val="0"/>
      <w:tabs>
        <w:tab w:val="left" w:pos="720"/>
      </w:tabs>
      <w:spacing w:before="120" w:after="120"/>
      <w:jc w:val="center"/>
    </w:pPr>
    <w:rPr>
      <w:rFonts w:ascii="Times New Roman" w:eastAsia="Times New Roman" w:hAnsi="Times New Roman" w:cs="Times New Roman"/>
      <w:b/>
      <w:bCs/>
      <w:iCs/>
      <w:color w:val="auto"/>
      <w:sz w:val="22"/>
      <w:szCs w:val="24"/>
    </w:rPr>
  </w:style>
  <w:style w:type="character" w:customStyle="1" w:styleId="Para1Char">
    <w:name w:val="Para1 Char"/>
    <w:link w:val="Para1"/>
    <w:locked/>
    <w:rsid w:val="00451B9F"/>
    <w:rPr>
      <w:rFonts w:ascii="Times New Roman" w:eastAsia="Times New Roman" w:hAnsi="Times New Roman" w:cs="Times New Roman"/>
      <w:snapToGrid w:val="0"/>
      <w:szCs w:val="18"/>
      <w:lang w:eastAsia="en-CA"/>
    </w:rPr>
  </w:style>
  <w:style w:type="paragraph" w:customStyle="1" w:styleId="Item">
    <w:name w:val="Item"/>
    <w:basedOn w:val="Normal"/>
    <w:qFormat/>
    <w:rsid w:val="00451B9F"/>
    <w:pPr>
      <w:keepNext/>
      <w:spacing w:before="240" w:after="120"/>
      <w:ind w:left="720" w:hanging="720"/>
      <w:jc w:val="center"/>
    </w:pPr>
    <w:rPr>
      <w:b/>
      <w:kern w:val="22"/>
      <w:lang w:val="en-GB"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uiPriority w:val="99"/>
    <w:rsid w:val="00451B9F"/>
    <w:pPr>
      <w:spacing w:after="160" w:line="240" w:lineRule="exact"/>
    </w:pPr>
    <w:rPr>
      <w:rFonts w:asciiTheme="minorHAnsi" w:eastAsiaTheme="minorHAnsi" w:hAnsiTheme="minorHAnsi" w:cstheme="minorBidi"/>
      <w:szCs w:val="22"/>
      <w:vertAlign w:val="superscript"/>
      <w:lang w:eastAsia="en-US"/>
    </w:rPr>
  </w:style>
  <w:style w:type="paragraph" w:customStyle="1" w:styleId="Default">
    <w:name w:val="Default"/>
    <w:rsid w:val="00451B9F"/>
    <w:pPr>
      <w:autoSpaceDE w:val="0"/>
      <w:autoSpaceDN w:val="0"/>
      <w:adjustRightInd w:val="0"/>
      <w:spacing w:after="0" w:line="240" w:lineRule="auto"/>
    </w:pPr>
    <w:rPr>
      <w:rFonts w:ascii="Times New Roman" w:eastAsia="Times New Roman" w:hAnsi="Times New Roman" w:cs="Times New Roman"/>
      <w:color w:val="000000"/>
      <w:sz w:val="24"/>
      <w:szCs w:val="24"/>
      <w:lang w:val="de-CH" w:eastAsia="de-CH"/>
    </w:rPr>
  </w:style>
  <w:style w:type="character" w:customStyle="1" w:styleId="Titre2Car">
    <w:name w:val="Titre 2 Car"/>
    <w:basedOn w:val="Policepardfaut"/>
    <w:link w:val="Titre2"/>
    <w:uiPriority w:val="9"/>
    <w:semiHidden/>
    <w:rsid w:val="00451B9F"/>
    <w:rPr>
      <w:rFonts w:asciiTheme="majorHAnsi" w:eastAsiaTheme="majorEastAsia" w:hAnsiTheme="majorHAnsi" w:cstheme="majorBidi"/>
      <w:color w:val="2F5496" w:themeColor="accent1" w:themeShade="BF"/>
      <w:sz w:val="26"/>
      <w:szCs w:val="26"/>
      <w:lang w:eastAsia="en-CA"/>
    </w:rPr>
  </w:style>
  <w:style w:type="paragraph" w:styleId="Paragraphedeliste">
    <w:name w:val="List Paragraph"/>
    <w:basedOn w:val="Normal"/>
    <w:uiPriority w:val="34"/>
    <w:qFormat/>
    <w:rsid w:val="00BA6006"/>
    <w:pPr>
      <w:ind w:left="720"/>
      <w:contextualSpacing/>
    </w:pPr>
  </w:style>
  <w:style w:type="paragraph" w:styleId="NormalWeb">
    <w:name w:val="Normal (Web)"/>
    <w:basedOn w:val="Normal"/>
    <w:uiPriority w:val="99"/>
    <w:semiHidden/>
    <w:unhideWhenUsed/>
    <w:rsid w:val="000E7ACC"/>
    <w:pPr>
      <w:jc w:val="left"/>
    </w:pPr>
    <w:rPr>
      <w:rFonts w:ascii="Calibri" w:hAnsi="Calibri" w:cs="Calibri"/>
      <w:szCs w:val="22"/>
      <w:lang w:val="fr-FR" w:eastAsia="fr-FR"/>
    </w:rPr>
  </w:style>
  <w:style w:type="paragraph" w:styleId="Corpsdetexte">
    <w:name w:val="Body Text"/>
    <w:basedOn w:val="Normal"/>
    <w:link w:val="CorpsdetexteCar"/>
    <w:semiHidden/>
    <w:rsid w:val="002D7B60"/>
    <w:pPr>
      <w:spacing w:before="120" w:after="120"/>
      <w:ind w:firstLine="720"/>
    </w:pPr>
    <w:rPr>
      <w:iCs/>
      <w:lang w:val="en-GB" w:eastAsia="en-US"/>
    </w:rPr>
  </w:style>
  <w:style w:type="character" w:customStyle="1" w:styleId="CorpsdetexteCar">
    <w:name w:val="Corps de texte Car"/>
    <w:basedOn w:val="Policepardfaut"/>
    <w:link w:val="Corpsdetexte"/>
    <w:semiHidden/>
    <w:rsid w:val="002D7B60"/>
    <w:rPr>
      <w:rFonts w:ascii="Times New Roman" w:eastAsia="Times New Roman" w:hAnsi="Times New Roman" w:cs="Times New Roman"/>
      <w:iCs/>
      <w:szCs w:val="24"/>
      <w:lang w:val="en-GB"/>
    </w:rPr>
  </w:style>
  <w:style w:type="character" w:styleId="Marquedecommentaire">
    <w:name w:val="annotation reference"/>
    <w:basedOn w:val="Policepardfaut"/>
    <w:uiPriority w:val="99"/>
    <w:semiHidden/>
    <w:unhideWhenUsed/>
    <w:rsid w:val="002E3A3B"/>
    <w:rPr>
      <w:rFonts w:cs="Times New Roman"/>
      <w:sz w:val="18"/>
      <w:szCs w:val="18"/>
    </w:rPr>
  </w:style>
  <w:style w:type="paragraph" w:styleId="Commentaire">
    <w:name w:val="annotation text"/>
    <w:basedOn w:val="Normal"/>
    <w:link w:val="CommentaireCar"/>
    <w:uiPriority w:val="99"/>
    <w:semiHidden/>
    <w:unhideWhenUsed/>
    <w:rsid w:val="002E3A3B"/>
    <w:rPr>
      <w:sz w:val="24"/>
    </w:rPr>
  </w:style>
  <w:style w:type="character" w:customStyle="1" w:styleId="CommentaireCar">
    <w:name w:val="Commentaire Car"/>
    <w:basedOn w:val="Policepardfaut"/>
    <w:link w:val="Commentaire"/>
    <w:uiPriority w:val="99"/>
    <w:semiHidden/>
    <w:rsid w:val="002E3A3B"/>
    <w:rPr>
      <w:rFonts w:ascii="Times New Roman" w:eastAsia="Times New Roman" w:hAnsi="Times New Roman" w:cs="Times New Roman"/>
      <w:sz w:val="24"/>
      <w:szCs w:val="24"/>
      <w:lang w:eastAsia="en-CA"/>
    </w:rPr>
  </w:style>
  <w:style w:type="paragraph" w:styleId="Textedebulles">
    <w:name w:val="Balloon Text"/>
    <w:basedOn w:val="Normal"/>
    <w:link w:val="TextedebullesCar"/>
    <w:uiPriority w:val="99"/>
    <w:semiHidden/>
    <w:unhideWhenUsed/>
    <w:rsid w:val="002E3A3B"/>
    <w:rPr>
      <w:rFonts w:ascii="Segoe UI" w:hAnsi="Segoe UI" w:cs="Segoe UI"/>
      <w:sz w:val="18"/>
      <w:szCs w:val="18"/>
    </w:rPr>
  </w:style>
  <w:style w:type="character" w:customStyle="1" w:styleId="TextedebullesCar">
    <w:name w:val="Texte de bulles Car"/>
    <w:basedOn w:val="Policepardfaut"/>
    <w:link w:val="Textedebulles"/>
    <w:uiPriority w:val="99"/>
    <w:semiHidden/>
    <w:rsid w:val="002E3A3B"/>
    <w:rPr>
      <w:rFonts w:ascii="Segoe UI" w:eastAsia="Times New Roman" w:hAnsi="Segoe UI" w:cs="Segoe UI"/>
      <w:sz w:val="18"/>
      <w:szCs w:val="18"/>
      <w:lang w:eastAsia="en-CA"/>
    </w:rPr>
  </w:style>
  <w:style w:type="paragraph" w:styleId="Sansinterligne">
    <w:name w:val="No Spacing"/>
    <w:link w:val="SansinterligneCar"/>
    <w:uiPriority w:val="1"/>
    <w:qFormat/>
    <w:rsid w:val="00E1232A"/>
    <w:pPr>
      <w:spacing w:after="0" w:line="240" w:lineRule="auto"/>
    </w:pPr>
    <w:rPr>
      <w:rFonts w:ascii="Calibri" w:eastAsia="Calibri" w:hAnsi="Calibri" w:cs="Times New Roman"/>
      <w:lang w:val="en-US"/>
    </w:rPr>
  </w:style>
  <w:style w:type="character" w:customStyle="1" w:styleId="SansinterligneCar">
    <w:name w:val="Sans interligne Car"/>
    <w:basedOn w:val="Policepardfaut"/>
    <w:link w:val="Sansinterligne"/>
    <w:uiPriority w:val="1"/>
    <w:rsid w:val="00E1232A"/>
    <w:rPr>
      <w:rFonts w:ascii="Calibri" w:eastAsia="Calibri" w:hAnsi="Calibri" w:cs="Times New Roman"/>
      <w:lang w:val="en-US"/>
    </w:rPr>
  </w:style>
  <w:style w:type="table" w:styleId="Grilledutableau">
    <w:name w:val="Table Grid"/>
    <w:basedOn w:val="TableauNormal"/>
    <w:uiPriority w:val="59"/>
    <w:rsid w:val="00E1232A"/>
    <w:pPr>
      <w:spacing w:after="0" w:line="240" w:lineRule="auto"/>
    </w:pPr>
    <w:rPr>
      <w:rFonts w:ascii="Cambria" w:eastAsia="SimSun" w:hAnsi="Cambria" w:cs="Arial"/>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edelespacerserv">
    <w:name w:val="Placeholder Text"/>
    <w:basedOn w:val="Policepardfaut"/>
    <w:uiPriority w:val="99"/>
    <w:rsid w:val="00E1232A"/>
    <w:rPr>
      <w:color w:val="808080"/>
    </w:rPr>
  </w:style>
  <w:style w:type="paragraph" w:styleId="En-tte">
    <w:name w:val="header"/>
    <w:basedOn w:val="Normal"/>
    <w:link w:val="En-tteCar"/>
    <w:uiPriority w:val="99"/>
    <w:unhideWhenUsed/>
    <w:rsid w:val="00332522"/>
    <w:pPr>
      <w:tabs>
        <w:tab w:val="center" w:pos="4680"/>
        <w:tab w:val="right" w:pos="9360"/>
      </w:tabs>
    </w:pPr>
  </w:style>
  <w:style w:type="character" w:customStyle="1" w:styleId="En-tteCar">
    <w:name w:val="En-tête Car"/>
    <w:basedOn w:val="Policepardfaut"/>
    <w:link w:val="En-tte"/>
    <w:uiPriority w:val="99"/>
    <w:rsid w:val="00332522"/>
    <w:rPr>
      <w:rFonts w:ascii="Times New Roman" w:eastAsia="Times New Roman" w:hAnsi="Times New Roman" w:cs="Times New Roman"/>
      <w:szCs w:val="24"/>
      <w:lang w:eastAsia="en-CA"/>
    </w:rPr>
  </w:style>
  <w:style w:type="paragraph" w:styleId="Pieddepage">
    <w:name w:val="footer"/>
    <w:basedOn w:val="Normal"/>
    <w:link w:val="PieddepageCar"/>
    <w:uiPriority w:val="99"/>
    <w:unhideWhenUsed/>
    <w:rsid w:val="00332522"/>
    <w:pPr>
      <w:tabs>
        <w:tab w:val="center" w:pos="4680"/>
        <w:tab w:val="right" w:pos="9360"/>
      </w:tabs>
    </w:pPr>
  </w:style>
  <w:style w:type="character" w:customStyle="1" w:styleId="PieddepageCar">
    <w:name w:val="Pied de page Car"/>
    <w:basedOn w:val="Policepardfaut"/>
    <w:link w:val="Pieddepage"/>
    <w:uiPriority w:val="99"/>
    <w:rsid w:val="00332522"/>
    <w:rPr>
      <w:rFonts w:ascii="Times New Roman" w:eastAsia="Times New Roman" w:hAnsi="Times New Roman" w:cs="Times New Roman"/>
      <w:szCs w:val="24"/>
      <w:lang w:eastAsia="en-CA"/>
    </w:rPr>
  </w:style>
  <w:style w:type="paragraph" w:customStyle="1" w:styleId="Cornernotation">
    <w:name w:val="Corner notation"/>
    <w:basedOn w:val="Normal"/>
    <w:rsid w:val="00037173"/>
    <w:pPr>
      <w:ind w:left="284" w:right="4398" w:hanging="284"/>
      <w:jc w:val="left"/>
    </w:pPr>
    <w:rPr>
      <w:rFonts w:eastAsia="Malgun Gothic"/>
      <w:lang w:val="en-GB" w:eastAsia="en-US"/>
    </w:rPr>
  </w:style>
  <w:style w:type="character" w:styleId="Lienhypertexte">
    <w:name w:val="Hyperlink"/>
    <w:basedOn w:val="Policepardfaut"/>
    <w:uiPriority w:val="99"/>
    <w:unhideWhenUsed/>
    <w:rsid w:val="00A54B0E"/>
    <w:rPr>
      <w:color w:val="0000FF"/>
      <w:u w:val="single"/>
    </w:rPr>
  </w:style>
  <w:style w:type="character" w:styleId="Lienhypertextesuivivisit">
    <w:name w:val="FollowedHyperlink"/>
    <w:basedOn w:val="Policepardfaut"/>
    <w:uiPriority w:val="99"/>
    <w:semiHidden/>
    <w:unhideWhenUsed/>
    <w:rsid w:val="00A54B0E"/>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98573521">
      <w:bodyDiv w:val="1"/>
      <w:marLeft w:val="0"/>
      <w:marRight w:val="0"/>
      <w:marTop w:val="0"/>
      <w:marBottom w:val="0"/>
      <w:divBdr>
        <w:top w:val="none" w:sz="0" w:space="0" w:color="auto"/>
        <w:left w:val="none" w:sz="0" w:space="0" w:color="auto"/>
        <w:bottom w:val="none" w:sz="0" w:space="0" w:color="auto"/>
        <w:right w:val="none" w:sz="0" w:space="0" w:color="auto"/>
      </w:divBdr>
    </w:div>
    <w:div w:id="371030551">
      <w:bodyDiv w:val="1"/>
      <w:marLeft w:val="0"/>
      <w:marRight w:val="0"/>
      <w:marTop w:val="0"/>
      <w:marBottom w:val="0"/>
      <w:divBdr>
        <w:top w:val="none" w:sz="0" w:space="0" w:color="auto"/>
        <w:left w:val="none" w:sz="0" w:space="0" w:color="auto"/>
        <w:bottom w:val="none" w:sz="0" w:space="0" w:color="auto"/>
        <w:right w:val="none" w:sz="0" w:space="0" w:color="auto"/>
      </w:divBdr>
    </w:div>
    <w:div w:id="812408101">
      <w:bodyDiv w:val="1"/>
      <w:marLeft w:val="0"/>
      <w:marRight w:val="0"/>
      <w:marTop w:val="0"/>
      <w:marBottom w:val="0"/>
      <w:divBdr>
        <w:top w:val="none" w:sz="0" w:space="0" w:color="auto"/>
        <w:left w:val="none" w:sz="0" w:space="0" w:color="auto"/>
        <w:bottom w:val="none" w:sz="0" w:space="0" w:color="auto"/>
        <w:right w:val="none" w:sz="0" w:space="0" w:color="auto"/>
      </w:divBdr>
    </w:div>
    <w:div w:id="1312641682">
      <w:bodyDiv w:val="1"/>
      <w:marLeft w:val="0"/>
      <w:marRight w:val="0"/>
      <w:marTop w:val="0"/>
      <w:marBottom w:val="0"/>
      <w:divBdr>
        <w:top w:val="none" w:sz="0" w:space="0" w:color="auto"/>
        <w:left w:val="none" w:sz="0" w:space="0" w:color="auto"/>
        <w:bottom w:val="none" w:sz="0" w:space="0" w:color="auto"/>
        <w:right w:val="none" w:sz="0" w:space="0" w:color="auto"/>
      </w:divBdr>
    </w:div>
    <w:div w:id="149776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c/30c7/bd70/899aabf84e0dead5bc298777/sbi-02-22-ru.pdf" TargetMode="External"/><Relationship Id="rId2" Type="http://schemas.openxmlformats.org/officeDocument/2006/relationships/hyperlink" Target="http://www.un.org/en/ga/search/view_doc.asp?symbol=A/RES/60/283&amp;Lang=R" TargetMode="External"/><Relationship Id="rId1" Type="http://schemas.openxmlformats.org/officeDocument/2006/relationships/hyperlink" Target="https://www.cbd.int/doc/c/4346/3aec/efcee9a99ecccca33ffa2bf3/cop-14-04-ru.pdf" TargetMode="External"/><Relationship Id="rId4" Type="http://schemas.openxmlformats.org/officeDocument/2006/relationships/hyperlink" Target="https://www.cbd.int/doc/decisions/cop-09/cop-09-dec-34-ru.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058856CDA1E48B9B0D2F4552EA8CCB3"/>
        <w:category>
          <w:name w:val="Général"/>
          <w:gallery w:val="placeholder"/>
        </w:category>
        <w:types>
          <w:type w:val="bbPlcHdr"/>
        </w:types>
        <w:behaviors>
          <w:behavior w:val="content"/>
        </w:behaviors>
        <w:guid w:val="{B9EEBF87-27CE-4471-A082-8478BD9FAD4A}"/>
      </w:docPartPr>
      <w:docPartBody>
        <w:p w:rsidR="003B0551" w:rsidRDefault="003B0551" w:rsidP="003B0551">
          <w:pPr>
            <w:pStyle w:val="5058856CDA1E48B9B0D2F4552EA8CCB3"/>
          </w:pPr>
          <w:r w:rsidRPr="00097255">
            <w:rPr>
              <w:rStyle w:val="Textedelespacerserv"/>
            </w:rPr>
            <w:t>[Status]</w:t>
          </w:r>
        </w:p>
      </w:docPartBody>
    </w:docPart>
    <w:docPart>
      <w:docPartPr>
        <w:name w:val="50CF7706DFD34484A99FA4C687D0A024"/>
        <w:category>
          <w:name w:val="Général"/>
          <w:gallery w:val="placeholder"/>
        </w:category>
        <w:types>
          <w:type w:val="bbPlcHdr"/>
        </w:types>
        <w:behaviors>
          <w:behavior w:val="content"/>
        </w:behaviors>
        <w:guid w:val="{94ACBBEE-E422-4CD1-A08E-44384EA59186}"/>
      </w:docPartPr>
      <w:docPartBody>
        <w:p w:rsidR="003B0551" w:rsidRDefault="003B0551" w:rsidP="003B0551">
          <w:pPr>
            <w:pStyle w:val="50CF7706DFD34484A99FA4C687D0A024"/>
          </w:pPr>
          <w:r w:rsidRPr="006D0F48">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08"/>
  <w:hyphenationZone w:val="425"/>
  <w:characterSpacingControl w:val="doNotCompress"/>
  <w:compat>
    <w:useFELayout/>
  </w:compat>
  <w:rsids>
    <w:rsidRoot w:val="003B0551"/>
    <w:rsid w:val="00004024"/>
    <w:rsid w:val="00017F22"/>
    <w:rsid w:val="00094554"/>
    <w:rsid w:val="002A2253"/>
    <w:rsid w:val="002E7064"/>
    <w:rsid w:val="003B0551"/>
    <w:rsid w:val="008B4D77"/>
    <w:rsid w:val="00FC02F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55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3B0551"/>
    <w:rPr>
      <w:color w:val="808080"/>
    </w:rPr>
  </w:style>
  <w:style w:type="paragraph" w:customStyle="1" w:styleId="5058856CDA1E48B9B0D2F4552EA8CCB3">
    <w:name w:val="5058856CDA1E48B9B0D2F4552EA8CCB3"/>
    <w:rsid w:val="003B0551"/>
  </w:style>
  <w:style w:type="paragraph" w:customStyle="1" w:styleId="A93D5A84476A463EA07C152D5F025BF4">
    <w:name w:val="A93D5A84476A463EA07C152D5F025BF4"/>
    <w:rsid w:val="003B0551"/>
  </w:style>
  <w:style w:type="paragraph" w:customStyle="1" w:styleId="50CF7706DFD34484A99FA4C687D0A024">
    <w:name w:val="50CF7706DFD34484A99FA4C687D0A024"/>
    <w:rsid w:val="003B0551"/>
  </w:style>
  <w:style w:type="paragraph" w:customStyle="1" w:styleId="4BDB5B46664E402DAC5104413D45EB2C">
    <w:name w:val="4BDB5B46664E402DAC5104413D45EB2C"/>
    <w:rsid w:val="003B055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5503D-0B57-4623-9C2C-D19D1562B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26</Pages>
  <Words>8251</Words>
  <Characters>45384</Characters>
  <Application>Microsoft Office Word</Application>
  <DocSecurity>0</DocSecurity>
  <Lines>378</Lines>
  <Paragraphs>107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COP 14-Budget-Draft decisions-27Nov18 (revised 10 30pm)-clean</vt:lpstr>
      <vt:lpstr>COP 14-Budget-Draft decisions-27Nov18 (revised 10 30pm)-clean</vt:lpstr>
    </vt:vector>
  </TitlesOfParts>
  <Company>RePack by SPecialiST</Company>
  <LinksUpToDate>false</LinksUpToDate>
  <CharactersWithSpaces>53528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 14-Budget-Draft decisions-27Nov18 (revised 10 30pm)-clean</dc:title>
  <dc:subject>CBD/COP/DEC/14/37</dc:subject>
  <dc:creator>Budget Committee</dc:creator>
  <cp:lastModifiedBy>Bureau</cp:lastModifiedBy>
  <cp:revision>17</cp:revision>
  <cp:lastPrinted>2019-02-18T10:59:00Z</cp:lastPrinted>
  <dcterms:created xsi:type="dcterms:W3CDTF">2019-02-19T08:21:00Z</dcterms:created>
  <dcterms:modified xsi:type="dcterms:W3CDTF">2019-02-22T21:40:00Z</dcterms:modified>
  <cp:contentStatus>CBD/COP/DEC/14/37</cp:contentStatus>
</cp:coreProperties>
</file>