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55000" w14:paraId="1709863B" w14:textId="77777777" w:rsidTr="00EB2732">
        <w:trPr>
          <w:trHeight w:val="709"/>
        </w:trPr>
        <w:tc>
          <w:tcPr>
            <w:tcW w:w="976" w:type="dxa"/>
            <w:tcBorders>
              <w:top w:val="nil"/>
              <w:left w:val="nil"/>
              <w:bottom w:val="single" w:sz="12" w:space="0" w:color="auto"/>
              <w:right w:val="nil"/>
            </w:tcBorders>
            <w:hideMark/>
          </w:tcPr>
          <w:p w14:paraId="65986D5E" w14:textId="77777777" w:rsidR="00C55000" w:rsidRDefault="00C55000" w:rsidP="00EB2732">
            <w:r>
              <w:rPr>
                <w:noProof/>
                <w:lang w:val="en-GB" w:eastAsia="en-GB"/>
              </w:rPr>
              <w:drawing>
                <wp:inline distT="0" distB="0" distL="0" distR="0" wp14:anchorId="6574DFD3" wp14:editId="4FBB9DA8">
                  <wp:extent cx="476250" cy="400050"/>
                  <wp:effectExtent l="0" t="0" r="0" b="0"/>
                  <wp:docPr id="6" name="Image 6"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top w:val="nil"/>
              <w:left w:val="nil"/>
              <w:bottom w:val="single" w:sz="12" w:space="0" w:color="auto"/>
              <w:right w:val="nil"/>
            </w:tcBorders>
            <w:hideMark/>
          </w:tcPr>
          <w:p w14:paraId="23A89427" w14:textId="77777777" w:rsidR="00C55000" w:rsidRDefault="00C55000" w:rsidP="00EB2732">
            <w:r>
              <w:rPr>
                <w:noProof/>
                <w:lang w:val="en-GB" w:eastAsia="en-GB"/>
              </w:rPr>
              <w:drawing>
                <wp:inline distT="0" distB="0" distL="0" distR="0" wp14:anchorId="6B9C2778" wp14:editId="60A326F2">
                  <wp:extent cx="342900" cy="400050"/>
                  <wp:effectExtent l="0" t="0" r="0" b="0"/>
                  <wp:docPr id="5" name="Image 5"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4090" w:type="dxa"/>
            <w:tcBorders>
              <w:top w:val="nil"/>
              <w:left w:val="nil"/>
              <w:bottom w:val="single" w:sz="12" w:space="0" w:color="auto"/>
              <w:right w:val="nil"/>
            </w:tcBorders>
            <w:hideMark/>
          </w:tcPr>
          <w:p w14:paraId="15487051" w14:textId="77777777" w:rsidR="00C55000" w:rsidRDefault="00C55000" w:rsidP="00EB2732">
            <w:pPr>
              <w:jc w:val="right"/>
              <w:rPr>
                <w:rFonts w:ascii="Arial" w:hAnsi="Arial" w:cs="Arial"/>
                <w:b/>
                <w:sz w:val="32"/>
                <w:szCs w:val="32"/>
              </w:rPr>
            </w:pPr>
            <w:r>
              <w:rPr>
                <w:rFonts w:ascii="Arial" w:hAnsi="Arial" w:cs="Arial"/>
                <w:b/>
                <w:sz w:val="32"/>
                <w:szCs w:val="32"/>
              </w:rPr>
              <w:t>CBD</w:t>
            </w:r>
          </w:p>
        </w:tc>
      </w:tr>
      <w:tr w:rsidR="00C55000" w:rsidRPr="00C55000" w14:paraId="719B14AB" w14:textId="77777777" w:rsidTr="00EB2732">
        <w:tc>
          <w:tcPr>
            <w:tcW w:w="6117" w:type="dxa"/>
            <w:gridSpan w:val="2"/>
            <w:tcBorders>
              <w:top w:val="single" w:sz="12" w:space="0" w:color="auto"/>
              <w:left w:val="nil"/>
              <w:bottom w:val="single" w:sz="36" w:space="0" w:color="auto"/>
              <w:right w:val="nil"/>
            </w:tcBorders>
            <w:vAlign w:val="center"/>
            <w:hideMark/>
          </w:tcPr>
          <w:p w14:paraId="636F3EC0" w14:textId="77777777" w:rsidR="00C55000" w:rsidRPr="00C55000" w:rsidRDefault="00C55000" w:rsidP="00EB2732">
            <w:r w:rsidRPr="00C55000">
              <w:rPr>
                <w:noProof/>
                <w:szCs w:val="22"/>
                <w:lang w:eastAsia="en-GB"/>
              </w:rPr>
              <w:drawing>
                <wp:inline distT="0" distB="0" distL="0" distR="0" wp14:anchorId="6E19F198" wp14:editId="745652B2">
                  <wp:extent cx="2886075" cy="1194494"/>
                  <wp:effectExtent l="0" t="0" r="0" b="5715"/>
                  <wp:docPr id="1" name="Image 1" descr="Descripción: 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ción: 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121" cy="1203618"/>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14:paraId="3DC74A3B" w14:textId="77777777" w:rsidR="00C55000" w:rsidRPr="00C55000" w:rsidRDefault="00C55000" w:rsidP="00EB2732">
            <w:pPr>
              <w:ind w:left="1215"/>
              <w:rPr>
                <w:noProof/>
                <w:szCs w:val="22"/>
              </w:rPr>
            </w:pPr>
            <w:r w:rsidRPr="00C55000">
              <w:rPr>
                <w:noProof/>
                <w:szCs w:val="22"/>
              </w:rPr>
              <w:t>Distr.</w:t>
            </w:r>
          </w:p>
          <w:p w14:paraId="2177844A" w14:textId="7BCAEE32" w:rsidR="00C55000" w:rsidRPr="00C55000" w:rsidRDefault="00C55000" w:rsidP="00EB2732">
            <w:pPr>
              <w:ind w:left="1215"/>
              <w:rPr>
                <w:szCs w:val="22"/>
              </w:rPr>
            </w:pPr>
            <w:sdt>
              <w:sdtPr>
                <w:alias w:val="Status"/>
                <w:id w:val="307985777"/>
                <w:placeholder>
                  <w:docPart w:val="788B637EEC194BB4A47B9A22FC88447B"/>
                </w:placeholder>
                <w:dataBinding w:prefixMappings="xmlns:ns0='http://purl.org/dc/elements/1.1/' xmlns:ns1='http://schemas.openxmlformats.org/package/2006/metadata/core-properties' " w:xpath="/ns1:coreProperties[1]/ns1:contentStatus[1]" w:storeItemID="{6C3C8BC8-F283-45AE-878A-BAB7291924A1}"/>
                <w:text/>
              </w:sdtPr>
              <w:sdtContent>
                <w:r w:rsidRPr="00C55000">
                  <w:t>GÉNÉRALE</w:t>
                </w:r>
              </w:sdtContent>
            </w:sdt>
          </w:p>
          <w:p w14:paraId="011ACFF9" w14:textId="77777777" w:rsidR="00C55000" w:rsidRPr="00C55000" w:rsidRDefault="00C55000" w:rsidP="00EB2732">
            <w:pPr>
              <w:ind w:left="1215"/>
              <w:rPr>
                <w:szCs w:val="22"/>
              </w:rPr>
            </w:pPr>
          </w:p>
          <w:p w14:paraId="7CA922B3" w14:textId="69AC68D6" w:rsidR="00C55000" w:rsidRPr="00C55000" w:rsidRDefault="00C55000" w:rsidP="00EB2732">
            <w:pPr>
              <w:ind w:left="1215"/>
              <w:rPr>
                <w:szCs w:val="22"/>
              </w:rPr>
            </w:pPr>
            <w:sdt>
              <w:sdtPr>
                <w:alias w:val="Subject"/>
                <w:id w:val="2137136483"/>
                <w:placeholder>
                  <w:docPart w:val="73648B63914549EFB9FF527FAE60D539"/>
                </w:placeholder>
                <w:dataBinding w:prefixMappings="xmlns:ns0='http://purl.org/dc/elements/1.1/' xmlns:ns1='http://schemas.openxmlformats.org/package/2006/metadata/core-properties' " w:xpath="/ns1:coreProperties[1]/ns0:subject[1]" w:storeItemID="{6C3C8BC8-F283-45AE-878A-BAB7291924A1}"/>
                <w:text/>
              </w:sdtPr>
              <w:sdtContent>
                <w:r w:rsidRPr="00C55000">
                  <w:t>CBD/COP/DEC/14/38</w:t>
                </w:r>
              </w:sdtContent>
            </w:sdt>
          </w:p>
          <w:p w14:paraId="7FA52369" w14:textId="77777777" w:rsidR="00C55000" w:rsidRPr="00C55000" w:rsidRDefault="00C55000" w:rsidP="00EB2732">
            <w:pPr>
              <w:ind w:left="1215"/>
              <w:rPr>
                <w:szCs w:val="22"/>
              </w:rPr>
            </w:pPr>
            <w:r w:rsidRPr="00C55000">
              <w:rPr>
                <w:szCs w:val="22"/>
              </w:rPr>
              <w:t>30 novembre 2018</w:t>
            </w:r>
          </w:p>
          <w:p w14:paraId="7D4C7E95" w14:textId="77777777" w:rsidR="00C55000" w:rsidRPr="00C55000" w:rsidRDefault="00C55000" w:rsidP="00EB2732">
            <w:pPr>
              <w:ind w:left="1215"/>
              <w:rPr>
                <w:szCs w:val="22"/>
              </w:rPr>
            </w:pPr>
          </w:p>
          <w:p w14:paraId="7AA11BAD" w14:textId="77777777" w:rsidR="00C55000" w:rsidRPr="00C55000" w:rsidRDefault="00C55000" w:rsidP="00EB2732">
            <w:pPr>
              <w:ind w:left="1215"/>
              <w:rPr>
                <w:szCs w:val="22"/>
              </w:rPr>
            </w:pPr>
            <w:r w:rsidRPr="00C55000">
              <w:rPr>
                <w:szCs w:val="22"/>
              </w:rPr>
              <w:t>FRANÇAIS</w:t>
            </w:r>
          </w:p>
          <w:p w14:paraId="11AFBE4D" w14:textId="1BC24ED8" w:rsidR="00C55000" w:rsidRPr="00C55000" w:rsidRDefault="00C55000" w:rsidP="00EB2732">
            <w:pPr>
              <w:ind w:left="1215"/>
              <w:rPr>
                <w:szCs w:val="22"/>
              </w:rPr>
            </w:pPr>
            <w:r>
              <w:rPr>
                <w:szCs w:val="22"/>
              </w:rPr>
              <w:t>ORIGINAL :</w:t>
            </w:r>
            <w:r w:rsidRPr="00C55000">
              <w:rPr>
                <w:szCs w:val="22"/>
              </w:rPr>
              <w:t xml:space="preserve"> ANGLAIS</w:t>
            </w:r>
          </w:p>
          <w:p w14:paraId="1E244C98" w14:textId="77777777" w:rsidR="00C55000" w:rsidRPr="00C55000" w:rsidRDefault="00C55000" w:rsidP="00EB2732"/>
        </w:tc>
      </w:tr>
    </w:tbl>
    <w:p w14:paraId="1DC2F3CC" w14:textId="77777777" w:rsidR="0061445E" w:rsidRPr="00C55000" w:rsidRDefault="0061445E" w:rsidP="0061445E">
      <w:pPr>
        <w:pStyle w:val="NoSpacing"/>
        <w:ind w:left="142" w:right="4682" w:hanging="142"/>
        <w:rPr>
          <w:rFonts w:ascii="Times New Roman" w:hAnsi="Times New Roman"/>
        </w:rPr>
      </w:pPr>
      <w:r w:rsidRPr="00C55000">
        <w:rPr>
          <w:rFonts w:ascii="Times New Roman" w:hAnsi="Times New Roman"/>
        </w:rPr>
        <w:t>CONFÉRENCE DES PARTIES À LA CONVENTION SUR LA DIVERSITÉ BIOLOGIQUE</w:t>
      </w:r>
    </w:p>
    <w:p w14:paraId="5B0F9F9E" w14:textId="77777777" w:rsidR="0061445E" w:rsidRPr="00C55000" w:rsidRDefault="0061445E" w:rsidP="0061445E">
      <w:pPr>
        <w:pStyle w:val="NoSpacing"/>
        <w:rPr>
          <w:rFonts w:ascii="Times New Roman" w:hAnsi="Times New Roman"/>
        </w:rPr>
      </w:pPr>
      <w:r w:rsidRPr="00C55000">
        <w:rPr>
          <w:rFonts w:ascii="Times New Roman" w:hAnsi="Times New Roman"/>
        </w:rPr>
        <w:t>Quatorzième réunion</w:t>
      </w:r>
    </w:p>
    <w:p w14:paraId="016B4752" w14:textId="05A27881" w:rsidR="0061445E" w:rsidRPr="00C55000" w:rsidRDefault="00C55000" w:rsidP="0061445E">
      <w:pPr>
        <w:pStyle w:val="NoSpacing"/>
        <w:rPr>
          <w:rFonts w:ascii="Times New Roman" w:hAnsi="Times New Roman"/>
        </w:rPr>
      </w:pPr>
      <w:r w:rsidRPr="00C55000">
        <w:rPr>
          <w:rFonts w:ascii="Times New Roman" w:hAnsi="Times New Roman"/>
          <w:noProof/>
        </w:rPr>
        <w:t xml:space="preserve">Charm </w:t>
      </w:r>
      <w:r w:rsidRPr="00C55000">
        <w:rPr>
          <w:rFonts w:ascii="Times New Roman" w:hAnsi="Times New Roman"/>
        </w:rPr>
        <w:t>el-C</w:t>
      </w:r>
      <w:r w:rsidR="006D5D40" w:rsidRPr="00C55000">
        <w:rPr>
          <w:rFonts w:ascii="Times New Roman" w:hAnsi="Times New Roman"/>
        </w:rPr>
        <w:t>heikh, Égypte, 17-29 novembre 2018</w:t>
      </w:r>
    </w:p>
    <w:p w14:paraId="0B9BBCE1" w14:textId="5537CC0F" w:rsidR="00C9161D" w:rsidRDefault="00D329C7" w:rsidP="00C9161D">
      <w:r w:rsidRPr="00C55000">
        <w:t>Point 5 de l'</w:t>
      </w:r>
      <w:r w:rsidR="00405146" w:rsidRPr="00C55000">
        <w:t>ordre du jour</w:t>
      </w:r>
    </w:p>
    <w:p w14:paraId="1B1A4DD0" w14:textId="37DDEA8A" w:rsidR="00B572E4" w:rsidRPr="00B572E4" w:rsidRDefault="00B572E4" w:rsidP="00B572E4">
      <w:pPr>
        <w:spacing w:before="240" w:after="120"/>
        <w:jc w:val="center"/>
        <w:rPr>
          <w:b/>
        </w:rPr>
      </w:pPr>
      <w:r>
        <w:rPr>
          <w:b/>
        </w:rPr>
        <w:t>DÉCISION ADOPTÉE PAR LA CONFÉRENCE DES PARTIES À LA CONVENTION SUR LA DIVERSITÉ BIOLOGIQUE</w:t>
      </w:r>
    </w:p>
    <w:p w14:paraId="70A9BE08" w14:textId="671D2346" w:rsidR="00C9161D" w:rsidRPr="00C55000" w:rsidRDefault="00163D67" w:rsidP="00172AF6">
      <w:pPr>
        <w:spacing w:before="120" w:after="240"/>
        <w:jc w:val="center"/>
        <w:rPr>
          <w:b/>
          <w:caps/>
        </w:rPr>
      </w:pPr>
      <w:sdt>
        <w:sdtPr>
          <w:rPr>
            <w:b/>
            <w:snapToGrid w:val="0"/>
            <w:szCs w:val="18"/>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B572E4">
            <w:rPr>
              <w:b/>
              <w:snapToGrid w:val="0"/>
              <w:szCs w:val="18"/>
            </w:rPr>
            <w:t>14/38.</w:t>
          </w:r>
          <w:r w:rsidR="00B572E4">
            <w:rPr>
              <w:b/>
              <w:snapToGrid w:val="0"/>
              <w:szCs w:val="18"/>
            </w:rPr>
            <w:tab/>
            <w:t>D</w:t>
          </w:r>
          <w:r w:rsidR="00B572E4" w:rsidRPr="00C55000">
            <w:rPr>
              <w:b/>
              <w:snapToGrid w:val="0"/>
              <w:szCs w:val="18"/>
            </w:rPr>
            <w:t>ate et l</w:t>
          </w:r>
          <w:r w:rsidR="00B572E4">
            <w:rPr>
              <w:b/>
              <w:snapToGrid w:val="0"/>
              <w:szCs w:val="18"/>
            </w:rPr>
            <w:t>ieu des futures réunions de la C</w:t>
          </w:r>
          <w:r w:rsidR="00A35EF0">
            <w:rPr>
              <w:b/>
              <w:snapToGrid w:val="0"/>
              <w:szCs w:val="18"/>
            </w:rPr>
            <w:t>onférence des P</w:t>
          </w:r>
          <w:r w:rsidR="00B572E4" w:rsidRPr="00C55000">
            <w:rPr>
              <w:b/>
              <w:snapToGrid w:val="0"/>
              <w:szCs w:val="18"/>
            </w:rPr>
            <w:t>arties</w:t>
          </w:r>
        </w:sdtContent>
      </w:sdt>
    </w:p>
    <w:p w14:paraId="51256DE5" w14:textId="77777777" w:rsidR="007D0472" w:rsidRPr="005B0500" w:rsidRDefault="007D0472" w:rsidP="00075C50">
      <w:pPr>
        <w:pStyle w:val="Para1"/>
        <w:numPr>
          <w:ilvl w:val="0"/>
          <w:numId w:val="0"/>
        </w:numPr>
        <w:ind w:firstLine="709"/>
        <w:rPr>
          <w:i/>
        </w:rPr>
      </w:pPr>
      <w:r>
        <w:rPr>
          <w:i/>
        </w:rPr>
        <w:t>La Conférence des Parties,</w:t>
      </w:r>
    </w:p>
    <w:p w14:paraId="23F5C275" w14:textId="3866EB9C" w:rsidR="007D0472" w:rsidRPr="005B0500" w:rsidRDefault="007D0472" w:rsidP="00075C50">
      <w:pPr>
        <w:pStyle w:val="Para1"/>
        <w:numPr>
          <w:ilvl w:val="0"/>
          <w:numId w:val="0"/>
        </w:numPr>
        <w:ind w:firstLine="709"/>
      </w:pPr>
      <w:r>
        <w:rPr>
          <w:i/>
        </w:rPr>
        <w:t>Rappelant</w:t>
      </w:r>
      <w:r w:rsidR="00B572E4">
        <w:t xml:space="preserve"> l</w:t>
      </w:r>
      <w:r>
        <w:t>a décision XIII/33 dans laquelle elle a décidé que la quinzième réunion de la Conférence des Parties à la Convention se tiendrait en Chine et que la seizième réunion de la Conférence des Parties se tiendrait en Turquie,</w:t>
      </w:r>
    </w:p>
    <w:p w14:paraId="2631DB4C" w14:textId="58CC62A5" w:rsidR="007D0472" w:rsidRPr="005B0500" w:rsidRDefault="007D0472" w:rsidP="00075C50">
      <w:pPr>
        <w:pStyle w:val="Para1"/>
        <w:ind w:firstLine="709"/>
      </w:pPr>
      <w:r>
        <w:rPr>
          <w:i/>
        </w:rPr>
        <w:t>Décide</w:t>
      </w:r>
      <w:r>
        <w:t xml:space="preserve"> que la seizième réunion de la Conférence des Parties à la Convention, ainsi que la onzième </w:t>
      </w:r>
      <w:r w:rsidR="00B572E4">
        <w:t xml:space="preserve">réunion </w:t>
      </w:r>
      <w:r>
        <w:t>de la Conférence des Parties siégeant en tant que réunion</w:t>
      </w:r>
      <w:r w:rsidR="00B572E4">
        <w:t xml:space="preserve"> des Parties</w:t>
      </w:r>
      <w:r>
        <w:t xml:space="preserve"> au Protocole de Cartagena et la cinquième réunion de la Conférence des Parties siégeant en tant que réunion des Parties au Protocole de Nagoya se tiendront</w:t>
      </w:r>
      <w:r w:rsidR="00B572E4">
        <w:t xml:space="preserve"> pendant le dernier trimestre de</w:t>
      </w:r>
      <w:r>
        <w:t xml:space="preserve"> 2022 ;</w:t>
      </w:r>
    </w:p>
    <w:p w14:paraId="61B6AF73" w14:textId="76FA3743" w:rsidR="007D0472" w:rsidRPr="005B0500" w:rsidRDefault="007D0472" w:rsidP="00075C50">
      <w:pPr>
        <w:pStyle w:val="Para1"/>
        <w:ind w:firstLine="709"/>
      </w:pPr>
      <w:r>
        <w:rPr>
          <w:i/>
        </w:rPr>
        <w:t>Invite</w:t>
      </w:r>
      <w:r>
        <w:t xml:space="preserve"> les Parties de la région d’Europe centrale et orientale à informer la Secrétaire exécutive de leurs offres d’héberger la dix-septième réunion de la Conférence des Parties ainsi que la douzième réunion de la Conférence des Parties siégeant en tant que réunion des Parties au Protocole de Cartagena et la sixième réunion de la Conférence des Parties siégeant en tant que réunion des Parties au Protocole de Nagoya ;</w:t>
      </w:r>
    </w:p>
    <w:p w14:paraId="1122E25F" w14:textId="70C90757" w:rsidR="00427D21" w:rsidRDefault="007D0472" w:rsidP="00075C50">
      <w:pPr>
        <w:pStyle w:val="Para1"/>
        <w:ind w:firstLine="709"/>
      </w:pPr>
      <w:r>
        <w:rPr>
          <w:i/>
        </w:rPr>
        <w:t>Demande</w:t>
      </w:r>
      <w:r>
        <w:t xml:space="preserve"> à l’Organe subsidiaire chargé de l’application d’élaborer, à la lumière de son examen des propositions relatives au cadre mondial de la biodiversité pour l’après-2020, une proposition sur la périodicité des réunions de la Conférence des Parties au-delà de la seizième réunion, aux fins d’examen et d’adoption par la Conférence des Parties à sa quinzième réunion.</w:t>
      </w:r>
    </w:p>
    <w:p w14:paraId="02531827" w14:textId="77777777" w:rsidR="00C9161D" w:rsidRDefault="00C9161D" w:rsidP="00C9161D">
      <w:pPr>
        <w:jc w:val="center"/>
      </w:pPr>
      <w:r>
        <w:t>______</w:t>
      </w:r>
    </w:p>
    <w:p w14:paraId="48D24824" w14:textId="77777777" w:rsidR="00B3369F" w:rsidRPr="00C9161D" w:rsidRDefault="00B3369F" w:rsidP="00C9161D"/>
    <w:sectPr w:rsidR="00B3369F" w:rsidRPr="00C9161D"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A3506" w14:textId="77777777" w:rsidR="00163D67" w:rsidRDefault="00163D67" w:rsidP="00CF1848">
      <w:r>
        <w:separator/>
      </w:r>
    </w:p>
  </w:endnote>
  <w:endnote w:type="continuationSeparator" w:id="0">
    <w:p w14:paraId="27C12467" w14:textId="77777777" w:rsidR="00163D67" w:rsidRDefault="00163D6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BFFA1" w14:textId="77777777" w:rsidR="00163D67" w:rsidRDefault="00163D67" w:rsidP="00CF1848">
      <w:r>
        <w:separator/>
      </w:r>
    </w:p>
  </w:footnote>
  <w:footnote w:type="continuationSeparator" w:id="0">
    <w:p w14:paraId="35074293" w14:textId="77777777" w:rsidR="00163D67" w:rsidRDefault="00163D67" w:rsidP="00CF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1270EA24" w:rsidR="00534681" w:rsidRPr="00075C50" w:rsidRDefault="00C55000" w:rsidP="00534681">
        <w:pPr>
          <w:pStyle w:val="Header"/>
          <w:rPr>
            <w:lang w:val="en-CA"/>
          </w:rPr>
        </w:pPr>
        <w:r>
          <w:rPr>
            <w:lang w:val="en-GB"/>
          </w:rPr>
          <w:t>CBD/COP/DEC/14/38</w:t>
        </w:r>
      </w:p>
    </w:sdtContent>
  </w:sdt>
  <w:p w14:paraId="57597240" w14:textId="77777777" w:rsidR="00534681" w:rsidRPr="00000614" w:rsidRDefault="00534681" w:rsidP="00534681">
    <w:pPr>
      <w:pStyle w:val="Header"/>
    </w:pPr>
    <w:r>
      <w:t xml:space="preserve">Page </w:t>
    </w:r>
    <w:r>
      <w:fldChar w:fldCharType="begin"/>
    </w:r>
    <w:r>
      <w:rPr>
        <w:noProof/>
      </w:rPr>
      <w:instrText xml:space="preserve"> PAGE   \* MERGEFORMAT </w:instrText>
    </w:r>
    <w:r>
      <w:fldChar w:fldCharType="separate"/>
    </w:r>
    <w:r>
      <w:rPr>
        <w:noProof/>
      </w:rPr>
      <w:t>2</w:t>
    </w:r>
    <w:r>
      <w:fldChar w:fldCharType="end"/>
    </w:r>
  </w:p>
  <w:p w14:paraId="1D80EB20" w14:textId="77777777" w:rsidR="00534681" w:rsidRPr="00000614" w:rsidRDefault="005346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7F79216B" w:rsidR="009505C9" w:rsidRPr="00075C50" w:rsidRDefault="00C55000" w:rsidP="009505C9">
        <w:pPr>
          <w:pStyle w:val="Header"/>
          <w:jc w:val="right"/>
          <w:rPr>
            <w:lang w:val="en-CA"/>
          </w:rPr>
        </w:pPr>
        <w:r>
          <w:rPr>
            <w:lang w:val="en-GB"/>
          </w:rPr>
          <w:t>CBD/COP/DEC/14/38</w:t>
        </w:r>
      </w:p>
    </w:sdtContent>
  </w:sdt>
  <w:p w14:paraId="7E9B8683" w14:textId="77777777" w:rsidR="009505C9" w:rsidRPr="00000614" w:rsidRDefault="009505C9" w:rsidP="009505C9">
    <w:pPr>
      <w:pStyle w:val="Header"/>
      <w:jc w:val="right"/>
    </w:pPr>
    <w:r>
      <w:t xml:space="preserve">Page </w:t>
    </w:r>
    <w:r>
      <w:fldChar w:fldCharType="begin"/>
    </w:r>
    <w:r>
      <w:rPr>
        <w:noProof/>
      </w:rPr>
      <w:instrText xml:space="preserve"> PAGE   \* MERGEFORMAT </w:instrText>
    </w:r>
    <w:r>
      <w:fldChar w:fldCharType="separate"/>
    </w:r>
    <w:r>
      <w:rPr>
        <w:noProof/>
      </w:rPr>
      <w:t>1</w:t>
    </w:r>
    <w:r>
      <w:fldChar w:fldCharType="end"/>
    </w:r>
  </w:p>
  <w:p w14:paraId="2F845650" w14:textId="77777777" w:rsidR="009505C9" w:rsidRPr="00000614" w:rsidRDefault="009505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11817"/>
    <w:rsid w:val="00075C50"/>
    <w:rsid w:val="000E673A"/>
    <w:rsid w:val="000F74F5"/>
    <w:rsid w:val="00105372"/>
    <w:rsid w:val="00131E7A"/>
    <w:rsid w:val="00163D67"/>
    <w:rsid w:val="00172AF6"/>
    <w:rsid w:val="00176CEE"/>
    <w:rsid w:val="001842DA"/>
    <w:rsid w:val="00372F74"/>
    <w:rsid w:val="003F7224"/>
    <w:rsid w:val="00405146"/>
    <w:rsid w:val="0042412C"/>
    <w:rsid w:val="00427D21"/>
    <w:rsid w:val="004644C2"/>
    <w:rsid w:val="00467F9C"/>
    <w:rsid w:val="00534681"/>
    <w:rsid w:val="005B0500"/>
    <w:rsid w:val="006122BA"/>
    <w:rsid w:val="006129BD"/>
    <w:rsid w:val="0061445E"/>
    <w:rsid w:val="006B2290"/>
    <w:rsid w:val="006D5D40"/>
    <w:rsid w:val="00717D88"/>
    <w:rsid w:val="007942D3"/>
    <w:rsid w:val="007B6C09"/>
    <w:rsid w:val="007D0472"/>
    <w:rsid w:val="007E09DA"/>
    <w:rsid w:val="008178B6"/>
    <w:rsid w:val="00865B74"/>
    <w:rsid w:val="009104CD"/>
    <w:rsid w:val="00930BA1"/>
    <w:rsid w:val="0093169E"/>
    <w:rsid w:val="009505C9"/>
    <w:rsid w:val="009C200D"/>
    <w:rsid w:val="00A35EF0"/>
    <w:rsid w:val="00A41D83"/>
    <w:rsid w:val="00B3369F"/>
    <w:rsid w:val="00B45D2A"/>
    <w:rsid w:val="00B572E4"/>
    <w:rsid w:val="00C55000"/>
    <w:rsid w:val="00C64A19"/>
    <w:rsid w:val="00C9161D"/>
    <w:rsid w:val="00CF1848"/>
    <w:rsid w:val="00D12044"/>
    <w:rsid w:val="00D329C7"/>
    <w:rsid w:val="00D56D70"/>
    <w:rsid w:val="00D76A18"/>
    <w:rsid w:val="00DD118C"/>
    <w:rsid w:val="00E66235"/>
    <w:rsid w:val="00E83C24"/>
    <w:rsid w:val="00E9318D"/>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88B637EEC194BB4A47B9A22FC88447B"/>
        <w:category>
          <w:name w:val="General"/>
          <w:gallery w:val="placeholder"/>
        </w:category>
        <w:types>
          <w:type w:val="bbPlcHdr"/>
        </w:types>
        <w:behaviors>
          <w:behavior w:val="content"/>
        </w:behaviors>
        <w:guid w:val="{A00499CD-CC7A-4D60-8FA2-68ADAE05113A}"/>
      </w:docPartPr>
      <w:docPartBody>
        <w:p w:rsidR="00000000" w:rsidRDefault="00B8150F" w:rsidP="00B8150F">
          <w:pPr>
            <w:pStyle w:val="788B637EEC194BB4A47B9A22FC88447B"/>
          </w:pPr>
          <w:r>
            <w:rPr>
              <w:rStyle w:val="PlaceholderText"/>
            </w:rPr>
            <w:t>[Status]</w:t>
          </w:r>
        </w:p>
      </w:docPartBody>
    </w:docPart>
    <w:docPart>
      <w:docPartPr>
        <w:name w:val="73648B63914549EFB9FF527FAE60D539"/>
        <w:category>
          <w:name w:val="General"/>
          <w:gallery w:val="placeholder"/>
        </w:category>
        <w:types>
          <w:type w:val="bbPlcHdr"/>
        </w:types>
        <w:behaviors>
          <w:behavior w:val="content"/>
        </w:behaviors>
        <w:guid w:val="{DB1CBFA4-DB18-4595-AEC0-6F9817898554}"/>
      </w:docPartPr>
      <w:docPartBody>
        <w:p w:rsidR="00000000" w:rsidRDefault="00B8150F" w:rsidP="00B8150F">
          <w:pPr>
            <w:pStyle w:val="73648B63914549EFB9FF527FAE60D539"/>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61E9A"/>
    <w:rsid w:val="00500A2B"/>
    <w:rsid w:val="0058288D"/>
    <w:rsid w:val="006801B3"/>
    <w:rsid w:val="00720F63"/>
    <w:rsid w:val="007F1B76"/>
    <w:rsid w:val="00810A55"/>
    <w:rsid w:val="008C6619"/>
    <w:rsid w:val="008D420E"/>
    <w:rsid w:val="0098642F"/>
    <w:rsid w:val="009D4F2C"/>
    <w:rsid w:val="00B8150F"/>
    <w:rsid w:val="00CE6602"/>
    <w:rsid w:val="00D3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50F"/>
  </w:style>
  <w:style w:type="paragraph" w:customStyle="1" w:styleId="C444DEE40D7C456B82AF1A09CD132ABF">
    <w:name w:val="C444DEE40D7C456B82AF1A09CD132ABF"/>
    <w:rsid w:val="00CE6602"/>
    <w:pPr>
      <w:spacing w:after="160" w:line="259" w:lineRule="auto"/>
    </w:pPr>
  </w:style>
  <w:style w:type="paragraph" w:customStyle="1" w:styleId="788B637EEC194BB4A47B9A22FC88447B">
    <w:name w:val="788B637EEC194BB4A47B9A22FC88447B"/>
    <w:rsid w:val="00B8150F"/>
    <w:rPr>
      <w:lang w:val="en-GB" w:eastAsia="en-GB"/>
    </w:rPr>
  </w:style>
  <w:style w:type="paragraph" w:customStyle="1" w:styleId="73648B63914549EFB9FF527FAE60D539">
    <w:name w:val="73648B63914549EFB9FF527FAE60D539"/>
    <w:rsid w:val="00B8150F"/>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50F"/>
  </w:style>
  <w:style w:type="paragraph" w:customStyle="1" w:styleId="C444DEE40D7C456B82AF1A09CD132ABF">
    <w:name w:val="C444DEE40D7C456B82AF1A09CD132ABF"/>
    <w:rsid w:val="00CE6602"/>
    <w:pPr>
      <w:spacing w:after="160" w:line="259" w:lineRule="auto"/>
    </w:pPr>
  </w:style>
  <w:style w:type="paragraph" w:customStyle="1" w:styleId="788B637EEC194BB4A47B9A22FC88447B">
    <w:name w:val="788B637EEC194BB4A47B9A22FC88447B"/>
    <w:rsid w:val="00B8150F"/>
    <w:rPr>
      <w:lang w:val="en-GB" w:eastAsia="en-GB"/>
    </w:rPr>
  </w:style>
  <w:style w:type="paragraph" w:customStyle="1" w:styleId="73648B63914549EFB9FF527FAE60D539">
    <w:name w:val="73648B63914549EFB9FF527FAE60D539"/>
    <w:rsid w:val="00B8150F"/>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6FCAFE-4DFF-47D3-89CF-C3C3FA59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275</Words>
  <Characters>1574</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DATE ET LIEU DES FUTURES RÉUNIONS DE LA CONFÉRENCE DES PARTIES</vt:lpstr>
      <vt:lpstr>DATE AND VENUE OF FUTURE MEETINGS OF THE CONFERENCE OF THE PARTIES</vt:lpstr>
    </vt:vector>
  </TitlesOfParts>
  <Company>SCBD</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14/38.	Date et lieu des futures réunions de la Conférence des Parties</dc:title>
  <dc:subject>CBD/COP/DEC/14/38</dc:subject>
  <dc:creator>SCBD</dc:creator>
  <cp:lastModifiedBy>--</cp:lastModifiedBy>
  <cp:revision>4</cp:revision>
  <dcterms:created xsi:type="dcterms:W3CDTF">2019-01-26T12:40:00Z</dcterms:created>
  <dcterms:modified xsi:type="dcterms:W3CDTF">2019-01-26T12:56:00Z</dcterms:modified>
  <cp:contentStatus>GÉNÉRALE</cp:contentStatus>
</cp:coreProperties>
</file>