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71"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4588"/>
        <w:gridCol w:w="4676"/>
      </w:tblGrid>
      <w:tr w:rsidR="002A512E" w14:paraId="07F6750D" w14:textId="77777777" w:rsidTr="00496801">
        <w:trPr>
          <w:trHeight w:val="851"/>
        </w:trPr>
        <w:tc>
          <w:tcPr>
            <w:tcW w:w="477" w:type="pct"/>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240" w:type="pct"/>
            <w:tcBorders>
              <w:bottom w:val="single" w:sz="12" w:space="0" w:color="auto"/>
            </w:tcBorders>
            <w:shd w:val="clear" w:color="auto" w:fill="auto"/>
            <w:tcFitText/>
          </w:tcPr>
          <w:p w14:paraId="1986B63F" w14:textId="1087733B" w:rsidR="00FA663B" w:rsidRPr="00321985" w:rsidRDefault="00AA6F92" w:rsidP="00321985">
            <w:r w:rsidRPr="003F7670">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284" w:type="pct"/>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2A512E" w14:paraId="6F751905" w14:textId="77777777" w:rsidTr="002A512E">
        <w:tc>
          <w:tcPr>
            <w:tcW w:w="2716" w:type="pct"/>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2284" w:type="pct"/>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512CD1BE" w:rsidR="00C9161D" w:rsidRPr="00C9161D" w:rsidRDefault="003F7670"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3F773C57" w:rsidR="00C9161D" w:rsidRPr="00C9161D" w:rsidRDefault="00BD5416"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F7670">
                  <w:rPr>
                    <w:lang w:val="en-US"/>
                  </w:rPr>
                  <w:t>CBD/COP/DEC/15/23</w:t>
                </w:r>
              </w:sdtContent>
            </w:sdt>
          </w:p>
          <w:p w14:paraId="0DF1F033" w14:textId="72D9AE54" w:rsidR="00C9161D" w:rsidRPr="00C9161D" w:rsidRDefault="002A512E" w:rsidP="00176CEE">
            <w:pPr>
              <w:ind w:left="1215"/>
              <w:rPr>
                <w:szCs w:val="22"/>
              </w:rPr>
            </w:pPr>
            <w:r>
              <w:rPr>
                <w:szCs w:val="22"/>
                <w:lang w:val="en-US"/>
              </w:rPr>
              <w:t>1</w:t>
            </w:r>
            <w:r w:rsidR="00DE6A3A">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31252BE6"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F11E5A">
        <w:rPr>
          <w:snapToGrid w:val="0"/>
          <w:kern w:val="22"/>
          <w:szCs w:val="22"/>
        </w:rPr>
        <w:t>22</w:t>
      </w:r>
      <w:r w:rsidR="00134846" w:rsidRPr="004B44DE">
        <w:rPr>
          <w:snapToGrid w:val="0"/>
          <w:kern w:val="22"/>
          <w:szCs w:val="22"/>
        </w:rPr>
        <w:t xml:space="preserve"> </w:t>
      </w:r>
    </w:p>
    <w:p w14:paraId="7AB5A8C5" w14:textId="28AA8774" w:rsidR="0061492D" w:rsidRPr="00C9161D" w:rsidRDefault="0061492D" w:rsidP="00496801">
      <w:pPr>
        <w:pStyle w:val="HEADINGNOTFORTOC"/>
      </w:pPr>
      <w:r>
        <w:t>DECISION ADOPTED BY THE CONFERENCE OF THE PARTIES TO THE CONVENTION ON BIOLOGICAL DIVERSITY</w:t>
      </w:r>
    </w:p>
    <w:p w14:paraId="57F6B7A1" w14:textId="6A592E6D" w:rsidR="00C9161D" w:rsidRDefault="00BD5416" w:rsidP="00496801">
      <w:pPr>
        <w:spacing w:before="24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F7670">
            <w:rPr>
              <w:b/>
              <w:bCs/>
              <w:iCs/>
            </w:rPr>
            <w:t>15/23.</w:t>
          </w:r>
          <w:r w:rsidR="003F7670">
            <w:rPr>
              <w:b/>
              <w:bCs/>
              <w:iCs/>
            </w:rPr>
            <w:tab/>
          </w:r>
          <w:r w:rsidR="003F7670" w:rsidRPr="00F11E5A">
            <w:rPr>
              <w:b/>
              <w:bCs/>
              <w:iCs/>
            </w:rPr>
            <w:t xml:space="preserve">Sustainable </w:t>
          </w:r>
          <w:r w:rsidR="00346DE6">
            <w:rPr>
              <w:b/>
              <w:bCs/>
              <w:iCs/>
            </w:rPr>
            <w:t>w</w:t>
          </w:r>
          <w:r w:rsidR="003F7670" w:rsidRPr="00F11E5A">
            <w:rPr>
              <w:b/>
              <w:bCs/>
              <w:iCs/>
            </w:rPr>
            <w:t xml:space="preserve">ildlife </w:t>
          </w:r>
          <w:r w:rsidR="00346DE6">
            <w:rPr>
              <w:b/>
              <w:bCs/>
              <w:iCs/>
            </w:rPr>
            <w:t>m</w:t>
          </w:r>
          <w:r w:rsidR="003F7670" w:rsidRPr="00F11E5A">
            <w:rPr>
              <w:b/>
              <w:bCs/>
              <w:iCs/>
            </w:rPr>
            <w:t>anagement</w:t>
          </w:r>
        </w:sdtContent>
      </w:sdt>
      <w:r w:rsidR="00105372" w:rsidRPr="00105372">
        <w:rPr>
          <w:b/>
          <w:caps/>
        </w:rPr>
        <w:t xml:space="preserve"> </w:t>
      </w:r>
    </w:p>
    <w:p w14:paraId="7F9EE256" w14:textId="77777777" w:rsidR="000001B9" w:rsidRPr="00C314F5" w:rsidRDefault="000001B9" w:rsidP="000001B9">
      <w:pPr>
        <w:suppressLineNumbers/>
        <w:suppressAutoHyphens/>
        <w:spacing w:before="120" w:after="120"/>
        <w:ind w:firstLine="720"/>
        <w:rPr>
          <w:i/>
          <w:iCs/>
          <w:kern w:val="22"/>
          <w:szCs w:val="22"/>
        </w:rPr>
      </w:pPr>
      <w:r w:rsidRPr="00C314F5">
        <w:rPr>
          <w:i/>
          <w:iCs/>
          <w:kern w:val="22"/>
          <w:szCs w:val="22"/>
        </w:rPr>
        <w:t>The Conference of the Parties,</w:t>
      </w:r>
    </w:p>
    <w:p w14:paraId="0D5DFE32" w14:textId="7A8DAD18" w:rsidR="000001B9" w:rsidRPr="00C314F5" w:rsidRDefault="000001B9" w:rsidP="000001B9">
      <w:pPr>
        <w:suppressLineNumbers/>
        <w:suppressAutoHyphens/>
        <w:spacing w:before="120" w:after="120"/>
        <w:ind w:firstLine="720"/>
        <w:rPr>
          <w:kern w:val="22"/>
          <w:szCs w:val="22"/>
        </w:rPr>
      </w:pPr>
      <w:r w:rsidRPr="00C314F5">
        <w:rPr>
          <w:i/>
          <w:iCs/>
          <w:kern w:val="22"/>
          <w:szCs w:val="22"/>
        </w:rPr>
        <w:t>Recognizing</w:t>
      </w:r>
      <w:r w:rsidRPr="00C314F5">
        <w:rPr>
          <w:kern w:val="22"/>
          <w:szCs w:val="22"/>
        </w:rPr>
        <w:t xml:space="preserve"> that the </w:t>
      </w:r>
      <w:r>
        <w:rPr>
          <w:kern w:val="22"/>
          <w:szCs w:val="22"/>
        </w:rPr>
        <w:t xml:space="preserve">legal and </w:t>
      </w:r>
      <w:r w:rsidRPr="00C314F5">
        <w:rPr>
          <w:kern w:val="22"/>
          <w:szCs w:val="22"/>
        </w:rPr>
        <w:t xml:space="preserve">sustainable use of biodiversity, including management of wildlife, contributed to progress towards several of the Aichi Biodiversity Targets and the Sustainable Development Goals and continues to be relevant for the </w:t>
      </w:r>
      <w:r w:rsidR="00BF2A09">
        <w:rPr>
          <w:kern w:val="22"/>
          <w:szCs w:val="22"/>
        </w:rPr>
        <w:t>Kunming-Montreal</w:t>
      </w:r>
      <w:r w:rsidRPr="00C314F5">
        <w:rPr>
          <w:kern w:val="22"/>
          <w:szCs w:val="22"/>
        </w:rPr>
        <w:t xml:space="preserve"> </w:t>
      </w:r>
      <w:r w:rsidR="00BF2A09">
        <w:rPr>
          <w:kern w:val="22"/>
          <w:szCs w:val="22"/>
        </w:rPr>
        <w:t>G</w:t>
      </w:r>
      <w:r w:rsidRPr="00C314F5">
        <w:rPr>
          <w:kern w:val="22"/>
          <w:szCs w:val="22"/>
        </w:rPr>
        <w:t xml:space="preserve">lobal </w:t>
      </w:r>
      <w:r w:rsidR="00BF2A09">
        <w:rPr>
          <w:kern w:val="22"/>
          <w:szCs w:val="22"/>
        </w:rPr>
        <w:t>B</w:t>
      </w:r>
      <w:r w:rsidRPr="00C314F5">
        <w:rPr>
          <w:kern w:val="22"/>
          <w:szCs w:val="22"/>
        </w:rPr>
        <w:t xml:space="preserve">iodiversity </w:t>
      </w:r>
      <w:r w:rsidR="00BF2A09">
        <w:rPr>
          <w:kern w:val="22"/>
          <w:szCs w:val="22"/>
        </w:rPr>
        <w:t>F</w:t>
      </w:r>
      <w:r w:rsidRPr="00C314F5">
        <w:rPr>
          <w:kern w:val="22"/>
          <w:szCs w:val="22"/>
        </w:rPr>
        <w:t>ramework,</w:t>
      </w:r>
      <w:r>
        <w:rPr>
          <w:kern w:val="22"/>
          <w:szCs w:val="22"/>
        </w:rPr>
        <w:t xml:space="preserve"> </w:t>
      </w:r>
    </w:p>
    <w:p w14:paraId="69ED8EDE" w14:textId="6813D660" w:rsidR="000001B9" w:rsidRPr="00C314F5" w:rsidRDefault="000001B9" w:rsidP="000001B9">
      <w:pPr>
        <w:suppressLineNumbers/>
        <w:suppressAutoHyphens/>
        <w:spacing w:before="120" w:after="120"/>
        <w:ind w:firstLine="720"/>
        <w:rPr>
          <w:iCs/>
          <w:kern w:val="22"/>
          <w:szCs w:val="22"/>
        </w:rPr>
      </w:pPr>
      <w:r w:rsidRPr="00C314F5">
        <w:rPr>
          <w:i/>
          <w:iCs/>
          <w:kern w:val="22"/>
          <w:szCs w:val="22"/>
        </w:rPr>
        <w:t>Recognizing</w:t>
      </w:r>
      <w:r w:rsidR="009F149B">
        <w:rPr>
          <w:i/>
          <w:iCs/>
          <w:kern w:val="22"/>
          <w:szCs w:val="22"/>
        </w:rPr>
        <w:t xml:space="preserve"> also</w:t>
      </w:r>
      <w:r w:rsidRPr="00C314F5">
        <w:rPr>
          <w:i/>
          <w:iCs/>
          <w:kern w:val="22"/>
          <w:szCs w:val="22"/>
        </w:rPr>
        <w:t xml:space="preserve"> </w:t>
      </w:r>
      <w:r w:rsidRPr="00C314F5">
        <w:rPr>
          <w:kern w:val="22"/>
          <w:szCs w:val="22"/>
        </w:rPr>
        <w:t>that unsustainable wildlife management hinder</w:t>
      </w:r>
      <w:r>
        <w:rPr>
          <w:kern w:val="22"/>
          <w:szCs w:val="22"/>
        </w:rPr>
        <w:t>ed</w:t>
      </w:r>
      <w:r w:rsidRPr="00C314F5">
        <w:rPr>
          <w:kern w:val="22"/>
          <w:szCs w:val="22"/>
        </w:rPr>
        <w:t xml:space="preserve"> progress towards several of the Aichi Biodiversity Targets and the Sustainable Development Goals</w:t>
      </w:r>
      <w:r w:rsidRPr="00C314F5">
        <w:rPr>
          <w:iCs/>
          <w:kern w:val="22"/>
          <w:szCs w:val="22"/>
        </w:rPr>
        <w:t>,</w:t>
      </w:r>
    </w:p>
    <w:p w14:paraId="598EB828" w14:textId="2836779E" w:rsidR="000001B9" w:rsidRPr="00C314F5" w:rsidRDefault="000001B9" w:rsidP="000001B9">
      <w:pPr>
        <w:suppressLineNumbers/>
        <w:suppressAutoHyphens/>
        <w:spacing w:before="120" w:after="120"/>
        <w:ind w:firstLine="720"/>
        <w:rPr>
          <w:kern w:val="22"/>
          <w:szCs w:val="22"/>
        </w:rPr>
      </w:pPr>
      <w:r w:rsidRPr="00C314F5">
        <w:rPr>
          <w:i/>
          <w:iCs/>
          <w:kern w:val="22"/>
          <w:szCs w:val="22"/>
        </w:rPr>
        <w:t>Recognizing</w:t>
      </w:r>
      <w:r w:rsidR="00105925">
        <w:rPr>
          <w:i/>
          <w:iCs/>
          <w:kern w:val="22"/>
          <w:szCs w:val="22"/>
        </w:rPr>
        <w:t xml:space="preserve"> further</w:t>
      </w:r>
      <w:r w:rsidRPr="00C314F5">
        <w:rPr>
          <w:kern w:val="22"/>
          <w:szCs w:val="22"/>
        </w:rPr>
        <w:t xml:space="preserve"> the progress </w:t>
      </w:r>
      <w:r w:rsidRPr="00F87571">
        <w:rPr>
          <w:kern w:val="22"/>
          <w:szCs w:val="22"/>
        </w:rPr>
        <w:t xml:space="preserve">made </w:t>
      </w:r>
      <w:r w:rsidR="008A0A52" w:rsidRPr="00496801">
        <w:rPr>
          <w:kern w:val="22"/>
          <w:szCs w:val="22"/>
        </w:rPr>
        <w:t>i</w:t>
      </w:r>
      <w:r w:rsidRPr="00F87571">
        <w:rPr>
          <w:kern w:val="22"/>
          <w:szCs w:val="22"/>
        </w:rPr>
        <w:t>n the consideration of the voluntary guidance for a sustainable wild meat sector in the tropics and the sub-tropics,</w:t>
      </w:r>
    </w:p>
    <w:p w14:paraId="533BCABF"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Welcoming</w:t>
      </w:r>
      <w:r w:rsidRPr="00C314F5">
        <w:rPr>
          <w:kern w:val="22"/>
          <w:szCs w:val="22"/>
        </w:rPr>
        <w:t xml:space="preserve"> the existing collaboration on issues related to sustainable wildlife management between the Convention on Biological Diversity, the Convention on International Trade in Endangered Species of Wild Fauna and Flora, the Convention on the Conservation of Migratory Species of Wild Animals, the Food and Agriculture Organization of the United Nations, the Intergovernmental Science-Policy Platform on Biodiversity and Ecosystem Services and the United Nations Framework Convention on Climate Change, and the work of the Collaborative Partnership on Sustainable Wildlife Management, as well as the International Consortium on Combating Wildlife Crime and others involved in law enforcement,</w:t>
      </w:r>
    </w:p>
    <w:p w14:paraId="37DDD0A9"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 xml:space="preserve">Recognizing </w:t>
      </w:r>
      <w:r w:rsidRPr="00C314F5">
        <w:rPr>
          <w:kern w:val="22"/>
          <w:szCs w:val="22"/>
        </w:rPr>
        <w:t xml:space="preserve">that achieving </w:t>
      </w:r>
      <w:r>
        <w:rPr>
          <w:kern w:val="22"/>
          <w:szCs w:val="22"/>
        </w:rPr>
        <w:t xml:space="preserve">legal and </w:t>
      </w:r>
      <w:r w:rsidRPr="00C314F5">
        <w:rPr>
          <w:kern w:val="22"/>
          <w:szCs w:val="22"/>
        </w:rPr>
        <w:t xml:space="preserve">sustainable use of biodiversity requires innovative strategic approaches and topics, efficient </w:t>
      </w:r>
      <w:proofErr w:type="gramStart"/>
      <w:r w:rsidRPr="00C314F5">
        <w:rPr>
          <w:kern w:val="22"/>
          <w:szCs w:val="22"/>
        </w:rPr>
        <w:t>implementation</w:t>
      </w:r>
      <w:proofErr w:type="gramEnd"/>
      <w:r w:rsidRPr="00C314F5">
        <w:rPr>
          <w:kern w:val="22"/>
          <w:szCs w:val="22"/>
        </w:rPr>
        <w:t xml:space="preserve"> and actions to ensure mainstreaming of biodiversity into all relevant sectors,</w:t>
      </w:r>
    </w:p>
    <w:p w14:paraId="539AC3FA" w14:textId="4C97B2A7" w:rsidR="000001B9" w:rsidRDefault="000001B9" w:rsidP="000001B9">
      <w:pPr>
        <w:suppressLineNumbers/>
        <w:suppressAutoHyphens/>
        <w:spacing w:before="120" w:after="120"/>
        <w:ind w:firstLine="720"/>
        <w:rPr>
          <w:kern w:val="22"/>
          <w:szCs w:val="22"/>
        </w:rPr>
      </w:pPr>
      <w:r w:rsidRPr="00C314F5">
        <w:rPr>
          <w:i/>
          <w:iCs/>
          <w:kern w:val="22"/>
          <w:szCs w:val="22"/>
        </w:rPr>
        <w:t xml:space="preserve">Noting </w:t>
      </w:r>
      <w:r w:rsidRPr="00C314F5">
        <w:rPr>
          <w:kern w:val="22"/>
          <w:szCs w:val="22"/>
        </w:rPr>
        <w:t>that demand reduction strategies and alternative livelihood approaches to wild meat consumption, and to wildlife use in general, are more likely to be necessary when consumption or use are illegal and/or unsustainable, as sustainable wildlife management can significantly contribute to biodiversity conservation, as opposed to alternatives that may result in land</w:t>
      </w:r>
      <w:r w:rsidR="00772463">
        <w:rPr>
          <w:kern w:val="22"/>
          <w:szCs w:val="22"/>
        </w:rPr>
        <w:t>-</w:t>
      </w:r>
      <w:r w:rsidRPr="00C314F5">
        <w:rPr>
          <w:kern w:val="22"/>
          <w:szCs w:val="22"/>
        </w:rPr>
        <w:t xml:space="preserve">use </w:t>
      </w:r>
      <w:r w:rsidRPr="00F87571">
        <w:rPr>
          <w:kern w:val="22"/>
          <w:szCs w:val="22"/>
        </w:rPr>
        <w:t>changes that may be harmful</w:t>
      </w:r>
      <w:r w:rsidRPr="00C314F5">
        <w:rPr>
          <w:kern w:val="22"/>
          <w:szCs w:val="22"/>
        </w:rPr>
        <w:t xml:space="preserve"> to the environment and ecosystems,</w:t>
      </w:r>
    </w:p>
    <w:p w14:paraId="735D2CD4" w14:textId="77777777" w:rsidR="000001B9" w:rsidRDefault="000001B9" w:rsidP="000001B9">
      <w:pPr>
        <w:suppressLineNumbers/>
        <w:suppressAutoHyphens/>
        <w:spacing w:before="120" w:after="120"/>
        <w:ind w:firstLine="720"/>
        <w:rPr>
          <w:kern w:val="22"/>
          <w:szCs w:val="22"/>
        </w:rPr>
      </w:pPr>
      <w:r w:rsidRPr="00C314F5">
        <w:rPr>
          <w:i/>
          <w:iCs/>
          <w:kern w:val="22"/>
          <w:szCs w:val="22"/>
        </w:rPr>
        <w:t>Taking note</w:t>
      </w:r>
      <w:r w:rsidRPr="00C314F5">
        <w:rPr>
          <w:kern w:val="22"/>
          <w:szCs w:val="22"/>
        </w:rPr>
        <w:t xml:space="preserve"> of recommendation 23/3 of the Subsidiary Body on Scientific, Technical and Technological Advice on sustainable wildlife management,</w:t>
      </w:r>
    </w:p>
    <w:p w14:paraId="588DA724" w14:textId="7C97C05A" w:rsidR="000001B9" w:rsidRPr="00C314F5" w:rsidRDefault="000001B9" w:rsidP="000001B9">
      <w:pPr>
        <w:suppressLineNumbers/>
        <w:suppressAutoHyphens/>
        <w:spacing w:before="120" w:after="120"/>
        <w:ind w:firstLine="720"/>
        <w:rPr>
          <w:kern w:val="22"/>
          <w:szCs w:val="22"/>
        </w:rPr>
      </w:pPr>
      <w:r w:rsidRPr="00CB216F">
        <w:rPr>
          <w:i/>
          <w:iCs/>
          <w:kern w:val="22"/>
          <w:szCs w:val="22"/>
        </w:rPr>
        <w:t>Taking note</w:t>
      </w:r>
      <w:r>
        <w:rPr>
          <w:kern w:val="22"/>
          <w:szCs w:val="22"/>
        </w:rPr>
        <w:t xml:space="preserve"> </w:t>
      </w:r>
      <w:r w:rsidRPr="00DD51F0">
        <w:rPr>
          <w:i/>
          <w:iCs/>
          <w:kern w:val="22"/>
          <w:szCs w:val="22"/>
        </w:rPr>
        <w:t>with appreciation</w:t>
      </w:r>
      <w:r>
        <w:rPr>
          <w:kern w:val="22"/>
          <w:szCs w:val="22"/>
        </w:rPr>
        <w:t xml:space="preserve"> of the </w:t>
      </w:r>
      <w:r w:rsidR="00386AAE" w:rsidRPr="00496801">
        <w:rPr>
          <w:i/>
          <w:iCs/>
          <w:kern w:val="22"/>
          <w:szCs w:val="22"/>
        </w:rPr>
        <w:t>T</w:t>
      </w:r>
      <w:r w:rsidRPr="00496801">
        <w:rPr>
          <w:i/>
          <w:iCs/>
          <w:kern w:val="22"/>
          <w:szCs w:val="22"/>
        </w:rPr>
        <w:t xml:space="preserve">hematic </w:t>
      </w:r>
      <w:r w:rsidR="00386AAE" w:rsidRPr="00496801">
        <w:rPr>
          <w:i/>
          <w:iCs/>
          <w:kern w:val="22"/>
          <w:szCs w:val="22"/>
        </w:rPr>
        <w:t>A</w:t>
      </w:r>
      <w:r w:rsidRPr="00496801">
        <w:rPr>
          <w:i/>
          <w:iCs/>
          <w:kern w:val="22"/>
          <w:szCs w:val="22"/>
        </w:rPr>
        <w:t xml:space="preserve">ssessment on </w:t>
      </w:r>
      <w:r w:rsidR="00845002" w:rsidRPr="00496801">
        <w:rPr>
          <w:i/>
          <w:iCs/>
          <w:kern w:val="22"/>
          <w:szCs w:val="22"/>
        </w:rPr>
        <w:t xml:space="preserve">the </w:t>
      </w:r>
      <w:r w:rsidR="00386AAE" w:rsidRPr="00496801">
        <w:rPr>
          <w:i/>
          <w:iCs/>
          <w:kern w:val="22"/>
          <w:szCs w:val="22"/>
        </w:rPr>
        <w:t>S</w:t>
      </w:r>
      <w:r w:rsidRPr="00496801">
        <w:rPr>
          <w:i/>
          <w:iCs/>
          <w:kern w:val="22"/>
          <w:szCs w:val="22"/>
        </w:rPr>
        <w:t xml:space="preserve">ustainable </w:t>
      </w:r>
      <w:r w:rsidR="00386AAE" w:rsidRPr="00496801">
        <w:rPr>
          <w:i/>
          <w:iCs/>
          <w:kern w:val="22"/>
          <w:szCs w:val="22"/>
        </w:rPr>
        <w:t>U</w:t>
      </w:r>
      <w:r w:rsidRPr="00496801">
        <w:rPr>
          <w:i/>
          <w:iCs/>
          <w:kern w:val="22"/>
          <w:szCs w:val="22"/>
        </w:rPr>
        <w:t xml:space="preserve">se of </w:t>
      </w:r>
      <w:r w:rsidR="00386AAE" w:rsidRPr="00496801">
        <w:rPr>
          <w:i/>
          <w:iCs/>
          <w:kern w:val="22"/>
          <w:szCs w:val="22"/>
        </w:rPr>
        <w:t>W</w:t>
      </w:r>
      <w:r w:rsidRPr="00496801">
        <w:rPr>
          <w:i/>
          <w:iCs/>
          <w:kern w:val="22"/>
          <w:szCs w:val="22"/>
        </w:rPr>
        <w:t xml:space="preserve">ild </w:t>
      </w:r>
      <w:r w:rsidR="00386AAE" w:rsidRPr="00496801">
        <w:rPr>
          <w:i/>
          <w:iCs/>
          <w:kern w:val="22"/>
          <w:szCs w:val="22"/>
        </w:rPr>
        <w:t>S</w:t>
      </w:r>
      <w:r w:rsidRPr="00496801">
        <w:rPr>
          <w:i/>
          <w:iCs/>
          <w:kern w:val="22"/>
          <w:szCs w:val="22"/>
        </w:rPr>
        <w:t>pecies</w:t>
      </w:r>
      <w:r>
        <w:rPr>
          <w:kern w:val="22"/>
          <w:szCs w:val="22"/>
        </w:rPr>
        <w:t xml:space="preserve"> of the Intergovernmental Science-Policy Platform on Biodiversity and Ecosystem Services,</w:t>
      </w:r>
      <w:r w:rsidR="004D172A">
        <w:rPr>
          <w:rStyle w:val="FootnoteReference"/>
          <w:kern w:val="22"/>
          <w:szCs w:val="22"/>
        </w:rPr>
        <w:footnoteReference w:id="2"/>
      </w:r>
    </w:p>
    <w:p w14:paraId="4D520018" w14:textId="77777777" w:rsidR="000001B9" w:rsidRPr="00C314F5" w:rsidRDefault="000001B9" w:rsidP="000001B9">
      <w:pPr>
        <w:pStyle w:val="Para10"/>
        <w:numPr>
          <w:ilvl w:val="0"/>
          <w:numId w:val="19"/>
        </w:numPr>
        <w:suppressLineNumbers/>
        <w:suppressAutoHyphens/>
        <w:ind w:left="0" w:firstLine="720"/>
        <w:jc w:val="both"/>
        <w:rPr>
          <w:sz w:val="22"/>
        </w:rPr>
      </w:pPr>
      <w:r w:rsidRPr="00C314F5">
        <w:rPr>
          <w:i/>
          <w:iCs/>
          <w:kern w:val="22"/>
          <w:sz w:val="22"/>
        </w:rPr>
        <w:t>Requests</w:t>
      </w:r>
      <w:r w:rsidRPr="00C314F5">
        <w:rPr>
          <w:sz w:val="22"/>
        </w:rPr>
        <w:t xml:space="preserve"> </w:t>
      </w:r>
      <w:r w:rsidRPr="00F87571">
        <w:rPr>
          <w:sz w:val="22"/>
        </w:rPr>
        <w:t xml:space="preserve">the Executive Secretary, in consultation with Parties, </w:t>
      </w:r>
      <w:r w:rsidRPr="00F87571">
        <w:rPr>
          <w:kern w:val="22"/>
          <w:sz w:val="22"/>
        </w:rPr>
        <w:t>other Governments, indigenous peoples and local communities, and other members of the</w:t>
      </w:r>
      <w:r w:rsidRPr="00F87571">
        <w:rPr>
          <w:sz w:val="22"/>
        </w:rPr>
        <w:t xml:space="preserve"> </w:t>
      </w:r>
      <w:r w:rsidRPr="00F87571">
        <w:rPr>
          <w:kern w:val="22"/>
          <w:sz w:val="22"/>
        </w:rPr>
        <w:t>Collaborative Partnership on Sustainable Wildlife Management, and other relevant stakeholders and right holders, subject to the availability of</w:t>
      </w:r>
      <w:r w:rsidRPr="00F87571">
        <w:rPr>
          <w:sz w:val="22"/>
        </w:rPr>
        <w:t xml:space="preserve"> </w:t>
      </w:r>
      <w:r w:rsidRPr="00F87571">
        <w:rPr>
          <w:kern w:val="22"/>
          <w:sz w:val="22"/>
        </w:rPr>
        <w:t>resources:</w:t>
      </w:r>
    </w:p>
    <w:p w14:paraId="5DDA87C3" w14:textId="77777777" w:rsidR="000001B9" w:rsidRPr="00C314F5" w:rsidRDefault="000001B9" w:rsidP="000001B9">
      <w:pPr>
        <w:pStyle w:val="Para10"/>
        <w:suppressLineNumbers/>
        <w:suppressAutoHyphens/>
        <w:ind w:firstLine="720"/>
        <w:jc w:val="both"/>
        <w:rPr>
          <w:kern w:val="22"/>
          <w:sz w:val="22"/>
        </w:rPr>
      </w:pPr>
      <w:r w:rsidRPr="00C314F5">
        <w:rPr>
          <w:snapToGrid w:val="0"/>
          <w:color w:val="000000"/>
          <w:kern w:val="22"/>
          <w:sz w:val="22"/>
        </w:rPr>
        <w:t>(a)</w:t>
      </w:r>
      <w:r w:rsidRPr="00C314F5">
        <w:rPr>
          <w:snapToGrid w:val="0"/>
          <w:color w:val="000000"/>
          <w:kern w:val="22"/>
          <w:sz w:val="22"/>
        </w:rPr>
        <w:tab/>
        <w:t>To complete</w:t>
      </w:r>
      <w:r w:rsidRPr="00C314F5">
        <w:rPr>
          <w:kern w:val="22"/>
          <w:sz w:val="22"/>
        </w:rPr>
        <w:t xml:space="preserve"> the work mandated in decision 14/7, including identifying other areas beyond the wild meat sector that may require complementary guidance, such as other geographical areas, species and uses, making full use of the outcomes and the findings of the report of the Consultative Workshop on Sustainable Wildlife Management Beyond 2020</w:t>
      </w:r>
      <w:r w:rsidRPr="00C314F5">
        <w:rPr>
          <w:rStyle w:val="FootnoteReference"/>
          <w:kern w:val="22"/>
        </w:rPr>
        <w:footnoteReference w:id="3"/>
      </w:r>
      <w:r w:rsidRPr="00C314F5">
        <w:rPr>
          <w:kern w:val="22"/>
          <w:sz w:val="22"/>
        </w:rPr>
        <w:t xml:space="preserve"> and the results of the survey on sustainable wildlife </w:t>
      </w:r>
      <w:proofErr w:type="gramStart"/>
      <w:r w:rsidRPr="00C314F5">
        <w:rPr>
          <w:kern w:val="22"/>
          <w:sz w:val="22"/>
        </w:rPr>
        <w:t>management;</w:t>
      </w:r>
      <w:proofErr w:type="gramEnd"/>
    </w:p>
    <w:p w14:paraId="23972506" w14:textId="77034F20" w:rsidR="000001B9" w:rsidRPr="00C314F5" w:rsidRDefault="000001B9" w:rsidP="000001B9">
      <w:pPr>
        <w:pStyle w:val="Para10"/>
        <w:suppressLineNumbers/>
        <w:suppressAutoHyphens/>
        <w:ind w:firstLine="720"/>
        <w:jc w:val="both"/>
        <w:rPr>
          <w:kern w:val="22"/>
          <w:sz w:val="22"/>
        </w:rPr>
      </w:pPr>
      <w:r w:rsidRPr="00C314F5">
        <w:rPr>
          <w:kern w:val="22"/>
          <w:sz w:val="22"/>
        </w:rPr>
        <w:t>(b)</w:t>
      </w:r>
      <w:r w:rsidRPr="00C314F5">
        <w:rPr>
          <w:kern w:val="22"/>
          <w:sz w:val="22"/>
        </w:rPr>
        <w:tab/>
        <w:t>To continue close collaboration with the Secretariat of the Intergovernmental Science</w:t>
      </w:r>
      <w:r w:rsidR="00E27C9C">
        <w:rPr>
          <w:kern w:val="22"/>
          <w:sz w:val="22"/>
        </w:rPr>
        <w:noBreakHyphen/>
      </w:r>
      <w:r w:rsidRPr="00C314F5">
        <w:rPr>
          <w:kern w:val="22"/>
          <w:sz w:val="22"/>
        </w:rPr>
        <w:t>Policy Platform on Biodiversity and Ecosystem Services</w:t>
      </w:r>
      <w:r>
        <w:rPr>
          <w:kern w:val="22"/>
          <w:sz w:val="22"/>
        </w:rPr>
        <w:t>,</w:t>
      </w:r>
      <w:r w:rsidRPr="00C314F5">
        <w:rPr>
          <w:kern w:val="22"/>
          <w:sz w:val="22"/>
        </w:rPr>
        <w:t xml:space="preserve"> </w:t>
      </w:r>
      <w:r>
        <w:rPr>
          <w:kern w:val="22"/>
          <w:sz w:val="22"/>
        </w:rPr>
        <w:t xml:space="preserve">including </w:t>
      </w:r>
      <w:r w:rsidRPr="00C314F5">
        <w:rPr>
          <w:kern w:val="22"/>
          <w:sz w:val="22"/>
        </w:rPr>
        <w:t xml:space="preserve">on </w:t>
      </w:r>
      <w:r>
        <w:rPr>
          <w:kern w:val="22"/>
          <w:sz w:val="22"/>
        </w:rPr>
        <w:t>the</w:t>
      </w:r>
      <w:r w:rsidRPr="00C314F5">
        <w:rPr>
          <w:kern w:val="22"/>
          <w:sz w:val="22"/>
        </w:rPr>
        <w:t xml:space="preserve"> implications</w:t>
      </w:r>
      <w:r>
        <w:rPr>
          <w:kern w:val="22"/>
          <w:sz w:val="22"/>
        </w:rPr>
        <w:t xml:space="preserve"> of </w:t>
      </w:r>
      <w:r w:rsidR="005C6F3B">
        <w:rPr>
          <w:kern w:val="22"/>
          <w:sz w:val="22"/>
        </w:rPr>
        <w:t xml:space="preserve">the </w:t>
      </w:r>
      <w:r>
        <w:rPr>
          <w:kern w:val="22"/>
          <w:sz w:val="22"/>
        </w:rPr>
        <w:t xml:space="preserve">thematic assessment on the sustainable use of wild </w:t>
      </w:r>
      <w:r w:rsidRPr="00CB3D12">
        <w:rPr>
          <w:kern w:val="22"/>
          <w:sz w:val="22"/>
        </w:rPr>
        <w:t>species</w:t>
      </w:r>
      <w:r w:rsidR="00CB3D12" w:rsidRPr="00CB3D12">
        <w:rPr>
          <w:kern w:val="22"/>
          <w:sz w:val="22"/>
        </w:rPr>
        <w:t xml:space="preserve"> </w:t>
      </w:r>
      <w:r w:rsidR="00CB3D12" w:rsidRPr="00496801">
        <w:rPr>
          <w:kern w:val="22"/>
          <w:sz w:val="22"/>
        </w:rPr>
        <w:t xml:space="preserve">of the Platform </w:t>
      </w:r>
      <w:r w:rsidRPr="00C314F5">
        <w:rPr>
          <w:kern w:val="22"/>
          <w:sz w:val="22"/>
        </w:rPr>
        <w:t xml:space="preserve">for the implementation of the </w:t>
      </w:r>
      <w:r w:rsidR="00A34231">
        <w:rPr>
          <w:kern w:val="22"/>
          <w:sz w:val="22"/>
        </w:rPr>
        <w:t>Kunming-Montreal</w:t>
      </w:r>
      <w:r w:rsidRPr="00C314F5">
        <w:rPr>
          <w:kern w:val="22"/>
          <w:sz w:val="22"/>
        </w:rPr>
        <w:t xml:space="preserve"> </w:t>
      </w:r>
      <w:r w:rsidR="00A34231">
        <w:rPr>
          <w:kern w:val="22"/>
          <w:sz w:val="22"/>
        </w:rPr>
        <w:t>G</w:t>
      </w:r>
      <w:r w:rsidRPr="00C314F5">
        <w:rPr>
          <w:kern w:val="22"/>
          <w:sz w:val="22"/>
        </w:rPr>
        <w:t xml:space="preserve">lobal </w:t>
      </w:r>
      <w:r w:rsidR="00A34231">
        <w:rPr>
          <w:kern w:val="22"/>
          <w:sz w:val="22"/>
        </w:rPr>
        <w:t>B</w:t>
      </w:r>
      <w:r w:rsidRPr="00C314F5">
        <w:rPr>
          <w:kern w:val="22"/>
          <w:sz w:val="22"/>
        </w:rPr>
        <w:t xml:space="preserve">iodiversity </w:t>
      </w:r>
      <w:proofErr w:type="gramStart"/>
      <w:r w:rsidR="00A34231">
        <w:rPr>
          <w:kern w:val="22"/>
          <w:sz w:val="22"/>
        </w:rPr>
        <w:t>F</w:t>
      </w:r>
      <w:r w:rsidRPr="00C314F5">
        <w:rPr>
          <w:kern w:val="22"/>
          <w:sz w:val="22"/>
        </w:rPr>
        <w:t>ramework;</w:t>
      </w:r>
      <w:proofErr w:type="gramEnd"/>
    </w:p>
    <w:p w14:paraId="78742135" w14:textId="77777777" w:rsidR="000001B9" w:rsidRPr="00C314F5" w:rsidRDefault="000001B9" w:rsidP="000001B9">
      <w:pPr>
        <w:pStyle w:val="Para10"/>
        <w:suppressLineNumbers/>
        <w:suppressAutoHyphens/>
        <w:ind w:firstLine="720"/>
        <w:jc w:val="both"/>
        <w:rPr>
          <w:kern w:val="22"/>
          <w:sz w:val="22"/>
        </w:rPr>
      </w:pPr>
      <w:r w:rsidRPr="00C314F5">
        <w:rPr>
          <w:kern w:val="22"/>
          <w:sz w:val="22"/>
        </w:rPr>
        <w:t>(c)</w:t>
      </w:r>
      <w:r w:rsidRPr="00C314F5">
        <w:rPr>
          <w:kern w:val="22"/>
          <w:sz w:val="22"/>
        </w:rPr>
        <w:tab/>
        <w:t xml:space="preserve">To collaborate with all relevant actors and stakeholders in order to promote the mainstreaming of the sustainable use of biodiversity, in particular that of wild species, into all relevant </w:t>
      </w:r>
      <w:proofErr w:type="gramStart"/>
      <w:r w:rsidRPr="00C314F5">
        <w:rPr>
          <w:kern w:val="22"/>
          <w:sz w:val="22"/>
        </w:rPr>
        <w:t>sectors;</w:t>
      </w:r>
      <w:proofErr w:type="gramEnd"/>
    </w:p>
    <w:p w14:paraId="1A2AD9C7" w14:textId="246FD0B5" w:rsidR="000001B9" w:rsidRPr="00C314F5" w:rsidRDefault="000001B9" w:rsidP="000001B9">
      <w:pPr>
        <w:pStyle w:val="Para10"/>
        <w:suppressLineNumbers/>
        <w:suppressAutoHyphens/>
        <w:ind w:firstLine="720"/>
        <w:jc w:val="both"/>
        <w:rPr>
          <w:kern w:val="22"/>
          <w:sz w:val="22"/>
        </w:rPr>
      </w:pPr>
      <w:r w:rsidRPr="00C314F5">
        <w:rPr>
          <w:kern w:val="22"/>
          <w:sz w:val="22"/>
        </w:rPr>
        <w:t>(d)</w:t>
      </w:r>
      <w:r w:rsidRPr="00C314F5">
        <w:rPr>
          <w:kern w:val="22"/>
          <w:sz w:val="22"/>
        </w:rPr>
        <w:tab/>
        <w:t>To further collaborate and enhance synergies in the field of sustainable use of wildlife with the Convention on International Trade in Endangered Species of Wild Fauna and Flora, the Food and Agriculture Organization of the United Nations, the Convention on the Conservation of Migratory Species of Wild Animals</w:t>
      </w:r>
      <w:r w:rsidR="001B10EE">
        <w:rPr>
          <w:kern w:val="22"/>
          <w:sz w:val="22"/>
        </w:rPr>
        <w:t>,</w:t>
      </w:r>
      <w:r w:rsidRPr="00C314F5">
        <w:rPr>
          <w:kern w:val="22"/>
          <w:sz w:val="22"/>
        </w:rPr>
        <w:t xml:space="preserve"> and other relevant multilateral environmental </w:t>
      </w:r>
      <w:proofErr w:type="gramStart"/>
      <w:r w:rsidRPr="00C314F5">
        <w:rPr>
          <w:kern w:val="22"/>
          <w:sz w:val="22"/>
        </w:rPr>
        <w:t>agreements;</w:t>
      </w:r>
      <w:proofErr w:type="gramEnd"/>
    </w:p>
    <w:p w14:paraId="6B7EA98D" w14:textId="725584D6" w:rsidR="00F6586C" w:rsidRPr="00C75B16" w:rsidRDefault="000001B9" w:rsidP="00C75B16">
      <w:pPr>
        <w:pStyle w:val="Para10"/>
        <w:suppressLineNumbers/>
        <w:suppressAutoHyphens/>
        <w:ind w:firstLine="720"/>
        <w:jc w:val="both"/>
        <w:rPr>
          <w:kern w:val="22"/>
          <w:sz w:val="22"/>
        </w:rPr>
      </w:pPr>
      <w:r w:rsidRPr="00C314F5">
        <w:rPr>
          <w:iCs/>
          <w:kern w:val="22"/>
          <w:sz w:val="22"/>
        </w:rPr>
        <w:t>(e)</w:t>
      </w:r>
      <w:r w:rsidRPr="00C314F5">
        <w:rPr>
          <w:iCs/>
          <w:kern w:val="22"/>
          <w:sz w:val="22"/>
        </w:rPr>
        <w:tab/>
      </w:r>
      <w:r w:rsidRPr="00C314F5">
        <w:rPr>
          <w:kern w:val="22"/>
          <w:sz w:val="22"/>
        </w:rPr>
        <w:t>To report on the progress of the activities listed above and formulate recommendations for the future work of the Convention on the issues surrounding sustainable wildlife management for consideration by the Subsidiary Body on Scientific, Technical and Technological Advice at a meeting to be held before the sixteenth meeting of the Conference of the Parties.</w:t>
      </w:r>
    </w:p>
    <w:p w14:paraId="3093D971" w14:textId="68F431FF" w:rsidR="00B3369F" w:rsidRPr="00C9161D" w:rsidRDefault="00F804D4" w:rsidP="00DD51F0">
      <w:pPr>
        <w:jc w:val="center"/>
      </w:pPr>
      <w:r>
        <w:t>__________</w:t>
      </w:r>
    </w:p>
    <w:sectPr w:rsidR="00B3369F" w:rsidRPr="00C9161D" w:rsidSect="00DD51F0">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03C0" w14:textId="77777777" w:rsidR="00BD5416" w:rsidRDefault="00BD5416" w:rsidP="00CF1848">
      <w:r>
        <w:separator/>
      </w:r>
    </w:p>
  </w:endnote>
  <w:endnote w:type="continuationSeparator" w:id="0">
    <w:p w14:paraId="320B991A" w14:textId="77777777" w:rsidR="00BD5416" w:rsidRDefault="00BD5416" w:rsidP="00CF1848">
      <w:r>
        <w:continuationSeparator/>
      </w:r>
    </w:p>
  </w:endnote>
  <w:endnote w:type="continuationNotice" w:id="1">
    <w:p w14:paraId="6FAB39C6" w14:textId="77777777" w:rsidR="00BD5416" w:rsidRDefault="00BD5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CF7D" w14:textId="77777777" w:rsidR="00BD5416" w:rsidRDefault="00BD5416" w:rsidP="00CF1848">
      <w:r>
        <w:separator/>
      </w:r>
    </w:p>
  </w:footnote>
  <w:footnote w:type="continuationSeparator" w:id="0">
    <w:p w14:paraId="6F79180C" w14:textId="77777777" w:rsidR="00BD5416" w:rsidRDefault="00BD5416" w:rsidP="00CF1848">
      <w:r>
        <w:continuationSeparator/>
      </w:r>
    </w:p>
  </w:footnote>
  <w:footnote w:type="continuationNotice" w:id="1">
    <w:p w14:paraId="76FDD567" w14:textId="77777777" w:rsidR="00BD5416" w:rsidRDefault="00BD5416"/>
  </w:footnote>
  <w:footnote w:id="2">
    <w:p w14:paraId="7C788558" w14:textId="71C30E1D" w:rsidR="004D172A" w:rsidRPr="00496801" w:rsidRDefault="004D172A" w:rsidP="00496801">
      <w:pPr>
        <w:pStyle w:val="FootnoteText"/>
        <w:ind w:firstLine="0"/>
        <w:rPr>
          <w:lang w:val="en-US"/>
        </w:rPr>
      </w:pPr>
      <w:r w:rsidRPr="00B7399F">
        <w:rPr>
          <w:rStyle w:val="FootnoteReference"/>
        </w:rPr>
        <w:footnoteRef/>
      </w:r>
      <w:r w:rsidRPr="00B7399F">
        <w:t xml:space="preserve"> </w:t>
      </w:r>
      <w:r w:rsidR="00890367" w:rsidRPr="00890367">
        <w:t xml:space="preserve">IPBES (2022). </w:t>
      </w:r>
      <w:r w:rsidR="00890367" w:rsidRPr="00496801">
        <w:rPr>
          <w:i/>
          <w:iCs/>
        </w:rPr>
        <w:t>Thematic Assessment Report on the Sustainable Use of Wild Species of the Intergovernmental Science-Policy Platform on Biodiversity and Ecosystem Services</w:t>
      </w:r>
      <w:r w:rsidR="00890367" w:rsidRPr="00890367">
        <w:t>. IPBES secretariat, Bonn, Germany.</w:t>
      </w:r>
    </w:p>
  </w:footnote>
  <w:footnote w:id="3">
    <w:p w14:paraId="61F9DDC8" w14:textId="77777777" w:rsidR="000001B9" w:rsidRPr="007C6BFD" w:rsidRDefault="000001B9" w:rsidP="00496801">
      <w:pPr>
        <w:pStyle w:val="FootnoteText"/>
        <w:suppressLineNumbers/>
        <w:suppressAutoHyphens/>
        <w:ind w:firstLine="0"/>
        <w:jc w:val="left"/>
        <w:rPr>
          <w:szCs w:val="18"/>
        </w:rPr>
      </w:pPr>
      <w:r w:rsidRPr="00A93B87">
        <w:rPr>
          <w:rStyle w:val="FootnoteReference"/>
          <w:rFonts w:eastAsiaTheme="majorEastAsia"/>
          <w:sz w:val="18"/>
          <w:szCs w:val="18"/>
        </w:rPr>
        <w:footnoteRef/>
      </w:r>
      <w:r w:rsidRPr="007C6BFD">
        <w:rPr>
          <w:szCs w:val="18"/>
        </w:rPr>
        <w:t xml:space="preserve"> See </w:t>
      </w:r>
      <w:hyperlink r:id="rId1" w:history="1">
        <w:r w:rsidRPr="00A93B87">
          <w:rPr>
            <w:rStyle w:val="Hyperlink"/>
            <w:szCs w:val="18"/>
          </w:rPr>
          <w:t>CBD/WG2020/1/INF/3</w:t>
        </w:r>
      </w:hyperlink>
      <w:r w:rsidRPr="00A93B8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D7161F3" w:rsidR="00534681" w:rsidRPr="00134846" w:rsidRDefault="003F7670" w:rsidP="00534681">
        <w:pPr>
          <w:pStyle w:val="Header"/>
          <w:rPr>
            <w:lang w:val="fr-FR"/>
          </w:rPr>
        </w:pPr>
        <w:r>
          <w:rPr>
            <w:lang w:val="fr-FR"/>
          </w:rPr>
          <w:t>CBD/COP/DEC/15/23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1C78F6E" w:rsidR="009505C9" w:rsidRPr="00134846" w:rsidRDefault="003F7670" w:rsidP="009505C9">
        <w:pPr>
          <w:pStyle w:val="Header"/>
          <w:jc w:val="right"/>
          <w:rPr>
            <w:lang w:val="fr-FR"/>
          </w:rPr>
        </w:pPr>
        <w:r>
          <w:rPr>
            <w:lang w:val="fr-FR"/>
          </w:rPr>
          <w:t>CBD/COP/DEC/15/23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980041">
    <w:abstractNumId w:val="3"/>
  </w:num>
  <w:num w:numId="2" w16cid:durableId="958223421">
    <w:abstractNumId w:val="6"/>
  </w:num>
  <w:num w:numId="3" w16cid:durableId="1083336082">
    <w:abstractNumId w:val="4"/>
  </w:num>
  <w:num w:numId="4" w16cid:durableId="1666006395">
    <w:abstractNumId w:val="6"/>
  </w:num>
  <w:num w:numId="5" w16cid:durableId="844828219">
    <w:abstractNumId w:val="5"/>
  </w:num>
  <w:num w:numId="6" w16cid:durableId="96750878">
    <w:abstractNumId w:val="0"/>
  </w:num>
  <w:num w:numId="7" w16cid:durableId="104859475">
    <w:abstractNumId w:val="2"/>
  </w:num>
  <w:num w:numId="8" w16cid:durableId="917521593">
    <w:abstractNumId w:val="4"/>
    <w:lvlOverride w:ilvl="0">
      <w:startOverride w:val="1"/>
    </w:lvlOverride>
  </w:num>
  <w:num w:numId="9" w16cid:durableId="1123697159">
    <w:abstractNumId w:val="9"/>
  </w:num>
  <w:num w:numId="10" w16cid:durableId="1898468693">
    <w:abstractNumId w:val="4"/>
    <w:lvlOverride w:ilvl="0">
      <w:startOverride w:val="1"/>
    </w:lvlOverride>
  </w:num>
  <w:num w:numId="11" w16cid:durableId="1568611329">
    <w:abstractNumId w:val="4"/>
    <w:lvlOverride w:ilvl="0">
      <w:startOverride w:val="1"/>
    </w:lvlOverride>
  </w:num>
  <w:num w:numId="12" w16cid:durableId="511991389">
    <w:abstractNumId w:val="4"/>
    <w:lvlOverride w:ilvl="0">
      <w:startOverride w:val="1"/>
    </w:lvlOverride>
  </w:num>
  <w:num w:numId="13" w16cid:durableId="663968538">
    <w:abstractNumId w:val="4"/>
    <w:lvlOverride w:ilvl="0">
      <w:startOverride w:val="1"/>
    </w:lvlOverride>
  </w:num>
  <w:num w:numId="14" w16cid:durableId="999040148">
    <w:abstractNumId w:val="8"/>
  </w:num>
  <w:num w:numId="15" w16cid:durableId="516582619">
    <w:abstractNumId w:val="7"/>
  </w:num>
  <w:num w:numId="16" w16cid:durableId="1722361297">
    <w:abstractNumId w:val="1"/>
  </w:num>
  <w:num w:numId="17" w16cid:durableId="1386022659">
    <w:abstractNumId w:val="11"/>
  </w:num>
  <w:num w:numId="18" w16cid:durableId="703022902">
    <w:abstractNumId w:val="12"/>
  </w:num>
  <w:num w:numId="19" w16cid:durableId="862213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16A17"/>
    <w:rsid w:val="0001722C"/>
    <w:rsid w:val="00020A25"/>
    <w:rsid w:val="0007171B"/>
    <w:rsid w:val="000C64C2"/>
    <w:rsid w:val="000D60D4"/>
    <w:rsid w:val="000E40F7"/>
    <w:rsid w:val="000E673A"/>
    <w:rsid w:val="000F74F5"/>
    <w:rsid w:val="00105372"/>
    <w:rsid w:val="00105925"/>
    <w:rsid w:val="001312AD"/>
    <w:rsid w:val="00131E7A"/>
    <w:rsid w:val="00134846"/>
    <w:rsid w:val="00165C10"/>
    <w:rsid w:val="00172AF6"/>
    <w:rsid w:val="00176CEE"/>
    <w:rsid w:val="00186DD8"/>
    <w:rsid w:val="001A2652"/>
    <w:rsid w:val="001B10EE"/>
    <w:rsid w:val="001B13FE"/>
    <w:rsid w:val="001C5774"/>
    <w:rsid w:val="00226A1C"/>
    <w:rsid w:val="002A512E"/>
    <w:rsid w:val="0030169D"/>
    <w:rsid w:val="003060EB"/>
    <w:rsid w:val="003153EB"/>
    <w:rsid w:val="00321985"/>
    <w:rsid w:val="00346DE6"/>
    <w:rsid w:val="00351205"/>
    <w:rsid w:val="00372F74"/>
    <w:rsid w:val="00386AAE"/>
    <w:rsid w:val="003B7BB2"/>
    <w:rsid w:val="003C49AA"/>
    <w:rsid w:val="003F7224"/>
    <w:rsid w:val="003F7670"/>
    <w:rsid w:val="0041575D"/>
    <w:rsid w:val="00427D21"/>
    <w:rsid w:val="004644C2"/>
    <w:rsid w:val="00467F9C"/>
    <w:rsid w:val="00496801"/>
    <w:rsid w:val="004C004B"/>
    <w:rsid w:val="004C10C5"/>
    <w:rsid w:val="004D172A"/>
    <w:rsid w:val="004D7CA9"/>
    <w:rsid w:val="00534681"/>
    <w:rsid w:val="00542731"/>
    <w:rsid w:val="00563442"/>
    <w:rsid w:val="00564B63"/>
    <w:rsid w:val="00565B42"/>
    <w:rsid w:val="005A57DC"/>
    <w:rsid w:val="005B4ADC"/>
    <w:rsid w:val="005C4CE6"/>
    <w:rsid w:val="005C6F3B"/>
    <w:rsid w:val="005D74B4"/>
    <w:rsid w:val="006122BA"/>
    <w:rsid w:val="0061492D"/>
    <w:rsid w:val="00665F5B"/>
    <w:rsid w:val="006B2290"/>
    <w:rsid w:val="00717D88"/>
    <w:rsid w:val="00724008"/>
    <w:rsid w:val="00772463"/>
    <w:rsid w:val="00786056"/>
    <w:rsid w:val="007942D3"/>
    <w:rsid w:val="007A540A"/>
    <w:rsid w:val="007B2099"/>
    <w:rsid w:val="007B6C09"/>
    <w:rsid w:val="007B7741"/>
    <w:rsid w:val="007D6E61"/>
    <w:rsid w:val="007E09DA"/>
    <w:rsid w:val="008178B6"/>
    <w:rsid w:val="00845002"/>
    <w:rsid w:val="008520D7"/>
    <w:rsid w:val="00865B74"/>
    <w:rsid w:val="00877898"/>
    <w:rsid w:val="00890367"/>
    <w:rsid w:val="00892BEB"/>
    <w:rsid w:val="008974F0"/>
    <w:rsid w:val="008A0A52"/>
    <w:rsid w:val="008B012A"/>
    <w:rsid w:val="008E5300"/>
    <w:rsid w:val="008F0182"/>
    <w:rsid w:val="00906E17"/>
    <w:rsid w:val="00920F51"/>
    <w:rsid w:val="00927D27"/>
    <w:rsid w:val="00930BA1"/>
    <w:rsid w:val="0093169E"/>
    <w:rsid w:val="009351D8"/>
    <w:rsid w:val="00935459"/>
    <w:rsid w:val="00937130"/>
    <w:rsid w:val="009505C9"/>
    <w:rsid w:val="00950752"/>
    <w:rsid w:val="00966424"/>
    <w:rsid w:val="00981A5E"/>
    <w:rsid w:val="009C2DE6"/>
    <w:rsid w:val="009F149B"/>
    <w:rsid w:val="00A1252A"/>
    <w:rsid w:val="00A34231"/>
    <w:rsid w:val="00AA6F92"/>
    <w:rsid w:val="00AB0100"/>
    <w:rsid w:val="00AB02CB"/>
    <w:rsid w:val="00AB0D76"/>
    <w:rsid w:val="00AB6934"/>
    <w:rsid w:val="00AD7FFC"/>
    <w:rsid w:val="00AF42DE"/>
    <w:rsid w:val="00B065E3"/>
    <w:rsid w:val="00B26ACD"/>
    <w:rsid w:val="00B3369F"/>
    <w:rsid w:val="00B7399F"/>
    <w:rsid w:val="00B83527"/>
    <w:rsid w:val="00B94E6C"/>
    <w:rsid w:val="00BB4606"/>
    <w:rsid w:val="00BD5416"/>
    <w:rsid w:val="00BF11F9"/>
    <w:rsid w:val="00BF2A09"/>
    <w:rsid w:val="00C23D2F"/>
    <w:rsid w:val="00C443BD"/>
    <w:rsid w:val="00C451C5"/>
    <w:rsid w:val="00C52D4E"/>
    <w:rsid w:val="00C75B16"/>
    <w:rsid w:val="00C9161D"/>
    <w:rsid w:val="00CA0C1D"/>
    <w:rsid w:val="00CB3D12"/>
    <w:rsid w:val="00CF1848"/>
    <w:rsid w:val="00D12044"/>
    <w:rsid w:val="00D30264"/>
    <w:rsid w:val="00D33EFC"/>
    <w:rsid w:val="00D40DBC"/>
    <w:rsid w:val="00D711D0"/>
    <w:rsid w:val="00D76A18"/>
    <w:rsid w:val="00D80849"/>
    <w:rsid w:val="00D82E8F"/>
    <w:rsid w:val="00DD118C"/>
    <w:rsid w:val="00DD51F0"/>
    <w:rsid w:val="00DE6A3A"/>
    <w:rsid w:val="00E27C9C"/>
    <w:rsid w:val="00E66235"/>
    <w:rsid w:val="00E83C24"/>
    <w:rsid w:val="00E9318D"/>
    <w:rsid w:val="00E961D2"/>
    <w:rsid w:val="00EC1F46"/>
    <w:rsid w:val="00F11E5A"/>
    <w:rsid w:val="00F212C3"/>
    <w:rsid w:val="00F5295A"/>
    <w:rsid w:val="00F53193"/>
    <w:rsid w:val="00F5357E"/>
    <w:rsid w:val="00F6586C"/>
    <w:rsid w:val="00F804D4"/>
    <w:rsid w:val="00F87571"/>
    <w:rsid w:val="00F94774"/>
    <w:rsid w:val="00FA20EB"/>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58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8288D"/>
    <w:rsid w:val="0058544F"/>
    <w:rsid w:val="00665C6B"/>
    <w:rsid w:val="006801B3"/>
    <w:rsid w:val="00810A55"/>
    <w:rsid w:val="008C6619"/>
    <w:rsid w:val="008D420E"/>
    <w:rsid w:val="0098642F"/>
    <w:rsid w:val="00A11AEC"/>
    <w:rsid w:val="00B27D2C"/>
    <w:rsid w:val="00C13272"/>
    <w:rsid w:val="00C8104B"/>
    <w:rsid w:val="00D31D12"/>
    <w:rsid w:val="00D83E45"/>
    <w:rsid w:val="00F32DBE"/>
    <w:rsid w:val="00F40D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C3BD7CE2-755C-44E5-A95A-87A15D7E7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4702</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15/23.	Sustainable wildlife management</dc:title>
  <dc:subject>CBD/COP/DEC/15/23</dc:subject>
  <dc:creator>SCBD</dc:creator>
  <cp:keywords>Conference of the Parties to the Convention on Biological Diversity, fifteenth meeting</cp:keywords>
  <cp:lastModifiedBy>Veronique Lefebvre</cp:lastModifiedBy>
  <cp:revision>4</cp:revision>
  <cp:lastPrinted>2020-01-21T16:56:00Z</cp:lastPrinted>
  <dcterms:created xsi:type="dcterms:W3CDTF">2023-02-20T20:14:00Z</dcterms:created>
  <dcterms:modified xsi:type="dcterms:W3CDTF">2023-02-20T20:15:00Z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