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14:paraId="38B3781C" w14:textId="77777777" w:rsidTr="00554D43">
        <w:trPr>
          <w:trHeight w:val="762"/>
        </w:trPr>
        <w:tc>
          <w:tcPr>
            <w:tcW w:w="976" w:type="dxa"/>
            <w:tcBorders>
              <w:bottom w:val="single" w:sz="12" w:space="0" w:color="auto"/>
            </w:tcBorders>
          </w:tcPr>
          <w:p w14:paraId="47B1ABC9" w14:textId="77777777" w:rsidR="00E34748" w:rsidRPr="00321985" w:rsidRDefault="00E34748" w:rsidP="005912E9">
            <w:r>
              <w:rPr>
                <w:noProof/>
                <w:lang w:val="fr-FR" w:eastAsia="fr-FR"/>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5EC11CAE" w:rsidR="00E34748" w:rsidRPr="00321985" w:rsidRDefault="00D637D3" w:rsidP="005912E9">
            <w:r w:rsidRPr="00D637D3">
              <w:rPr>
                <w:noProof/>
                <w:lang w:val="fr-FR" w:eastAsia="fr-FR"/>
              </w:rPr>
              <w:drawing>
                <wp:inline distT="0" distB="0" distL="0" distR="0" wp14:anchorId="317637EC" wp14:editId="1F4C241D">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641" w:type="dxa"/>
            <w:tcBorders>
              <w:bottom w:val="single" w:sz="12" w:space="0" w:color="auto"/>
            </w:tcBorders>
          </w:tcPr>
          <w:p w14:paraId="64FC28BB" w14:textId="77777777" w:rsidR="00E34748" w:rsidRPr="00C9161D" w:rsidRDefault="00E34748" w:rsidP="005912E9">
            <w:pPr>
              <w:jc w:val="right"/>
              <w:rPr>
                <w:rFonts w:ascii="Arial" w:hAnsi="Arial" w:cs="Arial"/>
                <w:b/>
                <w:sz w:val="32"/>
                <w:szCs w:val="32"/>
              </w:rPr>
            </w:pPr>
            <w:r w:rsidRPr="00C9161D">
              <w:rPr>
                <w:rFonts w:ascii="Arial" w:hAnsi="Arial" w:cs="Arial"/>
                <w:b/>
                <w:sz w:val="32"/>
                <w:szCs w:val="32"/>
              </w:rPr>
              <w:t>CBD</w:t>
            </w:r>
          </w:p>
        </w:tc>
      </w:tr>
      <w:tr w:rsidR="000B750C"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4A067522" w:rsidR="00E34748" w:rsidRDefault="00D637D3" w:rsidP="005912E9">
            <w:r w:rsidRPr="006E78A2">
              <w:rPr>
                <w:bCs/>
                <w:noProof/>
                <w:szCs w:val="22"/>
                <w:lang w:val="fr-FR" w:eastAsia="fr-FR"/>
              </w:rPr>
              <w:drawing>
                <wp:inline distT="0" distB="0" distL="0" distR="0" wp14:anchorId="74C86B9F" wp14:editId="47D59D89">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14:paraId="00FE6181" w14:textId="77777777" w:rsidR="00E34748" w:rsidRPr="00C9161D" w:rsidRDefault="00E34748" w:rsidP="00554D43">
            <w:pPr>
              <w:ind w:left="1698"/>
              <w:rPr>
                <w:szCs w:val="22"/>
              </w:rPr>
            </w:pPr>
            <w:r w:rsidRPr="00C9161D">
              <w:rPr>
                <w:szCs w:val="22"/>
              </w:rPr>
              <w:t>Distr.</w:t>
            </w:r>
          </w:p>
          <w:p w14:paraId="39EF3EAC" w14:textId="57426A06" w:rsidR="00E34748" w:rsidRPr="00C9161D" w:rsidRDefault="00324C6C" w:rsidP="00554D43">
            <w:pPr>
              <w:ind w:left="1698"/>
              <w:rPr>
                <w:szCs w:val="22"/>
              </w:rPr>
            </w:pPr>
            <w:r>
              <w:rPr>
                <w:caps/>
                <w:szCs w:val="22"/>
              </w:rPr>
              <w:t>GÉNÉRALE</w:t>
            </w:r>
          </w:p>
          <w:p w14:paraId="2A4417CA" w14:textId="77777777" w:rsidR="00E34748" w:rsidRPr="00C9161D" w:rsidRDefault="00E34748" w:rsidP="00554D43">
            <w:pPr>
              <w:ind w:left="1698"/>
              <w:rPr>
                <w:szCs w:val="22"/>
              </w:rPr>
            </w:pPr>
          </w:p>
          <w:p w14:paraId="11517461" w14:textId="0877E9B3" w:rsidR="00E34748" w:rsidRPr="00C9161D" w:rsidRDefault="00324C6C"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Pr="00324C6C">
                  <w:rPr>
                    <w:lang w:val="en-US"/>
                  </w:rPr>
                  <w:t>CBD/COP/DEC/15/24</w:t>
                </w:r>
              </w:sdtContent>
            </w:sdt>
          </w:p>
          <w:p w14:paraId="7CEA7877" w14:textId="1C049F34" w:rsidR="00E34748" w:rsidRPr="00C9161D" w:rsidRDefault="00750AF9" w:rsidP="00554D43">
            <w:pPr>
              <w:ind w:left="1698"/>
              <w:rPr>
                <w:szCs w:val="22"/>
              </w:rPr>
            </w:pPr>
            <w:r>
              <w:rPr>
                <w:szCs w:val="22"/>
                <w:lang w:val="en-US"/>
              </w:rPr>
              <w:t>1</w:t>
            </w:r>
            <w:r w:rsidR="00324C6C">
              <w:rPr>
                <w:szCs w:val="22"/>
                <w:lang w:val="en-US"/>
              </w:rPr>
              <w:t>9</w:t>
            </w:r>
            <w:r>
              <w:rPr>
                <w:szCs w:val="22"/>
                <w:lang w:val="en-US"/>
              </w:rPr>
              <w:t xml:space="preserve"> décemb</w:t>
            </w:r>
            <w:r w:rsidR="00E34748">
              <w:rPr>
                <w:szCs w:val="22"/>
                <w:lang w:val="en-US"/>
              </w:rPr>
              <w:t>r</w:t>
            </w:r>
            <w:r>
              <w:rPr>
                <w:szCs w:val="22"/>
                <w:lang w:val="en-US"/>
              </w:rPr>
              <w:t>e</w:t>
            </w:r>
            <w:r w:rsidR="00E34748">
              <w:rPr>
                <w:szCs w:val="22"/>
                <w:lang w:val="en-US"/>
              </w:rPr>
              <w:t xml:space="preserve"> 2022</w:t>
            </w:r>
          </w:p>
          <w:p w14:paraId="4A1C5528" w14:textId="77777777" w:rsidR="00E34748" w:rsidRPr="00C9161D" w:rsidRDefault="00E34748" w:rsidP="00554D43">
            <w:pPr>
              <w:ind w:left="1698"/>
              <w:rPr>
                <w:szCs w:val="22"/>
              </w:rPr>
            </w:pPr>
          </w:p>
          <w:p w14:paraId="4A0C4D63" w14:textId="12E1B733" w:rsidR="00750AF9" w:rsidRDefault="00750AF9" w:rsidP="00554D43">
            <w:pPr>
              <w:ind w:left="1698"/>
              <w:rPr>
                <w:szCs w:val="22"/>
              </w:rPr>
            </w:pPr>
            <w:r>
              <w:rPr>
                <w:szCs w:val="22"/>
              </w:rPr>
              <w:t>FRANÇAIS</w:t>
            </w:r>
          </w:p>
          <w:p w14:paraId="3BFBB6F9" w14:textId="68155E7E" w:rsidR="00E34748" w:rsidRPr="00C9161D" w:rsidRDefault="00E34748" w:rsidP="00554D43">
            <w:pPr>
              <w:ind w:left="1698"/>
              <w:rPr>
                <w:szCs w:val="22"/>
              </w:rPr>
            </w:pPr>
            <w:r>
              <w:rPr>
                <w:szCs w:val="22"/>
              </w:rPr>
              <w:t>ORIGINAL</w:t>
            </w:r>
            <w:r w:rsidR="00750AF9">
              <w:rPr>
                <w:szCs w:val="22"/>
              </w:rPr>
              <w:t xml:space="preserve"> </w:t>
            </w:r>
            <w:r>
              <w:rPr>
                <w:szCs w:val="22"/>
              </w:rPr>
              <w:t xml:space="preserve">: </w:t>
            </w:r>
            <w:r w:rsidR="00750AF9">
              <w:rPr>
                <w:szCs w:val="22"/>
              </w:rPr>
              <w:t>A</w:t>
            </w:r>
            <w:r w:rsidRPr="00C9161D">
              <w:rPr>
                <w:szCs w:val="22"/>
              </w:rPr>
              <w:t>NGL</w:t>
            </w:r>
            <w:r w:rsidR="00750AF9">
              <w:rPr>
                <w:szCs w:val="22"/>
              </w:rPr>
              <w:t>AIS</w:t>
            </w:r>
          </w:p>
          <w:p w14:paraId="42A74752" w14:textId="77777777" w:rsidR="00E34748" w:rsidRDefault="00E34748" w:rsidP="005912E9"/>
        </w:tc>
      </w:tr>
    </w:tbl>
    <w:p w14:paraId="394E95A0" w14:textId="77777777" w:rsidR="00E3664B" w:rsidRPr="003F5872" w:rsidRDefault="00E3664B" w:rsidP="00E3664B">
      <w:pPr>
        <w:pStyle w:val="Cornernotation"/>
        <w:kinsoku w:val="0"/>
        <w:overflowPunct w:val="0"/>
        <w:autoSpaceDE w:val="0"/>
        <w:autoSpaceDN w:val="0"/>
        <w:spacing w:before="60"/>
        <w:ind w:left="142" w:right="4642" w:hanging="142"/>
        <w:rPr>
          <w:snapToGrid w:val="0"/>
          <w:kern w:val="22"/>
          <w:lang w:val="fr-FR"/>
        </w:rPr>
      </w:pPr>
      <w:r w:rsidRPr="003F5872">
        <w:rPr>
          <w:snapToGrid w:val="0"/>
          <w:kern w:val="22"/>
          <w:lang w:val="fr-FR"/>
        </w:rPr>
        <w:t xml:space="preserve">CONFÉRENCE DES PARTIES À LA CONVENTION SUR LA DIVERSITÉ BIOLOGIQUE </w:t>
      </w:r>
    </w:p>
    <w:p w14:paraId="16CEF21F" w14:textId="4A2750B1" w:rsidR="00E3664B" w:rsidRPr="003F5872" w:rsidRDefault="00E3664B" w:rsidP="00E3664B">
      <w:pPr>
        <w:pStyle w:val="Cornernotation"/>
        <w:kinsoku w:val="0"/>
        <w:overflowPunct w:val="0"/>
        <w:autoSpaceDE w:val="0"/>
        <w:autoSpaceDN w:val="0"/>
        <w:ind w:left="0" w:right="4075" w:firstLine="0"/>
        <w:rPr>
          <w:snapToGrid w:val="0"/>
          <w:kern w:val="22"/>
          <w:lang w:val="fr-FR"/>
        </w:rPr>
      </w:pPr>
      <w:r w:rsidRPr="003F5872">
        <w:rPr>
          <w:snapToGrid w:val="0"/>
          <w:kern w:val="22"/>
          <w:lang w:val="fr-FR"/>
        </w:rPr>
        <w:t xml:space="preserve">Quinzième </w:t>
      </w:r>
      <w:r>
        <w:rPr>
          <w:snapToGrid w:val="0"/>
          <w:kern w:val="22"/>
          <w:lang w:val="fr-FR"/>
        </w:rPr>
        <w:t>réunion – Deuxième partie</w:t>
      </w:r>
    </w:p>
    <w:p w14:paraId="1C2B3E52" w14:textId="77777777" w:rsidR="00E3664B" w:rsidRDefault="00E3664B" w:rsidP="00E3664B">
      <w:pPr>
        <w:pStyle w:val="Cornernotation"/>
        <w:kinsoku w:val="0"/>
        <w:overflowPunct w:val="0"/>
        <w:autoSpaceDE w:val="0"/>
        <w:autoSpaceDN w:val="0"/>
        <w:ind w:left="227" w:right="4075" w:hanging="227"/>
        <w:rPr>
          <w:snapToGrid w:val="0"/>
          <w:kern w:val="22"/>
          <w:szCs w:val="22"/>
          <w:lang w:val="fr-FR" w:eastAsia="nb-NO"/>
        </w:rPr>
      </w:pPr>
      <w:r w:rsidRPr="003F5872">
        <w:rPr>
          <w:snapToGrid w:val="0"/>
          <w:kern w:val="22"/>
          <w:szCs w:val="22"/>
          <w:lang w:val="fr-FR" w:eastAsia="nb-NO"/>
        </w:rPr>
        <w:t>Montréal, Canada, 7-19 décembre 2022</w:t>
      </w:r>
    </w:p>
    <w:p w14:paraId="614F6DF7" w14:textId="5E717D20" w:rsidR="00E3664B" w:rsidRDefault="00E3664B" w:rsidP="00E3664B">
      <w:pPr>
        <w:pStyle w:val="Cornernotation"/>
        <w:kinsoku w:val="0"/>
        <w:overflowPunct w:val="0"/>
        <w:autoSpaceDE w:val="0"/>
        <w:autoSpaceDN w:val="0"/>
        <w:spacing w:after="240"/>
        <w:ind w:left="227" w:right="4075" w:hanging="227"/>
        <w:rPr>
          <w:snapToGrid w:val="0"/>
          <w:kern w:val="22"/>
          <w:szCs w:val="22"/>
          <w:lang w:val="fr-FR" w:eastAsia="nb-NO"/>
        </w:rPr>
      </w:pPr>
      <w:r>
        <w:rPr>
          <w:snapToGrid w:val="0"/>
          <w:kern w:val="22"/>
          <w:szCs w:val="22"/>
          <w:lang w:val="fr-FR" w:eastAsia="nb-NO"/>
        </w:rPr>
        <w:t>Point 20B de l’ordre du jour</w:t>
      </w:r>
    </w:p>
    <w:p w14:paraId="42DA0AF1" w14:textId="2E935273" w:rsidR="00324C6C" w:rsidRPr="00324C6C" w:rsidRDefault="00324C6C" w:rsidP="00324C6C">
      <w:pPr>
        <w:pStyle w:val="Titre1"/>
      </w:pPr>
      <w:r w:rsidRPr="00324C6C">
        <w:t>DÉCISION ADOPTÉE PAR LA CONFÉRENCE DES PARTIES À LA CONVENTION SUR LA DIVERSITÉ BIOLOGIQUE</w:t>
      </w:r>
    </w:p>
    <w:p w14:paraId="03BC1CC7" w14:textId="1EB916AE" w:rsidR="00C9161D" w:rsidRPr="00324C6C" w:rsidRDefault="00324C6C" w:rsidP="00172AF6">
      <w:pPr>
        <w:spacing w:before="120" w:after="240"/>
        <w:jc w:val="center"/>
        <w:rPr>
          <w:b/>
          <w:bCs/>
          <w:caps/>
          <w:lang w:val="fr-FR"/>
        </w:rPr>
      </w:pPr>
      <w:sdt>
        <w:sdtPr>
          <w:rPr>
            <w:rFonts w:ascii="Times New Roman Bold" w:hAnsi="Times New Roman Bold"/>
            <w:b/>
            <w:bC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324C6C">
            <w:rPr>
              <w:rFonts w:ascii="Times New Roman Bold" w:hAnsi="Times New Roman Bold"/>
              <w:b/>
              <w:bCs/>
              <w:kern w:val="22"/>
              <w:szCs w:val="22"/>
            </w:rPr>
            <w:t>15/24.</w:t>
          </w:r>
          <w:r w:rsidRPr="00324C6C">
            <w:rPr>
              <w:rFonts w:ascii="Times New Roman Bold" w:hAnsi="Times New Roman Bold"/>
              <w:b/>
              <w:bCs/>
              <w:kern w:val="22"/>
              <w:szCs w:val="22"/>
            </w:rPr>
            <w:tab/>
            <w:t>Conservation et utilisation durable de la diversité biologique marine et côtière</w:t>
          </w:r>
        </w:sdtContent>
      </w:sdt>
      <w:r w:rsidR="00105372" w:rsidRPr="00324C6C">
        <w:rPr>
          <w:b/>
          <w:bCs/>
          <w:caps/>
          <w:lang w:val="fr-FR"/>
        </w:rPr>
        <w:t xml:space="preserve"> </w:t>
      </w:r>
    </w:p>
    <w:p w14:paraId="2D5A7EF5" w14:textId="77777777" w:rsidR="00635FC1" w:rsidRPr="003F5872" w:rsidRDefault="00635FC1" w:rsidP="00635FC1">
      <w:pPr>
        <w:pStyle w:val="Para1"/>
        <w:numPr>
          <w:ilvl w:val="0"/>
          <w:numId w:val="0"/>
        </w:numPr>
        <w:suppressLineNumbers/>
        <w:suppressAutoHyphens/>
        <w:kinsoku w:val="0"/>
        <w:overflowPunct w:val="0"/>
        <w:autoSpaceDE w:val="0"/>
        <w:autoSpaceDN w:val="0"/>
        <w:ind w:firstLine="720"/>
        <w:rPr>
          <w:szCs w:val="22"/>
          <w:lang w:val="fr-FR"/>
        </w:rPr>
      </w:pPr>
      <w:r w:rsidRPr="003F5872">
        <w:rPr>
          <w:i/>
          <w:iCs/>
          <w:szCs w:val="22"/>
          <w:lang w:val="fr-FR"/>
        </w:rPr>
        <w:t>La Conférence des Parties</w:t>
      </w:r>
      <w:r w:rsidRPr="003F5872">
        <w:rPr>
          <w:i/>
          <w:snapToGrid/>
          <w:szCs w:val="22"/>
          <w:lang w:val="fr-FR"/>
        </w:rPr>
        <w:t>,</w:t>
      </w:r>
    </w:p>
    <w:p w14:paraId="03C55559" w14:textId="77777777" w:rsidR="00635FC1" w:rsidRPr="003F5872" w:rsidRDefault="00635FC1" w:rsidP="00635FC1">
      <w:pPr>
        <w:suppressLineNumbers/>
        <w:suppressAutoHyphens/>
        <w:kinsoku w:val="0"/>
        <w:overflowPunct w:val="0"/>
        <w:autoSpaceDE w:val="0"/>
        <w:autoSpaceDN w:val="0"/>
        <w:spacing w:before="120" w:after="120"/>
        <w:ind w:firstLine="720"/>
        <w:rPr>
          <w:szCs w:val="22"/>
          <w:lang w:val="fr-FR"/>
        </w:rPr>
      </w:pPr>
      <w:r w:rsidRPr="003F5872">
        <w:rPr>
          <w:i/>
          <w:szCs w:val="22"/>
          <w:lang w:val="fr-FR"/>
        </w:rPr>
        <w:t xml:space="preserve">Rappelant </w:t>
      </w:r>
      <w:r w:rsidRPr="003F5872">
        <w:rPr>
          <w:szCs w:val="22"/>
          <w:lang w:val="fr-FR"/>
        </w:rPr>
        <w:t>ses décisions IX/20, X/29, XI/18, XII/23, XIII/9, XIII/10, XIII/11, XIII/12, 14/8, 14/10 et 14/30 concernant la coopération et la collaboration avec les organisations et initiatives mondiales et régionales pertinentes,</w:t>
      </w:r>
    </w:p>
    <w:p w14:paraId="4467F0BA" w14:textId="77891805" w:rsidR="00635FC1" w:rsidRPr="003F5872" w:rsidRDefault="00635FC1" w:rsidP="00635FC1">
      <w:pPr>
        <w:suppressLineNumbers/>
        <w:suppressAutoHyphens/>
        <w:kinsoku w:val="0"/>
        <w:overflowPunct w:val="0"/>
        <w:autoSpaceDE w:val="0"/>
        <w:autoSpaceDN w:val="0"/>
        <w:spacing w:before="120" w:after="120"/>
        <w:ind w:firstLine="720"/>
        <w:rPr>
          <w:lang w:val="fr-FR"/>
        </w:rPr>
      </w:pPr>
      <w:r w:rsidRPr="003F5872">
        <w:rPr>
          <w:i/>
          <w:szCs w:val="22"/>
          <w:lang w:val="fr-FR"/>
        </w:rPr>
        <w:t xml:space="preserve">Reconnaissant </w:t>
      </w:r>
      <w:r w:rsidRPr="003F5872">
        <w:rPr>
          <w:szCs w:val="22"/>
          <w:lang w:val="fr-FR"/>
        </w:rPr>
        <w:t xml:space="preserve">la nécessité de renforcer la coopération et la collaboration avec les </w:t>
      </w:r>
      <w:r w:rsidRPr="003F5872">
        <w:rPr>
          <w:lang w:val="fr-FR"/>
        </w:rPr>
        <w:t>organisations intergouvernementales compétentes</w:t>
      </w:r>
      <w:r w:rsidR="00C744C7">
        <w:rPr>
          <w:lang w:val="fr-FR"/>
        </w:rPr>
        <w:t>, y compris les organisations compétentes dans les zones ne relevant d’aucune juridiction nationale,</w:t>
      </w:r>
      <w:r w:rsidRPr="003F5872">
        <w:rPr>
          <w:lang w:val="fr-FR"/>
        </w:rPr>
        <w:t xml:space="preserve"> à l'appui de la conservation et de l'utilisation durable de la biodiversi</w:t>
      </w:r>
      <w:r w:rsidR="00C744C7">
        <w:rPr>
          <w:lang w:val="fr-FR"/>
        </w:rPr>
        <w:t>té marine et côtière</w:t>
      </w:r>
      <w:r w:rsidRPr="003F5872">
        <w:rPr>
          <w:lang w:val="fr-FR"/>
        </w:rPr>
        <w:t>, conformément à</w:t>
      </w:r>
      <w:r w:rsidR="00C744C7">
        <w:rPr>
          <w:lang w:val="fr-FR"/>
        </w:rPr>
        <w:t xml:space="preserve"> l'approche écosystémique et à l’approche</w:t>
      </w:r>
      <w:r w:rsidRPr="003F5872">
        <w:rPr>
          <w:szCs w:val="22"/>
          <w:lang w:val="fr-FR"/>
        </w:rPr>
        <w:t xml:space="preserve"> de </w:t>
      </w:r>
      <w:r w:rsidRPr="003F5872">
        <w:rPr>
          <w:lang w:val="fr-FR"/>
        </w:rPr>
        <w:t>précaution</w:t>
      </w:r>
      <w:r w:rsidR="00C744C7">
        <w:rPr>
          <w:rStyle w:val="Appelnotedebasdep"/>
          <w:lang w:val="fr-FR"/>
        </w:rPr>
        <w:footnoteReference w:id="1"/>
      </w:r>
      <w:r w:rsidRPr="003F5872">
        <w:rPr>
          <w:lang w:val="fr-FR"/>
        </w:rPr>
        <w:t>, et en utilisant les meilleures connaissances scientifiques disponibles et les connaissances traditionnelles des peuples autochtones et des communautés locales</w:t>
      </w:r>
      <w:r w:rsidRPr="003F5872">
        <w:rPr>
          <w:szCs w:val="22"/>
          <w:lang w:val="fr-FR"/>
        </w:rPr>
        <w:t>, avec leur consentement libre, préalable et éclairé</w:t>
      </w:r>
      <w:r w:rsidRPr="003F5872">
        <w:rPr>
          <w:rStyle w:val="Appelnotedebasdep"/>
          <w:szCs w:val="22"/>
          <w:lang w:val="fr-FR"/>
        </w:rPr>
        <w:footnoteReference w:id="2"/>
      </w:r>
      <w:r>
        <w:rPr>
          <w:szCs w:val="22"/>
          <w:lang w:val="fr-FR"/>
        </w:rPr>
        <w:t>,</w:t>
      </w:r>
      <w:r w:rsidRPr="003F5872">
        <w:rPr>
          <w:szCs w:val="22"/>
          <w:lang w:val="fr-FR"/>
        </w:rPr>
        <w:t xml:space="preserve"> dans </w:t>
      </w:r>
      <w:r>
        <w:rPr>
          <w:szCs w:val="22"/>
          <w:lang w:val="fr-FR"/>
        </w:rPr>
        <w:t>cadre</w:t>
      </w:r>
      <w:r w:rsidRPr="003F5872">
        <w:rPr>
          <w:szCs w:val="22"/>
          <w:lang w:val="fr-FR"/>
        </w:rPr>
        <w:t xml:space="preserve"> de la Convention et de ses Protocoles,</w:t>
      </w:r>
    </w:p>
    <w:p w14:paraId="628AEEA7" w14:textId="77777777" w:rsidR="00635FC1" w:rsidRPr="003F5872" w:rsidRDefault="00635FC1" w:rsidP="00635FC1">
      <w:pPr>
        <w:pStyle w:val="paragraph"/>
        <w:spacing w:before="120" w:beforeAutospacing="0" w:after="120" w:afterAutospacing="0"/>
        <w:ind w:firstLine="720"/>
        <w:jc w:val="both"/>
        <w:textAlignment w:val="baseline"/>
        <w:rPr>
          <w:rFonts w:eastAsiaTheme="majorEastAsia"/>
          <w:szCs w:val="22"/>
          <w:lang w:val="fr-FR"/>
        </w:rPr>
      </w:pPr>
      <w:r w:rsidRPr="003F5872">
        <w:rPr>
          <w:rFonts w:eastAsiaTheme="majorEastAsia"/>
          <w:i/>
          <w:iCs/>
          <w:sz w:val="22"/>
          <w:szCs w:val="22"/>
          <w:lang w:val="fr-FR"/>
        </w:rPr>
        <w:t xml:space="preserve">Reconnaissant </w:t>
      </w:r>
      <w:r w:rsidRPr="003F5872">
        <w:rPr>
          <w:rFonts w:eastAsiaTheme="majorEastAsia"/>
          <w:sz w:val="22"/>
          <w:lang w:val="fr-FR"/>
        </w:rPr>
        <w:t xml:space="preserve">l'importance de </w:t>
      </w:r>
      <w:r>
        <w:rPr>
          <w:rFonts w:eastAsiaTheme="majorEastAsia"/>
          <w:sz w:val="22"/>
          <w:lang w:val="fr-FR"/>
        </w:rPr>
        <w:t>tenir compte de la</w:t>
      </w:r>
      <w:r w:rsidRPr="003F5872">
        <w:rPr>
          <w:rFonts w:eastAsiaTheme="majorEastAsia"/>
          <w:sz w:val="22"/>
          <w:lang w:val="fr-FR"/>
        </w:rPr>
        <w:t xml:space="preserve"> </w:t>
      </w:r>
      <w:r w:rsidRPr="003F5872">
        <w:rPr>
          <w:rFonts w:eastAsiaTheme="majorEastAsia"/>
          <w:sz w:val="22"/>
          <w:szCs w:val="22"/>
          <w:lang w:val="fr-FR"/>
        </w:rPr>
        <w:t xml:space="preserve">science </w:t>
      </w:r>
      <w:r>
        <w:rPr>
          <w:rFonts w:eastAsiaTheme="majorEastAsia"/>
          <w:sz w:val="22"/>
          <w:szCs w:val="22"/>
          <w:lang w:val="fr-FR"/>
        </w:rPr>
        <w:t>dans</w:t>
      </w:r>
      <w:r w:rsidRPr="003F5872">
        <w:rPr>
          <w:rFonts w:eastAsiaTheme="majorEastAsia"/>
          <w:sz w:val="22"/>
          <w:szCs w:val="22"/>
          <w:lang w:val="fr-FR"/>
        </w:rPr>
        <w:t xml:space="preserve"> la prise de décision et </w:t>
      </w:r>
      <w:r w:rsidRPr="003F5872">
        <w:rPr>
          <w:rFonts w:eastAsiaTheme="majorEastAsia"/>
          <w:i/>
          <w:sz w:val="22"/>
          <w:lang w:val="fr-FR"/>
        </w:rPr>
        <w:t xml:space="preserve">se félicitant </w:t>
      </w:r>
      <w:r w:rsidRPr="003F5872">
        <w:rPr>
          <w:rFonts w:eastAsiaTheme="majorEastAsia"/>
          <w:sz w:val="22"/>
          <w:szCs w:val="22"/>
          <w:lang w:val="fr-FR"/>
        </w:rPr>
        <w:t xml:space="preserve">des travaux menés </w:t>
      </w:r>
      <w:r>
        <w:rPr>
          <w:rFonts w:eastAsiaTheme="majorEastAsia"/>
          <w:sz w:val="22"/>
          <w:szCs w:val="22"/>
          <w:lang w:val="fr-FR"/>
        </w:rPr>
        <w:t>en matière de</w:t>
      </w:r>
      <w:r w:rsidRPr="003F5872">
        <w:rPr>
          <w:rFonts w:eastAsiaTheme="majorEastAsia"/>
          <w:sz w:val="22"/>
          <w:szCs w:val="22"/>
          <w:lang w:val="fr-FR"/>
        </w:rPr>
        <w:t xml:space="preserve"> restauration des écosystèmes dans le cadre de la Décennie des Nations Unies pour l'océanologie au service du développement durable et de la Décennie des Nations Unies,</w:t>
      </w:r>
    </w:p>
    <w:p w14:paraId="06F269C4" w14:textId="14ADC763" w:rsidR="00635FC1" w:rsidRPr="003F5872" w:rsidRDefault="00635FC1" w:rsidP="00635FC1">
      <w:pPr>
        <w:suppressLineNumbers/>
        <w:suppressAutoHyphens/>
        <w:kinsoku w:val="0"/>
        <w:overflowPunct w:val="0"/>
        <w:autoSpaceDE w:val="0"/>
        <w:autoSpaceDN w:val="0"/>
        <w:spacing w:before="120" w:after="120"/>
        <w:ind w:firstLine="720"/>
        <w:rPr>
          <w:szCs w:val="22"/>
          <w:lang w:val="fr-FR"/>
        </w:rPr>
      </w:pPr>
      <w:r w:rsidRPr="003F5872">
        <w:rPr>
          <w:i/>
          <w:szCs w:val="22"/>
          <w:lang w:val="fr-FR"/>
        </w:rPr>
        <w:t xml:space="preserve">Reconnaissant </w:t>
      </w:r>
      <w:r w:rsidRPr="003F5872">
        <w:rPr>
          <w:szCs w:val="22"/>
          <w:lang w:val="fr-FR"/>
        </w:rPr>
        <w:t xml:space="preserve">l'importance de la biodiversité marine et côtière comme l'un des principaux éléments transversaux du cadre mondial de la biodiversité </w:t>
      </w:r>
      <w:r w:rsidR="00324C6C">
        <w:rPr>
          <w:szCs w:val="22"/>
          <w:lang w:val="fr-FR"/>
        </w:rPr>
        <w:t>de Kunming-Montréal</w:t>
      </w:r>
      <w:r w:rsidRPr="003F5872">
        <w:rPr>
          <w:szCs w:val="22"/>
          <w:lang w:val="fr-FR"/>
        </w:rPr>
        <w:t xml:space="preserve"> et </w:t>
      </w:r>
      <w:r>
        <w:rPr>
          <w:szCs w:val="22"/>
          <w:lang w:val="fr-FR"/>
        </w:rPr>
        <w:t xml:space="preserve">comme étant essentielle </w:t>
      </w:r>
      <w:r w:rsidRPr="003F5872">
        <w:rPr>
          <w:szCs w:val="22"/>
          <w:lang w:val="fr-FR"/>
        </w:rPr>
        <w:t>à la réalisation de la Vision 2050 pour la biodiversité,</w:t>
      </w:r>
      <w:r>
        <w:rPr>
          <w:szCs w:val="22"/>
          <w:lang w:val="fr-FR"/>
        </w:rPr>
        <w:t xml:space="preserve"> </w:t>
      </w:r>
    </w:p>
    <w:p w14:paraId="1CD049AA" w14:textId="77777777"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iCs/>
          <w:snapToGrid w:val="0"/>
          <w:kern w:val="22"/>
          <w:szCs w:val="22"/>
          <w:lang w:val="fr-FR"/>
        </w:rPr>
        <w:t>1.</w:t>
      </w:r>
      <w:r w:rsidRPr="003F5872">
        <w:rPr>
          <w:iCs/>
          <w:snapToGrid w:val="0"/>
          <w:kern w:val="22"/>
          <w:szCs w:val="22"/>
          <w:lang w:val="fr-FR"/>
        </w:rPr>
        <w:tab/>
      </w:r>
      <w:r w:rsidRPr="003F5872">
        <w:rPr>
          <w:i/>
          <w:snapToGrid w:val="0"/>
          <w:kern w:val="22"/>
          <w:szCs w:val="22"/>
          <w:lang w:val="fr-FR"/>
        </w:rPr>
        <w:t xml:space="preserve">Se félicite </w:t>
      </w:r>
      <w:r w:rsidRPr="00917489">
        <w:rPr>
          <w:snapToGrid w:val="0"/>
          <w:kern w:val="22"/>
          <w:szCs w:val="22"/>
          <w:lang w:val="fr-FR"/>
        </w:rPr>
        <w:t>des travaux</w:t>
      </w:r>
      <w:r>
        <w:rPr>
          <w:snapToGrid w:val="0"/>
          <w:kern w:val="22"/>
          <w:szCs w:val="22"/>
          <w:lang w:val="fr-FR"/>
        </w:rPr>
        <w:t xml:space="preserve"> de la</w:t>
      </w:r>
      <w:r w:rsidRPr="003F5872">
        <w:rPr>
          <w:snapToGrid w:val="0"/>
          <w:kern w:val="22"/>
          <w:szCs w:val="22"/>
          <w:lang w:val="fr-FR"/>
        </w:rPr>
        <w:t xml:space="preserve"> Secrétaire exécutive </w:t>
      </w:r>
      <w:r>
        <w:rPr>
          <w:snapToGrid w:val="0"/>
          <w:kern w:val="22"/>
          <w:szCs w:val="22"/>
          <w:lang w:val="fr-FR"/>
        </w:rPr>
        <w:t>visant à</w:t>
      </w:r>
      <w:r w:rsidRPr="003F5872">
        <w:rPr>
          <w:snapToGrid w:val="0"/>
          <w:kern w:val="22"/>
          <w:szCs w:val="22"/>
          <w:lang w:val="fr-FR"/>
        </w:rPr>
        <w:t xml:space="preserve"> </w:t>
      </w:r>
      <w:r>
        <w:rPr>
          <w:snapToGrid w:val="0"/>
          <w:kern w:val="22"/>
          <w:szCs w:val="22"/>
          <w:lang w:val="fr-FR"/>
        </w:rPr>
        <w:t xml:space="preserve">réunir et synthétiser des </w:t>
      </w:r>
      <w:r w:rsidRPr="003F5872">
        <w:rPr>
          <w:snapToGrid w:val="0"/>
          <w:kern w:val="22"/>
          <w:szCs w:val="22"/>
          <w:lang w:val="fr-FR"/>
        </w:rPr>
        <w:t xml:space="preserve">informations </w:t>
      </w:r>
      <w:r>
        <w:rPr>
          <w:snapToGrid w:val="0"/>
          <w:kern w:val="22"/>
          <w:szCs w:val="22"/>
          <w:lang w:val="fr-FR"/>
        </w:rPr>
        <w:t>concernant</w:t>
      </w:r>
      <w:r w:rsidRPr="003F5872">
        <w:rPr>
          <w:snapToGrid w:val="0"/>
          <w:kern w:val="22"/>
          <w:szCs w:val="22"/>
          <w:lang w:val="fr-FR"/>
        </w:rPr>
        <w:t xml:space="preserve"> :</w:t>
      </w:r>
    </w:p>
    <w:p w14:paraId="7DA6C0D7" w14:textId="321DFB43"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a)</w:t>
      </w:r>
      <w:r w:rsidRPr="003F5872">
        <w:rPr>
          <w:snapToGrid w:val="0"/>
          <w:kern w:val="22"/>
          <w:szCs w:val="22"/>
          <w:lang w:val="fr-FR"/>
        </w:rPr>
        <w:tab/>
      </w:r>
      <w:r>
        <w:rPr>
          <w:snapToGrid w:val="0"/>
          <w:kern w:val="22"/>
          <w:szCs w:val="22"/>
          <w:lang w:val="fr-FR"/>
        </w:rPr>
        <w:t>Les incidences</w:t>
      </w:r>
      <w:r w:rsidRPr="003F5872">
        <w:rPr>
          <w:snapToGrid w:val="0"/>
          <w:kern w:val="22"/>
          <w:szCs w:val="22"/>
          <w:lang w:val="fr-FR"/>
        </w:rPr>
        <w:t xml:space="preserve"> du bruit sous-marin anthropique sur la biodiversité marine et côtière et </w:t>
      </w:r>
      <w:r>
        <w:rPr>
          <w:snapToGrid w:val="0"/>
          <w:kern w:val="22"/>
          <w:szCs w:val="22"/>
          <w:lang w:val="fr-FR"/>
        </w:rPr>
        <w:t xml:space="preserve">les </w:t>
      </w:r>
      <w:r w:rsidRPr="003F5872">
        <w:rPr>
          <w:snapToGrid w:val="0"/>
          <w:kern w:val="22"/>
          <w:szCs w:val="22"/>
          <w:lang w:val="fr-FR"/>
        </w:rPr>
        <w:t xml:space="preserve">moyens de minimiser et d'atténuer ces </w:t>
      </w:r>
      <w:r>
        <w:rPr>
          <w:snapToGrid w:val="0"/>
          <w:kern w:val="22"/>
          <w:szCs w:val="22"/>
          <w:lang w:val="fr-FR"/>
        </w:rPr>
        <w:t>incidences</w:t>
      </w:r>
      <w:r w:rsidR="00324C6C">
        <w:rPr>
          <w:snapToGrid w:val="0"/>
          <w:kern w:val="22"/>
          <w:szCs w:val="22"/>
          <w:lang w:val="fr-FR"/>
        </w:rPr>
        <w:t xml:space="preserve"> </w:t>
      </w:r>
      <w:r w:rsidR="00D637D3">
        <w:rPr>
          <w:snapToGrid w:val="0"/>
          <w:kern w:val="22"/>
          <w:szCs w:val="22"/>
          <w:lang w:val="fr-FR"/>
        </w:rPr>
        <w:t>;</w:t>
      </w:r>
      <w:r w:rsidRPr="003F5872">
        <w:rPr>
          <w:snapToGrid w:val="0"/>
          <w:kern w:val="22"/>
          <w:szCs w:val="22"/>
          <w:lang w:val="fr-FR"/>
        </w:rPr>
        <w:t xml:space="preserve"> </w:t>
      </w:r>
    </w:p>
    <w:p w14:paraId="01410041" w14:textId="1B33ED29"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b)</w:t>
      </w:r>
      <w:r w:rsidRPr="003F5872">
        <w:rPr>
          <w:snapToGrid w:val="0"/>
          <w:kern w:val="22"/>
          <w:szCs w:val="22"/>
          <w:lang w:val="fr-FR"/>
        </w:rPr>
        <w:tab/>
      </w:r>
      <w:r>
        <w:rPr>
          <w:snapToGrid w:val="0"/>
          <w:kern w:val="22"/>
          <w:szCs w:val="22"/>
          <w:lang w:val="fr-FR"/>
        </w:rPr>
        <w:t>Les conséquences</w:t>
      </w:r>
      <w:r w:rsidRPr="003F5872">
        <w:rPr>
          <w:snapToGrid w:val="0"/>
          <w:kern w:val="22"/>
          <w:szCs w:val="22"/>
          <w:lang w:val="fr-FR"/>
        </w:rPr>
        <w:t xml:space="preserve"> des débris marins sur la biodiversité et les habitats marins et côtiers et </w:t>
      </w:r>
      <w:r>
        <w:rPr>
          <w:snapToGrid w:val="0"/>
          <w:kern w:val="22"/>
          <w:szCs w:val="22"/>
          <w:lang w:val="fr-FR"/>
        </w:rPr>
        <w:t xml:space="preserve">les </w:t>
      </w:r>
      <w:r w:rsidRPr="003F5872">
        <w:rPr>
          <w:snapToGrid w:val="0"/>
          <w:kern w:val="22"/>
          <w:szCs w:val="22"/>
          <w:lang w:val="fr-FR"/>
        </w:rPr>
        <w:t xml:space="preserve">moyens de </w:t>
      </w:r>
      <w:r>
        <w:rPr>
          <w:snapToGrid w:val="0"/>
          <w:kern w:val="22"/>
          <w:szCs w:val="22"/>
          <w:lang w:val="fr-FR"/>
        </w:rPr>
        <w:t xml:space="preserve">les </w:t>
      </w:r>
      <w:r w:rsidRPr="003F5872">
        <w:rPr>
          <w:snapToGrid w:val="0"/>
          <w:kern w:val="22"/>
          <w:szCs w:val="22"/>
          <w:lang w:val="fr-FR"/>
        </w:rPr>
        <w:t xml:space="preserve">minimiser et </w:t>
      </w:r>
      <w:r>
        <w:rPr>
          <w:snapToGrid w:val="0"/>
          <w:kern w:val="22"/>
          <w:szCs w:val="22"/>
          <w:lang w:val="fr-FR"/>
        </w:rPr>
        <w:t xml:space="preserve">de les </w:t>
      </w:r>
      <w:r w:rsidRPr="003F5872">
        <w:rPr>
          <w:snapToGrid w:val="0"/>
          <w:kern w:val="22"/>
          <w:szCs w:val="22"/>
          <w:lang w:val="fr-FR"/>
        </w:rPr>
        <w:t>atténuer</w:t>
      </w:r>
      <w:r w:rsidR="00324C6C">
        <w:rPr>
          <w:snapToGrid w:val="0"/>
          <w:kern w:val="22"/>
          <w:szCs w:val="22"/>
          <w:lang w:val="fr-FR"/>
        </w:rPr>
        <w:t xml:space="preserve"> </w:t>
      </w:r>
      <w:r w:rsidR="00D637D3">
        <w:rPr>
          <w:snapToGrid w:val="0"/>
          <w:kern w:val="22"/>
          <w:szCs w:val="22"/>
          <w:lang w:val="fr-FR"/>
        </w:rPr>
        <w:t>;</w:t>
      </w:r>
    </w:p>
    <w:p w14:paraId="35B372BD" w14:textId="726B58A0"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lastRenderedPageBreak/>
        <w:t>c)</w:t>
      </w:r>
      <w:r w:rsidRPr="003F5872">
        <w:rPr>
          <w:snapToGrid w:val="0"/>
          <w:kern w:val="22"/>
          <w:szCs w:val="22"/>
          <w:lang w:val="fr-FR"/>
        </w:rPr>
        <w:tab/>
      </w:r>
      <w:r>
        <w:rPr>
          <w:snapToGrid w:val="0"/>
          <w:kern w:val="22"/>
          <w:szCs w:val="22"/>
          <w:lang w:val="fr-FR"/>
        </w:rPr>
        <w:t>Les enseignements tirés</w:t>
      </w:r>
      <w:r w:rsidRPr="003F5872">
        <w:rPr>
          <w:snapToGrid w:val="0"/>
          <w:kern w:val="22"/>
          <w:szCs w:val="22"/>
          <w:lang w:val="fr-FR"/>
        </w:rPr>
        <w:t xml:space="preserve"> de la planification de l'espace marin</w:t>
      </w:r>
      <w:r w:rsidR="00324C6C">
        <w:rPr>
          <w:snapToGrid w:val="0"/>
          <w:kern w:val="22"/>
          <w:szCs w:val="22"/>
          <w:lang w:val="fr-FR"/>
        </w:rPr>
        <w:t xml:space="preserve"> </w:t>
      </w:r>
      <w:r w:rsidR="00D637D3">
        <w:rPr>
          <w:snapToGrid w:val="0"/>
          <w:kern w:val="22"/>
          <w:szCs w:val="22"/>
          <w:lang w:val="fr-FR"/>
        </w:rPr>
        <w:t>;</w:t>
      </w:r>
    </w:p>
    <w:p w14:paraId="40458E2F" w14:textId="1CFB5EAA"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d)</w:t>
      </w:r>
      <w:r w:rsidRPr="00917489">
        <w:rPr>
          <w:snapToGrid w:val="0"/>
          <w:kern w:val="22"/>
          <w:szCs w:val="22"/>
          <w:lang w:val="fr-FR"/>
        </w:rPr>
        <w:t xml:space="preserve"> </w:t>
      </w:r>
      <w:r w:rsidRPr="003F5872">
        <w:rPr>
          <w:snapToGrid w:val="0"/>
          <w:kern w:val="22"/>
          <w:szCs w:val="22"/>
          <w:lang w:val="fr-FR"/>
        </w:rPr>
        <w:tab/>
        <w:t xml:space="preserve">Les </w:t>
      </w:r>
      <w:r>
        <w:rPr>
          <w:snapToGrid w:val="0"/>
          <w:kern w:val="22"/>
          <w:szCs w:val="22"/>
          <w:lang w:val="fr-FR"/>
        </w:rPr>
        <w:t>mesures prises afin de</w:t>
      </w:r>
      <w:r w:rsidRPr="003F5872">
        <w:rPr>
          <w:snapToGrid w:val="0"/>
          <w:kern w:val="22"/>
          <w:szCs w:val="22"/>
          <w:lang w:val="fr-FR"/>
        </w:rPr>
        <w:t xml:space="preserve"> mettre en œuvre les actions prioritaires pour atteindre l'</w:t>
      </w:r>
      <w:r w:rsidR="006D0D58">
        <w:rPr>
          <w:snapToGrid w:val="0"/>
          <w:kern w:val="22"/>
          <w:szCs w:val="22"/>
          <w:lang w:val="fr-FR"/>
        </w:rPr>
        <w:t>Objectif d’Aichi</w:t>
      </w:r>
      <w:r w:rsidRPr="003F5872">
        <w:rPr>
          <w:snapToGrid w:val="0"/>
          <w:kern w:val="22"/>
          <w:szCs w:val="22"/>
          <w:lang w:val="fr-FR"/>
        </w:rPr>
        <w:t xml:space="preserve"> </w:t>
      </w:r>
      <w:r>
        <w:rPr>
          <w:snapToGrid w:val="0"/>
          <w:kern w:val="22"/>
          <w:szCs w:val="22"/>
          <w:lang w:val="fr-FR"/>
        </w:rPr>
        <w:t>10 concernant</w:t>
      </w:r>
      <w:r w:rsidRPr="003F5872">
        <w:rPr>
          <w:snapToGrid w:val="0"/>
          <w:kern w:val="22"/>
          <w:szCs w:val="22"/>
          <w:lang w:val="fr-FR"/>
        </w:rPr>
        <w:t xml:space="preserve"> les récifs coralliens et les écosystèmes étroitement </w:t>
      </w:r>
      <w:r>
        <w:rPr>
          <w:snapToGrid w:val="0"/>
          <w:kern w:val="22"/>
          <w:szCs w:val="22"/>
          <w:lang w:val="fr-FR"/>
        </w:rPr>
        <w:t>liés</w:t>
      </w:r>
      <w:r w:rsidR="00324C6C">
        <w:rPr>
          <w:rStyle w:val="Appelnotedebasdep"/>
          <w:snapToGrid w:val="0"/>
          <w:kern w:val="22"/>
          <w:szCs w:val="22"/>
        </w:rPr>
        <w:footnoteReference w:id="3"/>
      </w:r>
      <w:r w:rsidR="00D637D3">
        <w:rPr>
          <w:snapToGrid w:val="0"/>
          <w:kern w:val="22"/>
          <w:szCs w:val="22"/>
          <w:lang w:val="fr-FR"/>
        </w:rPr>
        <w:t>;</w:t>
      </w:r>
      <w:r w:rsidRPr="003F5872">
        <w:rPr>
          <w:snapToGrid w:val="0"/>
          <w:kern w:val="22"/>
          <w:szCs w:val="22"/>
          <w:lang w:val="fr-FR"/>
        </w:rPr>
        <w:t xml:space="preserve"> </w:t>
      </w:r>
    </w:p>
    <w:p w14:paraId="476C77FE" w14:textId="778A5F98"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e)</w:t>
      </w:r>
      <w:r w:rsidRPr="003F5872">
        <w:rPr>
          <w:snapToGrid w:val="0"/>
          <w:kern w:val="22"/>
          <w:szCs w:val="22"/>
          <w:lang w:val="fr-FR"/>
        </w:rPr>
        <w:tab/>
      </w:r>
      <w:r>
        <w:rPr>
          <w:snapToGrid w:val="0"/>
          <w:kern w:val="22"/>
          <w:szCs w:val="22"/>
          <w:lang w:val="fr-FR"/>
        </w:rPr>
        <w:t>La mise</w:t>
      </w:r>
      <w:r w:rsidRPr="003F5872">
        <w:rPr>
          <w:snapToGrid w:val="0"/>
          <w:kern w:val="22"/>
          <w:szCs w:val="22"/>
          <w:lang w:val="fr-FR"/>
        </w:rPr>
        <w:t xml:space="preserve"> en œuvre </w:t>
      </w:r>
      <w:r>
        <w:rPr>
          <w:snapToGrid w:val="0"/>
          <w:kern w:val="22"/>
          <w:szCs w:val="22"/>
          <w:lang w:val="fr-FR"/>
        </w:rPr>
        <w:t>du</w:t>
      </w:r>
      <w:r w:rsidRPr="003F5872">
        <w:rPr>
          <w:snapToGrid w:val="0"/>
          <w:kern w:val="22"/>
          <w:szCs w:val="22"/>
          <w:lang w:val="fr-FR"/>
        </w:rPr>
        <w:t xml:space="preserve"> plan de travail </w:t>
      </w:r>
      <w:r>
        <w:rPr>
          <w:snapToGrid w:val="0"/>
          <w:kern w:val="22"/>
          <w:szCs w:val="22"/>
          <w:lang w:val="fr-FR"/>
        </w:rPr>
        <w:t>particulier et</w:t>
      </w:r>
      <w:r w:rsidRPr="003F5872">
        <w:rPr>
          <w:snapToGrid w:val="0"/>
          <w:kern w:val="22"/>
          <w:szCs w:val="22"/>
          <w:lang w:val="fr-FR"/>
        </w:rPr>
        <w:t xml:space="preserve"> volontaire sur la biodiversité dans les zones d'eau fr</w:t>
      </w:r>
      <w:r w:rsidR="00E95E8E">
        <w:rPr>
          <w:snapToGrid w:val="0"/>
          <w:kern w:val="22"/>
          <w:szCs w:val="22"/>
          <w:lang w:val="fr-FR"/>
        </w:rPr>
        <w:t>oide relevant de la Convention</w:t>
      </w:r>
      <w:r w:rsidR="00324C6C">
        <w:rPr>
          <w:rStyle w:val="Appelnotedebasdep"/>
          <w:snapToGrid w:val="0"/>
          <w:kern w:val="22"/>
          <w:szCs w:val="22"/>
        </w:rPr>
        <w:footnoteReference w:id="4"/>
      </w:r>
      <w:r w:rsidR="00E95E8E">
        <w:rPr>
          <w:snapToGrid w:val="0"/>
          <w:kern w:val="22"/>
          <w:szCs w:val="22"/>
          <w:lang w:val="fr-FR"/>
        </w:rPr>
        <w:t>.</w:t>
      </w:r>
    </w:p>
    <w:p w14:paraId="274419BA" w14:textId="32AB87EF"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2.</w:t>
      </w:r>
      <w:r w:rsidRPr="003F5872">
        <w:rPr>
          <w:snapToGrid w:val="0"/>
          <w:kern w:val="22"/>
          <w:szCs w:val="22"/>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kern w:val="22"/>
          <w:lang w:val="fr-FR"/>
        </w:rPr>
        <w:t xml:space="preserve">invite les </w:t>
      </w:r>
      <w:r w:rsidRPr="003F5872">
        <w:rPr>
          <w:snapToGrid w:val="0"/>
          <w:kern w:val="22"/>
          <w:szCs w:val="22"/>
          <w:lang w:val="fr-FR"/>
        </w:rPr>
        <w:t xml:space="preserve">autres Gouvernements, les gouvernements infranationaux et les organisations compétentes à </w:t>
      </w:r>
      <w:r>
        <w:rPr>
          <w:snapToGrid w:val="0"/>
          <w:kern w:val="22"/>
          <w:szCs w:val="22"/>
          <w:lang w:val="fr-FR"/>
        </w:rPr>
        <w:t>tirer parti</w:t>
      </w:r>
      <w:r w:rsidRPr="003F5872">
        <w:rPr>
          <w:snapToGrid w:val="0"/>
          <w:kern w:val="22"/>
          <w:szCs w:val="22"/>
          <w:lang w:val="fr-FR"/>
        </w:rPr>
        <w:t xml:space="preserve"> </w:t>
      </w:r>
      <w:r>
        <w:rPr>
          <w:snapToGrid w:val="0"/>
          <w:kern w:val="22"/>
          <w:szCs w:val="22"/>
          <w:lang w:val="fr-FR"/>
        </w:rPr>
        <w:t>d</w:t>
      </w:r>
      <w:r w:rsidRPr="003F5872">
        <w:rPr>
          <w:snapToGrid w:val="0"/>
          <w:kern w:val="22"/>
          <w:szCs w:val="22"/>
          <w:lang w:val="fr-FR"/>
        </w:rPr>
        <w:t xml:space="preserve">es informations visées au paragraphe 1 ci-dessus dans </w:t>
      </w:r>
      <w:r>
        <w:rPr>
          <w:snapToGrid w:val="0"/>
          <w:kern w:val="22"/>
          <w:szCs w:val="22"/>
          <w:lang w:val="fr-FR"/>
        </w:rPr>
        <w:t>la mise en œuvre de leurs mesures de conservation et d’utilisation durable de</w:t>
      </w:r>
      <w:r w:rsidRPr="003F5872">
        <w:rPr>
          <w:snapToGrid w:val="0"/>
          <w:kern w:val="22"/>
          <w:szCs w:val="22"/>
          <w:lang w:val="fr-FR"/>
        </w:rPr>
        <w:t xml:space="preserve"> la </w:t>
      </w:r>
      <w:r w:rsidR="00F93219">
        <w:rPr>
          <w:snapToGrid w:val="0"/>
          <w:kern w:val="22"/>
          <w:szCs w:val="22"/>
          <w:lang w:val="fr-FR"/>
        </w:rPr>
        <w:t>biodiversité marine et côtière</w:t>
      </w:r>
      <w:r w:rsidRPr="003F5872">
        <w:rPr>
          <w:snapToGrid w:val="0"/>
          <w:kern w:val="22"/>
          <w:szCs w:val="22"/>
          <w:lang w:val="fr-FR"/>
        </w:rPr>
        <w:t>,</w:t>
      </w:r>
      <w:r w:rsidR="00E828DF">
        <w:rPr>
          <w:snapToGrid w:val="0"/>
          <w:kern w:val="22"/>
          <w:szCs w:val="22"/>
          <w:lang w:val="fr-FR"/>
        </w:rPr>
        <w:t xml:space="preserve"> compte tenu</w:t>
      </w:r>
      <w:r>
        <w:rPr>
          <w:snapToGrid w:val="0"/>
          <w:kern w:val="22"/>
          <w:szCs w:val="22"/>
          <w:lang w:val="fr-FR"/>
        </w:rPr>
        <w:t xml:space="preserve"> des</w:t>
      </w:r>
      <w:r w:rsidRPr="003F5872">
        <w:rPr>
          <w:snapToGrid w:val="0"/>
          <w:kern w:val="22"/>
          <w:szCs w:val="22"/>
          <w:lang w:val="fr-FR"/>
        </w:rPr>
        <w:t xml:space="preserve"> priorités et circonstances nationales et infranationales</w:t>
      </w:r>
      <w:r w:rsidR="00E828DF">
        <w:rPr>
          <w:snapToGrid w:val="0"/>
          <w:kern w:val="22"/>
          <w:szCs w:val="22"/>
          <w:lang w:val="fr-FR"/>
        </w:rPr>
        <w:t>, selon qu’il convient</w:t>
      </w:r>
      <w:r w:rsidR="00994799">
        <w:rPr>
          <w:snapToGrid w:val="0"/>
          <w:kern w:val="22"/>
          <w:szCs w:val="22"/>
          <w:lang w:val="fr-FR"/>
        </w:rPr>
        <w:t xml:space="preserve"> </w:t>
      </w:r>
      <w:r w:rsidR="00D637D3">
        <w:rPr>
          <w:snapToGrid w:val="0"/>
          <w:kern w:val="22"/>
          <w:szCs w:val="22"/>
          <w:lang w:val="fr-FR"/>
        </w:rPr>
        <w:t>;</w:t>
      </w:r>
    </w:p>
    <w:p w14:paraId="7A9BAEDC" w14:textId="70947066"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3.</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 xml:space="preserve">la Secrétaire exécutive de faciliter la compilation, la synthèse et le partage d'informations et d'orientations sur les </w:t>
      </w:r>
      <w:r>
        <w:rPr>
          <w:snapToGrid w:val="0"/>
          <w:kern w:val="22"/>
          <w:szCs w:val="22"/>
          <w:lang w:val="fr-FR"/>
        </w:rPr>
        <w:t xml:space="preserve">mesures prises pour </w:t>
      </w:r>
      <w:r w:rsidRPr="003F5872">
        <w:rPr>
          <w:snapToGrid w:val="0"/>
          <w:kern w:val="22"/>
          <w:szCs w:val="22"/>
          <w:lang w:val="fr-FR"/>
        </w:rPr>
        <w:t xml:space="preserve">mettre en œuvre le cadre mondial de la biodiversité </w:t>
      </w:r>
      <w:r w:rsidR="00324C6C">
        <w:rPr>
          <w:snapToGrid w:val="0"/>
          <w:kern w:val="22"/>
          <w:szCs w:val="22"/>
          <w:lang w:val="fr-FR"/>
        </w:rPr>
        <w:t>de Kunming-Montréal</w:t>
      </w:r>
      <w:r w:rsidRPr="003F5872">
        <w:rPr>
          <w:snapToGrid w:val="0"/>
          <w:kern w:val="22"/>
          <w:szCs w:val="22"/>
          <w:lang w:val="fr-FR"/>
        </w:rPr>
        <w:t xml:space="preserve"> </w:t>
      </w:r>
      <w:r>
        <w:rPr>
          <w:snapToGrid w:val="0"/>
          <w:kern w:val="22"/>
          <w:szCs w:val="22"/>
          <w:lang w:val="fr-FR"/>
        </w:rPr>
        <w:t>concernant</w:t>
      </w:r>
      <w:r w:rsidRPr="003F5872">
        <w:rPr>
          <w:snapToGrid w:val="0"/>
          <w:kern w:val="22"/>
          <w:szCs w:val="22"/>
          <w:lang w:val="fr-FR"/>
        </w:rPr>
        <w:t xml:space="preserve"> diverses questions thématiques liées à la biodiversité marine et côtière, conformément aux décisions de la Conférence des Parties</w:t>
      </w:r>
      <w:r w:rsidR="00994799">
        <w:rPr>
          <w:snapToGrid w:val="0"/>
          <w:kern w:val="22"/>
          <w:szCs w:val="22"/>
          <w:lang w:val="fr-FR"/>
        </w:rPr>
        <w:t xml:space="preserve"> </w:t>
      </w:r>
      <w:r w:rsidR="00D637D3">
        <w:rPr>
          <w:snapToGrid w:val="0"/>
          <w:kern w:val="22"/>
          <w:szCs w:val="22"/>
          <w:lang w:val="fr-FR"/>
        </w:rPr>
        <w:t>;</w:t>
      </w:r>
    </w:p>
    <w:p w14:paraId="41903A43" w14:textId="09A8FAD6" w:rsidR="00635FC1" w:rsidRPr="003F5872" w:rsidRDefault="00635FC1" w:rsidP="00635FC1">
      <w:pPr>
        <w:suppressLineNumbers/>
        <w:suppressAutoHyphens/>
        <w:kinsoku w:val="0"/>
        <w:overflowPunct w:val="0"/>
        <w:autoSpaceDE w:val="0"/>
        <w:autoSpaceDN w:val="0"/>
        <w:spacing w:before="120" w:after="120"/>
        <w:ind w:firstLine="720"/>
        <w:rPr>
          <w:iCs/>
          <w:snapToGrid w:val="0"/>
          <w:kern w:val="22"/>
          <w:szCs w:val="22"/>
          <w:lang w:val="fr-FR"/>
        </w:rPr>
      </w:pPr>
      <w:r w:rsidRPr="003F5872">
        <w:rPr>
          <w:snapToGrid w:val="0"/>
          <w:kern w:val="22"/>
          <w:szCs w:val="22"/>
          <w:lang w:val="fr-FR"/>
        </w:rPr>
        <w:t>4.</w:t>
      </w:r>
      <w:r w:rsidRPr="003F5872">
        <w:rPr>
          <w:i/>
          <w:snapToGrid w:val="0"/>
          <w:kern w:val="22"/>
          <w:szCs w:val="22"/>
          <w:lang w:val="fr-FR"/>
        </w:rPr>
        <w:tab/>
        <w:t xml:space="preserve">Accueille favorablement </w:t>
      </w:r>
      <w:r w:rsidRPr="003F5872">
        <w:rPr>
          <w:iCs/>
          <w:snapToGrid w:val="0"/>
          <w:kern w:val="22"/>
          <w:szCs w:val="22"/>
          <w:lang w:val="fr-FR"/>
        </w:rPr>
        <w:t xml:space="preserve">le rapport de l'Atelier thématique sur la biodiversité marine et côtière </w:t>
      </w:r>
      <w:r>
        <w:rPr>
          <w:iCs/>
          <w:snapToGrid w:val="0"/>
          <w:kern w:val="22"/>
          <w:szCs w:val="22"/>
          <w:lang w:val="fr-FR"/>
        </w:rPr>
        <w:t>relatif au</w:t>
      </w:r>
      <w:r w:rsidRPr="003F5872">
        <w:rPr>
          <w:iCs/>
          <w:snapToGrid w:val="0"/>
          <w:kern w:val="22"/>
          <w:szCs w:val="22"/>
          <w:lang w:val="fr-FR"/>
        </w:rPr>
        <w:t xml:space="preserve"> cadre mondial de la biodiversité </w:t>
      </w:r>
      <w:r w:rsidR="00324C6C">
        <w:rPr>
          <w:iCs/>
          <w:snapToGrid w:val="0"/>
          <w:kern w:val="22"/>
          <w:szCs w:val="22"/>
          <w:lang w:val="fr-FR"/>
        </w:rPr>
        <w:t>de Kunming-Montréal</w:t>
      </w:r>
      <w:r w:rsidRPr="003F5872">
        <w:rPr>
          <w:rStyle w:val="Appelnotedebasdep"/>
          <w:rFonts w:eastAsiaTheme="majorEastAsia"/>
          <w:iCs/>
          <w:snapToGrid w:val="0"/>
          <w:kern w:val="22"/>
          <w:szCs w:val="22"/>
          <w:lang w:val="fr-FR"/>
        </w:rPr>
        <w:footnoteReference w:id="5"/>
      </w:r>
      <w:r w:rsidRPr="003F5872">
        <w:rPr>
          <w:kern w:val="22"/>
          <w:szCs w:val="22"/>
          <w:vertAlign w:val="superscript"/>
          <w:lang w:val="fr-FR"/>
        </w:rPr>
        <w:t xml:space="preserve"> </w:t>
      </w:r>
      <w:r w:rsidRPr="003F5872">
        <w:rPr>
          <w:kern w:val="22"/>
          <w:szCs w:val="22"/>
          <w:lang w:val="fr-FR"/>
        </w:rPr>
        <w:t xml:space="preserve">, organisé </w:t>
      </w:r>
      <w:r>
        <w:rPr>
          <w:kern w:val="22"/>
          <w:szCs w:val="22"/>
          <w:lang w:val="fr-FR"/>
        </w:rPr>
        <w:t>en application de</w:t>
      </w:r>
      <w:r w:rsidRPr="003F5872">
        <w:rPr>
          <w:kern w:val="22"/>
          <w:szCs w:val="22"/>
          <w:lang w:val="fr-FR"/>
        </w:rPr>
        <w:t xml:space="preserve"> la décision 14/34 avec l</w:t>
      </w:r>
      <w:r>
        <w:rPr>
          <w:kern w:val="22"/>
          <w:szCs w:val="22"/>
          <w:lang w:val="fr-FR"/>
        </w:rPr>
        <w:t xml:space="preserve">’appui </w:t>
      </w:r>
      <w:r w:rsidRPr="003F5872">
        <w:rPr>
          <w:kern w:val="22"/>
          <w:szCs w:val="22"/>
          <w:lang w:val="fr-FR"/>
        </w:rPr>
        <w:t xml:space="preserve">financier du Gouvernement de la République de Corée et du Gouvernement de la Suède, </w:t>
      </w:r>
      <w:r w:rsidRPr="003F5872">
        <w:rPr>
          <w:iCs/>
          <w:snapToGrid w:val="0"/>
          <w:kern w:val="22"/>
          <w:szCs w:val="22"/>
          <w:lang w:val="fr-FR"/>
        </w:rPr>
        <w:t xml:space="preserve">et </w:t>
      </w:r>
      <w:r w:rsidRPr="003F5872">
        <w:rPr>
          <w:i/>
          <w:kern w:val="22"/>
          <w:lang w:val="fr-FR"/>
        </w:rPr>
        <w:t xml:space="preserve">prie </w:t>
      </w:r>
      <w:r w:rsidRPr="003F5872">
        <w:rPr>
          <w:iCs/>
          <w:snapToGrid w:val="0"/>
          <w:kern w:val="22"/>
          <w:szCs w:val="22"/>
          <w:lang w:val="fr-FR"/>
        </w:rPr>
        <w:t xml:space="preserve">la Secrétaire exécutive </w:t>
      </w:r>
      <w:r w:rsidRPr="003F5872">
        <w:rPr>
          <w:lang w:val="fr-FR"/>
        </w:rPr>
        <w:t xml:space="preserve">de compiler les soumissions des Parties, des autres Gouvernements, des gouvernements infranationaux et des organisations pertinentes, </w:t>
      </w:r>
      <w:r>
        <w:rPr>
          <w:lang w:val="fr-FR"/>
        </w:rPr>
        <w:t>de réaliser</w:t>
      </w:r>
      <w:r w:rsidRPr="003F5872">
        <w:rPr>
          <w:lang w:val="fr-FR"/>
        </w:rPr>
        <w:t xml:space="preserve"> </w:t>
      </w:r>
      <w:r w:rsidRPr="003F5872">
        <w:rPr>
          <w:iCs/>
          <w:snapToGrid w:val="0"/>
          <w:kern w:val="22"/>
          <w:szCs w:val="22"/>
          <w:lang w:val="fr-FR"/>
        </w:rPr>
        <w:t xml:space="preserve">un examen et une analyse stratégiques du programme de travail sur la biodiversité marine et côtière dans le contexte du soutien de la mise en œuvre du cadre mondial de la biodiversité </w:t>
      </w:r>
      <w:r w:rsidR="00324C6C">
        <w:rPr>
          <w:iCs/>
          <w:snapToGrid w:val="0"/>
          <w:kern w:val="22"/>
          <w:szCs w:val="22"/>
          <w:lang w:val="fr-FR"/>
        </w:rPr>
        <w:t>de Kunming-Montréal</w:t>
      </w:r>
      <w:r w:rsidRPr="003F5872">
        <w:rPr>
          <w:iCs/>
          <w:snapToGrid w:val="0"/>
          <w:kern w:val="22"/>
          <w:szCs w:val="22"/>
          <w:lang w:val="fr-FR"/>
        </w:rPr>
        <w:t xml:space="preserve"> sur la base de ces soumissions, et d</w:t>
      </w:r>
      <w:r>
        <w:rPr>
          <w:iCs/>
          <w:snapToGrid w:val="0"/>
          <w:kern w:val="22"/>
          <w:szCs w:val="22"/>
          <w:lang w:val="fr-FR"/>
        </w:rPr>
        <w:t xml:space="preserve">’élaborer </w:t>
      </w:r>
      <w:r w:rsidRPr="003F5872">
        <w:rPr>
          <w:iCs/>
          <w:snapToGrid w:val="0"/>
          <w:kern w:val="22"/>
          <w:szCs w:val="22"/>
          <w:lang w:val="fr-FR"/>
        </w:rPr>
        <w:t xml:space="preserve">un projet de mise à jour du programme de travail sur la base de cet examen et de cette analyse stratégiques, en tenant compte, le cas échéant, des résultats de l'atelier susmentionné, qui sera </w:t>
      </w:r>
      <w:r w:rsidR="00324C6C">
        <w:rPr>
          <w:iCs/>
          <w:snapToGrid w:val="0"/>
          <w:kern w:val="22"/>
          <w:szCs w:val="22"/>
          <w:lang w:val="fr-FR"/>
        </w:rPr>
        <w:t>diffusé</w:t>
      </w:r>
      <w:r w:rsidRPr="003F5872">
        <w:rPr>
          <w:iCs/>
          <w:snapToGrid w:val="0"/>
          <w:kern w:val="22"/>
          <w:szCs w:val="22"/>
          <w:lang w:val="fr-FR"/>
        </w:rPr>
        <w:t xml:space="preserve"> pour commentaires par les Parties, les autres Gouvernements et les organisations pertinentes, et soumis à l'examen de l'Organe subsidiaire chargé de fournir des avis scientifiques, techniques et technologiques avant la seizième réunion de la Conférence des Parties</w:t>
      </w:r>
      <w:r w:rsidR="00994799">
        <w:rPr>
          <w:iCs/>
          <w:snapToGrid w:val="0"/>
          <w:kern w:val="22"/>
          <w:szCs w:val="22"/>
          <w:lang w:val="fr-FR"/>
        </w:rPr>
        <w:t xml:space="preserve"> </w:t>
      </w:r>
      <w:r w:rsidR="00D637D3">
        <w:rPr>
          <w:iCs/>
          <w:snapToGrid w:val="0"/>
          <w:kern w:val="22"/>
          <w:szCs w:val="22"/>
          <w:lang w:val="fr-FR"/>
        </w:rPr>
        <w:t>;</w:t>
      </w:r>
    </w:p>
    <w:p w14:paraId="5517FE6C" w14:textId="6D5EF634" w:rsidR="00635FC1" w:rsidRPr="003F5872" w:rsidRDefault="00635FC1" w:rsidP="00635FC1">
      <w:pPr>
        <w:suppressLineNumbers/>
        <w:suppressAutoHyphens/>
        <w:kinsoku w:val="0"/>
        <w:overflowPunct w:val="0"/>
        <w:autoSpaceDE w:val="0"/>
        <w:autoSpaceDN w:val="0"/>
        <w:spacing w:before="120" w:after="120"/>
        <w:ind w:firstLine="720"/>
        <w:rPr>
          <w:iCs/>
          <w:snapToGrid w:val="0"/>
          <w:kern w:val="22"/>
          <w:szCs w:val="22"/>
          <w:lang w:val="fr-FR"/>
        </w:rPr>
      </w:pPr>
      <w:r w:rsidRPr="003F5872">
        <w:rPr>
          <w:iCs/>
          <w:snapToGrid w:val="0"/>
          <w:kern w:val="22"/>
          <w:szCs w:val="22"/>
          <w:lang w:val="fr-FR"/>
        </w:rPr>
        <w:t>5.</w:t>
      </w:r>
      <w:r w:rsidRPr="003F5872">
        <w:rPr>
          <w:i/>
          <w:kern w:val="22"/>
          <w:lang w:val="fr-FR"/>
        </w:rPr>
        <w:tab/>
      </w:r>
      <w:r w:rsidRPr="003F5872">
        <w:rPr>
          <w:i/>
          <w:snapToGrid w:val="0"/>
          <w:kern w:val="22"/>
          <w:szCs w:val="22"/>
          <w:lang w:val="fr-FR"/>
        </w:rPr>
        <w:t xml:space="preserve">Prie </w:t>
      </w:r>
      <w:r w:rsidRPr="003F5872">
        <w:rPr>
          <w:iCs/>
          <w:snapToGrid w:val="0"/>
          <w:kern w:val="22"/>
          <w:szCs w:val="22"/>
          <w:lang w:val="fr-FR"/>
        </w:rPr>
        <w:t xml:space="preserve">la Secrétaire exécutive de compiler les soumissions des Parties, des autres Gouvernements et des organisations pertinentes, </w:t>
      </w:r>
      <w:r>
        <w:rPr>
          <w:iCs/>
          <w:snapToGrid w:val="0"/>
          <w:kern w:val="22"/>
          <w:szCs w:val="22"/>
          <w:lang w:val="fr-FR"/>
        </w:rPr>
        <w:t>de réaliser</w:t>
      </w:r>
      <w:r w:rsidRPr="003F5872">
        <w:rPr>
          <w:iCs/>
          <w:snapToGrid w:val="0"/>
          <w:kern w:val="22"/>
          <w:szCs w:val="22"/>
          <w:lang w:val="fr-FR"/>
        </w:rPr>
        <w:t xml:space="preserve"> un examen et une analyse stratégiques du programme de travail sur la biodiversité insulaire dans le contexte du soutien à la mise en œuvre du cadre mondial de la biodiversité </w:t>
      </w:r>
      <w:r w:rsidR="00324C6C">
        <w:rPr>
          <w:iCs/>
          <w:snapToGrid w:val="0"/>
          <w:kern w:val="22"/>
          <w:szCs w:val="22"/>
          <w:lang w:val="fr-FR"/>
        </w:rPr>
        <w:t>de Kunming-Montréal</w:t>
      </w:r>
      <w:r w:rsidRPr="003F5872">
        <w:rPr>
          <w:iCs/>
          <w:snapToGrid w:val="0"/>
          <w:kern w:val="22"/>
          <w:szCs w:val="22"/>
          <w:lang w:val="fr-FR"/>
        </w:rPr>
        <w:t xml:space="preserve"> sur la base de ces soumissions, en collaboration avec le Partenariat mondial pour les îles et en s'appuyant sur d'autres </w:t>
      </w:r>
      <w:r>
        <w:rPr>
          <w:iCs/>
          <w:snapToGrid w:val="0"/>
          <w:kern w:val="22"/>
          <w:szCs w:val="22"/>
          <w:lang w:val="fr-FR"/>
        </w:rPr>
        <w:t>initiatives</w:t>
      </w:r>
      <w:r w:rsidRPr="003F5872">
        <w:rPr>
          <w:iCs/>
          <w:snapToGrid w:val="0"/>
          <w:kern w:val="22"/>
          <w:szCs w:val="22"/>
          <w:lang w:val="fr-FR"/>
        </w:rPr>
        <w:t xml:space="preserve"> pertinent</w:t>
      </w:r>
      <w:r>
        <w:rPr>
          <w:iCs/>
          <w:snapToGrid w:val="0"/>
          <w:kern w:val="22"/>
          <w:szCs w:val="22"/>
          <w:lang w:val="fr-FR"/>
        </w:rPr>
        <w:t>e</w:t>
      </w:r>
      <w:r w:rsidRPr="003F5872">
        <w:rPr>
          <w:iCs/>
          <w:snapToGrid w:val="0"/>
          <w:kern w:val="22"/>
          <w:szCs w:val="22"/>
          <w:lang w:val="fr-FR"/>
        </w:rPr>
        <w:t xml:space="preserve">s, d'examiner les progrès accomplis dans la réalisation des engagements et objectifs mondiaux en matière de biodiversité insulaire, et </w:t>
      </w:r>
      <w:r>
        <w:rPr>
          <w:iCs/>
          <w:snapToGrid w:val="0"/>
          <w:kern w:val="22"/>
          <w:szCs w:val="22"/>
          <w:lang w:val="fr-FR"/>
        </w:rPr>
        <w:t>d’élaborer</w:t>
      </w:r>
      <w:r w:rsidRPr="003F5872">
        <w:rPr>
          <w:iCs/>
          <w:snapToGrid w:val="0"/>
          <w:kern w:val="22"/>
          <w:szCs w:val="22"/>
          <w:lang w:val="fr-FR"/>
        </w:rPr>
        <w:t xml:space="preserve"> un projet </w:t>
      </w:r>
      <w:r>
        <w:rPr>
          <w:iCs/>
          <w:snapToGrid w:val="0"/>
          <w:kern w:val="22"/>
          <w:szCs w:val="22"/>
          <w:lang w:val="fr-FR"/>
        </w:rPr>
        <w:t>d’actualisation</w:t>
      </w:r>
      <w:r w:rsidRPr="003F5872">
        <w:rPr>
          <w:iCs/>
          <w:snapToGrid w:val="0"/>
          <w:kern w:val="22"/>
          <w:szCs w:val="22"/>
          <w:lang w:val="fr-FR"/>
        </w:rPr>
        <w:t xml:space="preserve"> du programme de travail sur la base de cet examen et de cette analyse stratégiques, pour examen par l'Organe subsidiaire chargé de fournir des avis scientifiques, techniques et technologiques avant la seizième réunion de la Conférence des Parties</w:t>
      </w:r>
      <w:r w:rsidR="00D637D3">
        <w:rPr>
          <w:iCs/>
          <w:snapToGrid w:val="0"/>
          <w:kern w:val="22"/>
          <w:szCs w:val="22"/>
          <w:lang w:val="fr-FR"/>
        </w:rPr>
        <w:t>;</w:t>
      </w:r>
    </w:p>
    <w:p w14:paraId="14884629" w14:textId="75768192" w:rsidR="00635FC1" w:rsidRPr="003F5872" w:rsidRDefault="00635FC1" w:rsidP="00635FC1">
      <w:pPr>
        <w:pStyle w:val="paragraph"/>
        <w:spacing w:before="120" w:beforeAutospacing="0" w:after="0" w:afterAutospacing="0"/>
        <w:ind w:firstLine="720"/>
        <w:jc w:val="both"/>
        <w:textAlignment w:val="baseline"/>
        <w:rPr>
          <w:color w:val="000000" w:themeColor="text1"/>
          <w:szCs w:val="22"/>
          <w:lang w:val="fr-FR"/>
        </w:rPr>
      </w:pPr>
      <w:r w:rsidRPr="003F5872">
        <w:rPr>
          <w:color w:val="000000" w:themeColor="text1"/>
          <w:sz w:val="22"/>
          <w:szCs w:val="22"/>
          <w:lang w:val="fr-FR"/>
        </w:rPr>
        <w:t>6.</w:t>
      </w:r>
      <w:r w:rsidRPr="003F5872">
        <w:rPr>
          <w:color w:val="000000" w:themeColor="text1"/>
          <w:sz w:val="22"/>
          <w:szCs w:val="22"/>
          <w:lang w:val="fr-FR"/>
        </w:rPr>
        <w:tab/>
      </w:r>
      <w:r w:rsidRPr="003F5872">
        <w:rPr>
          <w:i/>
          <w:iCs/>
          <w:color w:val="000000" w:themeColor="text1"/>
          <w:sz w:val="22"/>
          <w:szCs w:val="22"/>
          <w:lang w:val="fr-FR"/>
        </w:rPr>
        <w:t xml:space="preserve">Exhorte les </w:t>
      </w:r>
      <w:r w:rsidRPr="003F5872">
        <w:rPr>
          <w:color w:val="000000" w:themeColor="text1"/>
          <w:sz w:val="22"/>
          <w:szCs w:val="22"/>
          <w:lang w:val="fr-FR"/>
        </w:rPr>
        <w:t xml:space="preserve">Parties et </w:t>
      </w:r>
      <w:r w:rsidRPr="003F5872">
        <w:rPr>
          <w:i/>
          <w:iCs/>
          <w:color w:val="000000" w:themeColor="text1"/>
          <w:sz w:val="22"/>
          <w:szCs w:val="22"/>
          <w:lang w:val="fr-FR"/>
        </w:rPr>
        <w:t xml:space="preserve">invite les </w:t>
      </w:r>
      <w:r w:rsidRPr="003F5872">
        <w:rPr>
          <w:color w:val="000000" w:themeColor="text1"/>
          <w:sz w:val="22"/>
          <w:szCs w:val="22"/>
          <w:lang w:val="fr-FR"/>
        </w:rPr>
        <w:t>autres Gouvernements à tenir compte des évaluations de la Plateforme intergouvernementale scientifique et politique sur la biodiversité et les services écosystémiques et du Mécanisme de notification et d'évaluation systématiques à l'échelle mondiale de l'état du milieu marin, y compris les aspects socio-économiques, dans l</w:t>
      </w:r>
      <w:r>
        <w:rPr>
          <w:color w:val="000000" w:themeColor="text1"/>
          <w:sz w:val="22"/>
          <w:szCs w:val="22"/>
          <w:lang w:val="fr-FR"/>
        </w:rPr>
        <w:t xml:space="preserve">a mise en </w:t>
      </w:r>
      <w:r w:rsidRPr="003F5872">
        <w:rPr>
          <w:color w:val="000000" w:themeColor="text1"/>
          <w:sz w:val="22"/>
          <w:szCs w:val="22"/>
          <w:lang w:val="fr-FR"/>
        </w:rPr>
        <w:t xml:space="preserve">œuvre </w:t>
      </w:r>
      <w:r>
        <w:rPr>
          <w:color w:val="000000" w:themeColor="text1"/>
          <w:sz w:val="22"/>
          <w:szCs w:val="22"/>
          <w:lang w:val="fr-FR"/>
        </w:rPr>
        <w:t>du</w:t>
      </w:r>
      <w:r w:rsidRPr="003F5872">
        <w:rPr>
          <w:color w:val="000000" w:themeColor="text1"/>
          <w:sz w:val="22"/>
          <w:szCs w:val="22"/>
          <w:lang w:val="fr-FR"/>
        </w:rPr>
        <w:t xml:space="preserve"> cadre mondial de la biodiversité </w:t>
      </w:r>
      <w:r w:rsidR="00324C6C">
        <w:rPr>
          <w:color w:val="000000" w:themeColor="text1"/>
          <w:sz w:val="22"/>
          <w:szCs w:val="22"/>
          <w:lang w:val="fr-FR"/>
        </w:rPr>
        <w:t>de Kunming-Montréal</w:t>
      </w:r>
      <w:r w:rsidRPr="003F5872">
        <w:rPr>
          <w:color w:val="000000" w:themeColor="text1"/>
          <w:sz w:val="22"/>
          <w:szCs w:val="22"/>
          <w:lang w:val="fr-FR"/>
        </w:rPr>
        <w:t xml:space="preserve"> en ce qui concerne la biodiversité marine et </w:t>
      </w:r>
      <w:r w:rsidR="00324C6C" w:rsidRPr="003F5872">
        <w:rPr>
          <w:color w:val="000000" w:themeColor="text1"/>
          <w:sz w:val="22"/>
          <w:szCs w:val="22"/>
          <w:lang w:val="fr-FR"/>
        </w:rPr>
        <w:t>côtière</w:t>
      </w:r>
      <w:r w:rsidR="00324C6C">
        <w:rPr>
          <w:color w:val="000000" w:themeColor="text1"/>
          <w:sz w:val="22"/>
          <w:szCs w:val="22"/>
          <w:lang w:val="fr-FR"/>
        </w:rPr>
        <w:t xml:space="preserve"> ;</w:t>
      </w:r>
    </w:p>
    <w:p w14:paraId="4AF84CF7" w14:textId="798AAB65" w:rsidR="00635FC1" w:rsidRPr="003F5872" w:rsidRDefault="00635FC1" w:rsidP="00635FC1">
      <w:pPr>
        <w:pStyle w:val="paragraph"/>
        <w:spacing w:before="120" w:beforeAutospacing="0" w:after="0" w:afterAutospacing="0"/>
        <w:ind w:firstLine="720"/>
        <w:jc w:val="both"/>
        <w:textAlignment w:val="baseline"/>
        <w:rPr>
          <w:sz w:val="22"/>
          <w:szCs w:val="22"/>
          <w:lang w:val="fr-FR"/>
        </w:rPr>
      </w:pPr>
      <w:r w:rsidRPr="003F5872">
        <w:rPr>
          <w:kern w:val="22"/>
          <w:sz w:val="22"/>
          <w:szCs w:val="22"/>
          <w:lang w:val="fr-FR"/>
        </w:rPr>
        <w:t>7.</w:t>
      </w:r>
      <w:r w:rsidRPr="003F5872">
        <w:rPr>
          <w:kern w:val="22"/>
          <w:sz w:val="22"/>
          <w:szCs w:val="22"/>
          <w:lang w:val="fr-FR"/>
        </w:rPr>
        <w:tab/>
      </w:r>
      <w:r w:rsidRPr="003F5872">
        <w:rPr>
          <w:i/>
          <w:sz w:val="22"/>
          <w:szCs w:val="22"/>
          <w:lang w:val="fr-FR"/>
        </w:rPr>
        <w:t xml:space="preserve">Exhorte les </w:t>
      </w:r>
      <w:r w:rsidRPr="003F5872">
        <w:rPr>
          <w:sz w:val="22"/>
          <w:szCs w:val="22"/>
          <w:lang w:val="fr-FR"/>
        </w:rPr>
        <w:t xml:space="preserve">Parties et </w:t>
      </w:r>
      <w:r w:rsidRPr="003F5872">
        <w:rPr>
          <w:i/>
          <w:sz w:val="22"/>
          <w:lang w:val="fr-FR"/>
        </w:rPr>
        <w:t xml:space="preserve">invite les </w:t>
      </w:r>
      <w:r w:rsidRPr="003F5872">
        <w:rPr>
          <w:sz w:val="22"/>
          <w:szCs w:val="22"/>
          <w:lang w:val="fr-FR"/>
        </w:rPr>
        <w:t xml:space="preserve">autres Gouvernements à reconnaître l'importance cruciale de la biodiversité marine et côtière dans la mise en œuvre du cadre mondial de la biodiversité </w:t>
      </w:r>
      <w:r w:rsidR="00324C6C">
        <w:rPr>
          <w:sz w:val="22"/>
          <w:szCs w:val="22"/>
          <w:lang w:val="fr-FR"/>
        </w:rPr>
        <w:t>de Kunming-Montréal</w:t>
      </w:r>
      <w:r w:rsidRPr="003F5872">
        <w:rPr>
          <w:sz w:val="22"/>
          <w:szCs w:val="22"/>
          <w:lang w:val="fr-FR"/>
        </w:rPr>
        <w:t xml:space="preserve">, notamment en renforçant la conservation et l'utilisation durable de la biodiversité marine et côtière, sur la base des meilleures informations scientifiques disponibles et des connaissances traditionnelles des peuples autochtones et des communautés locales avec leur consentement libre, préalable et éclairé, en </w:t>
      </w:r>
      <w:r w:rsidRPr="003F5872">
        <w:rPr>
          <w:sz w:val="22"/>
          <w:szCs w:val="22"/>
          <w:lang w:val="fr-FR"/>
        </w:rPr>
        <w:lastRenderedPageBreak/>
        <w:t xml:space="preserve">particulier </w:t>
      </w:r>
      <w:r>
        <w:rPr>
          <w:sz w:val="22"/>
          <w:szCs w:val="22"/>
          <w:lang w:val="fr-FR"/>
        </w:rPr>
        <w:t>concernant</w:t>
      </w:r>
      <w:r w:rsidRPr="003F5872">
        <w:rPr>
          <w:sz w:val="22"/>
          <w:szCs w:val="22"/>
          <w:lang w:val="fr-FR"/>
        </w:rPr>
        <w:t xml:space="preserve"> les écosystèmes marins et côtiers les plus vulnérables et les zones d'importance part</w:t>
      </w:r>
      <w:r w:rsidR="00F93219">
        <w:rPr>
          <w:sz w:val="22"/>
          <w:szCs w:val="22"/>
          <w:lang w:val="fr-FR"/>
        </w:rPr>
        <w:t xml:space="preserve">iculière pour la biodiversité, </w:t>
      </w:r>
      <w:r w:rsidRPr="003F5872">
        <w:rPr>
          <w:sz w:val="22"/>
          <w:szCs w:val="22"/>
          <w:lang w:val="fr-FR"/>
        </w:rPr>
        <w:t>en soulignant la nécessi</w:t>
      </w:r>
      <w:r w:rsidR="00E828DF">
        <w:rPr>
          <w:sz w:val="22"/>
          <w:szCs w:val="22"/>
          <w:lang w:val="fr-FR"/>
        </w:rPr>
        <w:t>té d’une con</w:t>
      </w:r>
      <w:r w:rsidR="005C0626">
        <w:rPr>
          <w:sz w:val="22"/>
          <w:szCs w:val="22"/>
          <w:lang w:val="fr-FR"/>
        </w:rPr>
        <w:t>servation marine par zone, tel qu’</w:t>
      </w:r>
      <w:r w:rsidR="00E828DF">
        <w:rPr>
          <w:sz w:val="22"/>
          <w:szCs w:val="22"/>
          <w:lang w:val="fr-FR"/>
        </w:rPr>
        <w:t xml:space="preserve">énoncé dans les cibles du cadre mondial de la biodiversité </w:t>
      </w:r>
      <w:r w:rsidR="00324C6C">
        <w:rPr>
          <w:sz w:val="22"/>
          <w:szCs w:val="22"/>
          <w:lang w:val="fr-FR"/>
        </w:rPr>
        <w:t>de Kunming-Montréal</w:t>
      </w:r>
      <w:r w:rsidR="00E828DF">
        <w:rPr>
          <w:sz w:val="22"/>
          <w:szCs w:val="22"/>
          <w:lang w:val="fr-FR"/>
        </w:rPr>
        <w:t>, y compris la cible 3,</w:t>
      </w:r>
      <w:r w:rsidRPr="003F5872">
        <w:rPr>
          <w:sz w:val="22"/>
          <w:szCs w:val="22"/>
          <w:lang w:val="fr-FR"/>
        </w:rPr>
        <w:t xml:space="preserve"> en s'attaquant aux facteurs directs d'appauvrissement de la biodiversité </w:t>
      </w:r>
      <w:r>
        <w:rPr>
          <w:sz w:val="22"/>
          <w:szCs w:val="22"/>
          <w:lang w:val="fr-FR"/>
        </w:rPr>
        <w:t>recensés</w:t>
      </w:r>
      <w:r w:rsidRPr="003F5872">
        <w:rPr>
          <w:sz w:val="22"/>
          <w:szCs w:val="22"/>
          <w:lang w:val="fr-FR"/>
        </w:rPr>
        <w:t xml:space="preserve"> par la </w:t>
      </w:r>
      <w:r w:rsidR="00D637D3">
        <w:rPr>
          <w:color w:val="000000" w:themeColor="text1"/>
          <w:sz w:val="22"/>
          <w:szCs w:val="22"/>
          <w:lang w:val="fr-FR"/>
        </w:rPr>
        <w:t>Plateforme</w:t>
      </w:r>
      <w:r w:rsidRPr="003F5872">
        <w:rPr>
          <w:color w:val="000000" w:themeColor="text1"/>
          <w:sz w:val="22"/>
          <w:szCs w:val="22"/>
          <w:lang w:val="fr-FR"/>
        </w:rPr>
        <w:t xml:space="preserve"> intergouvernementale scientifique et politique sur la biodiversité et les services écosystémiques, </w:t>
      </w:r>
      <w:r w:rsidR="005C0626">
        <w:rPr>
          <w:sz w:val="22"/>
          <w:szCs w:val="22"/>
          <w:lang w:val="fr-FR"/>
        </w:rPr>
        <w:t xml:space="preserve">et en assurant </w:t>
      </w:r>
      <w:r w:rsidRPr="003F5872">
        <w:rPr>
          <w:sz w:val="22"/>
          <w:szCs w:val="22"/>
          <w:lang w:val="fr-FR"/>
        </w:rPr>
        <w:t>un accès approprié aux r</w:t>
      </w:r>
      <w:r w:rsidR="005C0626">
        <w:rPr>
          <w:sz w:val="22"/>
          <w:szCs w:val="22"/>
          <w:lang w:val="fr-FR"/>
        </w:rPr>
        <w:t>essources génétiques marines et</w:t>
      </w:r>
      <w:r w:rsidRPr="003F5872">
        <w:rPr>
          <w:sz w:val="22"/>
          <w:szCs w:val="22"/>
          <w:lang w:val="fr-FR"/>
        </w:rPr>
        <w:t xml:space="preserve"> un partage juste et équitable des avantages découlant de l'utilisation des ressources génétiques marines, dans le cadre de la juridiction de la Convention et de ses protocoles, et en reconnaissant et en respectant les droits des peuples autochtones et des communautés locales et leur rôle clé dans la conservation et l'utilisation durable de la biodiversité marine et côtière</w:t>
      </w:r>
      <w:r w:rsidR="00994799">
        <w:rPr>
          <w:sz w:val="22"/>
          <w:szCs w:val="22"/>
          <w:lang w:val="fr-FR"/>
        </w:rPr>
        <w:t xml:space="preserve"> </w:t>
      </w:r>
      <w:r w:rsidR="00D637D3">
        <w:rPr>
          <w:sz w:val="22"/>
          <w:szCs w:val="22"/>
          <w:lang w:val="fr-FR"/>
        </w:rPr>
        <w:t>;</w:t>
      </w:r>
      <w:r w:rsidRPr="003F5872">
        <w:rPr>
          <w:rStyle w:val="eop"/>
          <w:rFonts w:eastAsiaTheme="majorEastAsia"/>
          <w:sz w:val="22"/>
          <w:lang w:val="fr-FR"/>
        </w:rPr>
        <w:t xml:space="preserve"> </w:t>
      </w:r>
    </w:p>
    <w:p w14:paraId="32AD70CE" w14:textId="5B6CAD38" w:rsidR="00635FC1" w:rsidRPr="003F5872" w:rsidRDefault="00635FC1" w:rsidP="00635FC1">
      <w:pPr>
        <w:pStyle w:val="paragraph"/>
        <w:spacing w:before="120" w:beforeAutospacing="0" w:after="0" w:afterAutospacing="0"/>
        <w:ind w:firstLine="720"/>
        <w:jc w:val="both"/>
        <w:textAlignment w:val="baseline"/>
        <w:rPr>
          <w:color w:val="000000" w:themeColor="text1"/>
          <w:sz w:val="22"/>
          <w:szCs w:val="22"/>
          <w:lang w:val="fr-FR"/>
        </w:rPr>
      </w:pPr>
      <w:r w:rsidRPr="003F5872">
        <w:rPr>
          <w:color w:val="000000" w:themeColor="text1"/>
          <w:sz w:val="22"/>
          <w:szCs w:val="22"/>
          <w:lang w:val="fr-FR"/>
        </w:rPr>
        <w:t>8.</w:t>
      </w:r>
      <w:r w:rsidRPr="003F5872">
        <w:rPr>
          <w:color w:val="000000" w:themeColor="text1"/>
          <w:sz w:val="22"/>
          <w:szCs w:val="22"/>
          <w:lang w:val="fr-FR"/>
        </w:rPr>
        <w:tab/>
      </w:r>
      <w:r w:rsidRPr="003F5872">
        <w:rPr>
          <w:i/>
          <w:iCs/>
          <w:color w:val="000000" w:themeColor="text1"/>
          <w:sz w:val="22"/>
          <w:szCs w:val="22"/>
          <w:lang w:val="fr-FR"/>
        </w:rPr>
        <w:t xml:space="preserve">Exhorte les </w:t>
      </w:r>
      <w:r w:rsidRPr="003F5872">
        <w:rPr>
          <w:color w:val="000000" w:themeColor="text1"/>
          <w:sz w:val="22"/>
          <w:szCs w:val="22"/>
          <w:lang w:val="fr-FR"/>
        </w:rPr>
        <w:t xml:space="preserve">Parties et </w:t>
      </w:r>
      <w:r w:rsidRPr="003F5872">
        <w:rPr>
          <w:i/>
          <w:iCs/>
          <w:color w:val="000000" w:themeColor="text1"/>
          <w:sz w:val="22"/>
          <w:szCs w:val="22"/>
          <w:lang w:val="fr-FR"/>
        </w:rPr>
        <w:t xml:space="preserve">invite les </w:t>
      </w:r>
      <w:r w:rsidRPr="003F5872">
        <w:rPr>
          <w:color w:val="000000" w:themeColor="text1"/>
          <w:sz w:val="22"/>
          <w:szCs w:val="22"/>
          <w:lang w:val="fr-FR"/>
        </w:rPr>
        <w:t xml:space="preserve">autres Gouvernements à renforcer les efforts </w:t>
      </w:r>
      <w:r>
        <w:rPr>
          <w:color w:val="000000" w:themeColor="text1"/>
          <w:sz w:val="22"/>
          <w:szCs w:val="22"/>
          <w:lang w:val="fr-FR"/>
        </w:rPr>
        <w:t xml:space="preserve">aux niveaux </w:t>
      </w:r>
      <w:r w:rsidRPr="003F5872">
        <w:rPr>
          <w:color w:val="000000" w:themeColor="text1"/>
          <w:sz w:val="22"/>
          <w:szCs w:val="22"/>
          <w:lang w:val="fr-FR"/>
        </w:rPr>
        <w:t xml:space="preserve">nationaux, sous-régionaux et régionaux </w:t>
      </w:r>
      <w:r>
        <w:rPr>
          <w:color w:val="000000" w:themeColor="text1"/>
          <w:sz w:val="22"/>
          <w:szCs w:val="22"/>
          <w:lang w:val="fr-FR"/>
        </w:rPr>
        <w:t>concernant</w:t>
      </w:r>
      <w:r w:rsidRPr="003F5872">
        <w:rPr>
          <w:color w:val="000000" w:themeColor="text1"/>
          <w:sz w:val="22"/>
          <w:szCs w:val="22"/>
          <w:lang w:val="fr-FR"/>
        </w:rPr>
        <w:t xml:space="preserve"> </w:t>
      </w:r>
      <w:r w:rsidRPr="005E1E07">
        <w:rPr>
          <w:color w:val="000000" w:themeColor="text1"/>
          <w:sz w:val="22"/>
          <w:szCs w:val="22"/>
          <w:lang w:val="fr-FR"/>
        </w:rPr>
        <w:t>la comptabilité appliquée aux océan</w:t>
      </w:r>
      <w:r w:rsidR="00E8436E">
        <w:rPr>
          <w:color w:val="000000" w:themeColor="text1"/>
          <w:sz w:val="22"/>
          <w:szCs w:val="22"/>
          <w:lang w:val="fr-FR"/>
        </w:rPr>
        <w:t>s</w:t>
      </w:r>
      <w:r w:rsidRPr="005E1E07">
        <w:rPr>
          <w:color w:val="000000" w:themeColor="text1"/>
          <w:sz w:val="22"/>
          <w:szCs w:val="22"/>
          <w:lang w:val="fr-FR"/>
        </w:rPr>
        <w:t xml:space="preserve"> </w:t>
      </w:r>
      <w:r w:rsidRPr="003F5872">
        <w:rPr>
          <w:color w:val="000000" w:themeColor="text1"/>
          <w:sz w:val="22"/>
          <w:szCs w:val="22"/>
          <w:lang w:val="fr-FR"/>
        </w:rPr>
        <w:t xml:space="preserve">et l'évaluation économique des services écosystémiques fournis par la biodiversité marine et côtière et à utiliser ces informations pour </w:t>
      </w:r>
      <w:r>
        <w:rPr>
          <w:color w:val="000000" w:themeColor="text1"/>
          <w:sz w:val="22"/>
          <w:szCs w:val="22"/>
          <w:lang w:val="fr-FR"/>
        </w:rPr>
        <w:t>appuyer</w:t>
      </w:r>
      <w:r w:rsidRPr="003F5872">
        <w:rPr>
          <w:color w:val="000000" w:themeColor="text1"/>
          <w:sz w:val="22"/>
          <w:szCs w:val="22"/>
          <w:lang w:val="fr-FR"/>
        </w:rPr>
        <w:t xml:space="preserve"> l</w:t>
      </w:r>
      <w:r w:rsidR="00324C6C">
        <w:rPr>
          <w:color w:val="000000" w:themeColor="text1"/>
          <w:sz w:val="22"/>
          <w:szCs w:val="22"/>
          <w:lang w:val="fr-FR"/>
        </w:rPr>
        <w:t>a</w:t>
      </w:r>
      <w:r w:rsidRPr="003F5872">
        <w:rPr>
          <w:color w:val="000000" w:themeColor="text1"/>
          <w:sz w:val="22"/>
          <w:szCs w:val="22"/>
          <w:lang w:val="fr-FR"/>
        </w:rPr>
        <w:t xml:space="preserve"> </w:t>
      </w:r>
      <w:r w:rsidR="00324C6C">
        <w:rPr>
          <w:color w:val="000000" w:themeColor="text1"/>
          <w:sz w:val="22"/>
          <w:szCs w:val="22"/>
          <w:lang w:val="fr-FR"/>
        </w:rPr>
        <w:t>prise de</w:t>
      </w:r>
      <w:r w:rsidRPr="003F5872">
        <w:rPr>
          <w:color w:val="000000" w:themeColor="text1"/>
          <w:sz w:val="22"/>
          <w:szCs w:val="22"/>
          <w:lang w:val="fr-FR"/>
        </w:rPr>
        <w:t xml:space="preserve"> </w:t>
      </w:r>
      <w:r w:rsidR="00324C6C" w:rsidRPr="003F5872">
        <w:rPr>
          <w:color w:val="000000" w:themeColor="text1"/>
          <w:sz w:val="22"/>
          <w:szCs w:val="22"/>
          <w:lang w:val="fr-FR"/>
        </w:rPr>
        <w:t>décision</w:t>
      </w:r>
      <w:r w:rsidRPr="003F5872">
        <w:rPr>
          <w:color w:val="000000" w:themeColor="text1"/>
          <w:sz w:val="22"/>
          <w:szCs w:val="22"/>
          <w:lang w:val="fr-FR"/>
        </w:rPr>
        <w:t xml:space="preserve"> en matière de conservation et d'utilisation durable</w:t>
      </w:r>
      <w:r w:rsidR="00994799">
        <w:rPr>
          <w:color w:val="000000" w:themeColor="text1"/>
          <w:sz w:val="22"/>
          <w:szCs w:val="22"/>
          <w:lang w:val="fr-FR"/>
        </w:rPr>
        <w:t xml:space="preserve"> </w:t>
      </w:r>
      <w:r w:rsidR="00D637D3">
        <w:rPr>
          <w:color w:val="000000" w:themeColor="text1"/>
          <w:sz w:val="22"/>
          <w:szCs w:val="22"/>
          <w:lang w:val="fr-FR"/>
        </w:rPr>
        <w:t>;</w:t>
      </w:r>
    </w:p>
    <w:p w14:paraId="42CD56D8" w14:textId="061D2CD4"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9.</w:t>
      </w:r>
      <w:r w:rsidRPr="003F5872">
        <w:rPr>
          <w:snapToGrid w:val="0"/>
          <w:kern w:val="22"/>
          <w:szCs w:val="22"/>
          <w:lang w:val="fr-FR"/>
        </w:rPr>
        <w:tab/>
      </w:r>
      <w:r w:rsidRPr="003F5872">
        <w:rPr>
          <w:i/>
          <w:iCs/>
          <w:snapToGrid w:val="0"/>
          <w:kern w:val="22"/>
          <w:szCs w:val="22"/>
          <w:lang w:val="fr-FR"/>
        </w:rPr>
        <w:t xml:space="preserve">Note </w:t>
      </w:r>
      <w:r w:rsidRPr="003F5872">
        <w:rPr>
          <w:snapToGrid w:val="0"/>
          <w:kern w:val="22"/>
          <w:szCs w:val="22"/>
          <w:lang w:val="fr-FR"/>
        </w:rPr>
        <w:t xml:space="preserve">le rôle des organismes et initiatives mondiaux et régionaux compétents, notamment la Division des affaires maritimes et du droit de la mer de l'Organisation des Nations Unies, la Convention-cadre des Nations Unies sur les changements climatiques, l'Organisation maritime internationale, l'Autorité internationale des fonds marins, l'Organisation des Nations Unies pour l'alimentation et l'agriculture, la Commission océanographique intergouvernementale de </w:t>
      </w:r>
      <w:r w:rsidR="00324C6C">
        <w:rPr>
          <w:snapToGrid w:val="0"/>
          <w:kern w:val="22"/>
          <w:szCs w:val="22"/>
          <w:lang w:val="fr-FR"/>
        </w:rPr>
        <w:t>l’</w:t>
      </w:r>
      <w:r w:rsidR="00324C6C" w:rsidRPr="00324C6C">
        <w:rPr>
          <w:snapToGrid w:val="0"/>
          <w:kern w:val="22"/>
          <w:szCs w:val="22"/>
          <w:lang w:val="fr-FR"/>
        </w:rPr>
        <w:t>Organisation des Nations Unies pour l'éducation, la science et la culture</w:t>
      </w:r>
      <w:r w:rsidRPr="003F5872">
        <w:rPr>
          <w:snapToGrid w:val="0"/>
          <w:kern w:val="22"/>
          <w:szCs w:val="22"/>
          <w:lang w:val="fr-FR"/>
        </w:rPr>
        <w:t xml:space="preserve">, la Convention de Ramsar, la Convention sur la conservation des espèces migratrices appartenant à la faune sauvage, la Convention sur le commerce international des espèces de faune et de flore sauvages menacées d'extinction, l'Organisation météorologique mondiale, les organismes régionaux de pêche, les conventions et plans d'action relatifs aux mers régionales, l'Initiative internationale pour les récifs coralliens, ainsi que la Décennie des Nations Unies pour l'exploitation de l'océanologie au service du développement durable et la Décennie des Nations Unies pour la restauration des écosystèmes, en matière de conservation et d'utilisation durable de la biodiversité marine et côtière, et les </w:t>
      </w:r>
      <w:r w:rsidRPr="003F5872">
        <w:rPr>
          <w:i/>
          <w:iCs/>
          <w:snapToGrid w:val="0"/>
          <w:kern w:val="22"/>
          <w:szCs w:val="22"/>
          <w:lang w:val="fr-FR"/>
        </w:rPr>
        <w:t xml:space="preserve">invite </w:t>
      </w:r>
      <w:r w:rsidRPr="003F5872">
        <w:rPr>
          <w:snapToGrid w:val="0"/>
          <w:kern w:val="22"/>
          <w:szCs w:val="22"/>
          <w:lang w:val="fr-FR"/>
        </w:rPr>
        <w:t xml:space="preserve">à </w:t>
      </w:r>
      <w:r>
        <w:rPr>
          <w:snapToGrid w:val="0"/>
          <w:kern w:val="22"/>
          <w:szCs w:val="22"/>
          <w:lang w:val="fr-FR"/>
        </w:rPr>
        <w:t>appuyer</w:t>
      </w:r>
      <w:r w:rsidRPr="003F5872">
        <w:rPr>
          <w:snapToGrid w:val="0"/>
          <w:kern w:val="22"/>
          <w:szCs w:val="22"/>
          <w:lang w:val="fr-FR"/>
        </w:rPr>
        <w:t xml:space="preserve"> la mise en œuvre du cadre mondial de la biodiversité </w:t>
      </w:r>
      <w:r w:rsidR="00324C6C">
        <w:rPr>
          <w:snapToGrid w:val="0"/>
          <w:kern w:val="22"/>
          <w:szCs w:val="22"/>
          <w:lang w:val="fr-FR"/>
        </w:rPr>
        <w:t>de Kunming-Montréal</w:t>
      </w:r>
      <w:r w:rsidRPr="003F5872">
        <w:rPr>
          <w:snapToGrid w:val="0"/>
          <w:kern w:val="22"/>
          <w:szCs w:val="22"/>
          <w:lang w:val="fr-FR"/>
        </w:rPr>
        <w:t xml:space="preserve"> en ce qui concerne la biodiversité marine et côtière et à contribuer au suivi et à l'établissement de rapports sur la mise en œuvre du cadre, le cas échéant</w:t>
      </w:r>
      <w:r w:rsidR="00994799">
        <w:rPr>
          <w:snapToGrid w:val="0"/>
          <w:kern w:val="22"/>
          <w:szCs w:val="22"/>
          <w:lang w:val="fr-FR"/>
        </w:rPr>
        <w:t> </w:t>
      </w:r>
      <w:r w:rsidR="00D637D3">
        <w:rPr>
          <w:snapToGrid w:val="0"/>
          <w:kern w:val="22"/>
          <w:szCs w:val="22"/>
          <w:lang w:val="fr-FR"/>
        </w:rPr>
        <w:t>;</w:t>
      </w:r>
    </w:p>
    <w:p w14:paraId="5A89654C" w14:textId="284D7D69"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10.</w:t>
      </w:r>
      <w:r w:rsidRPr="003F5872">
        <w:rPr>
          <w:snapToGrid w:val="0"/>
          <w:kern w:val="22"/>
          <w:szCs w:val="22"/>
          <w:lang w:val="fr-FR"/>
        </w:rPr>
        <w:tab/>
      </w:r>
      <w:r w:rsidRPr="003F5872">
        <w:rPr>
          <w:i/>
          <w:iCs/>
          <w:snapToGrid w:val="0"/>
          <w:kern w:val="22"/>
          <w:szCs w:val="22"/>
          <w:lang w:val="fr-FR"/>
        </w:rPr>
        <w:t xml:space="preserve">Note </w:t>
      </w:r>
      <w:r w:rsidRPr="003F5872">
        <w:rPr>
          <w:snapToGrid w:val="0"/>
          <w:kern w:val="22"/>
          <w:szCs w:val="22"/>
          <w:lang w:val="fr-FR"/>
        </w:rPr>
        <w:t>le rôle de l'Organisation des Nations Unies pour l'alimentation et l'agriculture en tant qu'organe mondial de mise en œuvre dans le domaine de la pêche et, reconnaissant le travail accompli pour intégrer la biodiversité dans le secteur de la pêche à l'échelle mondiale, en particulier pour faciliter la mise en œuvre de l'</w:t>
      </w:r>
      <w:r w:rsidR="006D0D58">
        <w:rPr>
          <w:snapToGrid w:val="0"/>
          <w:kern w:val="22"/>
          <w:szCs w:val="22"/>
          <w:lang w:val="fr-FR"/>
        </w:rPr>
        <w:t>Objectif d’Aichi</w:t>
      </w:r>
      <w:r w:rsidRPr="003F5872">
        <w:rPr>
          <w:snapToGrid w:val="0"/>
          <w:kern w:val="22"/>
          <w:szCs w:val="22"/>
          <w:lang w:val="fr-FR"/>
        </w:rPr>
        <w:t xml:space="preserve"> 6 sur la pêche durable, </w:t>
      </w:r>
      <w:r>
        <w:rPr>
          <w:snapToGrid w:val="0"/>
          <w:kern w:val="22"/>
          <w:szCs w:val="22"/>
          <w:lang w:val="fr-FR"/>
        </w:rPr>
        <w:t xml:space="preserve">et </w:t>
      </w:r>
      <w:r w:rsidRPr="003F5872">
        <w:rPr>
          <w:i/>
          <w:iCs/>
          <w:snapToGrid w:val="0"/>
          <w:kern w:val="22"/>
          <w:szCs w:val="22"/>
          <w:lang w:val="fr-FR"/>
        </w:rPr>
        <w:t xml:space="preserve">invite </w:t>
      </w:r>
      <w:r w:rsidRPr="003F5872">
        <w:rPr>
          <w:snapToGrid w:val="0"/>
          <w:kern w:val="22"/>
          <w:szCs w:val="22"/>
          <w:lang w:val="fr-FR"/>
        </w:rPr>
        <w:t>l'Organisation des Nations Unies pour l'alimentation et l'agriculture à en</w:t>
      </w:r>
      <w:r w:rsidR="00CE0594">
        <w:rPr>
          <w:snapToGrid w:val="0"/>
          <w:kern w:val="22"/>
          <w:szCs w:val="22"/>
          <w:lang w:val="fr-FR"/>
        </w:rPr>
        <w:t>visager d'élaborer du matériel</w:t>
      </w:r>
      <w:r w:rsidRPr="003F5872">
        <w:rPr>
          <w:snapToGrid w:val="0"/>
          <w:kern w:val="22"/>
          <w:szCs w:val="22"/>
          <w:lang w:val="fr-FR"/>
        </w:rPr>
        <w:t xml:space="preserve"> d'orientation</w:t>
      </w:r>
      <w:r w:rsidR="00CE0594">
        <w:rPr>
          <w:snapToGrid w:val="0"/>
          <w:kern w:val="22"/>
          <w:szCs w:val="22"/>
          <w:lang w:val="fr-FR"/>
        </w:rPr>
        <w:t>, à réaliser</w:t>
      </w:r>
      <w:r w:rsidR="006D0D58">
        <w:rPr>
          <w:snapToGrid w:val="0"/>
          <w:kern w:val="22"/>
          <w:szCs w:val="22"/>
          <w:lang w:val="fr-FR"/>
        </w:rPr>
        <w:t xml:space="preserve"> des programmes de renforcement des capacités périodiques, à fournir un appui technique et à faciliter un transfert de technologique, afin de promouvoir et de </w:t>
      </w:r>
      <w:r w:rsidRPr="003F5872">
        <w:rPr>
          <w:snapToGrid w:val="0"/>
          <w:kern w:val="22"/>
          <w:szCs w:val="22"/>
          <w:lang w:val="fr-FR"/>
        </w:rPr>
        <w:t xml:space="preserve">faciliter la mise en œuvre du cadre mondial de la biodiversité </w:t>
      </w:r>
      <w:r w:rsidR="00324C6C">
        <w:rPr>
          <w:snapToGrid w:val="0"/>
          <w:kern w:val="22"/>
          <w:szCs w:val="22"/>
          <w:lang w:val="fr-FR"/>
        </w:rPr>
        <w:t>de Kunming-Montréal</w:t>
      </w:r>
      <w:r w:rsidRPr="003F5872">
        <w:rPr>
          <w:snapToGrid w:val="0"/>
          <w:kern w:val="22"/>
          <w:szCs w:val="22"/>
          <w:lang w:val="fr-FR"/>
        </w:rPr>
        <w:t xml:space="preserve"> en ce qui concerne la</w:t>
      </w:r>
      <w:r w:rsidR="006D0D58">
        <w:rPr>
          <w:snapToGrid w:val="0"/>
          <w:kern w:val="22"/>
          <w:szCs w:val="22"/>
          <w:lang w:val="fr-FR"/>
        </w:rPr>
        <w:t xml:space="preserve"> pêche dans ses pays membres</w:t>
      </w:r>
      <w:r w:rsidR="00994799">
        <w:rPr>
          <w:snapToGrid w:val="0"/>
          <w:kern w:val="22"/>
          <w:szCs w:val="22"/>
          <w:lang w:val="fr-FR"/>
        </w:rPr>
        <w:t xml:space="preserve"> </w:t>
      </w:r>
      <w:r w:rsidR="00D637D3">
        <w:rPr>
          <w:snapToGrid w:val="0"/>
          <w:kern w:val="22"/>
          <w:szCs w:val="22"/>
          <w:lang w:val="fr-FR"/>
        </w:rPr>
        <w:t>;</w:t>
      </w:r>
    </w:p>
    <w:p w14:paraId="640003BA" w14:textId="47AEC555"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11.</w:t>
      </w:r>
      <w:r w:rsidRPr="003F5872">
        <w:rPr>
          <w:snapToGrid w:val="0"/>
          <w:kern w:val="22"/>
          <w:szCs w:val="22"/>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iCs/>
          <w:snapToGrid w:val="0"/>
          <w:kern w:val="22"/>
          <w:szCs w:val="22"/>
          <w:lang w:val="fr-FR"/>
        </w:rPr>
        <w:t xml:space="preserve">invite les </w:t>
      </w:r>
      <w:r w:rsidRPr="003F5872">
        <w:rPr>
          <w:snapToGrid w:val="0"/>
          <w:kern w:val="22"/>
          <w:szCs w:val="22"/>
          <w:lang w:val="fr-FR"/>
        </w:rPr>
        <w:t xml:space="preserve">autres Gouvernements participant à la Conférence intergouvernementale sur un instrument international juridiquement contraignant dans le cadre de la Convention des Nations Unies sur le droit de la mer </w:t>
      </w:r>
      <w:r w:rsidR="00C80E97">
        <w:rPr>
          <w:snapToGrid w:val="0"/>
          <w:kern w:val="22"/>
          <w:szCs w:val="22"/>
          <w:lang w:val="fr-FR"/>
        </w:rPr>
        <w:t>relatif à</w:t>
      </w:r>
      <w:r w:rsidRPr="003F5872">
        <w:rPr>
          <w:snapToGrid w:val="0"/>
          <w:kern w:val="22"/>
          <w:szCs w:val="22"/>
          <w:lang w:val="fr-FR"/>
        </w:rPr>
        <w:t xml:space="preserve"> la conservation et l'utilisation durable de la diversité biologique marine des zones situées au-delà d</w:t>
      </w:r>
      <w:r w:rsidR="00CE0594">
        <w:rPr>
          <w:snapToGrid w:val="0"/>
          <w:kern w:val="22"/>
          <w:szCs w:val="22"/>
          <w:lang w:val="fr-FR"/>
        </w:rPr>
        <w:t>e la juridiction nationale</w:t>
      </w:r>
      <w:r w:rsidR="00C80E97">
        <w:rPr>
          <w:snapToGrid w:val="0"/>
          <w:kern w:val="22"/>
          <w:szCs w:val="22"/>
          <w:lang w:val="fr-FR"/>
        </w:rPr>
        <w:t>, à prendre en compte le</w:t>
      </w:r>
      <w:r w:rsidRPr="003F5872">
        <w:rPr>
          <w:snapToGrid w:val="0"/>
          <w:kern w:val="22"/>
          <w:szCs w:val="22"/>
          <w:lang w:val="fr-FR"/>
        </w:rPr>
        <w:t xml:space="preserve"> cadre mondial de la biodiversité </w:t>
      </w:r>
      <w:r w:rsidR="00324C6C">
        <w:rPr>
          <w:snapToGrid w:val="0"/>
          <w:kern w:val="22"/>
          <w:szCs w:val="22"/>
          <w:lang w:val="fr-FR"/>
        </w:rPr>
        <w:t>de Kunming-Montréal</w:t>
      </w:r>
      <w:r w:rsidR="00CE0594">
        <w:rPr>
          <w:snapToGrid w:val="0"/>
          <w:kern w:val="22"/>
          <w:szCs w:val="22"/>
          <w:lang w:val="fr-FR"/>
        </w:rPr>
        <w:t xml:space="preserve"> dans ses négociations, selon qu’il convient</w:t>
      </w:r>
      <w:r w:rsidR="00994799">
        <w:rPr>
          <w:snapToGrid w:val="0"/>
          <w:kern w:val="22"/>
          <w:szCs w:val="22"/>
          <w:lang w:val="fr-FR"/>
        </w:rPr>
        <w:t xml:space="preserve"> </w:t>
      </w:r>
      <w:r w:rsidR="00D637D3">
        <w:rPr>
          <w:snapToGrid w:val="0"/>
          <w:kern w:val="22"/>
          <w:szCs w:val="22"/>
          <w:lang w:val="fr-FR"/>
        </w:rPr>
        <w:t>;</w:t>
      </w:r>
    </w:p>
    <w:p w14:paraId="6F9BDEB8" w14:textId="16D53A01"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12.</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la Secrétaire exécutive, lors de l'adoption d'un instrument international juridiquement contraignant au titre de la Convention des Nations Unies sur le droit de la mer</w:t>
      </w:r>
      <w:r w:rsidRPr="003F5872">
        <w:rPr>
          <w:rStyle w:val="Appelnotedebasdep"/>
          <w:rFonts w:eastAsiaTheme="majorEastAsia"/>
          <w:snapToGrid w:val="0"/>
          <w:kern w:val="22"/>
          <w:szCs w:val="22"/>
          <w:lang w:val="fr-FR"/>
        </w:rPr>
        <w:footnoteReference w:id="6"/>
      </w:r>
      <w:r w:rsidRPr="003F5872">
        <w:rPr>
          <w:snapToGrid w:val="0"/>
          <w:kern w:val="22"/>
          <w:szCs w:val="22"/>
          <w:lang w:val="fr-FR"/>
        </w:rPr>
        <w:t xml:space="preserve"> sur la conservation et l'utilisation durable de la biodiversité marine des zones situées au-delà de la juridiction nationale, </w:t>
      </w:r>
      <w:r>
        <w:rPr>
          <w:snapToGrid w:val="0"/>
          <w:kern w:val="22"/>
          <w:szCs w:val="22"/>
          <w:lang w:val="fr-FR"/>
        </w:rPr>
        <w:t xml:space="preserve">de recenser </w:t>
      </w:r>
      <w:r w:rsidRPr="003F5872">
        <w:rPr>
          <w:snapToGrid w:val="0"/>
          <w:kern w:val="22"/>
          <w:szCs w:val="22"/>
          <w:lang w:val="fr-FR"/>
        </w:rPr>
        <w:t xml:space="preserve">les modalités </w:t>
      </w:r>
      <w:r>
        <w:rPr>
          <w:snapToGrid w:val="0"/>
          <w:kern w:val="22"/>
          <w:szCs w:val="22"/>
          <w:lang w:val="fr-FR"/>
        </w:rPr>
        <w:t xml:space="preserve">possibles </w:t>
      </w:r>
      <w:r w:rsidRPr="003F5872">
        <w:rPr>
          <w:snapToGrid w:val="0"/>
          <w:kern w:val="22"/>
          <w:szCs w:val="22"/>
          <w:lang w:val="fr-FR"/>
        </w:rPr>
        <w:t>de collaboration et de coopération avec les organisations mondiales et régionales pertinentes dans le contexte de cet instrument</w:t>
      </w:r>
      <w:r w:rsidR="00994799">
        <w:rPr>
          <w:snapToGrid w:val="0"/>
          <w:kern w:val="22"/>
          <w:szCs w:val="22"/>
          <w:lang w:val="fr-FR"/>
        </w:rPr>
        <w:t xml:space="preserve"> </w:t>
      </w:r>
      <w:r w:rsidR="00D637D3">
        <w:rPr>
          <w:snapToGrid w:val="0"/>
          <w:kern w:val="22"/>
          <w:szCs w:val="22"/>
          <w:lang w:val="fr-FR"/>
        </w:rPr>
        <w:t>;</w:t>
      </w:r>
    </w:p>
    <w:p w14:paraId="49BC251D" w14:textId="0D1EEFF7" w:rsidR="00635FC1" w:rsidRPr="003F5872" w:rsidRDefault="00635FC1" w:rsidP="00635FC1">
      <w:pPr>
        <w:suppressLineNumbers/>
        <w:suppressAutoHyphens/>
        <w:kinsoku w:val="0"/>
        <w:overflowPunct w:val="0"/>
        <w:autoSpaceDE w:val="0"/>
        <w:autoSpaceDN w:val="0"/>
        <w:spacing w:before="120" w:after="120"/>
        <w:rPr>
          <w:snapToGrid w:val="0"/>
          <w:kern w:val="22"/>
          <w:szCs w:val="22"/>
          <w:lang w:val="fr-FR"/>
        </w:rPr>
      </w:pPr>
      <w:r w:rsidRPr="003F5872">
        <w:rPr>
          <w:snapToGrid w:val="0"/>
          <w:kern w:val="22"/>
          <w:szCs w:val="22"/>
          <w:lang w:val="fr-FR"/>
        </w:rPr>
        <w:lastRenderedPageBreak/>
        <w:tab/>
        <w:t>13.</w:t>
      </w:r>
      <w:r w:rsidRPr="003F5872">
        <w:rPr>
          <w:snapToGrid w:val="0"/>
          <w:kern w:val="22"/>
          <w:szCs w:val="22"/>
          <w:lang w:val="fr-FR"/>
        </w:rPr>
        <w:tab/>
      </w:r>
      <w:r w:rsidRPr="003F5872">
        <w:rPr>
          <w:i/>
          <w:iCs/>
          <w:snapToGrid w:val="0"/>
          <w:kern w:val="22"/>
          <w:szCs w:val="22"/>
          <w:lang w:val="fr-FR"/>
        </w:rPr>
        <w:t xml:space="preserve">Se félicite de </w:t>
      </w:r>
      <w:r w:rsidRPr="003F5872">
        <w:rPr>
          <w:snapToGrid w:val="0"/>
          <w:kern w:val="22"/>
          <w:szCs w:val="22"/>
          <w:lang w:val="fr-FR"/>
        </w:rPr>
        <w:t xml:space="preserve">la création, par l'Assemblée des Nations Unies pour l'environnement, d'un comité de négociation intergouvernemental chargé d'élaborer un instrument international juridiquement contraignant sur la pollution plastique, y compris dans l'environnement marin, et </w:t>
      </w:r>
      <w:r w:rsidRPr="003F5872">
        <w:rPr>
          <w:i/>
          <w:iCs/>
          <w:snapToGrid w:val="0"/>
          <w:kern w:val="22"/>
          <w:szCs w:val="22"/>
          <w:lang w:val="fr-FR"/>
        </w:rPr>
        <w:t xml:space="preserve">exhorte les </w:t>
      </w:r>
      <w:r w:rsidRPr="003F5872">
        <w:rPr>
          <w:snapToGrid w:val="0"/>
          <w:kern w:val="22"/>
          <w:szCs w:val="22"/>
          <w:lang w:val="fr-FR"/>
        </w:rPr>
        <w:t xml:space="preserve">Parties et </w:t>
      </w:r>
      <w:r w:rsidRPr="003F5872">
        <w:rPr>
          <w:i/>
          <w:iCs/>
          <w:snapToGrid w:val="0"/>
          <w:kern w:val="22"/>
          <w:szCs w:val="22"/>
          <w:lang w:val="fr-FR"/>
        </w:rPr>
        <w:t xml:space="preserve">invite </w:t>
      </w:r>
      <w:r w:rsidRPr="00C62635">
        <w:rPr>
          <w:iCs/>
          <w:snapToGrid w:val="0"/>
          <w:kern w:val="22"/>
          <w:szCs w:val="22"/>
          <w:lang w:val="fr-FR"/>
        </w:rPr>
        <w:t>les</w:t>
      </w:r>
      <w:r w:rsidRPr="003F5872">
        <w:rPr>
          <w:i/>
          <w:iCs/>
          <w:snapToGrid w:val="0"/>
          <w:kern w:val="22"/>
          <w:szCs w:val="22"/>
          <w:lang w:val="fr-FR"/>
        </w:rPr>
        <w:t xml:space="preserve"> </w:t>
      </w:r>
      <w:r w:rsidRPr="003F5872">
        <w:rPr>
          <w:snapToGrid w:val="0"/>
          <w:kern w:val="22"/>
          <w:szCs w:val="22"/>
          <w:lang w:val="fr-FR"/>
        </w:rPr>
        <w:t xml:space="preserve">autres Gouvernements à </w:t>
      </w:r>
      <w:r>
        <w:rPr>
          <w:snapToGrid w:val="0"/>
          <w:kern w:val="22"/>
          <w:szCs w:val="22"/>
          <w:lang w:val="fr-FR"/>
        </w:rPr>
        <w:t>appuyer</w:t>
      </w:r>
      <w:r w:rsidRPr="003F5872">
        <w:rPr>
          <w:snapToGrid w:val="0"/>
          <w:kern w:val="22"/>
          <w:szCs w:val="22"/>
          <w:lang w:val="fr-FR"/>
        </w:rPr>
        <w:t xml:space="preserve"> les travaux menés dans</w:t>
      </w:r>
      <w:r w:rsidR="00F93219">
        <w:rPr>
          <w:snapToGrid w:val="0"/>
          <w:kern w:val="22"/>
          <w:szCs w:val="22"/>
          <w:lang w:val="fr-FR"/>
        </w:rPr>
        <w:t xml:space="preserve"> le cadre de ce processus pour </w:t>
      </w:r>
      <w:r w:rsidRPr="003F5872">
        <w:rPr>
          <w:snapToGrid w:val="0"/>
          <w:kern w:val="22"/>
          <w:szCs w:val="22"/>
          <w:lang w:val="fr-FR"/>
        </w:rPr>
        <w:t>élaborer un instrument internatio</w:t>
      </w:r>
      <w:r w:rsidR="00F93219">
        <w:rPr>
          <w:snapToGrid w:val="0"/>
          <w:kern w:val="22"/>
          <w:szCs w:val="22"/>
          <w:lang w:val="fr-FR"/>
        </w:rPr>
        <w:t>nal juridiquement contraignant ambitieux</w:t>
      </w:r>
      <w:r w:rsidRPr="003F5872">
        <w:rPr>
          <w:snapToGrid w:val="0"/>
          <w:kern w:val="22"/>
          <w:szCs w:val="22"/>
          <w:lang w:val="fr-FR"/>
        </w:rPr>
        <w:t xml:space="preserve"> sur la pollution plastique qui tienne compte du cycl</w:t>
      </w:r>
      <w:r w:rsidR="00F93219">
        <w:rPr>
          <w:snapToGrid w:val="0"/>
          <w:kern w:val="22"/>
          <w:szCs w:val="22"/>
          <w:lang w:val="fr-FR"/>
        </w:rPr>
        <w:t>e de vie complet des plastiques</w:t>
      </w:r>
      <w:r w:rsidR="00994799">
        <w:rPr>
          <w:snapToGrid w:val="0"/>
          <w:kern w:val="22"/>
          <w:szCs w:val="22"/>
          <w:lang w:val="fr-FR"/>
        </w:rPr>
        <w:t xml:space="preserve"> </w:t>
      </w:r>
      <w:r w:rsidR="00D637D3">
        <w:rPr>
          <w:snapToGrid w:val="0"/>
          <w:kern w:val="22"/>
          <w:szCs w:val="22"/>
          <w:lang w:val="fr-FR"/>
        </w:rPr>
        <w:t>;</w:t>
      </w:r>
      <w:r w:rsidRPr="003F5872">
        <w:rPr>
          <w:snapToGrid w:val="0"/>
          <w:kern w:val="22"/>
          <w:szCs w:val="22"/>
          <w:lang w:val="fr-FR"/>
        </w:rPr>
        <w:t xml:space="preserve"> </w:t>
      </w:r>
    </w:p>
    <w:p w14:paraId="51E8B582" w14:textId="76E881A9" w:rsidR="00635FC1" w:rsidRPr="003F5872" w:rsidRDefault="00635FC1" w:rsidP="00635FC1">
      <w:pPr>
        <w:suppressLineNumbers/>
        <w:suppressAutoHyphens/>
        <w:kinsoku w:val="0"/>
        <w:overflowPunct w:val="0"/>
        <w:autoSpaceDE w:val="0"/>
        <w:autoSpaceDN w:val="0"/>
        <w:spacing w:before="120" w:after="120"/>
        <w:rPr>
          <w:snapToGrid w:val="0"/>
          <w:kern w:val="22"/>
          <w:szCs w:val="22"/>
          <w:lang w:val="fr-FR"/>
        </w:rPr>
      </w:pPr>
      <w:r w:rsidRPr="003F5872">
        <w:rPr>
          <w:snapToGrid w:val="0"/>
          <w:kern w:val="22"/>
          <w:szCs w:val="22"/>
          <w:lang w:val="fr-FR"/>
        </w:rPr>
        <w:tab/>
        <w:t>14</w:t>
      </w:r>
      <w:r w:rsidRPr="003F5872">
        <w:rPr>
          <w:lang w:val="fr-FR"/>
        </w:rPr>
        <w:t xml:space="preserve">. </w:t>
      </w:r>
      <w:r w:rsidRPr="003F5872">
        <w:rPr>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iCs/>
          <w:snapToGrid w:val="0"/>
          <w:kern w:val="22"/>
          <w:szCs w:val="22"/>
          <w:lang w:val="fr-FR"/>
        </w:rPr>
        <w:t xml:space="preserve">invite les </w:t>
      </w:r>
      <w:r w:rsidRPr="003F5872">
        <w:rPr>
          <w:snapToGrid w:val="0"/>
          <w:kern w:val="22"/>
          <w:szCs w:val="22"/>
          <w:lang w:val="fr-FR"/>
        </w:rPr>
        <w:t xml:space="preserve">autres Gouvernements ainsi que les </w:t>
      </w:r>
      <w:r w:rsidR="00324C6C">
        <w:rPr>
          <w:snapToGrid w:val="0"/>
          <w:kern w:val="22"/>
          <w:szCs w:val="22"/>
          <w:lang w:val="fr-FR"/>
        </w:rPr>
        <w:t xml:space="preserve">peuples </w:t>
      </w:r>
      <w:r w:rsidRPr="003F5872">
        <w:rPr>
          <w:snapToGrid w:val="0"/>
          <w:kern w:val="22"/>
          <w:szCs w:val="22"/>
          <w:lang w:val="fr-FR"/>
        </w:rPr>
        <w:t xml:space="preserve">autochtones </w:t>
      </w:r>
      <w:r w:rsidR="00324C6C">
        <w:rPr>
          <w:snapToGrid w:val="0"/>
          <w:kern w:val="22"/>
          <w:szCs w:val="22"/>
          <w:lang w:val="fr-FR"/>
        </w:rPr>
        <w:t>et les</w:t>
      </w:r>
      <w:r w:rsidRPr="003F5872">
        <w:rPr>
          <w:snapToGrid w:val="0"/>
          <w:kern w:val="22"/>
          <w:szCs w:val="22"/>
          <w:lang w:val="fr-FR"/>
        </w:rPr>
        <w:t xml:space="preserve"> </w:t>
      </w:r>
      <w:r w:rsidR="00324C6C" w:rsidRPr="003F5872">
        <w:rPr>
          <w:snapToGrid w:val="0"/>
          <w:kern w:val="22"/>
          <w:szCs w:val="22"/>
          <w:lang w:val="fr-FR"/>
        </w:rPr>
        <w:t xml:space="preserve">communautés </w:t>
      </w:r>
      <w:r w:rsidRPr="003F5872">
        <w:rPr>
          <w:snapToGrid w:val="0"/>
          <w:kern w:val="22"/>
          <w:szCs w:val="22"/>
          <w:lang w:val="fr-FR"/>
        </w:rPr>
        <w:t xml:space="preserve">locales </w:t>
      </w:r>
      <w:r w:rsidR="00324C6C">
        <w:rPr>
          <w:snapToGrid w:val="0"/>
          <w:kern w:val="22"/>
          <w:szCs w:val="22"/>
          <w:lang w:val="fr-FR"/>
        </w:rPr>
        <w:t>et</w:t>
      </w:r>
      <w:r w:rsidRPr="003F5872">
        <w:rPr>
          <w:snapToGrid w:val="0"/>
          <w:kern w:val="22"/>
          <w:szCs w:val="22"/>
          <w:lang w:val="fr-FR"/>
        </w:rPr>
        <w:t xml:space="preserve"> les autres parties prenantes concernées, à prendre des mesures, selon les besoins et dans le cadre de leurs compétences, et conformément aux lois nationales et internationales, pour éviter, minimiser et atténuer les impacts négatifs significatifs potentiels du bruit sous-marin anthropique sur la biodiversité marine et côtière</w:t>
      </w:r>
      <w:r w:rsidR="00994799">
        <w:rPr>
          <w:snapToGrid w:val="0"/>
          <w:kern w:val="22"/>
          <w:szCs w:val="22"/>
          <w:lang w:val="fr-FR"/>
        </w:rPr>
        <w:t xml:space="preserve"> </w:t>
      </w:r>
      <w:r w:rsidR="00D637D3">
        <w:rPr>
          <w:snapToGrid w:val="0"/>
          <w:kern w:val="22"/>
          <w:szCs w:val="22"/>
          <w:lang w:val="fr-FR"/>
        </w:rPr>
        <w:t>;</w:t>
      </w:r>
    </w:p>
    <w:p w14:paraId="67880C3F" w14:textId="50C333AB"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15.</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 xml:space="preserve">la Secrétaire exécutive, </w:t>
      </w:r>
      <w:r w:rsidRPr="003F5872">
        <w:rPr>
          <w:rStyle w:val="normaltextrun"/>
          <w:rFonts w:eastAsiaTheme="majorEastAsia"/>
          <w:szCs w:val="22"/>
          <w:lang w:val="fr-FR"/>
        </w:rPr>
        <w:t xml:space="preserve">sous réserve de la disponibilité des ressources, </w:t>
      </w:r>
      <w:r w:rsidRPr="003F5872">
        <w:rPr>
          <w:snapToGrid w:val="0"/>
          <w:kern w:val="22"/>
          <w:szCs w:val="22"/>
          <w:lang w:val="fr-FR"/>
        </w:rPr>
        <w:t xml:space="preserve">d'appuyer la mise en œuvre de la planification de l'espace marin </w:t>
      </w:r>
      <w:r w:rsidRPr="003F5872">
        <w:rPr>
          <w:szCs w:val="22"/>
          <w:lang w:val="fr-FR"/>
        </w:rPr>
        <w:t>et de la gestion intégrée des zones côtières</w:t>
      </w:r>
      <w:r w:rsidRPr="003F5872">
        <w:rPr>
          <w:snapToGrid w:val="0"/>
          <w:kern w:val="22"/>
          <w:szCs w:val="22"/>
          <w:lang w:val="fr-FR"/>
        </w:rPr>
        <w:t xml:space="preserve">, notamment </w:t>
      </w:r>
      <w:r>
        <w:rPr>
          <w:snapToGrid w:val="0"/>
          <w:kern w:val="22"/>
          <w:szCs w:val="22"/>
          <w:lang w:val="fr-FR"/>
        </w:rPr>
        <w:t>au moyen</w:t>
      </w:r>
      <w:r w:rsidRPr="003F5872">
        <w:rPr>
          <w:snapToGrid w:val="0"/>
          <w:kern w:val="22"/>
          <w:szCs w:val="22"/>
          <w:lang w:val="fr-FR"/>
        </w:rPr>
        <w:t xml:space="preserve"> d'activités de renforcement des capacités, d'assistance technique, de transfert de technologie et de partenariat dans le cadre, entre autres, de l'Initiative pour un océan durable et d'autres initiatives pertinentes, en collaboration avec les Parties, les autres Gouvernements, les </w:t>
      </w:r>
      <w:r w:rsidRPr="003F5872">
        <w:rPr>
          <w:rStyle w:val="normaltextrun"/>
          <w:rFonts w:eastAsiaTheme="majorEastAsia"/>
          <w:szCs w:val="22"/>
          <w:lang w:val="fr-FR"/>
        </w:rPr>
        <w:t xml:space="preserve">peuples autochtones </w:t>
      </w:r>
      <w:r w:rsidRPr="003F5872">
        <w:rPr>
          <w:rStyle w:val="normaltextrun"/>
          <w:rFonts w:eastAsiaTheme="majorEastAsia"/>
          <w:lang w:val="fr-FR"/>
        </w:rPr>
        <w:t xml:space="preserve">et les </w:t>
      </w:r>
      <w:r w:rsidRPr="003F5872">
        <w:rPr>
          <w:rStyle w:val="normaltextrun"/>
          <w:rFonts w:eastAsiaTheme="majorEastAsia"/>
          <w:szCs w:val="22"/>
          <w:lang w:val="fr-FR"/>
        </w:rPr>
        <w:t xml:space="preserve">communautés locales en tant que détenteurs de droits, conformément à la </w:t>
      </w:r>
      <w:r w:rsidRPr="003F5872">
        <w:rPr>
          <w:snapToGrid w:val="0"/>
          <w:kern w:val="22"/>
          <w:szCs w:val="22"/>
          <w:lang w:val="fr-FR"/>
        </w:rPr>
        <w:t xml:space="preserve">Déclaration des Nations Unies sur les droits des peuples autochtones </w:t>
      </w:r>
      <w:r w:rsidRPr="003F5872">
        <w:rPr>
          <w:rStyle w:val="normaltextrun"/>
          <w:rFonts w:eastAsiaTheme="majorEastAsia"/>
          <w:szCs w:val="22"/>
          <w:lang w:val="fr-FR"/>
        </w:rPr>
        <w:t>et au droit international des droits de l'homme</w:t>
      </w:r>
      <w:r w:rsidRPr="003F5872">
        <w:rPr>
          <w:snapToGrid w:val="0"/>
          <w:kern w:val="22"/>
          <w:szCs w:val="22"/>
          <w:lang w:val="fr-FR"/>
        </w:rPr>
        <w:t xml:space="preserve">, </w:t>
      </w:r>
      <w:r>
        <w:rPr>
          <w:snapToGrid w:val="0"/>
          <w:kern w:val="22"/>
          <w:szCs w:val="22"/>
          <w:lang w:val="fr-FR"/>
        </w:rPr>
        <w:t>ainsi qu’avec l</w:t>
      </w:r>
      <w:r w:rsidRPr="003F5872">
        <w:rPr>
          <w:snapToGrid w:val="0"/>
          <w:kern w:val="22"/>
          <w:szCs w:val="22"/>
          <w:lang w:val="fr-FR"/>
        </w:rPr>
        <w:t xml:space="preserve">es organisations pertinentes </w:t>
      </w:r>
      <w:r w:rsidRPr="003F5872">
        <w:rPr>
          <w:rStyle w:val="normaltextrun"/>
          <w:rFonts w:eastAsiaTheme="majorEastAsia"/>
          <w:szCs w:val="22"/>
          <w:lang w:val="fr-FR"/>
        </w:rPr>
        <w:t>et les autres parties prenantes, y compris les femmes et les jeunes</w:t>
      </w:r>
      <w:r w:rsidR="00994799">
        <w:rPr>
          <w:rStyle w:val="normaltextrun"/>
          <w:rFonts w:eastAsiaTheme="majorEastAsia"/>
          <w:szCs w:val="22"/>
          <w:lang w:val="fr-FR"/>
        </w:rPr>
        <w:t xml:space="preserve"> </w:t>
      </w:r>
      <w:r w:rsidR="00D637D3">
        <w:rPr>
          <w:rStyle w:val="normaltextrun"/>
          <w:rFonts w:eastAsiaTheme="majorEastAsia"/>
          <w:szCs w:val="22"/>
          <w:lang w:val="fr-FR"/>
        </w:rPr>
        <w:t>;</w:t>
      </w:r>
    </w:p>
    <w:p w14:paraId="694ACCCA" w14:textId="6BA209F3" w:rsidR="00635FC1" w:rsidRPr="00324C6C" w:rsidRDefault="00635FC1" w:rsidP="00324C6C">
      <w:pPr>
        <w:suppressLineNumbers/>
        <w:suppressAutoHyphens/>
        <w:kinsoku w:val="0"/>
        <w:overflowPunct w:val="0"/>
        <w:autoSpaceDE w:val="0"/>
        <w:autoSpaceDN w:val="0"/>
        <w:spacing w:before="120" w:after="120"/>
        <w:ind w:firstLine="720"/>
        <w:rPr>
          <w:color w:val="000000"/>
          <w:szCs w:val="22"/>
          <w:lang w:val="fr-FR"/>
        </w:rPr>
      </w:pPr>
      <w:r w:rsidRPr="003F5872">
        <w:rPr>
          <w:color w:val="000000"/>
          <w:szCs w:val="22"/>
          <w:lang w:val="fr-FR"/>
        </w:rPr>
        <w:t>16.</w:t>
      </w:r>
      <w:r w:rsidRPr="003F5872">
        <w:rPr>
          <w:rStyle w:val="apple-converted-space"/>
          <w:color w:val="000000"/>
          <w:szCs w:val="22"/>
          <w:lang w:val="fr-FR"/>
        </w:rPr>
        <w:tab/>
      </w:r>
      <w:r w:rsidRPr="003F5872">
        <w:rPr>
          <w:i/>
          <w:iCs/>
          <w:color w:val="000000"/>
          <w:szCs w:val="22"/>
          <w:lang w:val="fr-FR"/>
        </w:rPr>
        <w:t xml:space="preserve">Encourage les </w:t>
      </w:r>
      <w:r w:rsidRPr="003F5872">
        <w:rPr>
          <w:color w:val="000000"/>
          <w:szCs w:val="22"/>
          <w:lang w:val="fr-FR"/>
        </w:rPr>
        <w:t xml:space="preserve">Parties et </w:t>
      </w:r>
      <w:r w:rsidRPr="003F5872">
        <w:rPr>
          <w:i/>
          <w:iCs/>
          <w:color w:val="000000"/>
          <w:szCs w:val="22"/>
          <w:lang w:val="fr-FR"/>
        </w:rPr>
        <w:t xml:space="preserve">invite les </w:t>
      </w:r>
      <w:r w:rsidRPr="003F5872">
        <w:rPr>
          <w:color w:val="000000"/>
          <w:szCs w:val="22"/>
          <w:lang w:val="fr-FR"/>
        </w:rPr>
        <w:t xml:space="preserve">autres Gouvernements à veiller à ce que, avant </w:t>
      </w:r>
      <w:r>
        <w:rPr>
          <w:color w:val="000000"/>
          <w:szCs w:val="22"/>
          <w:lang w:val="fr-FR"/>
        </w:rPr>
        <w:t>toute</w:t>
      </w:r>
      <w:r w:rsidRPr="003F5872">
        <w:rPr>
          <w:color w:val="000000"/>
          <w:szCs w:val="22"/>
          <w:lang w:val="fr-FR"/>
        </w:rPr>
        <w:t xml:space="preserve"> activité d'exploitation minière des grands fonds marins, </w:t>
      </w:r>
      <w:r>
        <w:rPr>
          <w:color w:val="000000"/>
          <w:szCs w:val="22"/>
          <w:lang w:val="fr-FR"/>
        </w:rPr>
        <w:t>des études d’</w:t>
      </w:r>
      <w:r w:rsidRPr="003F5872">
        <w:rPr>
          <w:color w:val="000000"/>
          <w:szCs w:val="22"/>
          <w:lang w:val="fr-FR"/>
        </w:rPr>
        <w:t>impact</w:t>
      </w:r>
      <w:r>
        <w:rPr>
          <w:color w:val="000000"/>
          <w:szCs w:val="22"/>
          <w:lang w:val="fr-FR"/>
        </w:rPr>
        <w:t xml:space="preserve"> </w:t>
      </w:r>
      <w:r w:rsidRPr="003F5872">
        <w:rPr>
          <w:color w:val="000000"/>
          <w:szCs w:val="22"/>
          <w:lang w:val="fr-FR"/>
        </w:rPr>
        <w:t xml:space="preserve">sur l'environnement marin et la biodiversité </w:t>
      </w:r>
      <w:r>
        <w:rPr>
          <w:color w:val="000000"/>
          <w:szCs w:val="22"/>
          <w:lang w:val="fr-FR"/>
        </w:rPr>
        <w:t xml:space="preserve">appropriées aient été réalisées, </w:t>
      </w:r>
      <w:r w:rsidRPr="003F5872">
        <w:rPr>
          <w:color w:val="000000"/>
          <w:szCs w:val="22"/>
          <w:lang w:val="fr-FR"/>
        </w:rPr>
        <w:t>les risques soient compris, les technologies et les pratiques opérationnelles n'aient pas d'effets nuisibles sur l'environnement marin et la biodiversité, et</w:t>
      </w:r>
      <w:r>
        <w:rPr>
          <w:color w:val="000000"/>
          <w:szCs w:val="22"/>
          <w:lang w:val="fr-FR"/>
        </w:rPr>
        <w:t xml:space="preserve"> à ce que </w:t>
      </w:r>
      <w:r w:rsidRPr="003F5872">
        <w:rPr>
          <w:color w:val="000000"/>
          <w:szCs w:val="22"/>
          <w:lang w:val="fr-FR"/>
        </w:rPr>
        <w:t xml:space="preserve">des règles, réglementations et procédures appropriées </w:t>
      </w:r>
      <w:r>
        <w:rPr>
          <w:color w:val="000000"/>
          <w:szCs w:val="22"/>
          <w:lang w:val="fr-FR"/>
        </w:rPr>
        <w:t>soient</w:t>
      </w:r>
      <w:r w:rsidRPr="003F5872">
        <w:rPr>
          <w:color w:val="000000"/>
          <w:szCs w:val="22"/>
          <w:lang w:val="fr-FR"/>
        </w:rPr>
        <w:t xml:space="preserve"> mises en place par l'Autorité internationale des fonds marins, conformément aux meilleures connaissances scientifiques disponibles, aux connaissances traditionnelles des peuples autochtones et des communautés locales, </w:t>
      </w:r>
      <w:r>
        <w:rPr>
          <w:color w:val="000000"/>
          <w:szCs w:val="22"/>
          <w:lang w:val="fr-FR"/>
        </w:rPr>
        <w:t>en ayant obtenu</w:t>
      </w:r>
      <w:r w:rsidRPr="003F5872">
        <w:rPr>
          <w:color w:val="000000"/>
          <w:szCs w:val="22"/>
          <w:lang w:val="fr-FR"/>
        </w:rPr>
        <w:t xml:space="preserve"> leur consentement libre, préalable et éclairé, </w:t>
      </w:r>
      <w:r w:rsidR="00324C6C">
        <w:rPr>
          <w:color w:val="000000"/>
          <w:szCs w:val="22"/>
          <w:lang w:val="fr-FR"/>
        </w:rPr>
        <w:t>en respectant le</w:t>
      </w:r>
      <w:r>
        <w:rPr>
          <w:color w:val="000000"/>
          <w:szCs w:val="22"/>
          <w:lang w:val="fr-FR"/>
        </w:rPr>
        <w:t xml:space="preserve"> principe </w:t>
      </w:r>
      <w:r w:rsidRPr="003F5872">
        <w:rPr>
          <w:color w:val="000000"/>
          <w:szCs w:val="22"/>
          <w:lang w:val="fr-FR"/>
        </w:rPr>
        <w:t>de précaution et l'approche écosystémique</w:t>
      </w:r>
      <w:r w:rsidR="00324C6C">
        <w:rPr>
          <w:color w:val="000000"/>
          <w:szCs w:val="22"/>
          <w:lang w:val="fr-FR"/>
        </w:rPr>
        <w:t xml:space="preserve"> et d’une manière</w:t>
      </w:r>
      <w:r w:rsidRPr="003F5872">
        <w:rPr>
          <w:color w:val="000000"/>
          <w:szCs w:val="22"/>
          <w:lang w:val="fr-FR"/>
        </w:rPr>
        <w:t xml:space="preserve"> </w:t>
      </w:r>
      <w:r w:rsidR="00324C6C">
        <w:rPr>
          <w:color w:val="000000"/>
          <w:szCs w:val="22"/>
          <w:lang w:val="fr-FR"/>
        </w:rPr>
        <w:t>conforme</w:t>
      </w:r>
      <w:r w:rsidRPr="003F5872">
        <w:rPr>
          <w:color w:val="000000"/>
          <w:szCs w:val="22"/>
          <w:lang w:val="fr-FR"/>
        </w:rPr>
        <w:t xml:space="preserve"> </w:t>
      </w:r>
      <w:r>
        <w:rPr>
          <w:color w:val="000000"/>
          <w:szCs w:val="22"/>
          <w:lang w:val="fr-FR"/>
        </w:rPr>
        <w:t xml:space="preserve">à </w:t>
      </w:r>
      <w:r w:rsidRPr="003F5872">
        <w:rPr>
          <w:color w:val="000000"/>
          <w:szCs w:val="22"/>
          <w:lang w:val="fr-FR"/>
        </w:rPr>
        <w:t>la Convention des Nations Unies sur le droit de la mer et aux autres lois internationales pertinentes</w:t>
      </w:r>
      <w:r w:rsidR="00994799">
        <w:rPr>
          <w:color w:val="000000"/>
          <w:szCs w:val="22"/>
          <w:lang w:val="fr-FR"/>
        </w:rPr>
        <w:t xml:space="preserve"> </w:t>
      </w:r>
      <w:r w:rsidR="00D637D3">
        <w:rPr>
          <w:color w:val="000000"/>
          <w:szCs w:val="22"/>
          <w:lang w:val="fr-FR"/>
        </w:rPr>
        <w:t>;</w:t>
      </w:r>
    </w:p>
    <w:p w14:paraId="759F3D8B" w14:textId="42649F85"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17.</w:t>
      </w:r>
      <w:r w:rsidRPr="003F5872">
        <w:rPr>
          <w:snapToGrid w:val="0"/>
          <w:kern w:val="22"/>
          <w:szCs w:val="22"/>
          <w:lang w:val="fr-FR"/>
        </w:rPr>
        <w:tab/>
      </w:r>
      <w:r w:rsidRPr="003F5872">
        <w:rPr>
          <w:i/>
          <w:iCs/>
          <w:snapToGrid w:val="0"/>
          <w:kern w:val="22"/>
          <w:szCs w:val="22"/>
          <w:lang w:val="fr-FR"/>
        </w:rPr>
        <w:t xml:space="preserve">Se félicite de </w:t>
      </w:r>
      <w:r w:rsidRPr="003F5872">
        <w:rPr>
          <w:snapToGrid w:val="0"/>
          <w:kern w:val="22"/>
          <w:szCs w:val="22"/>
          <w:lang w:val="fr-FR"/>
        </w:rPr>
        <w:t xml:space="preserve">la coopération entre l'Organisation des Nations Unies pour l'alimentation et l'agriculture, l'Union internationale pour la conservation de la nature et le </w:t>
      </w:r>
      <w:r>
        <w:rPr>
          <w:snapToGrid w:val="0"/>
          <w:kern w:val="22"/>
          <w:szCs w:val="22"/>
          <w:lang w:val="fr-FR"/>
        </w:rPr>
        <w:t>s</w:t>
      </w:r>
      <w:r w:rsidRPr="003F5872">
        <w:rPr>
          <w:snapToGrid w:val="0"/>
          <w:kern w:val="22"/>
          <w:szCs w:val="22"/>
          <w:lang w:val="fr-FR"/>
        </w:rPr>
        <w:t xml:space="preserve">ecrétariat de la Convention sur la diversité biologique </w:t>
      </w:r>
      <w:r>
        <w:rPr>
          <w:snapToGrid w:val="0"/>
          <w:kern w:val="22"/>
          <w:szCs w:val="22"/>
          <w:lang w:val="fr-FR"/>
        </w:rPr>
        <w:t>en vue d’appuyer</w:t>
      </w:r>
      <w:r w:rsidRPr="003F5872">
        <w:rPr>
          <w:snapToGrid w:val="0"/>
          <w:kern w:val="22"/>
          <w:szCs w:val="22"/>
          <w:lang w:val="fr-FR"/>
        </w:rPr>
        <w:t xml:space="preserve"> les efforts visant à intégrer la conservation et l'utilisation durable de la biodiversité dans les pêches et l'aquaculture, et </w:t>
      </w:r>
      <w:r w:rsidRPr="003F5872">
        <w:rPr>
          <w:i/>
          <w:kern w:val="22"/>
          <w:lang w:val="fr-FR"/>
        </w:rPr>
        <w:t xml:space="preserve">demande </w:t>
      </w:r>
      <w:r w:rsidRPr="00C62635">
        <w:rPr>
          <w:kern w:val="22"/>
          <w:lang w:val="fr-FR"/>
        </w:rPr>
        <w:t xml:space="preserve">à la Secrétaire </w:t>
      </w:r>
      <w:r w:rsidRPr="00C62635">
        <w:rPr>
          <w:snapToGrid w:val="0"/>
          <w:kern w:val="22"/>
          <w:szCs w:val="22"/>
          <w:lang w:val="fr-FR"/>
        </w:rPr>
        <w:t>exécutif</w:t>
      </w:r>
      <w:r w:rsidRPr="003F5872">
        <w:rPr>
          <w:snapToGrid w:val="0"/>
          <w:kern w:val="22"/>
          <w:szCs w:val="22"/>
          <w:lang w:val="fr-FR"/>
        </w:rPr>
        <w:t xml:space="preserve"> de poursuivre cette coopération de manière ouverte et transparente, en s'appuyant sur les orientations et les conseils contenus dans la décision 14/8, les résultats de la réunion d'experts sur les autres mesures de conservation efficaces par zone dans le secteur de la pêche de capture marine</w:t>
      </w:r>
      <w:r w:rsidR="00390393">
        <w:rPr>
          <w:rStyle w:val="Appelnotedebasdep"/>
          <w:snapToGrid w:val="0"/>
          <w:kern w:val="22"/>
          <w:szCs w:val="22"/>
        </w:rPr>
        <w:footnoteReference w:id="7"/>
      </w:r>
      <w:r w:rsidRPr="003F5872">
        <w:rPr>
          <w:snapToGrid w:val="0"/>
          <w:kern w:val="22"/>
          <w:szCs w:val="22"/>
          <w:lang w:val="fr-FR"/>
        </w:rPr>
        <w:t xml:space="preserve"> et les lignes directrices </w:t>
      </w:r>
      <w:r w:rsidR="00324C6C" w:rsidRPr="00324C6C">
        <w:rPr>
          <w:snapToGrid w:val="0"/>
          <w:kern w:val="22"/>
          <w:szCs w:val="22"/>
          <w:lang w:val="fr-FR"/>
        </w:rPr>
        <w:t>de l'Union internationale pour la conservation de la nature</w:t>
      </w:r>
      <w:r w:rsidRPr="003F5872">
        <w:rPr>
          <w:snapToGrid w:val="0"/>
          <w:kern w:val="22"/>
          <w:szCs w:val="22"/>
          <w:lang w:val="fr-FR"/>
        </w:rPr>
        <w:t xml:space="preserve"> </w:t>
      </w:r>
      <w:r>
        <w:rPr>
          <w:snapToGrid w:val="0"/>
          <w:kern w:val="22"/>
          <w:szCs w:val="22"/>
          <w:lang w:val="fr-FR"/>
        </w:rPr>
        <w:t>intitulées</w:t>
      </w:r>
      <w:r w:rsidRPr="003F5872">
        <w:rPr>
          <w:snapToGrid w:val="0"/>
          <w:kern w:val="22"/>
          <w:szCs w:val="22"/>
          <w:lang w:val="fr-FR"/>
        </w:rPr>
        <w:t xml:space="preserve"> </w:t>
      </w:r>
      <w:r>
        <w:rPr>
          <w:snapToGrid w:val="0"/>
          <w:kern w:val="22"/>
          <w:szCs w:val="22"/>
          <w:lang w:val="fr-FR"/>
        </w:rPr>
        <w:t>« </w:t>
      </w:r>
      <w:r w:rsidRPr="00C62635">
        <w:rPr>
          <w:snapToGrid w:val="0"/>
          <w:kern w:val="22"/>
          <w:szCs w:val="22"/>
          <w:lang w:val="fr-FR"/>
        </w:rPr>
        <w:t>Reconnaissance et signalement des autres mesures de conservation efficaces par zone</w:t>
      </w:r>
      <w:r>
        <w:rPr>
          <w:snapToGrid w:val="0"/>
          <w:kern w:val="22"/>
          <w:szCs w:val="22"/>
          <w:lang w:val="fr-FR"/>
        </w:rPr>
        <w:t> »</w:t>
      </w:r>
      <w:r w:rsidR="00324C6C" w:rsidRPr="00324C6C">
        <w:rPr>
          <w:rStyle w:val="Appelnotedebasdep"/>
          <w:snapToGrid w:val="0"/>
          <w:kern w:val="22"/>
          <w:szCs w:val="22"/>
          <w:lang w:val="fr-FR"/>
        </w:rPr>
        <w:t xml:space="preserve"> </w:t>
      </w:r>
      <w:r w:rsidR="00324C6C" w:rsidRPr="00FE65D2">
        <w:rPr>
          <w:rStyle w:val="Appelnotedebasdep"/>
          <w:snapToGrid w:val="0"/>
          <w:kern w:val="22"/>
          <w:szCs w:val="22"/>
        </w:rPr>
        <w:footnoteReference w:id="8"/>
      </w:r>
      <w:r w:rsidRPr="003F5872">
        <w:rPr>
          <w:snapToGrid w:val="0"/>
          <w:kern w:val="22"/>
          <w:szCs w:val="22"/>
          <w:lang w:val="fr-FR"/>
        </w:rPr>
        <w:t xml:space="preserve">, y compris </w:t>
      </w:r>
      <w:r>
        <w:rPr>
          <w:snapToGrid w:val="0"/>
          <w:kern w:val="22"/>
          <w:szCs w:val="22"/>
          <w:lang w:val="fr-FR"/>
        </w:rPr>
        <w:t xml:space="preserve">en vue de </w:t>
      </w:r>
      <w:r w:rsidRPr="003F5872">
        <w:rPr>
          <w:snapToGrid w:val="0"/>
          <w:kern w:val="22"/>
          <w:szCs w:val="22"/>
          <w:lang w:val="fr-FR"/>
        </w:rPr>
        <w:t xml:space="preserve"> l'élaboration de directives volontaires sur l'identification et l'application d'autres mesures de conservation efficaces par zone</w:t>
      </w:r>
      <w:r>
        <w:rPr>
          <w:snapToGrid w:val="0"/>
          <w:kern w:val="22"/>
          <w:szCs w:val="22"/>
          <w:lang w:val="fr-FR"/>
        </w:rPr>
        <w:t xml:space="preserve"> </w:t>
      </w:r>
      <w:r w:rsidRPr="003F5872">
        <w:rPr>
          <w:snapToGrid w:val="0"/>
          <w:kern w:val="22"/>
          <w:szCs w:val="22"/>
          <w:lang w:val="fr-FR"/>
        </w:rPr>
        <w:t>dans les pêcheries, en collaboration avec l'Organisation des Nations Unies pour l'alimentation et l'agriculture</w:t>
      </w:r>
      <w:r w:rsidR="00994799">
        <w:rPr>
          <w:snapToGrid w:val="0"/>
          <w:kern w:val="22"/>
          <w:szCs w:val="22"/>
          <w:lang w:val="fr-FR"/>
        </w:rPr>
        <w:t xml:space="preserve"> </w:t>
      </w:r>
      <w:r w:rsidR="00D637D3">
        <w:rPr>
          <w:snapToGrid w:val="0"/>
          <w:kern w:val="22"/>
          <w:szCs w:val="22"/>
          <w:lang w:val="fr-FR"/>
        </w:rPr>
        <w:t>;</w:t>
      </w:r>
    </w:p>
    <w:p w14:paraId="7908E75E" w14:textId="29488F0E" w:rsidR="00635FC1" w:rsidRPr="003F5872" w:rsidRDefault="00635FC1" w:rsidP="00635FC1">
      <w:pPr>
        <w:pStyle w:val="paragraph"/>
        <w:spacing w:before="0" w:beforeAutospacing="0" w:after="0" w:afterAutospacing="0"/>
        <w:ind w:firstLine="720"/>
        <w:jc w:val="both"/>
        <w:textAlignment w:val="baseline"/>
        <w:rPr>
          <w:rFonts w:eastAsiaTheme="majorEastAsia"/>
          <w:szCs w:val="22"/>
          <w:lang w:val="fr-FR"/>
        </w:rPr>
      </w:pPr>
      <w:r w:rsidRPr="003F5872">
        <w:rPr>
          <w:rStyle w:val="normaltextrun"/>
          <w:rFonts w:eastAsiaTheme="majorEastAsia"/>
          <w:sz w:val="22"/>
          <w:szCs w:val="22"/>
          <w:lang w:val="fr-FR"/>
        </w:rPr>
        <w:t xml:space="preserve">18. </w:t>
      </w:r>
      <w:r w:rsidRPr="003F5872">
        <w:rPr>
          <w:rStyle w:val="normaltextrun"/>
          <w:rFonts w:eastAsiaTheme="majorEastAsia"/>
          <w:sz w:val="22"/>
          <w:szCs w:val="22"/>
          <w:lang w:val="fr-FR"/>
        </w:rPr>
        <w:tab/>
      </w:r>
      <w:r w:rsidRPr="003F5872">
        <w:rPr>
          <w:rStyle w:val="normaltextrun"/>
          <w:rFonts w:eastAsiaTheme="majorEastAsia"/>
          <w:i/>
          <w:sz w:val="22"/>
          <w:szCs w:val="22"/>
          <w:lang w:val="fr-FR"/>
        </w:rPr>
        <w:t xml:space="preserve">Prie </w:t>
      </w:r>
      <w:r w:rsidRPr="003F5872">
        <w:rPr>
          <w:rStyle w:val="normaltextrun"/>
          <w:rFonts w:eastAsiaTheme="majorEastAsia"/>
          <w:sz w:val="22"/>
          <w:szCs w:val="22"/>
          <w:lang w:val="fr-FR"/>
        </w:rPr>
        <w:t xml:space="preserve">la Secrétaire exécutive, en collaboration avec les organisations compétentes, </w:t>
      </w:r>
      <w:r>
        <w:rPr>
          <w:rStyle w:val="normaltextrun"/>
          <w:rFonts w:eastAsiaTheme="majorEastAsia"/>
          <w:sz w:val="22"/>
          <w:szCs w:val="22"/>
          <w:lang w:val="fr-FR"/>
        </w:rPr>
        <w:t>de recueillir et de synthétiser</w:t>
      </w:r>
      <w:r w:rsidRPr="003F5872">
        <w:rPr>
          <w:rStyle w:val="normaltextrun"/>
          <w:rFonts w:eastAsiaTheme="majorEastAsia"/>
          <w:sz w:val="22"/>
          <w:szCs w:val="22"/>
          <w:lang w:val="fr-FR"/>
        </w:rPr>
        <w:t xml:space="preserve"> des informations </w:t>
      </w:r>
      <w:r>
        <w:rPr>
          <w:rStyle w:val="normaltextrun"/>
          <w:rFonts w:eastAsiaTheme="majorEastAsia"/>
          <w:sz w:val="22"/>
          <w:szCs w:val="22"/>
          <w:lang w:val="fr-FR"/>
        </w:rPr>
        <w:t>concernant</w:t>
      </w:r>
      <w:r w:rsidRPr="003F5872">
        <w:rPr>
          <w:rStyle w:val="normaltextrun"/>
          <w:rFonts w:eastAsiaTheme="majorEastAsia"/>
          <w:sz w:val="22"/>
          <w:szCs w:val="22"/>
          <w:lang w:val="fr-FR"/>
        </w:rPr>
        <w:t xml:space="preserve"> les </w:t>
      </w:r>
      <w:r>
        <w:rPr>
          <w:rStyle w:val="normaltextrun"/>
          <w:rFonts w:eastAsiaTheme="majorEastAsia"/>
          <w:sz w:val="22"/>
          <w:szCs w:val="22"/>
          <w:lang w:val="fr-FR"/>
        </w:rPr>
        <w:t>mesures prises</w:t>
      </w:r>
      <w:r w:rsidRPr="003F5872">
        <w:rPr>
          <w:rStyle w:val="normaltextrun"/>
          <w:rFonts w:eastAsiaTheme="majorEastAsia"/>
          <w:sz w:val="22"/>
          <w:szCs w:val="22"/>
          <w:lang w:val="fr-FR"/>
        </w:rPr>
        <w:t xml:space="preserve"> </w:t>
      </w:r>
      <w:r>
        <w:rPr>
          <w:rStyle w:val="normaltextrun"/>
          <w:rFonts w:eastAsiaTheme="majorEastAsia"/>
          <w:sz w:val="22"/>
          <w:szCs w:val="22"/>
          <w:lang w:val="fr-FR"/>
        </w:rPr>
        <w:t>en vue du recensement et de la notification</w:t>
      </w:r>
      <w:r w:rsidRPr="003F5872">
        <w:rPr>
          <w:rStyle w:val="normaltextrun"/>
          <w:rFonts w:eastAsiaTheme="majorEastAsia"/>
          <w:sz w:val="22"/>
          <w:szCs w:val="22"/>
          <w:lang w:val="fr-FR"/>
        </w:rPr>
        <w:t xml:space="preserve"> d'autres mesures efficaces de conservation par zone </w:t>
      </w:r>
      <w:r>
        <w:rPr>
          <w:rStyle w:val="normaltextrun"/>
          <w:rFonts w:eastAsiaTheme="majorEastAsia"/>
          <w:sz w:val="22"/>
          <w:szCs w:val="22"/>
          <w:lang w:val="fr-FR"/>
        </w:rPr>
        <w:t>ainsi que</w:t>
      </w:r>
      <w:r w:rsidRPr="003F5872">
        <w:rPr>
          <w:rStyle w:val="normaltextrun"/>
          <w:rFonts w:eastAsiaTheme="majorEastAsia"/>
          <w:sz w:val="22"/>
          <w:szCs w:val="22"/>
          <w:lang w:val="fr-FR"/>
        </w:rPr>
        <w:t xml:space="preserve"> </w:t>
      </w:r>
      <w:r>
        <w:rPr>
          <w:rStyle w:val="normaltextrun"/>
          <w:rFonts w:eastAsiaTheme="majorEastAsia"/>
          <w:sz w:val="22"/>
          <w:szCs w:val="22"/>
          <w:lang w:val="fr-FR"/>
        </w:rPr>
        <w:t>de</w:t>
      </w:r>
      <w:r w:rsidRPr="003F5872">
        <w:rPr>
          <w:rStyle w:val="normaltextrun"/>
          <w:rFonts w:eastAsiaTheme="majorEastAsia"/>
          <w:sz w:val="22"/>
          <w:szCs w:val="22"/>
          <w:lang w:val="fr-FR"/>
        </w:rPr>
        <w:t xml:space="preserve"> la création et </w:t>
      </w:r>
      <w:r>
        <w:rPr>
          <w:rStyle w:val="normaltextrun"/>
          <w:rFonts w:eastAsiaTheme="majorEastAsia"/>
          <w:sz w:val="22"/>
          <w:szCs w:val="22"/>
          <w:lang w:val="fr-FR"/>
        </w:rPr>
        <w:t xml:space="preserve">de </w:t>
      </w:r>
      <w:r w:rsidRPr="003F5872">
        <w:rPr>
          <w:rStyle w:val="normaltextrun"/>
          <w:rFonts w:eastAsiaTheme="majorEastAsia"/>
          <w:sz w:val="22"/>
          <w:szCs w:val="22"/>
          <w:lang w:val="fr-FR"/>
        </w:rPr>
        <w:t>la gestion de zones marines protégées et d'autres mesures efficaces de conservation par zone dans les zones marines et côtières</w:t>
      </w:r>
      <w:r w:rsidR="00994799">
        <w:rPr>
          <w:rStyle w:val="normaltextrun"/>
          <w:rFonts w:eastAsiaTheme="majorEastAsia"/>
          <w:sz w:val="22"/>
          <w:szCs w:val="22"/>
          <w:lang w:val="fr-FR"/>
        </w:rPr>
        <w:t xml:space="preserve"> </w:t>
      </w:r>
      <w:r w:rsidR="00D637D3">
        <w:rPr>
          <w:rStyle w:val="normaltextrun"/>
          <w:rFonts w:eastAsiaTheme="majorEastAsia"/>
          <w:sz w:val="22"/>
          <w:szCs w:val="22"/>
          <w:lang w:val="fr-FR"/>
        </w:rPr>
        <w:t>;</w:t>
      </w:r>
      <w:r w:rsidRPr="003F5872">
        <w:rPr>
          <w:rStyle w:val="normaltextrun"/>
          <w:rFonts w:eastAsiaTheme="majorEastAsia"/>
          <w:sz w:val="22"/>
          <w:szCs w:val="22"/>
          <w:lang w:val="fr-FR"/>
        </w:rPr>
        <w:t xml:space="preserve"> </w:t>
      </w:r>
    </w:p>
    <w:p w14:paraId="65A0F450" w14:textId="5FA4C87A"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lastRenderedPageBreak/>
        <w:t>19.</w:t>
      </w:r>
      <w:r w:rsidRPr="003F5872">
        <w:rPr>
          <w:i/>
          <w:snapToGrid w:val="0"/>
          <w:kern w:val="22"/>
          <w:szCs w:val="22"/>
          <w:lang w:val="fr-FR"/>
        </w:rPr>
        <w:tab/>
      </w:r>
      <w:r w:rsidRPr="003F5872">
        <w:rPr>
          <w:i/>
          <w:iCs/>
          <w:snapToGrid w:val="0"/>
          <w:kern w:val="22"/>
          <w:szCs w:val="22"/>
          <w:lang w:val="fr-FR"/>
        </w:rPr>
        <w:t xml:space="preserve">Se félicite </w:t>
      </w:r>
      <w:r w:rsidRPr="003F5872">
        <w:rPr>
          <w:snapToGrid w:val="0"/>
          <w:kern w:val="22"/>
          <w:szCs w:val="22"/>
          <w:lang w:val="fr-FR"/>
        </w:rPr>
        <w:t>des activités de renforcement des capacités, d</w:t>
      </w:r>
      <w:r>
        <w:rPr>
          <w:snapToGrid w:val="0"/>
          <w:kern w:val="22"/>
          <w:szCs w:val="22"/>
          <w:lang w:val="fr-FR"/>
        </w:rPr>
        <w:t xml:space="preserve">es </w:t>
      </w:r>
      <w:r w:rsidRPr="003F5872">
        <w:rPr>
          <w:snapToGrid w:val="0"/>
          <w:kern w:val="22"/>
          <w:szCs w:val="22"/>
          <w:lang w:val="fr-FR"/>
        </w:rPr>
        <w:t>échange d'expériences et d</w:t>
      </w:r>
      <w:r>
        <w:rPr>
          <w:snapToGrid w:val="0"/>
          <w:kern w:val="22"/>
          <w:szCs w:val="22"/>
          <w:lang w:val="fr-FR"/>
        </w:rPr>
        <w:t>es</w:t>
      </w:r>
      <w:r w:rsidRPr="003F5872">
        <w:rPr>
          <w:snapToGrid w:val="0"/>
          <w:kern w:val="22"/>
          <w:szCs w:val="22"/>
          <w:lang w:val="fr-FR"/>
        </w:rPr>
        <w:t xml:space="preserve"> partenariat</w:t>
      </w:r>
      <w:r>
        <w:rPr>
          <w:snapToGrid w:val="0"/>
          <w:kern w:val="22"/>
          <w:szCs w:val="22"/>
          <w:lang w:val="fr-FR"/>
        </w:rPr>
        <w:t>s</w:t>
      </w:r>
      <w:r w:rsidRPr="003F5872">
        <w:rPr>
          <w:snapToGrid w:val="0"/>
          <w:kern w:val="22"/>
          <w:szCs w:val="22"/>
          <w:lang w:val="fr-FR"/>
        </w:rPr>
        <w:t xml:space="preserve"> </w:t>
      </w:r>
      <w:r>
        <w:rPr>
          <w:snapToGrid w:val="0"/>
          <w:kern w:val="22"/>
          <w:szCs w:val="22"/>
          <w:lang w:val="fr-FR"/>
        </w:rPr>
        <w:t>auxquels a contribué</w:t>
      </w:r>
      <w:r w:rsidRPr="003F5872">
        <w:rPr>
          <w:snapToGrid w:val="0"/>
          <w:kern w:val="22"/>
          <w:szCs w:val="22"/>
          <w:lang w:val="fr-FR"/>
        </w:rPr>
        <w:t xml:space="preserve"> la Secrétaire exécutive, notamment dans le cadre de l'Initiative pour la viabilité des océans, aux niveaux national, régional et mondial, en collaboration avec les Parties, les autres Gouvernements, les gouvernements infranationaux, le cas échéant, les peuples autochtones et les communautés locales, les femmes, les jeunes et les organisations concernées, </w:t>
      </w:r>
      <w:r w:rsidRPr="003F5872">
        <w:rPr>
          <w:i/>
          <w:snapToGrid w:val="0"/>
          <w:kern w:val="22"/>
          <w:szCs w:val="22"/>
          <w:lang w:val="fr-FR"/>
        </w:rPr>
        <w:t xml:space="preserve">exprime sa gratitude </w:t>
      </w:r>
      <w:r w:rsidRPr="003F5872">
        <w:rPr>
          <w:snapToGrid w:val="0"/>
          <w:kern w:val="22"/>
          <w:szCs w:val="22"/>
          <w:lang w:val="fr-FR"/>
        </w:rPr>
        <w:t xml:space="preserve">aux pays donateurs et à de nombreux autres partenaires pour le soutien financier et technique apporté à la mise en œuvre des activités relevant de l'Initiative pour des océans durables, et </w:t>
      </w:r>
      <w:r w:rsidRPr="003F5872">
        <w:rPr>
          <w:i/>
          <w:kern w:val="22"/>
          <w:lang w:val="fr-FR"/>
        </w:rPr>
        <w:t xml:space="preserve">demande </w:t>
      </w:r>
      <w:r>
        <w:rPr>
          <w:snapToGrid w:val="0"/>
          <w:kern w:val="22"/>
          <w:szCs w:val="22"/>
          <w:lang w:val="fr-FR"/>
        </w:rPr>
        <w:t>à la</w:t>
      </w:r>
      <w:r w:rsidRPr="003F5872">
        <w:rPr>
          <w:snapToGrid w:val="0"/>
          <w:kern w:val="22"/>
          <w:szCs w:val="22"/>
          <w:lang w:val="fr-FR"/>
        </w:rPr>
        <w:t xml:space="preserve"> Secrétaire exécutive de continuer à faciliter les activités de renforcement des capacités dans le cadre de l'Initiative pour des océans durables afin de soutenir la mise en œuvre du cadre mondial de la biodiversité </w:t>
      </w:r>
      <w:r w:rsidR="00324C6C">
        <w:rPr>
          <w:snapToGrid w:val="0"/>
          <w:kern w:val="22"/>
          <w:szCs w:val="22"/>
          <w:lang w:val="fr-FR"/>
        </w:rPr>
        <w:t>de Kunming-Montréal</w:t>
      </w:r>
      <w:r w:rsidRPr="003F5872">
        <w:rPr>
          <w:snapToGrid w:val="0"/>
          <w:kern w:val="22"/>
          <w:szCs w:val="22"/>
          <w:lang w:val="fr-FR"/>
        </w:rPr>
        <w:t xml:space="preserve">, y compris son cadre de </w:t>
      </w:r>
      <w:r>
        <w:rPr>
          <w:snapToGrid w:val="0"/>
          <w:kern w:val="22"/>
          <w:szCs w:val="22"/>
          <w:lang w:val="fr-FR"/>
        </w:rPr>
        <w:t>suivi</w:t>
      </w:r>
      <w:r w:rsidRPr="003F5872">
        <w:rPr>
          <w:snapToGrid w:val="0"/>
          <w:kern w:val="22"/>
          <w:szCs w:val="22"/>
          <w:lang w:val="fr-FR"/>
        </w:rPr>
        <w:t>, en ce qui concerne la biodiversité marine, côtière et insulaire</w:t>
      </w:r>
      <w:r w:rsidR="00994799">
        <w:rPr>
          <w:snapToGrid w:val="0"/>
          <w:kern w:val="22"/>
          <w:szCs w:val="22"/>
          <w:lang w:val="fr-FR"/>
        </w:rPr>
        <w:t xml:space="preserve"> </w:t>
      </w:r>
      <w:r w:rsidR="00D637D3">
        <w:rPr>
          <w:snapToGrid w:val="0"/>
          <w:kern w:val="22"/>
          <w:szCs w:val="22"/>
          <w:lang w:val="fr-FR"/>
        </w:rPr>
        <w:t>;</w:t>
      </w:r>
    </w:p>
    <w:p w14:paraId="6AC981F1" w14:textId="01080430"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20.</w:t>
      </w:r>
      <w:r w:rsidRPr="003F5872">
        <w:rPr>
          <w:snapToGrid w:val="0"/>
          <w:kern w:val="22"/>
          <w:szCs w:val="22"/>
          <w:lang w:val="fr-FR"/>
        </w:rPr>
        <w:tab/>
      </w:r>
      <w:r w:rsidRPr="003F5872">
        <w:rPr>
          <w:i/>
          <w:snapToGrid w:val="0"/>
          <w:kern w:val="22"/>
          <w:szCs w:val="22"/>
          <w:lang w:val="fr-FR"/>
        </w:rPr>
        <w:t xml:space="preserve">Se félicite </w:t>
      </w:r>
      <w:r w:rsidR="00324C6C">
        <w:rPr>
          <w:i/>
          <w:snapToGrid w:val="0"/>
          <w:kern w:val="22"/>
          <w:szCs w:val="22"/>
          <w:lang w:val="fr-FR"/>
        </w:rPr>
        <w:t>également</w:t>
      </w:r>
      <w:r w:rsidRPr="003F5872">
        <w:rPr>
          <w:i/>
          <w:snapToGrid w:val="0"/>
          <w:kern w:val="22"/>
          <w:szCs w:val="22"/>
          <w:lang w:val="fr-FR"/>
        </w:rPr>
        <w:t xml:space="preserve"> </w:t>
      </w:r>
      <w:r>
        <w:rPr>
          <w:snapToGrid w:val="0"/>
          <w:kern w:val="22"/>
          <w:szCs w:val="22"/>
          <w:lang w:val="fr-FR"/>
        </w:rPr>
        <w:t xml:space="preserve">de la </w:t>
      </w:r>
      <w:r w:rsidRPr="003F5872">
        <w:rPr>
          <w:snapToGrid w:val="0"/>
          <w:kern w:val="22"/>
          <w:szCs w:val="22"/>
          <w:lang w:val="fr-FR"/>
        </w:rPr>
        <w:t xml:space="preserve">collaboration entre le </w:t>
      </w:r>
      <w:r w:rsidR="0001417F">
        <w:rPr>
          <w:snapToGrid w:val="0"/>
          <w:kern w:val="22"/>
          <w:szCs w:val="22"/>
          <w:lang w:val="fr-FR"/>
        </w:rPr>
        <w:t>s</w:t>
      </w:r>
      <w:r w:rsidRPr="003F5872">
        <w:rPr>
          <w:snapToGrid w:val="0"/>
          <w:kern w:val="22"/>
          <w:szCs w:val="22"/>
          <w:lang w:val="fr-FR"/>
        </w:rPr>
        <w:t>ecrétariat, le Programme des Nations Unies pour l'environnement, l'Organisation des Nations Unies pour l'alimentation et l'agriculture, l'</w:t>
      </w:r>
      <w:r w:rsidRPr="003F5872">
        <w:rPr>
          <w:bCs/>
          <w:snapToGrid w:val="0"/>
          <w:kern w:val="22"/>
          <w:szCs w:val="22"/>
          <w:lang w:val="fr-FR"/>
        </w:rPr>
        <w:t xml:space="preserve">Organisation maritime internationale, l'Autorité internationale des fonds marins, les </w:t>
      </w:r>
      <w:r w:rsidRPr="003F5872">
        <w:rPr>
          <w:snapToGrid w:val="0"/>
          <w:kern w:val="22"/>
          <w:szCs w:val="22"/>
          <w:lang w:val="fr-FR"/>
        </w:rPr>
        <w:t xml:space="preserve">conventions et plans d'action relatifs aux </w:t>
      </w:r>
      <w:r w:rsidRPr="003F5872">
        <w:rPr>
          <w:bCs/>
          <w:snapToGrid w:val="0"/>
          <w:kern w:val="22"/>
          <w:szCs w:val="22"/>
          <w:lang w:val="fr-FR"/>
        </w:rPr>
        <w:t>mers régionales</w:t>
      </w:r>
      <w:r w:rsidRPr="003F5872">
        <w:rPr>
          <w:snapToGrid w:val="0"/>
          <w:kern w:val="22"/>
          <w:szCs w:val="22"/>
          <w:lang w:val="fr-FR"/>
        </w:rPr>
        <w:t xml:space="preserve">, les organismes régionaux de pêche, les projets/programmes relatifs aux grands écosystèmes marins et d'autres initiatives régionales pertinentes visant à renforcer la coopération intersectorielle à l'échelle régionale et mondiale afin d'accélérer </w:t>
      </w:r>
      <w:r>
        <w:rPr>
          <w:snapToGrid w:val="0"/>
          <w:kern w:val="22"/>
          <w:szCs w:val="22"/>
          <w:lang w:val="fr-FR"/>
        </w:rPr>
        <w:t>la réalisation des</w:t>
      </w:r>
      <w:r w:rsidRPr="003F5872">
        <w:rPr>
          <w:snapToGrid w:val="0"/>
          <w:kern w:val="22"/>
          <w:szCs w:val="22"/>
          <w:lang w:val="fr-FR"/>
        </w:rPr>
        <w:t xml:space="preserve"> cibles d'Aichi en matière de biodiversité et </w:t>
      </w:r>
      <w:r>
        <w:rPr>
          <w:snapToGrid w:val="0"/>
          <w:kern w:val="22"/>
          <w:szCs w:val="22"/>
          <w:lang w:val="fr-FR"/>
        </w:rPr>
        <w:t>d</w:t>
      </w:r>
      <w:r w:rsidRPr="003F5872">
        <w:rPr>
          <w:snapToGrid w:val="0"/>
          <w:kern w:val="22"/>
          <w:szCs w:val="22"/>
          <w:lang w:val="fr-FR"/>
        </w:rPr>
        <w:t xml:space="preserve">es </w:t>
      </w:r>
      <w:r>
        <w:rPr>
          <w:snapToGrid w:val="0"/>
          <w:kern w:val="22"/>
          <w:szCs w:val="22"/>
          <w:lang w:val="fr-FR"/>
        </w:rPr>
        <w:t>o</w:t>
      </w:r>
      <w:r w:rsidRPr="003F5872">
        <w:rPr>
          <w:snapToGrid w:val="0"/>
          <w:kern w:val="22"/>
          <w:szCs w:val="22"/>
          <w:lang w:val="fr-FR"/>
        </w:rPr>
        <w:t xml:space="preserve">bjectifs de développement durable, notamment </w:t>
      </w:r>
      <w:r>
        <w:rPr>
          <w:snapToGrid w:val="0"/>
          <w:kern w:val="22"/>
          <w:szCs w:val="22"/>
          <w:lang w:val="fr-FR"/>
        </w:rPr>
        <w:t xml:space="preserve">dans le cadre </w:t>
      </w:r>
      <w:r w:rsidRPr="003F5872">
        <w:rPr>
          <w:snapToGrid w:val="0"/>
          <w:kern w:val="22"/>
          <w:szCs w:val="22"/>
          <w:lang w:val="fr-FR"/>
        </w:rPr>
        <w:t xml:space="preserve">du Dialogue mondial de l'Initiative pour un océan durable avec les organisations des mers régionales et les organismes régionaux de pêche, et </w:t>
      </w:r>
      <w:r w:rsidRPr="003F5872">
        <w:rPr>
          <w:i/>
          <w:kern w:val="22"/>
          <w:lang w:val="fr-FR"/>
        </w:rPr>
        <w:t xml:space="preserve">demande à la Secrétaire </w:t>
      </w:r>
      <w:r w:rsidRPr="003F5872">
        <w:rPr>
          <w:snapToGrid w:val="0"/>
          <w:kern w:val="22"/>
          <w:szCs w:val="22"/>
          <w:lang w:val="fr-FR"/>
        </w:rPr>
        <w:t xml:space="preserve">exécutive de poursuivre cette collaboration dans le contexte de la mise en œuvre du cadre mondial de la biodiversité </w:t>
      </w:r>
      <w:r w:rsidR="00324C6C">
        <w:rPr>
          <w:snapToGrid w:val="0"/>
          <w:kern w:val="22"/>
          <w:szCs w:val="22"/>
          <w:lang w:val="fr-FR"/>
        </w:rPr>
        <w:t>de Kunming-Montréal</w:t>
      </w:r>
      <w:r w:rsidR="00994799">
        <w:rPr>
          <w:snapToGrid w:val="0"/>
          <w:kern w:val="22"/>
          <w:szCs w:val="22"/>
          <w:lang w:val="fr-FR"/>
        </w:rPr>
        <w:t xml:space="preserve"> </w:t>
      </w:r>
      <w:r w:rsidR="00D637D3">
        <w:rPr>
          <w:snapToGrid w:val="0"/>
          <w:kern w:val="22"/>
          <w:szCs w:val="22"/>
          <w:lang w:val="fr-FR"/>
        </w:rPr>
        <w:t>;</w:t>
      </w:r>
    </w:p>
    <w:p w14:paraId="4F8AF56F" w14:textId="0EC77DEE" w:rsidR="00635FC1" w:rsidRPr="003F5872" w:rsidRDefault="00635FC1" w:rsidP="00635FC1">
      <w:pPr>
        <w:spacing w:before="120" w:after="120"/>
        <w:ind w:firstLine="720"/>
        <w:rPr>
          <w:snapToGrid w:val="0"/>
          <w:kern w:val="22"/>
          <w:szCs w:val="22"/>
          <w:lang w:val="fr-FR"/>
        </w:rPr>
      </w:pPr>
      <w:r w:rsidRPr="003F5872">
        <w:rPr>
          <w:snapToGrid w:val="0"/>
          <w:kern w:val="22"/>
          <w:szCs w:val="22"/>
          <w:lang w:val="fr-FR"/>
        </w:rPr>
        <w:t>21.</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la Secrétaire exécutive de renforcer la coopération et les synergies avec d'au</w:t>
      </w:r>
      <w:r w:rsidR="00D637D3">
        <w:rPr>
          <w:snapToGrid w:val="0"/>
          <w:kern w:val="22"/>
          <w:szCs w:val="22"/>
          <w:lang w:val="fr-FR"/>
        </w:rPr>
        <w:t xml:space="preserve">tres organisations mondiales et </w:t>
      </w:r>
      <w:r w:rsidRPr="003F5872">
        <w:rPr>
          <w:snapToGrid w:val="0"/>
          <w:kern w:val="22"/>
          <w:szCs w:val="22"/>
          <w:lang w:val="fr-FR"/>
        </w:rPr>
        <w:t>régionales, les peuples autochtones et les communautés locales en tant que détenteurs de droits conformément à la Déclaration des Nations Unies sur les droits des peuples autochtones et au droit international des droits de l'homme, les femmes et les jeunes, et d'autres parties prenantes en ce qui concerne diverses questions thématiques liées à la biodiversité marine et côtière, afin de sout</w:t>
      </w:r>
      <w:r w:rsidR="00D637D3">
        <w:rPr>
          <w:snapToGrid w:val="0"/>
          <w:kern w:val="22"/>
          <w:szCs w:val="22"/>
          <w:lang w:val="fr-FR"/>
        </w:rPr>
        <w:t>enir la mise en œuvre du Program</w:t>
      </w:r>
      <w:r w:rsidRPr="003F5872">
        <w:rPr>
          <w:snapToGrid w:val="0"/>
          <w:kern w:val="22"/>
          <w:szCs w:val="22"/>
          <w:lang w:val="fr-FR"/>
        </w:rPr>
        <w:t xml:space="preserve">me 2030 </w:t>
      </w:r>
      <w:r>
        <w:rPr>
          <w:snapToGrid w:val="0"/>
          <w:kern w:val="22"/>
          <w:szCs w:val="22"/>
          <w:lang w:val="fr-FR"/>
        </w:rPr>
        <w:t>de</w:t>
      </w:r>
      <w:r w:rsidRPr="003F5872">
        <w:rPr>
          <w:snapToGrid w:val="0"/>
          <w:kern w:val="22"/>
          <w:szCs w:val="22"/>
          <w:lang w:val="fr-FR"/>
        </w:rPr>
        <w:t xml:space="preserve"> développement durable</w:t>
      </w:r>
      <w:r w:rsidRPr="003F5872">
        <w:rPr>
          <w:rStyle w:val="Appelnotedebasdep"/>
          <w:rFonts w:eastAsiaTheme="majorEastAsia"/>
          <w:snapToGrid w:val="0"/>
          <w:kern w:val="22"/>
          <w:szCs w:val="22"/>
          <w:lang w:val="fr-FR"/>
        </w:rPr>
        <w:footnoteReference w:id="9"/>
      </w:r>
      <w:r w:rsidRPr="003F5872">
        <w:rPr>
          <w:snapToGrid w:val="0"/>
          <w:kern w:val="22"/>
          <w:szCs w:val="22"/>
          <w:lang w:val="fr-FR"/>
        </w:rPr>
        <w:t xml:space="preserve"> et la réalisation des objectifs de développement durable</w:t>
      </w:r>
      <w:r w:rsidRPr="003F5872">
        <w:rPr>
          <w:szCs w:val="22"/>
          <w:lang w:val="fr-FR"/>
        </w:rPr>
        <w:t>, et de renforcer la coopération et les synergies avec les efforts déployés dans le cadre de la Décennie des Nations Unies pour l'océanologie au service du développement durable</w:t>
      </w:r>
      <w:r w:rsidR="00994799">
        <w:rPr>
          <w:szCs w:val="22"/>
          <w:lang w:val="fr-FR"/>
        </w:rPr>
        <w:t xml:space="preserve"> </w:t>
      </w:r>
      <w:r w:rsidR="00D637D3">
        <w:rPr>
          <w:szCs w:val="22"/>
          <w:lang w:val="fr-FR"/>
        </w:rPr>
        <w:t>;</w:t>
      </w:r>
    </w:p>
    <w:p w14:paraId="24709CD8" w14:textId="144A4B19" w:rsidR="00F93219" w:rsidRPr="00324C6C" w:rsidRDefault="00635FC1" w:rsidP="00324C6C">
      <w:pPr>
        <w:pStyle w:val="Para1"/>
        <w:numPr>
          <w:ilvl w:val="0"/>
          <w:numId w:val="0"/>
        </w:numPr>
        <w:suppressLineNumbers/>
        <w:suppressAutoHyphens/>
        <w:kinsoku w:val="0"/>
        <w:overflowPunct w:val="0"/>
        <w:autoSpaceDE w:val="0"/>
        <w:autoSpaceDN w:val="0"/>
        <w:ind w:firstLine="720"/>
        <w:rPr>
          <w:rFonts w:eastAsiaTheme="majorEastAsia"/>
          <w:lang w:val="fr-FR"/>
        </w:rPr>
      </w:pPr>
      <w:r w:rsidRPr="003F5872">
        <w:rPr>
          <w:kern w:val="22"/>
          <w:szCs w:val="22"/>
          <w:lang w:val="fr-FR"/>
        </w:rPr>
        <w:t>22.</w:t>
      </w:r>
      <w:r w:rsidRPr="003F5872">
        <w:rPr>
          <w:kern w:val="22"/>
          <w:szCs w:val="22"/>
          <w:lang w:val="fr-FR"/>
        </w:rPr>
        <w:tab/>
      </w:r>
      <w:r>
        <w:rPr>
          <w:i/>
          <w:iCs/>
          <w:kern w:val="22"/>
          <w:szCs w:val="22"/>
          <w:lang w:val="fr-FR"/>
        </w:rPr>
        <w:t>P</w:t>
      </w:r>
      <w:r w:rsidRPr="003F5872">
        <w:rPr>
          <w:i/>
          <w:iCs/>
          <w:kern w:val="22"/>
          <w:szCs w:val="22"/>
          <w:lang w:val="fr-FR"/>
        </w:rPr>
        <w:t xml:space="preserve">rie également </w:t>
      </w:r>
      <w:r w:rsidRPr="003F5872">
        <w:rPr>
          <w:kern w:val="22"/>
          <w:szCs w:val="22"/>
          <w:lang w:val="fr-FR"/>
        </w:rPr>
        <w:t>la Secrétaire exécutive de renforcer la coopération et les synergies avec les organisations mondiales et régionales en ce qui concerne les changements climatiques et la biodiversité marine et côtière, notamment la Convention-cadre des Nations Unies sur les changements climatiques</w:t>
      </w:r>
      <w:r w:rsidRPr="003F5872">
        <w:rPr>
          <w:rStyle w:val="Appelnotedebasdep"/>
          <w:rFonts w:eastAsiaTheme="majorEastAsia"/>
          <w:kern w:val="22"/>
          <w:szCs w:val="22"/>
          <w:lang w:val="fr-FR"/>
        </w:rPr>
        <w:footnoteReference w:id="10"/>
      </w:r>
      <w:r w:rsidRPr="003F5872">
        <w:rPr>
          <w:kern w:val="22"/>
          <w:szCs w:val="22"/>
          <w:lang w:val="fr-FR"/>
        </w:rPr>
        <w:t xml:space="preserve"> et </w:t>
      </w:r>
      <w:r w:rsidRPr="003F5872">
        <w:rPr>
          <w:rStyle w:val="normaltextrun"/>
          <w:rFonts w:eastAsiaTheme="majorEastAsia"/>
          <w:szCs w:val="22"/>
          <w:lang w:val="fr-FR"/>
        </w:rPr>
        <w:t xml:space="preserve">la Commission océanographique intergouvernementale de </w:t>
      </w:r>
      <w:r w:rsidR="00324C6C" w:rsidRPr="00324C6C">
        <w:rPr>
          <w:rStyle w:val="normaltextrun"/>
          <w:rFonts w:eastAsiaTheme="majorEastAsia"/>
          <w:szCs w:val="22"/>
          <w:lang w:val="fr-FR"/>
        </w:rPr>
        <w:t>l'Organisation des Nations Unies pour l'éducation, la science et la culture</w:t>
      </w:r>
      <w:r w:rsidRPr="003F5872">
        <w:rPr>
          <w:rStyle w:val="normaltextrun"/>
          <w:rFonts w:eastAsiaTheme="majorEastAsia"/>
          <w:szCs w:val="22"/>
          <w:lang w:val="fr-FR"/>
        </w:rPr>
        <w:t>, dans le cadre de la Décennie des Nations Unies pour l'océanologie au service du développement durable</w:t>
      </w:r>
      <w:r w:rsidRPr="003F5872">
        <w:rPr>
          <w:kern w:val="22"/>
          <w:szCs w:val="22"/>
          <w:lang w:val="fr-FR"/>
        </w:rPr>
        <w:t xml:space="preserve">, </w:t>
      </w:r>
      <w:r w:rsidRPr="003F5872">
        <w:rPr>
          <w:iCs/>
          <w:szCs w:val="22"/>
          <w:lang w:val="fr-FR"/>
        </w:rPr>
        <w:t xml:space="preserve">en tenant compte </w:t>
      </w:r>
      <w:r w:rsidRPr="003F5872">
        <w:rPr>
          <w:szCs w:val="22"/>
          <w:lang w:val="fr-FR"/>
        </w:rPr>
        <w:t xml:space="preserve">du Pacte de Glasgow pour le climat </w:t>
      </w:r>
      <w:r w:rsidRPr="003F5872">
        <w:rPr>
          <w:kern w:val="22"/>
          <w:szCs w:val="22"/>
          <w:lang w:val="fr-FR"/>
        </w:rPr>
        <w:t xml:space="preserve">et en </w:t>
      </w:r>
      <w:r w:rsidRPr="003F5872">
        <w:rPr>
          <w:rStyle w:val="normaltextrun"/>
          <w:rFonts w:eastAsiaTheme="majorEastAsia"/>
          <w:szCs w:val="22"/>
          <w:lang w:val="fr-FR"/>
        </w:rPr>
        <w:t>notant que les solutions fondées sur la nature et</w:t>
      </w:r>
      <w:r w:rsidR="00324C6C">
        <w:rPr>
          <w:rStyle w:val="normaltextrun"/>
          <w:rFonts w:eastAsiaTheme="majorEastAsia"/>
          <w:szCs w:val="22"/>
          <w:lang w:val="fr-FR"/>
        </w:rPr>
        <w:t>/ou</w:t>
      </w:r>
      <w:r w:rsidRPr="003F5872">
        <w:rPr>
          <w:rStyle w:val="normaltextrun"/>
          <w:rFonts w:eastAsiaTheme="majorEastAsia"/>
          <w:szCs w:val="22"/>
          <w:lang w:val="fr-FR"/>
        </w:rPr>
        <w:t xml:space="preserve"> les approches fondées sur les écosystèmes, notamment </w:t>
      </w:r>
      <w:r>
        <w:rPr>
          <w:rStyle w:val="normaltextrun"/>
          <w:rFonts w:eastAsiaTheme="majorEastAsia"/>
          <w:szCs w:val="22"/>
          <w:lang w:val="fr-FR"/>
        </w:rPr>
        <w:t xml:space="preserve">les </w:t>
      </w:r>
      <w:r w:rsidRPr="003F5872">
        <w:rPr>
          <w:rStyle w:val="normaltextrun"/>
          <w:rFonts w:eastAsiaTheme="majorEastAsia"/>
          <w:szCs w:val="22"/>
          <w:lang w:val="fr-FR"/>
        </w:rPr>
        <w:t xml:space="preserve">aires marines protégées et d'autres mesures efficaces de conservation par zone, sont des éléments essentiels de la reconstruction et du renforcement de la résilience des écosystèmes marins et côtiers </w:t>
      </w:r>
      <w:r>
        <w:rPr>
          <w:rStyle w:val="normaltextrun"/>
          <w:rFonts w:eastAsiaTheme="majorEastAsia"/>
          <w:szCs w:val="22"/>
          <w:lang w:val="fr-FR"/>
        </w:rPr>
        <w:t xml:space="preserve">face </w:t>
      </w:r>
      <w:r w:rsidRPr="003F5872">
        <w:rPr>
          <w:rStyle w:val="normaltextrun"/>
          <w:rFonts w:eastAsiaTheme="majorEastAsia"/>
          <w:szCs w:val="22"/>
          <w:lang w:val="fr-FR"/>
        </w:rPr>
        <w:t xml:space="preserve">aux effets des changements </w:t>
      </w:r>
      <w:r w:rsidRPr="003F5872">
        <w:rPr>
          <w:rStyle w:val="normaltextrun"/>
          <w:rFonts w:eastAsiaTheme="majorEastAsia"/>
          <w:lang w:val="fr-FR"/>
        </w:rPr>
        <w:t>climatiques.</w:t>
      </w:r>
    </w:p>
    <w:p w14:paraId="2A8B8D2C" w14:textId="1B2A865C" w:rsidR="00635FC1" w:rsidRPr="00635FC1" w:rsidRDefault="00F93219" w:rsidP="00635FC1">
      <w:pPr>
        <w:jc w:val="center"/>
        <w:rPr>
          <w:lang w:val="en-AU"/>
        </w:rPr>
      </w:pPr>
      <w:r>
        <w:rPr>
          <w:lang w:val="en-AU"/>
        </w:rPr>
        <w:t>_____</w:t>
      </w:r>
      <w:r>
        <w:rPr>
          <w:lang w:val="en-AU"/>
        </w:rPr>
        <w:softHyphen/>
      </w:r>
      <w:r>
        <w:rPr>
          <w:lang w:val="en-AU"/>
        </w:rPr>
        <w:softHyphen/>
      </w:r>
      <w:r>
        <w:rPr>
          <w:lang w:val="en-AU"/>
        </w:rPr>
        <w:softHyphen/>
      </w:r>
      <w:r>
        <w:rPr>
          <w:lang w:val="en-AU"/>
        </w:rPr>
        <w:softHyphen/>
      </w:r>
      <w:r>
        <w:rPr>
          <w:lang w:val="en-AU"/>
        </w:rPr>
        <w:softHyphen/>
        <w:t>___</w:t>
      </w:r>
    </w:p>
    <w:p w14:paraId="46B3AAF9" w14:textId="77777777" w:rsidR="00635FC1" w:rsidRPr="00635FC1" w:rsidRDefault="00635FC1" w:rsidP="00635FC1">
      <w:pPr>
        <w:rPr>
          <w:lang w:val="en-AU"/>
        </w:rPr>
      </w:pPr>
    </w:p>
    <w:sectPr w:rsidR="00635FC1" w:rsidRPr="00635FC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0DD5" w14:textId="77777777" w:rsidR="00833D91" w:rsidRDefault="00833D91" w:rsidP="00CF1848">
      <w:r>
        <w:separator/>
      </w:r>
    </w:p>
  </w:endnote>
  <w:endnote w:type="continuationSeparator" w:id="0">
    <w:p w14:paraId="4763FD0F" w14:textId="77777777" w:rsidR="00833D91" w:rsidRDefault="00833D9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5BB2" w14:textId="77777777" w:rsidR="00833D91" w:rsidRDefault="00833D91" w:rsidP="00CF1848">
      <w:r>
        <w:separator/>
      </w:r>
    </w:p>
  </w:footnote>
  <w:footnote w:type="continuationSeparator" w:id="0">
    <w:p w14:paraId="1F6BB12E" w14:textId="77777777" w:rsidR="00833D91" w:rsidRDefault="00833D91" w:rsidP="00CF1848">
      <w:r>
        <w:continuationSeparator/>
      </w:r>
    </w:p>
  </w:footnote>
  <w:footnote w:id="1">
    <w:p w14:paraId="616B6A9B" w14:textId="39E6AD67" w:rsidR="00C744C7" w:rsidRPr="00C744C7" w:rsidRDefault="00C744C7" w:rsidP="00C744C7">
      <w:pPr>
        <w:pStyle w:val="Notedebasdepage"/>
        <w:ind w:firstLine="0"/>
        <w:rPr>
          <w:lang w:val="fr-FR"/>
        </w:rPr>
      </w:pPr>
      <w:r>
        <w:rPr>
          <w:rStyle w:val="Appelnotedebasdep"/>
        </w:rPr>
        <w:footnoteRef/>
      </w:r>
      <w:r w:rsidRPr="00C744C7">
        <w:rPr>
          <w:lang w:val="fr-FR"/>
        </w:rPr>
        <w:t xml:space="preserve"> </w:t>
      </w:r>
      <w:r>
        <w:rPr>
          <w:lang w:val="fr-FR"/>
        </w:rPr>
        <w:t>Principe 15 de la Déclaration de Rio sur l’environnement et le développement.</w:t>
      </w:r>
    </w:p>
  </w:footnote>
  <w:footnote w:id="2">
    <w:p w14:paraId="75B2F210" w14:textId="132E8937" w:rsidR="00635FC1" w:rsidRPr="00C370C7" w:rsidRDefault="00635FC1" w:rsidP="00635FC1">
      <w:pPr>
        <w:pStyle w:val="Notedebasdepage"/>
        <w:ind w:firstLine="0"/>
        <w:rPr>
          <w:lang w:val="fr-FR"/>
        </w:rPr>
      </w:pPr>
      <w:r w:rsidRPr="00C370C7">
        <w:rPr>
          <w:rStyle w:val="Appelnotedebasdep"/>
          <w:lang w:val="fr-FR"/>
        </w:rPr>
        <w:footnoteRef/>
      </w:r>
      <w:r w:rsidRPr="00C370C7">
        <w:rPr>
          <w:lang w:val="fr-FR"/>
        </w:rPr>
        <w:t xml:space="preserve"> Dans cette décision, </w:t>
      </w:r>
      <w:r>
        <w:rPr>
          <w:lang w:val="fr-FR"/>
        </w:rPr>
        <w:t>« </w:t>
      </w:r>
      <w:r w:rsidRPr="00C370C7">
        <w:rPr>
          <w:lang w:val="fr-FR"/>
        </w:rPr>
        <w:t>consentement libre, préalable et éclairé</w:t>
      </w:r>
      <w:r>
        <w:rPr>
          <w:lang w:val="fr-FR"/>
        </w:rPr>
        <w:t xml:space="preserve"> » s’entend </w:t>
      </w:r>
      <w:r w:rsidRPr="00C370C7">
        <w:rPr>
          <w:lang w:val="fr-FR"/>
        </w:rPr>
        <w:t>de</w:t>
      </w:r>
      <w:r>
        <w:rPr>
          <w:lang w:val="fr-FR"/>
        </w:rPr>
        <w:t xml:space="preserve"> </w:t>
      </w:r>
      <w:r w:rsidRPr="00C370C7">
        <w:rPr>
          <w:lang w:val="fr-FR"/>
        </w:rPr>
        <w:t xml:space="preserve">la terminologie tripartite : </w:t>
      </w:r>
      <w:r>
        <w:rPr>
          <w:lang w:val="fr-FR"/>
        </w:rPr>
        <w:t>« </w:t>
      </w:r>
      <w:r w:rsidRPr="00C370C7">
        <w:rPr>
          <w:lang w:val="fr-FR"/>
        </w:rPr>
        <w:t>consentement préalable et éclairé</w:t>
      </w:r>
      <w:r>
        <w:rPr>
          <w:lang w:val="fr-FR"/>
        </w:rPr>
        <w:t> »</w:t>
      </w:r>
      <w:r w:rsidRPr="00C370C7">
        <w:rPr>
          <w:lang w:val="fr-FR"/>
        </w:rPr>
        <w:t xml:space="preserve"> ou </w:t>
      </w:r>
      <w:r>
        <w:rPr>
          <w:lang w:val="fr-FR"/>
        </w:rPr>
        <w:t>« </w:t>
      </w:r>
      <w:r w:rsidRPr="00C370C7">
        <w:rPr>
          <w:lang w:val="fr-FR"/>
        </w:rPr>
        <w:t>consentement préalable</w:t>
      </w:r>
      <w:r>
        <w:rPr>
          <w:lang w:val="fr-FR"/>
        </w:rPr>
        <w:t>,</w:t>
      </w:r>
      <w:r w:rsidRPr="00C370C7">
        <w:rPr>
          <w:lang w:val="fr-FR"/>
        </w:rPr>
        <w:t xml:space="preserve"> libre</w:t>
      </w:r>
      <w:r>
        <w:rPr>
          <w:lang w:val="fr-FR"/>
        </w:rPr>
        <w:t xml:space="preserve"> </w:t>
      </w:r>
      <w:r w:rsidRPr="00C370C7">
        <w:rPr>
          <w:lang w:val="fr-FR"/>
        </w:rPr>
        <w:t>et éclairé</w:t>
      </w:r>
      <w:r>
        <w:rPr>
          <w:lang w:val="fr-FR"/>
        </w:rPr>
        <w:t> »</w:t>
      </w:r>
      <w:r w:rsidRPr="00C370C7">
        <w:rPr>
          <w:lang w:val="fr-FR"/>
        </w:rPr>
        <w:t xml:space="preserve"> ou </w:t>
      </w:r>
      <w:r>
        <w:rPr>
          <w:lang w:val="fr-FR"/>
        </w:rPr>
        <w:t>« a</w:t>
      </w:r>
      <w:r w:rsidRPr="00C370C7">
        <w:rPr>
          <w:lang w:val="fr-FR"/>
        </w:rPr>
        <w:t>pprobation et participation</w:t>
      </w:r>
      <w:r>
        <w:rPr>
          <w:lang w:val="fr-FR"/>
        </w:rPr>
        <w:t> »</w:t>
      </w:r>
      <w:r w:rsidRPr="00C370C7">
        <w:rPr>
          <w:lang w:val="fr-FR"/>
        </w:rPr>
        <w:t>.</w:t>
      </w:r>
    </w:p>
  </w:footnote>
  <w:footnote w:id="3">
    <w:p w14:paraId="7FB122C2" w14:textId="78EB2525" w:rsidR="00324C6C" w:rsidRPr="00390393" w:rsidRDefault="00324C6C" w:rsidP="00390393">
      <w:pPr>
        <w:pStyle w:val="Notedebasdepage"/>
        <w:ind w:firstLine="0"/>
        <w:rPr>
          <w:lang w:val="fr-FR"/>
        </w:rPr>
      </w:pPr>
      <w:r w:rsidRPr="00E509A1">
        <w:rPr>
          <w:rStyle w:val="Appelnotedebasdep"/>
        </w:rPr>
        <w:footnoteRef/>
      </w:r>
      <w:r w:rsidRPr="00390393">
        <w:rPr>
          <w:lang w:val="fr-FR"/>
        </w:rPr>
        <w:t xml:space="preserve"> D</w:t>
      </w:r>
      <w:r w:rsidR="00390393" w:rsidRPr="00390393">
        <w:rPr>
          <w:lang w:val="fr-FR"/>
        </w:rPr>
        <w:t>é</w:t>
      </w:r>
      <w:r w:rsidRPr="00390393">
        <w:rPr>
          <w:lang w:val="fr-FR"/>
        </w:rPr>
        <w:t>cision XII/23, annex</w:t>
      </w:r>
      <w:r w:rsidR="00390393" w:rsidRPr="00390393">
        <w:rPr>
          <w:lang w:val="fr-FR"/>
        </w:rPr>
        <w:t>e</w:t>
      </w:r>
      <w:r w:rsidRPr="00390393">
        <w:rPr>
          <w:lang w:val="fr-FR"/>
        </w:rPr>
        <w:t>.</w:t>
      </w:r>
    </w:p>
  </w:footnote>
  <w:footnote w:id="4">
    <w:p w14:paraId="128246D4" w14:textId="53B502E2" w:rsidR="00324C6C" w:rsidRPr="00390393" w:rsidRDefault="00324C6C" w:rsidP="00390393">
      <w:pPr>
        <w:pStyle w:val="Notedebasdepage"/>
        <w:ind w:firstLine="0"/>
        <w:rPr>
          <w:lang w:val="fr-FR"/>
        </w:rPr>
      </w:pPr>
      <w:r w:rsidRPr="00E509A1">
        <w:rPr>
          <w:rStyle w:val="Appelnotedebasdep"/>
        </w:rPr>
        <w:footnoteRef/>
      </w:r>
      <w:r w:rsidRPr="00390393">
        <w:rPr>
          <w:lang w:val="fr-FR"/>
        </w:rPr>
        <w:t xml:space="preserve"> D</w:t>
      </w:r>
      <w:r w:rsidR="00390393" w:rsidRPr="00390393">
        <w:rPr>
          <w:lang w:val="fr-FR"/>
        </w:rPr>
        <w:t>é</w:t>
      </w:r>
      <w:r w:rsidRPr="00390393">
        <w:rPr>
          <w:lang w:val="fr-FR"/>
        </w:rPr>
        <w:t>cision XIII/11.</w:t>
      </w:r>
    </w:p>
  </w:footnote>
  <w:footnote w:id="5">
    <w:p w14:paraId="6CFD4752" w14:textId="77777777" w:rsidR="00635FC1" w:rsidRPr="00324C6C" w:rsidRDefault="00635FC1" w:rsidP="00635FC1">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n-US" w:eastAsia="en-CA"/>
        </w:rPr>
      </w:pPr>
      <w:r w:rsidRPr="00C370C7">
        <w:rPr>
          <w:rStyle w:val="Appelnotedebasdep"/>
          <w:rFonts w:eastAsiaTheme="majorEastAsia"/>
          <w:kern w:val="18"/>
          <w:sz w:val="18"/>
          <w:szCs w:val="18"/>
          <w:lang w:val="fr-FR"/>
        </w:rPr>
        <w:footnoteRef/>
      </w:r>
      <w:r w:rsidRPr="00324C6C">
        <w:rPr>
          <w:color w:val="212529"/>
          <w:kern w:val="18"/>
          <w:sz w:val="18"/>
          <w:szCs w:val="18"/>
          <w:lang w:val="en-US" w:eastAsia="en-CA"/>
        </w:rPr>
        <w:t xml:space="preserve"> CBD/POST2020/WS/2019/10/2.</w:t>
      </w:r>
    </w:p>
  </w:footnote>
  <w:footnote w:id="6">
    <w:p w14:paraId="4BA60A34" w14:textId="77777777" w:rsidR="00635FC1" w:rsidRPr="00C370C7" w:rsidRDefault="00635FC1" w:rsidP="00635FC1">
      <w:pPr>
        <w:pStyle w:val="Notedebasdepage"/>
        <w:suppressLineNumbers/>
        <w:suppressAutoHyphens/>
        <w:kinsoku w:val="0"/>
        <w:overflowPunct w:val="0"/>
        <w:autoSpaceDE w:val="0"/>
        <w:autoSpaceDN w:val="0"/>
        <w:ind w:firstLine="0"/>
        <w:jc w:val="left"/>
        <w:rPr>
          <w:kern w:val="18"/>
          <w:szCs w:val="18"/>
          <w:lang w:val="fr-FR"/>
        </w:rPr>
      </w:pPr>
      <w:r w:rsidRPr="00C370C7">
        <w:rPr>
          <w:rStyle w:val="Appelnotedebasdep"/>
          <w:rFonts w:eastAsiaTheme="majorEastAsia"/>
          <w:kern w:val="18"/>
          <w:lang w:val="fr-FR"/>
        </w:rPr>
        <w:footnoteRef/>
      </w:r>
      <w:r w:rsidRPr="00C370C7">
        <w:rPr>
          <w:kern w:val="18"/>
          <w:szCs w:val="18"/>
          <w:lang w:val="fr-FR"/>
        </w:rPr>
        <w:t xml:space="preserve"> Nations Unies, </w:t>
      </w:r>
      <w:r w:rsidRPr="00C370C7">
        <w:rPr>
          <w:i/>
          <w:iCs/>
          <w:kern w:val="18"/>
          <w:szCs w:val="18"/>
          <w:lang w:val="fr-FR"/>
        </w:rPr>
        <w:t>Recueil des Traités</w:t>
      </w:r>
      <w:r w:rsidRPr="00C370C7">
        <w:rPr>
          <w:kern w:val="18"/>
          <w:szCs w:val="18"/>
          <w:lang w:val="fr-FR"/>
        </w:rPr>
        <w:t>, vol. 1833, n° 31363.</w:t>
      </w:r>
    </w:p>
  </w:footnote>
  <w:footnote w:id="7">
    <w:p w14:paraId="06035C40" w14:textId="3C55D70C" w:rsidR="00390393" w:rsidRPr="00390393" w:rsidRDefault="00390393" w:rsidP="00390393">
      <w:pPr>
        <w:pStyle w:val="Notedebasdepage"/>
        <w:ind w:firstLine="0"/>
        <w:rPr>
          <w:lang w:val="fr-FR"/>
        </w:rPr>
      </w:pPr>
      <w:r>
        <w:rPr>
          <w:rStyle w:val="Appelnotedebasdep"/>
        </w:rPr>
        <w:footnoteRef/>
      </w:r>
      <w:r w:rsidRPr="00390393">
        <w:rPr>
          <w:lang w:val="fr-FR"/>
        </w:rPr>
        <w:t xml:space="preserve"> Rome, 7-10 mai 2010. Voir https://www.fao.org/3/ca7194en/ca7194en.pdf</w:t>
      </w:r>
    </w:p>
  </w:footnote>
  <w:footnote w:id="8">
    <w:p w14:paraId="505BE5AB" w14:textId="68A0CAE9" w:rsidR="00324C6C" w:rsidRPr="00390393" w:rsidRDefault="00324C6C" w:rsidP="00390393">
      <w:pPr>
        <w:pStyle w:val="Notedebasdepage"/>
        <w:ind w:firstLine="0"/>
        <w:rPr>
          <w:lang w:val="fr-FR"/>
        </w:rPr>
      </w:pPr>
      <w:r w:rsidRPr="005A0E60">
        <w:rPr>
          <w:rStyle w:val="Appelnotedebasdep"/>
        </w:rPr>
        <w:footnoteRef/>
      </w:r>
      <w:r w:rsidRPr="00324C6C">
        <w:rPr>
          <w:lang w:val="fr-FR"/>
        </w:rPr>
        <w:t xml:space="preserve"> Groupe de travail de l'UICN et de la CMAP sur les autres mesures efficaces de conservation par zone, (2019). Reconnaissance et signalement des autres mesures de conservation efficaces par zone. Gland, Suisse : UICN.</w:t>
      </w:r>
    </w:p>
  </w:footnote>
  <w:footnote w:id="9">
    <w:p w14:paraId="3BE238A5" w14:textId="77777777" w:rsidR="00635FC1" w:rsidRPr="00C370C7" w:rsidRDefault="00635FC1" w:rsidP="00635FC1">
      <w:pPr>
        <w:pStyle w:val="Notedebasdepage"/>
        <w:suppressLineNumbers/>
        <w:suppressAutoHyphens/>
        <w:kinsoku w:val="0"/>
        <w:overflowPunct w:val="0"/>
        <w:autoSpaceDE w:val="0"/>
        <w:autoSpaceDN w:val="0"/>
        <w:ind w:firstLine="0"/>
        <w:jc w:val="left"/>
        <w:rPr>
          <w:kern w:val="18"/>
          <w:szCs w:val="18"/>
          <w:lang w:val="fr-FR"/>
        </w:rPr>
      </w:pPr>
      <w:r w:rsidRPr="00C370C7">
        <w:rPr>
          <w:rStyle w:val="Appelnotedebasdep"/>
          <w:rFonts w:eastAsiaTheme="majorEastAsia"/>
          <w:kern w:val="18"/>
          <w:lang w:val="fr-FR"/>
        </w:rPr>
        <w:footnoteRef/>
      </w:r>
      <w:r w:rsidRPr="00C370C7">
        <w:rPr>
          <w:kern w:val="18"/>
          <w:szCs w:val="18"/>
          <w:lang w:val="fr-FR"/>
        </w:rPr>
        <w:t xml:space="preserve"> Résolution 70/1 de l'Assemblée générale.</w:t>
      </w:r>
    </w:p>
  </w:footnote>
  <w:footnote w:id="10">
    <w:p w14:paraId="70A3DDEB" w14:textId="5D279E15" w:rsidR="00635FC1" w:rsidRPr="00C370C7" w:rsidRDefault="00635FC1" w:rsidP="00635FC1">
      <w:pPr>
        <w:pStyle w:val="Notedebasdepage"/>
        <w:suppressLineNumbers/>
        <w:suppressAutoHyphens/>
        <w:kinsoku w:val="0"/>
        <w:overflowPunct w:val="0"/>
        <w:autoSpaceDE w:val="0"/>
        <w:autoSpaceDN w:val="0"/>
        <w:ind w:firstLine="0"/>
        <w:jc w:val="left"/>
        <w:rPr>
          <w:kern w:val="18"/>
          <w:szCs w:val="18"/>
          <w:lang w:val="fr-FR"/>
        </w:rPr>
      </w:pPr>
      <w:r w:rsidRPr="00C370C7">
        <w:rPr>
          <w:rStyle w:val="Appelnotedebasdep"/>
          <w:rFonts w:eastAsiaTheme="majorEastAsia"/>
          <w:kern w:val="18"/>
          <w:lang w:val="fr-FR"/>
        </w:rPr>
        <w:footnoteRef/>
      </w:r>
      <w:r w:rsidRPr="00C370C7">
        <w:rPr>
          <w:kern w:val="18"/>
          <w:szCs w:val="18"/>
          <w:lang w:val="fr-FR"/>
        </w:rPr>
        <w:t xml:space="preserve"> </w:t>
      </w:r>
      <w:r w:rsidR="00390393" w:rsidRPr="00390393">
        <w:rPr>
          <w:kern w:val="18"/>
          <w:szCs w:val="18"/>
          <w:lang w:val="fr-FR"/>
        </w:rPr>
        <w:t>Nations Unies, Recueil des Traités, vol. 1771, n° I-30822</w:t>
      </w:r>
      <w:r w:rsidRPr="00C370C7">
        <w:rPr>
          <w:kern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585FFE7E" w:rsidR="00534681" w:rsidRPr="00554D43" w:rsidRDefault="00324C6C" w:rsidP="00534681">
        <w:pPr>
          <w:pStyle w:val="En-tte"/>
          <w:rPr>
            <w:lang w:val="en-CA"/>
          </w:rPr>
        </w:pPr>
        <w:r>
          <w:rPr>
            <w:lang w:val="en-CA"/>
          </w:rPr>
          <w:t>CBD/COP/DEC/15/24</w:t>
        </w:r>
      </w:p>
    </w:sdtContent>
  </w:sdt>
  <w:p w14:paraId="3EA48BBD" w14:textId="77777777" w:rsidR="00534681" w:rsidRPr="00554D43" w:rsidRDefault="00534681" w:rsidP="00534681">
    <w:pPr>
      <w:pStyle w:val="En-tte"/>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AE7624">
      <w:rPr>
        <w:noProof/>
        <w:lang w:val="en-CA"/>
      </w:rPr>
      <w:t>4</w:t>
    </w:r>
    <w:r w:rsidRPr="00AC0BF4">
      <w:rPr>
        <w:noProof/>
      </w:rPr>
      <w:fldChar w:fldCharType="end"/>
    </w:r>
  </w:p>
  <w:p w14:paraId="4991B278" w14:textId="77777777" w:rsidR="00534681" w:rsidRPr="00554D43" w:rsidRDefault="00534681">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737945DB" w:rsidR="009505C9" w:rsidRPr="00554D43" w:rsidRDefault="00324C6C" w:rsidP="009505C9">
        <w:pPr>
          <w:pStyle w:val="En-tte"/>
          <w:jc w:val="right"/>
          <w:rPr>
            <w:lang w:val="en-CA"/>
          </w:rPr>
        </w:pPr>
        <w:r>
          <w:rPr>
            <w:lang w:val="en-CA"/>
          </w:rPr>
          <w:t>CBD/COP/DEC/15/24</w:t>
        </w:r>
      </w:p>
    </w:sdtContent>
  </w:sdt>
  <w:p w14:paraId="213AB81C" w14:textId="77777777" w:rsidR="009505C9" w:rsidRPr="00554D43" w:rsidRDefault="009505C9" w:rsidP="009505C9">
    <w:pPr>
      <w:pStyle w:val="En-tte"/>
      <w:jc w:val="right"/>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AE7624">
      <w:rPr>
        <w:noProof/>
        <w:lang w:val="en-CA"/>
      </w:rPr>
      <w:t>5</w:t>
    </w:r>
    <w:r w:rsidRPr="00AC0BF4">
      <w:rPr>
        <w:noProof/>
      </w:rPr>
      <w:fldChar w:fldCharType="end"/>
    </w:r>
  </w:p>
  <w:p w14:paraId="64B5CF41" w14:textId="77777777" w:rsidR="009505C9" w:rsidRPr="00554D43" w:rsidRDefault="009505C9">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033622">
    <w:abstractNumId w:val="4"/>
  </w:num>
  <w:num w:numId="2" w16cid:durableId="229968348">
    <w:abstractNumId w:val="7"/>
  </w:num>
  <w:num w:numId="3" w16cid:durableId="875122690">
    <w:abstractNumId w:val="5"/>
  </w:num>
  <w:num w:numId="4" w16cid:durableId="1276593617">
    <w:abstractNumId w:val="7"/>
  </w:num>
  <w:num w:numId="5" w16cid:durableId="1257637982">
    <w:abstractNumId w:val="6"/>
  </w:num>
  <w:num w:numId="6" w16cid:durableId="1793935488">
    <w:abstractNumId w:val="0"/>
  </w:num>
  <w:num w:numId="7" w16cid:durableId="1094014664">
    <w:abstractNumId w:val="2"/>
  </w:num>
  <w:num w:numId="8" w16cid:durableId="58795257">
    <w:abstractNumId w:val="5"/>
    <w:lvlOverride w:ilvl="0">
      <w:startOverride w:val="1"/>
    </w:lvlOverride>
  </w:num>
  <w:num w:numId="9" w16cid:durableId="494304699">
    <w:abstractNumId w:val="10"/>
  </w:num>
  <w:num w:numId="10" w16cid:durableId="1643458658">
    <w:abstractNumId w:val="5"/>
    <w:lvlOverride w:ilvl="0">
      <w:startOverride w:val="1"/>
    </w:lvlOverride>
  </w:num>
  <w:num w:numId="11" w16cid:durableId="1638754121">
    <w:abstractNumId w:val="5"/>
    <w:lvlOverride w:ilvl="0">
      <w:startOverride w:val="1"/>
    </w:lvlOverride>
  </w:num>
  <w:num w:numId="12" w16cid:durableId="310252886">
    <w:abstractNumId w:val="5"/>
    <w:lvlOverride w:ilvl="0">
      <w:startOverride w:val="1"/>
    </w:lvlOverride>
  </w:num>
  <w:num w:numId="13" w16cid:durableId="502549795">
    <w:abstractNumId w:val="5"/>
    <w:lvlOverride w:ilvl="0">
      <w:startOverride w:val="1"/>
    </w:lvlOverride>
  </w:num>
  <w:num w:numId="14" w16cid:durableId="569383765">
    <w:abstractNumId w:val="9"/>
  </w:num>
  <w:num w:numId="15" w16cid:durableId="1560089551">
    <w:abstractNumId w:val="8"/>
  </w:num>
  <w:num w:numId="16" w16cid:durableId="1757827924">
    <w:abstractNumId w:val="1"/>
  </w:num>
  <w:num w:numId="17" w16cid:durableId="1821799275">
    <w:abstractNumId w:val="11"/>
  </w:num>
  <w:num w:numId="18" w16cid:durableId="1617983119">
    <w:abstractNumId w:val="12"/>
  </w:num>
  <w:num w:numId="19" w16cid:durableId="853153833">
    <w:abstractNumId w:val="3"/>
  </w:num>
  <w:num w:numId="20" w16cid:durableId="506948661">
    <w:abstractNumId w:val="10"/>
  </w:num>
  <w:num w:numId="21" w16cid:durableId="1516185847">
    <w:abstractNumId w:val="4"/>
  </w:num>
  <w:num w:numId="22" w16cid:durableId="1486699859">
    <w:abstractNumId w:val="7"/>
  </w:num>
  <w:num w:numId="23" w16cid:durableId="1127893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0670"/>
    <w:rsid w:val="0001417F"/>
    <w:rsid w:val="00035EC0"/>
    <w:rsid w:val="00047196"/>
    <w:rsid w:val="000564F1"/>
    <w:rsid w:val="00081557"/>
    <w:rsid w:val="000A2CC7"/>
    <w:rsid w:val="000B750C"/>
    <w:rsid w:val="000E047D"/>
    <w:rsid w:val="000E673A"/>
    <w:rsid w:val="000F74F5"/>
    <w:rsid w:val="0010115C"/>
    <w:rsid w:val="00105372"/>
    <w:rsid w:val="00131E7A"/>
    <w:rsid w:val="00134236"/>
    <w:rsid w:val="00141926"/>
    <w:rsid w:val="001713CD"/>
    <w:rsid w:val="00172AF6"/>
    <w:rsid w:val="00176CEE"/>
    <w:rsid w:val="001C12D0"/>
    <w:rsid w:val="001C363F"/>
    <w:rsid w:val="001D0C4A"/>
    <w:rsid w:val="001D5CB0"/>
    <w:rsid w:val="001F7C9E"/>
    <w:rsid w:val="002132CA"/>
    <w:rsid w:val="00232B80"/>
    <w:rsid w:val="00290F00"/>
    <w:rsid w:val="002A0607"/>
    <w:rsid w:val="002C2E98"/>
    <w:rsid w:val="002C470F"/>
    <w:rsid w:val="002D68B5"/>
    <w:rsid w:val="002E7AFE"/>
    <w:rsid w:val="00324C6C"/>
    <w:rsid w:val="00372F74"/>
    <w:rsid w:val="00390393"/>
    <w:rsid w:val="00393BB2"/>
    <w:rsid w:val="003B1CD8"/>
    <w:rsid w:val="003C5220"/>
    <w:rsid w:val="003D742B"/>
    <w:rsid w:val="003F7224"/>
    <w:rsid w:val="00405146"/>
    <w:rsid w:val="004103B5"/>
    <w:rsid w:val="0042412C"/>
    <w:rsid w:val="00427D21"/>
    <w:rsid w:val="00430977"/>
    <w:rsid w:val="004644C2"/>
    <w:rsid w:val="00467F9C"/>
    <w:rsid w:val="00491F21"/>
    <w:rsid w:val="004B3221"/>
    <w:rsid w:val="004D051B"/>
    <w:rsid w:val="004D17AD"/>
    <w:rsid w:val="004E1B32"/>
    <w:rsid w:val="0050536B"/>
    <w:rsid w:val="00510E76"/>
    <w:rsid w:val="00521C27"/>
    <w:rsid w:val="00522946"/>
    <w:rsid w:val="00531B47"/>
    <w:rsid w:val="00534681"/>
    <w:rsid w:val="00554D43"/>
    <w:rsid w:val="005A5E87"/>
    <w:rsid w:val="005B4F11"/>
    <w:rsid w:val="005C0626"/>
    <w:rsid w:val="005C3EF9"/>
    <w:rsid w:val="00610DE9"/>
    <w:rsid w:val="006122BA"/>
    <w:rsid w:val="00625640"/>
    <w:rsid w:val="006278CF"/>
    <w:rsid w:val="00635FC1"/>
    <w:rsid w:val="006477C8"/>
    <w:rsid w:val="00675624"/>
    <w:rsid w:val="00680B2A"/>
    <w:rsid w:val="00684D68"/>
    <w:rsid w:val="006B2290"/>
    <w:rsid w:val="006C3C2E"/>
    <w:rsid w:val="006C57AA"/>
    <w:rsid w:val="006D0D58"/>
    <w:rsid w:val="006E578F"/>
    <w:rsid w:val="00700326"/>
    <w:rsid w:val="007056DD"/>
    <w:rsid w:val="00717D88"/>
    <w:rsid w:val="00725DB9"/>
    <w:rsid w:val="00750AF9"/>
    <w:rsid w:val="007512C1"/>
    <w:rsid w:val="00791ACA"/>
    <w:rsid w:val="007942D3"/>
    <w:rsid w:val="007A4CED"/>
    <w:rsid w:val="007B6C09"/>
    <w:rsid w:val="007C3F96"/>
    <w:rsid w:val="007C5892"/>
    <w:rsid w:val="007C5F80"/>
    <w:rsid w:val="007E09DA"/>
    <w:rsid w:val="008178B6"/>
    <w:rsid w:val="00833D91"/>
    <w:rsid w:val="00837D98"/>
    <w:rsid w:val="00863B0B"/>
    <w:rsid w:val="00865B74"/>
    <w:rsid w:val="00886758"/>
    <w:rsid w:val="00897885"/>
    <w:rsid w:val="008C27E8"/>
    <w:rsid w:val="00914D81"/>
    <w:rsid w:val="009218B2"/>
    <w:rsid w:val="00930BA1"/>
    <w:rsid w:val="0093169E"/>
    <w:rsid w:val="009505C9"/>
    <w:rsid w:val="00962621"/>
    <w:rsid w:val="009644EE"/>
    <w:rsid w:val="00994799"/>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E7624"/>
    <w:rsid w:val="00AF2C8F"/>
    <w:rsid w:val="00B27396"/>
    <w:rsid w:val="00B3369F"/>
    <w:rsid w:val="00B45308"/>
    <w:rsid w:val="00B67EAB"/>
    <w:rsid w:val="00BB7504"/>
    <w:rsid w:val="00BB7AFA"/>
    <w:rsid w:val="00BD6B50"/>
    <w:rsid w:val="00C07861"/>
    <w:rsid w:val="00C164BD"/>
    <w:rsid w:val="00C20258"/>
    <w:rsid w:val="00C67FE5"/>
    <w:rsid w:val="00C744C7"/>
    <w:rsid w:val="00C80E97"/>
    <w:rsid w:val="00C9161D"/>
    <w:rsid w:val="00C942EA"/>
    <w:rsid w:val="00CD4CA3"/>
    <w:rsid w:val="00CE0594"/>
    <w:rsid w:val="00CF1848"/>
    <w:rsid w:val="00D12044"/>
    <w:rsid w:val="00D4384D"/>
    <w:rsid w:val="00D637D3"/>
    <w:rsid w:val="00D76A18"/>
    <w:rsid w:val="00DA5979"/>
    <w:rsid w:val="00DD118C"/>
    <w:rsid w:val="00E24FCB"/>
    <w:rsid w:val="00E34748"/>
    <w:rsid w:val="00E35506"/>
    <w:rsid w:val="00E3664B"/>
    <w:rsid w:val="00E37E16"/>
    <w:rsid w:val="00E617EF"/>
    <w:rsid w:val="00E627E2"/>
    <w:rsid w:val="00E66235"/>
    <w:rsid w:val="00E828DF"/>
    <w:rsid w:val="00E83C24"/>
    <w:rsid w:val="00E8436E"/>
    <w:rsid w:val="00E9318D"/>
    <w:rsid w:val="00E95E8E"/>
    <w:rsid w:val="00E96701"/>
    <w:rsid w:val="00EB0B7D"/>
    <w:rsid w:val="00EC63A5"/>
    <w:rsid w:val="00EE4669"/>
    <w:rsid w:val="00F25D83"/>
    <w:rsid w:val="00F33974"/>
    <w:rsid w:val="00F70FE8"/>
    <w:rsid w:val="00F735B5"/>
    <w:rsid w:val="00F8323E"/>
    <w:rsid w:val="00F93219"/>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normaltextrun">
    <w:name w:val="normaltextrun"/>
    <w:basedOn w:val="Policepardfaut"/>
    <w:rsid w:val="00E35506"/>
  </w:style>
  <w:style w:type="character" w:customStyle="1" w:styleId="eop">
    <w:name w:val="eop"/>
    <w:basedOn w:val="Policepardfau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Policepardfaut"/>
    <w:rsid w:val="00E35506"/>
  </w:style>
  <w:style w:type="paragraph" w:styleId="Rvision">
    <w:name w:val="Revision"/>
    <w:hidden/>
    <w:uiPriority w:val="99"/>
    <w:semiHidden/>
    <w:rsid w:val="0008155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94738">
      <w:bodyDiv w:val="1"/>
      <w:marLeft w:val="0"/>
      <w:marRight w:val="0"/>
      <w:marTop w:val="0"/>
      <w:marBottom w:val="0"/>
      <w:divBdr>
        <w:top w:val="none" w:sz="0" w:space="0" w:color="auto"/>
        <w:left w:val="none" w:sz="0" w:space="0" w:color="auto"/>
        <w:bottom w:val="none" w:sz="0" w:space="0" w:color="auto"/>
        <w:right w:val="none" w:sz="0" w:space="0" w:color="auto"/>
      </w:divBdr>
      <w:divsChild>
        <w:div w:id="1204826661">
          <w:marLeft w:val="150"/>
          <w:marRight w:val="0"/>
          <w:marTop w:val="0"/>
          <w:marBottom w:val="0"/>
          <w:divBdr>
            <w:top w:val="none" w:sz="0" w:space="0" w:color="auto"/>
            <w:left w:val="none" w:sz="0" w:space="0" w:color="auto"/>
            <w:bottom w:val="none" w:sz="0" w:space="0" w:color="auto"/>
            <w:right w:val="single" w:sz="6" w:space="6" w:color="999999"/>
          </w:divBdr>
        </w:div>
        <w:div w:id="1230189942">
          <w:marLeft w:val="150"/>
          <w:marRight w:val="0"/>
          <w:marTop w:val="0"/>
          <w:marBottom w:val="0"/>
          <w:divBdr>
            <w:top w:val="none" w:sz="0" w:space="0" w:color="auto"/>
            <w:left w:val="none" w:sz="0" w:space="0" w:color="auto"/>
            <w:bottom w:val="none" w:sz="0" w:space="0" w:color="auto"/>
            <w:right w:val="single" w:sz="6" w:space="6" w:color="999999"/>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707ED"/>
    <w:rsid w:val="007F1B76"/>
    <w:rsid w:val="00810A55"/>
    <w:rsid w:val="008C6619"/>
    <w:rsid w:val="008D420E"/>
    <w:rsid w:val="0098642F"/>
    <w:rsid w:val="00A777C9"/>
    <w:rsid w:val="00AC6709"/>
    <w:rsid w:val="00C82269"/>
    <w:rsid w:val="00CE6602"/>
    <w:rsid w:val="00CF0D48"/>
    <w:rsid w:val="00D16DFB"/>
    <w:rsid w:val="00D84C14"/>
    <w:rsid w:val="00E218EC"/>
    <w:rsid w:val="00E87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0E9A1-338E-4F5C-9201-68B06A2D521B}">
  <ds:schemaRefs>
    <ds:schemaRef ds:uri="http://schemas.openxmlformats.org/officeDocument/2006/bibliography"/>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2991</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	Conservation et utilisation durable de la diversité biologique marine et côtière</dc:title>
  <dc:subject>CBD/COP/DEC/15/24</dc:subject>
  <dc:creator>SCBD</dc:creator>
  <cp:keywords>Conference of the Parties to the Convention on Biological Diversity, fifteenth meeting</cp:keywords>
  <cp:lastModifiedBy>Matthias Massoulier</cp:lastModifiedBy>
  <cp:revision>2</cp:revision>
  <cp:lastPrinted>2022-12-12T18:05:00Z</cp:lastPrinted>
  <dcterms:created xsi:type="dcterms:W3CDTF">2023-03-29T09:09:00Z</dcterms:created>
  <dcterms:modified xsi:type="dcterms:W3CDTF">2023-03-29T09:09:00Z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