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CA" w:eastAsia="zh-CN"/>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0A36631D" w:rsidR="00FA663B" w:rsidRPr="00321985" w:rsidRDefault="006C4A5A" w:rsidP="00321985">
            <w:r w:rsidRPr="006C4A5A">
              <w:rPr>
                <w:noProof/>
                <w:lang w:val="en-CA" w:eastAsia="zh-CN"/>
              </w:rPr>
              <w:drawing>
                <wp:inline distT="0" distB="0" distL="0" distR="0" wp14:anchorId="63850A0D" wp14:editId="789502F3">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Pr>
                <w:rFonts w:ascii="Arial" w:hAnsi="Arial"/>
                <w:b/>
                <w:sz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13D956E1" w:rsidR="00C9161D" w:rsidRDefault="006C4A5A" w:rsidP="00C9161D">
            <w:r>
              <w:rPr>
                <w:noProof/>
                <w:lang w:val="en-CA" w:eastAsia="zh-CN"/>
              </w:rPr>
              <w:drawing>
                <wp:inline distT="0" distB="0" distL="0" distR="0" wp14:anchorId="13E6AFF6" wp14:editId="58A73E37">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1D223E" w:rsidRDefault="00C9161D" w:rsidP="00176CEE">
            <w:pPr>
              <w:ind w:left="1215"/>
              <w:rPr>
                <w:szCs w:val="22"/>
                <w:lang w:val="en-US"/>
              </w:rPr>
            </w:pPr>
            <w:r w:rsidRPr="001D223E">
              <w:rPr>
                <w:lang w:val="en-US"/>
              </w:rPr>
              <w:t>Distr.</w:t>
            </w:r>
          </w:p>
          <w:p w14:paraId="0C21C438" w14:textId="7346BD16" w:rsidR="00C9161D" w:rsidRPr="001D223E" w:rsidRDefault="00743279" w:rsidP="00176CEE">
            <w:pPr>
              <w:ind w:left="1215"/>
              <w:rPr>
                <w:szCs w:val="22"/>
                <w:lang w:val="en-US"/>
              </w:rPr>
            </w:pPr>
            <w:r w:rsidRPr="001D223E">
              <w:rPr>
                <w:caps/>
                <w:lang w:val="en-US"/>
              </w:rPr>
              <w:t>GENERAL</w:t>
            </w:r>
          </w:p>
          <w:p w14:paraId="06715052" w14:textId="77777777" w:rsidR="00C9161D" w:rsidRPr="001D223E" w:rsidRDefault="00C9161D" w:rsidP="00176CEE">
            <w:pPr>
              <w:ind w:left="1215"/>
              <w:rPr>
                <w:szCs w:val="22"/>
                <w:lang w:val="en-US"/>
              </w:rPr>
            </w:pPr>
          </w:p>
          <w:p w14:paraId="44230134" w14:textId="7BD0F078" w:rsidR="00C9161D" w:rsidRPr="001D223E" w:rsidRDefault="00583989" w:rsidP="00176CEE">
            <w:pPr>
              <w:ind w:left="1215"/>
              <w:rPr>
                <w:szCs w:val="22"/>
                <w:lang w:val="en-US"/>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43279">
                  <w:rPr>
                    <w:lang w:val="en-US"/>
                  </w:rPr>
                  <w:t>CBD/COP/DEC/15/33</w:t>
                </w:r>
              </w:sdtContent>
            </w:sdt>
          </w:p>
          <w:p w14:paraId="0DF1F033" w14:textId="01F327C5" w:rsidR="00C9161D" w:rsidRPr="00C9161D" w:rsidRDefault="00C944F4" w:rsidP="00176CEE">
            <w:pPr>
              <w:ind w:left="1215"/>
              <w:rPr>
                <w:szCs w:val="22"/>
              </w:rPr>
            </w:pPr>
            <w:r>
              <w:t>19 de diciembre de 2022</w:t>
            </w:r>
          </w:p>
          <w:p w14:paraId="159892DF" w14:textId="77777777" w:rsidR="00C9161D" w:rsidRPr="00C9161D" w:rsidRDefault="00C9161D" w:rsidP="00176CEE">
            <w:pPr>
              <w:ind w:left="1215"/>
              <w:rPr>
                <w:szCs w:val="22"/>
              </w:rPr>
            </w:pPr>
          </w:p>
          <w:p w14:paraId="1C808681" w14:textId="77777777" w:rsidR="006C4A5A" w:rsidRDefault="006B2290" w:rsidP="00176CEE">
            <w:pPr>
              <w:ind w:left="1215"/>
            </w:pPr>
            <w:r>
              <w:t>ESPAÑOL</w:t>
            </w:r>
          </w:p>
          <w:p w14:paraId="19472D49" w14:textId="6CA54CCF" w:rsidR="00C9161D" w:rsidRPr="00C9161D" w:rsidRDefault="006B2290" w:rsidP="00176CEE">
            <w:pPr>
              <w:ind w:left="1215"/>
              <w:rPr>
                <w:szCs w:val="22"/>
              </w:rPr>
            </w:pPr>
            <w:r>
              <w:t>ORIGINAL: INGLÉS</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141C6194" w14:textId="69B0B9EC"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15ª reunión – Parte</w:t>
      </w:r>
      <w:r w:rsidR="002A7407">
        <w:rPr>
          <w:snapToGrid w:val="0"/>
        </w:rPr>
        <w:t> </w:t>
      </w:r>
      <w:r>
        <w:rPr>
          <w:snapToGrid w:val="0"/>
        </w:rPr>
        <w:t>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5ECF7635" w14:textId="657A2B38" w:rsidR="00C9161D" w:rsidRDefault="00B26ACD" w:rsidP="00C9161D">
      <w:pPr>
        <w:rPr>
          <w:snapToGrid w:val="0"/>
          <w:kern w:val="22"/>
        </w:rPr>
      </w:pPr>
      <w:r>
        <w:rPr>
          <w:snapToGrid w:val="0"/>
        </w:rPr>
        <w:t>Tema 18 del programa</w:t>
      </w:r>
    </w:p>
    <w:p w14:paraId="401E48C1" w14:textId="2BA099F5" w:rsidR="00040B50" w:rsidRPr="00C9161D" w:rsidRDefault="00242C57" w:rsidP="00EF343A">
      <w:pPr>
        <w:pStyle w:val="HEADINGNOTFORTOC"/>
      </w:pPr>
      <w:r>
        <w:t>DECISIÓN ADOPTADA POR LA CONFERENCIA DE LAS PARTES EN EL CONVENIO SOBRE LA DIVERSIDAD BIOLÓGICA</w:t>
      </w:r>
    </w:p>
    <w:p w14:paraId="3093D971" w14:textId="35A0BD77" w:rsidR="00B3369F" w:rsidRDefault="00040B50" w:rsidP="00EF343A">
      <w:pPr>
        <w:spacing w:before="240" w:after="240"/>
        <w:jc w:val="center"/>
      </w:pPr>
      <w:r>
        <w:rPr>
          <w:b/>
        </w:rPr>
        <w:t>15/33.</w:t>
      </w:r>
      <w:r>
        <w:rPr>
          <w:b/>
        </w:rPr>
        <w:tab/>
        <w:t>Programa de trabajo plurianual de la Conferencia de las Partes</w:t>
      </w:r>
      <w:r>
        <w:rPr>
          <w:b/>
          <w:caps/>
        </w:rPr>
        <w:t xml:space="preserve"> </w:t>
      </w:r>
    </w:p>
    <w:p w14:paraId="0BB6EC8B" w14:textId="77777777" w:rsidR="00986359" w:rsidRDefault="00986359" w:rsidP="00986359">
      <w:pPr>
        <w:pStyle w:val="Para1"/>
        <w:numPr>
          <w:ilvl w:val="0"/>
          <w:numId w:val="0"/>
        </w:numPr>
        <w:shd w:val="clear" w:color="auto" w:fill="FFFFFF" w:themeFill="background1"/>
        <w:ind w:firstLine="709"/>
        <w:rPr>
          <w:i/>
        </w:rPr>
      </w:pPr>
      <w:r>
        <w:rPr>
          <w:i/>
        </w:rPr>
        <w:t xml:space="preserve">La Conferencia de las Partes, </w:t>
      </w:r>
    </w:p>
    <w:p w14:paraId="039D3DAF" w14:textId="026F0082" w:rsidR="00986359" w:rsidRDefault="00986359" w:rsidP="00986359">
      <w:pPr>
        <w:shd w:val="clear" w:color="auto" w:fill="FFFFFF" w:themeFill="background1"/>
        <w:spacing w:before="120" w:after="120"/>
        <w:ind w:firstLine="709"/>
        <w:rPr>
          <w:snapToGrid w:val="0"/>
          <w:szCs w:val="18"/>
        </w:rPr>
      </w:pPr>
      <w:r>
        <w:rPr>
          <w:i/>
          <w:iCs/>
        </w:rPr>
        <w:t>Teniendo en cuenta</w:t>
      </w:r>
      <w:r>
        <w:t xml:space="preserve"> el Marco Mundial de Biodiversidad de </w:t>
      </w:r>
      <w:r w:rsidR="008B79E4">
        <w:t>Kunming</w:t>
      </w:r>
      <w:r w:rsidR="008B79E4">
        <w:noBreakHyphen/>
        <w:t xml:space="preserve">Montreal </w:t>
      </w:r>
      <w:r>
        <w:t>y otras decisiones pertinentes,</w:t>
      </w:r>
      <w:r>
        <w:rPr>
          <w:snapToGrid w:val="0"/>
        </w:rPr>
        <w:t xml:space="preserve"> </w:t>
      </w:r>
    </w:p>
    <w:p w14:paraId="425403FE" w14:textId="16FC1647" w:rsidR="00986359" w:rsidRDefault="00986359" w:rsidP="00986359">
      <w:pPr>
        <w:shd w:val="clear" w:color="auto" w:fill="FFFFFF" w:themeFill="background1"/>
        <w:spacing w:before="120" w:after="120"/>
        <w:ind w:firstLine="567"/>
      </w:pPr>
      <w:r>
        <w:t>1.</w:t>
      </w:r>
      <w:r>
        <w:tab/>
      </w:r>
      <w:r>
        <w:rPr>
          <w:i/>
        </w:rPr>
        <w:t>Hace notar</w:t>
      </w:r>
      <w:r>
        <w:t xml:space="preserve"> que la Conferencia de las Partes examinará los progresos realizados en la aplicación del Convenio y la implementación del Marco Mundial de Biodiversidad de </w:t>
      </w:r>
      <w:r w:rsidR="008B79E4">
        <w:t>Kunming</w:t>
      </w:r>
      <w:r w:rsidR="008B79E4">
        <w:noBreakHyphen/>
        <w:t xml:space="preserve">Montreal </w:t>
      </w:r>
      <w:r>
        <w:t xml:space="preserve">en cada una de sus reuniones hasta 2030; </w:t>
      </w:r>
    </w:p>
    <w:p w14:paraId="2C2A0190" w14:textId="03238945" w:rsidR="00986359" w:rsidRDefault="00986359" w:rsidP="00986359">
      <w:pPr>
        <w:shd w:val="clear" w:color="auto" w:fill="FFFFFF" w:themeFill="background1"/>
        <w:spacing w:before="120" w:after="120"/>
        <w:ind w:firstLine="567"/>
      </w:pPr>
      <w:r>
        <w:t>2</w:t>
      </w:r>
      <w:r>
        <w:rPr>
          <w:i/>
        </w:rPr>
        <w:t>.</w:t>
      </w:r>
      <w:r>
        <w:rPr>
          <w:i/>
        </w:rPr>
        <w:tab/>
        <w:t>Decide</w:t>
      </w:r>
      <w:r>
        <w:t xml:space="preserve"> que la elaboración de nuevas orientaciones para la formulación de políticas y la aplicación debería apoyar la consecución de los objetivos y metas establecidos en el Marco Mundial de Biodiversidad de </w:t>
      </w:r>
      <w:r w:rsidR="008B79E4">
        <w:t>Kunming</w:t>
      </w:r>
      <w:r w:rsidR="008B79E4">
        <w:noBreakHyphen/>
        <w:t xml:space="preserve">Montreal </w:t>
      </w:r>
      <w:r>
        <w:t>, el resultado del análisis mundial de la información de las estrategias y planes de acción nacionales en materia de biodiversidad, incluidas sus metas nacionales, y la revisión mundial del progreso colectivo en la aplicación, así como la nueva información que pueda estar disponible, por ejemplo, mediante evaluaciones científicas;</w:t>
      </w:r>
    </w:p>
    <w:p w14:paraId="628AC66E" w14:textId="6DEDF188" w:rsidR="00986359" w:rsidRDefault="00986359" w:rsidP="00986359">
      <w:pPr>
        <w:shd w:val="clear" w:color="auto" w:fill="FFFFFF" w:themeFill="background1"/>
        <w:spacing w:before="120" w:after="120"/>
        <w:ind w:firstLine="567"/>
      </w:pPr>
      <w:r>
        <w:t>3.</w:t>
      </w:r>
      <w:r>
        <w:tab/>
      </w:r>
      <w:r>
        <w:rPr>
          <w:i/>
        </w:rPr>
        <w:t xml:space="preserve">Toma nota </w:t>
      </w:r>
      <w:r>
        <w:t>de la lista preliminar de cuestiones que deben abordarse en las reuniones de la Conferencia de las Partes durante el período 2023-2030 que figura en el anexo de la presente decisión;</w:t>
      </w:r>
    </w:p>
    <w:p w14:paraId="00EB50FE" w14:textId="347807B3" w:rsidR="00986359" w:rsidRDefault="00986359" w:rsidP="00986359">
      <w:pPr>
        <w:shd w:val="clear" w:color="auto" w:fill="FFFFFF" w:themeFill="background1"/>
        <w:spacing w:before="120" w:after="120"/>
        <w:ind w:firstLine="567"/>
        <w:rPr>
          <w:snapToGrid w:val="0"/>
          <w:szCs w:val="18"/>
        </w:rPr>
      </w:pPr>
      <w:r>
        <w:t>4.</w:t>
      </w:r>
      <w:r>
        <w:tab/>
      </w:r>
      <w:r>
        <w:rPr>
          <w:i/>
        </w:rPr>
        <w:t>Pide</w:t>
      </w:r>
      <w:r>
        <w:t xml:space="preserve"> a la Secretaria Ejecutiva que, en consulta con la Mesa de la Conferencia de las Partes, complete la lista de cuestiones que la Conferencia de las Partes habrá de considerar en su 16ª reunión, especificadas en el anexo, a la luz de las decisiones adoptadas por la Conferencia de las Partes en su 15ª reunión, y que publique la lista en el sitio web del Convenio, y tenga en cuenta las cuestiones enumeradas al preparar los programas de las reuniones pertinentes en el marco del Convenio;</w:t>
      </w:r>
      <w:r>
        <w:rPr>
          <w:snapToGrid w:val="0"/>
        </w:rPr>
        <w:t xml:space="preserve"> </w:t>
      </w:r>
    </w:p>
    <w:p w14:paraId="5E8ECA62" w14:textId="11AF1B68" w:rsidR="00986359" w:rsidRPr="00B71251" w:rsidRDefault="00986359" w:rsidP="00986359">
      <w:pPr>
        <w:shd w:val="clear" w:color="auto" w:fill="FFFFFF" w:themeFill="background1"/>
        <w:spacing w:before="120" w:after="120"/>
        <w:ind w:firstLine="567"/>
        <w:rPr>
          <w:snapToGrid w:val="0"/>
          <w:szCs w:val="18"/>
        </w:rPr>
      </w:pPr>
      <w:r>
        <w:rPr>
          <w:snapToGrid w:val="0"/>
        </w:rPr>
        <w:t>5.</w:t>
      </w:r>
      <w:r>
        <w:rPr>
          <w:snapToGrid w:val="0"/>
        </w:rPr>
        <w:tab/>
      </w:r>
      <w:r>
        <w:rPr>
          <w:i/>
          <w:snapToGrid w:val="0"/>
        </w:rPr>
        <w:t>Pide también</w:t>
      </w:r>
      <w:r>
        <w:rPr>
          <w:snapToGrid w:val="0"/>
        </w:rPr>
        <w:t xml:space="preserve"> a la Secretaria Ejecutiva que proponga elementos concretos que estén armonizados con la implementación del Marco Mundial de Biodiversidad de </w:t>
      </w:r>
      <w:r w:rsidR="008B79E4">
        <w:rPr>
          <w:snapToGrid w:val="0"/>
        </w:rPr>
        <w:t>Kunming</w:t>
      </w:r>
      <w:r w:rsidR="008B79E4">
        <w:rPr>
          <w:snapToGrid w:val="0"/>
        </w:rPr>
        <w:noBreakHyphen/>
      </w:r>
      <w:bookmarkStart w:id="0" w:name="_GoBack"/>
      <w:bookmarkEnd w:id="0"/>
      <w:r w:rsidR="00583989">
        <w:rPr>
          <w:snapToGrid w:val="0"/>
        </w:rPr>
        <w:t>Montreal,</w:t>
      </w:r>
      <w:r>
        <w:rPr>
          <w:snapToGrid w:val="0"/>
        </w:rPr>
        <w:t xml:space="preserve"> así como otros temas estrechamente relacionados, para que el Órgano Subsidiario sobre la Aplicación los considere en su 4ª reunión, con miras a completar la lista de temas que la Conferencia de las Partes habrá de considerar en sus reuniones 17ª, 18ª y 19ª, como se propone en el anexo de la presente decisión;</w:t>
      </w:r>
    </w:p>
    <w:p w14:paraId="26F6EE97" w14:textId="77777777" w:rsidR="00986359" w:rsidRDefault="00986359" w:rsidP="008B79E4">
      <w:pPr>
        <w:keepNext/>
        <w:shd w:val="clear" w:color="auto" w:fill="FFFFFF" w:themeFill="background1"/>
        <w:spacing w:before="120" w:after="120"/>
        <w:ind w:firstLine="567"/>
      </w:pPr>
      <w:r>
        <w:rPr>
          <w:snapToGrid w:val="0"/>
        </w:rPr>
        <w:t xml:space="preserve">6. </w:t>
      </w:r>
      <w:r>
        <w:rPr>
          <w:snapToGrid w:val="0"/>
        </w:rPr>
        <w:tab/>
      </w:r>
      <w:r>
        <w:rPr>
          <w:i/>
          <w:snapToGrid w:val="0"/>
        </w:rPr>
        <w:t>Decide</w:t>
      </w:r>
      <w:r>
        <w:rPr>
          <w:snapToGrid w:val="0"/>
        </w:rPr>
        <w:t xml:space="preserve"> abordar, en cada una de sus reuniones, los temas permanentes conforme a decisiones anteriores, así como cualquier otra cuestión que surja de las decisiones de la Conferencia de las Partes en relación con programas de trabajo y cuestiones transversales concretos, y mantener la flexibilidad </w:t>
      </w:r>
      <w:r>
        <w:rPr>
          <w:snapToGrid w:val="0"/>
        </w:rPr>
        <w:lastRenderedPageBreak/>
        <w:t>suficiente en el programa de trabajo plurianual a fin de poder incorporar las cuestiones incipientes y oportunidades que la Conferencia de las Partes pueda determinar.</w:t>
      </w:r>
    </w:p>
    <w:p w14:paraId="6A2BE5C1" w14:textId="09B4CC85" w:rsidR="00986359" w:rsidRPr="00852583" w:rsidRDefault="00986359" w:rsidP="00986359">
      <w:pPr>
        <w:keepNext/>
        <w:spacing w:before="140" w:after="140"/>
        <w:ind w:left="720" w:hanging="720"/>
        <w:jc w:val="center"/>
        <w:rPr>
          <w:i/>
        </w:rPr>
      </w:pPr>
      <w:r>
        <w:rPr>
          <w:i/>
        </w:rPr>
        <w:t>Anexo</w:t>
      </w:r>
    </w:p>
    <w:p w14:paraId="311A0138" w14:textId="627C4F15" w:rsidR="00986359" w:rsidRDefault="00986359" w:rsidP="00931FF5">
      <w:pPr>
        <w:keepNext/>
        <w:spacing w:before="140" w:after="240"/>
        <w:ind w:left="720" w:hanging="720"/>
        <w:jc w:val="center"/>
        <w:rPr>
          <w:b/>
          <w:caps/>
        </w:rPr>
      </w:pPr>
      <w:r>
        <w:rPr>
          <w:b/>
          <w:caps/>
        </w:rPr>
        <w:t>LISTA PRELIMINAR DE LAS PRINCIPALES CUESTIONES QUE DEBERÁN ABORDARSE EN LAS REUNIONES DE LA CONFERENCIA DE LAS PARTES DURANTE EL PERÍODO 2023-2030</w:t>
      </w:r>
      <w:r w:rsidRPr="00852583">
        <w:rPr>
          <w:b/>
          <w:caps/>
          <w:sz w:val="18"/>
          <w:vertAlign w:val="superscript"/>
        </w:rPr>
        <w:footnoteReference w:id="2"/>
      </w:r>
    </w:p>
    <w:tbl>
      <w:tblPr>
        <w:tblStyle w:val="TableGrid"/>
        <w:tblW w:w="0" w:type="auto"/>
        <w:tblInd w:w="137" w:type="dxa"/>
        <w:tblLook w:val="04A0" w:firstRow="1" w:lastRow="0" w:firstColumn="1" w:lastColumn="0" w:noHBand="0" w:noVBand="1"/>
      </w:tblPr>
      <w:tblGrid>
        <w:gridCol w:w="1418"/>
        <w:gridCol w:w="7795"/>
      </w:tblGrid>
      <w:tr w:rsidR="00931FF5" w14:paraId="59EA3B45" w14:textId="77777777" w:rsidTr="002A7407">
        <w:tc>
          <w:tcPr>
            <w:tcW w:w="1418" w:type="dxa"/>
          </w:tcPr>
          <w:p w14:paraId="3F53C263" w14:textId="6D573295" w:rsidR="00931FF5" w:rsidRDefault="00931FF5" w:rsidP="00931FF5">
            <w:pPr>
              <w:keepNext/>
              <w:spacing w:before="140"/>
              <w:jc w:val="left"/>
            </w:pPr>
            <w:r>
              <w:rPr>
                <w:b/>
              </w:rPr>
              <w:t>Reunión</w:t>
            </w:r>
          </w:p>
        </w:tc>
        <w:tc>
          <w:tcPr>
            <w:tcW w:w="7795" w:type="dxa"/>
          </w:tcPr>
          <w:p w14:paraId="0B5513EE" w14:textId="3DA8A734" w:rsidR="00931FF5" w:rsidRDefault="00931FF5" w:rsidP="00931FF5">
            <w:pPr>
              <w:keepNext/>
              <w:spacing w:before="140"/>
              <w:jc w:val="left"/>
            </w:pPr>
            <w:r>
              <w:rPr>
                <w:b/>
              </w:rPr>
              <w:t>Cuestiones estratégicas</w:t>
            </w:r>
          </w:p>
        </w:tc>
      </w:tr>
      <w:tr w:rsidR="00931FF5" w14:paraId="05F7AA22" w14:textId="77777777" w:rsidTr="002A7407">
        <w:tc>
          <w:tcPr>
            <w:tcW w:w="1418" w:type="dxa"/>
          </w:tcPr>
          <w:p w14:paraId="09F0AD8C" w14:textId="3BE817A3" w:rsidR="00931FF5" w:rsidRDefault="00931FF5" w:rsidP="00931FF5">
            <w:pPr>
              <w:keepNext/>
              <w:spacing w:before="140"/>
              <w:jc w:val="left"/>
            </w:pPr>
            <w:r>
              <w:t>COP 16 (2024)</w:t>
            </w:r>
          </w:p>
        </w:tc>
        <w:tc>
          <w:tcPr>
            <w:tcW w:w="7795" w:type="dxa"/>
          </w:tcPr>
          <w:p w14:paraId="403F4626" w14:textId="77777777" w:rsidR="00931FF5" w:rsidRPr="00852583" w:rsidRDefault="00931FF5" w:rsidP="00931FF5">
            <w:pPr>
              <w:spacing w:before="60" w:after="60"/>
              <w:ind w:left="360" w:hanging="360"/>
              <w:jc w:val="left"/>
              <w:rPr>
                <w:snapToGrid w:val="0"/>
                <w:szCs w:val="22"/>
              </w:rPr>
            </w:pPr>
            <w:r>
              <w:rPr>
                <w:rFonts w:ascii="Symbol" w:hAnsi="Symbol"/>
                <w:snapToGrid w:val="0"/>
              </w:rPr>
              <w:t></w:t>
            </w:r>
            <w:r>
              <w:rPr>
                <w:rFonts w:ascii="Symbol" w:hAnsi="Symbol"/>
                <w:snapToGrid w:val="0"/>
              </w:rPr>
              <w:tab/>
            </w:r>
            <w:r>
              <w:rPr>
                <w:snapToGrid w:val="0"/>
              </w:rPr>
              <w:t>Análisis mundial de la información de las estrategias y planes de acción nacionales en materia de biodiversidad, incluidas las metas nacionales.</w:t>
            </w:r>
          </w:p>
          <w:p w14:paraId="5672E736" w14:textId="737EFA43" w:rsidR="00931FF5" w:rsidRPr="005B07F0" w:rsidRDefault="00931FF5" w:rsidP="00931FF5">
            <w:pPr>
              <w:spacing w:before="60" w:after="60"/>
              <w:ind w:left="360" w:hanging="360"/>
              <w:jc w:val="left"/>
              <w:rPr>
                <w:snapToGrid w:val="0"/>
                <w:szCs w:val="22"/>
              </w:rPr>
            </w:pPr>
            <w:r>
              <w:rPr>
                <w:rFonts w:ascii="Symbol" w:hAnsi="Symbol"/>
                <w:snapToGrid w:val="0"/>
              </w:rPr>
              <w:t></w:t>
            </w:r>
            <w:r>
              <w:rPr>
                <w:rFonts w:ascii="Symbol" w:hAnsi="Symbol"/>
                <w:snapToGrid w:val="0"/>
              </w:rPr>
              <w:tab/>
            </w:r>
            <w:r>
              <w:t>Medidas estratégicas para mejorar la aplicación del Convenio y la implementación del Marco Mundial de Biodiversidad de Kunming</w:t>
            </w:r>
            <w:r>
              <w:noBreakHyphen/>
              <w:t>Montreal.</w:t>
            </w:r>
          </w:p>
          <w:p w14:paraId="111CE06E" w14:textId="77777777" w:rsidR="00931FF5" w:rsidRPr="00852583" w:rsidRDefault="00931FF5" w:rsidP="00931FF5">
            <w:pPr>
              <w:spacing w:before="60" w:after="60"/>
              <w:ind w:left="360" w:hanging="360"/>
              <w:jc w:val="left"/>
              <w:rPr>
                <w:szCs w:val="22"/>
              </w:rPr>
            </w:pPr>
            <w:r>
              <w:rPr>
                <w:rFonts w:ascii="Symbol" w:hAnsi="Symbol"/>
              </w:rPr>
              <w:t></w:t>
            </w:r>
            <w:r>
              <w:rPr>
                <w:rFonts w:ascii="Symbol" w:hAnsi="Symbol"/>
              </w:rPr>
              <w:tab/>
            </w:r>
            <w:r w:rsidRPr="000B3D0A">
              <w:t xml:space="preserve">Marco cuatrienal de prioridades programáticas orientado a la obtención de resultados y evaluación de las necesidades de financiación que servirán de base para el proceso de reposición </w:t>
            </w:r>
            <w:r>
              <w:t>del FMAM-9 (2026-2030).</w:t>
            </w:r>
          </w:p>
          <w:p w14:paraId="1BDA9F53" w14:textId="77777777" w:rsidR="00931FF5" w:rsidRPr="00852583" w:rsidRDefault="00931FF5" w:rsidP="00931FF5">
            <w:pPr>
              <w:spacing w:before="60" w:after="60"/>
              <w:ind w:left="360" w:hanging="360"/>
              <w:jc w:val="left"/>
              <w:rPr>
                <w:szCs w:val="22"/>
              </w:rPr>
            </w:pPr>
            <w:r>
              <w:rPr>
                <w:rFonts w:ascii="Symbol" w:hAnsi="Symbol"/>
              </w:rPr>
              <w:t></w:t>
            </w:r>
            <w:r>
              <w:rPr>
                <w:rFonts w:ascii="Symbol" w:hAnsi="Symbol"/>
              </w:rPr>
              <w:tab/>
            </w:r>
            <w:r>
              <w:t xml:space="preserve">Elaboración de un nuevo programa de trabajo y arreglos institucionales sobre el artículo 8 j) y disposiciones conexas. </w:t>
            </w:r>
          </w:p>
          <w:p w14:paraId="2D1EF1F2" w14:textId="77777777" w:rsidR="00931FF5" w:rsidRPr="00852583" w:rsidRDefault="00931FF5" w:rsidP="00931FF5">
            <w:pPr>
              <w:spacing w:before="60" w:after="60"/>
              <w:ind w:left="360" w:hanging="360"/>
              <w:jc w:val="left"/>
              <w:rPr>
                <w:szCs w:val="22"/>
              </w:rPr>
            </w:pPr>
            <w:r>
              <w:rPr>
                <w:rFonts w:ascii="Symbol" w:hAnsi="Symbol"/>
              </w:rPr>
              <w:t></w:t>
            </w:r>
            <w:r>
              <w:rPr>
                <w:rFonts w:ascii="Symbol" w:hAnsi="Symbol"/>
              </w:rPr>
              <w:tab/>
            </w:r>
            <w:r>
              <w:t xml:space="preserve">Consecuencias para la labor del Convenio de las evaluaciones de la IPBES sobre valores, utilización sostenible y especies exóticas invasoras. </w:t>
            </w:r>
          </w:p>
          <w:p w14:paraId="713E816A" w14:textId="07C1D0B0" w:rsidR="00931FF5" w:rsidRDefault="00931FF5" w:rsidP="00931FF5">
            <w:pPr>
              <w:spacing w:before="60" w:after="60"/>
              <w:ind w:left="360" w:hanging="360"/>
              <w:jc w:val="left"/>
            </w:pPr>
            <w:r>
              <w:rPr>
                <w:rFonts w:ascii="Symbol" w:hAnsi="Symbol"/>
              </w:rPr>
              <w:t></w:t>
            </w:r>
            <w:r>
              <w:rPr>
                <w:rFonts w:ascii="Symbol" w:hAnsi="Symbol"/>
              </w:rPr>
              <w:tab/>
            </w:r>
            <w:r>
              <w:t>[</w:t>
            </w:r>
            <w:r>
              <w:rPr>
                <w:i/>
              </w:rPr>
              <w:t xml:space="preserve">se </w:t>
            </w:r>
            <w:r w:rsidRPr="00931FF5">
              <w:rPr>
                <w:i/>
                <w:iCs/>
                <w:snapToGrid w:val="0"/>
              </w:rPr>
              <w:t>completará</w:t>
            </w:r>
            <w:r>
              <w:t>]</w:t>
            </w:r>
          </w:p>
        </w:tc>
      </w:tr>
      <w:tr w:rsidR="00931FF5" w14:paraId="68637DFA" w14:textId="77777777" w:rsidTr="002A7407">
        <w:tc>
          <w:tcPr>
            <w:tcW w:w="1418" w:type="dxa"/>
          </w:tcPr>
          <w:p w14:paraId="73142E9B" w14:textId="451C975F" w:rsidR="00931FF5" w:rsidRDefault="00931FF5" w:rsidP="00931FF5">
            <w:pPr>
              <w:keepNext/>
              <w:spacing w:before="140"/>
              <w:jc w:val="left"/>
            </w:pPr>
            <w:r>
              <w:t>COP 17 (2026)</w:t>
            </w:r>
          </w:p>
        </w:tc>
        <w:tc>
          <w:tcPr>
            <w:tcW w:w="7795" w:type="dxa"/>
          </w:tcPr>
          <w:p w14:paraId="4CD0B172" w14:textId="6F262507" w:rsidR="00931FF5" w:rsidRPr="00852583" w:rsidRDefault="00931FF5" w:rsidP="00931FF5">
            <w:pPr>
              <w:spacing w:before="60" w:after="60"/>
              <w:ind w:left="360" w:hanging="360"/>
              <w:jc w:val="left"/>
              <w:rPr>
                <w:szCs w:val="22"/>
              </w:rPr>
            </w:pPr>
            <w:r>
              <w:rPr>
                <w:rFonts w:ascii="Symbol" w:hAnsi="Symbol"/>
                <w:snapToGrid w:val="0"/>
              </w:rPr>
              <w:t></w:t>
            </w:r>
            <w:r>
              <w:rPr>
                <w:rFonts w:ascii="Symbol" w:hAnsi="Symbol"/>
                <w:snapToGrid w:val="0"/>
              </w:rPr>
              <w:tab/>
            </w:r>
            <w:r>
              <w:t>Revisión mundial de la implementación del Marco Mundial de Biodiversidad de Kunming</w:t>
            </w:r>
            <w:r>
              <w:noBreakHyphen/>
              <w:t>Montreal y los medios de implementación conexos sobre la base, entre otras cosas, de los séptimos informes nacionales.</w:t>
            </w:r>
          </w:p>
          <w:p w14:paraId="7D343475" w14:textId="13C26F5C" w:rsidR="00931FF5" w:rsidRPr="00115E38" w:rsidRDefault="00931FF5" w:rsidP="00931FF5">
            <w:pPr>
              <w:spacing w:before="60" w:after="60"/>
              <w:ind w:left="360" w:hanging="360"/>
              <w:jc w:val="left"/>
              <w:rPr>
                <w:snapToGrid w:val="0"/>
                <w:szCs w:val="22"/>
              </w:rPr>
            </w:pPr>
            <w:r>
              <w:rPr>
                <w:rFonts w:ascii="Symbol" w:hAnsi="Symbol"/>
                <w:snapToGrid w:val="0"/>
              </w:rPr>
              <w:t></w:t>
            </w:r>
            <w:r>
              <w:rPr>
                <w:rFonts w:ascii="Symbol" w:hAnsi="Symbol"/>
                <w:snapToGrid w:val="0"/>
              </w:rPr>
              <w:tab/>
            </w:r>
            <w:r>
              <w:rPr>
                <w:snapToGrid w:val="0"/>
              </w:rPr>
              <w:t>Medidas estratégicas para mejorar la aplicación del Convenio y la implementación del Marco Mundial de Biodiversidad de Kunming</w:t>
            </w:r>
            <w:r>
              <w:rPr>
                <w:snapToGrid w:val="0"/>
              </w:rPr>
              <w:noBreakHyphen/>
              <w:t>Montreal.</w:t>
            </w:r>
          </w:p>
          <w:p w14:paraId="684CE113" w14:textId="56CD68BC" w:rsidR="00931FF5" w:rsidRDefault="00931FF5" w:rsidP="00931FF5">
            <w:pPr>
              <w:spacing w:before="60" w:after="60"/>
              <w:ind w:left="360" w:hanging="360"/>
              <w:jc w:val="left"/>
              <w:rPr>
                <w:rFonts w:ascii="Symbol" w:hAnsi="Symbol"/>
                <w:snapToGrid w:val="0"/>
              </w:rPr>
            </w:pPr>
            <w:r>
              <w:rPr>
                <w:rFonts w:ascii="Symbol" w:hAnsi="Symbol"/>
                <w:snapToGrid w:val="0"/>
              </w:rPr>
              <w:t></w:t>
            </w:r>
            <w:r>
              <w:rPr>
                <w:rFonts w:ascii="Symbol" w:hAnsi="Symbol"/>
                <w:snapToGrid w:val="0"/>
              </w:rPr>
              <w:tab/>
            </w:r>
            <w:r>
              <w:t>[</w:t>
            </w:r>
            <w:r>
              <w:rPr>
                <w:i/>
              </w:rPr>
              <w:t>se completará</w:t>
            </w:r>
            <w:r>
              <w:t>]</w:t>
            </w:r>
          </w:p>
        </w:tc>
      </w:tr>
      <w:tr w:rsidR="00931FF5" w14:paraId="3FF0B655" w14:textId="77777777" w:rsidTr="002A7407">
        <w:tc>
          <w:tcPr>
            <w:tcW w:w="1418" w:type="dxa"/>
          </w:tcPr>
          <w:p w14:paraId="5993CA91" w14:textId="3454CE49" w:rsidR="00931FF5" w:rsidRDefault="00931FF5" w:rsidP="00931FF5">
            <w:pPr>
              <w:keepNext/>
              <w:spacing w:before="140"/>
              <w:jc w:val="left"/>
            </w:pPr>
            <w:r>
              <w:t>COP 18 (2028)</w:t>
            </w:r>
          </w:p>
        </w:tc>
        <w:tc>
          <w:tcPr>
            <w:tcW w:w="7795" w:type="dxa"/>
          </w:tcPr>
          <w:p w14:paraId="48E229AB" w14:textId="77777777" w:rsidR="00931FF5" w:rsidRPr="00C03A9A" w:rsidRDefault="00931FF5" w:rsidP="00931FF5">
            <w:pPr>
              <w:pStyle w:val="ListParagraph"/>
              <w:numPr>
                <w:ilvl w:val="0"/>
                <w:numId w:val="20"/>
              </w:numPr>
              <w:spacing w:before="60" w:after="60"/>
              <w:ind w:left="360"/>
              <w:jc w:val="left"/>
              <w:rPr>
                <w:snapToGrid w:val="0"/>
                <w:szCs w:val="22"/>
              </w:rPr>
            </w:pPr>
            <w:r>
              <w:t>Revisión de la implementación del Marco Mundial de Biodiversidad de Kunming</w:t>
            </w:r>
            <w:r>
              <w:noBreakHyphen/>
              <w:t>Montreal y los medios de implementación conexos</w:t>
            </w:r>
            <w:r>
              <w:rPr>
                <w:snapToGrid w:val="0"/>
              </w:rPr>
              <w:t>.</w:t>
            </w:r>
          </w:p>
          <w:p w14:paraId="27655C57" w14:textId="2536C9AE" w:rsidR="00931FF5" w:rsidRPr="00852583" w:rsidRDefault="00931FF5" w:rsidP="00931FF5">
            <w:pPr>
              <w:spacing w:before="60" w:after="60"/>
              <w:ind w:left="360" w:hanging="360"/>
              <w:jc w:val="left"/>
              <w:rPr>
                <w:snapToGrid w:val="0"/>
                <w:szCs w:val="22"/>
              </w:rPr>
            </w:pPr>
            <w:r>
              <w:rPr>
                <w:rFonts w:ascii="Symbol" w:hAnsi="Symbol"/>
                <w:snapToGrid w:val="0"/>
              </w:rPr>
              <w:t></w:t>
            </w:r>
            <w:r>
              <w:rPr>
                <w:rFonts w:ascii="Symbol" w:hAnsi="Symbol"/>
                <w:snapToGrid w:val="0"/>
              </w:rPr>
              <w:tab/>
            </w:r>
            <w:r>
              <w:rPr>
                <w:snapToGrid w:val="0"/>
              </w:rPr>
              <w:t>Medidas estratégicas para mejorar la aplicación del Convenio y la implementación del Marco Mundial de Biodiversidad de Kunming</w:t>
            </w:r>
            <w:r>
              <w:rPr>
                <w:snapToGrid w:val="0"/>
              </w:rPr>
              <w:noBreakHyphen/>
              <w:t>Montreal.</w:t>
            </w:r>
          </w:p>
          <w:p w14:paraId="76943990" w14:textId="77777777" w:rsidR="00931FF5" w:rsidRDefault="00931FF5" w:rsidP="00931FF5">
            <w:pPr>
              <w:spacing w:before="60" w:after="60"/>
              <w:ind w:left="360" w:hanging="360"/>
              <w:jc w:val="left"/>
              <w:rPr>
                <w:szCs w:val="22"/>
              </w:rPr>
            </w:pPr>
            <w:r>
              <w:rPr>
                <w:rFonts w:ascii="Symbol" w:hAnsi="Symbol"/>
              </w:rPr>
              <w:t></w:t>
            </w:r>
            <w:r>
              <w:rPr>
                <w:rFonts w:ascii="Symbol" w:hAnsi="Symbol"/>
              </w:rPr>
              <w:tab/>
            </w:r>
            <w:r w:rsidRPr="000B3D0A">
              <w:t xml:space="preserve">Marco cuatrienal de prioridades programáticas orientado a la obtención de resultados y evaluación de las necesidades de financiación que servirán de base para el proceso de reposición </w:t>
            </w:r>
            <w:r>
              <w:t>del FMAM-10 (2030-2034).</w:t>
            </w:r>
          </w:p>
          <w:p w14:paraId="2F713FDA" w14:textId="41E3E6F6" w:rsidR="00931FF5" w:rsidRDefault="00931FF5" w:rsidP="00931FF5">
            <w:pPr>
              <w:spacing w:before="60" w:after="60"/>
              <w:ind w:left="360" w:hanging="360"/>
              <w:jc w:val="left"/>
              <w:rPr>
                <w:rFonts w:ascii="Symbol" w:hAnsi="Symbol"/>
                <w:szCs w:val="22"/>
              </w:rPr>
            </w:pPr>
            <w:r>
              <w:rPr>
                <w:rFonts w:ascii="Symbol" w:hAnsi="Symbol"/>
              </w:rPr>
              <w:t></w:t>
            </w:r>
            <w:r>
              <w:rPr>
                <w:rFonts w:ascii="Symbol" w:hAnsi="Symbol"/>
              </w:rPr>
              <w:tab/>
            </w:r>
            <w:r>
              <w:rPr>
                <w:snapToGrid w:val="0"/>
              </w:rPr>
              <w:t>Consideraciones para un instrumento que suceda al Marco Mundial de Biodiversidad de Kunming</w:t>
            </w:r>
            <w:r>
              <w:rPr>
                <w:snapToGrid w:val="0"/>
              </w:rPr>
              <w:noBreakHyphen/>
              <w:t>Montreal.</w:t>
            </w:r>
          </w:p>
          <w:p w14:paraId="15CEF744" w14:textId="468A2819" w:rsidR="00931FF5" w:rsidRDefault="00931FF5" w:rsidP="00931FF5">
            <w:pPr>
              <w:spacing w:before="60" w:after="60"/>
              <w:ind w:left="360" w:hanging="360"/>
              <w:jc w:val="left"/>
              <w:rPr>
                <w:rFonts w:ascii="Symbol" w:hAnsi="Symbol"/>
                <w:snapToGrid w:val="0"/>
              </w:rPr>
            </w:pPr>
            <w:r>
              <w:rPr>
                <w:rFonts w:ascii="Symbol" w:hAnsi="Symbol"/>
              </w:rPr>
              <w:t></w:t>
            </w:r>
            <w:r>
              <w:rPr>
                <w:rFonts w:ascii="Symbol" w:hAnsi="Symbol"/>
              </w:rPr>
              <w:tab/>
            </w:r>
            <w:r>
              <w:t>[</w:t>
            </w:r>
            <w:r>
              <w:rPr>
                <w:i/>
              </w:rPr>
              <w:t>se completará</w:t>
            </w:r>
            <w:r>
              <w:t>]</w:t>
            </w:r>
          </w:p>
        </w:tc>
      </w:tr>
      <w:tr w:rsidR="00931FF5" w14:paraId="2FA5BA7F" w14:textId="77777777" w:rsidTr="002A7407">
        <w:tc>
          <w:tcPr>
            <w:tcW w:w="1418" w:type="dxa"/>
          </w:tcPr>
          <w:p w14:paraId="6E05AC99" w14:textId="73591E06" w:rsidR="00931FF5" w:rsidRDefault="00931FF5" w:rsidP="00931FF5">
            <w:pPr>
              <w:keepNext/>
              <w:spacing w:before="140"/>
              <w:jc w:val="left"/>
            </w:pPr>
            <w:r>
              <w:t>COP 19 (2030)</w:t>
            </w:r>
          </w:p>
        </w:tc>
        <w:tc>
          <w:tcPr>
            <w:tcW w:w="7795" w:type="dxa"/>
          </w:tcPr>
          <w:p w14:paraId="48FF57B6" w14:textId="77777777" w:rsidR="00931FF5" w:rsidRPr="00115E38" w:rsidRDefault="00931FF5" w:rsidP="00931FF5">
            <w:pPr>
              <w:pStyle w:val="ListParagraph"/>
              <w:numPr>
                <w:ilvl w:val="0"/>
                <w:numId w:val="20"/>
              </w:numPr>
              <w:spacing w:before="60" w:after="60"/>
              <w:ind w:left="357" w:hanging="357"/>
              <w:jc w:val="left"/>
              <w:rPr>
                <w:snapToGrid w:val="0"/>
                <w:szCs w:val="22"/>
              </w:rPr>
            </w:pPr>
            <w:r>
              <w:rPr>
                <w:snapToGrid w:val="0"/>
              </w:rPr>
              <w:t>Evaluación final de la implementación del Marco Mundial de Biodiversidad de Kunming</w:t>
            </w:r>
            <w:r>
              <w:rPr>
                <w:snapToGrid w:val="0"/>
              </w:rPr>
              <w:noBreakHyphen/>
              <w:t>Montreal sobre la base del octavo informe nacional</w:t>
            </w:r>
            <w:r>
              <w:t>.</w:t>
            </w:r>
          </w:p>
          <w:p w14:paraId="6ABB5481" w14:textId="0F21839A" w:rsidR="00931FF5" w:rsidRDefault="00931FF5" w:rsidP="00931FF5">
            <w:pPr>
              <w:pStyle w:val="ListParagraph"/>
              <w:numPr>
                <w:ilvl w:val="0"/>
                <w:numId w:val="20"/>
              </w:numPr>
              <w:spacing w:before="60" w:after="60"/>
              <w:ind w:left="360"/>
              <w:jc w:val="left"/>
            </w:pPr>
            <w:r>
              <w:t>[</w:t>
            </w:r>
            <w:r>
              <w:rPr>
                <w:i/>
              </w:rPr>
              <w:t>se completará</w:t>
            </w:r>
            <w:r>
              <w:t>]</w:t>
            </w:r>
          </w:p>
        </w:tc>
      </w:tr>
    </w:tbl>
    <w:p w14:paraId="318B161F" w14:textId="68A944BB" w:rsidR="00B3369F" w:rsidRPr="00C9161D" w:rsidRDefault="00986359" w:rsidP="00DC5ED5">
      <w:pPr>
        <w:pStyle w:val="Para1"/>
        <w:numPr>
          <w:ilvl w:val="0"/>
          <w:numId w:val="0"/>
        </w:numPr>
        <w:shd w:val="clear" w:color="auto" w:fill="FFFFFF" w:themeFill="background1"/>
        <w:jc w:val="center"/>
      </w:pPr>
      <w:r>
        <w:t>__________</w:t>
      </w:r>
    </w:p>
    <w:sectPr w:rsidR="00B3369F" w:rsidRPr="00C9161D" w:rsidSect="00115E3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A57C" w14:textId="77777777" w:rsidR="00333AAE" w:rsidRDefault="00333AAE" w:rsidP="00CF1848">
      <w:r>
        <w:separator/>
      </w:r>
    </w:p>
  </w:endnote>
  <w:endnote w:type="continuationSeparator" w:id="0">
    <w:p w14:paraId="27268CED" w14:textId="77777777" w:rsidR="00333AAE" w:rsidRDefault="00333AAE" w:rsidP="00CF1848">
      <w:r>
        <w:continuationSeparator/>
      </w:r>
    </w:p>
  </w:endnote>
  <w:endnote w:type="continuationNotice" w:id="1">
    <w:p w14:paraId="4CE08403" w14:textId="77777777" w:rsidR="00333AAE" w:rsidRDefault="00333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4F70" w14:textId="77777777" w:rsidR="00333AAE" w:rsidRDefault="00333AAE" w:rsidP="00CF1848">
      <w:r>
        <w:separator/>
      </w:r>
    </w:p>
  </w:footnote>
  <w:footnote w:type="continuationSeparator" w:id="0">
    <w:p w14:paraId="7E01799C" w14:textId="77777777" w:rsidR="00333AAE" w:rsidRDefault="00333AAE" w:rsidP="00CF1848">
      <w:r>
        <w:continuationSeparator/>
      </w:r>
    </w:p>
  </w:footnote>
  <w:footnote w:type="continuationNotice" w:id="1">
    <w:p w14:paraId="29648CA9" w14:textId="77777777" w:rsidR="00333AAE" w:rsidRDefault="00333AAE"/>
  </w:footnote>
  <w:footnote w:id="2">
    <w:p w14:paraId="5202556B" w14:textId="3D0C56CA" w:rsidR="00986359" w:rsidRDefault="00986359" w:rsidP="00986359">
      <w:pPr>
        <w:pStyle w:val="FootnoteText"/>
        <w:ind w:firstLine="0"/>
      </w:pPr>
      <w:r>
        <w:rPr>
          <w:rStyle w:val="FootnoteReference"/>
        </w:rPr>
        <w:footnoteRef/>
      </w:r>
      <w:r>
        <w:t xml:space="preserve"> La lista que figura en este cuadro se actualizará de conformidad con las peticiones formuladas en los párrafos 4 y 5 de la presente decisión.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155811743"/>
      <w:placeholder>
        <w:docPart w:val="C0625ADD73D3416487F971084A70A533"/>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C76CABC" w:rsidR="00534681" w:rsidRPr="00134846" w:rsidRDefault="00743279" w:rsidP="00534681">
        <w:pPr>
          <w:pStyle w:val="Header"/>
          <w:rPr>
            <w:lang w:val="fr-FR"/>
          </w:rPr>
        </w:pPr>
        <w:r>
          <w:rPr>
            <w:lang w:val="fr-FR"/>
          </w:rPr>
          <w:t>CBD/COP/DEC/15/33</w:t>
        </w:r>
      </w:p>
    </w:sdtContent>
  </w:sdt>
  <w:p w14:paraId="1E0FDE0B" w14:textId="5B2E43BE" w:rsidR="00534681" w:rsidRPr="00134846" w:rsidRDefault="00534681" w:rsidP="00534681">
    <w:pPr>
      <w:pStyle w:val="Header"/>
    </w:pPr>
    <w:r>
      <w:t xml:space="preserve">Página </w:t>
    </w:r>
    <w:r>
      <w:fldChar w:fldCharType="begin"/>
    </w:r>
    <w:r w:rsidRPr="00134846">
      <w:instrText xml:space="preserve"> PAGE   \* MERGEFORMAT </w:instrText>
    </w:r>
    <w:r>
      <w:fldChar w:fldCharType="separate"/>
    </w:r>
    <w:r w:rsidR="00583989">
      <w:rPr>
        <w:noProof/>
      </w:rPr>
      <w:t>2</w:t>
    </w:r>
    <w: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44C7B78" w:rsidR="009505C9" w:rsidRPr="00134846" w:rsidRDefault="00743279" w:rsidP="009505C9">
        <w:pPr>
          <w:pStyle w:val="Header"/>
          <w:jc w:val="right"/>
          <w:rPr>
            <w:lang w:val="fr-FR"/>
          </w:rPr>
        </w:pPr>
        <w:r>
          <w:rPr>
            <w:lang w:val="fr-FR"/>
          </w:rPr>
          <w:t>CBD/COP/DEC/15/33</w:t>
        </w:r>
      </w:p>
    </w:sdtContent>
  </w:sdt>
  <w:p w14:paraId="64AE8439" w14:textId="77777777" w:rsidR="009505C9" w:rsidRPr="00134846" w:rsidRDefault="009505C9" w:rsidP="009505C9">
    <w:pPr>
      <w:pStyle w:val="Header"/>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2"/>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1B9"/>
    <w:rsid w:val="00020A25"/>
    <w:rsid w:val="00021EB2"/>
    <w:rsid w:val="000344E1"/>
    <w:rsid w:val="00040A81"/>
    <w:rsid w:val="00040B50"/>
    <w:rsid w:val="00055B2E"/>
    <w:rsid w:val="0007171B"/>
    <w:rsid w:val="00084EC1"/>
    <w:rsid w:val="0008591A"/>
    <w:rsid w:val="000A57D2"/>
    <w:rsid w:val="000A6767"/>
    <w:rsid w:val="000B3D0A"/>
    <w:rsid w:val="000C64C2"/>
    <w:rsid w:val="000D60D4"/>
    <w:rsid w:val="000D636A"/>
    <w:rsid w:val="000E0358"/>
    <w:rsid w:val="000E369E"/>
    <w:rsid w:val="000E40F7"/>
    <w:rsid w:val="000E673A"/>
    <w:rsid w:val="000F74F5"/>
    <w:rsid w:val="0010529B"/>
    <w:rsid w:val="00105372"/>
    <w:rsid w:val="0010787A"/>
    <w:rsid w:val="001140B4"/>
    <w:rsid w:val="00115E38"/>
    <w:rsid w:val="001312AD"/>
    <w:rsid w:val="00131E7A"/>
    <w:rsid w:val="00134846"/>
    <w:rsid w:val="001354E9"/>
    <w:rsid w:val="001519C1"/>
    <w:rsid w:val="00151D36"/>
    <w:rsid w:val="00155A43"/>
    <w:rsid w:val="001607E7"/>
    <w:rsid w:val="00171BE9"/>
    <w:rsid w:val="00172AF6"/>
    <w:rsid w:val="00176CEE"/>
    <w:rsid w:val="00186DD8"/>
    <w:rsid w:val="0019736E"/>
    <w:rsid w:val="001A7E61"/>
    <w:rsid w:val="001B13FE"/>
    <w:rsid w:val="001B1787"/>
    <w:rsid w:val="001B4158"/>
    <w:rsid w:val="001B5EBE"/>
    <w:rsid w:val="001B657A"/>
    <w:rsid w:val="001B7115"/>
    <w:rsid w:val="001C3309"/>
    <w:rsid w:val="001D223E"/>
    <w:rsid w:val="002124E7"/>
    <w:rsid w:val="00226A1C"/>
    <w:rsid w:val="00242C57"/>
    <w:rsid w:val="0024501B"/>
    <w:rsid w:val="00246BEA"/>
    <w:rsid w:val="0028021A"/>
    <w:rsid w:val="002834AD"/>
    <w:rsid w:val="002A7407"/>
    <w:rsid w:val="002D18C9"/>
    <w:rsid w:val="002F1FCC"/>
    <w:rsid w:val="00300BCF"/>
    <w:rsid w:val="0030169D"/>
    <w:rsid w:val="003060EB"/>
    <w:rsid w:val="003153EB"/>
    <w:rsid w:val="00321985"/>
    <w:rsid w:val="00333AAE"/>
    <w:rsid w:val="00351205"/>
    <w:rsid w:val="003520C6"/>
    <w:rsid w:val="0035465E"/>
    <w:rsid w:val="003651F4"/>
    <w:rsid w:val="00372F74"/>
    <w:rsid w:val="00386FF7"/>
    <w:rsid w:val="003B7BB2"/>
    <w:rsid w:val="003F7224"/>
    <w:rsid w:val="004058AD"/>
    <w:rsid w:val="004058FE"/>
    <w:rsid w:val="00427D21"/>
    <w:rsid w:val="004644C2"/>
    <w:rsid w:val="00467F9C"/>
    <w:rsid w:val="00480791"/>
    <w:rsid w:val="0048110B"/>
    <w:rsid w:val="004C3CDA"/>
    <w:rsid w:val="004D4CE8"/>
    <w:rsid w:val="004D672B"/>
    <w:rsid w:val="00510738"/>
    <w:rsid w:val="0051585B"/>
    <w:rsid w:val="005313BD"/>
    <w:rsid w:val="00534681"/>
    <w:rsid w:val="00563442"/>
    <w:rsid w:val="00564B63"/>
    <w:rsid w:val="00565B42"/>
    <w:rsid w:val="0056684E"/>
    <w:rsid w:val="00581A70"/>
    <w:rsid w:val="00583989"/>
    <w:rsid w:val="00584A64"/>
    <w:rsid w:val="005976AB"/>
    <w:rsid w:val="005A12CF"/>
    <w:rsid w:val="005A57DC"/>
    <w:rsid w:val="005B4ADC"/>
    <w:rsid w:val="005C1AE4"/>
    <w:rsid w:val="005C4CE6"/>
    <w:rsid w:val="005D7222"/>
    <w:rsid w:val="006122BA"/>
    <w:rsid w:val="0062744F"/>
    <w:rsid w:val="00633490"/>
    <w:rsid w:val="006A1236"/>
    <w:rsid w:val="006B2290"/>
    <w:rsid w:val="006C4A5A"/>
    <w:rsid w:val="00717D88"/>
    <w:rsid w:val="0072578D"/>
    <w:rsid w:val="00743279"/>
    <w:rsid w:val="00755377"/>
    <w:rsid w:val="00765AB2"/>
    <w:rsid w:val="00771D4F"/>
    <w:rsid w:val="00786056"/>
    <w:rsid w:val="007942D3"/>
    <w:rsid w:val="007B2099"/>
    <w:rsid w:val="007B6C09"/>
    <w:rsid w:val="007B7741"/>
    <w:rsid w:val="007C07FE"/>
    <w:rsid w:val="007E09DA"/>
    <w:rsid w:val="00810A55"/>
    <w:rsid w:val="008178B6"/>
    <w:rsid w:val="008244B5"/>
    <w:rsid w:val="00840C90"/>
    <w:rsid w:val="008659A4"/>
    <w:rsid w:val="00865B74"/>
    <w:rsid w:val="00875C12"/>
    <w:rsid w:val="008974F0"/>
    <w:rsid w:val="008A5388"/>
    <w:rsid w:val="008B012A"/>
    <w:rsid w:val="008B79E4"/>
    <w:rsid w:val="008C616A"/>
    <w:rsid w:val="008C6619"/>
    <w:rsid w:val="00906E17"/>
    <w:rsid w:val="00920F51"/>
    <w:rsid w:val="00927D27"/>
    <w:rsid w:val="00930BA1"/>
    <w:rsid w:val="0093169E"/>
    <w:rsid w:val="00931FF5"/>
    <w:rsid w:val="009351D8"/>
    <w:rsid w:val="00937130"/>
    <w:rsid w:val="009505C9"/>
    <w:rsid w:val="00950752"/>
    <w:rsid w:val="00966424"/>
    <w:rsid w:val="00986359"/>
    <w:rsid w:val="00995143"/>
    <w:rsid w:val="009C2DE6"/>
    <w:rsid w:val="009D2B97"/>
    <w:rsid w:val="009D7931"/>
    <w:rsid w:val="009F0D86"/>
    <w:rsid w:val="009F3B09"/>
    <w:rsid w:val="00A1252A"/>
    <w:rsid w:val="00A54E41"/>
    <w:rsid w:val="00A7047B"/>
    <w:rsid w:val="00AA6F92"/>
    <w:rsid w:val="00AB0D76"/>
    <w:rsid w:val="00AB6934"/>
    <w:rsid w:val="00AD7FFC"/>
    <w:rsid w:val="00AF42DE"/>
    <w:rsid w:val="00B26ACD"/>
    <w:rsid w:val="00B3369F"/>
    <w:rsid w:val="00B47819"/>
    <w:rsid w:val="00B76977"/>
    <w:rsid w:val="00B90190"/>
    <w:rsid w:val="00B94E6C"/>
    <w:rsid w:val="00BA6071"/>
    <w:rsid w:val="00BB4606"/>
    <w:rsid w:val="00BB4AD2"/>
    <w:rsid w:val="00BB712E"/>
    <w:rsid w:val="00BC138D"/>
    <w:rsid w:val="00BE3F2D"/>
    <w:rsid w:val="00BF0A26"/>
    <w:rsid w:val="00BF11F9"/>
    <w:rsid w:val="00C23D2F"/>
    <w:rsid w:val="00C37DD6"/>
    <w:rsid w:val="00C443BD"/>
    <w:rsid w:val="00C451C5"/>
    <w:rsid w:val="00C52D4E"/>
    <w:rsid w:val="00C75B16"/>
    <w:rsid w:val="00C9161D"/>
    <w:rsid w:val="00C944F4"/>
    <w:rsid w:val="00CA0C1D"/>
    <w:rsid w:val="00CE304F"/>
    <w:rsid w:val="00CE357D"/>
    <w:rsid w:val="00CF1848"/>
    <w:rsid w:val="00D0384D"/>
    <w:rsid w:val="00D12044"/>
    <w:rsid w:val="00D16776"/>
    <w:rsid w:val="00D30264"/>
    <w:rsid w:val="00D33EFC"/>
    <w:rsid w:val="00D40DBC"/>
    <w:rsid w:val="00D45DB3"/>
    <w:rsid w:val="00D50D58"/>
    <w:rsid w:val="00D662F9"/>
    <w:rsid w:val="00D711D0"/>
    <w:rsid w:val="00D76A18"/>
    <w:rsid w:val="00D80849"/>
    <w:rsid w:val="00D82E8F"/>
    <w:rsid w:val="00DC4A6E"/>
    <w:rsid w:val="00DC5ED5"/>
    <w:rsid w:val="00DD118C"/>
    <w:rsid w:val="00DF03CA"/>
    <w:rsid w:val="00E07A51"/>
    <w:rsid w:val="00E2098A"/>
    <w:rsid w:val="00E24F58"/>
    <w:rsid w:val="00E3751E"/>
    <w:rsid w:val="00E66235"/>
    <w:rsid w:val="00E66B6A"/>
    <w:rsid w:val="00E730C3"/>
    <w:rsid w:val="00E80284"/>
    <w:rsid w:val="00E83C24"/>
    <w:rsid w:val="00E9318D"/>
    <w:rsid w:val="00EB2902"/>
    <w:rsid w:val="00EC1F46"/>
    <w:rsid w:val="00ED413B"/>
    <w:rsid w:val="00EF343A"/>
    <w:rsid w:val="00F10CA8"/>
    <w:rsid w:val="00F11E5A"/>
    <w:rsid w:val="00F212C3"/>
    <w:rsid w:val="00F45357"/>
    <w:rsid w:val="00F53193"/>
    <w:rsid w:val="00F5357E"/>
    <w:rsid w:val="00F6586C"/>
    <w:rsid w:val="00F94774"/>
    <w:rsid w:val="00FA20EB"/>
    <w:rsid w:val="00FA663B"/>
    <w:rsid w:val="00FC25F8"/>
    <w:rsid w:val="00FC2B75"/>
    <w:rsid w:val="00FC53DB"/>
    <w:rsid w:val="00FC7019"/>
    <w:rsid w:val="00FD411D"/>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BodyText"/>
    <w:rsid w:val="000001B9"/>
    <w:pPr>
      <w:ind w:firstLine="0"/>
      <w:jc w:val="left"/>
    </w:pPr>
    <w:rPr>
      <w:rFonts w:eastAsia="MS Mincho"/>
      <w:bCs/>
      <w:iCs w:val="0"/>
      <w:sz w:val="24"/>
      <w:szCs w:val="22"/>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s-ES"/>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s-ES"/>
    </w:rPr>
  </w:style>
  <w:style w:type="paragraph" w:styleId="NoSpacing">
    <w:name w:val="No Spacing"/>
    <w:uiPriority w:val="1"/>
    <w:qFormat/>
    <w:rsid w:val="000D636A"/>
    <w:rPr>
      <w:sz w:val="22"/>
      <w:szCs w:val="22"/>
      <w:lang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0625ADD73D3416487F971084A70A533"/>
        <w:category>
          <w:name w:val="General"/>
          <w:gallery w:val="placeholder"/>
        </w:category>
        <w:types>
          <w:type w:val="bbPlcHdr"/>
        </w:types>
        <w:behaviors>
          <w:behavior w:val="content"/>
        </w:behaviors>
        <w:guid w:val="{39E43FEA-8DED-417C-B75B-AF4CFCF3375B}"/>
      </w:docPartPr>
      <w:docPartBody>
        <w:p w:rsidR="004C5451" w:rsidRDefault="003776C0">
          <w:r w:rsidRPr="008A21D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34096"/>
    <w:rsid w:val="00254630"/>
    <w:rsid w:val="002E10C3"/>
    <w:rsid w:val="003776C0"/>
    <w:rsid w:val="00394741"/>
    <w:rsid w:val="00410808"/>
    <w:rsid w:val="0046422C"/>
    <w:rsid w:val="004760CF"/>
    <w:rsid w:val="004C5451"/>
    <w:rsid w:val="004E092F"/>
    <w:rsid w:val="00500A2B"/>
    <w:rsid w:val="0055264A"/>
    <w:rsid w:val="0058288D"/>
    <w:rsid w:val="006350C5"/>
    <w:rsid w:val="00665C6B"/>
    <w:rsid w:val="00673242"/>
    <w:rsid w:val="006801B3"/>
    <w:rsid w:val="007B1DF3"/>
    <w:rsid w:val="00810A55"/>
    <w:rsid w:val="008C6619"/>
    <w:rsid w:val="008D420E"/>
    <w:rsid w:val="00964E46"/>
    <w:rsid w:val="0098642F"/>
    <w:rsid w:val="009C6513"/>
    <w:rsid w:val="00B27D2C"/>
    <w:rsid w:val="00C8104B"/>
    <w:rsid w:val="00CA1A43"/>
    <w:rsid w:val="00D31D12"/>
    <w:rsid w:val="00D83E45"/>
    <w:rsid w:val="00DA68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6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347608CE-2A28-47A6-95DD-6B9C7112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4C8DF4-C104-4D9D-A1D9-D6D92108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768</Words>
  <Characters>4384</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15/33.	Multi-year programme of work of the Conference of the Parties</vt:lpstr>
      <vt:lpstr>TITLE</vt:lpstr>
    </vt:vector>
  </TitlesOfParts>
  <Company>SCBD</Company>
  <LinksUpToDate>false</LinksUpToDate>
  <CharactersWithSpaces>5142</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15/33.	Multi-year programme of work of the Conference of the Parties</dc:title>
  <dc:subject>CBD/COP/DEC/15/33</dc:subject>
  <dc:creator>SCBD</dc:creator>
  <cp:keywords>Conference of the Parties to the Convention on Biological Diversity, fifteenth meeting</cp:keywords>
  <cp:lastModifiedBy>Xue He Yan</cp:lastModifiedBy>
  <cp:revision>6</cp:revision>
  <cp:lastPrinted>2023-02-07T14:08:00Z</cp:lastPrinted>
  <dcterms:created xsi:type="dcterms:W3CDTF">2023-03-28T11:59:00Z</dcterms:created>
  <dcterms:modified xsi:type="dcterms:W3CDTF">2023-03-29T14:27:00Z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9cc8c22e299a669359259760f460253364f498cbf57a5288cf914b668f246606</vt:lpwstr>
  </property>
</Properties>
</file>