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2" w:type="dxa"/>
        <w:tblInd w:w="-283" w:type="dxa"/>
        <w:tblLayout w:type="fixed"/>
        <w:tblLook w:val="0000" w:firstRow="0" w:lastRow="0" w:firstColumn="0" w:lastColumn="0" w:noHBand="0" w:noVBand="0"/>
      </w:tblPr>
      <w:tblGrid>
        <w:gridCol w:w="975"/>
        <w:gridCol w:w="1434"/>
        <w:gridCol w:w="8073"/>
      </w:tblGrid>
      <w:tr w:rsidR="002F32D2" w:rsidRPr="002A4D5A" w14:paraId="796D61D2" w14:textId="77777777" w:rsidTr="007904D2">
        <w:trPr>
          <w:trHeight w:val="850"/>
        </w:trPr>
        <w:tc>
          <w:tcPr>
            <w:tcW w:w="975" w:type="dxa"/>
            <w:shd w:val="clear" w:color="auto" w:fill="auto"/>
            <w:vAlign w:val="bottom"/>
          </w:tcPr>
          <w:p w14:paraId="550003AD" w14:textId="77777777" w:rsidR="002F32D2" w:rsidRPr="002A4D5A" w:rsidRDefault="002F32D2" w:rsidP="007904D2">
            <w:pPr>
              <w:pStyle w:val="AASmallLogo"/>
            </w:pPr>
            <w:bookmarkStart w:id="0" w:name="_Hlk137651738"/>
            <w:r>
              <w:rPr>
                <w:noProof/>
              </w:rPr>
              <w:drawing>
                <wp:inline distT="0" distB="0" distL="0" distR="0" wp14:anchorId="439CB076" wp14:editId="5FCCF67F">
                  <wp:extent cx="474727" cy="402337"/>
                  <wp:effectExtent l="0" t="0" r="1905" b="0"/>
                  <wp:docPr id="2136593255" name="Picture 1" descr="A black background with a black squar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593255" name="Picture 1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727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7C99EE78" w14:textId="77777777" w:rsidR="002F32D2" w:rsidRPr="002A4D5A" w:rsidRDefault="002F32D2" w:rsidP="007904D2">
            <w:pPr>
              <w:pStyle w:val="AASmallLogo"/>
            </w:pPr>
          </w:p>
        </w:tc>
        <w:tc>
          <w:tcPr>
            <w:tcW w:w="1434" w:type="dxa"/>
            <w:shd w:val="clear" w:color="auto" w:fill="auto"/>
            <w:noWrap/>
            <w:vAlign w:val="bottom"/>
          </w:tcPr>
          <w:p w14:paraId="385E5DA4" w14:textId="77777777" w:rsidR="002F32D2" w:rsidRPr="002A4D5A" w:rsidRDefault="002F32D2" w:rsidP="007904D2">
            <w:pPr>
              <w:pStyle w:val="AASmallLogo"/>
            </w:pPr>
            <w:r>
              <w:rPr>
                <w:noProof/>
              </w:rPr>
              <w:drawing>
                <wp:inline distT="0" distB="0" distL="0" distR="0" wp14:anchorId="11DB6420" wp14:editId="43896435">
                  <wp:extent cx="498788" cy="285021"/>
                  <wp:effectExtent l="0" t="0" r="0" b="1270"/>
                  <wp:docPr id="211772066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720663" name="Picture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88" cy="285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173B33B9" w14:textId="77777777" w:rsidR="002F32D2" w:rsidRPr="002A4D5A" w:rsidRDefault="002F32D2" w:rsidP="007904D2">
            <w:pPr>
              <w:pStyle w:val="AASmallLogo"/>
            </w:pPr>
          </w:p>
        </w:tc>
        <w:tc>
          <w:tcPr>
            <w:tcW w:w="8073" w:type="dxa"/>
            <w:shd w:val="clear" w:color="auto" w:fill="auto"/>
            <w:vAlign w:val="bottom"/>
          </w:tcPr>
          <w:p w14:paraId="553BFD33" w14:textId="7F10E9FE" w:rsidR="002F32D2" w:rsidRPr="002A4D5A" w:rsidRDefault="002F32D2" w:rsidP="007904D2">
            <w:pPr>
              <w:pStyle w:val="ABSymbol"/>
              <w:rPr>
                <w:sz w:val="22"/>
                <w:szCs w:val="22"/>
              </w:rPr>
            </w:pPr>
            <w:r w:rsidRPr="002A4D5A">
              <w:rPr>
                <w:sz w:val="22"/>
              </w:rPr>
              <w:fldChar w:fldCharType="begin"/>
            </w:r>
            <w:r w:rsidRPr="002A4D5A">
              <w:rPr>
                <w:sz w:val="22"/>
              </w:rPr>
              <w:instrText xml:space="preserve"> DOCPROPERTY Subject \* MERGEFORMAT </w:instrText>
            </w:r>
            <w:r w:rsidRPr="002A4D5A">
              <w:rPr>
                <w:sz w:val="22"/>
              </w:rPr>
              <w:fldChar w:fldCharType="separate"/>
            </w:r>
            <w:r w:rsidR="007444B8" w:rsidRPr="007444B8">
              <w:rPr>
                <w:sz w:val="40"/>
              </w:rPr>
              <w:t>CBD</w:t>
            </w:r>
            <w:r w:rsidR="007444B8">
              <w:rPr>
                <w:sz w:val="22"/>
              </w:rPr>
              <w:t>/COP/DEC/16/9</w:t>
            </w:r>
            <w:r w:rsidRPr="002A4D5A">
              <w:rPr>
                <w:sz w:val="22"/>
              </w:rPr>
              <w:fldChar w:fldCharType="end"/>
            </w:r>
          </w:p>
        </w:tc>
      </w:tr>
    </w:tbl>
    <w:p w14:paraId="744E9C63" w14:textId="77777777" w:rsidR="002F32D2" w:rsidRPr="002A4D5A" w:rsidRDefault="002F32D2" w:rsidP="002F32D2">
      <w:pPr>
        <w:pStyle w:val="AISpacer"/>
      </w:pPr>
    </w:p>
    <w:tbl>
      <w:tblPr>
        <w:tblW w:w="10482" w:type="dxa"/>
        <w:tblInd w:w="-283" w:type="dxa"/>
        <w:tblBorders>
          <w:top w:val="single" w:sz="8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3112"/>
      </w:tblGrid>
      <w:tr w:rsidR="002F32D2" w:rsidRPr="002A4D5A" w14:paraId="2A49EC7C" w14:textId="77777777" w:rsidTr="007904D2">
        <w:trPr>
          <w:trHeight w:val="1814"/>
        </w:trPr>
        <w:tc>
          <w:tcPr>
            <w:tcW w:w="7370" w:type="dxa"/>
            <w:shd w:val="clear" w:color="auto" w:fill="auto"/>
          </w:tcPr>
          <w:p w14:paraId="06D27FC6" w14:textId="77777777" w:rsidR="002F32D2" w:rsidRPr="002A4D5A" w:rsidRDefault="002F32D2" w:rsidP="007904D2">
            <w:pPr>
              <w:pStyle w:val="ACLargeLogo"/>
            </w:pPr>
            <w:r>
              <w:rPr>
                <w:noProof/>
              </w:rPr>
              <w:drawing>
                <wp:inline distT="0" distB="0" distL="0" distR="0" wp14:anchorId="26B9B752" wp14:editId="3899188E">
                  <wp:extent cx="2755631" cy="1013099"/>
                  <wp:effectExtent l="0" t="0" r="6985" b="0"/>
                  <wp:docPr id="1146546960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546960" name="Picture 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631" cy="101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547C8181" w14:textId="77777777" w:rsidR="002F32D2" w:rsidRPr="002A4D5A" w:rsidRDefault="002F32D2" w:rsidP="007904D2">
            <w:pPr>
              <w:pStyle w:val="ACLargeLogo"/>
            </w:pPr>
          </w:p>
        </w:tc>
        <w:tc>
          <w:tcPr>
            <w:tcW w:w="3112" w:type="dxa"/>
            <w:shd w:val="clear" w:color="auto" w:fill="auto"/>
          </w:tcPr>
          <w:p w14:paraId="47812301" w14:textId="77777777" w:rsidR="002F32D2" w:rsidRPr="002A4D5A" w:rsidRDefault="002F32D2" w:rsidP="007904D2">
            <w:pPr>
              <w:pStyle w:val="AEDistrNormal"/>
            </w:pPr>
            <w:r>
              <w:t xml:space="preserve">Distr. </w:t>
            </w:r>
            <w:sdt>
              <w:sdtPr>
                <w:alias w:val="DistributionType"/>
                <w:id w:val="-943536495"/>
                <w:placeholder>
                  <w:docPart w:val="4FEECC70DA7D4233B861BE3AFE08C4B7"/>
                </w:placeholder>
                <w15:color w:val="800000"/>
              </w:sdtPr>
              <w:sdtEndPr/>
              <w:sdtContent>
                <w:r>
                  <w:t>general</w:t>
                </w:r>
              </w:sdtContent>
            </w:sdt>
            <w:r>
              <w:t xml:space="preserve"> </w:t>
            </w:r>
          </w:p>
          <w:p w14:paraId="0A6173BA" w14:textId="77777777" w:rsidR="006431FE" w:rsidRDefault="009549E8" w:rsidP="006431FE">
            <w:pPr>
              <w:pStyle w:val="AEDistrNormal"/>
            </w:pPr>
            <w:sdt>
              <w:sdtPr>
                <w:alias w:val="DistributionDate"/>
                <w:id w:val="1090040067"/>
                <w:placeholder>
                  <w:docPart w:val="8DA22119E2E24A4C986943349EE679C6"/>
                </w:placeholder>
                <w15:color w:val="800000"/>
              </w:sdtPr>
              <w:sdtEndPr/>
              <w:sdtContent>
                <w:r w:rsidR="008E64D3">
                  <w:t>1 de noviembre de 2024</w:t>
                </w:r>
              </w:sdtContent>
            </w:sdt>
          </w:p>
          <w:p w14:paraId="76A14532" w14:textId="0504208D" w:rsidR="002F32D2" w:rsidRPr="002A4D5A" w:rsidRDefault="009549E8" w:rsidP="006431FE">
            <w:pPr>
              <w:pStyle w:val="AEDistrNormal"/>
            </w:pPr>
            <w:sdt>
              <w:sdtPr>
                <w:alias w:val="DistributionLanguage"/>
                <w:id w:val="-1478219683"/>
                <w:placeholder>
                  <w:docPart w:val="2B1E32341ED34FDEBD64F804A6FE5491"/>
                </w:placeholder>
                <w15:color w:val="800000"/>
              </w:sdtPr>
              <w:sdtEndPr/>
              <w:sdtContent>
                <w:r w:rsidR="008E64D3">
                  <w:t>Español</w:t>
                </w:r>
                <w:r w:rsidR="008E64D3">
                  <w:br/>
                  <w:t>Original: inglés</w:t>
                </w:r>
              </w:sdtContent>
            </w:sdt>
            <w:r w:rsidR="008E64D3">
              <w:t xml:space="preserve"> </w:t>
            </w:r>
          </w:p>
          <w:p w14:paraId="23E8852E" w14:textId="77777777" w:rsidR="002F32D2" w:rsidRPr="002A4D5A" w:rsidRDefault="002F32D2" w:rsidP="007904D2">
            <w:pPr>
              <w:pStyle w:val="AEDistrNormal6pt"/>
            </w:pPr>
          </w:p>
        </w:tc>
      </w:tr>
    </w:tbl>
    <w:p w14:paraId="7102226B" w14:textId="77777777" w:rsidR="002F32D2" w:rsidRPr="002A4D5A" w:rsidRDefault="002F32D2" w:rsidP="002F32D2">
      <w:pPr>
        <w:pStyle w:val="AISpacer"/>
      </w:pPr>
    </w:p>
    <w:tbl>
      <w:tblPr>
        <w:tblW w:w="10482" w:type="dxa"/>
        <w:tblInd w:w="-283" w:type="dxa"/>
        <w:tblLayout w:type="fixed"/>
        <w:tblCellMar>
          <w:left w:w="283" w:type="dxa"/>
        </w:tblCellMar>
        <w:tblLook w:val="0000" w:firstRow="0" w:lastRow="0" w:firstColumn="0" w:lastColumn="0" w:noHBand="0" w:noVBand="0"/>
      </w:tblPr>
      <w:tblGrid>
        <w:gridCol w:w="6094"/>
        <w:gridCol w:w="4388"/>
      </w:tblGrid>
      <w:tr w:rsidR="002F32D2" w:rsidRPr="002A4D5A" w14:paraId="4741D532" w14:textId="77777777" w:rsidTr="007904D2">
        <w:trPr>
          <w:trHeight w:val="57"/>
        </w:trPr>
        <w:tc>
          <w:tcPr>
            <w:tcW w:w="6094" w:type="dxa"/>
            <w:shd w:val="clear" w:color="auto" w:fill="auto"/>
          </w:tcPr>
          <w:p w14:paraId="79EF46BF" w14:textId="77777777" w:rsidR="002F32D2" w:rsidRPr="002A4D5A" w:rsidRDefault="009549E8" w:rsidP="007904D2">
            <w:pPr>
              <w:pStyle w:val="AFCorN12Bold"/>
            </w:pPr>
            <w:sdt>
              <w:sdtPr>
                <w:rPr>
                  <w:bCs/>
                </w:rPr>
                <w:alias w:val="CorNot1Text"/>
                <w:id w:val="1971018176"/>
                <w:placeholder>
                  <w:docPart w:val="9EC60735975E45738D33D4615A3CEA50"/>
                </w:placeholder>
                <w15:color w:val="800000"/>
                <w:text w:multiLine="1"/>
              </w:sdtPr>
              <w:sdtEndPr/>
              <w:sdtContent>
                <w:r w:rsidR="008E64D3">
                  <w:t>Conferencia de las Partes en el Convenio sobre la Diversidad Biológica</w:t>
                </w:r>
              </w:sdtContent>
            </w:sdt>
            <w:r w:rsidR="008E64D3">
              <w:t xml:space="preserve"> </w:t>
            </w:r>
          </w:p>
          <w:p w14:paraId="6B7A1288" w14:textId="77777777" w:rsidR="002F32D2" w:rsidRPr="002A4D5A" w:rsidRDefault="009549E8" w:rsidP="007904D2">
            <w:pPr>
              <w:pStyle w:val="AFCorNBold"/>
            </w:pPr>
            <w:sdt>
              <w:sdtPr>
                <w:alias w:val="CorNot1TextPart2"/>
                <w:id w:val="-1728751740"/>
                <w:placeholder>
                  <w:docPart w:val="8CF88E69692D4DB0A20B8D53CF15B544"/>
                </w:placeholder>
                <w15:color w:val="800000"/>
                <w:text w:multiLine="1"/>
              </w:sdtPr>
              <w:sdtEndPr/>
              <w:sdtContent>
                <w:r w:rsidR="008E64D3">
                  <w:t>16ª reunión</w:t>
                </w:r>
              </w:sdtContent>
            </w:sdt>
            <w:r w:rsidR="008E64D3">
              <w:t xml:space="preserve"> </w:t>
            </w:r>
          </w:p>
          <w:p w14:paraId="4525E311" w14:textId="77777777" w:rsidR="002F32D2" w:rsidRPr="002A4D5A" w:rsidRDefault="009549E8" w:rsidP="007904D2">
            <w:pPr>
              <w:pStyle w:val="AFCorNBold"/>
              <w:rPr>
                <w:b w:val="0"/>
                <w:bCs/>
              </w:rPr>
            </w:pPr>
            <w:sdt>
              <w:sdtPr>
                <w:alias w:val="CorNot1VenueDate"/>
                <w:id w:val="152953731"/>
                <w:placeholder>
                  <w:docPart w:val="86A80E33BEBD479191AF3915080EC07F"/>
                </w:placeholder>
                <w15:color w:val="800000"/>
              </w:sdtPr>
              <w:sdtEndPr>
                <w:rPr>
                  <w:b w:val="0"/>
                  <w:bCs/>
                </w:rPr>
              </w:sdtEndPr>
              <w:sdtContent>
                <w:r w:rsidR="008E64D3">
                  <w:rPr>
                    <w:b w:val="0"/>
                  </w:rPr>
                  <w:t>Cali (Colombia), 21 de octubre a 1 de noviembre de 2024</w:t>
                </w:r>
              </w:sdtContent>
            </w:sdt>
            <w:r w:rsidR="008E64D3">
              <w:rPr>
                <w:b w:val="0"/>
              </w:rPr>
              <w:t xml:space="preserve"> </w:t>
            </w:r>
          </w:p>
          <w:p w14:paraId="5984E029" w14:textId="36D99C92" w:rsidR="002F32D2" w:rsidRPr="002A4D5A" w:rsidRDefault="009549E8" w:rsidP="007904D2">
            <w:pPr>
              <w:pStyle w:val="AFCorNNormal"/>
            </w:pPr>
            <w:sdt>
              <w:sdtPr>
                <w:alias w:val="CorNot1AgItem"/>
                <w:id w:val="287018184"/>
                <w:placeholder>
                  <w:docPart w:val="1FE438E9CF9940BA8A36476CAF4E07B8"/>
                </w:placeholder>
                <w15:color w:val="800000"/>
                <w:text/>
              </w:sdtPr>
              <w:sdtEndPr/>
              <w:sdtContent>
                <w:r w:rsidR="008E64D3">
                  <w:t>Tema 12 del programa</w:t>
                </w:r>
              </w:sdtContent>
            </w:sdt>
            <w:r w:rsidR="008E64D3">
              <w:t xml:space="preserve"> </w:t>
            </w:r>
          </w:p>
          <w:p w14:paraId="59986EB1" w14:textId="76F85273" w:rsidR="002F32D2" w:rsidRPr="002A4D5A" w:rsidRDefault="002F32D2" w:rsidP="006431FE">
            <w:pPr>
              <w:pStyle w:val="AFCorNBold"/>
            </w:pPr>
            <w:r>
              <w:t xml:space="preserve">Creación y desarrollo de capacidad, cooperación </w:t>
            </w:r>
            <w:r w:rsidR="006431FE">
              <w:br/>
            </w:r>
            <w:r>
              <w:t xml:space="preserve">científica y técnica, mecanismo de facilitación y </w:t>
            </w:r>
            <w:r w:rsidR="006431FE">
              <w:br/>
            </w:r>
            <w:r>
              <w:t>gestión de conocimientos</w:t>
            </w:r>
          </w:p>
        </w:tc>
        <w:tc>
          <w:tcPr>
            <w:tcW w:w="4388" w:type="dxa"/>
            <w:shd w:val="clear" w:color="auto" w:fill="auto"/>
          </w:tcPr>
          <w:p w14:paraId="47DB686C" w14:textId="77777777" w:rsidR="002F32D2" w:rsidRPr="002A4D5A" w:rsidRDefault="002F32D2" w:rsidP="007904D2">
            <w:pPr>
              <w:pStyle w:val="CBDNormal"/>
              <w:jc w:val="left"/>
            </w:pPr>
          </w:p>
        </w:tc>
      </w:tr>
    </w:tbl>
    <w:bookmarkEnd w:id="0"/>
    <w:p w14:paraId="3F49212B" w14:textId="53B9E271" w:rsidR="00A96B21" w:rsidRPr="002A4D5A" w:rsidRDefault="00D25E19" w:rsidP="001454DA">
      <w:pPr>
        <w:pStyle w:val="CBDTitle"/>
        <w:rPr>
          <w:szCs w:val="28"/>
        </w:rPr>
      </w:pPr>
      <w:r>
        <w:t>Decisiones adoptadas por la Conferencia de las Partes en el Convenio sobre la Diversidad Biológica el 1 de noviembre de 2024</w:t>
      </w:r>
    </w:p>
    <w:p w14:paraId="1D0CC854" w14:textId="6F7B9B7E" w:rsidR="00A96B21" w:rsidRPr="002A4D5A" w:rsidRDefault="00BE0C7C" w:rsidP="004916E9">
      <w:pPr>
        <w:pStyle w:val="CBDH2"/>
        <w:tabs>
          <w:tab w:val="clear" w:pos="567"/>
          <w:tab w:val="clear" w:pos="1134"/>
          <w:tab w:val="left" w:pos="1418"/>
        </w:tabs>
      </w:pPr>
      <w:r>
        <w:tab/>
        <w:t>16/9.</w:t>
      </w:r>
      <w:r>
        <w:tab/>
        <w:t xml:space="preserve">Mecanismo de facilitación y gestión de conocimientos </w:t>
      </w:r>
    </w:p>
    <w:p w14:paraId="68BFFCB7" w14:textId="5DAC2044" w:rsidR="00A6668E" w:rsidRPr="002A4D5A" w:rsidRDefault="00A6668E" w:rsidP="009161EB">
      <w:pPr>
        <w:pStyle w:val="CBDDesicionAnnex"/>
        <w:rPr>
          <w:rFonts w:hint="eastAsia"/>
        </w:rPr>
      </w:pPr>
      <w:r>
        <w:t>A</w:t>
      </w:r>
      <w:r>
        <w:br/>
        <w:t>Mecanismo de facilitación</w:t>
      </w:r>
    </w:p>
    <w:p w14:paraId="284EEA99" w14:textId="094A275D" w:rsidR="00A6668E" w:rsidRPr="002A4D5A" w:rsidRDefault="00A6668E" w:rsidP="00EE73AE">
      <w:pPr>
        <w:pStyle w:val="CBDNormalNoNumber"/>
        <w:tabs>
          <w:tab w:val="clear" w:pos="567"/>
        </w:tabs>
        <w:ind w:firstLine="567"/>
      </w:pPr>
      <w:r>
        <w:rPr>
          <w:i/>
        </w:rPr>
        <w:t>La Conferencia de las Partes</w:t>
      </w:r>
      <w:r>
        <w:t>,</w:t>
      </w:r>
    </w:p>
    <w:p w14:paraId="768ABB8E" w14:textId="4D553609" w:rsidR="00A6668E" w:rsidRPr="002A4D5A" w:rsidRDefault="00A6668E" w:rsidP="004916E9">
      <w:pPr>
        <w:pStyle w:val="CBDDesicionText"/>
      </w:pPr>
      <w:r>
        <w:rPr>
          <w:i/>
        </w:rPr>
        <w:t>Recordando</w:t>
      </w:r>
      <w:r>
        <w:t xml:space="preserve"> las decisiones </w:t>
      </w:r>
      <w:hyperlink r:id="rId14" w:history="1">
        <w:r>
          <w:rPr>
            <w:rStyle w:val="Hyperlink"/>
          </w:rPr>
          <w:t>XI/2</w:t>
        </w:r>
      </w:hyperlink>
      <w:r>
        <w:t xml:space="preserve">, de 19 de octubre de 2012, </w:t>
      </w:r>
      <w:hyperlink r:id="rId15" w:history="1">
        <w:r>
          <w:rPr>
            <w:rStyle w:val="Hyperlink"/>
          </w:rPr>
          <w:t>XII/2 B</w:t>
        </w:r>
      </w:hyperlink>
      <w:r>
        <w:t xml:space="preserve">, de 17 de octubre de 2014, </w:t>
      </w:r>
      <w:hyperlink r:id="rId16" w:history="1">
        <w:r>
          <w:rPr>
            <w:rStyle w:val="Hyperlink"/>
          </w:rPr>
          <w:t>XIII/23</w:t>
        </w:r>
      </w:hyperlink>
      <w:r>
        <w:t xml:space="preserve">, de 17 de diciembre de 2016, </w:t>
      </w:r>
      <w:hyperlink r:id="rId17" w:history="1">
        <w:r>
          <w:rPr>
            <w:rStyle w:val="Hyperlink"/>
          </w:rPr>
          <w:t>14/25</w:t>
        </w:r>
      </w:hyperlink>
      <w:r>
        <w:t xml:space="preserve">, de 29 de noviembre de 2018, y </w:t>
      </w:r>
      <w:hyperlink r:id="rId18" w:history="1">
        <w:r>
          <w:rPr>
            <w:rStyle w:val="Hyperlink"/>
          </w:rPr>
          <w:t>15/16</w:t>
        </w:r>
      </w:hyperlink>
      <w:r>
        <w:t>, de 19 de diciembre de 2022,</w:t>
      </w:r>
    </w:p>
    <w:p w14:paraId="434A3DD5" w14:textId="77777777" w:rsidR="00A6668E" w:rsidRPr="002A4D5A" w:rsidRDefault="00A6668E" w:rsidP="004916E9">
      <w:pPr>
        <w:pStyle w:val="CBDDesicionText"/>
      </w:pPr>
      <w:r>
        <w:rPr>
          <w:i/>
        </w:rPr>
        <w:t>Poniendo de relieve</w:t>
      </w:r>
      <w:r>
        <w:t xml:space="preserve"> la importancia crucial del mecanismo de facilitación para apoyar la implementación del Marco Mundial de Biodiversidad de Kunming-Montreal</w:t>
      </w:r>
      <w:r w:rsidRPr="002A4D5A">
        <w:rPr>
          <w:vertAlign w:val="superscript"/>
        </w:rPr>
        <w:footnoteReference w:id="2"/>
      </w:r>
      <w:r>
        <w:t>,</w:t>
      </w:r>
    </w:p>
    <w:p w14:paraId="1232E8FA" w14:textId="20694FFB" w:rsidR="00A6668E" w:rsidRPr="002A4D5A" w:rsidRDefault="00A6668E" w:rsidP="004916E9">
      <w:pPr>
        <w:pStyle w:val="CBDDesicionText"/>
      </w:pPr>
      <w:r>
        <w:rPr>
          <w:i/>
        </w:rPr>
        <w:t>Reconociendo</w:t>
      </w:r>
      <w:r>
        <w:t xml:space="preserve"> la importancia del mecanismo de facilitación para apoyar el mecanismo de cooperación científica y técnica</w:t>
      </w:r>
      <w:r w:rsidR="009C2E79" w:rsidRPr="002A4D5A">
        <w:rPr>
          <w:rStyle w:val="FootnoteReference"/>
        </w:rPr>
        <w:footnoteReference w:id="3"/>
      </w:r>
      <w:r>
        <w:t>, la estrategia de gestión de conocimientos en apoyo de la implementación del Marco, que figura en el anexo de la decisión 16/9 B, de 1 de noviembre de 2024, la estrategia de comunicación en apoyo de la implementación del Marco</w:t>
      </w:r>
      <w:r w:rsidRPr="002A4D5A">
        <w:rPr>
          <w:vertAlign w:val="superscript"/>
        </w:rPr>
        <w:footnoteReference w:id="4"/>
      </w:r>
      <w:r>
        <w:t xml:space="preserve"> y el enfoque multidimensional mejorado para la planificación, el seguimiento, la presentación de informes y la revisión</w:t>
      </w:r>
      <w:r w:rsidR="00670086" w:rsidRPr="002A4D5A">
        <w:rPr>
          <w:rStyle w:val="FootnoteReference"/>
        </w:rPr>
        <w:footnoteReference w:id="5"/>
      </w:r>
      <w:r>
        <w:t>,</w:t>
      </w:r>
    </w:p>
    <w:p w14:paraId="46207511" w14:textId="5DE95969" w:rsidR="00A6668E" w:rsidRPr="002A4D5A" w:rsidRDefault="00A6668E" w:rsidP="004916E9">
      <w:pPr>
        <w:pStyle w:val="CBDDesicionText"/>
      </w:pPr>
      <w:r>
        <w:rPr>
          <w:i/>
        </w:rPr>
        <w:t>Reconociendo también</w:t>
      </w:r>
      <w:r>
        <w:t xml:space="preserve"> que el mecanismo de facilitación debería ser compatible con la soberanía de los datos que está sujeta a las políticas y la legislación nacionales, así como a las reglamentaciones internacionales pertinentes en materia de intercambio de datos, y apoyarlas,</w:t>
      </w:r>
    </w:p>
    <w:p w14:paraId="0C91B481" w14:textId="6FD230B8" w:rsidR="00A6668E" w:rsidRPr="002A4D5A" w:rsidRDefault="00A6668E" w:rsidP="004916E9">
      <w:pPr>
        <w:pStyle w:val="CBDDesicionText"/>
      </w:pPr>
      <w:bookmarkStart w:id="1" w:name="_Hlk162276717"/>
      <w:r>
        <w:t>1.</w:t>
      </w:r>
      <w:r>
        <w:tab/>
      </w:r>
      <w:r>
        <w:rPr>
          <w:i/>
        </w:rPr>
        <w:t>Adopta</w:t>
      </w:r>
      <w:r>
        <w:t xml:space="preserve"> el programa de trabajo para el mecanismo de facilitación para el período</w:t>
      </w:r>
      <w:r w:rsidR="00150857">
        <w:t> </w:t>
      </w:r>
      <w:r>
        <w:t>2024</w:t>
      </w:r>
      <w:r w:rsidR="00150857">
        <w:noBreakHyphen/>
      </w:r>
      <w:r>
        <w:t>2030 que figura en el anexo de la presente decisión;</w:t>
      </w:r>
    </w:p>
    <w:bookmarkEnd w:id="1"/>
    <w:p w14:paraId="4CC66E96" w14:textId="1B9F1822" w:rsidR="00A6668E" w:rsidRPr="002A4D5A" w:rsidRDefault="00A6668E" w:rsidP="004916E9">
      <w:pPr>
        <w:pStyle w:val="CBDDesicionText"/>
      </w:pPr>
      <w:r>
        <w:lastRenderedPageBreak/>
        <w:t>2.</w:t>
      </w:r>
      <w:r>
        <w:tab/>
      </w:r>
      <w:r>
        <w:rPr>
          <w:i/>
        </w:rPr>
        <w:t xml:space="preserve">Invita </w:t>
      </w:r>
      <w:r>
        <w:t>a las Partes, a otros Gobiernos, a la entidad de coordinación mundial, a los centros regionales o subregionales de apoyo a la cooperación científica y técnica, y a las iniciativas y organizaciones pertinentes a ejecutar el programa de trabajo para el mecanismo de facilitación para el período 2024‑2030 con el fin de apoyar la aplicación del Convenio sobre la Diversidad Biológica</w:t>
      </w:r>
      <w:r w:rsidRPr="002A4D5A">
        <w:rPr>
          <w:vertAlign w:val="superscript"/>
        </w:rPr>
        <w:footnoteReference w:id="6"/>
      </w:r>
      <w:r>
        <w:t xml:space="preserve"> y sus Protocolos y la implementación del Marco Mundial de Biodiversidad de Kunming‑Montreal;</w:t>
      </w:r>
    </w:p>
    <w:p w14:paraId="738D5365" w14:textId="1D22D146" w:rsidR="00A6668E" w:rsidRPr="002A4D5A" w:rsidRDefault="00A6668E" w:rsidP="004916E9">
      <w:pPr>
        <w:pStyle w:val="CBDDesicionText"/>
      </w:pPr>
      <w:r>
        <w:t>3.</w:t>
      </w:r>
      <w:r>
        <w:tab/>
      </w:r>
      <w:r>
        <w:rPr>
          <w:i/>
        </w:rPr>
        <w:t xml:space="preserve">Alienta </w:t>
      </w:r>
      <w:r>
        <w:t>a las Partes a seguir adoptando las medidas necesarias para establecer o fortalecer los mecanismos de facilitación nacionales y garantizar su sostenibilidad, teniendo en consideración la legislación nacional;</w:t>
      </w:r>
    </w:p>
    <w:p w14:paraId="0FC540E8" w14:textId="203B4A8B" w:rsidR="00A6668E" w:rsidRPr="002A4D5A" w:rsidRDefault="00A6668E" w:rsidP="004916E9">
      <w:pPr>
        <w:pStyle w:val="CBDDesicionText"/>
      </w:pPr>
      <w:r>
        <w:t>4.</w:t>
      </w:r>
      <w:r>
        <w:tab/>
      </w:r>
      <w:r>
        <w:rPr>
          <w:i/>
        </w:rPr>
        <w:t>Alienta también</w:t>
      </w:r>
      <w:r>
        <w:t xml:space="preserve"> a las Partes a que designen un punto focal nacional o actualicen la información sobre los puntos focales nacionales para el mecanismo de facilitación, según proceda, y a que comuniquen los detalles de los puntos focales nacionales a la Secretaría;</w:t>
      </w:r>
    </w:p>
    <w:p w14:paraId="3F889D94" w14:textId="1DA7779C" w:rsidR="00F84854" w:rsidRPr="002A4D5A" w:rsidRDefault="00846D89" w:rsidP="004916E9">
      <w:pPr>
        <w:pStyle w:val="CBDDesicionText"/>
      </w:pPr>
      <w:r>
        <w:t>5.</w:t>
      </w:r>
      <w:r>
        <w:tab/>
      </w:r>
      <w:r>
        <w:rPr>
          <w:i/>
        </w:rPr>
        <w:t>Insta</w:t>
      </w:r>
      <w:r>
        <w:t xml:space="preserve"> a las Partes, en consonancia con los artículos 20 y 21 del Convenio, e invita a otros Gobiernos y a las organizaciones pertinentes, a que presten apoyo financiero y técnico a las actividades de creación y desarrollo de capacidad en materia de biodiversidad, teniendo en cuenta las situaciones específicas de las Partes que son países en desarrollo, en particular los países menos adelantados y los pequeños Estados insulares en desarrollo entre ellos, y las Partes con economías en transición, para que puedan ejecutar el programa de trabajo para el mecanismo de facilitación;</w:t>
      </w:r>
    </w:p>
    <w:p w14:paraId="4925DFAA" w14:textId="3722F481" w:rsidR="00A6668E" w:rsidRPr="002A4D5A" w:rsidRDefault="00A6668E" w:rsidP="004916E9">
      <w:pPr>
        <w:pStyle w:val="CBDDesicionText"/>
      </w:pPr>
      <w:r>
        <w:t>6.</w:t>
      </w:r>
      <w:r>
        <w:tab/>
      </w:r>
      <w:r>
        <w:rPr>
          <w:i/>
        </w:rPr>
        <w:t>Alienta</w:t>
      </w:r>
      <w:r>
        <w:t xml:space="preserve"> a las Partes a unirse a las redes y organizaciones pertinentes relacionadas con la biodiversidad</w:t>
      </w:r>
      <w:r w:rsidR="008D470D" w:rsidRPr="002A4D5A">
        <w:rPr>
          <w:rStyle w:val="FootnoteReference"/>
        </w:rPr>
        <w:footnoteReference w:id="7"/>
      </w:r>
      <w:r>
        <w:t>, con miras a desarrollar capacidades para gestionar y compartir datos e información, con el fin de gestionar y conservar la biodiversidad de manera eficaz;</w:t>
      </w:r>
    </w:p>
    <w:p w14:paraId="4D0266A2" w14:textId="5F968B4C" w:rsidR="00A6668E" w:rsidRPr="002A4D5A" w:rsidRDefault="00A6668E" w:rsidP="004916E9">
      <w:pPr>
        <w:pStyle w:val="CBDDesicionText"/>
      </w:pPr>
      <w:r>
        <w:t>7.</w:t>
      </w:r>
      <w:r>
        <w:tab/>
      </w:r>
      <w:r>
        <w:rPr>
          <w:i/>
          <w:iCs/>
        </w:rPr>
        <w:t>Pide</w:t>
      </w:r>
      <w:r>
        <w:t xml:space="preserve"> al Fondo para el Medio Ambiente Mundial que, de conformidad con su mandato, considere las solicitudes de financiación de todas las Partes que reúnan las condiciones a fin de que puedan ejecutar el programa de trabajo para el mecanismo de facilitación;</w:t>
      </w:r>
    </w:p>
    <w:p w14:paraId="70282193" w14:textId="18232FDA" w:rsidR="00A6668E" w:rsidRPr="002A4D5A" w:rsidRDefault="00A6668E" w:rsidP="004916E9">
      <w:pPr>
        <w:pStyle w:val="CBDDesicionText"/>
      </w:pPr>
      <w:r>
        <w:t>8.</w:t>
      </w:r>
      <w:r>
        <w:tab/>
      </w:r>
      <w:r>
        <w:rPr>
          <w:i/>
        </w:rPr>
        <w:t>Invita</w:t>
      </w:r>
      <w:r>
        <w:t xml:space="preserve"> a los centros regionales y subregionales de apoyo y a la entidad de coordinación mundial del mecanismo de cooperación científica y técnica a que faciliten la ejecución del programa de trabajo para el mecanismo de facilitación en colaboración con la Secretaría y organizaciones e iniciativas pertinentes;</w:t>
      </w:r>
    </w:p>
    <w:p w14:paraId="4E9D049B" w14:textId="77777777" w:rsidR="00A6668E" w:rsidRPr="002A4D5A" w:rsidRDefault="00A6668E" w:rsidP="004916E9">
      <w:pPr>
        <w:pStyle w:val="CBDDesicionText"/>
      </w:pPr>
      <w:r>
        <w:t>9.</w:t>
      </w:r>
      <w:r>
        <w:tab/>
      </w:r>
      <w:r>
        <w:rPr>
          <w:i/>
        </w:rPr>
        <w:t>Hace notar</w:t>
      </w:r>
      <w:r>
        <w:t xml:space="preserve"> los progresos realizados en el desarrollo de la herramienta </w:t>
      </w:r>
      <w:proofErr w:type="spellStart"/>
      <w:r>
        <w:t>Bioland</w:t>
      </w:r>
      <w:proofErr w:type="spellEnd"/>
      <w:r>
        <w:t xml:space="preserve"> y sus características de interoperabilidad, y el número de Partes que han utilizado la herramienta para establecer o reforzar los portales su mecanismo de facilitación nacional;</w:t>
      </w:r>
    </w:p>
    <w:p w14:paraId="78C6800D" w14:textId="77777777" w:rsidR="00A6668E" w:rsidRPr="002A4D5A" w:rsidRDefault="00A6668E" w:rsidP="004916E9">
      <w:pPr>
        <w:pStyle w:val="CBDDesicionText"/>
      </w:pPr>
      <w:r>
        <w:t>10.</w:t>
      </w:r>
      <w:r>
        <w:tab/>
      </w:r>
      <w:r>
        <w:rPr>
          <w:i/>
        </w:rPr>
        <w:t xml:space="preserve">Invita </w:t>
      </w:r>
      <w:r>
        <w:t xml:space="preserve">a las Partes a utilizar la herramienta </w:t>
      </w:r>
      <w:proofErr w:type="spellStart"/>
      <w:r>
        <w:t>Bioland</w:t>
      </w:r>
      <w:proofErr w:type="spellEnd"/>
      <w:r>
        <w:t xml:space="preserve"> para establecer o reforzar los portales de sus mecanismos de facilitación nacionales;</w:t>
      </w:r>
    </w:p>
    <w:p w14:paraId="08DED4AC" w14:textId="3E9A80F2" w:rsidR="00A6668E" w:rsidRPr="002A4D5A" w:rsidRDefault="00A6668E" w:rsidP="004916E9">
      <w:pPr>
        <w:pStyle w:val="CBDDesicionText"/>
      </w:pPr>
      <w:r>
        <w:t>11.</w:t>
      </w:r>
      <w:r>
        <w:tab/>
      </w:r>
      <w:r>
        <w:rPr>
          <w:i/>
        </w:rPr>
        <w:t xml:space="preserve">Pide </w:t>
      </w:r>
      <w:r>
        <w:t xml:space="preserve">a la </w:t>
      </w:r>
      <w:proofErr w:type="gramStart"/>
      <w:r>
        <w:t>Secretaria Ejecutiva</w:t>
      </w:r>
      <w:proofErr w:type="gramEnd"/>
      <w:r>
        <w:t xml:space="preserve"> que, con sujeción a la disponibilidad de recursos:</w:t>
      </w:r>
    </w:p>
    <w:p w14:paraId="67917E42" w14:textId="7C75AA12" w:rsidR="00A6668E" w:rsidRPr="002A4D5A" w:rsidRDefault="00A6668E" w:rsidP="004916E9">
      <w:pPr>
        <w:pStyle w:val="CBDDesicionText"/>
      </w:pPr>
      <w:r>
        <w:t>a)</w:t>
      </w:r>
      <w:r>
        <w:tab/>
        <w:t>Facilite la ejecución del programa de trabajo para el mecanismo de facilitación en colaboración con las Partes, los centros regionales y subregionales de apoyo, la entidad de coordinación mundial del mecanismo de cooperación científica y técnica y, según proceda, los pueblos indígenas y las comunidades locales, los representantes de las mujeres y de la juventud y las iniciativas y organizaciones pertinentes, con la orientación del Grupo Asesor Oficioso sobre Cooperación Científica y Técnica;</w:t>
      </w:r>
    </w:p>
    <w:p w14:paraId="53A59785" w14:textId="4D6C3EDF" w:rsidR="00A6668E" w:rsidRPr="002A4D5A" w:rsidRDefault="00A6668E" w:rsidP="004916E9">
      <w:pPr>
        <w:pStyle w:val="CBDDesicionText"/>
      </w:pPr>
      <w:r>
        <w:t>b)</w:t>
      </w:r>
      <w:r>
        <w:tab/>
        <w:t>Facilite, en cooperación con los centros regionales o subregionales de apoyo, las organizaciones e iniciativas pertinentes, los pueblos indígenas y las comunidades locales, las mujeres y la juventud, actividades de creación y desarrollo de capacidad para que las Partes puedan ejecutar el programa de trabajo;</w:t>
      </w:r>
    </w:p>
    <w:p w14:paraId="12B2B897" w14:textId="6F2FE53C" w:rsidR="00A6668E" w:rsidRPr="002A4D5A" w:rsidRDefault="00A6668E" w:rsidP="004916E9">
      <w:pPr>
        <w:pStyle w:val="CBDDesicionText"/>
      </w:pPr>
      <w:r>
        <w:lastRenderedPageBreak/>
        <w:t>c)</w:t>
      </w:r>
      <w:r>
        <w:tab/>
        <w:t>Siga desarrollando y reforzando el portal central del mecanismo de facilitación, entre otras cosas mejorando la accesibilidad de la información pertinente, en consonancia con el programa de trabajo para el mecanismo de facilitación;</w:t>
      </w:r>
    </w:p>
    <w:p w14:paraId="6D602237" w14:textId="1B7A2E2D" w:rsidR="00A6668E" w:rsidRPr="002A4D5A" w:rsidRDefault="00A6668E" w:rsidP="004916E9">
      <w:pPr>
        <w:pStyle w:val="CBDDesicionText"/>
      </w:pPr>
      <w:r>
        <w:t>d)</w:t>
      </w:r>
      <w:r>
        <w:tab/>
        <w:t>Mejore la organización y gestión del contenido del portal central del mecanismo de facilitación para facilitar la accesibilidad, intercambio y utilización en diversas aplicaciones y plataformas;</w:t>
      </w:r>
    </w:p>
    <w:p w14:paraId="1C0D7C03" w14:textId="394A4618" w:rsidR="00A6668E" w:rsidRPr="002A4D5A" w:rsidRDefault="00A6668E" w:rsidP="004916E9">
      <w:pPr>
        <w:pStyle w:val="CBDDesicionText"/>
      </w:pPr>
      <w:r>
        <w:t>e)</w:t>
      </w:r>
      <w:r>
        <w:tab/>
        <w:t>Siga mejorando el sitio web del Convenio y garantice que su contenido esté disponible en los seis idiomas oficiales de las Naciones Unidas;</w:t>
      </w:r>
    </w:p>
    <w:p w14:paraId="4C5B4572" w14:textId="2D4A5484" w:rsidR="00A6668E" w:rsidRPr="002A4D5A" w:rsidRDefault="00A6668E" w:rsidP="004916E9">
      <w:pPr>
        <w:pStyle w:val="CBDDesicionText"/>
      </w:pPr>
      <w:r>
        <w:t>f)</w:t>
      </w:r>
      <w:r>
        <w:tab/>
        <w:t xml:space="preserve">Siga desarrollando la herramienta </w:t>
      </w:r>
      <w:proofErr w:type="spellStart"/>
      <w:r>
        <w:t>Bioland</w:t>
      </w:r>
      <w:proofErr w:type="spellEnd"/>
      <w:r>
        <w:t xml:space="preserve"> y fomentando la capacidad de las Partes para utilizarla eficazmente a fin de desarrollar o reforzar los portales de su mecanismo de facilitación nacional, en consonancia con el programa de trabajo para el mecanismo de facilitación y en colaboración con la entidad de coordinación mundial y los centros regionales y subregionales de apoyo, las iniciativas pertinentes y las Partes que ya utilizan la herramienta </w:t>
      </w:r>
      <w:proofErr w:type="spellStart"/>
      <w:r>
        <w:t>Bioland</w:t>
      </w:r>
      <w:proofErr w:type="spellEnd"/>
      <w:r>
        <w:t>.</w:t>
      </w:r>
    </w:p>
    <w:p w14:paraId="3A438A2B" w14:textId="40003C37" w:rsidR="00A6668E" w:rsidRPr="002A4D5A" w:rsidRDefault="00A6668E" w:rsidP="009161EB">
      <w:pPr>
        <w:pStyle w:val="CBDDesicionAnnex"/>
        <w:rPr>
          <w:rFonts w:hint="eastAsia"/>
        </w:rPr>
      </w:pPr>
      <w:r>
        <w:t>Anexo</w:t>
      </w:r>
      <w:r>
        <w:br/>
        <w:t>Programa de trabajo para el mecanismo de facilitación para el período 2024-2030</w:t>
      </w:r>
    </w:p>
    <w:p w14:paraId="4C187387" w14:textId="0CCDC0F5" w:rsidR="00A6668E" w:rsidRPr="002A4D5A" w:rsidRDefault="00A6668E" w:rsidP="005F22F6">
      <w:pPr>
        <w:pStyle w:val="CBDNormalNoNumber"/>
      </w:pPr>
      <w:r>
        <w:t>1.</w:t>
      </w:r>
      <w:r>
        <w:tab/>
        <w:t>El programa de trabajo para el mecanismo de facilitación para el período 2024</w:t>
      </w:r>
      <w:r w:rsidR="00150857">
        <w:t>-</w:t>
      </w:r>
      <w:r>
        <w:t>2030 tiene la finalidad de apoyar y facilitar la implementación del Marco Mundial de Biodiversidad de Kunming</w:t>
      </w:r>
      <w:r w:rsidR="00150857">
        <w:noBreakHyphen/>
      </w:r>
      <w:r>
        <w:t>Montreal</w:t>
      </w:r>
      <w:r w:rsidRPr="002A4D5A">
        <w:rPr>
          <w:vertAlign w:val="superscript"/>
        </w:rPr>
        <w:footnoteReference w:id="8"/>
      </w:r>
      <w:r>
        <w:t xml:space="preserve"> y las estrategias y planes de acción nacionales en materia de biodiversidad. Sobre la base del programa de trabajo anterior para el mecanismo de facilitación para el período 2011-2020, procura facilitar los medios de implementación, en especial la cooperación científica y técnica, la creación y el desarrollo de capacidad, la gestión de conocimientos y la comunicación</w:t>
      </w:r>
      <w:r w:rsidRPr="002A4D5A">
        <w:rPr>
          <w:vertAlign w:val="superscript"/>
        </w:rPr>
        <w:footnoteReference w:id="9"/>
      </w:r>
      <w:r>
        <w:t>, la movilización de recursos, la integración de la diversidad biológica en todos los sectores, y otros programas y planes de acción, entre ellos el Plan de Acción sobre Género (2023-2030)</w:t>
      </w:r>
      <w:r w:rsidRPr="002A4D5A">
        <w:rPr>
          <w:vertAlign w:val="superscript"/>
        </w:rPr>
        <w:footnoteReference w:id="10"/>
      </w:r>
      <w:r>
        <w:t>, y el Programa de trabajo sobre el artículo 8 j) y otras disposiciones del Convenio sobre la Diversidad Biológica</w:t>
      </w:r>
      <w:r w:rsidRPr="002A4D5A">
        <w:rPr>
          <w:vertAlign w:val="superscript"/>
        </w:rPr>
        <w:footnoteReference w:id="11"/>
      </w:r>
      <w:r>
        <w:t xml:space="preserve"> relativas a los pueblos indígenas y las comunidades locales hasta 2030</w:t>
      </w:r>
      <w:r w:rsidRPr="002A4D5A">
        <w:rPr>
          <w:vertAlign w:val="superscript"/>
        </w:rPr>
        <w:footnoteReference w:id="12"/>
      </w:r>
      <w:r>
        <w:t>.</w:t>
      </w:r>
    </w:p>
    <w:p w14:paraId="6114EF10" w14:textId="72F49B0F" w:rsidR="00A6668E" w:rsidRPr="002A4D5A" w:rsidRDefault="00A6668E" w:rsidP="00A6668E">
      <w:pPr>
        <w:pStyle w:val="CBDNormalNoNumber"/>
      </w:pPr>
      <w:bookmarkStart w:id="2" w:name="_Hlk161145356"/>
      <w:r>
        <w:t>2.</w:t>
      </w:r>
      <w:r>
        <w:tab/>
        <w:t>Los objetivos del programa de trabajo para el mecanismo de facilitación para el período 2024</w:t>
      </w:r>
      <w:r w:rsidR="00150857">
        <w:noBreakHyphen/>
      </w:r>
      <w:r>
        <w:t>2030 son los siguientes:</w:t>
      </w:r>
    </w:p>
    <w:p w14:paraId="7B241DAA" w14:textId="355D9B3C" w:rsidR="00A6668E" w:rsidRPr="002A4D5A" w:rsidRDefault="00A6668E" w:rsidP="00A6668E">
      <w:pPr>
        <w:pStyle w:val="CBDNormalNoNumber"/>
        <w:ind w:firstLine="567"/>
      </w:pPr>
      <w:r>
        <w:t>a)</w:t>
      </w:r>
      <w:r>
        <w:tab/>
      </w:r>
      <w:r>
        <w:rPr>
          <w:i/>
        </w:rPr>
        <w:t>Objetivo 1</w:t>
      </w:r>
      <w:r>
        <w:t xml:space="preserve">: </w:t>
      </w:r>
      <w:r>
        <w:rPr>
          <w:i/>
          <w:iCs/>
        </w:rPr>
        <w:t>Promover y facilitar la cooperación científica y técnica</w:t>
      </w:r>
      <w:r>
        <w:t>. El mecanismo de facilitación reforzará los procesos y servicios a fin de promover y facilitar la cooperación científica y técnica equitativa, en particular las iniciativas de emparejamiento y el desarrollo y fortalecimiento de la capacidad nacional en consonancia con el marco estratégico a largo plazo para la creación y el desarrollo de capacidad y en apoyo de la labor del mecanismo de cooperación científica y técnica;</w:t>
      </w:r>
    </w:p>
    <w:p w14:paraId="3392EF54" w14:textId="21EFA4B8" w:rsidR="00A6668E" w:rsidRPr="002A4D5A" w:rsidRDefault="00A6668E" w:rsidP="00A6668E">
      <w:pPr>
        <w:pStyle w:val="CBDNormalNoNumber"/>
        <w:ind w:firstLine="567"/>
      </w:pPr>
      <w:r>
        <w:t>b)</w:t>
      </w:r>
      <w:r>
        <w:tab/>
      </w:r>
      <w:r>
        <w:rPr>
          <w:i/>
        </w:rPr>
        <w:t>Objetivo 2</w:t>
      </w:r>
      <w:r>
        <w:t xml:space="preserve">: </w:t>
      </w:r>
      <w:r>
        <w:rPr>
          <w:i/>
        </w:rPr>
        <w:t>Facilitar el intercambio de información</w:t>
      </w:r>
      <w:r>
        <w:t>. El mecanismo de facilitación propiciará el acceso a datos, información y conocimientos y su intercambio de modo sostenido y estructurado a través del portal central del mecanismo de facilitación y entre las redes de información internacionales, regionales, subregionales y temáticas y los centros de intercambio de información, en consonancia con la estrategia de gestión de conocimientos en apoyo de la implementación del Marco;</w:t>
      </w:r>
    </w:p>
    <w:p w14:paraId="26F44B00" w14:textId="77777777" w:rsidR="00A6668E" w:rsidRPr="002A4D5A" w:rsidRDefault="00A6668E" w:rsidP="00A6668E">
      <w:pPr>
        <w:pStyle w:val="CBDNormalNoNumber"/>
        <w:ind w:firstLine="567"/>
      </w:pPr>
      <w:r>
        <w:t>c)</w:t>
      </w:r>
      <w:r>
        <w:tab/>
      </w:r>
      <w:r>
        <w:rPr>
          <w:i/>
        </w:rPr>
        <w:t>Objetivo 3</w:t>
      </w:r>
      <w:r>
        <w:t xml:space="preserve">: </w:t>
      </w:r>
      <w:r>
        <w:rPr>
          <w:i/>
        </w:rPr>
        <w:t>Apoyar la planificación, el seguimiento, la presentación de informes y la revisión</w:t>
      </w:r>
      <w:r>
        <w:t xml:space="preserve">. El mecanismo de facilitación proporcionará herramientas y reforzará los procesos y los mecanismos de facilitación nacionales destinados a apoyar y facilitar la implementación de las </w:t>
      </w:r>
      <w:r>
        <w:lastRenderedPageBreak/>
        <w:t>estrategias y planes de acción nacionales en materia de biodiversidad, así como el enfoque mejorado para la planificación, el seguimiento, la presentación de informes y la revisión;</w:t>
      </w:r>
    </w:p>
    <w:p w14:paraId="04EDFE8B" w14:textId="22799B39" w:rsidR="00A6668E" w:rsidRPr="002A4D5A" w:rsidRDefault="00A6668E" w:rsidP="00A6668E">
      <w:pPr>
        <w:pStyle w:val="CBDNormalNoNumber"/>
        <w:ind w:firstLine="567"/>
      </w:pPr>
      <w:r>
        <w:t>d)</w:t>
      </w:r>
      <w:r>
        <w:tab/>
      </w:r>
      <w:r>
        <w:rPr>
          <w:i/>
        </w:rPr>
        <w:t>Objetivo 4:</w:t>
      </w:r>
      <w:r>
        <w:t xml:space="preserve"> </w:t>
      </w:r>
      <w:r>
        <w:rPr>
          <w:i/>
        </w:rPr>
        <w:t>Facilitar la creación de redes y la colaboración entre las Partes y los asociados.</w:t>
      </w:r>
      <w:r>
        <w:t xml:space="preserve"> El mecanismo de facilitación promoverá las interacciones intersectoriales, la creación de redes, el intercambio de conocimientos especializados e intercambios entre las Partes, las organizaciones asociadas, los pueblos indígenas y las comunidades locales, los representantes de las mujeres y de la juventud y los interesados pertinentes, apoyando la aplicación del Convenio y sus Protocolos y la implementación del Marco.</w:t>
      </w:r>
    </w:p>
    <w:p w14:paraId="394ACF2C" w14:textId="5D4FCCF0" w:rsidR="00A6668E" w:rsidRPr="002A4D5A" w:rsidRDefault="00A6668E" w:rsidP="00A6668E">
      <w:pPr>
        <w:pStyle w:val="CBDNormalNoNumber"/>
      </w:pPr>
      <w:r>
        <w:t>3.</w:t>
      </w:r>
      <w:r>
        <w:tab/>
        <w:t>En el programa de trabajo actualizado se definen los resultados previstos para cada uno de los cuatro objetivos, las acciones estratégicas para lograr los resultados y los plazos de ejecución indicativos.</w:t>
      </w:r>
    </w:p>
    <w:bookmarkEnd w:id="2"/>
    <w:p w14:paraId="05FA9910" w14:textId="1D3B09E6" w:rsidR="00A6668E" w:rsidRPr="002A4D5A" w:rsidRDefault="00A6668E" w:rsidP="00A6668E">
      <w:pPr>
        <w:pStyle w:val="CBDNormalNoNumber"/>
      </w:pPr>
      <w:r>
        <w:t>4.</w:t>
      </w:r>
      <w:r>
        <w:tab/>
        <w:t>La ejecución del programa de trabajo correrá principalmente por cuenta de las Partes en el Convenio, de conformidad con el Convenio, en particular los artículos 16, 17, 18 y 20, y de la Secretaría, y contará con el apoyo de la entidad de coordinación mundial del mecanismo de cooperación científica y técnica y sus centros regionales y subregionales de apoyo, así como de organizaciones internacionales, regionales, subregionales y temáticas, en consonancia con el enfoque de todo el gobierno y toda la sociedad y las consideraciones para la implementación del Marco</w:t>
      </w:r>
      <w:r w:rsidRPr="002A4D5A">
        <w:rPr>
          <w:vertAlign w:val="superscript"/>
        </w:rPr>
        <w:footnoteReference w:id="13"/>
      </w:r>
      <w:r>
        <w:t>.</w:t>
      </w:r>
    </w:p>
    <w:p w14:paraId="4FC40993" w14:textId="42914F5B" w:rsidR="00A6668E" w:rsidRPr="002A4D5A" w:rsidRDefault="007B44DA" w:rsidP="00C3569A">
      <w:pPr>
        <w:pStyle w:val="CBDNormalNoNumber"/>
      </w:pPr>
      <w:r>
        <w:t>5.</w:t>
      </w:r>
      <w:r>
        <w:tab/>
        <w:t xml:space="preserve">La ejecución del programa de trabajo apoyará la legislación y las normativas nacionales relativas al intercambio de información y se ajustará a ellas. </w:t>
      </w:r>
    </w:p>
    <w:p w14:paraId="08B80C84" w14:textId="5A52940B" w:rsidR="00D73A27" w:rsidRPr="002A4D5A" w:rsidRDefault="007B44DA" w:rsidP="00F77D70">
      <w:pPr>
        <w:pStyle w:val="CBDNormalNoNumber"/>
      </w:pPr>
      <w:r>
        <w:t>6.</w:t>
      </w:r>
      <w:r>
        <w:tab/>
        <w:t xml:space="preserve">El programa de trabajo se revisará y evaluará </w:t>
      </w:r>
      <w:proofErr w:type="gramStart"/>
      <w:r>
        <w:t>conjuntamente con</w:t>
      </w:r>
      <w:proofErr w:type="gramEnd"/>
      <w:r>
        <w:t xml:space="preserve"> el examen mundial de los progresos colectivos en la implementación del Marco que se llevará a cabo en la 19ª reunión de la Conferencia de las Partes.</w:t>
      </w:r>
    </w:p>
    <w:p w14:paraId="0A8DCCB6" w14:textId="77777777" w:rsidR="00A6668E" w:rsidRPr="004916E9" w:rsidRDefault="00A6668E" w:rsidP="00A6668E">
      <w:pPr>
        <w:pStyle w:val="CBDNormalNoNumber"/>
      </w:pPr>
      <w:r>
        <w:rPr>
          <w:b/>
        </w:rPr>
        <w:t>Objetivos, resultados y acciones estratégicas del programa de trabajo</w:t>
      </w:r>
    </w:p>
    <w:tbl>
      <w:tblPr>
        <w:tblStyle w:val="TableGrid"/>
        <w:tblW w:w="4789" w:type="pct"/>
        <w:tblInd w:w="421" w:type="dxa"/>
        <w:tblLook w:val="04A0" w:firstRow="1" w:lastRow="0" w:firstColumn="1" w:lastColumn="0" w:noHBand="0" w:noVBand="1"/>
      </w:tblPr>
      <w:tblGrid>
        <w:gridCol w:w="1310"/>
        <w:gridCol w:w="2545"/>
        <w:gridCol w:w="4243"/>
        <w:gridCol w:w="857"/>
      </w:tblGrid>
      <w:tr w:rsidR="00A2740B" w:rsidRPr="002A4D5A" w14:paraId="1BB92746" w14:textId="77777777" w:rsidTr="004916E9">
        <w:trPr>
          <w:trHeight w:val="57"/>
          <w:tblHeader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31BE2" w14:textId="77777777" w:rsidR="00D01523" w:rsidRPr="002A4D5A" w:rsidRDefault="00D01523" w:rsidP="004916E9">
            <w:pPr>
              <w:pStyle w:val="CBDNormalNoNumber"/>
              <w:spacing w:before="40" w:after="80"/>
              <w:ind w:left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</w:rPr>
              <w:t xml:space="preserve">Objetivo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1AF08" w14:textId="77777777" w:rsidR="00D01523" w:rsidRPr="002A4D5A" w:rsidRDefault="00D01523" w:rsidP="004916E9">
            <w:pPr>
              <w:pStyle w:val="CBDNormalNoNumber"/>
              <w:spacing w:before="40" w:after="80"/>
              <w:ind w:left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</w:rPr>
              <w:t xml:space="preserve">Resultado 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4782F" w14:textId="77777777" w:rsidR="00D01523" w:rsidRPr="002A4D5A" w:rsidRDefault="00D01523" w:rsidP="004916E9">
            <w:pPr>
              <w:pStyle w:val="CBDNormalNoNumber"/>
              <w:spacing w:before="40" w:after="80"/>
              <w:ind w:left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</w:rPr>
              <w:t xml:space="preserve">Acciones estratégicas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C9692" w14:textId="77777777" w:rsidR="00D01523" w:rsidRPr="002A4D5A" w:rsidRDefault="00D01523" w:rsidP="004916E9">
            <w:pPr>
              <w:pStyle w:val="CBDNormalNoNumber"/>
              <w:spacing w:before="40" w:after="80"/>
              <w:ind w:left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</w:rPr>
              <w:t>Plazo</w:t>
            </w:r>
          </w:p>
        </w:tc>
      </w:tr>
      <w:tr w:rsidR="00A2740B" w:rsidRPr="002A4D5A" w14:paraId="4C5E4407" w14:textId="77777777" w:rsidTr="00737AFC">
        <w:trPr>
          <w:trHeight w:val="57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5FCE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24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1. Promover y facilitar la cooperación científica y técnica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1E3A" w14:textId="0A5DA93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1.1. Se crean o refuerzan mecanismos que facilitan la cooperación científica y técnica a escala mundial, regional, subregional y nacional.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8057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13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1.1.A. </w:t>
            </w:r>
            <w:r>
              <w:t>Crear o reforzar plataformas de colaboración</w:t>
            </w:r>
            <w:r w:rsidRPr="002A4D5A">
              <w:rPr>
                <w:sz w:val="20"/>
                <w:szCs w:val="20"/>
                <w:vertAlign w:val="superscript"/>
              </w:rPr>
              <w:footnoteReference w:id="14"/>
            </w:r>
            <w:r>
              <w:t xml:space="preserve"> a fin de promover la cooperación científica y técnica, la transferencia de tecnología y la innovación</w:t>
            </w:r>
            <w:r w:rsidRPr="002A4D5A">
              <w:rPr>
                <w:sz w:val="20"/>
                <w:szCs w:val="20"/>
                <w:vertAlign w:val="superscript"/>
              </w:rPr>
              <w:footnoteReference w:id="15"/>
            </w:r>
            <w: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4BAF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2025-2030</w:t>
            </w:r>
          </w:p>
        </w:tc>
      </w:tr>
      <w:tr w:rsidR="00A2740B" w:rsidRPr="002A4D5A" w14:paraId="0AA05EE9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57649702" w14:textId="77777777" w:rsidR="00D01523" w:rsidRPr="002A4D5A" w:rsidRDefault="00D01523" w:rsidP="009161EB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49021918" w14:textId="77777777" w:rsidR="00D01523" w:rsidRPr="002A4D5A" w:rsidRDefault="00D01523" w:rsidP="009161EB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80BD" w14:textId="70C93438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13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1.1.B. Facilitar eventos</w:t>
            </w:r>
            <w:r w:rsidRPr="002A4D5A">
              <w:rPr>
                <w:sz w:val="20"/>
                <w:szCs w:val="20"/>
                <w:vertAlign w:val="superscript"/>
              </w:rPr>
              <w:footnoteReference w:id="16"/>
            </w:r>
            <w:r>
              <w:rPr>
                <w:sz w:val="20"/>
              </w:rPr>
              <w:t xml:space="preserve"> para la cooperación y el intercambio de conocimientos, mejores prácticas y lecciones aprendidas.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F6D0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2025-2030</w:t>
            </w:r>
          </w:p>
        </w:tc>
      </w:tr>
      <w:tr w:rsidR="00A2740B" w:rsidRPr="002A4D5A" w14:paraId="52989678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4565BFD9" w14:textId="77777777" w:rsidR="00D01523" w:rsidRPr="002A4D5A" w:rsidRDefault="00D01523" w:rsidP="009161EB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6B7DD24E" w14:textId="77777777" w:rsidR="00D01523" w:rsidRPr="002A4D5A" w:rsidRDefault="00D01523" w:rsidP="009161EB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D872" w14:textId="4A8D9914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13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1.1.C. Facilitar el establecimiento o el refuerzo de comunidades de práctica y otras plataformas e iniciativas de intercambio de conocimientos, incluidos los conocimientos, las innovaciones y las prácticas tradicionales, cuando sea culturalmente apropiado, y con el consentimiento libre, previo e informado</w:t>
            </w:r>
            <w:r w:rsidRPr="002A4D5A">
              <w:rPr>
                <w:rStyle w:val="FootnoteReference"/>
                <w:sz w:val="20"/>
                <w:szCs w:val="20"/>
              </w:rPr>
              <w:footnoteReference w:id="17"/>
            </w:r>
            <w:r>
              <w:rPr>
                <w:sz w:val="20"/>
              </w:rPr>
              <w:t xml:space="preserve"> de los titulares de los conocimientos tradicionales, a fin de propiciar el intercambio de las experiencias y los </w:t>
            </w:r>
            <w:r>
              <w:rPr>
                <w:sz w:val="20"/>
              </w:rPr>
              <w:lastRenderedPageBreak/>
              <w:t>conocimientos especializados y técnicos pertinentes.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6409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2025-2030</w:t>
            </w:r>
          </w:p>
        </w:tc>
      </w:tr>
      <w:tr w:rsidR="00A2740B" w:rsidRPr="002A4D5A" w14:paraId="49451A08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42D15455" w14:textId="77777777" w:rsidR="00D01523" w:rsidRPr="002A4D5A" w:rsidRDefault="00D01523" w:rsidP="009161EB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739D1971" w14:textId="77777777" w:rsidR="00D01523" w:rsidRPr="002A4D5A" w:rsidRDefault="00D01523" w:rsidP="009161EB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F8B6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13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1.1.D. Establecer o reforzar mecanismos a fin de promover programas de investigación conjunta e iniciativas mixtas para el desarrollo de tecnologías y soluciones.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2368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2025-2030</w:t>
            </w:r>
          </w:p>
        </w:tc>
      </w:tr>
      <w:tr w:rsidR="00A2740B" w:rsidRPr="002A4D5A" w14:paraId="41AB15F0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7B048928" w14:textId="77777777" w:rsidR="00D01523" w:rsidRPr="002A4D5A" w:rsidRDefault="00D01523" w:rsidP="009161EB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C514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30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1.2. Se facilita el emparejamiento entre Partes con necesidades científicas y técnicas específicas y otras Partes o instituciones en condiciones de prestar el apoyo necesario.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92B7" w14:textId="2FD505AC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13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1.2.A. Reforzar las herramientas y procedimientos que permiten a las Partes y los interesados determinar, priorizar y comunicar sus necesidades técnicas y científicas en relación con la biodiversidad y solicitudes de asistencia.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9DEA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2025-2030</w:t>
            </w:r>
          </w:p>
        </w:tc>
      </w:tr>
      <w:tr w:rsidR="00A2740B" w:rsidRPr="002A4D5A" w14:paraId="0ABBFD88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5B7582CF" w14:textId="77777777" w:rsidR="00D01523" w:rsidRPr="002A4D5A" w:rsidRDefault="00D01523" w:rsidP="009161EB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46282B3F" w14:textId="77777777" w:rsidR="00D01523" w:rsidRPr="002A4D5A" w:rsidRDefault="00D01523" w:rsidP="009161EB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E6E2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13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1.2.B. Hacer un balance de los conocimientos especializados, las herramientas, las tecnologías y otros bienes científicos y técnicos que pueden compartirse con las Partes.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3487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2025-2030</w:t>
            </w:r>
          </w:p>
        </w:tc>
      </w:tr>
      <w:tr w:rsidR="00A2740B" w:rsidRPr="002A4D5A" w14:paraId="7C3BA111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68F9FFC1" w14:textId="77777777" w:rsidR="00D01523" w:rsidRPr="002A4D5A" w:rsidRDefault="00D01523" w:rsidP="009161EB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59D5758A" w14:textId="77777777" w:rsidR="00D01523" w:rsidRPr="002A4D5A" w:rsidRDefault="00D01523" w:rsidP="009161EB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1495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13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1.2.C. Desarrollar o reforzar herramientas y servicios, incluidas plataformas en línea</w:t>
            </w:r>
            <w:r w:rsidRPr="002A4D5A">
              <w:rPr>
                <w:sz w:val="20"/>
                <w:szCs w:val="20"/>
                <w:vertAlign w:val="superscript"/>
              </w:rPr>
              <w:footnoteReference w:id="18"/>
            </w:r>
            <w:r>
              <w:rPr>
                <w:sz w:val="20"/>
              </w:rPr>
              <w:t>, a fin de facilitar el emparejamiento entre Partes que necesiten apoyo e interesados que estén en condiciones de prestar ese apoyo.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5FC4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2025-2030</w:t>
            </w:r>
          </w:p>
        </w:tc>
      </w:tr>
      <w:tr w:rsidR="00A2740B" w:rsidRPr="002A4D5A" w14:paraId="451F58CE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169EF23A" w14:textId="77777777" w:rsidR="00D01523" w:rsidRPr="002A4D5A" w:rsidRDefault="00D01523" w:rsidP="009161EB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6ABF6805" w14:textId="77777777" w:rsidR="00D01523" w:rsidRPr="002A4D5A" w:rsidRDefault="00D01523" w:rsidP="009161EB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768F" w14:textId="6DF74C02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13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1.2.D. Individualizar, cartografiar, vincular y promover los servicios de emparejamiento existentes de ámbito mundial, regional, subregional y nacional.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CC74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2025-2030</w:t>
            </w:r>
          </w:p>
        </w:tc>
      </w:tr>
      <w:tr w:rsidR="00A2740B" w:rsidRPr="002A4D5A" w14:paraId="1BD82806" w14:textId="77777777" w:rsidTr="00737AFC">
        <w:trPr>
          <w:trHeight w:val="57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A86E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24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2. Facilitar el intercambio de información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7CC0" w14:textId="4B1A1301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2.1. El portal central del mecanismo de facilitación suministra servicios de información eficientes a fin de facilitar la implementación del Marco Mundial de Biodiversidad de Kunming‑Montreal.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7DBC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13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2.1.A. Desarrollar, instrumentar y promover el espacio de trabajo para usuarios en el portal central del mecanismo de facilitación a fin de que las Partes y los interesados pertinentes puedan contribuir información, mantenerse en contacto, intercambiar ideas y trabajar juntos de manera sencilla.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D187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2024-2026</w:t>
            </w:r>
          </w:p>
        </w:tc>
      </w:tr>
      <w:tr w:rsidR="00A2740B" w:rsidRPr="002A4D5A" w14:paraId="2C67E4CE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4E842AF2" w14:textId="77777777" w:rsidR="00D01523" w:rsidRPr="004916E9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3F706BAB" w14:textId="77777777" w:rsidR="00D01523" w:rsidRPr="002A4D5A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4C39" w14:textId="6F4F8583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13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2.1.B. Seguir desarrollando e instrumentando el sistema de presentación en línea a fin de que las Partes y los interesados puedan utilizarlos para presentar información relacionada con la aplicación del Convenio y la implementación del Marco</w:t>
            </w:r>
            <w:r w:rsidRPr="002A4D5A">
              <w:rPr>
                <w:sz w:val="20"/>
                <w:szCs w:val="20"/>
                <w:vertAlign w:val="superscript"/>
              </w:rPr>
              <w:footnoteReference w:id="19"/>
            </w:r>
            <w:r>
              <w:rPr>
                <w:sz w:val="20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E5F0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2024-2028</w:t>
            </w:r>
          </w:p>
        </w:tc>
      </w:tr>
      <w:tr w:rsidR="00A2740B" w:rsidRPr="002A4D5A" w14:paraId="4DFD7ADC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28C18AA7" w14:textId="77777777" w:rsidR="00D01523" w:rsidRPr="004916E9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23F0FE03" w14:textId="77777777" w:rsidR="00D01523" w:rsidRPr="002A4D5A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8EA8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13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2.1.C. Seguir desarrollando y mejorando la interfaz de usuario del portal central del mecanismo de facilitación para facilitar la localización y el acceso a los datos, la información y los conocimientos disponibles en el portal.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0E90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2024-2025</w:t>
            </w:r>
          </w:p>
        </w:tc>
      </w:tr>
      <w:tr w:rsidR="00A2740B" w:rsidRPr="002A4D5A" w14:paraId="726C4B23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105F2DE1" w14:textId="77777777" w:rsidR="00D01523" w:rsidRPr="004916E9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2E6FD00E" w14:textId="77777777" w:rsidR="00D01523" w:rsidRPr="002A4D5A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6F39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13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2.1.D. Seguir desarrollando herramientas que permitan la interoperabilidad de los mecanismos de facilitación nacionales y los sistemas de información de las organizaciones asociadas, y que presenten automáticamente la información </w:t>
            </w:r>
            <w:r>
              <w:rPr>
                <w:sz w:val="20"/>
              </w:rPr>
              <w:lastRenderedPageBreak/>
              <w:t>pertinente procedente del mecanismo de facilitación central.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8CE6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2024-2025</w:t>
            </w:r>
          </w:p>
        </w:tc>
      </w:tr>
      <w:tr w:rsidR="00A2740B" w:rsidRPr="002A4D5A" w14:paraId="2E077F12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3F8B7A05" w14:textId="77777777" w:rsidR="00D01523" w:rsidRPr="004916E9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64D4F8D7" w14:textId="77777777" w:rsidR="00D01523" w:rsidRPr="002A4D5A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46F1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13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2.1.E. Seguir desarrollando herramientas de agregación de datos a fin de aprovechar la información de los mecanismos de facilitación nacionales y de los sistemas de información de las organizaciones asociadas.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5BCC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2024-2026</w:t>
            </w:r>
          </w:p>
        </w:tc>
      </w:tr>
      <w:tr w:rsidR="00A2740B" w:rsidRPr="002A4D5A" w14:paraId="3427C279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70A2A6D5" w14:textId="77777777" w:rsidR="00D01523" w:rsidRPr="004916E9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2AE73CA8" w14:textId="77777777" w:rsidR="00D01523" w:rsidRPr="002A4D5A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B581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13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2.1.F. Poner en marcha otros servicios de información que solicite la Conferencia de las Partes.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9BD3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2025-2030</w:t>
            </w:r>
          </w:p>
        </w:tc>
      </w:tr>
      <w:tr w:rsidR="00A2740B" w:rsidRPr="002A4D5A" w14:paraId="06F255EB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745C671B" w14:textId="77777777" w:rsidR="00D01523" w:rsidRPr="004916E9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93A0" w14:textId="0753CE1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30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2.2. Se refuerzan los sistemas de intercambio, integración y visualización de la información.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4095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13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2.2.A. Seguir desarrollando y mejorando el sitio web del Convenio, en particular, su diseño, funcionalidad, accesibilidad y facilidad de uso.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B981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2024-2026</w:t>
            </w:r>
          </w:p>
        </w:tc>
      </w:tr>
      <w:tr w:rsidR="00A2740B" w:rsidRPr="002A4D5A" w14:paraId="73529D51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19D6D9DC" w14:textId="77777777" w:rsidR="00D01523" w:rsidRPr="004916E9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62709D51" w14:textId="77777777" w:rsidR="00D01523" w:rsidRPr="002A4D5A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28CF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13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2.2.B. Seguir desarrollando y actualizando formatos comunes para la recopilación, la organización y el intercambio de información y metadatos, a fin de estandarizar la estructura y la organización de la información.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E868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2025-2030</w:t>
            </w:r>
          </w:p>
        </w:tc>
      </w:tr>
      <w:tr w:rsidR="00A2740B" w:rsidRPr="002A4D5A" w14:paraId="6911E33C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436A2DD4" w14:textId="77777777" w:rsidR="00D01523" w:rsidRPr="004916E9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5B6CEC2A" w14:textId="77777777" w:rsidR="00D01523" w:rsidRPr="002A4D5A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F267" w14:textId="024325BE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13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2.2.C. Seguir desarrollando o modificando léxicos, taxonomías y ontologías controladas a fin de facilitar el intercambio de información de modo coherente y estandarizado a escala mundial, regional, subregional y nacional.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67CD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2024-2026</w:t>
            </w:r>
          </w:p>
        </w:tc>
      </w:tr>
      <w:tr w:rsidR="00A2740B" w:rsidRPr="002A4D5A" w14:paraId="4A5B484D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6E4764BD" w14:textId="77777777" w:rsidR="00D01523" w:rsidRPr="004916E9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43F0A5BD" w14:textId="77777777" w:rsidR="00D01523" w:rsidRPr="002A4D5A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1FE7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13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2.2.D. Seguir reforzando los mecanismos de intercambio de datos, en particular, la interfaz de programación de aplicaciones, a fin de facilitar la interoperabilidad de los sistemas de información pertinentes con el portal central del mecanismo de facilitación, el Centro de Intercambio de Información sobre Acceso y Participación en los Beneficios y el Centro de Intercambio de Información sobre Seguridad de la Biotecnología, así como con los portales de los mecanismos de facilitación nacionales.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EC98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2025-2030</w:t>
            </w:r>
          </w:p>
        </w:tc>
      </w:tr>
      <w:tr w:rsidR="00A2740B" w:rsidRPr="002A4D5A" w14:paraId="5D6DE0E4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2AF19DF2" w14:textId="77777777" w:rsidR="00D01523" w:rsidRPr="004916E9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12451CF1" w14:textId="77777777" w:rsidR="00D01523" w:rsidRPr="002A4D5A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FCBB" w14:textId="798285DE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13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2.2.E. Reforzar las herramientas de visualización de datos, tales como tableros y mapas interactivos, para permitir la presentación de información compleja en formatos fáciles de entender.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6F8A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2024-2030</w:t>
            </w:r>
          </w:p>
        </w:tc>
      </w:tr>
      <w:tr w:rsidR="00A2740B" w:rsidRPr="002A4D5A" w14:paraId="71DC57C1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5B5969E9" w14:textId="77777777" w:rsidR="00D01523" w:rsidRPr="004916E9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1040FCBE" w14:textId="77777777" w:rsidR="00D01523" w:rsidRPr="002A4D5A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CA7C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13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2.2.F. Reforzar la capacidad de la Secretaría para seguir desarrollando y manteniendo el mecanismo de facilitación central</w:t>
            </w:r>
            <w:r w:rsidRPr="002A4D5A">
              <w:rPr>
                <w:sz w:val="20"/>
                <w:szCs w:val="20"/>
                <w:vertAlign w:val="superscript"/>
              </w:rPr>
              <w:footnoteReference w:id="20"/>
            </w:r>
            <w:r>
              <w:rPr>
                <w:sz w:val="20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06C4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2024-2030</w:t>
            </w:r>
          </w:p>
        </w:tc>
      </w:tr>
      <w:tr w:rsidR="00A2740B" w:rsidRPr="002A4D5A" w14:paraId="3D9FBFCF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2D1F7D0D" w14:textId="77777777" w:rsidR="00D01523" w:rsidRPr="004916E9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2C0D31F7" w14:textId="77777777" w:rsidR="00D01523" w:rsidRPr="002A4D5A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42AD32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13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2.2.G. Proporcionar orientaciones y capacitación adicionales a las Partes y los interesados sobre el uso eficaz del portal central del mecanismo de facilitación para intercambiar información.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81978D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2025-2030</w:t>
            </w:r>
          </w:p>
        </w:tc>
      </w:tr>
      <w:tr w:rsidR="00A2740B" w:rsidRPr="002A4D5A" w14:paraId="23F74A89" w14:textId="77777777" w:rsidTr="00150857">
        <w:trPr>
          <w:cantSplit/>
          <w:trHeight w:val="57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95E9" w14:textId="4457D255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3. Apoyar la planificación, el seguimiento, la presentación de informes y la revisión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DDB1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30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3.1. Se desarrollan o refuerzan herramientas y mecanismos a fin de facilitar y apoyar la planificación, el seguimiento, la presentación de informes y la revisión de los progresos en la implementación del Marco y la aplicación del Convenio.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A52B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13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3.1.A. Seguir desarrollando y poniendo en práctica la herramienta de presentación de informes en línea para que las Partes puedan notificar los progresos realizados con miras a la consecución de los objetivos y las metas del Marco.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0E8F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2024-2026</w:t>
            </w:r>
          </w:p>
        </w:tc>
      </w:tr>
      <w:tr w:rsidR="00A2740B" w:rsidRPr="002A4D5A" w14:paraId="07727B9D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60F3214A" w14:textId="77777777" w:rsidR="00D01523" w:rsidRPr="002A4D5A" w:rsidRDefault="00D01523" w:rsidP="009161EB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6A510493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30"/>
              <w:jc w:val="left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5C6F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13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3.1.B. Seguir desarrollando y poniendo en práctica la herramienta de seguimiento de las decisiones para hacer un seguimiento de la aplicación de las decisiones de la Conferencia de las Partes.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695A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2025-2026</w:t>
            </w:r>
          </w:p>
        </w:tc>
      </w:tr>
      <w:tr w:rsidR="00A2740B" w:rsidRPr="002A4D5A" w14:paraId="4E4F93C5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4DFCE850" w14:textId="77777777" w:rsidR="00D01523" w:rsidRPr="002A4D5A" w:rsidRDefault="00D01523" w:rsidP="009161EB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1A54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30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3.2 Se refuerzan los mecanismos de facilitación nacionales, que facilitan eficazmente la implementación de las estrategias y planes de acción nacionales en materia de biodiversidad.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FD7B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5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3.2.A. Preparar o actualizar una estrategia de implementación para el mecanismo de facilitación nacional como un componente de las estrategias y planes de acción nacionales en materia de biodiversidad.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92AC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2025-2030</w:t>
            </w:r>
          </w:p>
        </w:tc>
      </w:tr>
      <w:tr w:rsidR="00A2740B" w:rsidRPr="002A4D5A" w14:paraId="10D3AD83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5DE4CAC0" w14:textId="77777777" w:rsidR="00D01523" w:rsidRPr="002A4D5A" w:rsidRDefault="00D01523" w:rsidP="009161EB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2D430DF4" w14:textId="77777777" w:rsidR="00D01523" w:rsidRPr="002A4D5A" w:rsidRDefault="00D01523" w:rsidP="009161EB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1A31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5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3.2.B. Establecer o reforzar las estructuras y procedimientos institucionales, incluidos los puntos focales nacionales, para que los mecanismos de facilitación nacionales</w:t>
            </w:r>
            <w:r w:rsidRPr="002A4D5A">
              <w:rPr>
                <w:sz w:val="20"/>
                <w:szCs w:val="20"/>
                <w:vertAlign w:val="superscript"/>
              </w:rPr>
              <w:footnoteReference w:id="21"/>
            </w:r>
            <w:r>
              <w:rPr>
                <w:sz w:val="20"/>
              </w:rPr>
              <w:t xml:space="preserve"> apoyen las estrategias y planes de acción nacionales en materia de biodiversidad y el seguimiento de los progresos realizados con miras a la consecución de las metas nacionales y mundiales.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375C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2025-2030</w:t>
            </w:r>
          </w:p>
        </w:tc>
      </w:tr>
      <w:tr w:rsidR="00A2740B" w:rsidRPr="002A4D5A" w14:paraId="0937EBFD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23B437CF" w14:textId="77777777" w:rsidR="00D01523" w:rsidRPr="002A4D5A" w:rsidRDefault="00D01523" w:rsidP="009161EB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53CDC309" w14:textId="77777777" w:rsidR="00D01523" w:rsidRPr="002A4D5A" w:rsidRDefault="00D01523" w:rsidP="009161EB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0B03" w14:textId="1562E44D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5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3.2.C. Reforzar los sistemas de intercambio de información, en particular mediante la creación de vínculos e interoperabilidad entre el mecanismo de facilitación nacional y el portal central, y otras redes y bases de datos.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1095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2025-2030</w:t>
            </w:r>
          </w:p>
        </w:tc>
      </w:tr>
      <w:tr w:rsidR="00A2740B" w:rsidRPr="002A4D5A" w14:paraId="383B2CF2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416503CE" w14:textId="77777777" w:rsidR="00D01523" w:rsidRPr="002A4D5A" w:rsidRDefault="00D01523" w:rsidP="009161EB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5B4FC6D5" w14:textId="77777777" w:rsidR="00D01523" w:rsidRPr="002A4D5A" w:rsidRDefault="00D01523" w:rsidP="009161EB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C0C8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5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3.2.D. Promover el uso del mecanismo de facilitación nacional como una herramienta para facilitar el diálogo con los interesados pertinentes, en consonancia con el enfoque de todo el gobierno y de toda la sociedad.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308B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2025-2030</w:t>
            </w:r>
          </w:p>
        </w:tc>
      </w:tr>
      <w:tr w:rsidR="00A2740B" w:rsidRPr="002A4D5A" w14:paraId="56633CBE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513821B2" w14:textId="77777777" w:rsidR="00D01523" w:rsidRPr="002A4D5A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71718513" w14:textId="77777777" w:rsidR="00D01523" w:rsidRPr="002A4D5A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1AD2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5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3.2.E. Desarrollar o reforzar la infraestructura de información de los mecanismos de facilitación nacionales, en particular el diseño de la interfaz de usuario, los servicios de interoperabilidad, los léxicos y taxonomías, los estándares de los metadatos, los formatos y formatos comunes para la presentación de informes, armonizándolos con los estándares del portal central del mecanismo de facilitación.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A6A8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2024-2026</w:t>
            </w:r>
          </w:p>
        </w:tc>
      </w:tr>
      <w:tr w:rsidR="00A2740B" w:rsidRPr="002A4D5A" w14:paraId="5AA813DD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381E2A54" w14:textId="77777777" w:rsidR="00D01523" w:rsidRPr="002A4D5A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784AA22B" w14:textId="77777777" w:rsidR="00D01523" w:rsidRPr="002A4D5A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3AAA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5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3.2.F. Seguir desarrollando y reforzando los portales de los mecanismos de facilitación nacionales utilizando la herramienta </w:t>
            </w:r>
            <w:proofErr w:type="spellStart"/>
            <w:r>
              <w:rPr>
                <w:sz w:val="20"/>
              </w:rPr>
              <w:t>Bioland</w:t>
            </w:r>
            <w:proofErr w:type="spellEnd"/>
            <w:r>
              <w:rPr>
                <w:sz w:val="20"/>
              </w:rPr>
              <w:t xml:space="preserve"> u otras soluciones para atender a las necesidades de </w:t>
            </w:r>
            <w:r>
              <w:rPr>
                <w:sz w:val="20"/>
              </w:rPr>
              <w:lastRenderedPageBreak/>
              <w:t>los usuarios y responder a los avances tecnológicos pertinentes.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A412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2024-2026</w:t>
            </w:r>
          </w:p>
        </w:tc>
      </w:tr>
      <w:tr w:rsidR="00A2740B" w:rsidRPr="002A4D5A" w14:paraId="7B40A4F0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7D0EF081" w14:textId="77777777" w:rsidR="00D01523" w:rsidRPr="002A4D5A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412D824B" w14:textId="77777777" w:rsidR="00D01523" w:rsidRPr="002A4D5A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53C9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5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3.2.G. Publicar y promover guías prácticas, especificaciones técnicas, directrices y materiales de capacitación que ayuden a las Partes a utilizar tecnologías y sistemas de información nuevos.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4853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2024-2030</w:t>
            </w:r>
          </w:p>
        </w:tc>
      </w:tr>
      <w:tr w:rsidR="00A2740B" w:rsidRPr="002A4D5A" w14:paraId="32261762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7A049713" w14:textId="77777777" w:rsidR="00D01523" w:rsidRPr="002A4D5A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1D24B8E7" w14:textId="77777777" w:rsidR="00D01523" w:rsidRPr="002A4D5A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3948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5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3.2.H. Desarrollar o reforzar la capacidad para utilizar tecnologías digitales modernas, en particular, el procesamiento del lenguaje natural, el aprendizaje automático y otras herramientas de inteligencia artificial.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5D8E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2025-2030</w:t>
            </w:r>
          </w:p>
        </w:tc>
      </w:tr>
      <w:tr w:rsidR="00A2740B" w:rsidRPr="002A4D5A" w14:paraId="278497E3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7A5BDBBF" w14:textId="77777777" w:rsidR="00D01523" w:rsidRPr="002A4D5A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310A23BA" w14:textId="77777777" w:rsidR="00D01523" w:rsidRPr="002A4D5A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5B6D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5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3.2.I. Facilitar la movilización de recursos financieros para reforzar los mecanismos de facilitación nacionales.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7C9E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2025-2030</w:t>
            </w:r>
          </w:p>
        </w:tc>
      </w:tr>
      <w:tr w:rsidR="00A2740B" w:rsidRPr="002A4D5A" w14:paraId="05AB5690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24C394D1" w14:textId="77777777" w:rsidR="00D01523" w:rsidRPr="002A4D5A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7E30D5FC" w14:textId="77777777" w:rsidR="00D01523" w:rsidRPr="002A4D5A" w:rsidRDefault="00D01523" w:rsidP="009161EB">
            <w:pPr>
              <w:pStyle w:val="CBDNormalNoNumber"/>
              <w:spacing w:before="40" w:after="80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305D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80"/>
              <w:ind w:left="5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3.2.J. Continuar el proceso para reconocer y galardonar a las Partes que han logrado los progresos más significativos en la creación o desarrollo ulterior de su mecanismo de facilitación nacional.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046A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2025-2030</w:t>
            </w:r>
          </w:p>
        </w:tc>
      </w:tr>
      <w:tr w:rsidR="00A2740B" w:rsidRPr="002A4D5A" w14:paraId="1BA11A7E" w14:textId="77777777" w:rsidTr="004916E9">
        <w:trPr>
          <w:cantSplit/>
          <w:trHeight w:val="57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960D" w14:textId="77777777" w:rsidR="00D01523" w:rsidRPr="002A4D5A" w:rsidRDefault="00D01523" w:rsidP="006431FE">
            <w:pPr>
              <w:pStyle w:val="CBDNormalNoNumber"/>
              <w:tabs>
                <w:tab w:val="clear" w:pos="567"/>
              </w:tabs>
              <w:spacing w:before="40" w:after="80"/>
              <w:ind w:left="29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4. Facilitar la creación de redes y la colaboración entre las Partes y los asociados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2BFE" w14:textId="090BEFC9" w:rsidR="00D01523" w:rsidRPr="002A4D5A" w:rsidRDefault="00D01523" w:rsidP="006431FE">
            <w:pPr>
              <w:pStyle w:val="CBDNormalNoNumber"/>
              <w:tabs>
                <w:tab w:val="clear" w:pos="567"/>
              </w:tabs>
              <w:spacing w:before="40" w:after="80"/>
              <w:ind w:left="30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4.1 Se amplía y consolida la red de organizaciones y redes asociadas de ámbito mundial, regional, subregional y nacional.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7CC0" w14:textId="3392AC96" w:rsidR="00D01523" w:rsidRPr="002A4D5A" w:rsidRDefault="00D01523" w:rsidP="006431FE">
            <w:pPr>
              <w:pStyle w:val="CBDNormalNoNumber"/>
              <w:tabs>
                <w:tab w:val="clear" w:pos="567"/>
              </w:tabs>
              <w:spacing w:before="40" w:after="80"/>
              <w:ind w:left="5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4.1.A. Individualizar, cartografiar y difundir las redes, comunidades de práctica y alianzas mundiales, regionales, subregionales y nacionales existentes relacionadas con la biodiversidad.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DFB7" w14:textId="77777777" w:rsidR="00D01523" w:rsidRPr="002A4D5A" w:rsidRDefault="00D01523" w:rsidP="006431FE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2025-2030</w:t>
            </w:r>
          </w:p>
        </w:tc>
      </w:tr>
      <w:tr w:rsidR="00A2740B" w:rsidRPr="002A4D5A" w14:paraId="6D865231" w14:textId="77777777" w:rsidTr="004916E9">
        <w:trPr>
          <w:cantSplit/>
          <w:trHeight w:val="57"/>
        </w:trPr>
        <w:tc>
          <w:tcPr>
            <w:tcW w:w="1297" w:type="dxa"/>
            <w:vMerge/>
            <w:vAlign w:val="center"/>
            <w:hideMark/>
          </w:tcPr>
          <w:p w14:paraId="0E82114B" w14:textId="77777777" w:rsidR="00D01523" w:rsidRPr="004916E9" w:rsidRDefault="00D01523" w:rsidP="006431FE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2EDE2298" w14:textId="77777777" w:rsidR="00D01523" w:rsidRPr="002A4D5A" w:rsidRDefault="00D01523" w:rsidP="006431FE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EB7A" w14:textId="77777777" w:rsidR="00D01523" w:rsidRPr="002A4D5A" w:rsidRDefault="00D01523" w:rsidP="006431FE">
            <w:pPr>
              <w:pStyle w:val="CBDNormalNoNumber"/>
              <w:tabs>
                <w:tab w:val="clear" w:pos="567"/>
              </w:tabs>
              <w:spacing w:before="40" w:after="80"/>
              <w:ind w:left="58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4.1.B. Reforzar las estructuras, los procesos y las plataformas que vinculen las redes, alianzas e iniciativas existentes relacionadas con la biodiversidad.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B0B7" w14:textId="77777777" w:rsidR="00D01523" w:rsidRPr="002A4D5A" w:rsidRDefault="00D01523" w:rsidP="006431FE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2025-2030</w:t>
            </w:r>
          </w:p>
        </w:tc>
      </w:tr>
      <w:tr w:rsidR="00A2740B" w:rsidRPr="002A4D5A" w14:paraId="2F49BD57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550C095A" w14:textId="77777777" w:rsidR="00D01523" w:rsidRPr="004916E9" w:rsidRDefault="00D01523" w:rsidP="006431FE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49CF9CBC" w14:textId="77777777" w:rsidR="00D01523" w:rsidRPr="002A4D5A" w:rsidRDefault="00D01523" w:rsidP="006431FE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A65F" w14:textId="77777777" w:rsidR="00D01523" w:rsidRPr="002A4D5A" w:rsidRDefault="00D01523" w:rsidP="006431FE">
            <w:pPr>
              <w:pStyle w:val="CBDNormalNoNumber"/>
              <w:tabs>
                <w:tab w:val="clear" w:pos="567"/>
              </w:tabs>
              <w:spacing w:before="40" w:after="80"/>
              <w:ind w:left="5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4.1.C. Promover y facilitar las interacciones interdisciplinarias a fin de multiplicar los conocimientos especializados, las buenas prácticas y las ideas derivadas de diversas redes.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DE73" w14:textId="77777777" w:rsidR="00D01523" w:rsidRPr="002A4D5A" w:rsidRDefault="00D01523" w:rsidP="006431FE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2025-2030</w:t>
            </w:r>
          </w:p>
        </w:tc>
      </w:tr>
      <w:tr w:rsidR="00A2740B" w:rsidRPr="002A4D5A" w14:paraId="574ADC99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3AF18B19" w14:textId="77777777" w:rsidR="00D01523" w:rsidRPr="004916E9" w:rsidRDefault="00D01523" w:rsidP="006431FE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056A" w14:textId="77777777" w:rsidR="00D01523" w:rsidRPr="002A4D5A" w:rsidRDefault="00D01523" w:rsidP="006431FE">
            <w:pPr>
              <w:pStyle w:val="CBDNormalNoNumber"/>
              <w:tabs>
                <w:tab w:val="clear" w:pos="567"/>
              </w:tabs>
              <w:spacing w:before="40" w:after="80"/>
              <w:ind w:left="17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4.2. Los asociados se conectan activamente en redes e intercambian información, conocimientos especializados, ideas y otros recursos a través de la red del mecanismo de facilitación.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8A5A" w14:textId="77777777" w:rsidR="00D01523" w:rsidRPr="002A4D5A" w:rsidRDefault="00D01523" w:rsidP="006431FE">
            <w:pPr>
              <w:pStyle w:val="CBDNormalNoNumber"/>
              <w:tabs>
                <w:tab w:val="clear" w:pos="567"/>
              </w:tabs>
              <w:spacing w:before="40" w:after="8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4.2.A. Seguir desarrollando y actualizando herramientas y procedimientos que vinculen el mecanismo de facilitación central con organizaciones y redes de información pertinentes.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FE3B" w14:textId="77777777" w:rsidR="00D01523" w:rsidRPr="002A4D5A" w:rsidRDefault="00D01523" w:rsidP="006431FE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2025-2030</w:t>
            </w:r>
          </w:p>
        </w:tc>
      </w:tr>
      <w:tr w:rsidR="00A2740B" w:rsidRPr="002A4D5A" w14:paraId="233C4EC4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6DFDB824" w14:textId="77777777" w:rsidR="00D01523" w:rsidRPr="004916E9" w:rsidRDefault="00D01523" w:rsidP="006431FE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398E1FC2" w14:textId="77777777" w:rsidR="00D01523" w:rsidRPr="002A4D5A" w:rsidRDefault="00D01523" w:rsidP="006431FE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37DC" w14:textId="77777777" w:rsidR="00D01523" w:rsidRPr="002A4D5A" w:rsidRDefault="00D01523" w:rsidP="006431FE">
            <w:pPr>
              <w:pStyle w:val="CBDNormalNoNumber"/>
              <w:tabs>
                <w:tab w:val="clear" w:pos="567"/>
              </w:tabs>
              <w:spacing w:before="40" w:after="8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4.2.B. Seguir desarrollando herramientas que faciliten la creación de redes y los intercambios técnicos con las organizaciones asociadas a través del portal central y los mecanismos de facilitación nacionales.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2760" w14:textId="77777777" w:rsidR="00D01523" w:rsidRPr="002A4D5A" w:rsidRDefault="00D01523" w:rsidP="006431FE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2025-2030</w:t>
            </w:r>
          </w:p>
        </w:tc>
      </w:tr>
      <w:tr w:rsidR="00A2740B" w:rsidRPr="002A4D5A" w14:paraId="458F0CCE" w14:textId="77777777" w:rsidTr="00737AFC">
        <w:trPr>
          <w:trHeight w:val="57"/>
        </w:trPr>
        <w:tc>
          <w:tcPr>
            <w:tcW w:w="1297" w:type="dxa"/>
            <w:vMerge/>
            <w:vAlign w:val="center"/>
            <w:hideMark/>
          </w:tcPr>
          <w:p w14:paraId="5BA67437" w14:textId="77777777" w:rsidR="00D01523" w:rsidRPr="004916E9" w:rsidRDefault="00D01523" w:rsidP="006431FE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1BC558F8" w14:textId="77777777" w:rsidR="00D01523" w:rsidRPr="002A4D5A" w:rsidRDefault="00D01523" w:rsidP="006431FE">
            <w:pPr>
              <w:pStyle w:val="CBDNormalNoNumber"/>
              <w:spacing w:before="40" w:after="80"/>
              <w:jc w:val="left"/>
              <w:rPr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E6A6" w14:textId="77777777" w:rsidR="00D01523" w:rsidRPr="002A4D5A" w:rsidRDefault="00D01523" w:rsidP="006431FE">
            <w:pPr>
              <w:pStyle w:val="CBDNormalNoNumber"/>
              <w:tabs>
                <w:tab w:val="clear" w:pos="567"/>
              </w:tabs>
              <w:spacing w:before="40" w:after="8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4.2.C. Mantener la base de datos y la red de profesionales a través del portal central y los mecanismos de facilitación nacionales.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A56C" w14:textId="77777777" w:rsidR="00D01523" w:rsidRPr="002A4D5A" w:rsidRDefault="00D01523" w:rsidP="006431FE">
            <w:pPr>
              <w:pStyle w:val="CBDNormalNoNumber"/>
              <w:tabs>
                <w:tab w:val="clear" w:pos="56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2025-2030</w:t>
            </w:r>
          </w:p>
        </w:tc>
      </w:tr>
    </w:tbl>
    <w:p w14:paraId="73EECBA2" w14:textId="77777777" w:rsidR="00A6668E" w:rsidRPr="002A4D5A" w:rsidRDefault="00A6668E" w:rsidP="00A6668E">
      <w:pPr>
        <w:pStyle w:val="CBDNormalNoNumber"/>
      </w:pPr>
    </w:p>
    <w:p w14:paraId="0DAA2D7C" w14:textId="77777777" w:rsidR="00A72057" w:rsidRPr="002A4D5A" w:rsidRDefault="00A72057" w:rsidP="00A6668E">
      <w:pPr>
        <w:pStyle w:val="CBDNormalNoNumber"/>
      </w:pPr>
    </w:p>
    <w:p w14:paraId="20B43607" w14:textId="77777777" w:rsidR="00A72057" w:rsidRPr="002A4D5A" w:rsidRDefault="00A72057" w:rsidP="00A6668E">
      <w:pPr>
        <w:pStyle w:val="CBDNormalNoNumber"/>
      </w:pPr>
    </w:p>
    <w:p w14:paraId="1BEB1C3F" w14:textId="488BC238" w:rsidR="00A72057" w:rsidRPr="002A4D5A" w:rsidRDefault="00A72057" w:rsidP="00A6668E">
      <w:pPr>
        <w:pStyle w:val="CBDNormalNoNumber"/>
        <w:sectPr w:rsidR="00A72057" w:rsidRPr="002A4D5A" w:rsidSect="00DC5646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2240" w:h="15840"/>
          <w:pgMar w:top="1134" w:right="1440" w:bottom="1134" w:left="1440" w:header="709" w:footer="709" w:gutter="0"/>
          <w:cols w:space="708"/>
          <w:titlePg/>
          <w:docGrid w:linePitch="360"/>
        </w:sectPr>
      </w:pPr>
    </w:p>
    <w:p w14:paraId="25A75576" w14:textId="33B71585" w:rsidR="00A6668E" w:rsidRPr="002A4D5A" w:rsidRDefault="00A6668E" w:rsidP="009161EB">
      <w:pPr>
        <w:pStyle w:val="CBDDesicionAnnex"/>
        <w:rPr>
          <w:rFonts w:hint="eastAsia"/>
        </w:rPr>
      </w:pPr>
      <w:r>
        <w:lastRenderedPageBreak/>
        <w:t>B</w:t>
      </w:r>
      <w:r>
        <w:br/>
        <w:t>Gestión de conocimientos</w:t>
      </w:r>
    </w:p>
    <w:p w14:paraId="1F8648AA" w14:textId="1E9E7AFC" w:rsidR="00A6668E" w:rsidRPr="002A4D5A" w:rsidRDefault="00A6668E" w:rsidP="00A6668E">
      <w:pPr>
        <w:pStyle w:val="CBDNormalNoNumber"/>
        <w:ind w:firstLine="567"/>
        <w:rPr>
          <w:iCs/>
        </w:rPr>
      </w:pPr>
      <w:r>
        <w:rPr>
          <w:i/>
        </w:rPr>
        <w:t>La Conferencia de las Partes</w:t>
      </w:r>
      <w:r>
        <w:t>,</w:t>
      </w:r>
    </w:p>
    <w:p w14:paraId="7D9E6F74" w14:textId="1B1B2114" w:rsidR="00A6668E" w:rsidRPr="002A4D5A" w:rsidRDefault="00A6668E" w:rsidP="004916E9">
      <w:pPr>
        <w:pStyle w:val="CBDDesicionText"/>
      </w:pPr>
      <w:r>
        <w:rPr>
          <w:i/>
        </w:rPr>
        <w:t>Recordando</w:t>
      </w:r>
      <w:r>
        <w:t xml:space="preserve"> las decisiones </w:t>
      </w:r>
      <w:hyperlink r:id="rId24" w:history="1">
        <w:r>
          <w:rPr>
            <w:rStyle w:val="Hyperlink"/>
          </w:rPr>
          <w:t>14/25</w:t>
        </w:r>
      </w:hyperlink>
      <w:r>
        <w:t xml:space="preserve">, de 29 de noviembre de 2018, y </w:t>
      </w:r>
      <w:hyperlink r:id="rId25" w:history="1">
        <w:r>
          <w:rPr>
            <w:rStyle w:val="Hyperlink"/>
          </w:rPr>
          <w:t>15/16</w:t>
        </w:r>
      </w:hyperlink>
      <w:r>
        <w:t>, de 19 de diciembre de 2022,</w:t>
      </w:r>
    </w:p>
    <w:p w14:paraId="4226C334" w14:textId="77777777" w:rsidR="00A6668E" w:rsidRPr="002A4D5A" w:rsidRDefault="00A6668E" w:rsidP="004916E9">
      <w:pPr>
        <w:pStyle w:val="CBDDesicionText"/>
        <w:rPr>
          <w:i/>
          <w:iCs/>
        </w:rPr>
      </w:pPr>
      <w:r>
        <w:rPr>
          <w:i/>
        </w:rPr>
        <w:t>Recordando también</w:t>
      </w:r>
      <w:r>
        <w:t xml:space="preserve"> la meta 21 del Marco Mundial de Biodiversidad de Kunming-Montreal</w:t>
      </w:r>
      <w:r w:rsidRPr="002A4D5A">
        <w:rPr>
          <w:vertAlign w:val="superscript"/>
        </w:rPr>
        <w:footnoteReference w:id="22"/>
      </w:r>
      <w:r>
        <w:t>,</w:t>
      </w:r>
    </w:p>
    <w:p w14:paraId="641B8AB7" w14:textId="53C5F910" w:rsidR="00A6668E" w:rsidRPr="002A4D5A" w:rsidRDefault="00A6668E" w:rsidP="004916E9">
      <w:pPr>
        <w:pStyle w:val="CBDDesicionText"/>
      </w:pPr>
      <w:r>
        <w:rPr>
          <w:i/>
        </w:rPr>
        <w:t xml:space="preserve">Tomando nota </w:t>
      </w:r>
      <w:r>
        <w:t>del programa de trabajo para el mecanismo de facilitación (2024-2030) que figura en el anexo de la decisión 16/9 A, de 1 de noviembre de 2024, el mecanismo de cooperación científica y técnica, la estrategia de comunicación en apoyo de la implementación del Marco</w:t>
      </w:r>
      <w:r w:rsidRPr="002A4D5A">
        <w:rPr>
          <w:vertAlign w:val="superscript"/>
        </w:rPr>
        <w:footnoteReference w:id="23"/>
      </w:r>
      <w:r>
        <w:t xml:space="preserve"> y el enfoque multidimensional mejorado para la planificación, el seguimiento, la presentación de informes y la revisión</w:t>
      </w:r>
      <w:r w:rsidR="007E233C" w:rsidRPr="002A4D5A">
        <w:rPr>
          <w:rStyle w:val="FootnoteReference"/>
        </w:rPr>
        <w:footnoteReference w:id="24"/>
      </w:r>
      <w:r>
        <w:t>,</w:t>
      </w:r>
    </w:p>
    <w:p w14:paraId="0FA56CBE" w14:textId="2221F7CA" w:rsidR="00A6668E" w:rsidRPr="002A4D5A" w:rsidRDefault="00A6668E" w:rsidP="004916E9">
      <w:pPr>
        <w:pStyle w:val="CBDDesicionText"/>
      </w:pPr>
      <w:r>
        <w:rPr>
          <w:i/>
        </w:rPr>
        <w:t>Poniendo de relieve</w:t>
      </w:r>
      <w:r>
        <w:t xml:space="preserve"> la importancia crítica de garantizar un acceso fácil y oportuno a datos, información y conocimientos de buena calidad para apoyar la implementación del Marco,</w:t>
      </w:r>
    </w:p>
    <w:p w14:paraId="58497BD4" w14:textId="30DBB79D" w:rsidR="00A6668E" w:rsidRPr="002A4D5A" w:rsidRDefault="00A6668E" w:rsidP="004916E9">
      <w:pPr>
        <w:pStyle w:val="CBDDesicionText"/>
      </w:pPr>
      <w:r>
        <w:rPr>
          <w:i/>
        </w:rPr>
        <w:t>Destacando</w:t>
      </w:r>
      <w:r>
        <w:t xml:space="preserve"> que las capacidades para generar, recopilar, organizar y compartir datos pertinentes para la biodiversidad son desiguales y que las Partes que son países en desarrollo en particular, y especialmente los países menos adelantados y los pequeños Estados insulares en desarrollo entre ellos, necesitan un apoyo internacional reforzado, a través de la creación y el desarrollo de capacidad, la cooperación científica y técnica y el acceso a la tecnología y la transferencia de tecnología, para reforzar los sistemas nacionales de información y seguimiento,</w:t>
      </w:r>
    </w:p>
    <w:p w14:paraId="162066CF" w14:textId="07AF5D85" w:rsidR="00A6668E" w:rsidRPr="002A4D5A" w:rsidRDefault="00A6668E" w:rsidP="004916E9">
      <w:pPr>
        <w:pStyle w:val="CBDDesicionText"/>
      </w:pPr>
      <w:r>
        <w:rPr>
          <w:i/>
        </w:rPr>
        <w:t>Reconociendo</w:t>
      </w:r>
      <w:r>
        <w:t xml:space="preserve"> que las actividades de gestión de conocimientos deberían ser compatibles con la soberanía de los datos que está sujeta a las políticas y la legislación nacionales, así como a las reglamentaciones internacionales pertinentes en materia de intercambio de datos, y apoyarlas,</w:t>
      </w:r>
    </w:p>
    <w:p w14:paraId="7414D129" w14:textId="29803C8D" w:rsidR="00A6668E" w:rsidRPr="002A4D5A" w:rsidRDefault="00A6668E" w:rsidP="004916E9">
      <w:pPr>
        <w:pStyle w:val="CBDDesicionText"/>
      </w:pPr>
      <w:r>
        <w:t>1.</w:t>
      </w:r>
      <w:r>
        <w:tab/>
      </w:r>
      <w:r>
        <w:rPr>
          <w:i/>
        </w:rPr>
        <w:t>Adopta</w:t>
      </w:r>
      <w:r>
        <w:t xml:space="preserve"> la estrategia de gestión de conocimientos en apoyo de la implementación del Marco Mundial de Biodiversidad de Kunming-Montreal, que figura en el anexo de la presente </w:t>
      </w:r>
      <w:proofErr w:type="gramStart"/>
      <w:r>
        <w:t>decisión,;</w:t>
      </w:r>
      <w:proofErr w:type="gramEnd"/>
    </w:p>
    <w:p w14:paraId="5DA91A6A" w14:textId="77777777" w:rsidR="00A6668E" w:rsidRPr="002A4D5A" w:rsidRDefault="00A6668E" w:rsidP="004916E9">
      <w:pPr>
        <w:pStyle w:val="CBDDesicionText"/>
      </w:pPr>
      <w:r>
        <w:t>2.</w:t>
      </w:r>
      <w:r>
        <w:tab/>
      </w:r>
      <w:r>
        <w:rPr>
          <w:i/>
        </w:rPr>
        <w:t>Reconoce</w:t>
      </w:r>
      <w:r>
        <w:t xml:space="preserve"> que nada en la estrategia de gestión de conocimiento debe interpretarse en el sentido de que modifica los derechos y obligaciones de una Parte en virtud del Convenio sobre la Diversidad Biológica</w:t>
      </w:r>
      <w:r w:rsidRPr="002A4D5A">
        <w:rPr>
          <w:vertAlign w:val="superscript"/>
        </w:rPr>
        <w:footnoteReference w:id="25"/>
      </w:r>
      <w:r>
        <w:t xml:space="preserve"> o de cualquier otro acuerdo internacional;</w:t>
      </w:r>
    </w:p>
    <w:p w14:paraId="3B672C8D" w14:textId="645D645E" w:rsidR="00A6668E" w:rsidRPr="002A4D5A" w:rsidRDefault="00A6668E" w:rsidP="004916E9">
      <w:pPr>
        <w:pStyle w:val="CBDDesicionText"/>
      </w:pPr>
      <w:r>
        <w:t>3.</w:t>
      </w:r>
      <w:r>
        <w:tab/>
      </w:r>
      <w:r>
        <w:rPr>
          <w:i/>
        </w:rPr>
        <w:t xml:space="preserve">Invita </w:t>
      </w:r>
      <w:r>
        <w:t xml:space="preserve">a las Partes a mejorar la creación y el desarrollo de capacidad, la cooperación científica y técnica y el acceso a la tecnología y su transferencia, que son fundamentales para permitir la aplicación de la estrategia de gestión de conocimientos, entre otras cosas mediante la cooperación Norte-Sur, Sur-Sur y triangular; </w:t>
      </w:r>
    </w:p>
    <w:p w14:paraId="0024E11D" w14:textId="33D3139C" w:rsidR="00A6668E" w:rsidRPr="002A4D5A" w:rsidRDefault="00A6668E" w:rsidP="004916E9">
      <w:pPr>
        <w:pStyle w:val="CBDDesicionText"/>
      </w:pPr>
      <w:r>
        <w:t>4.</w:t>
      </w:r>
      <w:r>
        <w:tab/>
      </w:r>
      <w:r>
        <w:rPr>
          <w:i/>
        </w:rPr>
        <w:t>Toma nota</w:t>
      </w:r>
      <w:r>
        <w:t xml:space="preserve"> del proyecto de plan de trabajo indicativo para la estrategia de gestión de conocimientos en apoyo de la implementación del Marco para el período 2025</w:t>
      </w:r>
      <w:r>
        <w:noBreakHyphen/>
        <w:t xml:space="preserve">2030, que figura en el documento </w:t>
      </w:r>
      <w:hyperlink r:id="rId26" w:history="1">
        <w:r>
          <w:rPr>
            <w:rStyle w:val="Hyperlink"/>
          </w:rPr>
          <w:t>CBD/SBI/4/INF/9</w:t>
        </w:r>
      </w:hyperlink>
      <w:r>
        <w:t>;</w:t>
      </w:r>
    </w:p>
    <w:p w14:paraId="4E1EF0DB" w14:textId="07EF3F20" w:rsidR="000F1B44" w:rsidRPr="002A4D5A" w:rsidRDefault="00A6668E" w:rsidP="004916E9">
      <w:pPr>
        <w:pStyle w:val="CBDDesicionText"/>
      </w:pPr>
      <w:r>
        <w:t>5.</w:t>
      </w:r>
      <w:r>
        <w:tab/>
      </w:r>
      <w:r>
        <w:rPr>
          <w:i/>
        </w:rPr>
        <w:t xml:space="preserve">Invita </w:t>
      </w:r>
      <w:r>
        <w:t>a las Partes, a otros Gobiernos, a los pueblos indígenas y las comunidades locales, a las instituciones científicas y académicas, a los representantes de las mujeres y de la juventud, al sector privado, a otros interesados pertinentes y a las organizaciones pertinentes, a aplicar la estrategia de gestión de conocimientos con la participación efectiva de los pueblos indígenas y las comunidades locales y los representantes de las mujeres y de la juventud;</w:t>
      </w:r>
    </w:p>
    <w:p w14:paraId="3A4183B3" w14:textId="00556999" w:rsidR="00E05C07" w:rsidRPr="002A4D5A" w:rsidRDefault="00A6668E" w:rsidP="004916E9">
      <w:pPr>
        <w:pStyle w:val="CBDDesicionText"/>
      </w:pPr>
      <w:r>
        <w:t>6.</w:t>
      </w:r>
      <w:r>
        <w:tab/>
      </w:r>
      <w:r>
        <w:rPr>
          <w:i/>
        </w:rPr>
        <w:t>Insta</w:t>
      </w:r>
      <w:r>
        <w:t xml:space="preserve"> a las Partes, en consonancia con los artículos 20 y 21 del Convenio, e invita a otros Gobiernos y organizaciones pertinentes a que proporcionen apoyo financiero y técnico a las </w:t>
      </w:r>
      <w:r>
        <w:lastRenderedPageBreak/>
        <w:t>actividades de creación y desarrollo de capacidad en materia de biodiversidad, teniendo en cuenta las situaciones específicas de las Partes que son países en desarrollo, en particular los países menos adelantados y los pequeños Estados insulares en desarrollo entre ellos, y las Partes con economías en transición, para aplicar la estrategia de gestión de conocimientos;</w:t>
      </w:r>
    </w:p>
    <w:p w14:paraId="53C2D1E3" w14:textId="77777777" w:rsidR="00A6668E" w:rsidRPr="002A4D5A" w:rsidRDefault="00A6668E" w:rsidP="004916E9">
      <w:pPr>
        <w:pStyle w:val="CBDDesicionText"/>
      </w:pPr>
      <w:r>
        <w:t>7.</w:t>
      </w:r>
      <w:r>
        <w:tab/>
      </w:r>
      <w:r>
        <w:rPr>
          <w:i/>
        </w:rPr>
        <w:t>Invita</w:t>
      </w:r>
      <w:r>
        <w:t xml:space="preserve"> al Fondo para el Medio Ambiente Mundial, de conformidad con su mandato, a prestar apoyo a la gestión de conocimientos en el contexto de los proyectos impulsados por los países;</w:t>
      </w:r>
    </w:p>
    <w:p w14:paraId="73FADAD0" w14:textId="69B9D8C5" w:rsidR="00A6668E" w:rsidRPr="002A4D5A" w:rsidRDefault="00A6668E" w:rsidP="004916E9">
      <w:pPr>
        <w:pStyle w:val="CBDDesicionText"/>
      </w:pPr>
      <w:r>
        <w:t>8.</w:t>
      </w:r>
      <w:r>
        <w:tab/>
      </w:r>
      <w:r>
        <w:rPr>
          <w:i/>
        </w:rPr>
        <w:t>Invita</w:t>
      </w:r>
      <w:r>
        <w:t xml:space="preserve"> a los centros regionales y subregionales de apoyo a la cooperación científica y técnica y la entidad de coordinación mundial del mecanismo de cooperación científica y técnica a que faciliten la aplicación de la estrategia de gestión de conocimientos en colaboración con la Secretaría, las organizaciones pertinentes, los pueblos indígenas y comunidades locales, los representantes de las mujeres y de la juventud y las iniciativas pertinentes;</w:t>
      </w:r>
    </w:p>
    <w:p w14:paraId="79A9463C" w14:textId="77777777" w:rsidR="00A6668E" w:rsidRPr="002A4D5A" w:rsidRDefault="00A6668E" w:rsidP="004916E9">
      <w:pPr>
        <w:pStyle w:val="CBDDesicionText"/>
      </w:pPr>
      <w:r>
        <w:t>9.</w:t>
      </w:r>
      <w:r>
        <w:tab/>
      </w:r>
      <w:r>
        <w:rPr>
          <w:i/>
        </w:rPr>
        <w:t xml:space="preserve">Pide </w:t>
      </w:r>
      <w:r>
        <w:t xml:space="preserve">a la </w:t>
      </w:r>
      <w:proofErr w:type="gramStart"/>
      <w:r>
        <w:t>Secretaria Ejecutiva</w:t>
      </w:r>
      <w:proofErr w:type="gramEnd"/>
      <w:r>
        <w:t xml:space="preserve"> que, con sujeción a la disponibilidad de recursos:</w:t>
      </w:r>
    </w:p>
    <w:p w14:paraId="6DF8628E" w14:textId="77777777" w:rsidR="00A6668E" w:rsidRPr="002A4D5A" w:rsidRDefault="00A6668E" w:rsidP="004916E9">
      <w:pPr>
        <w:pStyle w:val="CBDDesicionText"/>
      </w:pPr>
      <w:r>
        <w:t>a)</w:t>
      </w:r>
      <w:r>
        <w:tab/>
        <w:t>Apoye la aplicación de la estrategia de gestión de conocimientos, con la orientación del Grupo Asesor Oficioso sobre Cooperación Científica y Técnica;</w:t>
      </w:r>
    </w:p>
    <w:p w14:paraId="6CE9DE0A" w14:textId="3BF852B2" w:rsidR="00A6668E" w:rsidRPr="002A4D5A" w:rsidRDefault="00A6668E" w:rsidP="004916E9">
      <w:pPr>
        <w:pStyle w:val="CBDDesicionText"/>
      </w:pPr>
      <w:r>
        <w:t>b)</w:t>
      </w:r>
      <w:r>
        <w:tab/>
        <w:t>Siga aplicando la Iniciativa de Gestión de Conocimientos para la Diversidad Biológica en colaboración con los centros regionales y subregionales de apoyo, iniciativas pertinentes, organizaciones, pueblos indígenas y comunidades locales, representantes de las mujeres y de la juventud, para fortalecer las capacidades de las Partes, los pueblos indígenas y las comunidades locales, las mujeres y la juventud en materia de gestión de conocimientos, entre otras cosas facilitando la organización de cursos de capacitación, talleres mundiales, seminarios web y ferias de conocimientos y catalizando el establecimiento y fortalecimiento de redes y comunidades de práctica en materia de diversidad biológica;</w:t>
      </w:r>
    </w:p>
    <w:p w14:paraId="62F81A98" w14:textId="70FD2D36" w:rsidR="00A6668E" w:rsidRPr="002A4D5A" w:rsidRDefault="00A6668E" w:rsidP="004916E9">
      <w:pPr>
        <w:pStyle w:val="CBDDesicionText"/>
      </w:pPr>
      <w:r>
        <w:t>c)</w:t>
      </w:r>
      <w:r>
        <w:tab/>
        <w:t>Siga desarrollando, con la orientación del Grupo Asesor Oficioso sobre Cooperación Científica y Técnica, vocabularios, taxonomías, ontologías y estándares de metadatos relacionados con la diversidad biológica a través del portal central del mecanismo de facilitación a fin de mejorar la clasificación, estandarización, capacidad de búsqueda y recuperación de la información sobre diversidad biológica que tenga relación directa con los objetivos, las metas y los indicadores del Marco;</w:t>
      </w:r>
    </w:p>
    <w:p w14:paraId="632127E3" w14:textId="7DA7C305" w:rsidR="00A6668E" w:rsidRPr="002A4D5A" w:rsidRDefault="00A6668E" w:rsidP="004916E9">
      <w:pPr>
        <w:pStyle w:val="CBDDesicionText"/>
      </w:pPr>
      <w:r>
        <w:t>d)</w:t>
      </w:r>
      <w:r>
        <w:tab/>
        <w:t xml:space="preserve">Siga clasificando la información disponible relativa a las metas y otros elementos del Marco, incluidas orientaciones e instrumentos, mejores prácticas y lecciones aprendidas presentadas por las Partes y los observadores en los documentos </w:t>
      </w:r>
      <w:hyperlink r:id="rId27" w:history="1">
        <w:r>
          <w:rPr>
            <w:rStyle w:val="Hyperlink"/>
          </w:rPr>
          <w:t>CBD/SBSTTA/26/INF/15</w:t>
        </w:r>
      </w:hyperlink>
      <w:r>
        <w:t xml:space="preserve"> y </w:t>
      </w:r>
      <w:hyperlink r:id="rId28" w:history="1">
        <w:r>
          <w:rPr>
            <w:rStyle w:val="Hyperlink"/>
          </w:rPr>
          <w:t>CBD/SBSTTA/26/INF/16</w:t>
        </w:r>
      </w:hyperlink>
      <w:r w:rsidR="008E64D3">
        <w:t>/Rev.1</w:t>
      </w:r>
      <w:r>
        <w:t>, utilizando los estándares de metadatos y taxonomías adecuados definidos actualmente en el portal central del mecanismo de facilitación del Convenio y en los centros de intercambio de información de los Protocolos;</w:t>
      </w:r>
    </w:p>
    <w:p w14:paraId="0A04142C" w14:textId="77777777" w:rsidR="00A6668E" w:rsidRPr="002A4D5A" w:rsidRDefault="00A6668E" w:rsidP="004916E9">
      <w:pPr>
        <w:pStyle w:val="CBDDesicionText"/>
      </w:pPr>
      <w:r>
        <w:t>e)</w:t>
      </w:r>
      <w:r>
        <w:tab/>
        <w:t xml:space="preserve">Presente un informe sobre la ejecución de las actividades antes mencionadas para su examen y orientación ulterior por el Órgano Subsidiario sobre la Aplicación en su 6ª reunión y la Conferencia de las Partes en su 17ª reunión. </w:t>
      </w:r>
    </w:p>
    <w:p w14:paraId="1AF26B44" w14:textId="502A3300" w:rsidR="00A6668E" w:rsidRPr="002A4D5A" w:rsidRDefault="00A6668E" w:rsidP="009161EB">
      <w:pPr>
        <w:pStyle w:val="CBDDesicionAnnex"/>
        <w:rPr>
          <w:rFonts w:hint="eastAsia"/>
        </w:rPr>
      </w:pPr>
      <w:r>
        <w:rPr>
          <w:b/>
        </w:rPr>
        <w:t>Anexo</w:t>
      </w:r>
      <w:r>
        <w:rPr>
          <w:b/>
        </w:rPr>
        <w:br/>
      </w:r>
      <w:r>
        <w:t>Estrategia de gestión de conocimientos en apoyo de la implementación del Marco Mundial de Biodiversidad de Kunming-Montreal</w:t>
      </w:r>
    </w:p>
    <w:p w14:paraId="6109C786" w14:textId="77777777" w:rsidR="00A6668E" w:rsidRPr="002A4D5A" w:rsidRDefault="00A6668E" w:rsidP="009161EB">
      <w:pPr>
        <w:pStyle w:val="CBDH2"/>
      </w:pPr>
      <w:r>
        <w:t>I.</w:t>
      </w:r>
      <w:r>
        <w:tab/>
        <w:t>Antecedentes y contexto</w:t>
      </w:r>
    </w:p>
    <w:p w14:paraId="4F3845E2" w14:textId="2C778212" w:rsidR="00A6668E" w:rsidRPr="002A4D5A" w:rsidRDefault="00A6668E" w:rsidP="00A6668E">
      <w:pPr>
        <w:pStyle w:val="CBDNormalNoNumber"/>
      </w:pPr>
      <w:r>
        <w:t>1.</w:t>
      </w:r>
      <w:r>
        <w:tab/>
        <w:t>La gestión de conocimientos es uno de los principales medios estratégicos para la aplicación del Convenio sobre la Diversidad Biológica</w:t>
      </w:r>
      <w:r w:rsidRPr="002A4D5A">
        <w:rPr>
          <w:vertAlign w:val="superscript"/>
        </w:rPr>
        <w:footnoteReference w:id="26"/>
      </w:r>
      <w:r>
        <w:t xml:space="preserve"> y sus Protocolos que sustentarán la consecución de los </w:t>
      </w:r>
      <w:r>
        <w:lastRenderedPageBreak/>
        <w:t>objetivos y las metas del Marco Mundial de Biodiversidad de Kunming-Montreal</w:t>
      </w:r>
      <w:r w:rsidRPr="002A4D5A">
        <w:rPr>
          <w:vertAlign w:val="superscript"/>
        </w:rPr>
        <w:footnoteReference w:id="27"/>
      </w:r>
      <w:r>
        <w:t xml:space="preserve">, como se reconoce en el artículo 17 del Convenio, así como en la meta 21 y la sección K del Marco. </w:t>
      </w:r>
    </w:p>
    <w:p w14:paraId="3CDDBFA6" w14:textId="14F9C581" w:rsidR="00A6668E" w:rsidRPr="002A4D5A" w:rsidRDefault="00A6668E" w:rsidP="009161EB">
      <w:pPr>
        <w:pStyle w:val="CBDNormalNoNumber"/>
        <w:keepLines/>
      </w:pPr>
      <w:r>
        <w:t>2.</w:t>
      </w:r>
      <w:r>
        <w:tab/>
        <w:t>La estrategia de gestión de conocimientos apoya la implementación eficaz del Marco y complementa el marco de seguimiento para el Marco Mundial de Biodiversidad de Kunming-Montreal</w:t>
      </w:r>
      <w:r w:rsidRPr="002A4D5A">
        <w:rPr>
          <w:vertAlign w:val="superscript"/>
        </w:rPr>
        <w:footnoteReference w:id="28"/>
      </w:r>
      <w:r>
        <w:t>, el marco estratégico a largo plazo para la creación y el desarrollo de capacidad</w:t>
      </w:r>
      <w:r w:rsidRPr="002A4D5A">
        <w:rPr>
          <w:vertAlign w:val="superscript"/>
        </w:rPr>
        <w:footnoteReference w:id="29"/>
      </w:r>
      <w:r>
        <w:t>, el mecanismo de cooperación científica y técnica, el mecanismo de facilitación del Convenio y los centros de intercambio de información de sus Protocolos.</w:t>
      </w:r>
    </w:p>
    <w:p w14:paraId="220E2743" w14:textId="77777777" w:rsidR="00A6668E" w:rsidRPr="002A4D5A" w:rsidRDefault="00A6668E" w:rsidP="009161EB">
      <w:pPr>
        <w:pStyle w:val="CBDH2"/>
        <w:rPr>
          <w:b w:val="0"/>
        </w:rPr>
      </w:pPr>
      <w:r>
        <w:t>II.</w:t>
      </w:r>
      <w:r>
        <w:tab/>
        <w:t>Componentes</w:t>
      </w:r>
    </w:p>
    <w:p w14:paraId="1404F4A8" w14:textId="77777777" w:rsidR="00A6668E" w:rsidRPr="002A4D5A" w:rsidRDefault="00A6668E" w:rsidP="00A6668E">
      <w:pPr>
        <w:pStyle w:val="CBDNormalNoNumber"/>
      </w:pPr>
      <w:r>
        <w:t>3.</w:t>
      </w:r>
      <w:r>
        <w:tab/>
        <w:t>La gestión de conocimientos abarca una gama de procesos, estrategias y prácticas mediante los cuales se generan y recopilan datos, información y conocimientos relacionados con la diversidad biológica, así como se organizan, conservan, guardan e intercambian y se utilizan o aplican para lograr los objetivos y resultados relacionados con la diversidad biológica.</w:t>
      </w:r>
    </w:p>
    <w:p w14:paraId="1D2A972B" w14:textId="09DA11F7" w:rsidR="00A6668E" w:rsidRPr="002A4D5A" w:rsidRDefault="00A6668E" w:rsidP="00A6668E">
      <w:pPr>
        <w:pStyle w:val="CBDNormalNoNumber"/>
      </w:pPr>
      <w:r>
        <w:t>4.</w:t>
      </w:r>
      <w:r>
        <w:tab/>
        <w:t>Aunque existen varias definiciones de gestión de conocimientos, la estrategia de gestión de conocimientos en apoyo de la implementación del Marco tiene en cuenta cuatro componentes interdependientes, a saber: a) las personas, incluidos los titulares de conocimientos, los investigadores y profesionales, los pueblos indígenas y las comunidades locales, las mujeres, la juventud, los gestores, los curadores y los usuarios; b) los procesos, esto es, los procedimientos, los estándares y las políticas pertinentes; c) la tecnología y las herramientas tecnológicas, las plataformas, las infraestructuras y los sistemas tecnológicos, y d) el contenido, esto es, los datos, la información y los conocimientos relacionados con la diversidad biológica, incluida la forma en que se gestiona ese contenido, por ejemplo, a través de la catalogación, el etiquetado y la indexación, la digitalización y la organización.</w:t>
      </w:r>
    </w:p>
    <w:p w14:paraId="05F600B3" w14:textId="68B6B5FB" w:rsidR="00A6668E" w:rsidRPr="002A4D5A" w:rsidRDefault="00A6668E" w:rsidP="009161EB">
      <w:pPr>
        <w:pStyle w:val="CBDH2"/>
        <w:rPr>
          <w:b w:val="0"/>
        </w:rPr>
      </w:pPr>
      <w:r>
        <w:t>III.</w:t>
      </w:r>
      <w:r>
        <w:tab/>
        <w:t>Consideraciones generales</w:t>
      </w:r>
    </w:p>
    <w:p w14:paraId="49858FB8" w14:textId="1797DB8D" w:rsidR="00A6668E" w:rsidRPr="002A4D5A" w:rsidRDefault="00A6668E" w:rsidP="00A6668E">
      <w:pPr>
        <w:pStyle w:val="CBDNormalNoNumber"/>
        <w:tabs>
          <w:tab w:val="clear" w:pos="567"/>
        </w:tabs>
      </w:pPr>
      <w:r>
        <w:t>5.</w:t>
      </w:r>
      <w:r>
        <w:tab/>
        <w:t>La estrategia de gestión de conocimientos reconoce que, para contribuir a la consecución de la Visión para 2050, los objetivos y metas del Marco, es importante que los datos, la información y los conocimientos, en particular los conocimientos tradicionales, las innovaciones y las prácticas de los pueblos indígenas y las comunidades locales que se pongan a disposición con su consentimiento libre, previo e informado</w:t>
      </w:r>
      <w:r w:rsidRPr="002A4D5A">
        <w:rPr>
          <w:vertAlign w:val="superscript"/>
        </w:rPr>
        <w:footnoteReference w:id="30"/>
      </w:r>
      <w:r>
        <w:t xml:space="preserve"> y concienciación sobre la aplicación posterior, los posibles beneficios y las posibles consecuencias, estén disponibles y accesibles de manera oportuna para los </w:t>
      </w:r>
      <w:r w:rsidR="00150857">
        <w:t>responsables</w:t>
      </w:r>
      <w:r>
        <w:t xml:space="preserve"> de la toma de decisiones, los profesionales y el público. Además, es importante que, en lo que respecta al contenido y el formato de transmisión, los conocimientos sean los más adecuados a los fines buscados. En este sentido, la estrategia reconoce el enfoque de la Plataforma Intergubernamental Científico-Normativa sobre Diversidad Biológica y Servicios de los Ecosistemas para enfoque para reconocer y utilizar los conocimientos indígenas y locales</w:t>
      </w:r>
      <w:r w:rsidRPr="002A4D5A">
        <w:rPr>
          <w:vertAlign w:val="superscript"/>
        </w:rPr>
        <w:footnoteReference w:id="31"/>
      </w:r>
      <w:r>
        <w:t>.</w:t>
      </w:r>
    </w:p>
    <w:p w14:paraId="23E764A1" w14:textId="37D3938D" w:rsidR="00A6668E" w:rsidRPr="002A4D5A" w:rsidRDefault="00A6668E" w:rsidP="00A6668E">
      <w:pPr>
        <w:pStyle w:val="CBDNormalNoNumber"/>
        <w:tabs>
          <w:tab w:val="clear" w:pos="567"/>
        </w:tabs>
      </w:pPr>
      <w:r>
        <w:t>6.</w:t>
      </w:r>
      <w:r>
        <w:tab/>
        <w:t>Es importante que las Partes, otros Gobiernos, los pueblos indígenas y las comunidades locales, los representantes de las mujeres y de la juventud y otros interesados pertinentes promuevan una cultura de intercambio de conocimientos, la coproducción de conocimientos, el aprendizaje permanente de la experiencia y los diversos sistemas de conocimientos y la retención y reutilización de los conocimientos para mejorar la toma de decisiones, los procesos y las prácticas en materia de implementación.</w:t>
      </w:r>
    </w:p>
    <w:p w14:paraId="7F0C45B5" w14:textId="4A45D211" w:rsidR="00A6668E" w:rsidRPr="002A4D5A" w:rsidRDefault="00A6668E" w:rsidP="00A6668E">
      <w:pPr>
        <w:pStyle w:val="CBDNormalNoNumber"/>
        <w:tabs>
          <w:tab w:val="clear" w:pos="567"/>
        </w:tabs>
      </w:pPr>
      <w:r>
        <w:t>7.</w:t>
      </w:r>
      <w:r>
        <w:tab/>
        <w:t xml:space="preserve">La estrategia de gestión de conocimientos también reconoce que la gestión eficaz de los conocimientos requiere que se reconozcan y optimicen las aportaciones de diversas instituciones gubernamentales y no gubernamentales, organizaciones regionales e internacionales, </w:t>
      </w:r>
      <w:r>
        <w:lastRenderedPageBreak/>
        <w:t>infraestructuras, investigadores, profesionales, pueblos indígenas y comunidades locales, las mujeres, la juventud, el sector privado y otros interesados pertinentes</w:t>
      </w:r>
      <w:r w:rsidRPr="002A4D5A">
        <w:rPr>
          <w:vertAlign w:val="superscript"/>
        </w:rPr>
        <w:footnoteReference w:id="32"/>
      </w:r>
      <w:r>
        <w:t>.</w:t>
      </w:r>
    </w:p>
    <w:p w14:paraId="14DB2D10" w14:textId="2A9C7C08" w:rsidR="00A6668E" w:rsidRPr="002A4D5A" w:rsidRDefault="00A6668E" w:rsidP="00A6668E">
      <w:pPr>
        <w:pStyle w:val="CBDNormalNoNumber"/>
      </w:pPr>
      <w:r>
        <w:t>8.</w:t>
      </w:r>
      <w:r>
        <w:tab/>
        <w:t>La estrategia reconoce también la importancia de adoptar nuevas tecnologías y fomenta un enfoque innovador y con visión de futuro para mejorar la eficacia y la eficiencia de los procesos de gestión de conocimientos.</w:t>
      </w:r>
    </w:p>
    <w:p w14:paraId="375C7F7A" w14:textId="77777777" w:rsidR="00A6668E" w:rsidRPr="002A4D5A" w:rsidRDefault="00A6668E" w:rsidP="00A6668E">
      <w:pPr>
        <w:pStyle w:val="CBDNormalNoNumber"/>
      </w:pPr>
      <w:r>
        <w:t>9.</w:t>
      </w:r>
      <w:r>
        <w:tab/>
        <w:t xml:space="preserve">La estrategia promueve los principios de </w:t>
      </w:r>
      <w:proofErr w:type="spellStart"/>
      <w:r>
        <w:t>encontrabilidad</w:t>
      </w:r>
      <w:proofErr w:type="spellEnd"/>
      <w:r>
        <w:t>, accesibilidad, interoperabilidad y reutilización (principios FAIR), con miras a promover el intercambio abierto de datos, información y conocimientos y la participación justa y equitativa en los beneficios que se deriven de la utilización de los conocimientos, las innovaciones y las prácticas de los pueblos indígenas y las comunidades locales en relación con la conservación y la utilización sostenible de la diversidad biológica.</w:t>
      </w:r>
    </w:p>
    <w:p w14:paraId="72933BCA" w14:textId="1BD628AC" w:rsidR="00A6668E" w:rsidRPr="002A4D5A" w:rsidRDefault="00A6668E" w:rsidP="00A6668E">
      <w:pPr>
        <w:pStyle w:val="CBDNormalNoNumber"/>
      </w:pPr>
      <w:r>
        <w:t>10.</w:t>
      </w:r>
      <w:r>
        <w:tab/>
        <w:t>A fin de garantizar que el acceso a los conocimientos tradicionales, innovaciones, prácticas y tecnologías de los pueblos indígenas y las comunidades locales se brinde con su consentimiento libre, previo e informado</w:t>
      </w:r>
      <w:r w:rsidR="00B71DEA" w:rsidRPr="002A4D5A">
        <w:rPr>
          <w:rStyle w:val="FootnoteReference"/>
        </w:rPr>
        <w:footnoteReference w:id="33"/>
      </w:r>
      <w:r>
        <w:t>, la estrategia también promueve los principios de beneficio colectivo, autoridad para controlar por parte de los pueblos indígenas y las comunidades locales, responsabilidad, reciprocidad y ética (principios CARE) y el refuerzo de sus capacidades, habilidades y conocimientos técnicos.</w:t>
      </w:r>
    </w:p>
    <w:p w14:paraId="1569B7BC" w14:textId="77777777" w:rsidR="00A6668E" w:rsidRPr="002A4D5A" w:rsidRDefault="00A6668E" w:rsidP="009161EB">
      <w:pPr>
        <w:pStyle w:val="CBDH2"/>
        <w:rPr>
          <w:b w:val="0"/>
        </w:rPr>
      </w:pPr>
      <w:r>
        <w:t>IV.</w:t>
      </w:r>
      <w:r>
        <w:tab/>
        <w:t>Finalidad</w:t>
      </w:r>
    </w:p>
    <w:p w14:paraId="13BA6ACF" w14:textId="0632206A" w:rsidR="00A6668E" w:rsidRPr="002A4D5A" w:rsidRDefault="00A6668E" w:rsidP="00A6668E">
      <w:pPr>
        <w:pStyle w:val="CBDNormalNoNumber"/>
        <w:tabs>
          <w:tab w:val="clear" w:pos="567"/>
        </w:tabs>
      </w:pPr>
      <w:r>
        <w:t>11.</w:t>
      </w:r>
      <w:r>
        <w:tab/>
        <w:t xml:space="preserve">La estrategia tiene por objeto fomentar el intercambio mutuo y el uso de datos, información y conocimientos pertinentes, incluidos los conocimientos tradicionales con el consentimiento libre, previo e informado de los pueblos indígenas y las comunidades locales, para la elaboración de políticas, la planificación, la toma de decisiones y la acción fundamentadas, tanto en el nivel de las políticas como de los profesionales, con el fin de apoyar la implementación y el seguimiento del Marco a todos los niveles. También busca promover el desarrollo o fortalecimiento de herramientas y sistemas para mejorar la comunicación, la concienciación, la educación, el intercambio de conocimientos y el aprendizaje institucional entre los </w:t>
      </w:r>
      <w:r w:rsidR="00150857">
        <w:t>responsables</w:t>
      </w:r>
      <w:r>
        <w:t xml:space="preserve"> de formular políticas, los profesionales y otros interesados pertinentes, respetando al mismo tiempo los derechos y los sistemas de conocimiento de los pueblos indígenas y las comunidades locales, de conformidad con la legislación nacional y los instrumentos internacionales pertinentes.</w:t>
      </w:r>
    </w:p>
    <w:p w14:paraId="71A053EC" w14:textId="6D22DDAB" w:rsidR="00A6668E" w:rsidRPr="002A4D5A" w:rsidRDefault="00A6668E" w:rsidP="00A6668E">
      <w:pPr>
        <w:pStyle w:val="CBDNormalNoNumber"/>
        <w:tabs>
          <w:tab w:val="clear" w:pos="567"/>
        </w:tabs>
      </w:pPr>
      <w:r>
        <w:t>12.</w:t>
      </w:r>
      <w:r>
        <w:tab/>
        <w:t>La estrategia tiene la finalidad de abordar algunos de los desafíos y necesidades identificados por las Partes en relación con la gestión de conocimientos, la información y los datos sobre la diversidad biológica para facilitar la implementación eficaz del Marco y la aplicación de las decisiones conexas de la Conferencia de las Partes, entre otras cosas, mediante lo siguiente:</w:t>
      </w:r>
    </w:p>
    <w:p w14:paraId="474DD3E2" w14:textId="5180E13E" w:rsidR="003F734C" w:rsidRPr="002A4D5A" w:rsidRDefault="00A6668E" w:rsidP="00A6668E">
      <w:pPr>
        <w:pStyle w:val="CBDNormalNoNumber"/>
        <w:tabs>
          <w:tab w:val="clear" w:pos="567"/>
        </w:tabs>
        <w:ind w:firstLine="567"/>
      </w:pPr>
      <w:r>
        <w:t>a)</w:t>
      </w:r>
      <w:r>
        <w:tab/>
        <w:t>La resolución de las disparidades que existen entre los países en cuanto a disponibilidad y accesibilidad de datos e información, así como las barreras al uso eficaz de los datos, la información y los conocimientos existentes sobre la diversidad biológica, teniendo en cuenta las dificultades específicas que enfrentan las Partes que son países en desarrollo, en particular los países menos adelantados y los pequeños Estados insulares en desarrollo entre ellos, y las Partes con economías en transición;</w:t>
      </w:r>
    </w:p>
    <w:p w14:paraId="2AB8BCF0" w14:textId="279CD96C" w:rsidR="00A6668E" w:rsidRPr="002A4D5A" w:rsidDel="009F5D6F" w:rsidRDefault="00A6668E" w:rsidP="00A6668E">
      <w:pPr>
        <w:pStyle w:val="CBDNormalNoNumber"/>
        <w:tabs>
          <w:tab w:val="clear" w:pos="567"/>
        </w:tabs>
        <w:ind w:firstLine="567"/>
      </w:pPr>
      <w:r>
        <w:t>b)</w:t>
      </w:r>
      <w:r>
        <w:tab/>
        <w:t xml:space="preserve">El fortalecimiento de las capacidades, sistemas y mecanismos regionales, subregionales, nacionales y, según proceda, subnacionales, de gestión de datos, información y conocimientos relacionados con la diversidad biológica para apoyar la toma de decisiones y las acciones basadas en pruebas, inclusivas y que tengan en cuenta la perspectiva de género, y para el seguimiento y la </w:t>
      </w:r>
      <w:r>
        <w:lastRenderedPageBreak/>
        <w:t>presentación de informes sobre los progresos realizados en la consecución de las metas nacionales como contribuciones a los objetivos y metas del Marco;</w:t>
      </w:r>
    </w:p>
    <w:p w14:paraId="0C34FD2F" w14:textId="3A7EE46A" w:rsidR="00A6668E" w:rsidRPr="002A4D5A" w:rsidDel="0043050B" w:rsidRDefault="00A6668E" w:rsidP="00A6668E">
      <w:pPr>
        <w:pStyle w:val="CBDNormalNoNumber"/>
        <w:tabs>
          <w:tab w:val="clear" w:pos="567"/>
        </w:tabs>
        <w:ind w:firstLine="567"/>
      </w:pPr>
      <w:r>
        <w:t>c)</w:t>
      </w:r>
      <w:r>
        <w:tab/>
        <w:t xml:space="preserve">Un aumento del nivel de estandarización para lograr una mayor armonización e interoperabilidad entre los sistemas, herramientas y plataformas regionales, subregionales, nacionales y subnacionales de información sobre la diversidad biológica, de conformidad con la legislación y las reglamentaciones nacionales; </w:t>
      </w:r>
    </w:p>
    <w:p w14:paraId="67E1BE2D" w14:textId="584DEC00" w:rsidR="00A6668E" w:rsidRPr="002A4D5A" w:rsidRDefault="00A6668E" w:rsidP="00A6668E">
      <w:pPr>
        <w:pStyle w:val="CBDNormalNoNumber"/>
        <w:tabs>
          <w:tab w:val="clear" w:pos="567"/>
        </w:tabs>
        <w:ind w:firstLine="567"/>
      </w:pPr>
      <w:r>
        <w:t>d)</w:t>
      </w:r>
      <w:r>
        <w:tab/>
        <w:t xml:space="preserve">Aprovechar las iniciativas y redes existentes de datos, información y conocimientos y gestión de conocimientos sobre diversidad biológica subsanando las carencias que impiden su utilización plena y eficaz; </w:t>
      </w:r>
    </w:p>
    <w:p w14:paraId="5A49B6D6" w14:textId="4063AC18" w:rsidR="00A6668E" w:rsidRPr="002A4D5A" w:rsidDel="00E15C38" w:rsidRDefault="00A6668E" w:rsidP="00A6668E">
      <w:pPr>
        <w:pStyle w:val="CBDNormalNoNumber"/>
        <w:tabs>
          <w:tab w:val="clear" w:pos="567"/>
        </w:tabs>
        <w:ind w:firstLine="567"/>
      </w:pPr>
      <w:r>
        <w:t>e)</w:t>
      </w:r>
      <w:r>
        <w:tab/>
        <w:t>La formulación de políticas y estrategias nacionales y subnacionales adecuadas para apoyar la generación de datos e información y la gestión de conocimientos;</w:t>
      </w:r>
    </w:p>
    <w:p w14:paraId="58F81E8F" w14:textId="1F0F6DBB" w:rsidR="00A6668E" w:rsidRPr="002A4D5A" w:rsidRDefault="00A6668E" w:rsidP="00A6668E">
      <w:pPr>
        <w:pStyle w:val="CBDNormalNoNumber"/>
        <w:tabs>
          <w:tab w:val="clear" w:pos="567"/>
        </w:tabs>
        <w:ind w:firstLine="567"/>
      </w:pPr>
      <w:r>
        <w:t>f)</w:t>
      </w:r>
      <w:r>
        <w:tab/>
        <w:t>Fomentar la cooperación y la coordinación entre los convenios y los acuerdos multilaterales relacionados con la diversidad biológica para agilizar los procesos de gestión de la información, incluida la presentación de los informes nacionales, la puesta en común de datos y el intercambio de conocimientos, de conformidad con sus respectivos mandatos, autoridad jurídica y responsabilidades;</w:t>
      </w:r>
    </w:p>
    <w:p w14:paraId="41B94697" w14:textId="5E7F7661" w:rsidR="00A6668E" w:rsidRPr="002A4D5A" w:rsidRDefault="00A6668E" w:rsidP="00A6668E">
      <w:pPr>
        <w:pStyle w:val="CBDNormalNoNumber"/>
        <w:tabs>
          <w:tab w:val="clear" w:pos="567"/>
        </w:tabs>
        <w:ind w:firstLine="567"/>
      </w:pPr>
      <w:r>
        <w:t>g)</w:t>
      </w:r>
      <w:r>
        <w:tab/>
        <w:t>Mejorar la coordinación y colaboración entre diversas iniciativas, herramientas y plataformas regionales, subregionales y nacionales de conocimientos sobre la diversidad biológica para evitar la duplicación y promover la eficiencia y la sostenibilidad.</w:t>
      </w:r>
    </w:p>
    <w:p w14:paraId="7BD5E53F" w14:textId="4CED2D05" w:rsidR="00A6668E" w:rsidRPr="002A4D5A" w:rsidRDefault="00A6668E" w:rsidP="00A6668E">
      <w:pPr>
        <w:pStyle w:val="CBDNormalNoNumber"/>
        <w:tabs>
          <w:tab w:val="clear" w:pos="567"/>
        </w:tabs>
      </w:pPr>
      <w:r>
        <w:t>13.</w:t>
      </w:r>
      <w:r>
        <w:tab/>
        <w:t>La estrategia promueve un enfoque regional de la gestión de conocimientos, a través de los centros regionales y subregionales de apoyo del mecanismo de cooperación científica y técnica, para fomentar el intercambio de datos, información y conocimientos pertinentes, recursos, mejores prácticas y conocimientos especializados entre los interesados con el fin de optimizar la implementación del Marco, de acuerdo con la legislación y las reglamentaciones nacionales.</w:t>
      </w:r>
    </w:p>
    <w:p w14:paraId="57C88C49" w14:textId="77777777" w:rsidR="00A6668E" w:rsidRPr="002A4D5A" w:rsidRDefault="00A6668E" w:rsidP="009161EB">
      <w:pPr>
        <w:pStyle w:val="CBDH2"/>
        <w:rPr>
          <w:b w:val="0"/>
        </w:rPr>
      </w:pPr>
      <w:r>
        <w:t>V.</w:t>
      </w:r>
      <w:r>
        <w:tab/>
        <w:t>Resultados previstos</w:t>
      </w:r>
    </w:p>
    <w:p w14:paraId="43BAA3A9" w14:textId="49836C77" w:rsidR="00A6668E" w:rsidRPr="002A4D5A" w:rsidRDefault="00A6668E" w:rsidP="00A6668E">
      <w:pPr>
        <w:pStyle w:val="CBDNormalNoNumber"/>
      </w:pPr>
      <w:r>
        <w:t>14.</w:t>
      </w:r>
      <w:r>
        <w:tab/>
        <w:t>Los resultados previstos de la aplicación de la estrategia son: una mayor capacidad de los Gobiernos, los pueblos indígenas y las comunidades locales, las instituciones científicas y académicas, los representantes de las mujeres y de la juventud, el sector privado y otros interesados pertinentes para captar, gestionar y usar datos, información y conocimientos relacionados con la diversidad biológica; una base de conocimientos ampliada; y un incremento de la disponibilidad, accesibilidad y asimilación de datos, información y conocimientos pertinentes en todos los niveles, con miras a facilitar la formulación de programas y políticas basados en pruebas, la toma de decisiones fundamentadas y la implementación, el seguimiento y la presentación de informes eficaces del Marco.</w:t>
      </w:r>
    </w:p>
    <w:p w14:paraId="6A256DBF" w14:textId="4D086F34" w:rsidR="00A6668E" w:rsidRPr="002A4D5A" w:rsidRDefault="00A6668E" w:rsidP="00A6668E">
      <w:pPr>
        <w:pStyle w:val="CBDNormalNoNumber"/>
      </w:pPr>
      <w:r>
        <w:t>15.</w:t>
      </w:r>
      <w:r>
        <w:tab/>
        <w:t>Los objetivos estratégicos y las acciones de componentes relacionados con la consecución de estos resultados se presentan en un cuadro en la sección VIII a continuación.</w:t>
      </w:r>
    </w:p>
    <w:p w14:paraId="38F0330C" w14:textId="77777777" w:rsidR="00A6668E" w:rsidRPr="002A4D5A" w:rsidRDefault="00A6668E" w:rsidP="009161EB">
      <w:pPr>
        <w:pStyle w:val="CBDH2"/>
        <w:rPr>
          <w:b w:val="0"/>
        </w:rPr>
      </w:pPr>
      <w:r>
        <w:t>VI.</w:t>
      </w:r>
      <w:r>
        <w:tab/>
        <w:t>Aplicación (2024-2030)</w:t>
      </w:r>
    </w:p>
    <w:p w14:paraId="71E31418" w14:textId="7E3A8AA4" w:rsidR="00A6668E" w:rsidRPr="002A4D5A" w:rsidRDefault="00A6668E" w:rsidP="00A6668E">
      <w:pPr>
        <w:pStyle w:val="CBDNormalNoNumber"/>
      </w:pPr>
      <w:r>
        <w:t>16.</w:t>
      </w:r>
      <w:r>
        <w:tab/>
        <w:t>La estrategia será aplicada de forma inclusiva y con perspectiva de género por las Partes y otros Gobiernos, con la participación de los pueblos indígenas y las comunidades locales, instituciones científicas y académicas, representantes de las mujeres y de la juventud, el sector privado y otros interesados pertinentes</w:t>
      </w:r>
      <w:r w:rsidRPr="002A4D5A">
        <w:rPr>
          <w:vertAlign w:val="superscript"/>
        </w:rPr>
        <w:footnoteReference w:id="34"/>
      </w:r>
      <w:r>
        <w:t xml:space="preserve">, y con apoyo proporcionado por la Secretaría. La aplicación estará en consonancia con las prioridades establecidas en las estrategias y planes de acción nacionales </w:t>
      </w:r>
      <w:r>
        <w:lastRenderedPageBreak/>
        <w:t>en materia de biodiversidad, el Marco y las decisiones pertinentes de la Conferencia de las Partes</w:t>
      </w:r>
      <w:r w:rsidRPr="002A4D5A">
        <w:rPr>
          <w:vertAlign w:val="superscript"/>
        </w:rPr>
        <w:footnoteReference w:id="35"/>
      </w:r>
      <w:r>
        <w:t xml:space="preserve">, aprovechando plenamente los recursos existentes y la cooperación con organizaciones y procesos pertinentes, teniendo en cuenta que la Secretaría deberá llevar a cabo actividades nuevas y adicionales con sujeción a la disponibilidad de recursos. </w:t>
      </w:r>
    </w:p>
    <w:p w14:paraId="2F86DA86" w14:textId="52D809B8" w:rsidR="00A6668E" w:rsidRPr="002A4D5A" w:rsidRDefault="00A6668E" w:rsidP="00347605">
      <w:pPr>
        <w:pStyle w:val="CBDNormalNoNumber"/>
      </w:pPr>
      <w:r>
        <w:t>17.</w:t>
      </w:r>
      <w:r>
        <w:tab/>
        <w:t xml:space="preserve">La aplicación de la estrategia se ajustará a la legislación y las reglamentaciones nacionales relativas a la gestión de conocimientos y las apoyará. </w:t>
      </w:r>
    </w:p>
    <w:p w14:paraId="637A1F9E" w14:textId="44F9BA99" w:rsidR="00A6668E" w:rsidRPr="002A4D5A" w:rsidRDefault="00A6668E" w:rsidP="00A6668E">
      <w:pPr>
        <w:pStyle w:val="CBDNormalNoNumber"/>
      </w:pPr>
      <w:r>
        <w:t>18.</w:t>
      </w:r>
      <w:r>
        <w:tab/>
        <w:t>La estrategia tendrá en cuenta las carencias en materia de capacidad, así como técnicas, tecnológicas y financieras que socaven las capacidades de los países, especialmente los países en desarrollo, en particular los países menos adelantados y los pequeños Estados insulares en desarrollo entre ellos, y los países con economías en transición, para producir datos, información y conocimientos relacionados con la diversidad biológica y acceder a ellos. La estrategia dará prioridad a la necesidad de implicar a los pueblos indígenas y las comunidades locales, las mujeres, la juventud y los grupos en situaciones de vulnerabilidad en programas de investigación destinados a la conservación y la utilización sostenible de la diversidad biológica.</w:t>
      </w:r>
    </w:p>
    <w:p w14:paraId="5F1BE18A" w14:textId="76E396C6" w:rsidR="00A6668E" w:rsidRPr="002A4D5A" w:rsidRDefault="00A6668E" w:rsidP="00130742">
      <w:pPr>
        <w:pStyle w:val="CBDNormalNoNumber"/>
      </w:pPr>
      <w:r>
        <w:t>19.</w:t>
      </w:r>
      <w:r>
        <w:tab/>
        <w:t>La aplicación de la estrategia por las Partes se ajustará a lo dispuesto en el Convenio, en particular en sus artículos 16, 17, 18 y 20.</w:t>
      </w:r>
    </w:p>
    <w:p w14:paraId="4BA84F9C" w14:textId="77777777" w:rsidR="00A6668E" w:rsidRPr="002A4D5A" w:rsidRDefault="00A6668E" w:rsidP="009161EB">
      <w:pPr>
        <w:pStyle w:val="CBDH2"/>
        <w:rPr>
          <w:b w:val="0"/>
        </w:rPr>
      </w:pPr>
      <w:r>
        <w:t>VII.</w:t>
      </w:r>
      <w:r>
        <w:tab/>
        <w:t>Seguimiento</w:t>
      </w:r>
    </w:p>
    <w:p w14:paraId="75B445D9" w14:textId="579F0298" w:rsidR="00A6668E" w:rsidRPr="002A4D5A" w:rsidRDefault="00A6668E" w:rsidP="00EA14AE">
      <w:pPr>
        <w:pStyle w:val="CBDNormalNoNumber"/>
      </w:pPr>
      <w:r>
        <w:t>20.</w:t>
      </w:r>
      <w:r>
        <w:tab/>
        <w:t>Se hará un seguimiento de la aplicación de la estrategia a nivel subnacional, nacional y regional, usando la información suministrada por las Partes, en colaboración con los pueblos indígenas y las comunidades locales, los representantes de las mujeres y de la juventud y los interesados pertinentes, en sus informes nacionales. Con sujeción a la disponibilidad de fondos y recursos, la Secretaría, los centros regionales y subregionales de apoyo y las organizaciones pertinentes prestarán apoyo a las Partes, los pueblos indígenas y las comunidades locales, los representantes de las mujeres y de la juventud y otros interesados pertinentes en la aplicación de la estrategia y el seguimiento de sus progresos. La información generada en el proceso de seguimiento se utilizará, según proceda, para fundamentar la revisión y actualización de la estrategia en 2030.</w:t>
      </w:r>
    </w:p>
    <w:p w14:paraId="394C4388" w14:textId="6CF0C030" w:rsidR="00A6668E" w:rsidRPr="004916E9" w:rsidRDefault="00A6668E" w:rsidP="004916E9">
      <w:pPr>
        <w:pStyle w:val="CBDH2"/>
        <w:spacing w:before="240"/>
        <w:rPr>
          <w:bCs/>
        </w:rPr>
      </w:pPr>
      <w:r>
        <w:t>VIII.</w:t>
      </w:r>
      <w:r>
        <w:tab/>
        <w:t>Objetivos estratégicos y acciones de componentes</w:t>
      </w:r>
    </w:p>
    <w:tbl>
      <w:tblPr>
        <w:tblStyle w:val="TableGrid"/>
        <w:tblW w:w="4775" w:type="pct"/>
        <w:jc w:val="right"/>
        <w:tblLook w:val="04A0" w:firstRow="1" w:lastRow="0" w:firstColumn="1" w:lastColumn="0" w:noHBand="0" w:noVBand="1"/>
      </w:tblPr>
      <w:tblGrid>
        <w:gridCol w:w="1838"/>
        <w:gridCol w:w="7091"/>
      </w:tblGrid>
      <w:tr w:rsidR="00F87499" w:rsidRPr="002A4D5A" w14:paraId="2F6A630E" w14:textId="77777777" w:rsidTr="004916E9">
        <w:trPr>
          <w:trHeight w:val="57"/>
          <w:tblHeader/>
          <w:jc w:val="right"/>
        </w:trPr>
        <w:tc>
          <w:tcPr>
            <w:tcW w:w="1029" w:type="pct"/>
          </w:tcPr>
          <w:p w14:paraId="3DC787FB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60"/>
              <w:ind w:left="24"/>
              <w:jc w:val="left"/>
              <w:rPr>
                <w:sz w:val="20"/>
                <w:szCs w:val="20"/>
              </w:rPr>
            </w:pPr>
            <w:bookmarkStart w:id="3" w:name="_Hlk162346884"/>
            <w:r>
              <w:rPr>
                <w:i/>
                <w:sz w:val="20"/>
              </w:rPr>
              <w:t>Objetivos estratégicos</w:t>
            </w:r>
          </w:p>
        </w:tc>
        <w:tc>
          <w:tcPr>
            <w:tcW w:w="3971" w:type="pct"/>
          </w:tcPr>
          <w:p w14:paraId="2AB87E47" w14:textId="77777777" w:rsidR="00D01523" w:rsidRPr="002A4D5A" w:rsidRDefault="00D01523" w:rsidP="004916E9">
            <w:pPr>
              <w:pStyle w:val="CBDNormalNoNumber"/>
              <w:tabs>
                <w:tab w:val="clear" w:pos="567"/>
              </w:tabs>
              <w:spacing w:before="40" w:after="60"/>
              <w:ind w:left="0"/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</w:rPr>
              <w:t>Acciones de componentes</w:t>
            </w:r>
          </w:p>
        </w:tc>
      </w:tr>
      <w:tr w:rsidR="00F87499" w:rsidRPr="002A4D5A" w14:paraId="4AFE0F8B" w14:textId="77777777" w:rsidTr="004916E9">
        <w:trPr>
          <w:trHeight w:val="57"/>
          <w:jc w:val="right"/>
        </w:trPr>
        <w:tc>
          <w:tcPr>
            <w:tcW w:w="1029" w:type="pct"/>
            <w:vMerge w:val="restart"/>
          </w:tcPr>
          <w:p w14:paraId="1F66CB95" w14:textId="77777777" w:rsidR="00D01523" w:rsidRPr="002A4D5A" w:rsidRDefault="00D01523" w:rsidP="004916E9">
            <w:pPr>
              <w:pStyle w:val="CBDNormalNoNumber"/>
              <w:tabs>
                <w:tab w:val="clear" w:pos="567"/>
                <w:tab w:val="left" w:pos="317"/>
              </w:tabs>
              <w:spacing w:before="40" w:after="60"/>
              <w:ind w:left="24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  <w:t>Estudio preliminar y contextualización de la situación y las necesidades</w:t>
            </w:r>
          </w:p>
        </w:tc>
        <w:tc>
          <w:tcPr>
            <w:tcW w:w="3971" w:type="pct"/>
          </w:tcPr>
          <w:p w14:paraId="459CE626" w14:textId="0825A431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Elaborar un inventario de los activos de conocimientos, titulares de conocimientos, curadores, fuentes</w:t>
            </w:r>
            <w:r w:rsidR="00CF05C1" w:rsidRPr="002A4D5A">
              <w:rPr>
                <w:rStyle w:val="FootnoteReference"/>
                <w:sz w:val="20"/>
                <w:szCs w:val="20"/>
              </w:rPr>
              <w:footnoteReference w:id="36"/>
            </w:r>
            <w:r>
              <w:rPr>
                <w:sz w:val="20"/>
              </w:rPr>
              <w:t xml:space="preserve"> y plataformas pertinentes para el Marco Mundial de Biodiversidad de Kunming-Montreal y las estrategias y planes de acción nacionales en materia de biodiversidad.</w:t>
            </w:r>
          </w:p>
        </w:tc>
      </w:tr>
      <w:tr w:rsidR="00F87499" w:rsidRPr="002A4D5A" w14:paraId="75275E68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0FA719FF" w14:textId="77777777" w:rsidR="00D01523" w:rsidRPr="002A4D5A" w:rsidRDefault="00D01523" w:rsidP="00D01523">
            <w:pPr>
              <w:pStyle w:val="CBDNormalNoNumber"/>
              <w:spacing w:before="40" w:after="60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189CFE97" w14:textId="46DEC0CC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 xml:space="preserve">Determinar las carencias, necesidades y prioridades de las Partes en materia de conocimientos. </w:t>
            </w:r>
          </w:p>
        </w:tc>
      </w:tr>
      <w:tr w:rsidR="00F87499" w:rsidRPr="002A4D5A" w14:paraId="5935C1E4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025DADC0" w14:textId="77777777" w:rsidR="00D01523" w:rsidRPr="002A4D5A" w:rsidRDefault="00D01523" w:rsidP="00D01523">
            <w:pPr>
              <w:pStyle w:val="CBDNormalNoNumber"/>
              <w:spacing w:before="40" w:after="60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5EDF5CDD" w14:textId="140F7B71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Determinar opciones y mecanismos para subsanar las carencias y necesidades de conocimientos que se detecten.</w:t>
            </w:r>
          </w:p>
        </w:tc>
      </w:tr>
      <w:tr w:rsidR="00F87499" w:rsidRPr="002A4D5A" w14:paraId="0AF80C21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7E5C1BD2" w14:textId="77777777" w:rsidR="00D01523" w:rsidRPr="002A4D5A" w:rsidRDefault="00D01523" w:rsidP="00D01523">
            <w:pPr>
              <w:pStyle w:val="CBDNormalNoNumber"/>
              <w:spacing w:before="40" w:after="60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2EA438E2" w14:textId="04EA72B1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Formular estrategias y planes de acción nacionales y regionales para la gestión de conocimientos basados en las necesidades y prioridades que determinen las Partes.</w:t>
            </w:r>
          </w:p>
        </w:tc>
      </w:tr>
      <w:tr w:rsidR="00F87499" w:rsidRPr="002A4D5A" w14:paraId="0634A5D7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68F5F9AB" w14:textId="77777777" w:rsidR="00D01523" w:rsidRPr="002A4D5A" w:rsidRDefault="00D01523" w:rsidP="00D01523">
            <w:pPr>
              <w:pStyle w:val="CBDNormalNoNumber"/>
              <w:spacing w:before="40" w:after="60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3F78115A" w14:textId="4BEFB186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Evaluar la eficacia de los sistemas y plataformas de gestión de conocimientos existentes a nivel mundial, regional, nacional y subnacional.</w:t>
            </w:r>
          </w:p>
        </w:tc>
      </w:tr>
      <w:tr w:rsidR="00F87499" w:rsidRPr="002A4D5A" w14:paraId="2CB3C53E" w14:textId="77777777" w:rsidTr="004916E9">
        <w:trPr>
          <w:trHeight w:val="57"/>
          <w:jc w:val="right"/>
        </w:trPr>
        <w:tc>
          <w:tcPr>
            <w:tcW w:w="1029" w:type="pct"/>
            <w:vMerge w:val="restart"/>
          </w:tcPr>
          <w:p w14:paraId="2CCAE37A" w14:textId="77777777" w:rsidR="00D01523" w:rsidRPr="002A4D5A" w:rsidRDefault="00D01523" w:rsidP="004916E9">
            <w:pPr>
              <w:pStyle w:val="CBDNormalNoNumber"/>
              <w:tabs>
                <w:tab w:val="clear" w:pos="567"/>
                <w:tab w:val="left" w:pos="317"/>
              </w:tabs>
              <w:spacing w:before="40" w:after="60"/>
              <w:ind w:left="24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B.</w:t>
            </w:r>
            <w:r>
              <w:rPr>
                <w:sz w:val="20"/>
              </w:rPr>
              <w:tab/>
              <w:t>Promover la generación y síntesis de conocimientos</w:t>
            </w:r>
          </w:p>
        </w:tc>
        <w:tc>
          <w:tcPr>
            <w:tcW w:w="3971" w:type="pct"/>
          </w:tcPr>
          <w:p w14:paraId="7E8585E6" w14:textId="6299350F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Establecer procesos y mecanismos de múltiples interesados para la creación conjunta y producción de conocimientos.</w:t>
            </w:r>
          </w:p>
        </w:tc>
      </w:tr>
      <w:tr w:rsidR="00F87499" w:rsidRPr="002A4D5A" w14:paraId="48693CEC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07A29D2A" w14:textId="77777777" w:rsidR="00D01523" w:rsidRPr="002A4D5A" w:rsidRDefault="00D01523" w:rsidP="004916E9">
            <w:pPr>
              <w:pStyle w:val="CBDNormalNoNumber"/>
              <w:spacing w:before="40" w:after="60"/>
              <w:ind w:left="24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04740C3C" w14:textId="4E075E8C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Intensificar la colaboración entre instituciones gubernamentales, organizaciones, instituciones académicas y científicas, el sector privado e iniciativas pertinentes para promover la generación de conocimientos.</w:t>
            </w:r>
          </w:p>
        </w:tc>
      </w:tr>
      <w:tr w:rsidR="00F87499" w:rsidRPr="002A4D5A" w14:paraId="1245E327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08530E84" w14:textId="77777777" w:rsidR="00D01523" w:rsidRPr="002A4D5A" w:rsidRDefault="00D01523" w:rsidP="004916E9">
            <w:pPr>
              <w:pStyle w:val="CBDNormalNoNumber"/>
              <w:spacing w:before="40" w:after="60"/>
              <w:ind w:left="24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75609D31" w14:textId="389C7DB6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Dar participación y alentar a las instituciones académicas y de investigación, titulares de conocimientos tradicionales y otras instituciones y comunidades de conocimientos para llevar a cabo investigaciones y compartir datos, información y conocimientos pertinentes.</w:t>
            </w:r>
          </w:p>
        </w:tc>
      </w:tr>
      <w:tr w:rsidR="00F87499" w:rsidRPr="002A4D5A" w14:paraId="50EB4B9C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1E281275" w14:textId="77777777" w:rsidR="00D01523" w:rsidRPr="002A4D5A" w:rsidRDefault="00D01523" w:rsidP="004916E9">
            <w:pPr>
              <w:pStyle w:val="CBDNormalNoNumber"/>
              <w:spacing w:before="40" w:after="60"/>
              <w:ind w:left="24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0258CA54" w14:textId="32E89CAA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Fortalecer la capacidad nacional y regional para la generación de conocimientos, incluida la recopilación de datos, información y conocimientos por parte de ciudadanos particulares a nivel subnacional y local.</w:t>
            </w:r>
          </w:p>
        </w:tc>
      </w:tr>
      <w:tr w:rsidR="00F87499" w:rsidRPr="002A4D5A" w14:paraId="3DF904F7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6DC07443" w14:textId="77777777" w:rsidR="00D01523" w:rsidRPr="002A4D5A" w:rsidRDefault="00D01523" w:rsidP="004916E9">
            <w:pPr>
              <w:pStyle w:val="CBDNormalNoNumber"/>
              <w:spacing w:before="40" w:after="60"/>
              <w:ind w:left="24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0B393151" w14:textId="7F8DE657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Promover el uso de tecnología digital para recopilar datos e información.</w:t>
            </w:r>
          </w:p>
        </w:tc>
      </w:tr>
      <w:tr w:rsidR="00F87499" w:rsidRPr="002A4D5A" w14:paraId="76704988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154053D2" w14:textId="77777777" w:rsidR="00D01523" w:rsidRPr="002A4D5A" w:rsidRDefault="00D01523" w:rsidP="004916E9">
            <w:pPr>
              <w:pStyle w:val="CBDNormalNoNumber"/>
              <w:spacing w:before="40" w:after="60"/>
              <w:ind w:left="24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5FDC5BD4" w14:textId="4CEF8440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>Identificar y recopilar los conocimientos tradicionales de los pueblos indígenas y las comunidades locales, con particular atención a los conocimientos de las mujeres indígenas, con su consentimiento libre, previo e informado, y reconociendo claramente la fuente.</w:t>
            </w:r>
          </w:p>
        </w:tc>
      </w:tr>
      <w:tr w:rsidR="00F87499" w:rsidRPr="002A4D5A" w14:paraId="567F99F7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4CC1E1F6" w14:textId="77777777" w:rsidR="00D01523" w:rsidRPr="002A4D5A" w:rsidRDefault="00D01523" w:rsidP="004916E9">
            <w:pPr>
              <w:pStyle w:val="CBDNormalNoNumber"/>
              <w:spacing w:before="40" w:after="60"/>
              <w:ind w:left="24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45068870" w14:textId="3DFC8434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  <w:t>Establecer y convocar comunidades de práctica sobre esferas temáticas y transversales pertinentes para la implementación del Marco y la gestión de conocimientos, entre otras cosas sobre generación, almacenamiento, difusión y aplicación de conocimientos.</w:t>
            </w:r>
          </w:p>
        </w:tc>
      </w:tr>
      <w:tr w:rsidR="00F87499" w:rsidRPr="002A4D5A" w14:paraId="134DFB00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78427F61" w14:textId="77777777" w:rsidR="00D01523" w:rsidRPr="002A4D5A" w:rsidRDefault="00D01523" w:rsidP="004916E9">
            <w:pPr>
              <w:pStyle w:val="CBDNormalNoNumber"/>
              <w:spacing w:before="40" w:after="60"/>
              <w:ind w:left="24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2A1DA699" w14:textId="1BB17221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  <w:t>Promover la documentación y publicación de los conocimientos tradicionales de los pueblos indígenas y las comunidades locales en publicaciones de investigación, con su consentimiento libre, previo e informado, y con la participación de los titulares de conocimientos tradicionales.</w:t>
            </w:r>
          </w:p>
        </w:tc>
      </w:tr>
      <w:tr w:rsidR="00F87499" w:rsidRPr="002A4D5A" w14:paraId="4F9D6624" w14:textId="77777777" w:rsidTr="004916E9">
        <w:trPr>
          <w:trHeight w:val="57"/>
          <w:jc w:val="right"/>
        </w:trPr>
        <w:tc>
          <w:tcPr>
            <w:tcW w:w="1029" w:type="pct"/>
            <w:vMerge w:val="restart"/>
          </w:tcPr>
          <w:p w14:paraId="31A2DBE2" w14:textId="77777777" w:rsidR="00D01523" w:rsidRPr="002A4D5A" w:rsidRDefault="00D01523" w:rsidP="004916E9">
            <w:pPr>
              <w:pStyle w:val="CBDNormalNoNumber"/>
              <w:tabs>
                <w:tab w:val="clear" w:pos="567"/>
                <w:tab w:val="left" w:pos="317"/>
              </w:tabs>
              <w:spacing w:before="40" w:after="60"/>
              <w:ind w:left="24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C.</w:t>
            </w:r>
            <w:r>
              <w:rPr>
                <w:sz w:val="20"/>
              </w:rPr>
              <w:tab/>
              <w:t>Facilitar el descubrimiento y la recopilación de conocimientos</w:t>
            </w:r>
          </w:p>
        </w:tc>
        <w:tc>
          <w:tcPr>
            <w:tcW w:w="3971" w:type="pct"/>
          </w:tcPr>
          <w:p w14:paraId="4FDA3F5F" w14:textId="5640AB98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Elaborar, mejorar y utilizar herramientas web para descubrir y recopilar datos, información y conocimientos de diversas fuentes, en particular mediante la promoción de las herramientas, plataformas y servicios ya existentes.</w:t>
            </w:r>
          </w:p>
        </w:tc>
      </w:tr>
      <w:tr w:rsidR="00F87499" w:rsidRPr="002A4D5A" w14:paraId="683DF29D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646441D4" w14:textId="77777777" w:rsidR="00D01523" w:rsidRPr="002A4D5A" w:rsidRDefault="00D01523" w:rsidP="00D01523">
            <w:pPr>
              <w:pStyle w:val="CBDNormalNoNumber"/>
              <w:spacing w:before="4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753E4F2F" w14:textId="4CAE60DC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 xml:space="preserve">Promover el uso de herramientas y tecnología para el descubrimiento de conocimientos. </w:t>
            </w:r>
          </w:p>
        </w:tc>
      </w:tr>
      <w:tr w:rsidR="00F87499" w:rsidRPr="002A4D5A" w14:paraId="5A85C8AF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2B915345" w14:textId="77777777" w:rsidR="00D01523" w:rsidRPr="002A4D5A" w:rsidRDefault="00D01523" w:rsidP="00D01523">
            <w:pPr>
              <w:pStyle w:val="CBDNormalNoNumber"/>
              <w:spacing w:before="4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01343691" w14:textId="436B5485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 xml:space="preserve">Dar participación a los interesados pertinentes, incluidos titulares, generadores, creadores y agentes de conocimientos y ciudadanos particulares, en el descubrimiento y la recopilación de conocimientos. </w:t>
            </w:r>
          </w:p>
        </w:tc>
      </w:tr>
      <w:tr w:rsidR="00F87499" w:rsidRPr="002A4D5A" w14:paraId="626E0831" w14:textId="77777777" w:rsidTr="004916E9">
        <w:trPr>
          <w:trHeight w:val="57"/>
          <w:jc w:val="right"/>
        </w:trPr>
        <w:tc>
          <w:tcPr>
            <w:tcW w:w="1029" w:type="pct"/>
            <w:vMerge w:val="restart"/>
          </w:tcPr>
          <w:p w14:paraId="5970D45D" w14:textId="77777777" w:rsidR="00D01523" w:rsidRPr="002A4D5A" w:rsidRDefault="00D01523" w:rsidP="004916E9">
            <w:pPr>
              <w:pStyle w:val="CBDNormalNoNumber"/>
              <w:keepNext/>
              <w:tabs>
                <w:tab w:val="clear" w:pos="567"/>
                <w:tab w:val="left" w:pos="317"/>
              </w:tabs>
              <w:spacing w:before="40" w:after="60"/>
              <w:ind w:left="29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D.</w:t>
            </w:r>
            <w:r>
              <w:rPr>
                <w:sz w:val="20"/>
              </w:rPr>
              <w:tab/>
              <w:t>Mejorar la organización y el intercambio de conocimientos</w:t>
            </w:r>
          </w:p>
        </w:tc>
        <w:tc>
          <w:tcPr>
            <w:tcW w:w="3971" w:type="pct"/>
          </w:tcPr>
          <w:p w14:paraId="588FD81D" w14:textId="11D6CB72" w:rsidR="00D01523" w:rsidRPr="002A4D5A" w:rsidRDefault="00D01523" w:rsidP="004916E9">
            <w:pPr>
              <w:pStyle w:val="CBDNormalNoNumber"/>
              <w:keepNext/>
              <w:tabs>
                <w:tab w:val="clear" w:pos="567"/>
                <w:tab w:val="left" w:pos="501"/>
              </w:tabs>
              <w:spacing w:before="40" w:after="60"/>
              <w:ind w:left="29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 xml:space="preserve">Revisar los metadatos y mejorar el etiquetado y la localización de objetos de conocimiento procedentes de diversas fuentes para aumentar la </w:t>
            </w:r>
            <w:proofErr w:type="spellStart"/>
            <w:r>
              <w:rPr>
                <w:sz w:val="20"/>
              </w:rPr>
              <w:t>encontrabilidad</w:t>
            </w:r>
            <w:proofErr w:type="spellEnd"/>
            <w:r>
              <w:rPr>
                <w:sz w:val="20"/>
              </w:rPr>
              <w:t xml:space="preserve">, accesibilidad, interoperabilidad y reutilización de datos, información y conocimientos. </w:t>
            </w:r>
          </w:p>
        </w:tc>
      </w:tr>
      <w:tr w:rsidR="00F87499" w:rsidRPr="002A4D5A" w14:paraId="4C6932A5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323D1C1D" w14:textId="77777777" w:rsidR="00D01523" w:rsidRPr="002A4D5A" w:rsidRDefault="00D01523" w:rsidP="00D01523">
            <w:pPr>
              <w:pStyle w:val="CBDNormalNoNumber"/>
              <w:spacing w:before="40" w:after="60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6D6C55FB" w14:textId="5EC3DFE8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Elaborar y promover estándares y protocolos y mejores prácticas de intercambio de datos, información y conocimientos para garantizar una buena calidad de los datos, la armonización, la compatibilidad y la interoperabilidad de los sistemas, herramientas y plataformas de información sobre la diversidad biológica</w:t>
            </w:r>
            <w:r w:rsidR="0098315A" w:rsidRPr="002A4D5A">
              <w:rPr>
                <w:rStyle w:val="FootnoteReference"/>
                <w:sz w:val="20"/>
                <w:szCs w:val="20"/>
              </w:rPr>
              <w:footnoteReference w:id="37"/>
            </w:r>
            <w:r>
              <w:rPr>
                <w:sz w:val="20"/>
              </w:rPr>
              <w:t>.</w:t>
            </w:r>
          </w:p>
        </w:tc>
      </w:tr>
      <w:tr w:rsidR="00F87499" w:rsidRPr="002A4D5A" w14:paraId="2775ED02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7AC8BC94" w14:textId="77777777" w:rsidR="00D01523" w:rsidRPr="002A4D5A" w:rsidRDefault="00D01523" w:rsidP="00D01523">
            <w:pPr>
              <w:pStyle w:val="CBDNormalNoNumber"/>
              <w:spacing w:before="40" w:after="60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01F77567" w14:textId="1B71B056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Reforzar la capacidad de los Gobiernos, los pueblos indígenas y las comunidades locales, los representantes de las mujeres y de la juventud, y otros interesados pertinentes, incluido el sector privado, para gestionar e intercambiar datos, información y conocimientos de manera eficiente entre convenios</w:t>
            </w:r>
            <w:r w:rsidR="00926DFE" w:rsidRPr="002A4D5A">
              <w:rPr>
                <w:rStyle w:val="FootnoteReference"/>
                <w:sz w:val="20"/>
                <w:szCs w:val="20"/>
              </w:rPr>
              <w:footnoteReference w:id="38"/>
            </w:r>
            <w:r>
              <w:rPr>
                <w:sz w:val="20"/>
              </w:rPr>
              <w:t xml:space="preserve"> y el </w:t>
            </w:r>
            <w:r>
              <w:rPr>
                <w:sz w:val="20"/>
              </w:rPr>
              <w:lastRenderedPageBreak/>
              <w:t>programa destinado a la implementación del Marco, la consecución de los Objetivos de Desarrollo Sostenible y otras estrategias conexas.</w:t>
            </w:r>
          </w:p>
        </w:tc>
      </w:tr>
      <w:tr w:rsidR="00F87499" w:rsidRPr="002A4D5A" w14:paraId="1F513BFA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72122BDB" w14:textId="77777777" w:rsidR="00D01523" w:rsidRPr="002A4D5A" w:rsidRDefault="00D01523" w:rsidP="00D01523">
            <w:pPr>
              <w:pStyle w:val="CBDNormalNoNumber"/>
              <w:spacing w:before="40" w:after="60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3E29715C" w14:textId="73868524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Promover una cultura de intercambio de datos, información y conocimientos y su aplicación a escala mundial, regional, subregional, nacional, subnacional y local, entre otras cosas mediante la celebración de acuerdos de intercambio de datos.</w:t>
            </w:r>
          </w:p>
        </w:tc>
      </w:tr>
      <w:tr w:rsidR="00F87499" w:rsidRPr="002A4D5A" w14:paraId="03D8BF6F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0A76B2ED" w14:textId="77777777" w:rsidR="00D01523" w:rsidRPr="002A4D5A" w:rsidRDefault="00D01523" w:rsidP="00D01523">
            <w:pPr>
              <w:pStyle w:val="CBDNormalNoNumber"/>
              <w:spacing w:before="40" w:after="60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06BADE0E" w14:textId="2F9E2C62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Elaborar, demostrar, difundir y promover productos de conocimiento adaptados, en particular mediante talleres, seminarios web, ferias de conocimientos, reuniones comunitarias y recursos en línea de libre acceso.</w:t>
            </w:r>
          </w:p>
        </w:tc>
      </w:tr>
      <w:tr w:rsidR="00F87499" w:rsidRPr="002A4D5A" w14:paraId="67EA3857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2D34C1F1" w14:textId="77777777" w:rsidR="00D01523" w:rsidRPr="002A4D5A" w:rsidRDefault="00D01523" w:rsidP="00D01523">
            <w:pPr>
              <w:pStyle w:val="CBDNormalNoNumber"/>
              <w:spacing w:before="40" w:after="60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5C01125E" w14:textId="5BCC7DF4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 xml:space="preserve">Promover el cumplimiento por parte de los usuarios de datos de la legislación pertinente en materia de acceso y participación en los beneficios relacionada con el acceso a los conocimientos tradicionales asociados a los recursos genéticos a fin de impedir el uso y la apropiación indebidos de esos conocimientos. </w:t>
            </w:r>
          </w:p>
        </w:tc>
      </w:tr>
      <w:tr w:rsidR="00F87499" w:rsidRPr="002A4D5A" w14:paraId="554301D7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1F804C15" w14:textId="77777777" w:rsidR="00D01523" w:rsidRPr="002A4D5A" w:rsidRDefault="00D01523" w:rsidP="00D01523">
            <w:pPr>
              <w:pStyle w:val="CBDNormalNoNumber"/>
              <w:spacing w:before="40" w:after="60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17F37961" w14:textId="1D862E12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  <w:t>Crear un repositorio o portal nacional de datos, información y conocimientos relacionados con la diversidad biológica, como parte del mecanismo de facilitación nacional o vinculado a este, para promover el acceso y el uso.</w:t>
            </w:r>
          </w:p>
        </w:tc>
      </w:tr>
      <w:tr w:rsidR="00F87499" w:rsidRPr="002A4D5A" w14:paraId="1AFDD118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06AA78D7" w14:textId="77777777" w:rsidR="00D01523" w:rsidRPr="002A4D5A" w:rsidRDefault="00D01523" w:rsidP="00D01523">
            <w:pPr>
              <w:pStyle w:val="CBDNormalNoNumber"/>
              <w:spacing w:before="40" w:after="60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54EA7A84" w14:textId="0AAEB53C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  <w:t>Fomentar el aprendizaje entre pares sobre el Marco, las esferas temáticas y transversales relacionadas con la implementación, y sobre la gestión de conocimientos, como por ejemplo a través de los centros regionales o subregionales de apoyo a la cooperación científica y técnica y la entidad de coordinación mundial del mecanismo de cooperación científica y técnica.</w:t>
            </w:r>
          </w:p>
        </w:tc>
      </w:tr>
      <w:tr w:rsidR="00F87499" w:rsidRPr="002A4D5A" w14:paraId="6D3D1F1B" w14:textId="77777777" w:rsidTr="004916E9">
        <w:trPr>
          <w:trHeight w:val="57"/>
          <w:jc w:val="right"/>
        </w:trPr>
        <w:tc>
          <w:tcPr>
            <w:tcW w:w="1029" w:type="pct"/>
            <w:vMerge w:val="restart"/>
          </w:tcPr>
          <w:p w14:paraId="164B4CFA" w14:textId="77777777" w:rsidR="00D01523" w:rsidRPr="002A4D5A" w:rsidRDefault="00D01523" w:rsidP="004916E9">
            <w:pPr>
              <w:pStyle w:val="CBDNormalNoNumber"/>
              <w:tabs>
                <w:tab w:val="clear" w:pos="567"/>
                <w:tab w:val="left" w:pos="317"/>
              </w:tabs>
              <w:spacing w:before="40" w:after="60"/>
              <w:ind w:left="24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E.</w:t>
            </w:r>
            <w:r>
              <w:rPr>
                <w:sz w:val="20"/>
              </w:rPr>
              <w:tab/>
              <w:t xml:space="preserve">Promover la asimilación y el uso y la </w:t>
            </w:r>
            <w:proofErr w:type="gramStart"/>
            <w:r>
              <w:rPr>
                <w:sz w:val="20"/>
              </w:rPr>
              <w:t>aplicación eficaces</w:t>
            </w:r>
            <w:proofErr w:type="gramEnd"/>
            <w:r>
              <w:rPr>
                <w:sz w:val="20"/>
              </w:rPr>
              <w:t xml:space="preserve"> de los conocimientos</w:t>
            </w:r>
          </w:p>
        </w:tc>
        <w:tc>
          <w:tcPr>
            <w:tcW w:w="3971" w:type="pct"/>
          </w:tcPr>
          <w:p w14:paraId="61D4E2B1" w14:textId="6B6B7BB6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Formular y aplicar estrategias para incrementar la asimilación, uso y aplicación de los datos, la información y los conocimientos existentes relacionados con la diversidad biológica con el objetivo de fundamentar programas, políticas y la toma de decisiones en relación con la diversidad biológica.</w:t>
            </w:r>
          </w:p>
        </w:tc>
      </w:tr>
      <w:tr w:rsidR="00F87499" w:rsidRPr="002A4D5A" w14:paraId="56330A3F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5CDF37EE" w14:textId="77777777" w:rsidR="00D01523" w:rsidRPr="002A4D5A" w:rsidRDefault="00D01523" w:rsidP="004916E9">
            <w:pPr>
              <w:pStyle w:val="CBDNormalNoNumber"/>
              <w:spacing w:before="40" w:after="60"/>
              <w:ind w:left="24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7A719FAA" w14:textId="5099060E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Promover y facilitar el intercambio, reproducción, ampliación, adaptación y sistematización de datos, información y conocimientos, incluidas buenas prácticas y lecciones aprendidas documentadas, para mejorar los procesos y prácticas.</w:t>
            </w:r>
          </w:p>
        </w:tc>
      </w:tr>
      <w:tr w:rsidR="00F87499" w:rsidRPr="002A4D5A" w14:paraId="1AF0082D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7F1CF783" w14:textId="77777777" w:rsidR="00D01523" w:rsidRPr="002A4D5A" w:rsidRDefault="00D01523" w:rsidP="004916E9">
            <w:pPr>
              <w:pStyle w:val="CBDNormalNoNumber"/>
              <w:spacing w:before="40" w:after="60"/>
              <w:ind w:left="24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15505A9F" w14:textId="738820E1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 xml:space="preserve">Crear y utilizar mecanismos para facilitar las interacciones y el diálogo entre los </w:t>
            </w:r>
            <w:r w:rsidR="00150857">
              <w:rPr>
                <w:sz w:val="20"/>
              </w:rPr>
              <w:t>responsables</w:t>
            </w:r>
            <w:r>
              <w:rPr>
                <w:sz w:val="20"/>
              </w:rPr>
              <w:t xml:space="preserve"> de la formulación de políticas y de la toma de decisiones y la comunidad de investigación, los profesionales, los pueblos indígenas y las comunidades locales.</w:t>
            </w:r>
          </w:p>
        </w:tc>
      </w:tr>
      <w:tr w:rsidR="00F87499" w:rsidRPr="002A4D5A" w14:paraId="24FAC968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05766178" w14:textId="77777777" w:rsidR="00D01523" w:rsidRPr="002A4D5A" w:rsidRDefault="00D01523" w:rsidP="004916E9">
            <w:pPr>
              <w:pStyle w:val="CBDNormalNoNumber"/>
              <w:spacing w:before="40" w:after="60"/>
              <w:ind w:left="24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2985F822" w14:textId="441B50A6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Establecer vínculos entre redes científicas y expertos en comunicación para permitir la traducción de los resultados de investigaciones científicas en productos de conocimiento.</w:t>
            </w:r>
          </w:p>
        </w:tc>
      </w:tr>
      <w:tr w:rsidR="00F87499" w:rsidRPr="002A4D5A" w14:paraId="6F1C8EDE" w14:textId="77777777" w:rsidTr="004916E9">
        <w:trPr>
          <w:trHeight w:val="57"/>
          <w:jc w:val="right"/>
        </w:trPr>
        <w:tc>
          <w:tcPr>
            <w:tcW w:w="1029" w:type="pct"/>
            <w:vMerge w:val="restart"/>
          </w:tcPr>
          <w:p w14:paraId="440D5899" w14:textId="77777777" w:rsidR="00D01523" w:rsidRPr="002A4D5A" w:rsidRDefault="00D01523" w:rsidP="004916E9">
            <w:pPr>
              <w:pStyle w:val="CBDNormalNoNumber"/>
              <w:tabs>
                <w:tab w:val="clear" w:pos="567"/>
                <w:tab w:val="left" w:pos="290"/>
              </w:tabs>
              <w:spacing w:before="40" w:after="60"/>
              <w:ind w:left="24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F.</w:t>
            </w:r>
            <w:r>
              <w:rPr>
                <w:sz w:val="20"/>
              </w:rPr>
              <w:tab/>
              <w:t>Realizar auditorías y revisiones de conocimientos</w:t>
            </w:r>
          </w:p>
        </w:tc>
        <w:tc>
          <w:tcPr>
            <w:tcW w:w="3971" w:type="pct"/>
          </w:tcPr>
          <w:p w14:paraId="4F0CB9CD" w14:textId="1575E8CF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Emprender estudios periódicos para evaluar, entre otras cosas, los tipos de información y conocimientos que más se buscan, la facilidad de acceso a la información que se necesita, las carencias existentes de conocimientos, el grado de intercambio de conocimientos, los canales preferidos, y la asimilación, uso y aplicación de los conocimientos en la toma de decisiones.</w:t>
            </w:r>
          </w:p>
        </w:tc>
      </w:tr>
      <w:tr w:rsidR="00F87499" w:rsidRPr="002A4D5A" w14:paraId="21E7981A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35A1D981" w14:textId="77777777" w:rsidR="00D01523" w:rsidRPr="002A4D5A" w:rsidRDefault="00D01523" w:rsidP="00D01523">
            <w:pPr>
              <w:pStyle w:val="CBDNormalNoNumber"/>
              <w:spacing w:before="4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1D21F146" w14:textId="2581461B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Analizar las principales carencias de conocimientos y determinar opciones para subsanarlas.</w:t>
            </w:r>
          </w:p>
        </w:tc>
      </w:tr>
      <w:tr w:rsidR="00F87499" w:rsidRPr="002A4D5A" w14:paraId="3DBAFED4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4CC2DC3C" w14:textId="77777777" w:rsidR="00D01523" w:rsidRPr="002A4D5A" w:rsidRDefault="00D01523" w:rsidP="00D01523">
            <w:pPr>
              <w:pStyle w:val="CBDNormalNoNumber"/>
              <w:spacing w:before="4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6A87CBE0" w14:textId="03521488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Realizar una revisión exhaustiva de la estrategia de gestión de conocimientos.</w:t>
            </w:r>
          </w:p>
        </w:tc>
      </w:tr>
      <w:tr w:rsidR="00F87499" w:rsidRPr="002A4D5A" w14:paraId="4FEF745B" w14:textId="77777777" w:rsidTr="004916E9">
        <w:trPr>
          <w:trHeight w:val="57"/>
          <w:jc w:val="right"/>
        </w:trPr>
        <w:tc>
          <w:tcPr>
            <w:tcW w:w="1029" w:type="pct"/>
            <w:vMerge w:val="restart"/>
          </w:tcPr>
          <w:p w14:paraId="49CEDC2A" w14:textId="77777777" w:rsidR="00D01523" w:rsidRPr="002A4D5A" w:rsidRDefault="00D01523" w:rsidP="004916E9">
            <w:pPr>
              <w:pStyle w:val="CBDNormalNoNumber"/>
              <w:tabs>
                <w:tab w:val="clear" w:pos="567"/>
                <w:tab w:val="left" w:pos="317"/>
              </w:tabs>
              <w:spacing w:before="40" w:after="60"/>
              <w:ind w:left="24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G.</w:t>
            </w:r>
            <w:r>
              <w:rPr>
                <w:sz w:val="20"/>
              </w:rPr>
              <w:tab/>
              <w:t>Desarrollar capacidad en gestión de datos, información y conocimientos</w:t>
            </w:r>
          </w:p>
        </w:tc>
        <w:tc>
          <w:tcPr>
            <w:tcW w:w="3971" w:type="pct"/>
          </w:tcPr>
          <w:p w14:paraId="1FE1063C" w14:textId="1765F203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Emprender análisis de carencias y necesidades de las capacidades nacionales de gestión de conocimientos en la aplicación de las estrategias y planes de acción nacionales en materia de biodiversidad.</w:t>
            </w:r>
          </w:p>
        </w:tc>
      </w:tr>
      <w:tr w:rsidR="00F87499" w:rsidRPr="002A4D5A" w14:paraId="3DEE2D5E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304FABB0" w14:textId="77777777" w:rsidR="00D01523" w:rsidRPr="002A4D5A" w:rsidRDefault="00D01523" w:rsidP="00D01523">
            <w:pPr>
              <w:pStyle w:val="CBDNormalNoNumber"/>
              <w:spacing w:before="40" w:after="60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7B7A569A" w14:textId="12D52144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Formular o reforzar políticas, estrategias y programas de gestión de conocimientos sobre la diversidad biológica, incluida la gestión de conocimientos tradicionales.</w:t>
            </w:r>
          </w:p>
        </w:tc>
      </w:tr>
      <w:tr w:rsidR="00F87499" w:rsidRPr="002A4D5A" w14:paraId="6B945683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754F3979" w14:textId="77777777" w:rsidR="00D01523" w:rsidRPr="002A4D5A" w:rsidRDefault="00D01523" w:rsidP="00D01523">
            <w:pPr>
              <w:pStyle w:val="CBDNormalNoNumber"/>
              <w:spacing w:before="40" w:after="60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7B5CDE59" w14:textId="6771120E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Reforzar la capacidad institucional de los organismos nacionales pertinentes en materia de informática y gestión de conocimientos sobre diversidad biológica, entre otras cosas para apoyar los esfuerzos de los pueblos indígenas y las comunidades locales tendientes a fortalecer sus sistemas de conocimientos indígenas.</w:t>
            </w:r>
          </w:p>
        </w:tc>
      </w:tr>
      <w:tr w:rsidR="00F87499" w:rsidRPr="002A4D5A" w14:paraId="6E5E5848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34C7D4A1" w14:textId="77777777" w:rsidR="00D01523" w:rsidRPr="002A4D5A" w:rsidRDefault="00D01523" w:rsidP="00D01523">
            <w:pPr>
              <w:pStyle w:val="CBDNormalNoNumber"/>
              <w:spacing w:before="40" w:after="60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7134F3D6" w14:textId="06A11A33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Reforzar los sistemas y mecanismos nacionales de gestión de conocimientos destinados a la conservación y la utilización sostenible de la diversidad biológica.</w:t>
            </w:r>
          </w:p>
        </w:tc>
      </w:tr>
      <w:tr w:rsidR="00F87499" w:rsidRPr="002A4D5A" w14:paraId="74BD8B7E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346DB699" w14:textId="77777777" w:rsidR="00D01523" w:rsidRPr="002A4D5A" w:rsidRDefault="00D01523" w:rsidP="00D01523">
            <w:pPr>
              <w:pStyle w:val="CBDNormalNoNumber"/>
              <w:spacing w:before="40" w:after="60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7002C98C" w14:textId="313A7CDC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Brindar orientación para el desarrollo de bases de datos nacionales y el intercambio de experiencias en el acceso y la utilización de datos.</w:t>
            </w:r>
          </w:p>
        </w:tc>
      </w:tr>
      <w:tr w:rsidR="00F87499" w:rsidRPr="002A4D5A" w14:paraId="47467901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269D4B06" w14:textId="77777777" w:rsidR="00D01523" w:rsidRPr="002A4D5A" w:rsidRDefault="00D01523" w:rsidP="00D01523">
            <w:pPr>
              <w:pStyle w:val="CBDNormalNoNumber"/>
              <w:spacing w:before="40" w:after="60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7B53EE88" w14:textId="4CEDAE95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 xml:space="preserve">Reforzar las capacidades de los </w:t>
            </w:r>
            <w:r w:rsidR="00150857">
              <w:rPr>
                <w:sz w:val="20"/>
              </w:rPr>
              <w:t>responsables</w:t>
            </w:r>
            <w:r>
              <w:rPr>
                <w:sz w:val="20"/>
              </w:rPr>
              <w:t xml:space="preserve"> de la toma de decisiones, los profesionales, el público, los interesados pertinentes y los titulares de conocimientos para obtener acceso a datos, información y conocimientos relacionados con la diversidad biológica y utilizarlos, incluidos los conocimientos tradicionales brindados con el consentimiento libre, previo e informado de los pueblos indígenas y las comunidades locales.</w:t>
            </w:r>
          </w:p>
        </w:tc>
      </w:tr>
      <w:tr w:rsidR="00F87499" w:rsidRPr="002A4D5A" w14:paraId="37436C5D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759CF1D4" w14:textId="77777777" w:rsidR="00D01523" w:rsidRPr="002A4D5A" w:rsidRDefault="00D01523" w:rsidP="00D01523">
            <w:pPr>
              <w:pStyle w:val="CBDNormalNoNumber"/>
              <w:spacing w:before="40" w:after="60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20F64362" w14:textId="6B675860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  <w:t>Formular iniciativas de creación de capacidad para destinatarios específicos dirigidas a apoyar la participación de los pueblos indígenas y las comunidades locales, los representantes de las mujeres y de la juventud, y otros interesados pertinentes en la generación, gestión y uso de datos, información y conocimientos relacionados con la diversidad biológica, mediante la mejora de la infraestructura de datos, la capacitación, la orientación y el apoyo técnico.</w:t>
            </w:r>
          </w:p>
        </w:tc>
      </w:tr>
      <w:tr w:rsidR="00F87499" w:rsidRPr="002A4D5A" w14:paraId="74203409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30A0F870" w14:textId="77777777" w:rsidR="00D01523" w:rsidRPr="002A4D5A" w:rsidRDefault="00D01523" w:rsidP="00D01523">
            <w:pPr>
              <w:pStyle w:val="CBDNormalNoNumber"/>
              <w:spacing w:before="40" w:after="60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2A67B38F" w14:textId="4BA91618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  <w:t>Establecer asociaciones entre universidades e instituciones científicas y pueblos indígenas y comunidades locales, los representantes de las mujeres y de la juventud, y otros interesados pertinentes, a fin de mejorar las contribuciones de los conocimientos científicos y tradicionales a programas de investigación sobre conservación y utilización sostenible, en consonancia con el principio de consentimiento libre, previo e informado.</w:t>
            </w:r>
          </w:p>
        </w:tc>
      </w:tr>
      <w:tr w:rsidR="00F87499" w:rsidRPr="002A4D5A" w14:paraId="4B618AF4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12793562" w14:textId="77777777" w:rsidR="00D01523" w:rsidRPr="002A4D5A" w:rsidRDefault="00D01523" w:rsidP="00D01523">
            <w:pPr>
              <w:pStyle w:val="CBDNormalNoNumber"/>
              <w:spacing w:before="40" w:after="60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4F01AAAC" w14:textId="30C1846A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  <w:t>Movilizar fondos para apoyar los esfuerzos de gestión de conocimientos y garantizar la sostenibilidad en la generación, recopilación, gestión y puesta en común de datos, información y conocimientos sobre diversidad biológica.</w:t>
            </w:r>
          </w:p>
        </w:tc>
      </w:tr>
      <w:tr w:rsidR="00F87499" w:rsidRPr="002A4D5A" w14:paraId="35D53BBD" w14:textId="77777777" w:rsidTr="004916E9">
        <w:trPr>
          <w:trHeight w:val="57"/>
          <w:jc w:val="right"/>
        </w:trPr>
        <w:tc>
          <w:tcPr>
            <w:tcW w:w="1029" w:type="pct"/>
            <w:vMerge w:val="restart"/>
          </w:tcPr>
          <w:p w14:paraId="781CA1D5" w14:textId="374F0BA0" w:rsidR="00D01523" w:rsidRPr="002A4D5A" w:rsidRDefault="00D01523" w:rsidP="004916E9">
            <w:pPr>
              <w:pStyle w:val="CBDNormalNoNumber"/>
              <w:tabs>
                <w:tab w:val="clear" w:pos="567"/>
                <w:tab w:val="left" w:pos="290"/>
              </w:tabs>
              <w:spacing w:before="40" w:after="60"/>
              <w:ind w:left="24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H.</w:t>
            </w:r>
            <w:r>
              <w:rPr>
                <w:sz w:val="20"/>
              </w:rPr>
              <w:tab/>
              <w:t>Reforzar las redes y alianzas de conocimientos</w:t>
            </w:r>
          </w:p>
        </w:tc>
        <w:tc>
          <w:tcPr>
            <w:tcW w:w="3971" w:type="pct"/>
          </w:tcPr>
          <w:p w14:paraId="7D79577F" w14:textId="6E7DD728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Reforzar las redes de gestión de datos, información y conocimientos relacionados con la diversidad biológica.</w:t>
            </w:r>
          </w:p>
        </w:tc>
      </w:tr>
      <w:bookmarkEnd w:id="3"/>
      <w:tr w:rsidR="00F87499" w:rsidRPr="002A4D5A" w14:paraId="539C45DB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50618A0A" w14:textId="77777777" w:rsidR="00D01523" w:rsidRPr="002A4D5A" w:rsidRDefault="00D01523" w:rsidP="00D01523">
            <w:pPr>
              <w:pStyle w:val="CBDNormalNoNumber"/>
              <w:spacing w:before="40" w:after="60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48F98D4E" w14:textId="6B923BFF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Vincular entre sí centros de conocimientos especializados, comunidades de práctica, pueblos indígenas y comunidades locales y otras fuentes de conocimientos.</w:t>
            </w:r>
          </w:p>
        </w:tc>
      </w:tr>
      <w:tr w:rsidR="00F87499" w:rsidRPr="002A4D5A" w14:paraId="7FAA0BD2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2D30BD39" w14:textId="77777777" w:rsidR="00D01523" w:rsidRPr="002A4D5A" w:rsidRDefault="00D01523" w:rsidP="00D01523">
            <w:pPr>
              <w:pStyle w:val="CBDNormalNoNumber"/>
              <w:spacing w:before="40" w:after="60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41D8054E" w14:textId="4F950488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Intensificar la colaboración entre instituciones científicas, instituciones públicas y pueblos indígenas y comunidades locales en su labor en materia de conocimientos tradicionales relacionados con prácticas sostenibles.</w:t>
            </w:r>
          </w:p>
        </w:tc>
      </w:tr>
      <w:tr w:rsidR="00F87499" w:rsidRPr="002A4D5A" w14:paraId="384C5DB6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39946908" w14:textId="77777777" w:rsidR="00D01523" w:rsidRPr="002A4D5A" w:rsidRDefault="00D01523" w:rsidP="00D01523">
            <w:pPr>
              <w:pStyle w:val="CBDNormalNoNumber"/>
              <w:spacing w:before="40" w:after="60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0D8E278F" w14:textId="4EABF6B2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Mejorar la coordinación y colaboración entre diversas iniciativas, herramientas y plataformas de conocimientos sobre la diversidad biológica y programas comunitarios de seguimiento y ciencia ciudadana.</w:t>
            </w:r>
          </w:p>
        </w:tc>
      </w:tr>
      <w:tr w:rsidR="00F87499" w:rsidRPr="002A4D5A" w14:paraId="3055FEE5" w14:textId="77777777" w:rsidTr="004916E9">
        <w:trPr>
          <w:trHeight w:val="57"/>
          <w:jc w:val="right"/>
        </w:trPr>
        <w:tc>
          <w:tcPr>
            <w:tcW w:w="1029" w:type="pct"/>
            <w:vMerge/>
          </w:tcPr>
          <w:p w14:paraId="64B3D0C1" w14:textId="77777777" w:rsidR="00D01523" w:rsidRPr="002A4D5A" w:rsidRDefault="00D01523" w:rsidP="00D01523">
            <w:pPr>
              <w:pStyle w:val="CBDNormalNoNumber"/>
              <w:spacing w:before="40" w:after="60"/>
              <w:rPr>
                <w:sz w:val="20"/>
                <w:szCs w:val="20"/>
              </w:rPr>
            </w:pPr>
          </w:p>
        </w:tc>
        <w:tc>
          <w:tcPr>
            <w:tcW w:w="3971" w:type="pct"/>
          </w:tcPr>
          <w:p w14:paraId="615C5A72" w14:textId="13777157" w:rsidR="00D01523" w:rsidRPr="002A4D5A" w:rsidRDefault="00D01523" w:rsidP="004916E9">
            <w:pPr>
              <w:pStyle w:val="CBDNormalNoNumber"/>
              <w:tabs>
                <w:tab w:val="clear" w:pos="567"/>
                <w:tab w:val="left" w:pos="501"/>
              </w:tabs>
              <w:spacing w:before="40" w:after="60"/>
              <w:ind w:left="26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Aumentar sustancialmente el intercambio de resultados de investigaciones científicas, técnicas y socioeconómicas, así como de información sobre programas de capacitación y estudio.</w:t>
            </w:r>
          </w:p>
        </w:tc>
      </w:tr>
    </w:tbl>
    <w:p w14:paraId="61D564E2" w14:textId="77777777" w:rsidR="002B559C" w:rsidRPr="00D25E19" w:rsidRDefault="00ED3849" w:rsidP="000C6649">
      <w:pPr>
        <w:pStyle w:val="Para1"/>
        <w:tabs>
          <w:tab w:val="clear" w:pos="1209"/>
        </w:tabs>
        <w:jc w:val="center"/>
      </w:pPr>
      <w:r>
        <w:t>__________</w:t>
      </w:r>
    </w:p>
    <w:sectPr w:rsidR="002B559C" w:rsidRPr="00D25E19" w:rsidSect="004916E9">
      <w:headerReference w:type="even" r:id="rId29"/>
      <w:headerReference w:type="default" r:id="rId30"/>
      <w:footerReference w:type="even" r:id="rId31"/>
      <w:footerReference w:type="default" r:id="rId32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403F0" w14:textId="77777777" w:rsidR="0080406D" w:rsidRPr="00D25E19" w:rsidRDefault="0080406D" w:rsidP="00A96B21">
      <w:r w:rsidRPr="00D25E19">
        <w:separator/>
      </w:r>
    </w:p>
  </w:endnote>
  <w:endnote w:type="continuationSeparator" w:id="0">
    <w:p w14:paraId="199CDFC0" w14:textId="77777777" w:rsidR="0080406D" w:rsidRPr="00D25E19" w:rsidRDefault="0080406D" w:rsidP="00A96B21">
      <w:r w:rsidRPr="00D25E19">
        <w:continuationSeparator/>
      </w:r>
    </w:p>
  </w:endnote>
  <w:endnote w:type="continuationNotice" w:id="1">
    <w:p w14:paraId="7276E5DF" w14:textId="77777777" w:rsidR="0080406D" w:rsidRPr="00D25E19" w:rsidRDefault="008040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312243"/>
      <w:docPartObj>
        <w:docPartGallery w:val="Page Numbers (Bottom of Page)"/>
        <w:docPartUnique/>
      </w:docPartObj>
    </w:sdtPr>
    <w:sdtEndPr/>
    <w:sdtContent>
      <w:sdt>
        <w:sdtPr>
          <w:id w:val="2112469869"/>
          <w:docPartObj>
            <w:docPartGallery w:val="Page Numbers (Top of Page)"/>
            <w:docPartUnique/>
          </w:docPartObj>
        </w:sdtPr>
        <w:sdtEndPr/>
        <w:sdtContent>
          <w:p w14:paraId="1102E02C" w14:textId="77777777" w:rsidR="00DA0E5C" w:rsidRDefault="00DA0E5C" w:rsidP="00E04B35">
            <w:pPr>
              <w:pStyle w:val="Footer"/>
            </w:pPr>
            <w:r w:rsidRPr="002B559C">
              <w:fldChar w:fldCharType="begin"/>
            </w:r>
            <w:r w:rsidRPr="002B559C">
              <w:instrText xml:space="preserve"> PAGE </w:instrText>
            </w:r>
            <w:r w:rsidRPr="002B559C">
              <w:fldChar w:fldCharType="separate"/>
            </w:r>
            <w:r>
              <w:t>2</w:t>
            </w:r>
            <w:r w:rsidRPr="002B559C">
              <w:fldChar w:fldCharType="end"/>
            </w:r>
            <w:r>
              <w:t>/</w:t>
            </w:r>
            <w:fldSimple w:instr=" NUMPAGES  ">
              <w:r>
                <w:t>16</w:t>
              </w:r>
            </w:fldSimple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086457"/>
      <w:docPartObj>
        <w:docPartGallery w:val="Page Numbers (Bottom of Page)"/>
        <w:docPartUnique/>
      </w:docPartObj>
    </w:sdtPr>
    <w:sdtEndPr/>
    <w:sdtContent>
      <w:sdt>
        <w:sdtPr>
          <w:id w:val="-100189287"/>
          <w:docPartObj>
            <w:docPartGallery w:val="Page Numbers (Top of Page)"/>
            <w:docPartUnique/>
          </w:docPartObj>
        </w:sdtPr>
        <w:sdtEndPr/>
        <w:sdtContent>
          <w:p w14:paraId="687D2431" w14:textId="77777777" w:rsidR="00DA0E5C" w:rsidRDefault="00DA0E5C" w:rsidP="00E04B35">
            <w:pPr>
              <w:pStyle w:val="Footer"/>
              <w:jc w:val="right"/>
            </w:pPr>
            <w:r w:rsidRPr="002B559C">
              <w:fldChar w:fldCharType="begin"/>
            </w:r>
            <w:r w:rsidRPr="002B559C">
              <w:instrText xml:space="preserve"> PAGE </w:instrText>
            </w:r>
            <w:r w:rsidRPr="002B559C">
              <w:fldChar w:fldCharType="separate"/>
            </w:r>
            <w:r>
              <w:t>2</w:t>
            </w:r>
            <w:r w:rsidRPr="002B559C">
              <w:fldChar w:fldCharType="end"/>
            </w:r>
            <w:r>
              <w:t>/</w:t>
            </w:r>
            <w:fldSimple w:instr=" NUMPAGES  ">
              <w:r>
                <w:t>16</w:t>
              </w:r>
            </w:fldSimple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60355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2CA5F5C" w14:textId="77777777" w:rsidR="00DA0E5C" w:rsidRDefault="00DA0E5C">
            <w:pPr>
              <w:pStyle w:val="Footer"/>
            </w:pPr>
            <w:r w:rsidRPr="002B559C">
              <w:fldChar w:fldCharType="begin"/>
            </w:r>
            <w:r w:rsidRPr="002B559C">
              <w:instrText xml:space="preserve"> PAGE </w:instrText>
            </w:r>
            <w:r w:rsidRPr="002B559C">
              <w:fldChar w:fldCharType="separate"/>
            </w:r>
            <w:r w:rsidRPr="002B559C">
              <w:t>2</w:t>
            </w:r>
            <w:r w:rsidRPr="002B559C">
              <w:fldChar w:fldCharType="end"/>
            </w:r>
            <w:r>
              <w:t>/</w:t>
            </w:r>
            <w:fldSimple w:instr=" NUMPAGES  ">
              <w:r w:rsidRPr="002B559C">
                <w:t>2</w:t>
              </w:r>
            </w:fldSimple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5119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1A3D35" w14:textId="77777777" w:rsidR="00DA0E5C" w:rsidRDefault="00DA0E5C" w:rsidP="002B559C">
            <w:pPr>
              <w:pStyle w:val="Footer"/>
              <w:jc w:val="right"/>
            </w:pPr>
            <w:r w:rsidRPr="002B559C">
              <w:fldChar w:fldCharType="begin"/>
            </w:r>
            <w:r w:rsidRPr="002B559C">
              <w:instrText xml:space="preserve"> PAGE </w:instrText>
            </w:r>
            <w:r w:rsidRPr="002B559C">
              <w:fldChar w:fldCharType="separate"/>
            </w:r>
            <w:r w:rsidRPr="002B559C">
              <w:t>2</w:t>
            </w:r>
            <w:r w:rsidRPr="002B559C">
              <w:fldChar w:fldCharType="end"/>
            </w:r>
            <w:r>
              <w:t>/</w:t>
            </w:r>
            <w:fldSimple w:instr=" NUMPAGES  ">
              <w:r w:rsidRPr="002B559C"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0E149" w14:textId="77777777" w:rsidR="0080406D" w:rsidRPr="00D25E19" w:rsidRDefault="0080406D" w:rsidP="004916E9">
      <w:pPr>
        <w:pStyle w:val="CBDNormal"/>
      </w:pPr>
      <w:r>
        <w:separator/>
      </w:r>
    </w:p>
  </w:footnote>
  <w:footnote w:type="continuationSeparator" w:id="0">
    <w:p w14:paraId="03255EA7" w14:textId="77777777" w:rsidR="0080406D" w:rsidRPr="00D25E19" w:rsidRDefault="0080406D" w:rsidP="004916E9">
      <w:pPr>
        <w:pStyle w:val="CBDNormal"/>
      </w:pPr>
      <w:r w:rsidRPr="00D25E19">
        <w:continuationSeparator/>
      </w:r>
    </w:p>
  </w:footnote>
  <w:footnote w:type="continuationNotice" w:id="1">
    <w:p w14:paraId="436A4E3E" w14:textId="77777777" w:rsidR="0080406D" w:rsidRPr="00D25E19" w:rsidRDefault="0080406D" w:rsidP="004916E9">
      <w:pPr>
        <w:pStyle w:val="CBDNormal"/>
      </w:pPr>
    </w:p>
  </w:footnote>
  <w:footnote w:id="2">
    <w:p w14:paraId="68FC77B2" w14:textId="4011DDA7" w:rsidR="00DA0E5C" w:rsidRPr="00D25E19" w:rsidRDefault="00DA0E5C" w:rsidP="004916E9">
      <w:pPr>
        <w:pStyle w:val="CBDFootnoteText"/>
      </w:pPr>
      <w:r>
        <w:rPr>
          <w:vertAlign w:val="superscript"/>
        </w:rPr>
        <w:footnoteRef/>
      </w:r>
      <w:r>
        <w:t xml:space="preserve"> Decisión 15/4, anexo.</w:t>
      </w:r>
    </w:p>
  </w:footnote>
  <w:footnote w:id="3">
    <w:p w14:paraId="14D70420" w14:textId="08711821" w:rsidR="00DA0E5C" w:rsidRPr="009C2E79" w:rsidRDefault="00DA0E5C">
      <w:pPr>
        <w:pStyle w:val="FootnoteText"/>
      </w:pPr>
      <w:r>
        <w:rPr>
          <w:rStyle w:val="FootnoteReference"/>
        </w:rPr>
        <w:footnoteRef/>
      </w:r>
      <w:r>
        <w:t xml:space="preserve"> Establecido en la decisión 15/8.</w:t>
      </w:r>
    </w:p>
  </w:footnote>
  <w:footnote w:id="4">
    <w:p w14:paraId="3888DEF3" w14:textId="75B74FE6" w:rsidR="00DA0E5C" w:rsidRPr="00D25E19" w:rsidRDefault="00DA0E5C" w:rsidP="004916E9">
      <w:pPr>
        <w:pStyle w:val="CBDFootnoteText"/>
      </w:pPr>
      <w:r>
        <w:rPr>
          <w:vertAlign w:val="superscript"/>
        </w:rPr>
        <w:footnoteRef/>
      </w:r>
      <w:r>
        <w:t xml:space="preserve"> Decisión 15/14, anexo.</w:t>
      </w:r>
    </w:p>
  </w:footnote>
  <w:footnote w:id="5">
    <w:p w14:paraId="4A2EDFAA" w14:textId="14812750" w:rsidR="00DA0E5C" w:rsidRPr="004916E9" w:rsidRDefault="00DA0E5C">
      <w:pPr>
        <w:pStyle w:val="FootnoteText"/>
      </w:pPr>
      <w:r>
        <w:rPr>
          <w:rStyle w:val="FootnoteReference"/>
        </w:rPr>
        <w:footnoteRef/>
      </w:r>
      <w:r>
        <w:t xml:space="preserve"> Adoptado en la decisión 15/6.</w:t>
      </w:r>
    </w:p>
  </w:footnote>
  <w:footnote w:id="6">
    <w:p w14:paraId="75DDF0B5" w14:textId="39CDEC2C" w:rsidR="00DA0E5C" w:rsidRPr="00D25E19" w:rsidRDefault="00DA0E5C" w:rsidP="004916E9">
      <w:pPr>
        <w:pStyle w:val="CBDFootnoteText"/>
      </w:pPr>
      <w:r>
        <w:rPr>
          <w:vertAlign w:val="superscript"/>
        </w:rPr>
        <w:footnoteRef/>
      </w:r>
      <w:r>
        <w:t xml:space="preserve"> Naciones Unidas, </w:t>
      </w:r>
      <w:proofErr w:type="spellStart"/>
      <w:r>
        <w:rPr>
          <w:i/>
        </w:rPr>
        <w:t>Treaty</w:t>
      </w:r>
      <w:proofErr w:type="spellEnd"/>
      <w:r>
        <w:rPr>
          <w:i/>
        </w:rPr>
        <w:t xml:space="preserve"> Series</w:t>
      </w:r>
      <w:r>
        <w:t>,</w:t>
      </w:r>
      <w:r>
        <w:rPr>
          <w:i/>
        </w:rPr>
        <w:t xml:space="preserve"> </w:t>
      </w:r>
      <w:r>
        <w:t>vol. 1760, núm. 30619.</w:t>
      </w:r>
    </w:p>
  </w:footnote>
  <w:footnote w:id="7">
    <w:p w14:paraId="35E75DF0" w14:textId="2BEA3219" w:rsidR="00DA0E5C" w:rsidRPr="00D25E19" w:rsidRDefault="00DA0E5C" w:rsidP="004916E9">
      <w:pPr>
        <w:pStyle w:val="CBDFootnoteText"/>
      </w:pPr>
      <w:r>
        <w:rPr>
          <w:rStyle w:val="FootnoteReference"/>
        </w:rPr>
        <w:footnoteRef/>
      </w:r>
      <w:r>
        <w:t xml:space="preserve"> Por ejemplo, el Sistema Global de Información sobre Biodiversidad.</w:t>
      </w:r>
    </w:p>
  </w:footnote>
  <w:footnote w:id="8">
    <w:p w14:paraId="5E684730" w14:textId="25050159" w:rsidR="00DA0E5C" w:rsidRPr="00D25E19" w:rsidRDefault="00DA0E5C" w:rsidP="004916E9">
      <w:pPr>
        <w:pStyle w:val="CBDFootnoteText"/>
        <w:rPr>
          <w:szCs w:val="18"/>
        </w:rPr>
      </w:pPr>
      <w:r>
        <w:rPr>
          <w:szCs w:val="18"/>
          <w:vertAlign w:val="superscript"/>
        </w:rPr>
        <w:footnoteRef/>
      </w:r>
      <w:r>
        <w:rPr>
          <w:vertAlign w:val="superscript"/>
        </w:rPr>
        <w:t xml:space="preserve"> </w:t>
      </w:r>
      <w:r>
        <w:t>Decisión </w:t>
      </w:r>
      <w:hyperlink r:id="rId1" w:history="1">
        <w:r>
          <w:rPr>
            <w:rStyle w:val="Hyperlink"/>
          </w:rPr>
          <w:t>15/4</w:t>
        </w:r>
      </w:hyperlink>
      <w:r>
        <w:t>, anexo.</w:t>
      </w:r>
    </w:p>
  </w:footnote>
  <w:footnote w:id="9">
    <w:p w14:paraId="617FEAF4" w14:textId="27E6DA53" w:rsidR="00DA0E5C" w:rsidRPr="00EC5ACB" w:rsidRDefault="00DA0E5C" w:rsidP="004916E9">
      <w:pPr>
        <w:pStyle w:val="CBDFootnoteText"/>
        <w:rPr>
          <w:szCs w:val="18"/>
        </w:rPr>
      </w:pPr>
      <w:r>
        <w:rPr>
          <w:szCs w:val="18"/>
          <w:vertAlign w:val="superscript"/>
        </w:rPr>
        <w:footnoteRef/>
      </w:r>
      <w:r>
        <w:t xml:space="preserve"> Véanse las decisiones </w:t>
      </w:r>
      <w:hyperlink r:id="rId2" w:history="1">
        <w:r>
          <w:rPr>
            <w:rStyle w:val="Hyperlink"/>
          </w:rPr>
          <w:t>15/8</w:t>
        </w:r>
      </w:hyperlink>
      <w:r>
        <w:t xml:space="preserve">, </w:t>
      </w:r>
      <w:hyperlink r:id="rId3" w:history="1">
        <w:r>
          <w:rPr>
            <w:rStyle w:val="Hyperlink"/>
          </w:rPr>
          <w:t>15/14</w:t>
        </w:r>
      </w:hyperlink>
      <w:r>
        <w:rPr>
          <w:rStyle w:val="Hyperlink"/>
          <w:color w:val="auto"/>
          <w:u w:val="none"/>
        </w:rPr>
        <w:t xml:space="preserve">, </w:t>
      </w:r>
      <w:hyperlink r:id="rId4" w:history="1">
        <w:r>
          <w:rPr>
            <w:rStyle w:val="Hyperlink"/>
          </w:rPr>
          <w:t>16/3</w:t>
        </w:r>
      </w:hyperlink>
      <w:r>
        <w:t xml:space="preserve"> y </w:t>
      </w:r>
      <w:hyperlink r:id="rId5" w:history="1">
        <w:r>
          <w:rPr>
            <w:rStyle w:val="Hyperlink"/>
          </w:rPr>
          <w:t>16/10</w:t>
        </w:r>
      </w:hyperlink>
      <w:r>
        <w:t>.</w:t>
      </w:r>
    </w:p>
  </w:footnote>
  <w:footnote w:id="10">
    <w:p w14:paraId="03658FC6" w14:textId="1ACDCF15" w:rsidR="00DA0E5C" w:rsidRPr="00D25E19" w:rsidRDefault="00DA0E5C" w:rsidP="004916E9">
      <w:pPr>
        <w:pStyle w:val="CBDFootnoteText"/>
        <w:rPr>
          <w:szCs w:val="18"/>
        </w:rPr>
      </w:pPr>
      <w:r>
        <w:rPr>
          <w:szCs w:val="18"/>
          <w:vertAlign w:val="superscript"/>
        </w:rPr>
        <w:footnoteRef/>
      </w:r>
      <w:r>
        <w:t xml:space="preserve"> Decisión </w:t>
      </w:r>
      <w:hyperlink r:id="rId6" w:history="1">
        <w:r>
          <w:rPr>
            <w:rStyle w:val="Hyperlink"/>
            <w:color w:val="auto"/>
            <w:u w:val="none"/>
          </w:rPr>
          <w:t>15/11</w:t>
        </w:r>
      </w:hyperlink>
      <w:r>
        <w:t>, anexo.</w:t>
      </w:r>
    </w:p>
  </w:footnote>
  <w:footnote w:id="11">
    <w:p w14:paraId="6A495F71" w14:textId="152ABAA8" w:rsidR="00DA0E5C" w:rsidRPr="00D25E19" w:rsidRDefault="00DA0E5C" w:rsidP="004916E9">
      <w:pPr>
        <w:pStyle w:val="CBDFootnoteText"/>
      </w:pPr>
      <w:r>
        <w:rPr>
          <w:vertAlign w:val="superscript"/>
        </w:rPr>
        <w:footnoteRef/>
      </w:r>
      <w:r>
        <w:t xml:space="preserve"> Naciones Unidas, </w:t>
      </w:r>
      <w:proofErr w:type="spellStart"/>
      <w:r>
        <w:rPr>
          <w:i/>
        </w:rPr>
        <w:t>Treaty</w:t>
      </w:r>
      <w:proofErr w:type="spellEnd"/>
      <w:r>
        <w:rPr>
          <w:i/>
        </w:rPr>
        <w:t xml:space="preserve"> Series</w:t>
      </w:r>
      <w:r>
        <w:t>,</w:t>
      </w:r>
      <w:r>
        <w:rPr>
          <w:i/>
        </w:rPr>
        <w:t xml:space="preserve"> </w:t>
      </w:r>
      <w:r>
        <w:t>vol. 1760, núm. 30619.</w:t>
      </w:r>
    </w:p>
  </w:footnote>
  <w:footnote w:id="12">
    <w:p w14:paraId="1BDF5AF4" w14:textId="4FE1BD88" w:rsidR="00DA0E5C" w:rsidRPr="00D25E19" w:rsidRDefault="00DA0E5C" w:rsidP="004916E9">
      <w:pPr>
        <w:pStyle w:val="CBDFootnoteText"/>
      </w:pPr>
      <w:r>
        <w:rPr>
          <w:vertAlign w:val="superscript"/>
        </w:rPr>
        <w:footnoteRef/>
      </w:r>
      <w:r>
        <w:t xml:space="preserve"> Decisión 16/4, anexo.</w:t>
      </w:r>
    </w:p>
  </w:footnote>
  <w:footnote w:id="13">
    <w:p w14:paraId="62B10181" w14:textId="2230E393" w:rsidR="00DA0E5C" w:rsidRPr="00D25E19" w:rsidRDefault="00DA0E5C" w:rsidP="004916E9">
      <w:pPr>
        <w:pStyle w:val="CBDFootnoteText"/>
      </w:pPr>
      <w:r>
        <w:rPr>
          <w:vertAlign w:val="superscript"/>
        </w:rPr>
        <w:footnoteRef/>
      </w:r>
      <w:r>
        <w:t xml:space="preserve"> Decisión 15/4, anexo, secc. C.</w:t>
      </w:r>
    </w:p>
  </w:footnote>
  <w:footnote w:id="14">
    <w:p w14:paraId="3B939AEA" w14:textId="29B11702" w:rsidR="00DA0E5C" w:rsidRPr="00D25E19" w:rsidRDefault="00DA0E5C" w:rsidP="004916E9">
      <w:pPr>
        <w:pStyle w:val="CBDFootnoteText"/>
      </w:pPr>
      <w:r>
        <w:rPr>
          <w:vertAlign w:val="superscript"/>
        </w:rPr>
        <w:footnoteRef/>
      </w:r>
      <w:r>
        <w:t xml:space="preserve"> Como diálogos, mesas redondas, foros, ferias de conocimientos, exposiciones, simposios y conferencias.</w:t>
      </w:r>
    </w:p>
  </w:footnote>
  <w:footnote w:id="15">
    <w:p w14:paraId="28AACFD0" w14:textId="09CC6CE4" w:rsidR="00DA0E5C" w:rsidRPr="00D25E19" w:rsidRDefault="00DA0E5C" w:rsidP="004916E9">
      <w:pPr>
        <w:pStyle w:val="CBDFootnoteText"/>
      </w:pPr>
      <w:r>
        <w:rPr>
          <w:vertAlign w:val="superscript"/>
        </w:rPr>
        <w:footnoteRef/>
      </w:r>
      <w:r>
        <w:t xml:space="preserve"> A través de canales convencionales y digitales, entre otros, el portal central del mecanismo de facilitación, el Centro de Intercambio de Información sobre Acceso y Participación en los Beneficios, el Centro de Intercambio de Información sobre Seguridad de la Biotecnología, y los portales nacionales del mecanismo de facilitación.</w:t>
      </w:r>
    </w:p>
  </w:footnote>
  <w:footnote w:id="16">
    <w:p w14:paraId="3BF31902" w14:textId="54A19378" w:rsidR="00DA0E5C" w:rsidRPr="00D25E19" w:rsidRDefault="00DA0E5C" w:rsidP="004916E9">
      <w:pPr>
        <w:pStyle w:val="CBDFootnoteText"/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>Como talleres, diálogos, mesas redondas, foros, ferias de conocimientos, exposiciones, simposios y conferencias.</w:t>
      </w:r>
    </w:p>
  </w:footnote>
  <w:footnote w:id="17">
    <w:p w14:paraId="1CA377B1" w14:textId="55A3523C" w:rsidR="00DA0E5C" w:rsidRPr="00D25E19" w:rsidRDefault="00DA0E5C" w:rsidP="004916E9">
      <w:pPr>
        <w:pStyle w:val="CBDFootnoteText"/>
      </w:pPr>
      <w:r>
        <w:rPr>
          <w:rStyle w:val="FootnoteReference"/>
        </w:rPr>
        <w:footnoteRef/>
      </w:r>
      <w:r>
        <w:t> Todas las referencias al “consentimiento libre, previo e informado” se refieren a la terminología tripartita de “consentimiento previo y fundamentado”, “consentimiento libre, previo e informado” y “aprobación y participación”.</w:t>
      </w:r>
    </w:p>
  </w:footnote>
  <w:footnote w:id="18">
    <w:p w14:paraId="1309908F" w14:textId="7596BA5C" w:rsidR="00DA0E5C" w:rsidRPr="00D25E19" w:rsidRDefault="00DA0E5C" w:rsidP="004916E9">
      <w:pPr>
        <w:pStyle w:val="CBDFootnoteText"/>
      </w:pPr>
      <w:r>
        <w:rPr>
          <w:vertAlign w:val="superscript"/>
        </w:rPr>
        <w:footnoteRef/>
      </w:r>
      <w:r>
        <w:t xml:space="preserve"> Se dará a conocer a través del portal central del mecanismo de facilitación y los portales de los mecanismos de facilitación nacionales.</w:t>
      </w:r>
    </w:p>
  </w:footnote>
  <w:footnote w:id="19">
    <w:p w14:paraId="70FB88CD" w14:textId="6E1E1EB2" w:rsidR="00DA0E5C" w:rsidRPr="00D25E19" w:rsidRDefault="00DA0E5C" w:rsidP="004916E9">
      <w:pPr>
        <w:pStyle w:val="CBDFootnoteText"/>
      </w:pPr>
      <w:r>
        <w:rPr>
          <w:vertAlign w:val="superscript"/>
        </w:rPr>
        <w:footnoteRef/>
      </w:r>
      <w:r>
        <w:t xml:space="preserve"> Esto incluye invitaciones a presentar opiniones, proponer participantes y revisar documentos entre pares.</w:t>
      </w:r>
    </w:p>
  </w:footnote>
  <w:footnote w:id="20">
    <w:p w14:paraId="7CBC0BEB" w14:textId="114ED402" w:rsidR="00DA0E5C" w:rsidRPr="00D25E19" w:rsidRDefault="00DA0E5C" w:rsidP="004916E9">
      <w:pPr>
        <w:pStyle w:val="CBDFootnoteText"/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 xml:space="preserve">Esto incluye todas las herramientas y servicios necesarios para la cooperación científica y técnica, el intercambio de información, la gestión de conocimientos y el seguimiento, con miras a la implementación del Marco. </w:t>
      </w:r>
    </w:p>
  </w:footnote>
  <w:footnote w:id="21">
    <w:p w14:paraId="5522227E" w14:textId="3FDB7585" w:rsidR="00DA0E5C" w:rsidRPr="00D25E19" w:rsidRDefault="00DA0E5C" w:rsidP="004916E9">
      <w:pPr>
        <w:pStyle w:val="CBDFootnoteText"/>
        <w:rPr>
          <w:highlight w:val="yellow"/>
        </w:rPr>
      </w:pPr>
      <w:r>
        <w:rPr>
          <w:vertAlign w:val="superscript"/>
        </w:rPr>
        <w:footnoteRef/>
      </w:r>
      <w:r>
        <w:t xml:space="preserve"> Esto incluye puntos focales nacionales, órganos de coordinación de múltiples interesados, redes y sistemas, y comités directivos interinstitucionales con la participación de organizaciones e interesados pertinentes relacionados con la biodiversidad, así como la definición de las funciones y responsabilidades en materia de recopilación, revisión y difusión de la información, gestión de contenidos del sitio web y actividades de extensión.</w:t>
      </w:r>
    </w:p>
  </w:footnote>
  <w:footnote w:id="22">
    <w:p w14:paraId="199219D0" w14:textId="61384EA0" w:rsidR="00DA0E5C" w:rsidRPr="00D25E19" w:rsidRDefault="00DA0E5C" w:rsidP="004916E9">
      <w:pPr>
        <w:pStyle w:val="CBDFootnoteText"/>
      </w:pPr>
      <w:r>
        <w:rPr>
          <w:vertAlign w:val="superscript"/>
        </w:rPr>
        <w:footnoteRef/>
      </w:r>
      <w:r>
        <w:t xml:space="preserve"> Decisión 15/4, anexo.</w:t>
      </w:r>
    </w:p>
  </w:footnote>
  <w:footnote w:id="23">
    <w:p w14:paraId="14F4F278" w14:textId="482D2BC3" w:rsidR="00DA0E5C" w:rsidRPr="00D25E19" w:rsidRDefault="00DA0E5C" w:rsidP="004916E9">
      <w:pPr>
        <w:pStyle w:val="CBDFootnoteText"/>
      </w:pPr>
      <w:r>
        <w:rPr>
          <w:vertAlign w:val="superscript"/>
        </w:rPr>
        <w:footnoteRef/>
      </w:r>
      <w:r>
        <w:t xml:space="preserve"> Decisión 15/14, anexo.</w:t>
      </w:r>
    </w:p>
  </w:footnote>
  <w:footnote w:id="24">
    <w:p w14:paraId="5DCFD7B0" w14:textId="77777777" w:rsidR="00DA0E5C" w:rsidRPr="003B63CE" w:rsidRDefault="00DA0E5C" w:rsidP="007E233C">
      <w:pPr>
        <w:pStyle w:val="FootnoteText"/>
      </w:pPr>
      <w:r>
        <w:rPr>
          <w:rStyle w:val="FootnoteReference"/>
        </w:rPr>
        <w:footnoteRef/>
      </w:r>
      <w:r>
        <w:t xml:space="preserve"> Decisión 15/6.</w:t>
      </w:r>
    </w:p>
  </w:footnote>
  <w:footnote w:id="25">
    <w:p w14:paraId="358DE61D" w14:textId="07F4B74D" w:rsidR="00DA0E5C" w:rsidRPr="00D25E19" w:rsidRDefault="00DA0E5C" w:rsidP="004916E9">
      <w:pPr>
        <w:pStyle w:val="CBDFootnoteText"/>
      </w:pPr>
      <w:r>
        <w:rPr>
          <w:vertAlign w:val="superscript"/>
        </w:rPr>
        <w:footnoteRef/>
      </w:r>
      <w:r>
        <w:t xml:space="preserve"> Naciones Unidas, </w:t>
      </w:r>
      <w:proofErr w:type="spellStart"/>
      <w:r>
        <w:rPr>
          <w:i/>
        </w:rPr>
        <w:t>Treaty</w:t>
      </w:r>
      <w:proofErr w:type="spellEnd"/>
      <w:r>
        <w:rPr>
          <w:i/>
        </w:rPr>
        <w:t xml:space="preserve"> Series</w:t>
      </w:r>
      <w:r>
        <w:t>,</w:t>
      </w:r>
      <w:r>
        <w:rPr>
          <w:i/>
        </w:rPr>
        <w:t xml:space="preserve"> </w:t>
      </w:r>
      <w:r>
        <w:t>vol. 1760, núm. 30619.</w:t>
      </w:r>
    </w:p>
  </w:footnote>
  <w:footnote w:id="26">
    <w:p w14:paraId="1FC1BD61" w14:textId="5228C82F" w:rsidR="00DA0E5C" w:rsidRPr="00D25E19" w:rsidRDefault="00DA0E5C" w:rsidP="004916E9">
      <w:pPr>
        <w:pStyle w:val="CBDFootnoteText"/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 xml:space="preserve">Naciones Unidas, </w:t>
      </w:r>
      <w:proofErr w:type="spellStart"/>
      <w:r>
        <w:rPr>
          <w:i/>
        </w:rPr>
        <w:t>Treaty</w:t>
      </w:r>
      <w:proofErr w:type="spellEnd"/>
      <w:r>
        <w:rPr>
          <w:i/>
        </w:rPr>
        <w:t xml:space="preserve"> Series</w:t>
      </w:r>
      <w:r>
        <w:t>, vol. 1760, núm. 30619.</w:t>
      </w:r>
    </w:p>
  </w:footnote>
  <w:footnote w:id="27">
    <w:p w14:paraId="668AF9B8" w14:textId="7B98DB20" w:rsidR="00DA0E5C" w:rsidRPr="00D25E19" w:rsidRDefault="00DA0E5C" w:rsidP="004916E9">
      <w:pPr>
        <w:pStyle w:val="CBDFootnoteText"/>
        <w:rPr>
          <w:szCs w:val="18"/>
        </w:rPr>
      </w:pPr>
      <w:r>
        <w:rPr>
          <w:szCs w:val="18"/>
          <w:vertAlign w:val="superscript"/>
        </w:rPr>
        <w:footnoteRef/>
      </w:r>
      <w:r>
        <w:rPr>
          <w:vertAlign w:val="superscript"/>
        </w:rPr>
        <w:t xml:space="preserve"> </w:t>
      </w:r>
      <w:r>
        <w:t>Decisión </w:t>
      </w:r>
      <w:r w:rsidRPr="00150857">
        <w:t>15/4</w:t>
      </w:r>
      <w:r>
        <w:t>, anexo.</w:t>
      </w:r>
    </w:p>
  </w:footnote>
  <w:footnote w:id="28">
    <w:p w14:paraId="7C9AEC9E" w14:textId="3A8A2335" w:rsidR="00DA0E5C" w:rsidRPr="00D25E19" w:rsidRDefault="00DA0E5C" w:rsidP="004916E9">
      <w:pPr>
        <w:pStyle w:val="CBDFootnoteText"/>
      </w:pPr>
      <w:r>
        <w:rPr>
          <w:vertAlign w:val="superscript"/>
        </w:rPr>
        <w:footnoteRef/>
      </w:r>
      <w:r>
        <w:t xml:space="preserve"> Decisión 15/5, anexo I.</w:t>
      </w:r>
    </w:p>
  </w:footnote>
  <w:footnote w:id="29">
    <w:p w14:paraId="5E74755D" w14:textId="6075786D" w:rsidR="00DA0E5C" w:rsidRPr="00D25E19" w:rsidRDefault="00DA0E5C" w:rsidP="004916E9">
      <w:pPr>
        <w:pStyle w:val="CBDFootnoteText"/>
      </w:pPr>
      <w:r>
        <w:rPr>
          <w:vertAlign w:val="superscript"/>
        </w:rPr>
        <w:footnoteRef/>
      </w:r>
      <w:r>
        <w:t xml:space="preserve"> Decisión 15/8, anexo I.</w:t>
      </w:r>
    </w:p>
  </w:footnote>
  <w:footnote w:id="30">
    <w:p w14:paraId="34C75650" w14:textId="4B47DA09" w:rsidR="00DA0E5C" w:rsidRPr="00D25E19" w:rsidRDefault="00DA0E5C" w:rsidP="004916E9">
      <w:pPr>
        <w:pStyle w:val="CBDFootnoteText"/>
      </w:pPr>
      <w:r>
        <w:rPr>
          <w:vertAlign w:val="superscript"/>
        </w:rPr>
        <w:footnoteRef/>
      </w:r>
      <w:r>
        <w:t> Todas las menciones del “consentimiento libre, previo e informado” se refieren a la terminología tripartita de “consentimiento previo y fundamentado”, “consentimiento libre, previo e informado” y “aprobación y participación”.</w:t>
      </w:r>
    </w:p>
  </w:footnote>
  <w:footnote w:id="31">
    <w:p w14:paraId="5E47199F" w14:textId="225861F4" w:rsidR="00DA0E5C" w:rsidRPr="004916E9" w:rsidRDefault="00DA0E5C" w:rsidP="004916E9">
      <w:pPr>
        <w:pStyle w:val="CBDFootnoteText"/>
        <w:rPr>
          <w:rFonts w:asciiTheme="majorBidi" w:hAnsiTheme="majorBidi" w:cstheme="majorBidi"/>
          <w:szCs w:val="18"/>
        </w:rPr>
      </w:pPr>
      <w:r>
        <w:rPr>
          <w:vertAlign w:val="superscript"/>
        </w:rPr>
        <w:footnoteRef/>
      </w:r>
      <w:r>
        <w:rPr>
          <w:rFonts w:asciiTheme="majorBidi" w:hAnsiTheme="majorBidi"/>
        </w:rPr>
        <w:t xml:space="preserve"> Véase la decisión </w:t>
      </w:r>
      <w:hyperlink r:id="rId7" w:history="1">
        <w:r>
          <w:rPr>
            <w:rStyle w:val="Hyperlink"/>
            <w:rFonts w:asciiTheme="majorBidi" w:hAnsiTheme="majorBidi"/>
          </w:rPr>
          <w:t>IPBES-5/1, anexo II</w:t>
        </w:r>
      </w:hyperlink>
      <w:r>
        <w:rPr>
          <w:rFonts w:asciiTheme="majorBidi" w:hAnsiTheme="majorBidi"/>
        </w:rPr>
        <w:t>.</w:t>
      </w:r>
    </w:p>
  </w:footnote>
  <w:footnote w:id="32">
    <w:p w14:paraId="68AECB71" w14:textId="2739F601" w:rsidR="00DA0E5C" w:rsidRPr="00D25E19" w:rsidRDefault="00DA0E5C" w:rsidP="004916E9">
      <w:pPr>
        <w:pStyle w:val="CBDFootnoteText"/>
      </w:pPr>
      <w:r>
        <w:rPr>
          <w:vertAlign w:val="superscript"/>
        </w:rPr>
        <w:footnoteRef/>
      </w:r>
      <w:r>
        <w:t xml:space="preserve"> La Organización de las Naciones Unidas para la Educación, la Ciencia y la Cultura describe las sociedades del conocimiento como aquellas que valoran la creación, difusión y utilización del conocimiento como motores clave del desarrollo, fomentando la colaboración, la innovación y el empoderamiento de individuos y grupos. Véase, por ejemplo, Organización de las Naciones Unidas para la Educación, la Ciencia y la Cultura y Universidad de las Naciones Unidas, </w:t>
      </w:r>
      <w:proofErr w:type="spellStart"/>
      <w:r>
        <w:rPr>
          <w:i/>
        </w:rPr>
        <w:t>Knowledge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Societies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Policy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Handbook</w:t>
      </w:r>
      <w:proofErr w:type="spellEnd"/>
      <w:r>
        <w:t xml:space="preserve"> (2016).</w:t>
      </w:r>
    </w:p>
  </w:footnote>
  <w:footnote w:id="33">
    <w:p w14:paraId="380147D3" w14:textId="759F42B3" w:rsidR="00DA0E5C" w:rsidRPr="00D25E19" w:rsidRDefault="00DA0E5C" w:rsidP="004916E9">
      <w:pPr>
        <w:pStyle w:val="CBDFootnoteText"/>
      </w:pPr>
      <w:r>
        <w:rPr>
          <w:rStyle w:val="FootnoteReference"/>
        </w:rPr>
        <w:footnoteRef/>
      </w:r>
      <w:r>
        <w:t> Todas las referencias al “consentimiento libre, previo e informado” se refieren a la terminología tripartita de “consentimiento previo y fundamentado”, “consentimiento libre, previo e informado” y “aprobación y participación”.</w:t>
      </w:r>
    </w:p>
  </w:footnote>
  <w:footnote w:id="34">
    <w:p w14:paraId="1411D8E4" w14:textId="7E5A9825" w:rsidR="00DA0E5C" w:rsidRPr="00D25E19" w:rsidRDefault="00DA0E5C" w:rsidP="004916E9">
      <w:pPr>
        <w:pStyle w:val="CBDFootnoteText"/>
      </w:pPr>
      <w:r>
        <w:rPr>
          <w:vertAlign w:val="superscript"/>
        </w:rPr>
        <w:footnoteRef/>
      </w:r>
      <w:r>
        <w:t xml:space="preserve"> Estos pueden incluir: gobiernos subnacionales, ciudades, otras autoridades locales, organizaciones intergubernamentales, organizaciones no gubernamentales, organizaciones confesionales, redes y el sector privado.</w:t>
      </w:r>
    </w:p>
  </w:footnote>
  <w:footnote w:id="35">
    <w:p w14:paraId="0BBA508A" w14:textId="736094ED" w:rsidR="00DA0E5C" w:rsidRPr="004916E9" w:rsidRDefault="00DA0E5C" w:rsidP="004916E9">
      <w:pPr>
        <w:pStyle w:val="CBDFootnoteText"/>
        <w:rPr>
          <w:szCs w:val="18"/>
        </w:rPr>
      </w:pPr>
      <w:r>
        <w:rPr>
          <w:vertAlign w:val="superscript"/>
        </w:rPr>
        <w:footnoteRef/>
      </w:r>
      <w:r>
        <w:rPr>
          <w:rFonts w:asciiTheme="majorBidi" w:hAnsiTheme="majorBidi"/>
        </w:rPr>
        <w:t xml:space="preserve"> En particular, las decisiones </w:t>
      </w:r>
      <w:hyperlink r:id="rId8" w:history="1">
        <w:r>
          <w:rPr>
            <w:rStyle w:val="Hyperlink"/>
            <w:rFonts w:asciiTheme="majorBidi" w:hAnsiTheme="majorBidi"/>
          </w:rPr>
          <w:t>14/25</w:t>
        </w:r>
      </w:hyperlink>
      <w:r>
        <w:t xml:space="preserve"> y </w:t>
      </w:r>
      <w:hyperlink r:id="rId9" w:history="1">
        <w:r>
          <w:rPr>
            <w:rStyle w:val="Hyperlink"/>
            <w:rFonts w:asciiTheme="majorBidi" w:hAnsiTheme="majorBidi"/>
          </w:rPr>
          <w:t>15/16</w:t>
        </w:r>
      </w:hyperlink>
      <w:r>
        <w:rPr>
          <w:rFonts w:asciiTheme="majorBidi" w:hAnsiTheme="majorBidi"/>
        </w:rPr>
        <w:t xml:space="preserve"> relativas a la gestión de conocimientos y la decisión 15/8, en particular en relación con la entidad de coordinación mundial y los centros regionales y subregionales de apoyo a la cooperación científica y técnica del mecanismo de cooperación científica y técnica.</w:t>
      </w:r>
    </w:p>
  </w:footnote>
  <w:footnote w:id="36">
    <w:p w14:paraId="564E9FB8" w14:textId="2D652ABA" w:rsidR="00DA0E5C" w:rsidRPr="004916E9" w:rsidRDefault="00DA0E5C">
      <w:pPr>
        <w:pStyle w:val="FootnoteText"/>
      </w:pPr>
      <w:r>
        <w:rPr>
          <w:rStyle w:val="FootnoteReference"/>
        </w:rPr>
        <w:footnoteRef/>
      </w:r>
      <w:r>
        <w:t xml:space="preserve"> Incluidas las herramientas señaladas en el </w:t>
      </w:r>
      <w:r>
        <w:rPr>
          <w:i/>
          <w:iCs/>
        </w:rPr>
        <w:t xml:space="preserve">Compendio de orientaciones sobre las bases de datos mundiales </w:t>
      </w:r>
      <w:proofErr w:type="gramStart"/>
      <w:r>
        <w:rPr>
          <w:i/>
          <w:iCs/>
        </w:rPr>
        <w:t>clave vinculadas</w:t>
      </w:r>
      <w:proofErr w:type="gramEnd"/>
      <w:r>
        <w:rPr>
          <w:i/>
          <w:iCs/>
        </w:rPr>
        <w:t xml:space="preserve"> con los convenios relacionados con la biodiversidad</w:t>
      </w:r>
      <w:r>
        <w:t xml:space="preserve"> (Centro Mundial de Vigilancia de la Conservación del Programa de las Naciones Unidas para el Medio Ambiente, marzo de 2018).</w:t>
      </w:r>
    </w:p>
  </w:footnote>
  <w:footnote w:id="37">
    <w:p w14:paraId="185E3A55" w14:textId="3B8AF55A" w:rsidR="00DA0E5C" w:rsidRPr="004916E9" w:rsidRDefault="00DA0E5C">
      <w:pPr>
        <w:pStyle w:val="FootnoteText"/>
      </w:pPr>
      <w:r>
        <w:rPr>
          <w:rStyle w:val="FootnoteReference"/>
        </w:rPr>
        <w:footnoteRef/>
      </w:r>
      <w:r>
        <w:t xml:space="preserve"> En el contexto de los conocimientos tradicionales, esto implica la elaboración y promoción de protocolos comunitarios y protocolos comunitarios bioculturales para obtener acceso a los conocimientos tradicionales y utilizarlos.</w:t>
      </w:r>
    </w:p>
  </w:footnote>
  <w:footnote w:id="38">
    <w:p w14:paraId="324CB859" w14:textId="76266227" w:rsidR="00DA0E5C" w:rsidRPr="004916E9" w:rsidRDefault="00DA0E5C">
      <w:pPr>
        <w:pStyle w:val="FootnoteText"/>
      </w:pPr>
      <w:r>
        <w:rPr>
          <w:rStyle w:val="FootnoteReference"/>
        </w:rPr>
        <w:footnoteRef/>
      </w:r>
      <w:r w:rsidR="00150857">
        <w:t xml:space="preserve"> </w:t>
      </w:r>
      <w:r>
        <w:t xml:space="preserve">Un ejemplo de herramienta aplicable para gestionar datos, información y conocimientos a nivel nacional es la Herramienta de comunicación de datos para los acuerdos ambientales multilaterales (disponible en </w:t>
      </w:r>
      <w:hyperlink r:id="rId10" w:history="1">
        <w:r>
          <w:rPr>
            <w:rStyle w:val="Hyperlink"/>
          </w:rPr>
          <w:t>https://dart.informea.org</w:t>
        </w:r>
      </w:hyperlink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4719" w14:textId="559131A6" w:rsidR="00DA0E5C" w:rsidRPr="008B4B9A" w:rsidRDefault="009549E8" w:rsidP="00E04B35">
    <w:pPr>
      <w:pStyle w:val="Header"/>
      <w:spacing w:after="240"/>
      <w:rPr>
        <w:szCs w:val="20"/>
      </w:rPr>
    </w:pPr>
    <w:sdt>
      <w:sdtPr>
        <w:rPr>
          <w:szCs w:val="20"/>
        </w:rPr>
        <w:alias w:val="Subject"/>
        <w:tag w:val=""/>
        <w:id w:val="188566726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A0E5C">
          <w:rPr>
            <w:szCs w:val="20"/>
            <w:lang w:val="en-CA"/>
          </w:rPr>
          <w:t>CBD/COP/DEC/16/9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alias w:val="Subject"/>
      <w:tag w:val=""/>
      <w:id w:val="-1082753079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46934469" w14:textId="31EF204A" w:rsidR="00DA0E5C" w:rsidRDefault="00DA0E5C" w:rsidP="00E04B35">
        <w:pPr>
          <w:pStyle w:val="Header"/>
          <w:spacing w:after="240"/>
          <w:jc w:val="right"/>
        </w:pPr>
        <w:r>
          <w:rPr>
            <w:szCs w:val="20"/>
            <w:lang w:val="en-CA"/>
          </w:rPr>
          <w:t>CBD/COP/DEC/16/9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650A" w14:textId="77777777" w:rsidR="00DA0E5C" w:rsidRDefault="00DA0E5C" w:rsidP="004916E9">
    <w:pPr>
      <w:pStyle w:val="Header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37802784"/>
  <w:bookmarkStart w:id="5" w:name="_Hlk137802785"/>
  <w:p w14:paraId="518D3E9D" w14:textId="19ACD559" w:rsidR="00DA0E5C" w:rsidRPr="007A023F" w:rsidRDefault="009549E8" w:rsidP="007A023F">
    <w:pPr>
      <w:pStyle w:val="Header"/>
      <w:spacing w:after="240"/>
      <w:rPr>
        <w:szCs w:val="20"/>
      </w:rPr>
    </w:pPr>
    <w:sdt>
      <w:sdtPr>
        <w:rPr>
          <w:szCs w:val="20"/>
        </w:rPr>
        <w:alias w:val="Subject"/>
        <w:tag w:val=""/>
        <w:id w:val="96732872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A0E5C">
          <w:rPr>
            <w:szCs w:val="20"/>
            <w:lang w:val="en-CA"/>
          </w:rPr>
          <w:t>CBD/COP/DEC/16/9</w:t>
        </w:r>
      </w:sdtContent>
    </w:sdt>
    <w:bookmarkEnd w:id="4"/>
    <w:bookmarkEnd w:id="5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alias w:val="Subject"/>
      <w:tag w:val=""/>
      <w:id w:val="-188501507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6F45460D" w14:textId="65C10DC9" w:rsidR="00DA0E5C" w:rsidRPr="007A023F" w:rsidRDefault="00DA0E5C" w:rsidP="002B559C">
        <w:pPr>
          <w:pStyle w:val="Header"/>
          <w:spacing w:after="240"/>
          <w:jc w:val="right"/>
          <w:rPr>
            <w:szCs w:val="20"/>
            <w:lang w:val="en-CA"/>
          </w:rPr>
        </w:pPr>
        <w:r>
          <w:rPr>
            <w:szCs w:val="20"/>
            <w:lang w:val="en-CA"/>
          </w:rPr>
          <w:t>CBD/COP/DEC/16/9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D484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AACBB8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F486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6AC3A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5846FD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28CAD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8695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10C71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84C2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F813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9D5F66"/>
    <w:multiLevelType w:val="multilevel"/>
    <w:tmpl w:val="222A08B4"/>
    <w:styleLink w:val="ListCBD"/>
    <w:lvl w:ilvl="0">
      <w:start w:val="1"/>
      <w:numFmt w:val="decimal"/>
      <w:pStyle w:val="CBDNormalNumber"/>
      <w:lvlText w:val="%1.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06" w:hanging="360"/>
      </w:pPr>
      <w:rPr>
        <w:rFonts w:hint="default"/>
      </w:rPr>
    </w:lvl>
  </w:abstractNum>
  <w:abstractNum w:abstractNumId="11" w15:restartNumberingAfterBreak="0">
    <w:nsid w:val="5D943BEE"/>
    <w:multiLevelType w:val="multilevel"/>
    <w:tmpl w:val="222A08B4"/>
    <w:numStyleLink w:val="ListCBD"/>
  </w:abstractNum>
  <w:abstractNum w:abstractNumId="12" w15:restartNumberingAfterBreak="0">
    <w:nsid w:val="6D191DF4"/>
    <w:multiLevelType w:val="multilevel"/>
    <w:tmpl w:val="07D269C8"/>
    <w:styleLink w:val="CBDHeadings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FF7321D"/>
    <w:multiLevelType w:val="multilevel"/>
    <w:tmpl w:val="035AFA5E"/>
    <w:lvl w:ilvl="0">
      <w:start w:val="1"/>
      <w:numFmt w:val="upperRoman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1315404716">
    <w:abstractNumId w:val="11"/>
  </w:num>
  <w:num w:numId="2" w16cid:durableId="1324427926">
    <w:abstractNumId w:val="10"/>
  </w:num>
  <w:num w:numId="3" w16cid:durableId="1890846641">
    <w:abstractNumId w:val="12"/>
  </w:num>
  <w:num w:numId="4" w16cid:durableId="1734739255">
    <w:abstractNumId w:val="13"/>
  </w:num>
  <w:num w:numId="5" w16cid:durableId="114907492">
    <w:abstractNumId w:val="9"/>
  </w:num>
  <w:num w:numId="6" w16cid:durableId="413672136">
    <w:abstractNumId w:val="7"/>
  </w:num>
  <w:num w:numId="7" w16cid:durableId="237904589">
    <w:abstractNumId w:val="6"/>
  </w:num>
  <w:num w:numId="8" w16cid:durableId="1754164294">
    <w:abstractNumId w:val="5"/>
  </w:num>
  <w:num w:numId="9" w16cid:durableId="620303271">
    <w:abstractNumId w:val="4"/>
  </w:num>
  <w:num w:numId="10" w16cid:durableId="657542554">
    <w:abstractNumId w:val="8"/>
  </w:num>
  <w:num w:numId="11" w16cid:durableId="665783208">
    <w:abstractNumId w:val="3"/>
  </w:num>
  <w:num w:numId="12" w16cid:durableId="1293243140">
    <w:abstractNumId w:val="2"/>
  </w:num>
  <w:num w:numId="13" w16cid:durableId="1223910613">
    <w:abstractNumId w:val="1"/>
  </w:num>
  <w:num w:numId="14" w16cid:durableId="816725447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29"/>
    <w:rsid w:val="000000A9"/>
    <w:rsid w:val="0000088A"/>
    <w:rsid w:val="00002A3A"/>
    <w:rsid w:val="00004533"/>
    <w:rsid w:val="00005344"/>
    <w:rsid w:val="000077FF"/>
    <w:rsid w:val="000174DC"/>
    <w:rsid w:val="00021766"/>
    <w:rsid w:val="00025F66"/>
    <w:rsid w:val="00026288"/>
    <w:rsid w:val="00030316"/>
    <w:rsid w:val="000338B4"/>
    <w:rsid w:val="00040598"/>
    <w:rsid w:val="00042257"/>
    <w:rsid w:val="00045385"/>
    <w:rsid w:val="00046621"/>
    <w:rsid w:val="00051E7C"/>
    <w:rsid w:val="00052296"/>
    <w:rsid w:val="00057DD6"/>
    <w:rsid w:val="00065D6B"/>
    <w:rsid w:val="0006764E"/>
    <w:rsid w:val="00071BAF"/>
    <w:rsid w:val="00071E3E"/>
    <w:rsid w:val="00072ED4"/>
    <w:rsid w:val="00074656"/>
    <w:rsid w:val="000751E8"/>
    <w:rsid w:val="00076F4B"/>
    <w:rsid w:val="000777C7"/>
    <w:rsid w:val="00082B89"/>
    <w:rsid w:val="0009224D"/>
    <w:rsid w:val="00092BB3"/>
    <w:rsid w:val="000A5BB4"/>
    <w:rsid w:val="000B1E29"/>
    <w:rsid w:val="000B5E99"/>
    <w:rsid w:val="000C2A62"/>
    <w:rsid w:val="000C41B7"/>
    <w:rsid w:val="000C530E"/>
    <w:rsid w:val="000C6649"/>
    <w:rsid w:val="000C7637"/>
    <w:rsid w:val="000D26CF"/>
    <w:rsid w:val="000D6145"/>
    <w:rsid w:val="000D69FA"/>
    <w:rsid w:val="000E11CC"/>
    <w:rsid w:val="000E19A4"/>
    <w:rsid w:val="000E286B"/>
    <w:rsid w:val="000F0F16"/>
    <w:rsid w:val="000F1B44"/>
    <w:rsid w:val="000F2E3F"/>
    <w:rsid w:val="000F5F12"/>
    <w:rsid w:val="0010054F"/>
    <w:rsid w:val="00102357"/>
    <w:rsid w:val="0010435E"/>
    <w:rsid w:val="001110B3"/>
    <w:rsid w:val="0011225B"/>
    <w:rsid w:val="00115D4D"/>
    <w:rsid w:val="00123B20"/>
    <w:rsid w:val="00130742"/>
    <w:rsid w:val="00132581"/>
    <w:rsid w:val="001363DC"/>
    <w:rsid w:val="0013744B"/>
    <w:rsid w:val="00144535"/>
    <w:rsid w:val="001454DA"/>
    <w:rsid w:val="00150857"/>
    <w:rsid w:val="001552EC"/>
    <w:rsid w:val="00156047"/>
    <w:rsid w:val="0016462F"/>
    <w:rsid w:val="001662BF"/>
    <w:rsid w:val="00173211"/>
    <w:rsid w:val="00176E5D"/>
    <w:rsid w:val="0017714B"/>
    <w:rsid w:val="0018113C"/>
    <w:rsid w:val="001811F8"/>
    <w:rsid w:val="001843DA"/>
    <w:rsid w:val="00184909"/>
    <w:rsid w:val="00191FA3"/>
    <w:rsid w:val="001940D2"/>
    <w:rsid w:val="00197AC1"/>
    <w:rsid w:val="001A2527"/>
    <w:rsid w:val="001A392A"/>
    <w:rsid w:val="001A3FBD"/>
    <w:rsid w:val="001A4D56"/>
    <w:rsid w:val="001A6C7C"/>
    <w:rsid w:val="001A79BD"/>
    <w:rsid w:val="001B0C35"/>
    <w:rsid w:val="001B4D66"/>
    <w:rsid w:val="001C7763"/>
    <w:rsid w:val="001C7B62"/>
    <w:rsid w:val="001D11F2"/>
    <w:rsid w:val="001D486F"/>
    <w:rsid w:val="001D7501"/>
    <w:rsid w:val="001E0EC4"/>
    <w:rsid w:val="001E0F6B"/>
    <w:rsid w:val="001E4E16"/>
    <w:rsid w:val="001E6B3B"/>
    <w:rsid w:val="001E6BC7"/>
    <w:rsid w:val="001F7B5A"/>
    <w:rsid w:val="001F7ECF"/>
    <w:rsid w:val="00201B82"/>
    <w:rsid w:val="002039A3"/>
    <w:rsid w:val="0021043A"/>
    <w:rsid w:val="002151B2"/>
    <w:rsid w:val="00223BB6"/>
    <w:rsid w:val="002279E3"/>
    <w:rsid w:val="00230457"/>
    <w:rsid w:val="002336C7"/>
    <w:rsid w:val="002368F2"/>
    <w:rsid w:val="0023714E"/>
    <w:rsid w:val="00237727"/>
    <w:rsid w:val="0024417F"/>
    <w:rsid w:val="00244C99"/>
    <w:rsid w:val="0024696F"/>
    <w:rsid w:val="00255004"/>
    <w:rsid w:val="0026136A"/>
    <w:rsid w:val="00261E5A"/>
    <w:rsid w:val="00273334"/>
    <w:rsid w:val="0028083D"/>
    <w:rsid w:val="00283FA2"/>
    <w:rsid w:val="00286063"/>
    <w:rsid w:val="002871A7"/>
    <w:rsid w:val="00290DE0"/>
    <w:rsid w:val="00291978"/>
    <w:rsid w:val="00294194"/>
    <w:rsid w:val="0029453F"/>
    <w:rsid w:val="002A2A49"/>
    <w:rsid w:val="002A4D5A"/>
    <w:rsid w:val="002B00CA"/>
    <w:rsid w:val="002B559C"/>
    <w:rsid w:val="002C32CD"/>
    <w:rsid w:val="002C38BC"/>
    <w:rsid w:val="002C424D"/>
    <w:rsid w:val="002C7190"/>
    <w:rsid w:val="002D1BC4"/>
    <w:rsid w:val="002D4561"/>
    <w:rsid w:val="002D6711"/>
    <w:rsid w:val="002E07F0"/>
    <w:rsid w:val="002E37D6"/>
    <w:rsid w:val="002E41ED"/>
    <w:rsid w:val="002E6B94"/>
    <w:rsid w:val="002F32D2"/>
    <w:rsid w:val="002F7246"/>
    <w:rsid w:val="0030246D"/>
    <w:rsid w:val="0030354A"/>
    <w:rsid w:val="00303C3E"/>
    <w:rsid w:val="00303F0B"/>
    <w:rsid w:val="00306495"/>
    <w:rsid w:val="00310608"/>
    <w:rsid w:val="00323F22"/>
    <w:rsid w:val="003259AE"/>
    <w:rsid w:val="00330322"/>
    <w:rsid w:val="00333D4F"/>
    <w:rsid w:val="003378F7"/>
    <w:rsid w:val="0034104A"/>
    <w:rsid w:val="00341C4C"/>
    <w:rsid w:val="00345278"/>
    <w:rsid w:val="003457DB"/>
    <w:rsid w:val="00346AEA"/>
    <w:rsid w:val="00347605"/>
    <w:rsid w:val="003476A9"/>
    <w:rsid w:val="00350248"/>
    <w:rsid w:val="00350D1E"/>
    <w:rsid w:val="0036120D"/>
    <w:rsid w:val="00365826"/>
    <w:rsid w:val="00374CFE"/>
    <w:rsid w:val="00384CF9"/>
    <w:rsid w:val="00385BC8"/>
    <w:rsid w:val="003876D6"/>
    <w:rsid w:val="00390A08"/>
    <w:rsid w:val="00393801"/>
    <w:rsid w:val="0039504C"/>
    <w:rsid w:val="00397242"/>
    <w:rsid w:val="003B310E"/>
    <w:rsid w:val="003B473A"/>
    <w:rsid w:val="003B4B31"/>
    <w:rsid w:val="003B5C48"/>
    <w:rsid w:val="003C3310"/>
    <w:rsid w:val="003C6F10"/>
    <w:rsid w:val="003D1141"/>
    <w:rsid w:val="003D1D7E"/>
    <w:rsid w:val="003D5ADF"/>
    <w:rsid w:val="003D79A6"/>
    <w:rsid w:val="003E2879"/>
    <w:rsid w:val="003E3DB4"/>
    <w:rsid w:val="003E4EFA"/>
    <w:rsid w:val="003F1CA8"/>
    <w:rsid w:val="003F554F"/>
    <w:rsid w:val="003F734C"/>
    <w:rsid w:val="00404314"/>
    <w:rsid w:val="0041030F"/>
    <w:rsid w:val="00414673"/>
    <w:rsid w:val="004237A7"/>
    <w:rsid w:val="00423B08"/>
    <w:rsid w:val="00423CC1"/>
    <w:rsid w:val="00426D4B"/>
    <w:rsid w:val="0042739D"/>
    <w:rsid w:val="00427D4A"/>
    <w:rsid w:val="00432CBE"/>
    <w:rsid w:val="004353ED"/>
    <w:rsid w:val="00435C97"/>
    <w:rsid w:val="0044084B"/>
    <w:rsid w:val="00441498"/>
    <w:rsid w:val="00443690"/>
    <w:rsid w:val="00445967"/>
    <w:rsid w:val="00455183"/>
    <w:rsid w:val="00460CF9"/>
    <w:rsid w:val="00461AB3"/>
    <w:rsid w:val="004640B1"/>
    <w:rsid w:val="00464DC1"/>
    <w:rsid w:val="0046769C"/>
    <w:rsid w:val="004701EE"/>
    <w:rsid w:val="00475948"/>
    <w:rsid w:val="00480A8D"/>
    <w:rsid w:val="00481208"/>
    <w:rsid w:val="00485461"/>
    <w:rsid w:val="004913AD"/>
    <w:rsid w:val="004916E9"/>
    <w:rsid w:val="00497C6D"/>
    <w:rsid w:val="004A20A6"/>
    <w:rsid w:val="004A2A2D"/>
    <w:rsid w:val="004A53F8"/>
    <w:rsid w:val="004B4D61"/>
    <w:rsid w:val="004B77E7"/>
    <w:rsid w:val="004C6544"/>
    <w:rsid w:val="004C679A"/>
    <w:rsid w:val="004D3DBE"/>
    <w:rsid w:val="004D783D"/>
    <w:rsid w:val="004D7D39"/>
    <w:rsid w:val="004E1000"/>
    <w:rsid w:val="004E53F0"/>
    <w:rsid w:val="004E687C"/>
    <w:rsid w:val="004E7BA2"/>
    <w:rsid w:val="005049C4"/>
    <w:rsid w:val="00506EBD"/>
    <w:rsid w:val="00510C2B"/>
    <w:rsid w:val="00513858"/>
    <w:rsid w:val="00513A20"/>
    <w:rsid w:val="00516A62"/>
    <w:rsid w:val="0053060B"/>
    <w:rsid w:val="00530AD7"/>
    <w:rsid w:val="0053349A"/>
    <w:rsid w:val="00533A66"/>
    <w:rsid w:val="00536656"/>
    <w:rsid w:val="00537248"/>
    <w:rsid w:val="0056024B"/>
    <w:rsid w:val="00560D21"/>
    <w:rsid w:val="00562233"/>
    <w:rsid w:val="005769C2"/>
    <w:rsid w:val="00576F18"/>
    <w:rsid w:val="00581611"/>
    <w:rsid w:val="00584B1A"/>
    <w:rsid w:val="00585616"/>
    <w:rsid w:val="0059250E"/>
    <w:rsid w:val="00592D86"/>
    <w:rsid w:val="00595A79"/>
    <w:rsid w:val="00595BD1"/>
    <w:rsid w:val="00596796"/>
    <w:rsid w:val="005A206E"/>
    <w:rsid w:val="005A28D6"/>
    <w:rsid w:val="005A3667"/>
    <w:rsid w:val="005B1A0A"/>
    <w:rsid w:val="005B2D2C"/>
    <w:rsid w:val="005B46EF"/>
    <w:rsid w:val="005B4F94"/>
    <w:rsid w:val="005C0058"/>
    <w:rsid w:val="005C3345"/>
    <w:rsid w:val="005C5CCC"/>
    <w:rsid w:val="005D09CA"/>
    <w:rsid w:val="005D1567"/>
    <w:rsid w:val="005D5934"/>
    <w:rsid w:val="005E11ED"/>
    <w:rsid w:val="005E2605"/>
    <w:rsid w:val="005E26C2"/>
    <w:rsid w:val="005E56DE"/>
    <w:rsid w:val="005F16BC"/>
    <w:rsid w:val="005F22F6"/>
    <w:rsid w:val="00602605"/>
    <w:rsid w:val="00602C89"/>
    <w:rsid w:val="0060663A"/>
    <w:rsid w:val="0062494E"/>
    <w:rsid w:val="0062633A"/>
    <w:rsid w:val="006272A1"/>
    <w:rsid w:val="006278D2"/>
    <w:rsid w:val="00630183"/>
    <w:rsid w:val="00631EE1"/>
    <w:rsid w:val="006329AC"/>
    <w:rsid w:val="00635A28"/>
    <w:rsid w:val="00637A85"/>
    <w:rsid w:val="00640B97"/>
    <w:rsid w:val="006431FE"/>
    <w:rsid w:val="00643651"/>
    <w:rsid w:val="00645B42"/>
    <w:rsid w:val="00650954"/>
    <w:rsid w:val="0065684A"/>
    <w:rsid w:val="00657BF5"/>
    <w:rsid w:val="00657ED6"/>
    <w:rsid w:val="00665F05"/>
    <w:rsid w:val="00670086"/>
    <w:rsid w:val="006717F3"/>
    <w:rsid w:val="006757F0"/>
    <w:rsid w:val="00675C72"/>
    <w:rsid w:val="00680756"/>
    <w:rsid w:val="00680ED9"/>
    <w:rsid w:val="00681D09"/>
    <w:rsid w:val="006852D2"/>
    <w:rsid w:val="00685C35"/>
    <w:rsid w:val="00686A76"/>
    <w:rsid w:val="00691A7C"/>
    <w:rsid w:val="006927A4"/>
    <w:rsid w:val="00694506"/>
    <w:rsid w:val="006950C5"/>
    <w:rsid w:val="006B293D"/>
    <w:rsid w:val="006D0578"/>
    <w:rsid w:val="006D14AC"/>
    <w:rsid w:val="006D2070"/>
    <w:rsid w:val="006D2A10"/>
    <w:rsid w:val="006D4420"/>
    <w:rsid w:val="006D73F2"/>
    <w:rsid w:val="006E1262"/>
    <w:rsid w:val="006E20C3"/>
    <w:rsid w:val="006E3321"/>
    <w:rsid w:val="006F5138"/>
    <w:rsid w:val="006F70B0"/>
    <w:rsid w:val="006F7CE7"/>
    <w:rsid w:val="0070345E"/>
    <w:rsid w:val="00710764"/>
    <w:rsid w:val="0071272B"/>
    <w:rsid w:val="00724130"/>
    <w:rsid w:val="007257B2"/>
    <w:rsid w:val="00732FD5"/>
    <w:rsid w:val="00736299"/>
    <w:rsid w:val="00737AFC"/>
    <w:rsid w:val="00741DA5"/>
    <w:rsid w:val="007444B8"/>
    <w:rsid w:val="00744C5D"/>
    <w:rsid w:val="00745374"/>
    <w:rsid w:val="00745CDE"/>
    <w:rsid w:val="0075018F"/>
    <w:rsid w:val="00751229"/>
    <w:rsid w:val="00755FAB"/>
    <w:rsid w:val="00757E28"/>
    <w:rsid w:val="0076622F"/>
    <w:rsid w:val="007830E2"/>
    <w:rsid w:val="00787579"/>
    <w:rsid w:val="00787702"/>
    <w:rsid w:val="007904D2"/>
    <w:rsid w:val="007951F5"/>
    <w:rsid w:val="007952B6"/>
    <w:rsid w:val="007A023F"/>
    <w:rsid w:val="007A51A2"/>
    <w:rsid w:val="007B0909"/>
    <w:rsid w:val="007B3058"/>
    <w:rsid w:val="007B3A5F"/>
    <w:rsid w:val="007B44DA"/>
    <w:rsid w:val="007B4A3F"/>
    <w:rsid w:val="007C77BC"/>
    <w:rsid w:val="007D1069"/>
    <w:rsid w:val="007D3644"/>
    <w:rsid w:val="007D746D"/>
    <w:rsid w:val="007D7783"/>
    <w:rsid w:val="007E0DAA"/>
    <w:rsid w:val="007E1586"/>
    <w:rsid w:val="007E233C"/>
    <w:rsid w:val="007E27A5"/>
    <w:rsid w:val="007E3FF7"/>
    <w:rsid w:val="007E52A6"/>
    <w:rsid w:val="007E6814"/>
    <w:rsid w:val="007E709A"/>
    <w:rsid w:val="007F08E3"/>
    <w:rsid w:val="007F0A57"/>
    <w:rsid w:val="007F57ED"/>
    <w:rsid w:val="0080347E"/>
    <w:rsid w:val="0080394D"/>
    <w:rsid w:val="0080406D"/>
    <w:rsid w:val="00807AC1"/>
    <w:rsid w:val="00810467"/>
    <w:rsid w:val="00812553"/>
    <w:rsid w:val="00816CE8"/>
    <w:rsid w:val="008174F2"/>
    <w:rsid w:val="00817513"/>
    <w:rsid w:val="008220F5"/>
    <w:rsid w:val="00823A9B"/>
    <w:rsid w:val="00827540"/>
    <w:rsid w:val="008352FA"/>
    <w:rsid w:val="008411FD"/>
    <w:rsid w:val="00843043"/>
    <w:rsid w:val="00843540"/>
    <w:rsid w:val="00846D89"/>
    <w:rsid w:val="00860FE0"/>
    <w:rsid w:val="00861199"/>
    <w:rsid w:val="008640EE"/>
    <w:rsid w:val="00864D26"/>
    <w:rsid w:val="00872D66"/>
    <w:rsid w:val="008731B2"/>
    <w:rsid w:val="00874541"/>
    <w:rsid w:val="0087582D"/>
    <w:rsid w:val="00880330"/>
    <w:rsid w:val="00881412"/>
    <w:rsid w:val="00884289"/>
    <w:rsid w:val="0088749F"/>
    <w:rsid w:val="00887DAC"/>
    <w:rsid w:val="00890FB2"/>
    <w:rsid w:val="008910A0"/>
    <w:rsid w:val="0089624A"/>
    <w:rsid w:val="008A79AB"/>
    <w:rsid w:val="008B2F36"/>
    <w:rsid w:val="008B4B9A"/>
    <w:rsid w:val="008C426D"/>
    <w:rsid w:val="008C4D98"/>
    <w:rsid w:val="008C65F3"/>
    <w:rsid w:val="008D30DE"/>
    <w:rsid w:val="008D4234"/>
    <w:rsid w:val="008D470D"/>
    <w:rsid w:val="008D4D54"/>
    <w:rsid w:val="008E0581"/>
    <w:rsid w:val="008E64D3"/>
    <w:rsid w:val="008F3E5F"/>
    <w:rsid w:val="008F63CF"/>
    <w:rsid w:val="00907A85"/>
    <w:rsid w:val="009161EB"/>
    <w:rsid w:val="00926DFE"/>
    <w:rsid w:val="009273DF"/>
    <w:rsid w:val="009313FB"/>
    <w:rsid w:val="0093252D"/>
    <w:rsid w:val="00934E14"/>
    <w:rsid w:val="00935461"/>
    <w:rsid w:val="00944306"/>
    <w:rsid w:val="00944F04"/>
    <w:rsid w:val="009457AB"/>
    <w:rsid w:val="009459E3"/>
    <w:rsid w:val="009549E8"/>
    <w:rsid w:val="00955304"/>
    <w:rsid w:val="00955CFD"/>
    <w:rsid w:val="00960C3A"/>
    <w:rsid w:val="00963B49"/>
    <w:rsid w:val="00965FCA"/>
    <w:rsid w:val="00967573"/>
    <w:rsid w:val="00971AA3"/>
    <w:rsid w:val="009729C3"/>
    <w:rsid w:val="009740D6"/>
    <w:rsid w:val="0097547F"/>
    <w:rsid w:val="00975767"/>
    <w:rsid w:val="0097719B"/>
    <w:rsid w:val="0098257B"/>
    <w:rsid w:val="009826E6"/>
    <w:rsid w:val="0098315A"/>
    <w:rsid w:val="0098351D"/>
    <w:rsid w:val="0098590C"/>
    <w:rsid w:val="00993688"/>
    <w:rsid w:val="00995DDC"/>
    <w:rsid w:val="009967EA"/>
    <w:rsid w:val="0099704B"/>
    <w:rsid w:val="009A165A"/>
    <w:rsid w:val="009A2B36"/>
    <w:rsid w:val="009A58B7"/>
    <w:rsid w:val="009B061F"/>
    <w:rsid w:val="009B62A7"/>
    <w:rsid w:val="009C1114"/>
    <w:rsid w:val="009C204D"/>
    <w:rsid w:val="009C2E79"/>
    <w:rsid w:val="009C7D54"/>
    <w:rsid w:val="009D19D6"/>
    <w:rsid w:val="009D26D8"/>
    <w:rsid w:val="009D4EAB"/>
    <w:rsid w:val="009D7022"/>
    <w:rsid w:val="009D7FDE"/>
    <w:rsid w:val="009E2CD0"/>
    <w:rsid w:val="009E30DC"/>
    <w:rsid w:val="009F46CE"/>
    <w:rsid w:val="009F49E7"/>
    <w:rsid w:val="009F76AD"/>
    <w:rsid w:val="00A00234"/>
    <w:rsid w:val="00A02E11"/>
    <w:rsid w:val="00A0403A"/>
    <w:rsid w:val="00A06D05"/>
    <w:rsid w:val="00A07466"/>
    <w:rsid w:val="00A0797A"/>
    <w:rsid w:val="00A11D09"/>
    <w:rsid w:val="00A12156"/>
    <w:rsid w:val="00A15009"/>
    <w:rsid w:val="00A246F5"/>
    <w:rsid w:val="00A2740B"/>
    <w:rsid w:val="00A32AF3"/>
    <w:rsid w:val="00A36759"/>
    <w:rsid w:val="00A45E7B"/>
    <w:rsid w:val="00A501FF"/>
    <w:rsid w:val="00A511C8"/>
    <w:rsid w:val="00A51468"/>
    <w:rsid w:val="00A53D9B"/>
    <w:rsid w:val="00A54FA0"/>
    <w:rsid w:val="00A55E3D"/>
    <w:rsid w:val="00A56ACF"/>
    <w:rsid w:val="00A6035A"/>
    <w:rsid w:val="00A61129"/>
    <w:rsid w:val="00A63B77"/>
    <w:rsid w:val="00A6668E"/>
    <w:rsid w:val="00A72057"/>
    <w:rsid w:val="00A767EE"/>
    <w:rsid w:val="00A76C93"/>
    <w:rsid w:val="00A81FB3"/>
    <w:rsid w:val="00A83A48"/>
    <w:rsid w:val="00A873B7"/>
    <w:rsid w:val="00A8785F"/>
    <w:rsid w:val="00A95F26"/>
    <w:rsid w:val="00A96B21"/>
    <w:rsid w:val="00AA1C1D"/>
    <w:rsid w:val="00AD1F8E"/>
    <w:rsid w:val="00AD643E"/>
    <w:rsid w:val="00AE1A95"/>
    <w:rsid w:val="00AE1E8B"/>
    <w:rsid w:val="00AE2B04"/>
    <w:rsid w:val="00AE4BD9"/>
    <w:rsid w:val="00AF4531"/>
    <w:rsid w:val="00B010B8"/>
    <w:rsid w:val="00B021CA"/>
    <w:rsid w:val="00B04B6D"/>
    <w:rsid w:val="00B05B47"/>
    <w:rsid w:val="00B05BAE"/>
    <w:rsid w:val="00B07DA6"/>
    <w:rsid w:val="00B11057"/>
    <w:rsid w:val="00B13C11"/>
    <w:rsid w:val="00B146CB"/>
    <w:rsid w:val="00B15FBE"/>
    <w:rsid w:val="00B161D3"/>
    <w:rsid w:val="00B20559"/>
    <w:rsid w:val="00B22B8D"/>
    <w:rsid w:val="00B2337A"/>
    <w:rsid w:val="00B235AA"/>
    <w:rsid w:val="00B2390D"/>
    <w:rsid w:val="00B31F26"/>
    <w:rsid w:val="00B32E8F"/>
    <w:rsid w:val="00B330DF"/>
    <w:rsid w:val="00B3357F"/>
    <w:rsid w:val="00B35609"/>
    <w:rsid w:val="00B35AC0"/>
    <w:rsid w:val="00B36EA9"/>
    <w:rsid w:val="00B41BF6"/>
    <w:rsid w:val="00B47BB1"/>
    <w:rsid w:val="00B503BC"/>
    <w:rsid w:val="00B51466"/>
    <w:rsid w:val="00B56759"/>
    <w:rsid w:val="00B57060"/>
    <w:rsid w:val="00B60082"/>
    <w:rsid w:val="00B60EE5"/>
    <w:rsid w:val="00B6446B"/>
    <w:rsid w:val="00B655A8"/>
    <w:rsid w:val="00B71DEA"/>
    <w:rsid w:val="00B74BC6"/>
    <w:rsid w:val="00B7511A"/>
    <w:rsid w:val="00B83642"/>
    <w:rsid w:val="00B848A7"/>
    <w:rsid w:val="00B869B2"/>
    <w:rsid w:val="00B91DE2"/>
    <w:rsid w:val="00B92034"/>
    <w:rsid w:val="00B93533"/>
    <w:rsid w:val="00B96E30"/>
    <w:rsid w:val="00BA492D"/>
    <w:rsid w:val="00BB07B9"/>
    <w:rsid w:val="00BB2A10"/>
    <w:rsid w:val="00BB60F0"/>
    <w:rsid w:val="00BC142F"/>
    <w:rsid w:val="00BC56EC"/>
    <w:rsid w:val="00BD1487"/>
    <w:rsid w:val="00BD4582"/>
    <w:rsid w:val="00BD5DBA"/>
    <w:rsid w:val="00BE09DB"/>
    <w:rsid w:val="00BE0C7C"/>
    <w:rsid w:val="00BE178B"/>
    <w:rsid w:val="00BE3C82"/>
    <w:rsid w:val="00BE4217"/>
    <w:rsid w:val="00BE79F8"/>
    <w:rsid w:val="00BF0A36"/>
    <w:rsid w:val="00BF327E"/>
    <w:rsid w:val="00C05ED5"/>
    <w:rsid w:val="00C10F17"/>
    <w:rsid w:val="00C130BC"/>
    <w:rsid w:val="00C15DDD"/>
    <w:rsid w:val="00C17963"/>
    <w:rsid w:val="00C2354A"/>
    <w:rsid w:val="00C271CF"/>
    <w:rsid w:val="00C3569A"/>
    <w:rsid w:val="00C35B01"/>
    <w:rsid w:val="00C36D01"/>
    <w:rsid w:val="00C37BEB"/>
    <w:rsid w:val="00C424A9"/>
    <w:rsid w:val="00C50429"/>
    <w:rsid w:val="00C517DC"/>
    <w:rsid w:val="00C56E23"/>
    <w:rsid w:val="00C56F77"/>
    <w:rsid w:val="00C626EB"/>
    <w:rsid w:val="00C64934"/>
    <w:rsid w:val="00C64C09"/>
    <w:rsid w:val="00C660B2"/>
    <w:rsid w:val="00C6657A"/>
    <w:rsid w:val="00C66F99"/>
    <w:rsid w:val="00C81C82"/>
    <w:rsid w:val="00C832AC"/>
    <w:rsid w:val="00C920F7"/>
    <w:rsid w:val="00C92ED3"/>
    <w:rsid w:val="00C978AD"/>
    <w:rsid w:val="00CA3BAD"/>
    <w:rsid w:val="00CB0698"/>
    <w:rsid w:val="00CB0B53"/>
    <w:rsid w:val="00CB4E46"/>
    <w:rsid w:val="00CB5670"/>
    <w:rsid w:val="00CC12A9"/>
    <w:rsid w:val="00CC22B2"/>
    <w:rsid w:val="00CC5BC2"/>
    <w:rsid w:val="00CD68FC"/>
    <w:rsid w:val="00CE6257"/>
    <w:rsid w:val="00CF05C1"/>
    <w:rsid w:val="00CF3EA4"/>
    <w:rsid w:val="00CF4126"/>
    <w:rsid w:val="00CF5281"/>
    <w:rsid w:val="00CF70AB"/>
    <w:rsid w:val="00D00CFA"/>
    <w:rsid w:val="00D01505"/>
    <w:rsid w:val="00D01523"/>
    <w:rsid w:val="00D02F9F"/>
    <w:rsid w:val="00D06D04"/>
    <w:rsid w:val="00D0738F"/>
    <w:rsid w:val="00D10938"/>
    <w:rsid w:val="00D13B3F"/>
    <w:rsid w:val="00D154E8"/>
    <w:rsid w:val="00D15BB4"/>
    <w:rsid w:val="00D176B6"/>
    <w:rsid w:val="00D25E19"/>
    <w:rsid w:val="00D2702D"/>
    <w:rsid w:val="00D3059B"/>
    <w:rsid w:val="00D37E0C"/>
    <w:rsid w:val="00D42D6A"/>
    <w:rsid w:val="00D45692"/>
    <w:rsid w:val="00D464B4"/>
    <w:rsid w:val="00D5028E"/>
    <w:rsid w:val="00D5170D"/>
    <w:rsid w:val="00D554E0"/>
    <w:rsid w:val="00D5558F"/>
    <w:rsid w:val="00D60046"/>
    <w:rsid w:val="00D63B7C"/>
    <w:rsid w:val="00D64F28"/>
    <w:rsid w:val="00D71FFB"/>
    <w:rsid w:val="00D73A27"/>
    <w:rsid w:val="00D825AD"/>
    <w:rsid w:val="00D84B6C"/>
    <w:rsid w:val="00D8563A"/>
    <w:rsid w:val="00D864AC"/>
    <w:rsid w:val="00D92E99"/>
    <w:rsid w:val="00D97ABB"/>
    <w:rsid w:val="00DA0E5C"/>
    <w:rsid w:val="00DA0FC6"/>
    <w:rsid w:val="00DA6431"/>
    <w:rsid w:val="00DB3001"/>
    <w:rsid w:val="00DC383C"/>
    <w:rsid w:val="00DC5646"/>
    <w:rsid w:val="00DD56B4"/>
    <w:rsid w:val="00DD5B34"/>
    <w:rsid w:val="00DE15C7"/>
    <w:rsid w:val="00DE2DDD"/>
    <w:rsid w:val="00DE341B"/>
    <w:rsid w:val="00DE3507"/>
    <w:rsid w:val="00DE53FA"/>
    <w:rsid w:val="00DE6AA1"/>
    <w:rsid w:val="00DE6B81"/>
    <w:rsid w:val="00DF242A"/>
    <w:rsid w:val="00DF2F76"/>
    <w:rsid w:val="00DF7B09"/>
    <w:rsid w:val="00E02CA1"/>
    <w:rsid w:val="00E04B35"/>
    <w:rsid w:val="00E05C07"/>
    <w:rsid w:val="00E07987"/>
    <w:rsid w:val="00E13C94"/>
    <w:rsid w:val="00E1597C"/>
    <w:rsid w:val="00E206C4"/>
    <w:rsid w:val="00E231C5"/>
    <w:rsid w:val="00E23207"/>
    <w:rsid w:val="00E27597"/>
    <w:rsid w:val="00E27E82"/>
    <w:rsid w:val="00E30F98"/>
    <w:rsid w:val="00E351D4"/>
    <w:rsid w:val="00E355A6"/>
    <w:rsid w:val="00E41C43"/>
    <w:rsid w:val="00E44A51"/>
    <w:rsid w:val="00E50733"/>
    <w:rsid w:val="00E51C9A"/>
    <w:rsid w:val="00E51EF4"/>
    <w:rsid w:val="00E52159"/>
    <w:rsid w:val="00E56CD1"/>
    <w:rsid w:val="00E606FF"/>
    <w:rsid w:val="00E62D38"/>
    <w:rsid w:val="00E65F3D"/>
    <w:rsid w:val="00E712C0"/>
    <w:rsid w:val="00E7382A"/>
    <w:rsid w:val="00E740AC"/>
    <w:rsid w:val="00E874E5"/>
    <w:rsid w:val="00E8791E"/>
    <w:rsid w:val="00E9269B"/>
    <w:rsid w:val="00EA14AE"/>
    <w:rsid w:val="00EA3E83"/>
    <w:rsid w:val="00EA5BE5"/>
    <w:rsid w:val="00EA6C5A"/>
    <w:rsid w:val="00EB2DE1"/>
    <w:rsid w:val="00EB5DD9"/>
    <w:rsid w:val="00EB615E"/>
    <w:rsid w:val="00EC5ACB"/>
    <w:rsid w:val="00EC62BE"/>
    <w:rsid w:val="00EC7282"/>
    <w:rsid w:val="00ED30DB"/>
    <w:rsid w:val="00ED3849"/>
    <w:rsid w:val="00ED4356"/>
    <w:rsid w:val="00ED7D68"/>
    <w:rsid w:val="00EE19BD"/>
    <w:rsid w:val="00EE58B6"/>
    <w:rsid w:val="00EE73AE"/>
    <w:rsid w:val="00EF17C9"/>
    <w:rsid w:val="00EF5675"/>
    <w:rsid w:val="00EF6601"/>
    <w:rsid w:val="00EF76DA"/>
    <w:rsid w:val="00EF7CE0"/>
    <w:rsid w:val="00F0122F"/>
    <w:rsid w:val="00F02FDF"/>
    <w:rsid w:val="00F07DA7"/>
    <w:rsid w:val="00F125D3"/>
    <w:rsid w:val="00F12650"/>
    <w:rsid w:val="00F171B0"/>
    <w:rsid w:val="00F258FB"/>
    <w:rsid w:val="00F32A2C"/>
    <w:rsid w:val="00F32F8B"/>
    <w:rsid w:val="00F33910"/>
    <w:rsid w:val="00F371D1"/>
    <w:rsid w:val="00F40B09"/>
    <w:rsid w:val="00F42616"/>
    <w:rsid w:val="00F42C4E"/>
    <w:rsid w:val="00F47123"/>
    <w:rsid w:val="00F55AF9"/>
    <w:rsid w:val="00F613D9"/>
    <w:rsid w:val="00F6571F"/>
    <w:rsid w:val="00F71430"/>
    <w:rsid w:val="00F71A4A"/>
    <w:rsid w:val="00F71CBB"/>
    <w:rsid w:val="00F75F90"/>
    <w:rsid w:val="00F7726F"/>
    <w:rsid w:val="00F77D70"/>
    <w:rsid w:val="00F82C35"/>
    <w:rsid w:val="00F84854"/>
    <w:rsid w:val="00F86AB2"/>
    <w:rsid w:val="00F86B07"/>
    <w:rsid w:val="00F87499"/>
    <w:rsid w:val="00F874BF"/>
    <w:rsid w:val="00F90CD6"/>
    <w:rsid w:val="00F91AB3"/>
    <w:rsid w:val="00F9356C"/>
    <w:rsid w:val="00F93B07"/>
    <w:rsid w:val="00F97630"/>
    <w:rsid w:val="00FA18C9"/>
    <w:rsid w:val="00FA3BF7"/>
    <w:rsid w:val="00FA494D"/>
    <w:rsid w:val="00FA519B"/>
    <w:rsid w:val="00FA60FD"/>
    <w:rsid w:val="00FB577C"/>
    <w:rsid w:val="00FC17FA"/>
    <w:rsid w:val="00FC6FAA"/>
    <w:rsid w:val="00FC7504"/>
    <w:rsid w:val="00FD3777"/>
    <w:rsid w:val="00FD52A1"/>
    <w:rsid w:val="00FD54AE"/>
    <w:rsid w:val="00FD69FE"/>
    <w:rsid w:val="00FD7C69"/>
    <w:rsid w:val="00FE0B22"/>
    <w:rsid w:val="00FE17FC"/>
    <w:rsid w:val="00FE3437"/>
    <w:rsid w:val="00FE7623"/>
    <w:rsid w:val="00FF12A6"/>
    <w:rsid w:val="00FF5457"/>
    <w:rsid w:val="00FF7EC7"/>
    <w:rsid w:val="10A9C2A5"/>
    <w:rsid w:val="1D8E1306"/>
    <w:rsid w:val="33AA6B9C"/>
    <w:rsid w:val="3B30AC04"/>
    <w:rsid w:val="45A77AB2"/>
    <w:rsid w:val="46D98D7F"/>
    <w:rsid w:val="6A7C26AE"/>
    <w:rsid w:val="6AD5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1988C"/>
  <w15:chartTrackingRefBased/>
  <w15:docId w15:val="{99522A06-75A3-48D8-8F5F-29C50AA4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14:ligatures w14:val="none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D25E19"/>
    <w:pPr>
      <w:keepNext/>
      <w:keepLines/>
      <w:numPr>
        <w:numId w:val="3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14:ligatures w14:val="standardContextual"/>
    </w:rPr>
  </w:style>
  <w:style w:type="paragraph" w:styleId="Heading2">
    <w:name w:val="heading 2"/>
    <w:basedOn w:val="Normal"/>
    <w:next w:val="CBDNormalNumber"/>
    <w:link w:val="Heading2Char"/>
    <w:uiPriority w:val="9"/>
    <w:qFormat/>
    <w:rsid w:val="00D25E19"/>
    <w:pPr>
      <w:keepNext/>
      <w:keepLines/>
      <w:numPr>
        <w:ilvl w:val="1"/>
        <w:numId w:val="3"/>
      </w:numPr>
      <w:spacing w:before="120" w:after="120"/>
      <w:jc w:val="left"/>
      <w:outlineLvl w:val="1"/>
    </w:pPr>
    <w:rPr>
      <w:rFonts w:ascii="Times New Roman Bold" w:eastAsiaTheme="majorEastAsia" w:hAnsi="Times New Roman Bold" w:cstheme="majorBidi"/>
      <w:b/>
      <w:sz w:val="24"/>
      <w:szCs w:val="26"/>
    </w:rPr>
  </w:style>
  <w:style w:type="paragraph" w:styleId="Heading3">
    <w:name w:val="heading 3"/>
    <w:basedOn w:val="Normal"/>
    <w:next w:val="CBDNormalNumber"/>
    <w:link w:val="Heading3Char"/>
    <w:uiPriority w:val="9"/>
    <w:qFormat/>
    <w:rsid w:val="00D25E19"/>
    <w:pPr>
      <w:keepNext/>
      <w:keepLines/>
      <w:numPr>
        <w:ilvl w:val="2"/>
        <w:numId w:val="3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CBDNormalNumber"/>
    <w:link w:val="Heading4Char"/>
    <w:uiPriority w:val="9"/>
    <w:qFormat/>
    <w:rsid w:val="00D25E19"/>
    <w:pPr>
      <w:keepNext/>
      <w:numPr>
        <w:ilvl w:val="3"/>
        <w:numId w:val="3"/>
      </w:numPr>
      <w:spacing w:before="120" w:after="120"/>
      <w:jc w:val="left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D25E19"/>
    <w:pPr>
      <w:keepNext/>
      <w:numPr>
        <w:ilvl w:val="4"/>
        <w:numId w:val="3"/>
      </w:numPr>
      <w:spacing w:before="120" w:after="120"/>
      <w:jc w:val="left"/>
      <w:outlineLvl w:val="4"/>
    </w:pPr>
    <w:rPr>
      <w:rFonts w:eastAsiaTheme="majorEastAsia"/>
      <w:i/>
      <w:iCs/>
    </w:rPr>
  </w:style>
  <w:style w:type="paragraph" w:styleId="Heading6">
    <w:name w:val="heading 6"/>
    <w:basedOn w:val="Normal"/>
    <w:next w:val="Normal"/>
    <w:link w:val="Heading6Char"/>
    <w:semiHidden/>
    <w:rsid w:val="00D25E19"/>
    <w:pPr>
      <w:keepNext/>
      <w:keepLines/>
      <w:numPr>
        <w:ilvl w:val="5"/>
        <w:numId w:val="4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5"/>
    </w:pPr>
    <w:rPr>
      <w:bCs/>
      <w:sz w:val="24"/>
    </w:rPr>
  </w:style>
  <w:style w:type="paragraph" w:styleId="Heading7">
    <w:name w:val="heading 7"/>
    <w:basedOn w:val="Normal"/>
    <w:next w:val="Normal"/>
    <w:link w:val="Heading7Char"/>
    <w:semiHidden/>
    <w:rsid w:val="00D25E19"/>
    <w:pPr>
      <w:keepNext/>
      <w:keepLines/>
      <w:widowControl w:val="0"/>
      <w:numPr>
        <w:ilvl w:val="6"/>
        <w:numId w:val="4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6"/>
    </w:pPr>
    <w:rPr>
      <w:b/>
      <w:snapToGrid w:val="0"/>
      <w:u w:val="single"/>
    </w:rPr>
  </w:style>
  <w:style w:type="paragraph" w:styleId="Heading8">
    <w:name w:val="heading 8"/>
    <w:basedOn w:val="Normal"/>
    <w:next w:val="Normal"/>
    <w:link w:val="Heading8Char"/>
    <w:semiHidden/>
    <w:rsid w:val="00D25E19"/>
    <w:pPr>
      <w:keepNext/>
      <w:keepLines/>
      <w:widowControl w:val="0"/>
      <w:numPr>
        <w:ilvl w:val="7"/>
        <w:numId w:val="4"/>
      </w:numPr>
      <w:tabs>
        <w:tab w:val="left" w:pos="-1440"/>
        <w:tab w:val="left" w:pos="-720"/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7"/>
    </w:pPr>
    <w:rPr>
      <w:b/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D25E19"/>
    <w:pPr>
      <w:keepNext/>
      <w:widowControl w:val="0"/>
      <w:numPr>
        <w:ilvl w:val="8"/>
        <w:numId w:val="4"/>
      </w:numPr>
      <w:suppressAutoHyphens/>
      <w:jc w:val="left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em">
    <w:name w:val="Item"/>
    <w:basedOn w:val="Normal"/>
    <w:qFormat/>
    <w:rsid w:val="00D25E19"/>
    <w:pPr>
      <w:suppressLineNumbers/>
      <w:suppressAutoHyphens/>
      <w:spacing w:before="240" w:after="120"/>
      <w:jc w:val="left"/>
    </w:pPr>
    <w:rPr>
      <w:rFonts w:eastAsia="Times New Roman"/>
      <w:b/>
      <w:iCs/>
      <w:snapToGrid w:val="0"/>
      <w:kern w:val="22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25E19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25E19"/>
    <w:rPr>
      <w:lang w:val="es-ES"/>
    </w:rPr>
  </w:style>
  <w:style w:type="paragraph" w:styleId="Title">
    <w:name w:val="Title"/>
    <w:basedOn w:val="Normal"/>
    <w:next w:val="Normal"/>
    <w:link w:val="TitleChar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es-ES"/>
    </w:rPr>
  </w:style>
  <w:style w:type="character" w:customStyle="1" w:styleId="Heading1Char">
    <w:name w:val="Heading 1 Char"/>
    <w:basedOn w:val="DefaultParagraphFont"/>
    <w:link w:val="Heading1"/>
    <w:uiPriority w:val="9"/>
    <w:rsid w:val="00D25E19"/>
    <w:rPr>
      <w:rFonts w:ascii="Times New Roman" w:eastAsiaTheme="majorEastAsia" w:hAnsi="Times New Roman" w:cstheme="majorBidi"/>
      <w:b/>
      <w:bCs/>
      <w:sz w:val="28"/>
      <w:szCs w:val="32"/>
      <w:lang w:val="es-ES"/>
    </w:rPr>
  </w:style>
  <w:style w:type="paragraph" w:customStyle="1" w:styleId="Cornernotation">
    <w:name w:val="Corner notation"/>
    <w:basedOn w:val="Normal"/>
    <w:rsid w:val="00A96B21"/>
    <w:pPr>
      <w:ind w:left="170" w:right="3119" w:hanging="170"/>
      <w:jc w:val="left"/>
    </w:pPr>
    <w:rPr>
      <w:b/>
      <w:sz w:val="24"/>
    </w:rPr>
  </w:style>
  <w:style w:type="table" w:customStyle="1" w:styleId="TableGrid1">
    <w:name w:val="Table Grid1"/>
    <w:basedOn w:val="TableNormal"/>
    <w:next w:val="TableGrid"/>
    <w:uiPriority w:val="59"/>
    <w:rsid w:val="00A96B2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qFormat/>
    <w:rsid w:val="00A9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</w:rPr>
  </w:style>
  <w:style w:type="paragraph" w:styleId="FootnoteText">
    <w:name w:val="footnote text"/>
    <w:aliases w:val="Geneva 9,Font: Geneva 9,Boston 10,f,ft,Fotnotstext Char,ft Char,single space,footnote text,FOOTNOTES,ADB,single space1,footnote text1,FOOTNOTES1,fn1,ADB1,single space2,footnote text2,FOOTNOTES2,fn2,ADB2,single space3,footnote text3,fn3,fn"/>
    <w:basedOn w:val="Normal"/>
    <w:link w:val="FootnoteTextChar"/>
    <w:uiPriority w:val="99"/>
    <w:unhideWhenUsed/>
    <w:rsid w:val="00D25E19"/>
    <w:pPr>
      <w:jc w:val="left"/>
    </w:pPr>
    <w:rPr>
      <w:sz w:val="18"/>
      <w:szCs w:val="20"/>
    </w:rPr>
  </w:style>
  <w:style w:type="character" w:customStyle="1" w:styleId="FootnoteTextChar">
    <w:name w:val="Footnote Text Char"/>
    <w:aliases w:val="Geneva 9 Char,Font: Geneva 9 Char,Boston 10 Char,f Char,ft Char1,Fotnotstext Char Char,ft Char Char,single space Char,footnote text Char,FOOTNOTES Char,ADB Char,single space1 Char,footnote text1 Char,FOOTNOTES1 Char,fn1 Char,ADB1 Char"/>
    <w:basedOn w:val="DefaultParagraphFont"/>
    <w:link w:val="FootnoteText"/>
    <w:uiPriority w:val="99"/>
    <w:rsid w:val="00D25E19"/>
    <w:rPr>
      <w:rFonts w:ascii="Times New Roman" w:eastAsia="SimSun" w:hAnsi="Times New Roman" w:cs="Times New Roman"/>
      <w:kern w:val="0"/>
      <w:sz w:val="18"/>
      <w:szCs w:val="20"/>
      <w:lang w:val="es-E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25E19"/>
    <w:rPr>
      <w:vertAlign w:val="superscript"/>
      <w:lang w:val="es-ES"/>
    </w:rPr>
  </w:style>
  <w:style w:type="paragraph" w:customStyle="1" w:styleId="Footnote">
    <w:name w:val="Footnote"/>
    <w:basedOn w:val="FootnoteText"/>
    <w:qFormat/>
    <w:rsid w:val="00D25E19"/>
    <w:rPr>
      <w:szCs w:val="18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es-ES"/>
      <w14:ligatures w14:val="none"/>
    </w:rPr>
  </w:style>
  <w:style w:type="paragraph" w:customStyle="1" w:styleId="Para1">
    <w:name w:val="Para 1"/>
    <w:basedOn w:val="Normal"/>
    <w:qFormat/>
    <w:rsid w:val="00480A8D"/>
    <w:pPr>
      <w:tabs>
        <w:tab w:val="num" w:pos="1209"/>
      </w:tabs>
      <w:spacing w:before="120" w:after="120"/>
      <w:ind w:left="567"/>
    </w:pPr>
  </w:style>
  <w:style w:type="character" w:customStyle="1" w:styleId="Heading2Char">
    <w:name w:val="Heading 2 Char"/>
    <w:basedOn w:val="DefaultParagraphFont"/>
    <w:link w:val="Heading2"/>
    <w:uiPriority w:val="9"/>
    <w:rsid w:val="00D25E19"/>
    <w:rPr>
      <w:rFonts w:ascii="Times New Roman Bold" w:eastAsiaTheme="majorEastAsia" w:hAnsi="Times New Roman Bold" w:cstheme="majorBidi"/>
      <w:b/>
      <w:kern w:val="0"/>
      <w:sz w:val="24"/>
      <w:szCs w:val="26"/>
      <w:lang w:val="es-E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95DDC"/>
    <w:rPr>
      <w:color w:val="808080"/>
      <w:lang w:val="es-ES"/>
    </w:rPr>
  </w:style>
  <w:style w:type="paragraph" w:styleId="Header">
    <w:name w:val="header"/>
    <w:basedOn w:val="Normal"/>
    <w:link w:val="HeaderChar"/>
    <w:rsid w:val="00D25E19"/>
    <w:pPr>
      <w:pBdr>
        <w:bottom w:val="single" w:sz="4" w:space="1" w:color="auto"/>
      </w:pBd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D25E19"/>
    <w:rPr>
      <w:rFonts w:ascii="Times New Roman" w:eastAsia="SimSun" w:hAnsi="Times New Roman" w:cs="Times New Roman"/>
      <w:kern w:val="0"/>
      <w:sz w:val="20"/>
      <w:lang w:val="es-ES"/>
      <w14:ligatures w14:val="none"/>
    </w:rPr>
  </w:style>
  <w:style w:type="paragraph" w:styleId="Footer">
    <w:name w:val="footer"/>
    <w:basedOn w:val="Normal"/>
    <w:link w:val="FooterChar"/>
    <w:uiPriority w:val="99"/>
    <w:rsid w:val="00D25E19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25E19"/>
    <w:rPr>
      <w:rFonts w:ascii="Times New Roman" w:eastAsia="SimSun" w:hAnsi="Times New Roman" w:cs="Times New Roman"/>
      <w:kern w:val="0"/>
      <w:sz w:val="20"/>
      <w:lang w:val="es-E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25E19"/>
    <w:rPr>
      <w:rFonts w:ascii="Times New Roman" w:eastAsiaTheme="majorEastAsia" w:hAnsi="Times New Roman" w:cs="Times New Roman"/>
      <w:b/>
      <w:bCs/>
      <w:kern w:val="0"/>
      <w:lang w:val="es-ES"/>
      <w14:ligatures w14:val="none"/>
    </w:rPr>
  </w:style>
  <w:style w:type="paragraph" w:customStyle="1" w:styleId="Para2">
    <w:name w:val="Para 2"/>
    <w:qFormat/>
    <w:rsid w:val="005C0058"/>
    <w:pPr>
      <w:tabs>
        <w:tab w:val="left" w:pos="1701"/>
      </w:tabs>
      <w:spacing w:before="120" w:after="120" w:line="240" w:lineRule="auto"/>
      <w:ind w:left="1134"/>
      <w:jc w:val="both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Annex">
    <w:name w:val="Annex"/>
    <w:basedOn w:val="Normal"/>
    <w:qFormat/>
    <w:rsid w:val="00D25E19"/>
    <w:pPr>
      <w:spacing w:after="240"/>
    </w:pPr>
    <w:rPr>
      <w:b/>
      <w:sz w:val="28"/>
    </w:rPr>
  </w:style>
  <w:style w:type="paragraph" w:customStyle="1" w:styleId="Para3">
    <w:name w:val="Para 3"/>
    <w:basedOn w:val="Normal"/>
    <w:qFormat/>
    <w:rsid w:val="005C0058"/>
    <w:pPr>
      <w:spacing w:before="120" w:after="120"/>
      <w:ind w:left="1134"/>
    </w:pPr>
  </w:style>
  <w:style w:type="character" w:customStyle="1" w:styleId="Heading4Char">
    <w:name w:val="Heading 4 Char"/>
    <w:basedOn w:val="DefaultParagraphFont"/>
    <w:link w:val="Heading4"/>
    <w:uiPriority w:val="9"/>
    <w:rsid w:val="00D25E19"/>
    <w:rPr>
      <w:rFonts w:ascii="Times New Roman" w:eastAsiaTheme="majorEastAsia" w:hAnsi="Times New Roman" w:cs="Times New Roman"/>
      <w:b/>
      <w:bCs/>
      <w:kern w:val="0"/>
      <w:lang w:val="es-E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D25E19"/>
    <w:rPr>
      <w:rFonts w:ascii="Times New Roman" w:eastAsiaTheme="majorEastAsia" w:hAnsi="Times New Roman" w:cs="Times New Roman"/>
      <w:i/>
      <w:iCs/>
      <w:kern w:val="0"/>
      <w:lang w:val="es-E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25E19"/>
    <w:rPr>
      <w:sz w:val="16"/>
      <w:szCs w:val="16"/>
      <w:lang w:val="es-ES"/>
    </w:rPr>
  </w:style>
  <w:style w:type="paragraph" w:styleId="CommentText">
    <w:name w:val="annotation text"/>
    <w:basedOn w:val="Normal"/>
    <w:link w:val="CommentTextChar"/>
    <w:uiPriority w:val="99"/>
    <w:rsid w:val="00D25E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E19"/>
    <w:rPr>
      <w:rFonts w:ascii="Times New Roman" w:eastAsia="SimSun" w:hAnsi="Times New Roman" w:cs="Times New Roman"/>
      <w:kern w:val="0"/>
      <w:sz w:val="20"/>
      <w:szCs w:val="20"/>
      <w:lang w:val="es-E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E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E19"/>
    <w:rPr>
      <w:rFonts w:ascii="Times New Roman" w:eastAsia="SimSun" w:hAnsi="Times New Roman" w:cs="Times New Roman"/>
      <w:b/>
      <w:bCs/>
      <w:kern w:val="0"/>
      <w:sz w:val="20"/>
      <w:szCs w:val="20"/>
      <w:lang w:val="es-ES"/>
      <w14:ligatures w14:val="none"/>
    </w:rPr>
  </w:style>
  <w:style w:type="paragraph" w:customStyle="1" w:styleId="AEDistrNormal">
    <w:name w:val="AE_DistrNormal"/>
    <w:basedOn w:val="Normal"/>
    <w:unhideWhenUsed/>
    <w:rsid w:val="00D25E19"/>
    <w:pPr>
      <w:jc w:val="left"/>
    </w:pPr>
  </w:style>
  <w:style w:type="paragraph" w:customStyle="1" w:styleId="AASmallLogo">
    <w:name w:val="AA_SmallLogo"/>
    <w:basedOn w:val="AEDistrNormal"/>
    <w:unhideWhenUsed/>
    <w:rsid w:val="00D25E19"/>
    <w:pPr>
      <w:spacing w:before="40"/>
    </w:pPr>
    <w:rPr>
      <w:sz w:val="4"/>
    </w:rPr>
  </w:style>
  <w:style w:type="paragraph" w:customStyle="1" w:styleId="ABSymbol">
    <w:name w:val="AB_Symbol"/>
    <w:basedOn w:val="Normal"/>
    <w:qFormat/>
    <w:rsid w:val="00D25E19"/>
    <w:pPr>
      <w:tabs>
        <w:tab w:val="left" w:pos="1871"/>
        <w:tab w:val="left" w:pos="2495"/>
        <w:tab w:val="right" w:pos="2920"/>
        <w:tab w:val="left" w:pos="3119"/>
        <w:tab w:val="left" w:pos="3742"/>
        <w:tab w:val="left" w:pos="4366"/>
        <w:tab w:val="left" w:pos="4990"/>
      </w:tabs>
      <w:spacing w:after="120"/>
      <w:ind w:left="2019"/>
      <w:jc w:val="right"/>
    </w:pPr>
    <w:rPr>
      <w:sz w:val="20"/>
      <w:szCs w:val="20"/>
    </w:rPr>
  </w:style>
  <w:style w:type="paragraph" w:customStyle="1" w:styleId="AFCorNotNormal">
    <w:name w:val="AF_CorNotNormal"/>
    <w:basedOn w:val="Normal"/>
    <w:unhideWhenUsed/>
    <w:rsid w:val="00B93533"/>
  </w:style>
  <w:style w:type="paragraph" w:customStyle="1" w:styleId="ACLargeLogo">
    <w:name w:val="AC_LargeLogo"/>
    <w:basedOn w:val="AFCorNNormal"/>
    <w:next w:val="AISpacer"/>
    <w:unhideWhenUsed/>
    <w:rsid w:val="00D25E19"/>
    <w:pPr>
      <w:spacing w:before="120"/>
      <w:contextualSpacing/>
    </w:pPr>
    <w:rPr>
      <w:sz w:val="8"/>
    </w:rPr>
  </w:style>
  <w:style w:type="paragraph" w:customStyle="1" w:styleId="AEDistrNormal6pt">
    <w:name w:val="AE_DistrNormal6pt"/>
    <w:basedOn w:val="AEDistrNormal"/>
    <w:next w:val="AFCorNNormal"/>
    <w:unhideWhenUsed/>
    <w:qFormat/>
    <w:rsid w:val="00D25E19"/>
    <w:pPr>
      <w:spacing w:before="120"/>
    </w:pPr>
  </w:style>
  <w:style w:type="paragraph" w:customStyle="1" w:styleId="AENormal">
    <w:name w:val="AE_Normal"/>
    <w:basedOn w:val="Normal"/>
    <w:rsid w:val="00D25E19"/>
  </w:style>
  <w:style w:type="paragraph" w:customStyle="1" w:styleId="AFCorNot12Bold">
    <w:name w:val="AF_CorNot12Bold"/>
    <w:basedOn w:val="AFCorNotNormal"/>
    <w:next w:val="AFCorNotNormal"/>
    <w:unhideWhenUsed/>
    <w:qFormat/>
    <w:rsid w:val="00B93533"/>
    <w:pPr>
      <w:jc w:val="left"/>
    </w:pPr>
    <w:rPr>
      <w:b/>
      <w:sz w:val="24"/>
    </w:rPr>
  </w:style>
  <w:style w:type="paragraph" w:customStyle="1" w:styleId="AFCorNotBold">
    <w:name w:val="AF_CorNotBold"/>
    <w:basedOn w:val="AFCorNotNormal"/>
    <w:next w:val="AFCorNotNormal"/>
    <w:unhideWhenUsed/>
    <w:qFormat/>
    <w:rsid w:val="00B93533"/>
    <w:rPr>
      <w:b/>
    </w:rPr>
  </w:style>
  <w:style w:type="paragraph" w:customStyle="1" w:styleId="AISpacer">
    <w:name w:val="AI_Spacer"/>
    <w:next w:val="Normal"/>
    <w:unhideWhenUsed/>
    <w:qFormat/>
    <w:rsid w:val="00D25E19"/>
    <w:pPr>
      <w:spacing w:after="0" w:line="240" w:lineRule="auto"/>
    </w:pPr>
    <w:rPr>
      <w:rFonts w:ascii="Times New Roman" w:eastAsia="SimSun" w:hAnsi="Times New Roman" w:cs="Times New Roman"/>
      <w:kern w:val="0"/>
      <w:sz w:val="2"/>
      <w14:ligatures w14:val="none"/>
    </w:rPr>
  </w:style>
  <w:style w:type="paragraph" w:customStyle="1" w:styleId="CBDAgendaItem">
    <w:name w:val="CBD_AgendaItem"/>
    <w:basedOn w:val="Normal"/>
    <w:qFormat/>
    <w:rsid w:val="00D25E19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Normal">
    <w:name w:val="CBD_Normal"/>
    <w:unhideWhenUsed/>
    <w:qFormat/>
    <w:rsid w:val="00D25E1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CBDAnnex">
    <w:name w:val="CBD_Annex"/>
    <w:basedOn w:val="CBDNormal"/>
    <w:next w:val="CBDTitle"/>
    <w:qFormat/>
    <w:rsid w:val="00D25E19"/>
    <w:pPr>
      <w:keepNext/>
      <w:keepLines/>
      <w:spacing w:after="240"/>
      <w:jc w:val="left"/>
    </w:pPr>
    <w:rPr>
      <w:b/>
      <w:sz w:val="28"/>
      <w:lang w:bidi="ar-SY"/>
    </w:rPr>
  </w:style>
  <w:style w:type="paragraph" w:customStyle="1" w:styleId="CBDDesicionAnnex">
    <w:name w:val="CBD_DesicionAnnex"/>
    <w:basedOn w:val="CBDNormal"/>
    <w:next w:val="CBDDesicionText"/>
    <w:qFormat/>
    <w:rsid w:val="00D25E19"/>
    <w:pPr>
      <w:keepNext/>
      <w:keepLines/>
      <w:tabs>
        <w:tab w:val="clear" w:pos="567"/>
        <w:tab w:val="clear" w:pos="1134"/>
        <w:tab w:val="clear" w:pos="1701"/>
        <w:tab w:val="clear" w:pos="2268"/>
      </w:tabs>
      <w:spacing w:before="240" w:after="120"/>
      <w:ind w:left="567"/>
      <w:jc w:val="left"/>
    </w:pPr>
    <w:rPr>
      <w:rFonts w:ascii="Times New Roman Bold" w:hAnsi="Times New Roman Bold" w:cs="Times New Roman Bold"/>
      <w:bCs/>
      <w:sz w:val="24"/>
    </w:rPr>
  </w:style>
  <w:style w:type="paragraph" w:customStyle="1" w:styleId="CBDDesicionText">
    <w:name w:val="CBD_DesicionText"/>
    <w:basedOn w:val="CBDNormal"/>
    <w:qFormat/>
    <w:rsid w:val="00D25E19"/>
    <w:pPr>
      <w:spacing w:after="120"/>
      <w:ind w:left="567" w:firstLine="567"/>
    </w:pPr>
  </w:style>
  <w:style w:type="paragraph" w:customStyle="1" w:styleId="CBDFigureTitle">
    <w:name w:val="CBD_FigureTitle"/>
    <w:basedOn w:val="CBDNormal"/>
    <w:next w:val="CBDNormalNoNumber"/>
    <w:qFormat/>
    <w:rsid w:val="00D25E19"/>
    <w:pPr>
      <w:keepNext/>
      <w:keepLines/>
      <w:spacing w:before="120" w:after="60"/>
      <w:ind w:left="567"/>
      <w:jc w:val="left"/>
    </w:pPr>
    <w:rPr>
      <w:b/>
    </w:rPr>
  </w:style>
  <w:style w:type="paragraph" w:customStyle="1" w:styleId="CBDFooter">
    <w:name w:val="CBD_Footer"/>
    <w:basedOn w:val="CBDNormal"/>
    <w:qFormat/>
    <w:rsid w:val="00D25E19"/>
    <w:rPr>
      <w:sz w:val="20"/>
    </w:rPr>
  </w:style>
  <w:style w:type="paragraph" w:customStyle="1" w:styleId="CBDFootnoteText">
    <w:name w:val="CBD_Footnote_Text"/>
    <w:basedOn w:val="CBDNormal"/>
    <w:qFormat/>
    <w:rsid w:val="00D25E19"/>
    <w:pPr>
      <w:jc w:val="left"/>
    </w:pPr>
    <w:rPr>
      <w:sz w:val="18"/>
    </w:rPr>
  </w:style>
  <w:style w:type="paragraph" w:customStyle="1" w:styleId="CBDH1">
    <w:name w:val="CBD_H1"/>
    <w:basedOn w:val="CBDNormal"/>
    <w:qFormat/>
    <w:rsid w:val="00D25E19"/>
    <w:pPr>
      <w:keepNext/>
      <w:keepLines/>
      <w:spacing w:before="240" w:after="120"/>
      <w:ind w:left="567" w:hanging="567"/>
      <w:jc w:val="left"/>
      <w:outlineLvl w:val="0"/>
    </w:pPr>
    <w:rPr>
      <w:b/>
      <w:sz w:val="28"/>
    </w:rPr>
  </w:style>
  <w:style w:type="paragraph" w:customStyle="1" w:styleId="CBDNormalNumber">
    <w:name w:val="CBD_Normal_Number"/>
    <w:basedOn w:val="CBDNormal"/>
    <w:qFormat/>
    <w:rsid w:val="00D25E19"/>
    <w:pPr>
      <w:numPr>
        <w:numId w:val="1"/>
      </w:numPr>
      <w:tabs>
        <w:tab w:val="left" w:pos="3969"/>
      </w:tabs>
      <w:spacing w:before="120" w:after="120"/>
    </w:pPr>
  </w:style>
  <w:style w:type="paragraph" w:customStyle="1" w:styleId="CBDH2">
    <w:name w:val="CBD_H2"/>
    <w:basedOn w:val="CBDNormalNumber"/>
    <w:qFormat/>
    <w:rsid w:val="00D25E19"/>
    <w:pPr>
      <w:keepNext/>
      <w:keepLines/>
      <w:numPr>
        <w:numId w:val="0"/>
      </w:numPr>
      <w:ind w:left="567" w:hanging="567"/>
    </w:pPr>
    <w:rPr>
      <w:b/>
      <w:sz w:val="24"/>
    </w:rPr>
  </w:style>
  <w:style w:type="paragraph" w:customStyle="1" w:styleId="CBDH3">
    <w:name w:val="CBD_H3"/>
    <w:basedOn w:val="CBDNormal"/>
    <w:qFormat/>
    <w:rsid w:val="00D25E19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4">
    <w:name w:val="CBD_H4"/>
    <w:basedOn w:val="CBDNormal"/>
    <w:rsid w:val="00D25E19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5">
    <w:name w:val="CBD_H5"/>
    <w:basedOn w:val="CBDNormal"/>
    <w:qFormat/>
    <w:rsid w:val="00D25E19"/>
    <w:pPr>
      <w:keepNext/>
      <w:keepLines/>
      <w:spacing w:before="120" w:after="120"/>
      <w:ind w:left="567" w:hanging="567"/>
      <w:jc w:val="left"/>
    </w:pPr>
    <w:rPr>
      <w:i/>
    </w:rPr>
  </w:style>
  <w:style w:type="paragraph" w:customStyle="1" w:styleId="CBDHeader">
    <w:name w:val="CBD_Header"/>
    <w:basedOn w:val="CBDNormal"/>
    <w:next w:val="CBDFooter"/>
    <w:qFormat/>
    <w:rsid w:val="00D25E19"/>
    <w:pPr>
      <w:pBdr>
        <w:bottom w:val="single" w:sz="4" w:space="1" w:color="auto"/>
      </w:pBdr>
      <w:tabs>
        <w:tab w:val="center" w:pos="4678"/>
        <w:tab w:val="right" w:pos="9361"/>
      </w:tabs>
      <w:jc w:val="left"/>
    </w:pPr>
    <w:rPr>
      <w:sz w:val="20"/>
      <w:szCs w:val="20"/>
    </w:rPr>
  </w:style>
  <w:style w:type="numbering" w:customStyle="1" w:styleId="ListCBD">
    <w:name w:val="ListCBD"/>
    <w:basedOn w:val="NoList"/>
    <w:uiPriority w:val="99"/>
    <w:rsid w:val="00D25E19"/>
    <w:pPr>
      <w:numPr>
        <w:numId w:val="2"/>
      </w:numPr>
    </w:pPr>
  </w:style>
  <w:style w:type="numbering" w:customStyle="1" w:styleId="CBDHeadings">
    <w:name w:val="CBD_Headings"/>
    <w:basedOn w:val="ListCBD"/>
    <w:uiPriority w:val="99"/>
    <w:rsid w:val="00D25E19"/>
    <w:pPr>
      <w:numPr>
        <w:numId w:val="3"/>
      </w:numPr>
    </w:pPr>
  </w:style>
  <w:style w:type="paragraph" w:customStyle="1" w:styleId="CBDNormalNoNumber">
    <w:name w:val="CBD_Normal_NoNumber"/>
    <w:basedOn w:val="CBDNormal"/>
    <w:qFormat/>
    <w:rsid w:val="00D25E19"/>
    <w:pPr>
      <w:spacing w:after="120"/>
      <w:ind w:left="567"/>
    </w:pPr>
  </w:style>
  <w:style w:type="paragraph" w:customStyle="1" w:styleId="CBDSubTitle">
    <w:name w:val="CBD_SubTitle"/>
    <w:basedOn w:val="CBDNormal"/>
    <w:qFormat/>
    <w:rsid w:val="00D25E19"/>
    <w:pPr>
      <w:keepNext/>
      <w:keepLines/>
      <w:spacing w:before="240" w:after="240"/>
      <w:ind w:left="567"/>
      <w:jc w:val="left"/>
    </w:pPr>
    <w:rPr>
      <w:b/>
    </w:rPr>
  </w:style>
  <w:style w:type="paragraph" w:customStyle="1" w:styleId="CBDTableNormal">
    <w:name w:val="CBD_TableNormal"/>
    <w:basedOn w:val="CBDNormal"/>
    <w:qFormat/>
    <w:rsid w:val="00D25E19"/>
    <w:pPr>
      <w:spacing w:before="40" w:after="80"/>
      <w:jc w:val="left"/>
    </w:pPr>
    <w:rPr>
      <w:sz w:val="20"/>
    </w:rPr>
  </w:style>
  <w:style w:type="paragraph" w:customStyle="1" w:styleId="CBDTableTitle">
    <w:name w:val="CBD_TableTitle"/>
    <w:basedOn w:val="CBDNormal"/>
    <w:qFormat/>
    <w:rsid w:val="00D25E19"/>
    <w:pPr>
      <w:keepNext/>
      <w:keepLines/>
      <w:spacing w:before="120" w:after="60"/>
      <w:ind w:left="567"/>
      <w:jc w:val="left"/>
    </w:pPr>
    <w:rPr>
      <w:b/>
    </w:rPr>
  </w:style>
  <w:style w:type="paragraph" w:customStyle="1" w:styleId="CBDTitle">
    <w:name w:val="CBD_Title"/>
    <w:basedOn w:val="CBDNormal"/>
    <w:next w:val="CBDSubTitle"/>
    <w:qFormat/>
    <w:rsid w:val="00D25E19"/>
    <w:pPr>
      <w:keepNext/>
      <w:keepLines/>
      <w:spacing w:before="240" w:after="240"/>
      <w:ind w:left="567"/>
      <w:jc w:val="left"/>
    </w:pPr>
    <w:rPr>
      <w:b/>
      <w:sz w:val="28"/>
    </w:rPr>
  </w:style>
  <w:style w:type="character" w:customStyle="1" w:styleId="Heading6Char">
    <w:name w:val="Heading 6 Char"/>
    <w:basedOn w:val="DefaultParagraphFont"/>
    <w:link w:val="Heading6"/>
    <w:semiHidden/>
    <w:rsid w:val="00D25E19"/>
    <w:rPr>
      <w:rFonts w:ascii="Times New Roman" w:eastAsia="SimSun" w:hAnsi="Times New Roman" w:cs="Times New Roman"/>
      <w:bCs/>
      <w:kern w:val="0"/>
      <w:sz w:val="24"/>
      <w:lang w:val="es-E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D25E19"/>
    <w:rPr>
      <w:rFonts w:ascii="Times New Roman" w:eastAsia="SimSun" w:hAnsi="Times New Roman" w:cs="Times New Roman"/>
      <w:b/>
      <w:snapToGrid w:val="0"/>
      <w:kern w:val="0"/>
      <w:u w:val="single"/>
      <w:lang w:val="es-E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D25E19"/>
    <w:rPr>
      <w:rFonts w:ascii="Times New Roman" w:eastAsia="SimSun" w:hAnsi="Times New Roman" w:cs="Times New Roman"/>
      <w:b/>
      <w:snapToGrid w:val="0"/>
      <w:kern w:val="0"/>
      <w:u w:val="single"/>
      <w:lang w:val="es-E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D25E19"/>
    <w:rPr>
      <w:rFonts w:ascii="Times New Roman" w:eastAsia="SimSun" w:hAnsi="Times New Roman" w:cs="Times New Roman"/>
      <w:snapToGrid w:val="0"/>
      <w:kern w:val="0"/>
      <w:u w:val="single"/>
      <w:lang w:val="es-ES"/>
      <w14:ligatures w14:val="none"/>
    </w:rPr>
  </w:style>
  <w:style w:type="character" w:styleId="Hyperlink">
    <w:name w:val="Hyperlink"/>
    <w:basedOn w:val="DefaultParagraphFont"/>
    <w:uiPriority w:val="99"/>
    <w:unhideWhenUsed/>
    <w:rsid w:val="00D25E19"/>
    <w:rPr>
      <w:rFonts w:ascii="Times New Roman" w:hAnsi="Times New Roman"/>
      <w:color w:val="0563C1" w:themeColor="hyperlink"/>
      <w:u w:val="single"/>
      <w:lang w:val="es-ES"/>
    </w:rPr>
  </w:style>
  <w:style w:type="paragraph" w:styleId="List">
    <w:name w:val="List"/>
    <w:basedOn w:val="Normal"/>
    <w:semiHidden/>
    <w:rsid w:val="00D25E19"/>
    <w:pPr>
      <w:contextualSpacing/>
    </w:pPr>
  </w:style>
  <w:style w:type="paragraph" w:styleId="ListParagraph">
    <w:name w:val="List Paragraph"/>
    <w:basedOn w:val="Normal"/>
    <w:uiPriority w:val="34"/>
    <w:qFormat/>
    <w:rsid w:val="00D25E19"/>
    <w:pPr>
      <w:ind w:left="720"/>
      <w:contextualSpacing/>
    </w:pPr>
  </w:style>
  <w:style w:type="paragraph" w:styleId="Revision">
    <w:name w:val="Revision"/>
    <w:hidden/>
    <w:uiPriority w:val="99"/>
    <w:semiHidden/>
    <w:rsid w:val="00D25E19"/>
    <w:pPr>
      <w:spacing w:after="0" w:line="240" w:lineRule="auto"/>
    </w:pPr>
    <w:rPr>
      <w:rFonts w:ascii="Simplified Arabic" w:eastAsia="Times New Roman" w:hAnsi="Simplified Arabic" w:cs="Simplified Arabic"/>
      <w:noProof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44F04"/>
    <w:rPr>
      <w:color w:val="954F72" w:themeColor="followedHyperlink"/>
      <w:u w:val="single"/>
      <w:lang w:val="es-ES"/>
    </w:rPr>
  </w:style>
  <w:style w:type="paragraph" w:customStyle="1" w:styleId="AFCorNNormal">
    <w:name w:val="AF_CorNNormal"/>
    <w:basedOn w:val="Normal"/>
    <w:unhideWhenUsed/>
    <w:rsid w:val="00D25E19"/>
    <w:pPr>
      <w:jc w:val="left"/>
    </w:pPr>
  </w:style>
  <w:style w:type="paragraph" w:customStyle="1" w:styleId="AFCorNBold">
    <w:name w:val="AF_CorNBold"/>
    <w:basedOn w:val="AFCorNNormal"/>
    <w:next w:val="AFCorNNormal"/>
    <w:unhideWhenUsed/>
    <w:qFormat/>
    <w:rsid w:val="00D25E19"/>
    <w:rPr>
      <w:b/>
    </w:rPr>
  </w:style>
  <w:style w:type="paragraph" w:customStyle="1" w:styleId="AFCorN12Bold">
    <w:name w:val="AF_CorN12Bold"/>
    <w:basedOn w:val="AFCorNNormal"/>
    <w:next w:val="AFCorNNormal"/>
    <w:unhideWhenUsed/>
    <w:qFormat/>
    <w:rsid w:val="00D25E19"/>
    <w:rPr>
      <w:b/>
      <w:sz w:val="24"/>
    </w:rPr>
  </w:style>
  <w:style w:type="paragraph" w:customStyle="1" w:styleId="DarkList-Accent31">
    <w:name w:val="Dark List - Accent 31"/>
    <w:hidden/>
    <w:uiPriority w:val="99"/>
    <w:semiHidden/>
    <w:rsid w:val="00D25E19"/>
    <w:pPr>
      <w:spacing w:after="0" w:line="240" w:lineRule="auto"/>
    </w:pPr>
    <w:rPr>
      <w:rFonts w:ascii="Times New Roman" w:eastAsia="SimSun" w:hAnsi="Times New Roman" w:cs="Times New Roman"/>
      <w:kern w:val="0"/>
      <w:lang w:eastAsia="en-GB"/>
      <w14:ligatures w14:val="none"/>
    </w:rPr>
  </w:style>
  <w:style w:type="paragraph" w:styleId="TOC1">
    <w:name w:val="toc 1"/>
    <w:basedOn w:val="CBDNormal"/>
    <w:next w:val="Normal"/>
    <w:autoRedefine/>
    <w:uiPriority w:val="39"/>
    <w:unhideWhenUsed/>
    <w:rsid w:val="00D25E19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right" w:leader="dot" w:pos="9486"/>
      </w:tabs>
      <w:adjustRightInd w:val="0"/>
      <w:snapToGrid w:val="0"/>
      <w:spacing w:before="240"/>
      <w:ind w:left="1984" w:hanging="737"/>
      <w:jc w:val="left"/>
    </w:pPr>
    <w:rPr>
      <w:rFonts w:eastAsia="Times New Roman"/>
      <w:bCs/>
      <w:szCs w:val="20"/>
    </w:rPr>
  </w:style>
  <w:style w:type="paragraph" w:styleId="TOC2">
    <w:name w:val="toc 2"/>
    <w:basedOn w:val="CBDNormal"/>
    <w:next w:val="Normal"/>
    <w:uiPriority w:val="39"/>
    <w:unhideWhenUsed/>
    <w:rsid w:val="00D25E19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right" w:leader="dot" w:pos="9486"/>
      </w:tabs>
      <w:adjustRightInd w:val="0"/>
      <w:snapToGrid w:val="0"/>
      <w:spacing w:before="60"/>
      <w:ind w:left="2608" w:hanging="737"/>
      <w:jc w:val="left"/>
    </w:pPr>
    <w:rPr>
      <w:rFonts w:eastAsia="Times New Roman"/>
      <w:szCs w:val="20"/>
    </w:rPr>
  </w:style>
  <w:style w:type="paragraph" w:styleId="TOC3">
    <w:name w:val="toc 3"/>
    <w:basedOn w:val="CBDNormal"/>
    <w:next w:val="Normal"/>
    <w:uiPriority w:val="39"/>
    <w:unhideWhenUsed/>
    <w:rsid w:val="00D25E19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right" w:leader="dot" w:pos="9486"/>
      </w:tabs>
      <w:adjustRightInd w:val="0"/>
      <w:snapToGrid w:val="0"/>
      <w:ind w:left="3232" w:hanging="737"/>
      <w:jc w:val="left"/>
    </w:pPr>
    <w:rPr>
      <w:rFonts w:eastAsia="Times New Roman"/>
      <w:iCs/>
      <w:szCs w:val="20"/>
    </w:rPr>
  </w:style>
  <w:style w:type="paragraph" w:styleId="TOC4">
    <w:name w:val="toc 4"/>
    <w:basedOn w:val="CBDNormal"/>
    <w:next w:val="Normal"/>
    <w:uiPriority w:val="39"/>
    <w:unhideWhenUsed/>
    <w:rsid w:val="00D25E19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000"/>
        <w:tab w:val="left" w:pos="1247"/>
        <w:tab w:val="left" w:pos="1871"/>
        <w:tab w:val="left" w:pos="2495"/>
        <w:tab w:val="left" w:pos="3119"/>
        <w:tab w:val="left" w:pos="3742"/>
        <w:tab w:val="right" w:leader="dot" w:pos="9486"/>
      </w:tabs>
      <w:adjustRightInd w:val="0"/>
      <w:snapToGrid w:val="0"/>
      <w:ind w:left="3856" w:hanging="737"/>
      <w:jc w:val="left"/>
    </w:pPr>
    <w:rPr>
      <w:rFonts w:eastAsia="Times New Roman"/>
      <w:szCs w:val="18"/>
    </w:rPr>
  </w:style>
  <w:style w:type="paragraph" w:styleId="TOC5">
    <w:name w:val="toc 5"/>
    <w:basedOn w:val="CBDNormal"/>
    <w:next w:val="Normal"/>
    <w:uiPriority w:val="39"/>
    <w:rsid w:val="00D25E19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adjustRightInd w:val="0"/>
      <w:snapToGrid w:val="0"/>
      <w:ind w:left="4479" w:hanging="737"/>
      <w:jc w:val="left"/>
    </w:pPr>
    <w:rPr>
      <w:rFonts w:eastAsia="Times New Roman"/>
      <w:szCs w:val="18"/>
    </w:rPr>
  </w:style>
  <w:style w:type="paragraph" w:styleId="TOC6">
    <w:name w:val="toc 6"/>
    <w:basedOn w:val="Normal"/>
    <w:next w:val="Normal"/>
    <w:semiHidden/>
    <w:rsid w:val="00D25E19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000"/>
      <w:jc w:val="left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D25E19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200"/>
      <w:jc w:val="left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D25E19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400"/>
      <w:jc w:val="left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D25E19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600"/>
      <w:jc w:val="left"/>
    </w:pPr>
    <w:rPr>
      <w:rFonts w:eastAsia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E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E19"/>
    <w:rPr>
      <w:rFonts w:ascii="Segoe UI" w:eastAsia="SimSun" w:hAnsi="Segoe UI" w:cs="Segoe UI"/>
      <w:kern w:val="0"/>
      <w:sz w:val="18"/>
      <w:szCs w:val="18"/>
      <w:lang w:val="es-ES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D25E19"/>
  </w:style>
  <w:style w:type="paragraph" w:styleId="BlockText">
    <w:name w:val="Block Text"/>
    <w:basedOn w:val="Normal"/>
    <w:uiPriority w:val="99"/>
    <w:semiHidden/>
    <w:unhideWhenUsed/>
    <w:rsid w:val="00D25E1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25E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25E19"/>
    <w:rPr>
      <w:rFonts w:ascii="Times New Roman" w:eastAsia="SimSun" w:hAnsi="Times New Roman" w:cs="Times New Roman"/>
      <w:kern w:val="0"/>
      <w:lang w:val="es-E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25E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25E19"/>
    <w:rPr>
      <w:rFonts w:ascii="Times New Roman" w:eastAsia="SimSun" w:hAnsi="Times New Roman" w:cs="Times New Roman"/>
      <w:kern w:val="0"/>
      <w:sz w:val="16"/>
      <w:szCs w:val="16"/>
      <w:lang w:val="es-E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25E19"/>
    <w:pPr>
      <w:spacing w:after="0" w:line="240" w:lineRule="auto"/>
      <w:ind w:firstLine="360"/>
      <w:jc w:val="both"/>
    </w:pPr>
    <w:rPr>
      <w:rFonts w:ascii="Times New Roman" w:eastAsia="SimSun" w:hAnsi="Times New Roman" w:cs="Times New Roman"/>
      <w:kern w:val="0"/>
      <w14:ligatures w14:val="none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25E19"/>
    <w:rPr>
      <w:rFonts w:ascii="Times New Roman" w:eastAsia="SimSun" w:hAnsi="Times New Roman" w:cs="Times New Roman"/>
      <w:kern w:val="0"/>
      <w:lang w:val="es-E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25E1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25E19"/>
    <w:rPr>
      <w:rFonts w:ascii="Times New Roman" w:eastAsia="SimSun" w:hAnsi="Times New Roman" w:cs="Times New Roman"/>
      <w:kern w:val="0"/>
      <w:lang w:val="es-E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25E1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25E19"/>
    <w:rPr>
      <w:rFonts w:ascii="Times New Roman" w:eastAsia="SimSun" w:hAnsi="Times New Roman" w:cs="Times New Roman"/>
      <w:kern w:val="0"/>
      <w:lang w:val="es-E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25E1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25E19"/>
    <w:rPr>
      <w:rFonts w:ascii="Times New Roman" w:eastAsia="SimSun" w:hAnsi="Times New Roman" w:cs="Times New Roman"/>
      <w:kern w:val="0"/>
      <w:lang w:val="es-E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25E1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25E19"/>
    <w:rPr>
      <w:rFonts w:ascii="Times New Roman" w:eastAsia="SimSun" w:hAnsi="Times New Roman" w:cs="Times New Roman"/>
      <w:kern w:val="0"/>
      <w:sz w:val="16"/>
      <w:szCs w:val="16"/>
      <w:lang w:val="es-ES"/>
      <w14:ligatures w14:val="none"/>
    </w:rPr>
  </w:style>
  <w:style w:type="character" w:styleId="BookTitle">
    <w:name w:val="Book Title"/>
    <w:basedOn w:val="DefaultParagraphFont"/>
    <w:uiPriority w:val="33"/>
    <w:qFormat/>
    <w:rsid w:val="00D25E19"/>
    <w:rPr>
      <w:b/>
      <w:bCs/>
      <w:i/>
      <w:iCs/>
      <w:spacing w:val="5"/>
      <w:lang w:val="es-E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5E19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25E1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25E19"/>
    <w:rPr>
      <w:rFonts w:ascii="Times New Roman" w:eastAsia="SimSun" w:hAnsi="Times New Roman" w:cs="Times New Roman"/>
      <w:kern w:val="0"/>
      <w:lang w:val="es-ES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D25E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25E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25E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25E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25E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25E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25E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25E19"/>
  </w:style>
  <w:style w:type="character" w:customStyle="1" w:styleId="DateChar">
    <w:name w:val="Date Char"/>
    <w:basedOn w:val="DefaultParagraphFont"/>
    <w:link w:val="Date"/>
    <w:uiPriority w:val="99"/>
    <w:semiHidden/>
    <w:rsid w:val="00D25E19"/>
    <w:rPr>
      <w:rFonts w:ascii="Times New Roman" w:eastAsia="SimSun" w:hAnsi="Times New Roman" w:cs="Times New Roman"/>
      <w:kern w:val="0"/>
      <w:lang w:val="es-E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25E1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25E19"/>
    <w:rPr>
      <w:rFonts w:ascii="Segoe UI" w:eastAsia="SimSun" w:hAnsi="Segoe UI" w:cs="Segoe UI"/>
      <w:kern w:val="0"/>
      <w:sz w:val="16"/>
      <w:szCs w:val="16"/>
      <w:lang w:val="es-ES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25E1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25E19"/>
    <w:rPr>
      <w:rFonts w:ascii="Times New Roman" w:eastAsia="SimSun" w:hAnsi="Times New Roman" w:cs="Times New Roman"/>
      <w:kern w:val="0"/>
      <w:lang w:val="es-ES"/>
      <w14:ligatures w14:val="none"/>
    </w:rPr>
  </w:style>
  <w:style w:type="character" w:styleId="Emphasis">
    <w:name w:val="Emphasis"/>
    <w:basedOn w:val="DefaultParagraphFont"/>
    <w:uiPriority w:val="20"/>
    <w:qFormat/>
    <w:rsid w:val="00D25E19"/>
    <w:rPr>
      <w:i/>
      <w:iCs/>
      <w:lang w:val="es-ES"/>
    </w:rPr>
  </w:style>
  <w:style w:type="character" w:styleId="EndnoteReference">
    <w:name w:val="endnote reference"/>
    <w:basedOn w:val="DefaultParagraphFont"/>
    <w:uiPriority w:val="99"/>
    <w:semiHidden/>
    <w:unhideWhenUsed/>
    <w:rsid w:val="00D25E19"/>
    <w:rPr>
      <w:vertAlign w:val="superscript"/>
      <w:lang w:val="es-E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5E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5E19"/>
    <w:rPr>
      <w:rFonts w:ascii="Times New Roman" w:eastAsia="SimSun" w:hAnsi="Times New Roman" w:cs="Times New Roman"/>
      <w:kern w:val="0"/>
      <w:sz w:val="20"/>
      <w:szCs w:val="20"/>
      <w:lang w:val="es-E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D25E1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25E19"/>
    <w:rPr>
      <w:rFonts w:asciiTheme="majorHAnsi" w:eastAsiaTheme="majorEastAsia" w:hAnsiTheme="majorHAnsi" w:cstheme="majorBidi"/>
      <w:sz w:val="20"/>
      <w:szCs w:val="20"/>
    </w:rPr>
  </w:style>
  <w:style w:type="table" w:styleId="GridTable1Light">
    <w:name w:val="Grid Table 1 Light"/>
    <w:basedOn w:val="TableNormal"/>
    <w:uiPriority w:val="46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25E1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25E1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25E1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25E1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25E1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25E1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25E1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25E1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25E1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25E1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25E1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25E1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25E1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25E1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25E1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25E1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25E1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25E1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25E1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25E19"/>
    <w:rPr>
      <w:color w:val="2B579A"/>
      <w:shd w:val="clear" w:color="auto" w:fill="E1DFDD"/>
      <w:lang w:val="es-ES"/>
    </w:rPr>
  </w:style>
  <w:style w:type="character" w:styleId="HTMLAcronym">
    <w:name w:val="HTML Acronym"/>
    <w:basedOn w:val="DefaultParagraphFont"/>
    <w:uiPriority w:val="99"/>
    <w:semiHidden/>
    <w:unhideWhenUsed/>
    <w:rsid w:val="00D25E19"/>
    <w:rPr>
      <w:lang w:val="es-E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25E1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25E19"/>
    <w:rPr>
      <w:rFonts w:ascii="Times New Roman" w:eastAsia="SimSun" w:hAnsi="Times New Roman" w:cs="Times New Roman"/>
      <w:i/>
      <w:iCs/>
      <w:kern w:val="0"/>
      <w:lang w:val="es-E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D25E19"/>
    <w:rPr>
      <w:i/>
      <w:iCs/>
      <w:lang w:val="es-ES"/>
    </w:rPr>
  </w:style>
  <w:style w:type="character" w:styleId="HTMLCode">
    <w:name w:val="HTML Code"/>
    <w:basedOn w:val="DefaultParagraphFont"/>
    <w:uiPriority w:val="99"/>
    <w:semiHidden/>
    <w:unhideWhenUsed/>
    <w:rsid w:val="00D25E19"/>
    <w:rPr>
      <w:rFonts w:ascii="Consolas" w:hAnsi="Consolas"/>
      <w:sz w:val="20"/>
      <w:szCs w:val="20"/>
      <w:lang w:val="es-ES"/>
    </w:rPr>
  </w:style>
  <w:style w:type="character" w:styleId="HTMLDefinition">
    <w:name w:val="HTML Definition"/>
    <w:basedOn w:val="DefaultParagraphFont"/>
    <w:uiPriority w:val="99"/>
    <w:semiHidden/>
    <w:unhideWhenUsed/>
    <w:rsid w:val="00D25E19"/>
    <w:rPr>
      <w:i/>
      <w:iCs/>
      <w:lang w:val="es-ES"/>
    </w:rPr>
  </w:style>
  <w:style w:type="character" w:styleId="HTMLKeyboard">
    <w:name w:val="HTML Keyboard"/>
    <w:basedOn w:val="DefaultParagraphFont"/>
    <w:uiPriority w:val="99"/>
    <w:semiHidden/>
    <w:unhideWhenUsed/>
    <w:rsid w:val="00D25E19"/>
    <w:rPr>
      <w:rFonts w:ascii="Consolas" w:hAnsi="Consolas"/>
      <w:sz w:val="20"/>
      <w:szCs w:val="20"/>
      <w:lang w:val="es-E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5E1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5E19"/>
    <w:rPr>
      <w:rFonts w:ascii="Consolas" w:eastAsia="SimSun" w:hAnsi="Consolas" w:cs="Times New Roman"/>
      <w:kern w:val="0"/>
      <w:sz w:val="20"/>
      <w:szCs w:val="20"/>
      <w:lang w:val="es-ES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D25E19"/>
    <w:rPr>
      <w:rFonts w:ascii="Consolas" w:hAnsi="Consolas"/>
      <w:sz w:val="24"/>
      <w:szCs w:val="24"/>
      <w:lang w:val="es-ES"/>
    </w:rPr>
  </w:style>
  <w:style w:type="character" w:styleId="HTMLTypewriter">
    <w:name w:val="HTML Typewriter"/>
    <w:basedOn w:val="DefaultParagraphFont"/>
    <w:uiPriority w:val="99"/>
    <w:semiHidden/>
    <w:unhideWhenUsed/>
    <w:rsid w:val="00D25E19"/>
    <w:rPr>
      <w:rFonts w:ascii="Consolas" w:hAnsi="Consolas"/>
      <w:sz w:val="20"/>
      <w:szCs w:val="20"/>
      <w:lang w:val="es-ES"/>
    </w:rPr>
  </w:style>
  <w:style w:type="character" w:styleId="HTMLVariable">
    <w:name w:val="HTML Variable"/>
    <w:basedOn w:val="DefaultParagraphFont"/>
    <w:uiPriority w:val="99"/>
    <w:semiHidden/>
    <w:unhideWhenUsed/>
    <w:rsid w:val="00D25E19"/>
    <w:rPr>
      <w:i/>
      <w:iCs/>
      <w:lang w:val="es-E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25E19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25E19"/>
    <w:pPr>
      <w:tabs>
        <w:tab w:val="clear" w:pos="567"/>
        <w:tab w:val="clear" w:pos="1134"/>
        <w:tab w:val="clear" w:pos="1701"/>
        <w:tab w:val="clear" w:pos="2268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25E19"/>
    <w:pPr>
      <w:tabs>
        <w:tab w:val="clear" w:pos="567"/>
        <w:tab w:val="clear" w:pos="1134"/>
        <w:tab w:val="clear" w:pos="1701"/>
        <w:tab w:val="clear" w:pos="2268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25E19"/>
    <w:pPr>
      <w:tabs>
        <w:tab w:val="clear" w:pos="567"/>
        <w:tab w:val="clear" w:pos="1134"/>
        <w:tab w:val="clear" w:pos="1701"/>
        <w:tab w:val="clear" w:pos="2268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25E19"/>
    <w:pPr>
      <w:tabs>
        <w:tab w:val="clear" w:pos="567"/>
        <w:tab w:val="clear" w:pos="1134"/>
        <w:tab w:val="clear" w:pos="1701"/>
        <w:tab w:val="clear" w:pos="2268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25E19"/>
    <w:pPr>
      <w:tabs>
        <w:tab w:val="clear" w:pos="567"/>
        <w:tab w:val="clear" w:pos="1134"/>
        <w:tab w:val="clear" w:pos="1701"/>
        <w:tab w:val="clear" w:pos="2268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25E19"/>
    <w:pPr>
      <w:tabs>
        <w:tab w:val="clear" w:pos="567"/>
        <w:tab w:val="clear" w:pos="1134"/>
        <w:tab w:val="clear" w:pos="1701"/>
        <w:tab w:val="clear" w:pos="2268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25E19"/>
    <w:pPr>
      <w:tabs>
        <w:tab w:val="clear" w:pos="567"/>
        <w:tab w:val="clear" w:pos="1134"/>
        <w:tab w:val="clear" w:pos="1701"/>
        <w:tab w:val="clear" w:pos="2268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25E19"/>
    <w:pPr>
      <w:tabs>
        <w:tab w:val="clear" w:pos="567"/>
        <w:tab w:val="clear" w:pos="1134"/>
        <w:tab w:val="clear" w:pos="1701"/>
        <w:tab w:val="clear" w:pos="2268"/>
      </w:tabs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25E1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D25E19"/>
    <w:rPr>
      <w:i/>
      <w:iCs/>
      <w:color w:val="4472C4" w:themeColor="accent1"/>
      <w:lang w:val="es-E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E1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E19"/>
    <w:rPr>
      <w:rFonts w:ascii="Times New Roman" w:eastAsia="SimSun" w:hAnsi="Times New Roman" w:cs="Times New Roman"/>
      <w:i/>
      <w:iCs/>
      <w:color w:val="4472C4" w:themeColor="accent1"/>
      <w:kern w:val="0"/>
      <w:lang w:val="es-E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25E19"/>
    <w:rPr>
      <w:b/>
      <w:bCs/>
      <w:smallCaps/>
      <w:color w:val="4472C4" w:themeColor="accent1"/>
      <w:spacing w:val="5"/>
      <w:lang w:val="es-ES"/>
    </w:rPr>
  </w:style>
  <w:style w:type="table" w:styleId="LightGrid">
    <w:name w:val="Light Grid"/>
    <w:basedOn w:val="TableNormal"/>
    <w:uiPriority w:val="62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25E1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25E1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25E1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25E1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25E1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25E1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25E1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25E19"/>
    <w:rPr>
      <w:lang w:val="es-ES"/>
    </w:rPr>
  </w:style>
  <w:style w:type="paragraph" w:styleId="List2">
    <w:name w:val="List 2"/>
    <w:basedOn w:val="Normal"/>
    <w:uiPriority w:val="99"/>
    <w:semiHidden/>
    <w:unhideWhenUsed/>
    <w:rsid w:val="00D25E1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25E1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25E1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25E1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25E19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25E1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25E1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25E1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25E1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25E1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25E1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25E1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25E1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25E1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25E1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25E1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25E1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25E1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25E19"/>
    <w:pPr>
      <w:numPr>
        <w:numId w:val="14"/>
      </w:numPr>
      <w:contextualSpacing/>
    </w:pPr>
  </w:style>
  <w:style w:type="table" w:styleId="ListTable1Light">
    <w:name w:val="List Table 1 Light"/>
    <w:basedOn w:val="TableNormal"/>
    <w:uiPriority w:val="46"/>
    <w:rsid w:val="00D25E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25E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25E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25E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25E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25E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25E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25E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25E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25E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25E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25E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25E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25E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25E1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25E1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25E1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25E1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25E1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25E1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25E1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25E1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25E1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25E1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25E1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25E1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25E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SimSun" w:hAnsi="Consolas" w:cs="Times New Roman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25E19"/>
    <w:rPr>
      <w:rFonts w:ascii="Consolas" w:eastAsia="SimSun" w:hAnsi="Consolas" w:cs="Times New Roman"/>
      <w:kern w:val="0"/>
      <w:sz w:val="20"/>
      <w:szCs w:val="20"/>
      <w:lang w:val="es-ES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25E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25E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25E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25E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25E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25E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25E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25E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25E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25E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25E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25E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25E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25E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25E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25E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25E19"/>
    <w:rPr>
      <w:color w:val="2B579A"/>
      <w:shd w:val="clear" w:color="auto" w:fill="E1DFDD"/>
      <w:lang w:val="es-E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25E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25E19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es-ES"/>
      <w14:ligatures w14:val="none"/>
    </w:rPr>
  </w:style>
  <w:style w:type="paragraph" w:styleId="NoSpacing">
    <w:name w:val="No Spacing"/>
    <w:uiPriority w:val="1"/>
    <w:qFormat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25E19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25E1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25E1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25E19"/>
    <w:rPr>
      <w:rFonts w:ascii="Times New Roman" w:eastAsia="SimSun" w:hAnsi="Times New Roman" w:cs="Times New Roman"/>
      <w:kern w:val="0"/>
      <w:lang w:val="es-E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25E19"/>
    <w:rPr>
      <w:lang w:val="es-ES"/>
    </w:rPr>
  </w:style>
  <w:style w:type="table" w:styleId="PlainTable1">
    <w:name w:val="Plain Table 1"/>
    <w:basedOn w:val="TableNormal"/>
    <w:uiPriority w:val="41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25E1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25E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25E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25E1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25E1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5E19"/>
    <w:rPr>
      <w:rFonts w:ascii="Consolas" w:eastAsia="SimSun" w:hAnsi="Consolas" w:cs="Times New Roman"/>
      <w:kern w:val="0"/>
      <w:sz w:val="21"/>
      <w:szCs w:val="21"/>
      <w:lang w:val="es-E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25E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E19"/>
    <w:rPr>
      <w:rFonts w:ascii="Times New Roman" w:eastAsia="SimSun" w:hAnsi="Times New Roman" w:cs="Times New Roman"/>
      <w:i/>
      <w:iCs/>
      <w:color w:val="404040" w:themeColor="text1" w:themeTint="BF"/>
      <w:kern w:val="0"/>
      <w:lang w:val="es-E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25E1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25E19"/>
    <w:rPr>
      <w:rFonts w:ascii="Times New Roman" w:eastAsia="SimSun" w:hAnsi="Times New Roman" w:cs="Times New Roman"/>
      <w:kern w:val="0"/>
      <w:lang w:val="es-E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25E1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25E19"/>
    <w:rPr>
      <w:rFonts w:ascii="Times New Roman" w:eastAsia="SimSun" w:hAnsi="Times New Roman" w:cs="Times New Roman"/>
      <w:kern w:val="0"/>
      <w:lang w:val="es-ES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D25E19"/>
    <w:rPr>
      <w:u w:val="dotted"/>
      <w:lang w:val="es-ES"/>
    </w:rPr>
  </w:style>
  <w:style w:type="character" w:customStyle="1" w:styleId="SmartLink1">
    <w:name w:val="SmartLink1"/>
    <w:basedOn w:val="DefaultParagraphFont"/>
    <w:uiPriority w:val="99"/>
    <w:semiHidden/>
    <w:unhideWhenUsed/>
    <w:rsid w:val="00D25E19"/>
    <w:rPr>
      <w:color w:val="0000FF"/>
      <w:u w:val="single"/>
      <w:shd w:val="clear" w:color="auto" w:fill="F3F2F1"/>
      <w:lang w:val="es-ES"/>
    </w:rPr>
  </w:style>
  <w:style w:type="character" w:styleId="Strong">
    <w:name w:val="Strong"/>
    <w:basedOn w:val="DefaultParagraphFont"/>
    <w:uiPriority w:val="22"/>
    <w:qFormat/>
    <w:rsid w:val="00D25E19"/>
    <w:rPr>
      <w:b/>
      <w:bCs/>
      <w:lang w:val="es-ES"/>
    </w:rPr>
  </w:style>
  <w:style w:type="character" w:styleId="SubtleEmphasis">
    <w:name w:val="Subtle Emphasis"/>
    <w:basedOn w:val="DefaultParagraphFont"/>
    <w:uiPriority w:val="19"/>
    <w:qFormat/>
    <w:rsid w:val="00D25E19"/>
    <w:rPr>
      <w:i/>
      <w:iCs/>
      <w:color w:val="404040" w:themeColor="text1" w:themeTint="BF"/>
      <w:lang w:val="es-ES"/>
    </w:rPr>
  </w:style>
  <w:style w:type="character" w:styleId="SubtleReference">
    <w:name w:val="Subtle Reference"/>
    <w:basedOn w:val="DefaultParagraphFont"/>
    <w:uiPriority w:val="31"/>
    <w:qFormat/>
    <w:rsid w:val="00D25E19"/>
    <w:rPr>
      <w:smallCaps/>
      <w:color w:val="5A5A5A" w:themeColor="text1" w:themeTint="A5"/>
      <w:lang w:val="es-ES"/>
    </w:rPr>
  </w:style>
  <w:style w:type="table" w:styleId="Table3Deffects1">
    <w:name w:val="Table 3D effects 1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25E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25E19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25E19"/>
    <w:pPr>
      <w:tabs>
        <w:tab w:val="clear" w:pos="567"/>
        <w:tab w:val="clear" w:pos="1134"/>
        <w:tab w:val="clear" w:pos="1701"/>
        <w:tab w:val="clear" w:pos="2268"/>
      </w:tabs>
    </w:pPr>
  </w:style>
  <w:style w:type="table" w:styleId="TableProfessional">
    <w:name w:val="Table Professional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25E19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25E1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5E19"/>
    <w:pPr>
      <w:numPr>
        <w:numId w:val="0"/>
      </w:numPr>
      <w:tabs>
        <w:tab w:val="left" w:pos="567"/>
      </w:tabs>
      <w:spacing w:after="0"/>
      <w:jc w:val="both"/>
      <w:outlineLvl w:val="9"/>
    </w:pPr>
    <w:rPr>
      <w:rFonts w:asciiTheme="majorHAnsi" w:hAnsiTheme="majorHAnsi"/>
      <w:b w:val="0"/>
      <w:bCs w:val="0"/>
      <w:color w:val="2F5496" w:themeColor="accent1" w:themeShade="BF"/>
      <w:kern w:val="0"/>
      <w:sz w:val="3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25E19"/>
    <w:rPr>
      <w:color w:val="605E5C"/>
      <w:shd w:val="clear" w:color="auto" w:fill="E1DFDD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2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www.cbd.int/doc/decisions/cop-15/cop-15-dec-16-es.pdf" TargetMode="External"/><Relationship Id="rId26" Type="http://schemas.openxmlformats.org/officeDocument/2006/relationships/hyperlink" Target="https://www.cbd.int/documents/CBD/SBI/4/INF/9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34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cbd.int/doc/decisions/cop-14/cop-14-dec-25-es.pdf" TargetMode="External"/><Relationship Id="rId25" Type="http://schemas.openxmlformats.org/officeDocument/2006/relationships/hyperlink" Target="https://www.cbd.int/doc/decisions/cop-15/cop-15-dec-16-es.pdf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d.int/doc/decisions/cop-13/cop-13-dec-23-es.pdf" TargetMode="External"/><Relationship Id="rId20" Type="http://schemas.openxmlformats.org/officeDocument/2006/relationships/header" Target="header2.xm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cbd.int/doc/decisions/cop-14/cop-14-dec-25-es.pdf" TargetMode="External"/><Relationship Id="rId32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www.cbd.int/doc/decisions/cop-12/cop-12-dec-02-es.pdf" TargetMode="External"/><Relationship Id="rId23" Type="http://schemas.openxmlformats.org/officeDocument/2006/relationships/header" Target="header3.xml"/><Relationship Id="rId28" Type="http://schemas.openxmlformats.org/officeDocument/2006/relationships/hyperlink" Target="https://www.cbd.int/documents/CBD/SBSTTA/26/INF/16/Rev.1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oc/decisions/cop-11/cop-11-dec-02-es.pdf" TargetMode="External"/><Relationship Id="rId22" Type="http://schemas.openxmlformats.org/officeDocument/2006/relationships/footer" Target="footer2.xml"/><Relationship Id="rId27" Type="http://schemas.openxmlformats.org/officeDocument/2006/relationships/hyperlink" Target="https://www.cbd.int/documents/CBD/SBSTTA/26/INF/15" TargetMode="External"/><Relationship Id="rId30" Type="http://schemas.openxmlformats.org/officeDocument/2006/relationships/header" Target="header5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d.int/doc/decisions/cop-14/cop-14-dec-25-es.pdf" TargetMode="External"/><Relationship Id="rId3" Type="http://schemas.openxmlformats.org/officeDocument/2006/relationships/hyperlink" Target="https://www.cbd.int/doc/decisions/cop-15/cop-15-dec-14-es.pdf" TargetMode="External"/><Relationship Id="rId7" Type="http://schemas.openxmlformats.org/officeDocument/2006/relationships/hyperlink" Target="https://files.ipbes.net/ipbes-web-prod-public-files/inline/files/ipbes_ilkapproach_ipbes-5-15.pdf" TargetMode="External"/><Relationship Id="rId2" Type="http://schemas.openxmlformats.org/officeDocument/2006/relationships/hyperlink" Target="https://www.cbd.int/doc/decisions/cop-15/cop-15-dec-08-es.pdf" TargetMode="External"/><Relationship Id="rId1" Type="http://schemas.openxmlformats.org/officeDocument/2006/relationships/hyperlink" Target="https://www.cbd.int/doc/decisions/cop-15/cop-15-dec-04-es.pdf" TargetMode="External"/><Relationship Id="rId6" Type="http://schemas.openxmlformats.org/officeDocument/2006/relationships/hyperlink" Target="https://www.cbd.int/decisions/cop/?m=cop-15" TargetMode="External"/><Relationship Id="rId5" Type="http://schemas.openxmlformats.org/officeDocument/2006/relationships/hyperlink" Target="https://www.cbd.int/decisions/cop/?m=cop-16" TargetMode="External"/><Relationship Id="rId10" Type="http://schemas.openxmlformats.org/officeDocument/2006/relationships/hyperlink" Target="https://dart.informea.org" TargetMode="External"/><Relationship Id="rId4" Type="http://schemas.openxmlformats.org/officeDocument/2006/relationships/hyperlink" Target="https://www.cbd.int/decisions/cop/?m=cop-16" TargetMode="External"/><Relationship Id="rId9" Type="http://schemas.openxmlformats.org/officeDocument/2006/relationships/hyperlink" Target="https://www.cbd.int/doc/decisions/cop-15/cop-15-dec-16-e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AMALE\AppData\Local\Microsoft\Windows\INetCache\Content.Outlook\UCCYWT7F\template-cop-16-e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EECC70DA7D4233B861BE3AFE08C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D3FF6-8C45-4A0E-B57B-2D170E6BC104}"/>
      </w:docPartPr>
      <w:docPartBody>
        <w:p w:rsidR="00830BE1" w:rsidRDefault="00393EF3" w:rsidP="00393EF3">
          <w:pPr>
            <w:pStyle w:val="4FEECC70DA7D4233B861BE3AFE08C4B7"/>
          </w:pPr>
          <w:r w:rsidRPr="00302849">
            <w:rPr>
              <w:rStyle w:val="PlaceholderText"/>
            </w:rPr>
            <w:t>General</w:t>
          </w:r>
        </w:p>
      </w:docPartBody>
    </w:docPart>
    <w:docPart>
      <w:docPartPr>
        <w:name w:val="8DA22119E2E24A4C986943349EE67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5FD30-7541-497D-8DEE-587BE7C11FB6}"/>
      </w:docPartPr>
      <w:docPartBody>
        <w:p w:rsidR="00830BE1" w:rsidRDefault="00393EF3" w:rsidP="00393EF3">
          <w:pPr>
            <w:pStyle w:val="8DA22119E2E24A4C986943349EE679C6"/>
          </w:pPr>
          <w:r w:rsidRPr="00302849">
            <w:rPr>
              <w:rStyle w:val="PlaceholderText"/>
            </w:rPr>
            <w:t>[Date]</w:t>
          </w:r>
        </w:p>
      </w:docPartBody>
    </w:docPart>
    <w:docPart>
      <w:docPartPr>
        <w:name w:val="2B1E32341ED34FDEBD64F804A6FE5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2D865-8471-4F66-BBA3-7101F1776273}"/>
      </w:docPartPr>
      <w:docPartBody>
        <w:p w:rsidR="00830BE1" w:rsidRDefault="00393EF3" w:rsidP="00393EF3">
          <w:pPr>
            <w:pStyle w:val="2B1E32341ED34FDEBD64F804A6FE5491"/>
          </w:pPr>
          <w:r w:rsidRPr="00302849">
            <w:rPr>
              <w:rStyle w:val="PlaceholderText"/>
            </w:rPr>
            <w:t xml:space="preserve">[Language </w:t>
          </w:r>
          <w:r w:rsidRPr="00302849">
            <w:rPr>
              <w:rStyle w:val="PlaceholderText"/>
            </w:rPr>
            <w:br/>
            <w:t xml:space="preserve">Original: Language(s) </w:t>
          </w:r>
          <w:r w:rsidRPr="00302849">
            <w:rPr>
              <w:rStyle w:val="PlaceholderText"/>
            </w:rPr>
            <w:br/>
            <w:t>Languages]</w:t>
          </w:r>
        </w:p>
      </w:docPartBody>
    </w:docPart>
    <w:docPart>
      <w:docPartPr>
        <w:name w:val="9EC60735975E45738D33D4615A3CE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66081-D181-43F9-8A83-AC2ED8CE1E11}"/>
      </w:docPartPr>
      <w:docPartBody>
        <w:p w:rsidR="00830BE1" w:rsidRDefault="00393EF3" w:rsidP="00393EF3">
          <w:pPr>
            <w:pStyle w:val="9EC60735975E45738D33D4615A3CEA50"/>
          </w:pPr>
          <w:r w:rsidRPr="00302849">
            <w:rPr>
              <w:rStyle w:val="PlaceholderText"/>
            </w:rPr>
            <w:t>Meeting name (part 1)</w:t>
          </w:r>
        </w:p>
      </w:docPartBody>
    </w:docPart>
    <w:docPart>
      <w:docPartPr>
        <w:name w:val="8CF88E69692D4DB0A20B8D53CF15B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44189-F1C2-4696-8013-5B74DBEBFB90}"/>
      </w:docPartPr>
      <w:docPartBody>
        <w:p w:rsidR="00830BE1" w:rsidRDefault="00393EF3" w:rsidP="00393EF3">
          <w:pPr>
            <w:pStyle w:val="8CF88E69692D4DB0A20B8D53CF15B544"/>
          </w:pPr>
          <w:r w:rsidRPr="00302849">
            <w:rPr>
              <w:rStyle w:val="PlaceholderText"/>
            </w:rPr>
            <w:t>Meeting name (part 2)</w:t>
          </w:r>
        </w:p>
      </w:docPartBody>
    </w:docPart>
    <w:docPart>
      <w:docPartPr>
        <w:name w:val="86A80E33BEBD479191AF3915080EC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C7F20-188F-44A0-A5AA-05E740FCE6A9}"/>
      </w:docPartPr>
      <w:docPartBody>
        <w:p w:rsidR="00830BE1" w:rsidRDefault="00393EF3" w:rsidP="00393EF3">
          <w:pPr>
            <w:pStyle w:val="86A80E33BEBD479191AF3915080EC07F"/>
          </w:pPr>
          <w:r w:rsidRPr="00302849">
            <w:rPr>
              <w:rStyle w:val="PlaceholderText"/>
            </w:rPr>
            <w:t>[Venue, date]</w:t>
          </w:r>
        </w:p>
      </w:docPartBody>
    </w:docPart>
    <w:docPart>
      <w:docPartPr>
        <w:name w:val="1FE438E9CF9940BA8A36476CAF4E0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CA684-4E24-4294-97CD-4C87A6152707}"/>
      </w:docPartPr>
      <w:docPartBody>
        <w:p w:rsidR="00830BE1" w:rsidRDefault="00393EF3" w:rsidP="00393EF3">
          <w:pPr>
            <w:pStyle w:val="1FE438E9CF9940BA8A36476CAF4E07B8"/>
          </w:pPr>
          <w:r w:rsidRPr="00302849">
            <w:rPr>
              <w:rStyle w:val="PlaceholderText"/>
            </w:rPr>
            <w:t>[Agenda item xx][Item xx of the provisional agenda]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F4"/>
    <w:rsid w:val="0000088A"/>
    <w:rsid w:val="000077FF"/>
    <w:rsid w:val="00072ED4"/>
    <w:rsid w:val="00080EB7"/>
    <w:rsid w:val="00173B2E"/>
    <w:rsid w:val="0024417F"/>
    <w:rsid w:val="002C32CD"/>
    <w:rsid w:val="002C7190"/>
    <w:rsid w:val="00303F0B"/>
    <w:rsid w:val="0030541A"/>
    <w:rsid w:val="00341642"/>
    <w:rsid w:val="00393EF3"/>
    <w:rsid w:val="00403403"/>
    <w:rsid w:val="00423CC1"/>
    <w:rsid w:val="00481208"/>
    <w:rsid w:val="004B77E7"/>
    <w:rsid w:val="004D7D39"/>
    <w:rsid w:val="00510C2B"/>
    <w:rsid w:val="0051264D"/>
    <w:rsid w:val="00530E9E"/>
    <w:rsid w:val="00560D21"/>
    <w:rsid w:val="0058570D"/>
    <w:rsid w:val="00595112"/>
    <w:rsid w:val="005B2D2C"/>
    <w:rsid w:val="005D5934"/>
    <w:rsid w:val="005E56DE"/>
    <w:rsid w:val="006109A9"/>
    <w:rsid w:val="0062494E"/>
    <w:rsid w:val="00645573"/>
    <w:rsid w:val="00710379"/>
    <w:rsid w:val="007211DE"/>
    <w:rsid w:val="00745374"/>
    <w:rsid w:val="00764DF4"/>
    <w:rsid w:val="007A2211"/>
    <w:rsid w:val="007B799E"/>
    <w:rsid w:val="007C5F1D"/>
    <w:rsid w:val="00811444"/>
    <w:rsid w:val="00816CE8"/>
    <w:rsid w:val="00830BE1"/>
    <w:rsid w:val="00881412"/>
    <w:rsid w:val="00884289"/>
    <w:rsid w:val="00887DAC"/>
    <w:rsid w:val="00917659"/>
    <w:rsid w:val="009338C7"/>
    <w:rsid w:val="009457AB"/>
    <w:rsid w:val="00950A9C"/>
    <w:rsid w:val="009B3EFD"/>
    <w:rsid w:val="009E2CD0"/>
    <w:rsid w:val="009F3F8E"/>
    <w:rsid w:val="00A2573D"/>
    <w:rsid w:val="00A30C0C"/>
    <w:rsid w:val="00A35DA0"/>
    <w:rsid w:val="00A82AFA"/>
    <w:rsid w:val="00B05BAE"/>
    <w:rsid w:val="00B41BF6"/>
    <w:rsid w:val="00BA492D"/>
    <w:rsid w:val="00BA4D96"/>
    <w:rsid w:val="00BA60DE"/>
    <w:rsid w:val="00BE3C82"/>
    <w:rsid w:val="00C13436"/>
    <w:rsid w:val="00C660B2"/>
    <w:rsid w:val="00CB0698"/>
    <w:rsid w:val="00CB6335"/>
    <w:rsid w:val="00D048C0"/>
    <w:rsid w:val="00D154E8"/>
    <w:rsid w:val="00D22367"/>
    <w:rsid w:val="00D45692"/>
    <w:rsid w:val="00D5558F"/>
    <w:rsid w:val="00DC4063"/>
    <w:rsid w:val="00DE2DDD"/>
    <w:rsid w:val="00DE6AA1"/>
    <w:rsid w:val="00E13C94"/>
    <w:rsid w:val="00E44A51"/>
    <w:rsid w:val="00E54B89"/>
    <w:rsid w:val="00EF5675"/>
    <w:rsid w:val="00F40B09"/>
    <w:rsid w:val="00F9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3EF3"/>
    <w:rPr>
      <w:color w:val="808080"/>
    </w:rPr>
  </w:style>
  <w:style w:type="paragraph" w:customStyle="1" w:styleId="4FEECC70DA7D4233B861BE3AFE08C4B7">
    <w:name w:val="4FEECC70DA7D4233B861BE3AFE08C4B7"/>
    <w:rsid w:val="00393EF3"/>
    <w:rPr>
      <w:lang w:val="en-US" w:eastAsia="zh-CN"/>
    </w:rPr>
  </w:style>
  <w:style w:type="paragraph" w:customStyle="1" w:styleId="8DA22119E2E24A4C986943349EE679C6">
    <w:name w:val="8DA22119E2E24A4C986943349EE679C6"/>
    <w:rsid w:val="00393EF3"/>
    <w:rPr>
      <w:lang w:val="en-US" w:eastAsia="zh-CN"/>
    </w:rPr>
  </w:style>
  <w:style w:type="paragraph" w:customStyle="1" w:styleId="2B1E32341ED34FDEBD64F804A6FE5491">
    <w:name w:val="2B1E32341ED34FDEBD64F804A6FE5491"/>
    <w:rsid w:val="00393EF3"/>
    <w:rPr>
      <w:lang w:val="en-US" w:eastAsia="zh-CN"/>
    </w:rPr>
  </w:style>
  <w:style w:type="paragraph" w:customStyle="1" w:styleId="9EC60735975E45738D33D4615A3CEA50">
    <w:name w:val="9EC60735975E45738D33D4615A3CEA50"/>
    <w:rsid w:val="00393EF3"/>
    <w:rPr>
      <w:lang w:val="en-US" w:eastAsia="zh-CN"/>
    </w:rPr>
  </w:style>
  <w:style w:type="paragraph" w:customStyle="1" w:styleId="8CF88E69692D4DB0A20B8D53CF15B544">
    <w:name w:val="8CF88E69692D4DB0A20B8D53CF15B544"/>
    <w:rsid w:val="00393EF3"/>
    <w:rPr>
      <w:lang w:val="en-US" w:eastAsia="zh-CN"/>
    </w:rPr>
  </w:style>
  <w:style w:type="paragraph" w:customStyle="1" w:styleId="86A80E33BEBD479191AF3915080EC07F">
    <w:name w:val="86A80E33BEBD479191AF3915080EC07F"/>
    <w:rsid w:val="00393EF3"/>
    <w:rPr>
      <w:lang w:val="en-US" w:eastAsia="zh-CN"/>
    </w:rPr>
  </w:style>
  <w:style w:type="paragraph" w:customStyle="1" w:styleId="1FE438E9CF9940BA8A36476CAF4E07B8">
    <w:name w:val="1FE438E9CF9940BA8A36476CAF4E07B8"/>
    <w:rsid w:val="00393EF3"/>
    <w:rPr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56574a3974fe322614c82150facde942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9d58c0d7a53d6fd8413434503c3e2c1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DACA2-8C2E-46A4-AF4A-CE8311E2C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2B7AA4-97B6-44AC-AB96-171694357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0C63D-54CC-4E59-9331-32F3A3563A06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4.xml><?xml version="1.0" encoding="utf-8"?>
<ds:datastoreItem xmlns:ds="http://schemas.openxmlformats.org/officeDocument/2006/customXml" ds:itemID="{5F22098E-43CA-405A-A43E-B5CA3BBF6B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template-cop-16-en.dotm</Template>
  <TotalTime>37</TotalTime>
  <Pages>17</Pages>
  <Words>7993</Words>
  <Characters>45565</Characters>
  <Application>Microsoft Office Word</Application>
  <DocSecurity>0</DocSecurity>
  <Lines>379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Decisions adopted by the Conference of the Parties to the Convention on Biological Diversity on 1 November 2024</vt:lpstr>
      <vt:lpstr>Decisions adopted by the Conference of the Parties to the Convention on Biological Diversity on 1 November 2024</vt:lpstr>
    </vt:vector>
  </TitlesOfParts>
  <Company/>
  <LinksUpToDate>false</LinksUpToDate>
  <CharactersWithSpaces>53452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Decisions adopted by the Conference of the Parties to the Convention on Biological Diversity on 1 November 2024</dc:title>
  <dc:subject>CBD/COP/DEC/16/9</dc:subject>
  <dc:creator>Secretariat of the Convention on Biological Diversity</dc:creator>
  <cp:keywords>Sixteenth meeting of the Conference of the Parties to the Convention on Biological Diversity</cp:keywords>
  <dc:description/>
  <cp:lastModifiedBy>Tatiana Zavarzina</cp:lastModifiedBy>
  <cp:revision>7</cp:revision>
  <cp:lastPrinted>2024-10-28T19:49:00Z</cp:lastPrinted>
  <dcterms:created xsi:type="dcterms:W3CDTF">2025-01-14T02:27:00Z</dcterms:created>
  <dcterms:modified xsi:type="dcterms:W3CDTF">2025-01-17T19:26:00Z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0x01010069BFACF6D92CD24AA50050CE23F68F74</vt:lpwstr>
  </property>
  <property fmtid="{D5CDD505-2E9C-101B-9397-08002B2CF9AE}" pid="3" name="MediaServiceImageTags">
    <vt:lpwstr/>
  </property>
  <property fmtid="{D5CDD505-2E9C-101B-9397-08002B2CF9AE}" pid="4" name="CBD-Language">
    <vt:lpwstr>EN</vt:lpwstr>
  </property>
  <property fmtid="{D5CDD505-2E9C-101B-9397-08002B2CF9AE}" pid="5" name="CBD-Generator">
    <vt:lpwstr>0</vt:lpwstr>
  </property>
  <property fmtid="{D5CDD505-2E9C-101B-9397-08002B2CF9AE}" pid="6" name="CBD-Category">
    <vt:lpwstr>CBD</vt:lpwstr>
  </property>
</Properties>
</file>