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4F01AB" w14:paraId="5EF989FF" w14:textId="77777777" w:rsidTr="00B60E5F">
        <w:trPr>
          <w:trHeight w:val="851"/>
        </w:trPr>
        <w:tc>
          <w:tcPr>
            <w:tcW w:w="465" w:type="pct"/>
            <w:tcBorders>
              <w:bottom w:val="single" w:sz="8" w:space="0" w:color="auto"/>
            </w:tcBorders>
            <w:vAlign w:val="bottom"/>
          </w:tcPr>
          <w:p w14:paraId="629E6F6B" w14:textId="750C8838" w:rsidR="00A96B21" w:rsidRPr="004F01AB" w:rsidRDefault="00A96B21" w:rsidP="00B60E5F">
            <w:pPr>
              <w:spacing w:after="120"/>
              <w:jc w:val="left"/>
              <w:rPr>
                <w:lang w:val="fr-FR"/>
              </w:rPr>
            </w:pPr>
            <w:bookmarkStart w:id="0" w:name="_Hlk137651738"/>
            <w:r w:rsidRPr="004F01AB">
              <w:rPr>
                <w:noProof/>
                <w:lang w:val="fr-FR"/>
              </w:rPr>
              <w:drawing>
                <wp:inline distT="0" distB="0" distL="0" distR="0" wp14:anchorId="74487BB0" wp14:editId="1BBE07F3">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7325455E" w14:textId="33A74864" w:rsidR="00A96B21" w:rsidRPr="004F01AB" w:rsidRDefault="009503E0" w:rsidP="00B60E5F">
            <w:pPr>
              <w:spacing w:after="120"/>
              <w:jc w:val="left"/>
              <w:rPr>
                <w:lang w:val="fr-FR"/>
              </w:rPr>
            </w:pPr>
            <w:r w:rsidRPr="004F01AB">
              <w:rPr>
                <w:noProof/>
                <w:lang w:val="fr-FR" w:eastAsia="fr-FR"/>
              </w:rPr>
              <w:drawing>
                <wp:inline distT="0" distB="0" distL="0" distR="0" wp14:anchorId="3390FFE4" wp14:editId="5CB5A651">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77E31DC2" w14:textId="6F4062F3" w:rsidR="00A96B21" w:rsidRPr="004F01AB" w:rsidRDefault="005F156C" w:rsidP="00184909">
            <w:pPr>
              <w:spacing w:after="120"/>
              <w:ind w:left="2021"/>
              <w:jc w:val="right"/>
              <w:rPr>
                <w:szCs w:val="22"/>
                <w:lang w:val="fr-FR"/>
              </w:rPr>
            </w:pPr>
            <w:r w:rsidRPr="00251994">
              <w:fldChar w:fldCharType="begin"/>
            </w:r>
            <w:r w:rsidRPr="00251994">
              <w:rPr>
                <w:sz w:val="22"/>
                <w:szCs w:val="22"/>
              </w:rPr>
              <w:instrText xml:space="preserve"> DOCPROPERTY Subject \* MERGEFORMAT </w:instrText>
            </w:r>
            <w:r w:rsidRPr="00251994">
              <w:fldChar w:fldCharType="separate"/>
            </w:r>
            <w:r w:rsidRPr="00251994">
              <w:rPr>
                <w:sz w:val="40"/>
                <w:szCs w:val="40"/>
              </w:rPr>
              <w:t>CBD</w:t>
            </w:r>
            <w:r w:rsidRPr="00251994">
              <w:rPr>
                <w:sz w:val="22"/>
                <w:szCs w:val="22"/>
              </w:rPr>
              <w:t>/COP/DEC/16/12</w:t>
            </w:r>
            <w:r w:rsidRPr="00251994">
              <w:fldChar w:fldCharType="end"/>
            </w:r>
          </w:p>
        </w:tc>
      </w:tr>
      <w:tr w:rsidR="00A96B21" w:rsidRPr="004F01AB" w14:paraId="2915FAFC" w14:textId="77777777" w:rsidTr="00B60E5F">
        <w:tc>
          <w:tcPr>
            <w:tcW w:w="2297" w:type="pct"/>
            <w:gridSpan w:val="2"/>
            <w:tcBorders>
              <w:top w:val="single" w:sz="8" w:space="0" w:color="auto"/>
              <w:bottom w:val="single" w:sz="12" w:space="0" w:color="auto"/>
            </w:tcBorders>
          </w:tcPr>
          <w:p w14:paraId="262FD27B" w14:textId="381457A0" w:rsidR="00A96B21" w:rsidRPr="004F01AB" w:rsidRDefault="003A7E33" w:rsidP="00B60E5F">
            <w:pPr>
              <w:pStyle w:val="Cornernotation"/>
              <w:suppressLineNumbers/>
              <w:suppressAutoHyphens/>
              <w:spacing w:before="120" w:after="120"/>
              <w:ind w:left="0" w:right="0" w:firstLine="0"/>
              <w:rPr>
                <w:lang w:val="fr-FR"/>
              </w:rPr>
            </w:pPr>
            <w:r w:rsidRPr="004F01AB">
              <w:rPr>
                <w:noProof/>
                <w:lang w:val="fr-FR" w:eastAsia="fr-FR"/>
              </w:rPr>
              <w:drawing>
                <wp:inline distT="0" distB="0" distL="0" distR="0" wp14:anchorId="7F725AE1" wp14:editId="61156E0F">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13AA802B" w14:textId="3E12BF72" w:rsidR="00A96B21" w:rsidRPr="004F01AB" w:rsidRDefault="00A96B21" w:rsidP="003C6F10">
            <w:pPr>
              <w:ind w:left="2584"/>
              <w:rPr>
                <w:sz w:val="22"/>
                <w:szCs w:val="22"/>
                <w:lang w:val="fr-FR"/>
              </w:rPr>
            </w:pPr>
            <w:r w:rsidRPr="004F01AB">
              <w:rPr>
                <w:sz w:val="22"/>
                <w:szCs w:val="22"/>
                <w:lang w:val="fr-FR"/>
              </w:rPr>
              <w:t>Distr.</w:t>
            </w:r>
            <w:r w:rsidR="00A157E8">
              <w:rPr>
                <w:sz w:val="22"/>
                <w:szCs w:val="22"/>
                <w:lang w:val="fr-FR"/>
              </w:rPr>
              <w:t> </w:t>
            </w:r>
            <w:r w:rsidRPr="004F01AB">
              <w:rPr>
                <w:sz w:val="22"/>
                <w:szCs w:val="22"/>
                <w:lang w:val="fr-FR"/>
              </w:rPr>
              <w:t xml:space="preserve">: </w:t>
            </w:r>
            <w:r w:rsidR="002237C2">
              <w:rPr>
                <w:sz w:val="22"/>
                <w:szCs w:val="22"/>
                <w:lang w:val="fr-FR"/>
              </w:rPr>
              <w:t>générale</w:t>
            </w:r>
          </w:p>
          <w:p w14:paraId="0F03B00A" w14:textId="6DA89BEE" w:rsidR="00A96B21" w:rsidRPr="004F01AB" w:rsidRDefault="005F156C" w:rsidP="003C6F10">
            <w:pPr>
              <w:ind w:left="2584"/>
              <w:rPr>
                <w:sz w:val="22"/>
                <w:szCs w:val="22"/>
                <w:lang w:val="fr-FR"/>
              </w:rPr>
            </w:pPr>
            <w:r>
              <w:rPr>
                <w:sz w:val="22"/>
                <w:szCs w:val="22"/>
                <w:lang w:val="fr-FR"/>
              </w:rPr>
              <w:t>1</w:t>
            </w:r>
            <w:r w:rsidRPr="005F156C">
              <w:rPr>
                <w:sz w:val="22"/>
                <w:szCs w:val="22"/>
                <w:vertAlign w:val="superscript"/>
                <w:lang w:val="fr-FR"/>
              </w:rPr>
              <w:t>er</w:t>
            </w:r>
            <w:r>
              <w:rPr>
                <w:sz w:val="22"/>
                <w:szCs w:val="22"/>
                <w:lang w:val="fr-FR"/>
              </w:rPr>
              <w:t xml:space="preserve"> novembre</w:t>
            </w:r>
            <w:r w:rsidR="00A96B21" w:rsidRPr="004F01AB">
              <w:rPr>
                <w:sz w:val="22"/>
                <w:szCs w:val="22"/>
                <w:lang w:val="fr-FR"/>
              </w:rPr>
              <w:t xml:space="preserve"> 202</w:t>
            </w:r>
            <w:r w:rsidR="00A00234" w:rsidRPr="004F01AB">
              <w:rPr>
                <w:sz w:val="22"/>
                <w:szCs w:val="22"/>
                <w:lang w:val="fr-FR"/>
              </w:rPr>
              <w:t>4</w:t>
            </w:r>
          </w:p>
          <w:p w14:paraId="3F711200" w14:textId="77777777" w:rsidR="00A574A1" w:rsidRPr="004F01AB" w:rsidRDefault="00A574A1" w:rsidP="00A574A1">
            <w:pPr>
              <w:ind w:left="2584"/>
              <w:rPr>
                <w:sz w:val="22"/>
                <w:szCs w:val="22"/>
                <w:lang w:val="fr-FR"/>
              </w:rPr>
            </w:pPr>
            <w:r w:rsidRPr="004F01AB">
              <w:rPr>
                <w:sz w:val="22"/>
                <w:szCs w:val="22"/>
                <w:lang w:val="fr-FR"/>
              </w:rPr>
              <w:t>Français</w:t>
            </w:r>
          </w:p>
          <w:p w14:paraId="5F64068A" w14:textId="6FCC6EA0" w:rsidR="00A96B21" w:rsidRPr="004F01AB" w:rsidRDefault="00A574A1" w:rsidP="00A574A1">
            <w:pPr>
              <w:ind w:left="2584"/>
              <w:rPr>
                <w:sz w:val="22"/>
                <w:szCs w:val="22"/>
                <w:lang w:val="fr-FR"/>
              </w:rPr>
            </w:pPr>
            <w:r w:rsidRPr="004F01AB">
              <w:rPr>
                <w:sz w:val="22"/>
                <w:szCs w:val="22"/>
                <w:lang w:val="fr-FR"/>
              </w:rPr>
              <w:t>Original : anglais</w:t>
            </w:r>
          </w:p>
          <w:p w14:paraId="1B5BBAB2" w14:textId="77777777" w:rsidR="00A96B21" w:rsidRPr="004F01AB" w:rsidRDefault="00A96B21" w:rsidP="00B60E5F">
            <w:pPr>
              <w:rPr>
                <w:lang w:val="fr-FR"/>
              </w:rPr>
            </w:pPr>
          </w:p>
        </w:tc>
      </w:tr>
    </w:tbl>
    <w:p w14:paraId="56CEDBB4" w14:textId="77777777" w:rsidR="00AF4BC8" w:rsidRPr="004F01AB" w:rsidRDefault="00AF4BC8" w:rsidP="00AF4BC8">
      <w:pPr>
        <w:pStyle w:val="Cornernotation"/>
        <w:rPr>
          <w:lang w:val="fr-FR"/>
        </w:rPr>
      </w:pPr>
      <w:r w:rsidRPr="004F01AB">
        <w:rPr>
          <w:lang w:val="fr-FR"/>
        </w:rPr>
        <w:t>Conférence des Parties à la</w:t>
      </w:r>
    </w:p>
    <w:p w14:paraId="58CF7FAD" w14:textId="77777777" w:rsidR="00AF4BC8" w:rsidRPr="004F01AB" w:rsidRDefault="00AF4BC8" w:rsidP="00AF4BC8">
      <w:pPr>
        <w:pStyle w:val="Cornernotation"/>
        <w:rPr>
          <w:bCs/>
          <w:sz w:val="22"/>
          <w:lang w:val="fr-FR"/>
        </w:rPr>
      </w:pPr>
      <w:r w:rsidRPr="004F01AB">
        <w:rPr>
          <w:lang w:val="fr-FR"/>
        </w:rPr>
        <w:t xml:space="preserve">Convention sur la diversité biologique </w:t>
      </w:r>
    </w:p>
    <w:p w14:paraId="2B61F048" w14:textId="77777777" w:rsidR="00AF4BC8" w:rsidRPr="004F01AB" w:rsidRDefault="00AF4BC8" w:rsidP="00AF4BC8">
      <w:pPr>
        <w:pStyle w:val="Venuedate"/>
        <w:rPr>
          <w:b/>
          <w:bCs w:val="0"/>
          <w:lang w:val="fr-FR"/>
        </w:rPr>
      </w:pPr>
      <w:bookmarkStart w:id="1" w:name="CBDMeetingName2"/>
      <w:r w:rsidRPr="004F01AB">
        <w:rPr>
          <w:b/>
          <w:bCs w:val="0"/>
          <w:lang w:val="fr-FR"/>
        </w:rPr>
        <w:t>Seizième réunion</w:t>
      </w:r>
      <w:bookmarkEnd w:id="1"/>
    </w:p>
    <w:p w14:paraId="11A00E3C" w14:textId="674BCB3A" w:rsidR="00A96B21" w:rsidRPr="004F01AB" w:rsidRDefault="00AF4BC8" w:rsidP="00AF4BC8">
      <w:pPr>
        <w:pStyle w:val="Venuedate"/>
        <w:rPr>
          <w:lang w:val="fr-FR"/>
        </w:rPr>
      </w:pPr>
      <w:r w:rsidRPr="004F01AB">
        <w:rPr>
          <w:lang w:val="fr-FR"/>
        </w:rPr>
        <w:t>Cali (Colombie), 21 octobre au 1</w:t>
      </w:r>
      <w:r w:rsidRPr="004F01AB">
        <w:rPr>
          <w:vertAlign w:val="superscript"/>
          <w:lang w:val="fr-FR"/>
        </w:rPr>
        <w:t>er </w:t>
      </w:r>
      <w:r w:rsidRPr="004F01AB">
        <w:rPr>
          <w:lang w:val="fr-FR"/>
        </w:rPr>
        <w:t>novembre 2024</w:t>
      </w:r>
    </w:p>
    <w:p w14:paraId="444EBFC8" w14:textId="58C0C2A1" w:rsidR="00A96B21" w:rsidRPr="004F01AB" w:rsidRDefault="00AF4BC8" w:rsidP="00A96B21">
      <w:pPr>
        <w:pStyle w:val="Cornernotation-Item"/>
        <w:rPr>
          <w:b w:val="0"/>
          <w:bCs w:val="0"/>
          <w:lang w:val="fr-FR"/>
        </w:rPr>
      </w:pPr>
      <w:r w:rsidRPr="004F01AB">
        <w:rPr>
          <w:b w:val="0"/>
          <w:bCs w:val="0"/>
          <w:lang w:val="fr-FR"/>
        </w:rPr>
        <w:t xml:space="preserve">Point 16 de l’ordre du jour </w:t>
      </w:r>
    </w:p>
    <w:p w14:paraId="1C202709" w14:textId="6465D348" w:rsidR="00107FE8" w:rsidRPr="004F01AB" w:rsidRDefault="005A0F9F" w:rsidP="007A4641">
      <w:pPr>
        <w:pStyle w:val="Cornernotation-Item"/>
        <w:ind w:left="0" w:firstLine="0"/>
        <w:rPr>
          <w:lang w:val="fr-FR"/>
        </w:rPr>
      </w:pPr>
      <w:r w:rsidRPr="004F01AB">
        <w:rPr>
          <w:lang w:val="fr-FR"/>
        </w:rPr>
        <w:t xml:space="preserve">Besoins scientifiques et techniques pour appuyer </w:t>
      </w:r>
      <w:r w:rsidR="007A4641" w:rsidRPr="004F01AB">
        <w:rPr>
          <w:lang w:val="fr-FR"/>
        </w:rPr>
        <w:br/>
      </w:r>
      <w:r w:rsidR="00246598" w:rsidRPr="004F01AB">
        <w:rPr>
          <w:lang w:val="fr-FR"/>
        </w:rPr>
        <w:t>la mise en œuvre du Cadre mondial de la</w:t>
      </w:r>
      <w:r w:rsidR="002154BE" w:rsidRPr="004F01AB">
        <w:rPr>
          <w:lang w:val="fr-FR"/>
        </w:rPr>
        <w:br/>
      </w:r>
      <w:r w:rsidR="00953EC7" w:rsidRPr="004F01AB">
        <w:rPr>
          <w:lang w:val="fr-FR"/>
        </w:rPr>
        <w:t>biodiversité de Kunming-Montréal, y compris ses</w:t>
      </w:r>
      <w:r w:rsidR="002154BE" w:rsidRPr="004F01AB">
        <w:rPr>
          <w:lang w:val="fr-FR"/>
        </w:rPr>
        <w:br/>
      </w:r>
      <w:r w:rsidR="00ED12B3" w:rsidRPr="004F01AB">
        <w:rPr>
          <w:lang w:val="fr-FR"/>
        </w:rPr>
        <w:t xml:space="preserve">incidences sur les programmes de travail de la </w:t>
      </w:r>
      <w:r w:rsidR="00ED4CD6" w:rsidRPr="004F01AB">
        <w:rPr>
          <w:lang w:val="fr-FR"/>
        </w:rPr>
        <w:t>Convention</w:t>
      </w:r>
    </w:p>
    <w:bookmarkEnd w:id="0"/>
    <w:p w14:paraId="3F49212B" w14:textId="2991076F" w:rsidR="00A96B21" w:rsidRPr="004F01AB" w:rsidRDefault="00000000" w:rsidP="001454DA">
      <w:pPr>
        <w:pStyle w:val="CBDTitle"/>
        <w:rPr>
          <w:lang w:val="fr-FR"/>
        </w:rPr>
      </w:pPr>
      <w:sdt>
        <w:sdtPr>
          <w:rPr>
            <w:lang w:val="fr-FR"/>
          </w:r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Content>
          <w:r w:rsidR="002237C2">
            <w:rPr>
              <w:lang w:val="fr-FR"/>
            </w:rPr>
            <w:t>Décision adoptée par la Conférence des Parties à la Convention sur la diversité biologique le 1er novembre 2024</w:t>
          </w:r>
        </w:sdtContent>
      </w:sdt>
    </w:p>
    <w:p w14:paraId="738A3667" w14:textId="583445E4" w:rsidR="00A96B21" w:rsidRPr="004F01AB" w:rsidRDefault="00171461" w:rsidP="001454DA">
      <w:pPr>
        <w:pStyle w:val="CBDSubTitle"/>
        <w:rPr>
          <w:lang w:val="fr-FR"/>
        </w:rPr>
      </w:pPr>
      <w:r w:rsidRPr="00251994">
        <w:t>16/12.</w:t>
      </w:r>
      <w:r>
        <w:tab/>
      </w:r>
      <w:r>
        <w:tab/>
      </w:r>
      <w:r w:rsidRPr="00171461">
        <w:rPr>
          <w:lang w:val="fr-FR"/>
        </w:rPr>
        <w:t>Besoins scientifiques et techniques pour appuyer la mise en œuvre du Cadre mondial de la biodiversité de Kunming-Montréal</w:t>
      </w:r>
    </w:p>
    <w:p w14:paraId="07DF9478" w14:textId="3FF55988" w:rsidR="00AA1791" w:rsidRPr="004F01AB" w:rsidRDefault="00CE6FDA" w:rsidP="00AA1791">
      <w:pPr>
        <w:tabs>
          <w:tab w:val="clear" w:pos="1134"/>
        </w:tabs>
        <w:spacing w:before="120" w:after="120"/>
        <w:ind w:left="567" w:firstLine="567"/>
        <w:rPr>
          <w:lang w:val="fr-FR"/>
        </w:rPr>
      </w:pPr>
      <w:r w:rsidRPr="004F01AB">
        <w:rPr>
          <w:i/>
          <w:iCs/>
          <w:lang w:val="fr-FR"/>
        </w:rPr>
        <w:t xml:space="preserve">La </w:t>
      </w:r>
      <w:r w:rsidR="00AA1791" w:rsidRPr="004F01AB">
        <w:rPr>
          <w:i/>
          <w:iCs/>
          <w:lang w:val="fr-FR"/>
        </w:rPr>
        <w:t>Conf</w:t>
      </w:r>
      <w:r w:rsidRPr="004F01AB">
        <w:rPr>
          <w:i/>
          <w:iCs/>
          <w:lang w:val="fr-FR"/>
        </w:rPr>
        <w:t>é</w:t>
      </w:r>
      <w:r w:rsidR="00AA1791" w:rsidRPr="004F01AB">
        <w:rPr>
          <w:i/>
          <w:iCs/>
          <w:lang w:val="fr-FR"/>
        </w:rPr>
        <w:t xml:space="preserve">rence </w:t>
      </w:r>
      <w:r w:rsidRPr="004F01AB">
        <w:rPr>
          <w:i/>
          <w:iCs/>
          <w:lang w:val="fr-FR"/>
        </w:rPr>
        <w:t xml:space="preserve">des </w:t>
      </w:r>
      <w:r w:rsidR="00AA1791" w:rsidRPr="004F01AB">
        <w:rPr>
          <w:i/>
          <w:iCs/>
          <w:lang w:val="fr-FR"/>
        </w:rPr>
        <w:t>Parties</w:t>
      </w:r>
      <w:r w:rsidR="00AA1791" w:rsidRPr="004F01AB">
        <w:rPr>
          <w:lang w:val="fr-FR"/>
        </w:rPr>
        <w:t>,</w:t>
      </w:r>
    </w:p>
    <w:p w14:paraId="274F8581" w14:textId="2B9E2FE1" w:rsidR="00AA1791" w:rsidRPr="004F01AB" w:rsidRDefault="001B74B1" w:rsidP="00AA1791">
      <w:pPr>
        <w:tabs>
          <w:tab w:val="clear" w:pos="1134"/>
        </w:tabs>
        <w:spacing w:before="120" w:after="120"/>
        <w:ind w:left="567" w:firstLine="567"/>
        <w:rPr>
          <w:lang w:val="fr-FR"/>
        </w:rPr>
      </w:pPr>
      <w:r w:rsidRPr="004F01AB">
        <w:rPr>
          <w:i/>
          <w:iCs/>
          <w:lang w:val="fr-FR"/>
        </w:rPr>
        <w:t xml:space="preserve">Reconnaissant </w:t>
      </w:r>
      <w:r w:rsidRPr="004F01AB">
        <w:rPr>
          <w:lang w:val="fr-FR"/>
        </w:rPr>
        <w:t>que le recensement des besoins scientifiques pour soutenir la mise en œuvre du Cadre mondial de la biodiversité de Kunming-Montréal</w:t>
      </w:r>
      <w:r w:rsidRPr="004F01AB">
        <w:rPr>
          <w:rStyle w:val="Appelnotedebasdep"/>
          <w:lang w:val="fr-FR"/>
        </w:rPr>
        <w:footnoteReference w:id="2"/>
      </w:r>
      <w:r w:rsidRPr="004F01AB">
        <w:rPr>
          <w:lang w:val="fr-FR"/>
        </w:rPr>
        <w:t xml:space="preserve"> est un processus continu pendant toute sa durée et que plusieurs autres processus actuellement en cours sont pertinents pour recenser d’autres besoins et pour y répondre, y compris les travaux sur le suivi et les indicateurs, les examens des programmes de travail, le nouveau programme de travail sur l’</w:t>
      </w:r>
      <w:r w:rsidR="00A8205D" w:rsidRPr="004F01AB">
        <w:rPr>
          <w:lang w:val="fr-FR"/>
        </w:rPr>
        <w:t>a</w:t>
      </w:r>
      <w:r w:rsidRPr="004F01AB">
        <w:rPr>
          <w:lang w:val="fr-FR"/>
        </w:rPr>
        <w:t>rticle 8 j) et d’autres dispositions de la Convention sur la diversité biologique</w:t>
      </w:r>
      <w:r w:rsidRPr="004F01AB">
        <w:rPr>
          <w:rStyle w:val="Appelnotedebasdep"/>
          <w:lang w:val="fr-FR"/>
        </w:rPr>
        <w:footnoteReference w:id="3"/>
      </w:r>
      <w:r w:rsidRPr="004F01AB">
        <w:rPr>
          <w:lang w:val="fr-FR"/>
        </w:rPr>
        <w:t xml:space="preserve">, les travaux sur </w:t>
      </w:r>
      <w:r w:rsidR="00171461">
        <w:rPr>
          <w:lang w:val="fr-FR"/>
        </w:rPr>
        <w:t xml:space="preserve">la création et </w:t>
      </w:r>
      <w:r w:rsidRPr="004F01AB">
        <w:rPr>
          <w:lang w:val="fr-FR"/>
        </w:rPr>
        <w:t>le renforcement des capacités</w:t>
      </w:r>
      <w:r w:rsidR="00171461">
        <w:rPr>
          <w:lang w:val="fr-FR"/>
        </w:rPr>
        <w:t xml:space="preserve">, </w:t>
      </w:r>
      <w:r w:rsidRPr="004F01AB">
        <w:rPr>
          <w:lang w:val="fr-FR"/>
        </w:rPr>
        <w:t>la coopération technique et scientifique, le processus de mise à jour et de soutien à la mise en œuvre des stratégies et plans d’action nationaux pour la biodiversité, ainsi que les travaux menés par la Plateforme intergouvernementale scientifique et politique sur la biodiversité et les services écosystémiques et d’autres processus pertinents,</w:t>
      </w:r>
    </w:p>
    <w:p w14:paraId="30C16B66" w14:textId="41406522" w:rsidR="00AA1791" w:rsidRPr="004F01AB" w:rsidRDefault="004E64C5" w:rsidP="00AA1791">
      <w:pPr>
        <w:tabs>
          <w:tab w:val="clear" w:pos="1134"/>
        </w:tabs>
        <w:spacing w:before="120" w:after="120"/>
        <w:ind w:left="567" w:firstLine="567"/>
        <w:rPr>
          <w:lang w:val="fr-FR"/>
        </w:rPr>
      </w:pPr>
      <w:r w:rsidRPr="004F01AB">
        <w:rPr>
          <w:i/>
          <w:iCs/>
          <w:lang w:val="fr-FR"/>
        </w:rPr>
        <w:t xml:space="preserve">Se félicitant </w:t>
      </w:r>
      <w:r w:rsidRPr="004F01AB">
        <w:rPr>
          <w:lang w:val="fr-FR"/>
        </w:rPr>
        <w:t xml:space="preserve">de la </w:t>
      </w:r>
      <w:r w:rsidR="00171461">
        <w:rPr>
          <w:lang w:val="fr-FR"/>
        </w:rPr>
        <w:t>sélection</w:t>
      </w:r>
      <w:r w:rsidRPr="004F01AB">
        <w:rPr>
          <w:lang w:val="fr-FR"/>
        </w:rPr>
        <w:t xml:space="preserve"> des centres régionaux et sous-régionaux d’appui à la coopération technique et scientifique</w:t>
      </w:r>
      <w:r w:rsidR="00ED1488" w:rsidRPr="004F01AB">
        <w:rPr>
          <w:lang w:val="fr-FR"/>
        </w:rPr>
        <w:t>,</w:t>
      </w:r>
    </w:p>
    <w:p w14:paraId="0741F11D" w14:textId="4FEAD290" w:rsidR="00AA1791" w:rsidRPr="004F01AB" w:rsidRDefault="00AA1791" w:rsidP="00AA1791">
      <w:pPr>
        <w:pStyle w:val="Para1"/>
        <w:numPr>
          <w:ilvl w:val="0"/>
          <w:numId w:val="0"/>
        </w:numPr>
        <w:tabs>
          <w:tab w:val="clear" w:pos="1134"/>
        </w:tabs>
        <w:ind w:left="567" w:firstLine="567"/>
        <w:rPr>
          <w:lang w:val="fr-FR"/>
        </w:rPr>
      </w:pPr>
      <w:r w:rsidRPr="004F01AB">
        <w:rPr>
          <w:lang w:val="fr-FR"/>
        </w:rPr>
        <w:t>1.</w:t>
      </w:r>
      <w:r w:rsidRPr="004F01AB">
        <w:rPr>
          <w:lang w:val="fr-FR"/>
        </w:rPr>
        <w:tab/>
      </w:r>
      <w:r w:rsidRPr="004F01AB">
        <w:rPr>
          <w:i/>
          <w:iCs/>
          <w:lang w:val="fr-FR"/>
        </w:rPr>
        <w:t>Reco</w:t>
      </w:r>
      <w:r w:rsidR="00A0642B" w:rsidRPr="004F01AB">
        <w:rPr>
          <w:i/>
          <w:iCs/>
          <w:lang w:val="fr-FR"/>
        </w:rPr>
        <w:t>nnaît</w:t>
      </w:r>
      <w:r w:rsidR="00EE7B3F">
        <w:rPr>
          <w:i/>
          <w:iCs/>
          <w:lang w:val="fr-FR"/>
        </w:rPr>
        <w:t> </w:t>
      </w:r>
      <w:r w:rsidRPr="004F01AB">
        <w:rPr>
          <w:lang w:val="fr-FR"/>
        </w:rPr>
        <w:t>:</w:t>
      </w:r>
    </w:p>
    <w:p w14:paraId="57884A51" w14:textId="7A54B7A5" w:rsidR="00C544A6" w:rsidRPr="004F01AB" w:rsidRDefault="00C544A6" w:rsidP="00C544A6">
      <w:pPr>
        <w:pStyle w:val="Para1"/>
        <w:numPr>
          <w:ilvl w:val="0"/>
          <w:numId w:val="0"/>
        </w:numPr>
        <w:tabs>
          <w:tab w:val="clear" w:pos="1134"/>
        </w:tabs>
        <w:ind w:left="567" w:firstLine="567"/>
        <w:rPr>
          <w:lang w:val="fr-FR"/>
        </w:rPr>
      </w:pPr>
      <w:r w:rsidRPr="004F01AB">
        <w:rPr>
          <w:lang w:val="fr-FR"/>
        </w:rPr>
        <w:t>a)</w:t>
      </w:r>
      <w:r w:rsidRPr="004F01AB">
        <w:rPr>
          <w:lang w:val="fr-FR"/>
        </w:rPr>
        <w:tab/>
        <w:t>Que les programmes de travail et les travaux intersectoriels relevant de la Convention sur la diversité biologique restent des outils importants pour appuyer la mise en œuvre du Cadre mondial de la biodiversité de Kunming-Montréal, bien que certains programmes de travail doivent être mis à jour</w:t>
      </w:r>
      <w:r w:rsidR="00184206" w:rsidRPr="004F01AB">
        <w:rPr>
          <w:lang w:val="fr-FR"/>
        </w:rPr>
        <w:t> </w:t>
      </w:r>
      <w:r w:rsidRPr="004F01AB">
        <w:rPr>
          <w:lang w:val="fr-FR"/>
        </w:rPr>
        <w:t>;</w:t>
      </w:r>
    </w:p>
    <w:p w14:paraId="2297DCB8" w14:textId="6C342293" w:rsidR="00C544A6" w:rsidRPr="004F01AB" w:rsidRDefault="00C544A6" w:rsidP="00C544A6">
      <w:pPr>
        <w:pStyle w:val="Para1"/>
        <w:numPr>
          <w:ilvl w:val="0"/>
          <w:numId w:val="0"/>
        </w:numPr>
        <w:tabs>
          <w:tab w:val="clear" w:pos="1134"/>
        </w:tabs>
        <w:ind w:left="567" w:firstLine="567"/>
        <w:rPr>
          <w:lang w:val="fr-FR"/>
        </w:rPr>
      </w:pPr>
      <w:r w:rsidRPr="004F01AB">
        <w:rPr>
          <w:lang w:val="fr-FR"/>
        </w:rPr>
        <w:lastRenderedPageBreak/>
        <w:t>b)</w:t>
      </w:r>
      <w:r w:rsidRPr="004F01AB">
        <w:rPr>
          <w:lang w:val="fr-FR"/>
        </w:rPr>
        <w:tab/>
        <w:t>Que la plupart des outils et des orientations élaborés au titre de la Convention et de ses protocoles sont pertinents pour ce qui est de la mise en œuvre du Cadre et fournissent déjà une base solide pour en appuyer la mise en œuvre immédiate</w:t>
      </w:r>
      <w:r w:rsidR="006F435B">
        <w:rPr>
          <w:lang w:val="fr-FR"/>
        </w:rPr>
        <w:t> </w:t>
      </w:r>
      <w:r w:rsidRPr="004F01AB">
        <w:rPr>
          <w:lang w:val="fr-FR"/>
        </w:rPr>
        <w:t>;</w:t>
      </w:r>
    </w:p>
    <w:p w14:paraId="36FB49C6" w14:textId="6208487D" w:rsidR="00C544A6" w:rsidRPr="004F01AB" w:rsidRDefault="00C544A6" w:rsidP="00C544A6">
      <w:pPr>
        <w:pStyle w:val="Para1"/>
        <w:numPr>
          <w:ilvl w:val="0"/>
          <w:numId w:val="0"/>
        </w:numPr>
        <w:tabs>
          <w:tab w:val="clear" w:pos="1134"/>
        </w:tabs>
        <w:ind w:left="567" w:firstLine="567"/>
        <w:rPr>
          <w:lang w:val="fr-FR"/>
        </w:rPr>
      </w:pPr>
      <w:r w:rsidRPr="004F01AB">
        <w:rPr>
          <w:lang w:val="fr-FR"/>
        </w:rPr>
        <w:t>c)</w:t>
      </w:r>
      <w:r w:rsidRPr="004F01AB">
        <w:rPr>
          <w:lang w:val="fr-FR"/>
        </w:rPr>
        <w:tab/>
        <w:t>Que la priorité concernant les travaux supplémentaires doit être accordée à l’appui en matière d’outils et d’orientations en vue d’améliorer la mise en œuvre du Cadre, notamment grâce à des ressources financières adéquates, au renforcement et au développement des capacités, à la coopération technique et scientifique et au transfert de technologies, en particulier en faveur des pays en développement</w:t>
      </w:r>
      <w:r w:rsidR="00ED2A23" w:rsidRPr="004F01AB">
        <w:rPr>
          <w:lang w:val="fr-FR"/>
        </w:rPr>
        <w:t>, notamment les pays les moins avancés</w:t>
      </w:r>
      <w:r w:rsidR="00C76782" w:rsidRPr="004F01AB">
        <w:rPr>
          <w:lang w:val="fr-FR"/>
        </w:rPr>
        <w:t xml:space="preserve">, les petits États insulaires en développement et les pays </w:t>
      </w:r>
      <w:r w:rsidR="00991DA0" w:rsidRPr="004F01AB">
        <w:rPr>
          <w:lang w:val="fr-FR"/>
        </w:rPr>
        <w:t xml:space="preserve">à </w:t>
      </w:r>
      <w:r w:rsidR="00C76782" w:rsidRPr="004F01AB">
        <w:rPr>
          <w:lang w:val="fr-FR"/>
        </w:rPr>
        <w:t>économie en transition </w:t>
      </w:r>
      <w:r w:rsidRPr="004F01AB">
        <w:rPr>
          <w:lang w:val="fr-FR"/>
        </w:rPr>
        <w:t>;</w:t>
      </w:r>
    </w:p>
    <w:p w14:paraId="6149FCFB" w14:textId="71BB1F2B" w:rsidR="00C544A6" w:rsidRPr="004F01AB" w:rsidRDefault="00C544A6" w:rsidP="00C544A6">
      <w:pPr>
        <w:pStyle w:val="Para1"/>
        <w:numPr>
          <w:ilvl w:val="0"/>
          <w:numId w:val="0"/>
        </w:numPr>
        <w:tabs>
          <w:tab w:val="clear" w:pos="1134"/>
        </w:tabs>
        <w:ind w:left="567" w:firstLine="567"/>
        <w:rPr>
          <w:lang w:val="fr-FR"/>
        </w:rPr>
      </w:pPr>
      <w:r w:rsidRPr="004F01AB">
        <w:rPr>
          <w:lang w:val="fr-FR"/>
        </w:rPr>
        <w:t>d)</w:t>
      </w:r>
      <w:r w:rsidRPr="004F01AB">
        <w:rPr>
          <w:lang w:val="fr-FR"/>
        </w:rPr>
        <w:tab/>
        <w:t xml:space="preserve">Qu’il est possible d’intégrer le Cadre dans les travaux réalisés au titre d’autres accords et processus intergouvernementaux pertinents et par des organisations internationales, le secteur privé et d’autres parties prenantes, </w:t>
      </w:r>
      <w:r w:rsidR="00171461" w:rsidRPr="00171461">
        <w:rPr>
          <w:lang w:val="fr-FR"/>
        </w:rPr>
        <w:t>y compris les organisations représentant les peuples autochtones et communautés locales, les femmes et les jeunes,</w:t>
      </w:r>
      <w:r w:rsidRPr="004F01AB">
        <w:rPr>
          <w:lang w:val="fr-FR"/>
        </w:rPr>
        <w:t xml:space="preserve"> et dans des initiatives de développement et de renforcement des capacités, en vue d’intégrer les considérations relatives à la mise en œuvre du Cadre</w:t>
      </w:r>
      <w:r w:rsidRPr="004F01AB">
        <w:rPr>
          <w:rStyle w:val="Appelnotedebasdep"/>
          <w:lang w:val="fr-FR"/>
        </w:rPr>
        <w:footnoteReference w:id="4"/>
      </w:r>
      <w:r w:rsidRPr="004F01AB">
        <w:rPr>
          <w:lang w:val="fr-FR"/>
        </w:rPr>
        <w:t xml:space="preserve"> dans les outils et les orientations élaborés au titre de ces processus et initiatives, afin qu’ils soutiennent les activités en faveur de la biodiversité et leurs résultats</w:t>
      </w:r>
      <w:r w:rsidR="009375CD">
        <w:rPr>
          <w:lang w:val="fr-FR"/>
        </w:rPr>
        <w:t> </w:t>
      </w:r>
      <w:r w:rsidRPr="004F01AB">
        <w:rPr>
          <w:lang w:val="fr-FR"/>
        </w:rPr>
        <w:t>;</w:t>
      </w:r>
    </w:p>
    <w:p w14:paraId="7694DA8D" w14:textId="3024D538" w:rsidR="00D965A1" w:rsidRPr="004F01AB" w:rsidRDefault="00C544A6" w:rsidP="00C544A6">
      <w:pPr>
        <w:pStyle w:val="Para1"/>
        <w:numPr>
          <w:ilvl w:val="0"/>
          <w:numId w:val="0"/>
        </w:numPr>
        <w:tabs>
          <w:tab w:val="clear" w:pos="1134"/>
        </w:tabs>
        <w:ind w:left="567" w:firstLine="567"/>
        <w:rPr>
          <w:lang w:val="fr-FR"/>
        </w:rPr>
      </w:pPr>
      <w:r w:rsidRPr="004F01AB">
        <w:rPr>
          <w:lang w:val="fr-FR"/>
        </w:rPr>
        <w:t>e)</w:t>
      </w:r>
      <w:r w:rsidRPr="004F01AB">
        <w:rPr>
          <w:lang w:val="fr-FR"/>
        </w:rPr>
        <w:tab/>
        <w:t>Le rôle potentiel</w:t>
      </w:r>
      <w:r w:rsidR="0035761D" w:rsidRPr="004F01AB">
        <w:rPr>
          <w:lang w:val="fr-FR"/>
        </w:rPr>
        <w:t xml:space="preserve"> et </w:t>
      </w:r>
      <w:r w:rsidRPr="004F01AB">
        <w:rPr>
          <w:lang w:val="fr-FR"/>
        </w:rPr>
        <w:t>important que jouent les centres régionaux et sous-régionaux d’appui à la coopération technique et scientifique et le</w:t>
      </w:r>
      <w:r w:rsidR="005C1FD0" w:rsidRPr="004F01AB">
        <w:rPr>
          <w:lang w:val="fr-FR"/>
        </w:rPr>
        <w:t>s</w:t>
      </w:r>
      <w:r w:rsidRPr="004F01AB">
        <w:rPr>
          <w:lang w:val="fr-FR"/>
        </w:rPr>
        <w:t xml:space="preserve"> </w:t>
      </w:r>
      <w:r w:rsidR="005C1FD0" w:rsidRPr="004F01AB">
        <w:rPr>
          <w:lang w:val="fr-FR"/>
        </w:rPr>
        <w:t xml:space="preserve">initiatives pertinentes </w:t>
      </w:r>
      <w:r w:rsidRPr="004F01AB">
        <w:rPr>
          <w:lang w:val="fr-FR"/>
        </w:rPr>
        <w:t>pour appuyer l’utilisation d’outils et d’orientations destinés à faciliter la mise en œuvre du Cadre, le cas échéant</w:t>
      </w:r>
      <w:r w:rsidR="0093372F">
        <w:rPr>
          <w:lang w:val="fr-FR"/>
        </w:rPr>
        <w:t> </w:t>
      </w:r>
      <w:r w:rsidRPr="004F01AB">
        <w:rPr>
          <w:lang w:val="fr-FR"/>
        </w:rPr>
        <w:t xml:space="preserve">; </w:t>
      </w:r>
      <w:r w:rsidR="00AA1791" w:rsidRPr="004F01AB">
        <w:rPr>
          <w:lang w:val="fr-FR"/>
        </w:rPr>
        <w:t xml:space="preserve"> </w:t>
      </w:r>
    </w:p>
    <w:p w14:paraId="48A304F5" w14:textId="6E184AD2" w:rsidR="00AA1791" w:rsidRPr="004F01AB" w:rsidRDefault="00AA1791" w:rsidP="00AA1791">
      <w:pPr>
        <w:pStyle w:val="Para1"/>
        <w:numPr>
          <w:ilvl w:val="0"/>
          <w:numId w:val="0"/>
        </w:numPr>
        <w:tabs>
          <w:tab w:val="clear" w:pos="1134"/>
        </w:tabs>
        <w:ind w:left="567" w:firstLine="567"/>
        <w:rPr>
          <w:lang w:val="fr-FR"/>
        </w:rPr>
      </w:pPr>
      <w:r w:rsidRPr="004F01AB">
        <w:rPr>
          <w:lang w:val="fr-FR"/>
        </w:rPr>
        <w:t>2.</w:t>
      </w:r>
      <w:r w:rsidRPr="004F01AB">
        <w:rPr>
          <w:lang w:val="fr-FR"/>
        </w:rPr>
        <w:tab/>
      </w:r>
      <w:r w:rsidR="001020B7">
        <w:rPr>
          <w:i/>
          <w:iCs/>
          <w:lang w:val="fr-FR"/>
        </w:rPr>
        <w:t xml:space="preserve">Décide </w:t>
      </w:r>
      <w:r w:rsidR="0050060E">
        <w:rPr>
          <w:lang w:val="fr-FR"/>
        </w:rPr>
        <w:t xml:space="preserve">que les </w:t>
      </w:r>
      <w:r w:rsidR="00624B87" w:rsidRPr="004F01AB">
        <w:rPr>
          <w:lang w:val="fr-FR"/>
        </w:rPr>
        <w:t xml:space="preserve">travaux </w:t>
      </w:r>
      <w:r w:rsidR="0050060E">
        <w:rPr>
          <w:lang w:val="fr-FR"/>
        </w:rPr>
        <w:t>pourraient</w:t>
      </w:r>
      <w:r w:rsidR="00171461">
        <w:rPr>
          <w:lang w:val="fr-FR"/>
        </w:rPr>
        <w:t xml:space="preserve"> </w:t>
      </w:r>
      <w:r w:rsidR="0050060E">
        <w:rPr>
          <w:lang w:val="fr-FR"/>
        </w:rPr>
        <w:t>être engagé</w:t>
      </w:r>
      <w:r w:rsidR="002F3E47">
        <w:rPr>
          <w:lang w:val="fr-FR"/>
        </w:rPr>
        <w:t xml:space="preserve">s </w:t>
      </w:r>
      <w:r w:rsidR="00BE3BF5" w:rsidRPr="004F01AB">
        <w:rPr>
          <w:lang w:val="fr-FR"/>
        </w:rPr>
        <w:t xml:space="preserve">sur </w:t>
      </w:r>
      <w:r w:rsidR="00624B87" w:rsidRPr="004F01AB">
        <w:rPr>
          <w:lang w:val="fr-FR"/>
        </w:rPr>
        <w:t xml:space="preserve">les </w:t>
      </w:r>
      <w:r w:rsidR="00BE3BF5" w:rsidRPr="004F01AB">
        <w:rPr>
          <w:lang w:val="fr-FR"/>
        </w:rPr>
        <w:t xml:space="preserve">thèmes </w:t>
      </w:r>
      <w:r w:rsidR="00624B87" w:rsidRPr="004F01AB">
        <w:rPr>
          <w:lang w:val="fr-FR"/>
        </w:rPr>
        <w:t xml:space="preserve">suivants, en évitant les </w:t>
      </w:r>
      <w:r w:rsidR="00BE3BF5" w:rsidRPr="004F01AB">
        <w:rPr>
          <w:lang w:val="fr-FR"/>
        </w:rPr>
        <w:t xml:space="preserve">chevauchements </w:t>
      </w:r>
      <w:r w:rsidR="00624B87" w:rsidRPr="004F01AB">
        <w:rPr>
          <w:lang w:val="fr-FR"/>
        </w:rPr>
        <w:t xml:space="preserve">avec les processus multilatéraux existants et en </w:t>
      </w:r>
      <w:r w:rsidR="00611814">
        <w:rPr>
          <w:lang w:val="fr-FR"/>
        </w:rPr>
        <w:t xml:space="preserve">conformité avec leurs </w:t>
      </w:r>
      <w:r w:rsidR="00624B87" w:rsidRPr="004F01AB">
        <w:rPr>
          <w:lang w:val="fr-FR"/>
        </w:rPr>
        <w:t>mandats</w:t>
      </w:r>
      <w:r w:rsidR="00BE3BF5" w:rsidRPr="004F01AB">
        <w:rPr>
          <w:lang w:val="fr-FR"/>
        </w:rPr>
        <w:t> </w:t>
      </w:r>
      <w:r w:rsidR="00E22478" w:rsidRPr="004F01AB">
        <w:rPr>
          <w:lang w:val="fr-FR"/>
        </w:rPr>
        <w:t>:</w:t>
      </w:r>
      <w:r w:rsidRPr="004F01AB">
        <w:rPr>
          <w:lang w:val="fr-FR"/>
        </w:rPr>
        <w:t xml:space="preserve"> </w:t>
      </w:r>
    </w:p>
    <w:p w14:paraId="3101FB2E" w14:textId="22D530A3" w:rsidR="00AA1791" w:rsidRPr="004F01AB" w:rsidRDefault="00AA1791" w:rsidP="00AA1791">
      <w:pPr>
        <w:pStyle w:val="Para1"/>
        <w:numPr>
          <w:ilvl w:val="0"/>
          <w:numId w:val="0"/>
        </w:numPr>
        <w:tabs>
          <w:tab w:val="clear" w:pos="1134"/>
        </w:tabs>
        <w:ind w:left="567" w:firstLine="567"/>
        <w:rPr>
          <w:lang w:val="fr-FR"/>
        </w:rPr>
      </w:pPr>
      <w:r w:rsidRPr="004F01AB">
        <w:rPr>
          <w:lang w:val="fr-FR"/>
        </w:rPr>
        <w:t>a)</w:t>
      </w:r>
      <w:r w:rsidRPr="004F01AB">
        <w:rPr>
          <w:lang w:val="fr-FR"/>
        </w:rPr>
        <w:tab/>
      </w:r>
      <w:r w:rsidR="0084683B" w:rsidRPr="004F01AB">
        <w:rPr>
          <w:lang w:val="fr-FR"/>
        </w:rPr>
        <w:t>Aménagement du territoire tenant compte de la biodiversité</w:t>
      </w:r>
      <w:r w:rsidR="002F3E47">
        <w:rPr>
          <w:lang w:val="fr-FR"/>
        </w:rPr>
        <w:t> </w:t>
      </w:r>
      <w:r w:rsidRPr="004F01AB">
        <w:rPr>
          <w:lang w:val="fr-FR"/>
        </w:rPr>
        <w:t xml:space="preserve">; </w:t>
      </w:r>
    </w:p>
    <w:p w14:paraId="340DD4D3" w14:textId="0ABD6AE1" w:rsidR="00AA1791" w:rsidRPr="004F01AB" w:rsidRDefault="00AA1791" w:rsidP="00AA1791">
      <w:pPr>
        <w:pStyle w:val="Para1"/>
        <w:numPr>
          <w:ilvl w:val="0"/>
          <w:numId w:val="0"/>
        </w:numPr>
        <w:tabs>
          <w:tab w:val="clear" w:pos="1134"/>
        </w:tabs>
        <w:ind w:left="567" w:firstLine="567"/>
        <w:rPr>
          <w:lang w:val="fr-FR"/>
        </w:rPr>
      </w:pPr>
      <w:r w:rsidRPr="004F01AB">
        <w:rPr>
          <w:lang w:val="fr-FR"/>
        </w:rPr>
        <w:t>b)</w:t>
      </w:r>
      <w:r w:rsidRPr="004F01AB">
        <w:rPr>
          <w:lang w:val="fr-FR"/>
        </w:rPr>
        <w:tab/>
        <w:t xml:space="preserve">Pollution </w:t>
      </w:r>
      <w:r w:rsidR="0084683B" w:rsidRPr="004F01AB">
        <w:rPr>
          <w:lang w:val="fr-FR"/>
        </w:rPr>
        <w:t xml:space="preserve">et </w:t>
      </w:r>
      <w:r w:rsidRPr="004F01AB">
        <w:rPr>
          <w:lang w:val="fr-FR"/>
        </w:rPr>
        <w:t>biodiversit</w:t>
      </w:r>
      <w:r w:rsidR="0084683B" w:rsidRPr="004F01AB">
        <w:rPr>
          <w:lang w:val="fr-FR"/>
        </w:rPr>
        <w:t>é</w:t>
      </w:r>
      <w:r w:rsidR="002F3E47">
        <w:rPr>
          <w:lang w:val="fr-FR"/>
        </w:rPr>
        <w:t> </w:t>
      </w:r>
      <w:r w:rsidRPr="004F01AB">
        <w:rPr>
          <w:lang w:val="fr-FR"/>
        </w:rPr>
        <w:t xml:space="preserve">; </w:t>
      </w:r>
    </w:p>
    <w:p w14:paraId="2BFE1C92" w14:textId="0265F03B" w:rsidR="00D965A1" w:rsidRDefault="00AA1791" w:rsidP="00AA1791">
      <w:pPr>
        <w:pStyle w:val="Para1"/>
        <w:numPr>
          <w:ilvl w:val="0"/>
          <w:numId w:val="0"/>
        </w:numPr>
        <w:tabs>
          <w:tab w:val="clear" w:pos="1134"/>
        </w:tabs>
        <w:ind w:left="567" w:firstLine="567"/>
        <w:rPr>
          <w:lang w:val="fr-FR"/>
        </w:rPr>
      </w:pPr>
      <w:r w:rsidRPr="004F01AB">
        <w:rPr>
          <w:lang w:val="fr-FR"/>
        </w:rPr>
        <w:t>c)</w:t>
      </w:r>
      <w:r w:rsidRPr="004F01AB">
        <w:rPr>
          <w:lang w:val="fr-FR"/>
        </w:rPr>
        <w:tab/>
      </w:r>
      <w:r w:rsidR="009C5C7D" w:rsidRPr="004F01AB">
        <w:rPr>
          <w:lang w:val="fr-FR"/>
        </w:rPr>
        <w:t>Activités, produits et services durables fondés sur la biodiversité qui améliorent la biodiversité</w:t>
      </w:r>
      <w:r w:rsidR="002F3E47">
        <w:rPr>
          <w:lang w:val="fr-FR"/>
        </w:rPr>
        <w:t> </w:t>
      </w:r>
      <w:r w:rsidR="009C5C7D" w:rsidRPr="004F01AB">
        <w:rPr>
          <w:lang w:val="fr-FR"/>
        </w:rPr>
        <w:t>;</w:t>
      </w:r>
    </w:p>
    <w:p w14:paraId="11AA7693" w14:textId="65F65E3A" w:rsidR="00AA1791" w:rsidRDefault="00D965A1" w:rsidP="009154F8">
      <w:pPr>
        <w:pStyle w:val="Para1"/>
        <w:numPr>
          <w:ilvl w:val="0"/>
          <w:numId w:val="0"/>
        </w:numPr>
        <w:tabs>
          <w:tab w:val="clear" w:pos="1134"/>
        </w:tabs>
        <w:ind w:left="567" w:firstLine="567"/>
        <w:rPr>
          <w:lang w:val="fr-FR"/>
        </w:rPr>
      </w:pPr>
      <w:r w:rsidRPr="004F01AB">
        <w:rPr>
          <w:lang w:val="fr-FR"/>
        </w:rPr>
        <w:t>d)</w:t>
      </w:r>
      <w:r w:rsidR="00BC64A9" w:rsidRPr="004F01AB">
        <w:rPr>
          <w:lang w:val="fr-FR"/>
        </w:rPr>
        <w:tab/>
      </w:r>
      <w:r w:rsidR="00495064" w:rsidRPr="004F01AB">
        <w:rPr>
          <w:lang w:val="fr-FR"/>
        </w:rPr>
        <w:t>Approche fondée sur l’équité, l’égalité des genres et les droits de la personne en matière de conservation et d’utilisation durable de la biodiversité</w:t>
      </w:r>
      <w:r w:rsidR="00651AB3">
        <w:rPr>
          <w:lang w:val="fr-FR"/>
        </w:rPr>
        <w:t>, ainsi que sur le partage juste et équitable des avantages découlant de l’utilisation des ressources génétiques</w:t>
      </w:r>
      <w:r w:rsidR="00261E86">
        <w:rPr>
          <w:lang w:val="fr-FR"/>
        </w:rPr>
        <w:t> </w:t>
      </w:r>
      <w:r w:rsidR="00AA1791" w:rsidRPr="004F01AB">
        <w:rPr>
          <w:lang w:val="fr-FR"/>
        </w:rPr>
        <w:t>;</w:t>
      </w:r>
    </w:p>
    <w:p w14:paraId="3C86AAA3" w14:textId="33093E1C" w:rsidR="000B5209" w:rsidRPr="004F01AB" w:rsidRDefault="000B5209" w:rsidP="009154F8">
      <w:pPr>
        <w:pStyle w:val="Para1"/>
        <w:numPr>
          <w:ilvl w:val="0"/>
          <w:numId w:val="0"/>
        </w:numPr>
        <w:tabs>
          <w:tab w:val="clear" w:pos="1134"/>
        </w:tabs>
        <w:ind w:left="567" w:firstLine="567"/>
        <w:rPr>
          <w:lang w:val="fr-FR"/>
        </w:rPr>
      </w:pPr>
      <w:r w:rsidRPr="000B5209">
        <w:rPr>
          <w:lang w:val="fr-FR"/>
        </w:rPr>
        <w:t>e)</w:t>
      </w:r>
      <w:r w:rsidR="00EC260F" w:rsidRPr="00EC260F">
        <w:rPr>
          <w:lang w:val="fr-FR"/>
        </w:rPr>
        <w:t xml:space="preserve"> </w:t>
      </w:r>
      <w:r w:rsidR="00EC260F" w:rsidRPr="004F01AB">
        <w:rPr>
          <w:lang w:val="fr-FR"/>
        </w:rPr>
        <w:tab/>
      </w:r>
      <w:r w:rsidRPr="000B5209">
        <w:rPr>
          <w:lang w:val="fr-FR"/>
        </w:rPr>
        <w:t xml:space="preserve"> </w:t>
      </w:r>
      <w:r>
        <w:rPr>
          <w:lang w:val="fr-FR"/>
        </w:rPr>
        <w:t xml:space="preserve">Différents </w:t>
      </w:r>
      <w:r w:rsidRPr="000B5209">
        <w:rPr>
          <w:lang w:val="fr-FR"/>
        </w:rPr>
        <w:t>systèmes de valeurs, comme indiqué au paragraphe 7</w:t>
      </w:r>
      <w:r>
        <w:rPr>
          <w:lang w:val="fr-FR"/>
        </w:rPr>
        <w:t> </w:t>
      </w:r>
      <w:r w:rsidRPr="000B5209">
        <w:rPr>
          <w:lang w:val="fr-FR"/>
        </w:rPr>
        <w:t>b) de la section</w:t>
      </w:r>
      <w:r>
        <w:rPr>
          <w:lang w:val="fr-FR"/>
        </w:rPr>
        <w:t> </w:t>
      </w:r>
      <w:r w:rsidRPr="000B5209">
        <w:rPr>
          <w:lang w:val="fr-FR"/>
        </w:rPr>
        <w:t>C du Cadre</w:t>
      </w:r>
      <w:r w:rsidR="0093394C">
        <w:rPr>
          <w:lang w:val="fr-FR"/>
        </w:rPr>
        <w:t> </w:t>
      </w:r>
      <w:r w:rsidRPr="000B5209">
        <w:rPr>
          <w:lang w:val="fr-FR"/>
        </w:rPr>
        <w:t>;</w:t>
      </w:r>
    </w:p>
    <w:p w14:paraId="7FCB5FC4" w14:textId="04A07FA8" w:rsidR="00CA75F0" w:rsidRPr="004F01AB" w:rsidRDefault="00CA75F0" w:rsidP="00CA75F0">
      <w:pPr>
        <w:pStyle w:val="Para1"/>
        <w:numPr>
          <w:ilvl w:val="0"/>
          <w:numId w:val="0"/>
        </w:numPr>
        <w:tabs>
          <w:tab w:val="clear" w:pos="1134"/>
        </w:tabs>
        <w:ind w:left="567" w:firstLine="567"/>
        <w:rPr>
          <w:lang w:val="fr-FR"/>
        </w:rPr>
      </w:pPr>
      <w:r w:rsidRPr="004F01AB">
        <w:rPr>
          <w:lang w:val="fr-FR"/>
        </w:rPr>
        <w:t>3.</w:t>
      </w:r>
      <w:r w:rsidRPr="004F01AB">
        <w:rPr>
          <w:lang w:val="fr-FR"/>
        </w:rPr>
        <w:tab/>
      </w:r>
      <w:r w:rsidRPr="004F01AB">
        <w:rPr>
          <w:i/>
          <w:iCs/>
          <w:lang w:val="fr-FR"/>
        </w:rPr>
        <w:t xml:space="preserve">Encourage les </w:t>
      </w:r>
      <w:r w:rsidRPr="004F01AB">
        <w:rPr>
          <w:lang w:val="fr-FR"/>
        </w:rPr>
        <w:t xml:space="preserve">Parties, les autres gouvernements, les accords multilatéraux sur l’environnement et les autres accords pertinents, les processus intergouvernementaux, les organisations et initiatives internationales, les peuples autochtones et communautés locales, les organisations de femmes et de jeunes, ainsi que d’autres parties prenantes compétentes, à utiliser les outils et les orientations pertinents pour appuyer la mise en œuvre du Cadre, adapté au contexte national, s’il y a lieu, et à partager leurs données d’expérience et les enseignements qu’ils ont tirés de l’utilisation des outils et des orientations, y compris leur efficacité, les obstacles à leur adoption et les moyens de les surmonter, notamment au niveau national, par l’intermédiaire du centre d’échange de la Convention ; </w:t>
      </w:r>
    </w:p>
    <w:p w14:paraId="3825EEC5" w14:textId="798D1103" w:rsidR="00CA75F0" w:rsidRPr="004F01AB" w:rsidRDefault="00CA75F0" w:rsidP="00CA75F0">
      <w:pPr>
        <w:pStyle w:val="Para1"/>
        <w:numPr>
          <w:ilvl w:val="0"/>
          <w:numId w:val="0"/>
        </w:numPr>
        <w:tabs>
          <w:tab w:val="clear" w:pos="1134"/>
        </w:tabs>
        <w:ind w:left="567" w:firstLine="567"/>
        <w:rPr>
          <w:lang w:val="fr-FR"/>
        </w:rPr>
      </w:pPr>
      <w:r w:rsidRPr="004F01AB">
        <w:rPr>
          <w:lang w:val="fr-FR"/>
        </w:rPr>
        <w:t>4.</w:t>
      </w:r>
      <w:r w:rsidRPr="004F01AB">
        <w:rPr>
          <w:lang w:val="fr-FR"/>
        </w:rPr>
        <w:tab/>
      </w:r>
      <w:r w:rsidRPr="004F01AB">
        <w:rPr>
          <w:i/>
          <w:iCs/>
          <w:lang w:val="fr-FR"/>
        </w:rPr>
        <w:t>Prie</w:t>
      </w:r>
      <w:r w:rsidRPr="004F01AB">
        <w:rPr>
          <w:lang w:val="fr-FR"/>
        </w:rPr>
        <w:t xml:space="preserve"> le </w:t>
      </w:r>
      <w:r w:rsidR="00EC260F">
        <w:rPr>
          <w:lang w:val="fr-FR"/>
        </w:rPr>
        <w:t>s</w:t>
      </w:r>
      <w:r w:rsidRPr="004F01AB">
        <w:rPr>
          <w:lang w:val="fr-FR"/>
        </w:rPr>
        <w:t>ecrétariat, sous réserve de la disponibilité des ressources :</w:t>
      </w:r>
    </w:p>
    <w:p w14:paraId="3C3BDBE0" w14:textId="791D3E96" w:rsidR="00663C70" w:rsidRPr="004F01AB" w:rsidRDefault="00CA75F0" w:rsidP="00CA75F0">
      <w:pPr>
        <w:pStyle w:val="Para1"/>
        <w:numPr>
          <w:ilvl w:val="0"/>
          <w:numId w:val="0"/>
        </w:numPr>
        <w:tabs>
          <w:tab w:val="clear" w:pos="1134"/>
        </w:tabs>
        <w:ind w:left="567" w:firstLine="567"/>
        <w:rPr>
          <w:lang w:val="fr-FR"/>
        </w:rPr>
      </w:pPr>
      <w:r w:rsidRPr="004F01AB">
        <w:rPr>
          <w:lang w:val="fr-FR"/>
        </w:rPr>
        <w:t>a)</w:t>
      </w:r>
      <w:r w:rsidRPr="004F01AB">
        <w:rPr>
          <w:lang w:val="fr-FR"/>
        </w:rPr>
        <w:tab/>
        <w:t>De continuer à faciliter la synthèse des outils des orientations scientifiques et techniques ainsi que l’accès à ceux-ci, en collaboration avec les partenaires concernés, notamment au moyen du Centre d’échange de la Convention</w:t>
      </w:r>
      <w:r w:rsidR="00255695">
        <w:rPr>
          <w:lang w:val="fr-FR"/>
        </w:rPr>
        <w:t> </w:t>
      </w:r>
      <w:r w:rsidRPr="004F01AB">
        <w:rPr>
          <w:lang w:val="fr-FR"/>
        </w:rPr>
        <w:t>;</w:t>
      </w:r>
    </w:p>
    <w:p w14:paraId="3EA76B7B" w14:textId="6C7C2323" w:rsidR="00663C70" w:rsidRPr="004F01AB" w:rsidRDefault="00663C70" w:rsidP="00AA1791">
      <w:pPr>
        <w:pStyle w:val="Para1"/>
        <w:numPr>
          <w:ilvl w:val="0"/>
          <w:numId w:val="0"/>
        </w:numPr>
        <w:tabs>
          <w:tab w:val="clear" w:pos="1134"/>
        </w:tabs>
        <w:ind w:left="567" w:firstLine="567"/>
        <w:rPr>
          <w:lang w:val="fr-FR"/>
        </w:rPr>
      </w:pPr>
      <w:r w:rsidRPr="004F01AB">
        <w:rPr>
          <w:lang w:val="fr-FR"/>
        </w:rPr>
        <w:lastRenderedPageBreak/>
        <w:t xml:space="preserve">b) </w:t>
      </w:r>
      <w:r w:rsidR="00EB403D" w:rsidRPr="004F01AB">
        <w:rPr>
          <w:lang w:val="fr-FR"/>
        </w:rPr>
        <w:tab/>
      </w:r>
      <w:r w:rsidR="00544720" w:rsidRPr="004F01AB">
        <w:rPr>
          <w:lang w:val="fr-FR"/>
        </w:rPr>
        <w:t>De continuer à faciliter l’élaboration et l</w:t>
      </w:r>
      <w:r w:rsidR="005D5176" w:rsidRPr="004F01AB">
        <w:rPr>
          <w:lang w:val="fr-FR"/>
        </w:rPr>
        <w:t xml:space="preserve">’actualisation </w:t>
      </w:r>
      <w:r w:rsidR="00544720" w:rsidRPr="004F01AB">
        <w:rPr>
          <w:lang w:val="fr-FR"/>
        </w:rPr>
        <w:t>des outils et des orientations</w:t>
      </w:r>
      <w:r w:rsidR="0037580E" w:rsidRPr="0037580E">
        <w:rPr>
          <w:vertAlign w:val="superscript"/>
          <w:lang w:val="en-GB"/>
        </w:rPr>
        <w:footnoteReference w:id="5"/>
      </w:r>
      <w:r w:rsidR="00544720" w:rsidRPr="004F01AB">
        <w:rPr>
          <w:lang w:val="fr-FR"/>
        </w:rPr>
        <w:t xml:space="preserve"> destinés à </w:t>
      </w:r>
      <w:r w:rsidR="005D5176" w:rsidRPr="004F01AB">
        <w:rPr>
          <w:lang w:val="fr-FR"/>
        </w:rPr>
        <w:t xml:space="preserve">appuyer </w:t>
      </w:r>
      <w:r w:rsidR="00544720" w:rsidRPr="004F01AB">
        <w:rPr>
          <w:lang w:val="fr-FR"/>
        </w:rPr>
        <w:t xml:space="preserve">la mise en œuvre du </w:t>
      </w:r>
      <w:r w:rsidR="005D5176" w:rsidRPr="004F01AB">
        <w:rPr>
          <w:lang w:val="fr-FR"/>
        </w:rPr>
        <w:t>C</w:t>
      </w:r>
      <w:r w:rsidR="00544720" w:rsidRPr="004F01AB">
        <w:rPr>
          <w:lang w:val="fr-FR"/>
        </w:rPr>
        <w:t>adre</w:t>
      </w:r>
      <w:r w:rsidR="003C34C1">
        <w:rPr>
          <w:lang w:val="fr-FR"/>
        </w:rPr>
        <w:t>,</w:t>
      </w:r>
      <w:r w:rsidRPr="004F01AB">
        <w:rPr>
          <w:lang w:val="fr-FR"/>
        </w:rPr>
        <w:t xml:space="preserve"> </w:t>
      </w:r>
      <w:r w:rsidR="00EF20F0" w:rsidRPr="004F01AB">
        <w:rPr>
          <w:lang w:val="fr-FR"/>
        </w:rPr>
        <w:t xml:space="preserve">en évitant la duplication des outils et des orientations </w:t>
      </w:r>
      <w:r w:rsidR="0031115A" w:rsidRPr="004F01AB">
        <w:rPr>
          <w:lang w:val="fr-FR"/>
        </w:rPr>
        <w:t>existants</w:t>
      </w:r>
      <w:r w:rsidR="00340156" w:rsidRPr="004F01AB">
        <w:rPr>
          <w:rStyle w:val="Appelnotedebasdep"/>
          <w:lang w:val="fr-FR"/>
        </w:rPr>
        <w:footnoteReference w:id="6"/>
      </w:r>
      <w:r w:rsidR="0031115A" w:rsidRPr="004F01AB">
        <w:rPr>
          <w:lang w:val="fr-FR"/>
        </w:rPr>
        <w:t>,</w:t>
      </w:r>
      <w:r w:rsidRPr="004F01AB">
        <w:rPr>
          <w:lang w:val="fr-FR"/>
        </w:rPr>
        <w:t xml:space="preserve"> </w:t>
      </w:r>
      <w:r w:rsidR="001A0E1C" w:rsidRPr="004F01AB">
        <w:rPr>
          <w:lang w:val="fr-FR"/>
        </w:rPr>
        <w:t>et en consultation avec les Parties, les autres gouvernements, les peuples autochtones et les communautés locales, les organisations de femmes et de jeunes, et les parties prenantes concernées</w:t>
      </w:r>
      <w:r w:rsidR="003667BA" w:rsidRPr="004F01AB">
        <w:rPr>
          <w:lang w:val="fr-FR"/>
        </w:rPr>
        <w:t> </w:t>
      </w:r>
      <w:r w:rsidR="00253036" w:rsidRPr="004F01AB">
        <w:rPr>
          <w:lang w:val="fr-FR"/>
        </w:rPr>
        <w:t>;</w:t>
      </w:r>
    </w:p>
    <w:p w14:paraId="2AFB6064" w14:textId="7B28F882" w:rsidR="00B50A44" w:rsidRPr="0065267F" w:rsidRDefault="00AE47D3" w:rsidP="00AA1791">
      <w:pPr>
        <w:pStyle w:val="Para1"/>
        <w:numPr>
          <w:ilvl w:val="0"/>
          <w:numId w:val="0"/>
        </w:numPr>
        <w:tabs>
          <w:tab w:val="clear" w:pos="1134"/>
        </w:tabs>
        <w:ind w:left="567" w:firstLine="567"/>
        <w:rPr>
          <w:lang w:val="fr-FR"/>
        </w:rPr>
      </w:pPr>
      <w:r w:rsidRPr="004F01AB">
        <w:rPr>
          <w:lang w:val="fr-FR"/>
        </w:rPr>
        <w:t>c</w:t>
      </w:r>
      <w:r w:rsidR="00B50A44" w:rsidRPr="004F01AB">
        <w:rPr>
          <w:lang w:val="fr-FR"/>
        </w:rPr>
        <w:t>)</w:t>
      </w:r>
      <w:r w:rsidR="0023454D" w:rsidRPr="004F01AB">
        <w:rPr>
          <w:lang w:val="fr-FR"/>
        </w:rPr>
        <w:tab/>
      </w:r>
      <w:r w:rsidR="00414112">
        <w:rPr>
          <w:lang w:val="fr-FR"/>
        </w:rPr>
        <w:t>Dans le cadre des travaux susmentionnés</w:t>
      </w:r>
      <w:r w:rsidR="001F3A9B" w:rsidRPr="004F01AB">
        <w:rPr>
          <w:lang w:val="fr-FR"/>
        </w:rPr>
        <w:t>,</w:t>
      </w:r>
      <w:r w:rsidR="00B50A44" w:rsidRPr="004F01AB">
        <w:rPr>
          <w:lang w:val="fr-FR"/>
        </w:rPr>
        <w:t xml:space="preserve"> </w:t>
      </w:r>
      <w:r w:rsidR="000A18E9">
        <w:rPr>
          <w:lang w:val="fr-FR"/>
        </w:rPr>
        <w:t xml:space="preserve">de </w:t>
      </w:r>
      <w:r w:rsidR="000A18E9" w:rsidRPr="000A18E9">
        <w:rPr>
          <w:lang w:val="fr-FR"/>
        </w:rPr>
        <w:t xml:space="preserve">coopérer avec les </w:t>
      </w:r>
      <w:r w:rsidR="006240B4">
        <w:rPr>
          <w:lang w:val="fr-FR"/>
        </w:rPr>
        <w:t xml:space="preserve">instances </w:t>
      </w:r>
      <w:r w:rsidR="001C1D3C">
        <w:rPr>
          <w:lang w:val="fr-FR"/>
        </w:rPr>
        <w:t xml:space="preserve">qui mettent </w:t>
      </w:r>
      <w:r w:rsidR="00225CC3">
        <w:rPr>
          <w:lang w:val="fr-FR"/>
        </w:rPr>
        <w:t xml:space="preserve">en œuvre les </w:t>
      </w:r>
      <w:r w:rsidR="000A18E9" w:rsidRPr="000A18E9">
        <w:rPr>
          <w:lang w:val="fr-FR"/>
        </w:rPr>
        <w:t>accords</w:t>
      </w:r>
      <w:r w:rsidR="00225CC3">
        <w:rPr>
          <w:lang w:val="fr-FR"/>
        </w:rPr>
        <w:t xml:space="preserve"> </w:t>
      </w:r>
      <w:r w:rsidR="00FA186B">
        <w:rPr>
          <w:lang w:val="fr-FR"/>
        </w:rPr>
        <w:t xml:space="preserve">et processus </w:t>
      </w:r>
      <w:r w:rsidR="00225CC3" w:rsidRPr="000A18E9">
        <w:rPr>
          <w:lang w:val="fr-FR"/>
        </w:rPr>
        <w:t xml:space="preserve">multilatéraux pertinents </w:t>
      </w:r>
      <w:r w:rsidR="00725465">
        <w:rPr>
          <w:lang w:val="fr-FR"/>
        </w:rPr>
        <w:t>relatifs à l</w:t>
      </w:r>
      <w:r w:rsidR="00225CC3">
        <w:rPr>
          <w:lang w:val="fr-FR"/>
        </w:rPr>
        <w:t>’</w:t>
      </w:r>
      <w:r w:rsidR="00225CC3" w:rsidRPr="000A18E9">
        <w:rPr>
          <w:lang w:val="fr-FR"/>
        </w:rPr>
        <w:t>environnement</w:t>
      </w:r>
      <w:r w:rsidR="00225CC3">
        <w:rPr>
          <w:lang w:val="fr-FR"/>
        </w:rPr>
        <w:t xml:space="preserve"> ainsi qu’avec les </w:t>
      </w:r>
      <w:r w:rsidR="000A18E9" w:rsidRPr="000A18E9">
        <w:rPr>
          <w:lang w:val="fr-FR"/>
        </w:rPr>
        <w:t>organisations</w:t>
      </w:r>
      <w:r w:rsidR="00725465">
        <w:rPr>
          <w:lang w:val="fr-FR"/>
        </w:rPr>
        <w:t xml:space="preserve"> environnementales multilatérales</w:t>
      </w:r>
      <w:r w:rsidR="00934FBB">
        <w:rPr>
          <w:lang w:val="fr-FR"/>
        </w:rPr>
        <w:t xml:space="preserve"> pertinentes </w:t>
      </w:r>
      <w:r w:rsidR="000A18E9" w:rsidRPr="000A18E9">
        <w:rPr>
          <w:lang w:val="fr-FR"/>
        </w:rPr>
        <w:t xml:space="preserve">; </w:t>
      </w:r>
      <w:r w:rsidR="00171461">
        <w:rPr>
          <w:lang w:val="fr-FR"/>
        </w:rPr>
        <w:t xml:space="preserve">et, </w:t>
      </w:r>
      <w:r w:rsidR="000A18E9" w:rsidRPr="000A18E9">
        <w:rPr>
          <w:lang w:val="fr-FR"/>
        </w:rPr>
        <w:t xml:space="preserve">le cas échéant, </w:t>
      </w:r>
      <w:r w:rsidR="00A25B13">
        <w:rPr>
          <w:lang w:val="fr-FR"/>
        </w:rPr>
        <w:t xml:space="preserve">de </w:t>
      </w:r>
      <w:r w:rsidR="00934FBB">
        <w:rPr>
          <w:lang w:val="fr-FR"/>
        </w:rPr>
        <w:t xml:space="preserve">collaborer </w:t>
      </w:r>
      <w:r w:rsidR="000A18E9" w:rsidRPr="000A18E9">
        <w:rPr>
          <w:lang w:val="fr-FR"/>
        </w:rPr>
        <w:t>avec ces processus et organisations pertinents</w:t>
      </w:r>
      <w:r w:rsidR="00B50A44" w:rsidRPr="004F01AB">
        <w:rPr>
          <w:lang w:val="fr-FR"/>
        </w:rPr>
        <w:t xml:space="preserve"> </w:t>
      </w:r>
      <w:r w:rsidR="00934FBB">
        <w:rPr>
          <w:lang w:val="fr-FR"/>
        </w:rPr>
        <w:t>et</w:t>
      </w:r>
      <w:r w:rsidR="00D30ACB" w:rsidRPr="004F01AB">
        <w:rPr>
          <w:lang w:val="fr-FR"/>
        </w:rPr>
        <w:t>,</w:t>
      </w:r>
      <w:r w:rsidR="00DD1D23" w:rsidRPr="004F01AB">
        <w:rPr>
          <w:lang w:val="fr-FR"/>
        </w:rPr>
        <w:t xml:space="preserve"> </w:t>
      </w:r>
      <w:r w:rsidR="004F01AB" w:rsidRPr="004F01AB">
        <w:rPr>
          <w:lang w:val="fr-FR"/>
        </w:rPr>
        <w:t xml:space="preserve">conformément à leurs mandats respectifs, </w:t>
      </w:r>
      <w:r w:rsidR="00A25B13">
        <w:rPr>
          <w:lang w:val="fr-FR"/>
        </w:rPr>
        <w:t>d’</w:t>
      </w:r>
      <w:r w:rsidR="004F01AB" w:rsidRPr="004F01AB">
        <w:rPr>
          <w:lang w:val="fr-FR"/>
        </w:rPr>
        <w:t xml:space="preserve">intégrer les questions de mise en œuvre du Cadre </w:t>
      </w:r>
      <w:r w:rsidR="004F01AB" w:rsidRPr="0065267F">
        <w:rPr>
          <w:lang w:val="fr-FR"/>
        </w:rPr>
        <w:t>dans les outils et orientations en cours d’élaboration au titre de ces processus et par ces organisations, afin d’appuyer les mesures en faveur de la biodiversité</w:t>
      </w:r>
      <w:r w:rsidR="00AA75C4" w:rsidRPr="0065267F">
        <w:rPr>
          <w:lang w:val="fr-FR"/>
        </w:rPr>
        <w:t> </w:t>
      </w:r>
      <w:r w:rsidR="00AA1791" w:rsidRPr="0065267F">
        <w:rPr>
          <w:lang w:val="fr-FR"/>
        </w:rPr>
        <w:t>;</w:t>
      </w:r>
    </w:p>
    <w:p w14:paraId="2FB3180C" w14:textId="71F6E6B1" w:rsidR="00AA1791" w:rsidRPr="00EE6D4D" w:rsidRDefault="005A0D16" w:rsidP="00AA1791">
      <w:pPr>
        <w:pStyle w:val="Para1"/>
        <w:numPr>
          <w:ilvl w:val="0"/>
          <w:numId w:val="0"/>
        </w:numPr>
        <w:tabs>
          <w:tab w:val="clear" w:pos="1134"/>
        </w:tabs>
        <w:ind w:left="567" w:firstLine="567"/>
        <w:rPr>
          <w:color w:val="000000" w:themeColor="text1"/>
          <w:lang w:val="fr-FR"/>
        </w:rPr>
      </w:pPr>
      <w:r w:rsidRPr="0065267F">
        <w:rPr>
          <w:lang w:val="fr-FR"/>
        </w:rPr>
        <w:t>d</w:t>
      </w:r>
      <w:r w:rsidR="00AA1791" w:rsidRPr="0065267F">
        <w:rPr>
          <w:lang w:val="fr-FR"/>
        </w:rPr>
        <w:t>)</w:t>
      </w:r>
      <w:r w:rsidR="00AA1791" w:rsidRPr="0065267F">
        <w:rPr>
          <w:lang w:val="fr-FR"/>
        </w:rPr>
        <w:tab/>
      </w:r>
      <w:r w:rsidR="009D4558" w:rsidRPr="0065267F">
        <w:rPr>
          <w:lang w:val="fr-FR"/>
        </w:rPr>
        <w:t>Pour chacune des questions mentionnées au paragraphe 2</w:t>
      </w:r>
      <w:r w:rsidR="00171461">
        <w:rPr>
          <w:lang w:val="fr-FR"/>
        </w:rPr>
        <w:t> :</w:t>
      </w:r>
      <w:r w:rsidR="009D4558" w:rsidRPr="0065267F">
        <w:rPr>
          <w:lang w:val="fr-FR"/>
        </w:rPr>
        <w:t xml:space="preserve"> </w:t>
      </w:r>
      <w:r w:rsidR="006D3E86" w:rsidRPr="0065267F">
        <w:rPr>
          <w:lang w:val="fr-FR"/>
        </w:rPr>
        <w:t xml:space="preserve">i) </w:t>
      </w:r>
      <w:r w:rsidR="009D4558" w:rsidRPr="0065267F">
        <w:rPr>
          <w:lang w:val="fr-FR"/>
        </w:rPr>
        <w:t>d’inviter les Parties, les autres gouvernements, les accords multilatéraux sur l’environnement et autres accords pertinents, les processus intergouvernementaux, les organisations et initiatives internationales, les peuples autochtones et communautés locales, les organisations de femmes et de jeunes et les autres parties prenantes concernées à faire part de leurs vues et de leurs expériences pertinentes dans ces domaines d’activité</w:t>
      </w:r>
      <w:r w:rsidR="006D3E86" w:rsidRPr="0065267F">
        <w:rPr>
          <w:lang w:val="fr-FR"/>
        </w:rPr>
        <w:t> ;</w:t>
      </w:r>
      <w:r w:rsidR="00AA1791" w:rsidRPr="0065267F">
        <w:rPr>
          <w:lang w:val="fr-FR"/>
        </w:rPr>
        <w:t xml:space="preserve"> </w:t>
      </w:r>
      <w:r w:rsidR="006D3E86" w:rsidRPr="0065267F">
        <w:rPr>
          <w:lang w:val="fr-FR"/>
        </w:rPr>
        <w:t xml:space="preserve">et </w:t>
      </w:r>
      <w:r w:rsidR="00DD2AEC" w:rsidRPr="0065267F">
        <w:rPr>
          <w:lang w:val="fr-FR"/>
        </w:rPr>
        <w:t xml:space="preserve">ii) </w:t>
      </w:r>
      <w:r w:rsidR="00A84E33">
        <w:rPr>
          <w:lang w:val="fr-FR"/>
        </w:rPr>
        <w:t>de présenter une synthèse des communications</w:t>
      </w:r>
      <w:r w:rsidR="00DD2AEC" w:rsidRPr="0065267F">
        <w:rPr>
          <w:lang w:val="fr-FR"/>
        </w:rPr>
        <w:t xml:space="preserve"> </w:t>
      </w:r>
      <w:r w:rsidR="00A84E33">
        <w:rPr>
          <w:lang w:val="fr-FR"/>
        </w:rPr>
        <w:t>et</w:t>
      </w:r>
      <w:r w:rsidR="000774CF" w:rsidRPr="0065267F">
        <w:rPr>
          <w:lang w:val="fr-FR"/>
        </w:rPr>
        <w:t>,</w:t>
      </w:r>
      <w:r w:rsidR="003A4D41" w:rsidRPr="0065267F">
        <w:rPr>
          <w:lang w:val="fr-FR"/>
        </w:rPr>
        <w:t xml:space="preserve"> </w:t>
      </w:r>
      <w:r w:rsidR="00A84E33">
        <w:rPr>
          <w:lang w:val="fr-FR"/>
        </w:rPr>
        <w:t xml:space="preserve">en tenant compte de la charge de travail </w:t>
      </w:r>
      <w:r w:rsidR="00621D20">
        <w:rPr>
          <w:lang w:val="fr-FR"/>
        </w:rPr>
        <w:t xml:space="preserve">au cours des réunions à venir de la </w:t>
      </w:r>
      <w:r w:rsidR="003A4D41" w:rsidRPr="0065267F">
        <w:rPr>
          <w:lang w:val="fr-FR"/>
        </w:rPr>
        <w:t>Conf</w:t>
      </w:r>
      <w:r w:rsidR="00621D20">
        <w:rPr>
          <w:lang w:val="fr-FR"/>
        </w:rPr>
        <w:t>é</w:t>
      </w:r>
      <w:r w:rsidR="003A4D41" w:rsidRPr="0065267F">
        <w:rPr>
          <w:lang w:val="fr-FR"/>
        </w:rPr>
        <w:t xml:space="preserve">rence </w:t>
      </w:r>
      <w:r w:rsidR="00621D20">
        <w:rPr>
          <w:lang w:val="fr-FR"/>
        </w:rPr>
        <w:t xml:space="preserve">des </w:t>
      </w:r>
      <w:r w:rsidR="003A4D41" w:rsidRPr="0065267F">
        <w:rPr>
          <w:lang w:val="fr-FR"/>
        </w:rPr>
        <w:t>Parties</w:t>
      </w:r>
      <w:r w:rsidR="00AA1791" w:rsidRPr="0065267F">
        <w:rPr>
          <w:lang w:val="fr-FR"/>
        </w:rPr>
        <w:t xml:space="preserve">, </w:t>
      </w:r>
      <w:r w:rsidR="00884BB1">
        <w:rPr>
          <w:lang w:val="fr-FR"/>
        </w:rPr>
        <w:t xml:space="preserve">de proposer des activités complémentaires </w:t>
      </w:r>
      <w:r w:rsidR="00884BB1" w:rsidRPr="00EE6D4D">
        <w:rPr>
          <w:lang w:val="fr-FR"/>
        </w:rPr>
        <w:t xml:space="preserve">possibles </w:t>
      </w:r>
      <w:r w:rsidR="00453646" w:rsidRPr="00EE6D4D">
        <w:rPr>
          <w:lang w:val="fr-FR"/>
        </w:rPr>
        <w:t>pour examen par l’Organe subsidiaire chargé de fournir des avis scientifiques, techniques et technologiques avant la dix-septième réunion de la Conférence des Parties</w:t>
      </w:r>
      <w:r w:rsidR="00A84E33" w:rsidRPr="00EE6D4D">
        <w:rPr>
          <w:lang w:val="fr-FR"/>
        </w:rPr>
        <w:t> </w:t>
      </w:r>
      <w:r w:rsidR="00AA1791" w:rsidRPr="00EE6D4D">
        <w:rPr>
          <w:lang w:val="fr-FR"/>
        </w:rPr>
        <w:t>;</w:t>
      </w:r>
      <w:r w:rsidR="000163FB" w:rsidRPr="00EE6D4D">
        <w:rPr>
          <w:lang w:val="fr-FR"/>
        </w:rPr>
        <w:t xml:space="preserve"> </w:t>
      </w:r>
    </w:p>
    <w:p w14:paraId="708CBA56" w14:textId="1772AAE0" w:rsidR="00537248" w:rsidRPr="004F01AB" w:rsidRDefault="005A0D16" w:rsidP="00AA1791">
      <w:pPr>
        <w:pStyle w:val="Para1"/>
        <w:numPr>
          <w:ilvl w:val="0"/>
          <w:numId w:val="0"/>
        </w:numPr>
        <w:tabs>
          <w:tab w:val="clear" w:pos="1134"/>
        </w:tabs>
        <w:ind w:left="567" w:firstLine="567"/>
        <w:rPr>
          <w:color w:val="000000" w:themeColor="text1"/>
          <w:lang w:val="fr-FR"/>
        </w:rPr>
      </w:pPr>
      <w:r w:rsidRPr="00EE6D4D">
        <w:rPr>
          <w:color w:val="000000" w:themeColor="text1"/>
          <w:lang w:val="fr-FR"/>
        </w:rPr>
        <w:t>e</w:t>
      </w:r>
      <w:r w:rsidR="00AA1791" w:rsidRPr="00EE6D4D">
        <w:rPr>
          <w:color w:val="000000" w:themeColor="text1"/>
          <w:lang w:val="fr-FR"/>
        </w:rPr>
        <w:t>)</w:t>
      </w:r>
      <w:r w:rsidR="00AA1791" w:rsidRPr="00EE6D4D">
        <w:rPr>
          <w:color w:val="000000" w:themeColor="text1"/>
          <w:lang w:val="fr-FR"/>
        </w:rPr>
        <w:tab/>
      </w:r>
      <w:r w:rsidR="00EE6D4D" w:rsidRPr="00EE6D4D">
        <w:rPr>
          <w:color w:val="000000" w:themeColor="text1"/>
          <w:lang w:val="fr-FR"/>
        </w:rPr>
        <w:t>Rappelant le paragraphe 9 de la décision </w:t>
      </w:r>
      <w:hyperlink r:id="rId14" w:history="1">
        <w:r w:rsidR="00EE6D4D" w:rsidRPr="009C347C">
          <w:rPr>
            <w:rStyle w:val="Lienhypertexte"/>
            <w:lang w:val="fr-FR"/>
          </w:rPr>
          <w:t>15/4</w:t>
        </w:r>
      </w:hyperlink>
      <w:r w:rsidR="00171461">
        <w:rPr>
          <w:color w:val="000000" w:themeColor="text1"/>
          <w:lang w:val="fr-FR"/>
        </w:rPr>
        <w:t xml:space="preserve"> du 19 décembre 2022</w:t>
      </w:r>
      <w:r w:rsidR="00EE6D4D" w:rsidRPr="00EE6D4D">
        <w:rPr>
          <w:color w:val="000000" w:themeColor="text1"/>
          <w:lang w:val="fr-FR"/>
        </w:rPr>
        <w:t>, de procéder à un examen et à une analyse stratégiques des programmes de travail de la Convention dans le contexte du Cadre visant à faciliter sa mise en œuvre et</w:t>
      </w:r>
      <w:r w:rsidR="00171461">
        <w:rPr>
          <w:color w:val="000000" w:themeColor="text1"/>
          <w:lang w:val="fr-FR"/>
        </w:rPr>
        <w:t xml:space="preserve"> </w:t>
      </w:r>
      <w:r w:rsidR="00EE6D4D" w:rsidRPr="00EE6D4D">
        <w:rPr>
          <w:color w:val="000000" w:themeColor="text1"/>
          <w:lang w:val="fr-FR"/>
        </w:rPr>
        <w:t>d’élaborer des projets de mise à jour de</w:t>
      </w:r>
      <w:r w:rsidR="00171461">
        <w:rPr>
          <w:color w:val="000000" w:themeColor="text1"/>
          <w:lang w:val="fr-FR"/>
        </w:rPr>
        <w:t>s</w:t>
      </w:r>
      <w:r w:rsidR="00EE6D4D" w:rsidRPr="00EE6D4D">
        <w:rPr>
          <w:color w:val="000000" w:themeColor="text1"/>
          <w:lang w:val="fr-FR"/>
        </w:rPr>
        <w:t xml:space="preserve"> programmes de travail</w:t>
      </w:r>
      <w:r w:rsidR="00171461" w:rsidRPr="00171461">
        <w:rPr>
          <w:color w:val="000000" w:themeColor="text1"/>
          <w:lang w:val="fr-FR"/>
        </w:rPr>
        <w:t xml:space="preserve"> </w:t>
      </w:r>
      <w:r w:rsidR="00171461" w:rsidRPr="00EE6D4D">
        <w:rPr>
          <w:color w:val="000000" w:themeColor="text1"/>
          <w:lang w:val="fr-FR"/>
        </w:rPr>
        <w:t>sur la base de cette analyse,</w:t>
      </w:r>
      <w:r w:rsidR="00EE6D4D" w:rsidRPr="00EE6D4D">
        <w:rPr>
          <w:color w:val="000000" w:themeColor="text1"/>
          <w:lang w:val="fr-FR"/>
        </w:rPr>
        <w:t xml:space="preserve"> en tenant compte des documents établis pour la vingt-sixième réunion de l’Organe subsidiaire chargé de fournir des avis scientifiques, techniques et technologiques concernant ces travaux, et de les soumettre pour examen à l’Organe subsidiaire à une future réunion avant la dix-septième réunion de la Conférence des Parties</w:t>
      </w:r>
      <w:r w:rsidR="00EE6D4D">
        <w:rPr>
          <w:color w:val="000000" w:themeColor="text1"/>
          <w:lang w:val="fr-FR"/>
        </w:rPr>
        <w:t>.</w:t>
      </w:r>
    </w:p>
    <w:p w14:paraId="61D564E2" w14:textId="77777777" w:rsidR="002B559C" w:rsidRPr="004F01AB" w:rsidRDefault="00ED3849" w:rsidP="00AA1791">
      <w:pPr>
        <w:pStyle w:val="Para1"/>
        <w:numPr>
          <w:ilvl w:val="0"/>
          <w:numId w:val="0"/>
        </w:numPr>
        <w:ind w:left="567"/>
        <w:jc w:val="center"/>
        <w:rPr>
          <w:lang w:val="fr-FR"/>
        </w:rPr>
      </w:pPr>
      <w:r w:rsidRPr="004F01AB">
        <w:rPr>
          <w:lang w:val="fr-FR"/>
        </w:rPr>
        <w:t>__________</w:t>
      </w:r>
    </w:p>
    <w:sectPr w:rsidR="002B559C" w:rsidRPr="004F01AB" w:rsidSect="001662BF">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7D6D5" w14:textId="77777777" w:rsidR="00A0255D" w:rsidRDefault="00A0255D" w:rsidP="00A96B21">
      <w:r>
        <w:separator/>
      </w:r>
    </w:p>
  </w:endnote>
  <w:endnote w:type="continuationSeparator" w:id="0">
    <w:p w14:paraId="325C9603" w14:textId="77777777" w:rsidR="00A0255D" w:rsidRDefault="00A0255D" w:rsidP="00A96B21">
      <w:r>
        <w:continuationSeparator/>
      </w:r>
    </w:p>
  </w:endnote>
  <w:endnote w:type="continuationNotice" w:id="1">
    <w:p w14:paraId="37F93B6B" w14:textId="77777777" w:rsidR="00A0255D" w:rsidRDefault="00A02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2CA5F5C" w14:textId="77777777" w:rsidR="002B559C" w:rsidRDefault="002B559C">
            <w:pPr>
              <w:pStyle w:val="Pieddepage"/>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31A3D35" w14:textId="77777777" w:rsidR="002B559C" w:rsidRDefault="002B559C" w:rsidP="002B559C">
            <w:pPr>
              <w:pStyle w:val="Pieddepage"/>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1CEAF" w14:textId="77777777" w:rsidR="00A0255D" w:rsidRDefault="00A0255D" w:rsidP="00A96B21">
      <w:r>
        <w:separator/>
      </w:r>
    </w:p>
  </w:footnote>
  <w:footnote w:type="continuationSeparator" w:id="0">
    <w:p w14:paraId="5442F593" w14:textId="77777777" w:rsidR="00A0255D" w:rsidRDefault="00A0255D" w:rsidP="00A96B21">
      <w:r>
        <w:continuationSeparator/>
      </w:r>
    </w:p>
  </w:footnote>
  <w:footnote w:type="continuationNotice" w:id="1">
    <w:p w14:paraId="077E4BFB" w14:textId="77777777" w:rsidR="00A0255D" w:rsidRDefault="00A0255D"/>
  </w:footnote>
  <w:footnote w:id="2">
    <w:p w14:paraId="6534ED02" w14:textId="27B5EE13" w:rsidR="001B74B1" w:rsidRPr="00260663" w:rsidRDefault="001B74B1" w:rsidP="001B74B1">
      <w:pPr>
        <w:pStyle w:val="Notedebasdepage"/>
        <w:rPr>
          <w:szCs w:val="18"/>
          <w:lang w:val="fr-FR"/>
        </w:rPr>
      </w:pPr>
      <w:r w:rsidRPr="00260663">
        <w:rPr>
          <w:rStyle w:val="Appelnotedebasdep"/>
          <w:szCs w:val="18"/>
          <w:lang w:val="fr-FR"/>
        </w:rPr>
        <w:footnoteRef/>
      </w:r>
      <w:r w:rsidRPr="00260663">
        <w:rPr>
          <w:lang w:val="fr-FR"/>
        </w:rPr>
        <w:t xml:space="preserve"> </w:t>
      </w:r>
      <w:r w:rsidR="004E64C5" w:rsidRPr="00260663">
        <w:rPr>
          <w:lang w:val="fr-FR"/>
        </w:rPr>
        <w:t xml:space="preserve">Annexe </w:t>
      </w:r>
      <w:r w:rsidR="00A0642B" w:rsidRPr="00260663">
        <w:rPr>
          <w:lang w:val="fr-FR"/>
        </w:rPr>
        <w:t>à la d</w:t>
      </w:r>
      <w:r w:rsidRPr="00260663">
        <w:rPr>
          <w:lang w:val="fr-FR"/>
        </w:rPr>
        <w:t>écision 15/4.</w:t>
      </w:r>
    </w:p>
  </w:footnote>
  <w:footnote w:id="3">
    <w:p w14:paraId="3A75457C" w14:textId="77777777" w:rsidR="001B74B1" w:rsidRPr="00260663" w:rsidRDefault="001B74B1" w:rsidP="001B74B1">
      <w:pPr>
        <w:pStyle w:val="Notedebasdepage"/>
        <w:rPr>
          <w:szCs w:val="18"/>
          <w:lang w:val="fr-FR"/>
        </w:rPr>
      </w:pPr>
      <w:r w:rsidRPr="00260663">
        <w:rPr>
          <w:rStyle w:val="Appelnotedebasdep"/>
          <w:szCs w:val="18"/>
          <w:lang w:val="fr-FR"/>
        </w:rPr>
        <w:footnoteRef/>
      </w:r>
      <w:r w:rsidRPr="00260663">
        <w:rPr>
          <w:lang w:val="fr-FR"/>
        </w:rPr>
        <w:t xml:space="preserve"> Nations Unies, </w:t>
      </w:r>
      <w:r w:rsidRPr="00260663">
        <w:rPr>
          <w:i/>
          <w:iCs/>
          <w:szCs w:val="18"/>
          <w:lang w:val="fr-FR"/>
        </w:rPr>
        <w:t>Recueil des Traités</w:t>
      </w:r>
      <w:r w:rsidRPr="00260663">
        <w:rPr>
          <w:lang w:val="fr-FR"/>
        </w:rPr>
        <w:t>, vol. 1760, n</w:t>
      </w:r>
      <w:r w:rsidRPr="00260663">
        <w:rPr>
          <w:vertAlign w:val="superscript"/>
          <w:lang w:val="fr-FR"/>
        </w:rPr>
        <w:t>o</w:t>
      </w:r>
      <w:r w:rsidRPr="00260663">
        <w:rPr>
          <w:lang w:val="fr-FR"/>
        </w:rPr>
        <w:t> 30619.</w:t>
      </w:r>
    </w:p>
  </w:footnote>
  <w:footnote w:id="4">
    <w:p w14:paraId="528EB437" w14:textId="322409F1" w:rsidR="00C544A6" w:rsidRPr="00260663" w:rsidRDefault="00C544A6" w:rsidP="00C544A6">
      <w:pPr>
        <w:pStyle w:val="Notedebasdepage"/>
        <w:rPr>
          <w:szCs w:val="18"/>
          <w:lang w:val="fr-FR"/>
        </w:rPr>
      </w:pPr>
      <w:r w:rsidRPr="00260663">
        <w:rPr>
          <w:rStyle w:val="Appelnotedebasdep"/>
          <w:szCs w:val="18"/>
          <w:lang w:val="fr-FR"/>
        </w:rPr>
        <w:footnoteRef/>
      </w:r>
      <w:r w:rsidRPr="00260663">
        <w:rPr>
          <w:lang w:val="fr-FR"/>
        </w:rPr>
        <w:t xml:space="preserve"> </w:t>
      </w:r>
      <w:r w:rsidR="007E57F5">
        <w:rPr>
          <w:lang w:val="fr-FR"/>
        </w:rPr>
        <w:t>Annexe à la d</w:t>
      </w:r>
      <w:r w:rsidR="00227AA4" w:rsidRPr="00260663">
        <w:rPr>
          <w:lang w:val="fr-FR"/>
        </w:rPr>
        <w:t>écision 15/4</w:t>
      </w:r>
      <w:r w:rsidRPr="00260663">
        <w:rPr>
          <w:lang w:val="fr-FR"/>
        </w:rPr>
        <w:t>, sect. C.</w:t>
      </w:r>
    </w:p>
  </w:footnote>
  <w:footnote w:id="5">
    <w:p w14:paraId="42E5A65D" w14:textId="5B10E4BD" w:rsidR="0037580E" w:rsidRPr="00260663" w:rsidRDefault="0037580E" w:rsidP="0037580E">
      <w:pPr>
        <w:pStyle w:val="Notedebasdepage"/>
        <w:rPr>
          <w:lang w:val="fr-FR"/>
        </w:rPr>
      </w:pPr>
      <w:r w:rsidRPr="00260663">
        <w:rPr>
          <w:rStyle w:val="Appelnotedebasdep"/>
          <w:lang w:val="fr-FR"/>
        </w:rPr>
        <w:footnoteRef/>
      </w:r>
      <w:r w:rsidRPr="00260663">
        <w:rPr>
          <w:lang w:val="fr-FR"/>
        </w:rPr>
        <w:t xml:space="preserve"> Le document </w:t>
      </w:r>
      <w:hyperlink r:id="rId1" w:history="1">
        <w:r w:rsidRPr="00EC260F">
          <w:rPr>
            <w:rStyle w:val="Lienhypertexte"/>
            <w:lang w:val="fr-FR"/>
          </w:rPr>
          <w:t>CBD/SBSTTA/26/3</w:t>
        </w:r>
      </w:hyperlink>
      <w:r w:rsidRPr="00260663">
        <w:rPr>
          <w:lang w:val="fr-FR"/>
        </w:rPr>
        <w:t xml:space="preserve"> comprend une analyse des lacunes menée par le Secrétariat.</w:t>
      </w:r>
    </w:p>
  </w:footnote>
  <w:footnote w:id="6">
    <w:p w14:paraId="1353E372" w14:textId="1629681C" w:rsidR="00340156" w:rsidRPr="00260663" w:rsidRDefault="00340156">
      <w:pPr>
        <w:pStyle w:val="Notedebasdepage"/>
        <w:rPr>
          <w:lang w:val="fr-FR"/>
        </w:rPr>
      </w:pPr>
      <w:r w:rsidRPr="00260663">
        <w:rPr>
          <w:rStyle w:val="Appelnotedebasdep"/>
          <w:lang w:val="fr-FR"/>
        </w:rPr>
        <w:footnoteRef/>
      </w:r>
      <w:r w:rsidRPr="00260663">
        <w:rPr>
          <w:lang w:val="fr-FR"/>
        </w:rPr>
        <w:t xml:space="preserve"> </w:t>
      </w:r>
      <w:r w:rsidR="008B41CE" w:rsidRPr="00260663">
        <w:rPr>
          <w:lang w:val="fr-FR"/>
        </w:rPr>
        <w:t xml:space="preserve">Voir l’annexe au document </w:t>
      </w:r>
      <w:hyperlink r:id="rId2" w:history="1">
        <w:r w:rsidRPr="00EC260F">
          <w:rPr>
            <w:rStyle w:val="Lienhypertexte"/>
            <w:lang w:val="fr-FR"/>
          </w:rPr>
          <w:t>CBD/SBSTTA</w:t>
        </w:r>
        <w:r w:rsidR="00001D97" w:rsidRPr="00EC260F">
          <w:rPr>
            <w:rStyle w:val="Lienhypertexte"/>
            <w:lang w:val="fr-FR"/>
          </w:rPr>
          <w:t>/</w:t>
        </w:r>
        <w:r w:rsidRPr="00EC260F">
          <w:rPr>
            <w:rStyle w:val="Lienhypertexte"/>
            <w:lang w:val="fr-FR"/>
          </w:rPr>
          <w:t>26/INF</w:t>
        </w:r>
        <w:r w:rsidR="00001D97" w:rsidRPr="00EC260F">
          <w:rPr>
            <w:rStyle w:val="Lienhypertexte"/>
            <w:lang w:val="fr-FR"/>
          </w:rPr>
          <w:t>/</w:t>
        </w:r>
        <w:r w:rsidRPr="00EC260F">
          <w:rPr>
            <w:rStyle w:val="Lienhypertexte"/>
            <w:lang w:val="fr-FR"/>
          </w:rPr>
          <w:t>16</w:t>
        </w:r>
        <w:r w:rsidR="00001D97" w:rsidRPr="00EC260F">
          <w:rPr>
            <w:rStyle w:val="Lienhypertexte"/>
            <w:lang w:val="fr-FR"/>
          </w:rPr>
          <w:t>/Rev.1</w:t>
        </w:r>
      </w:hyperlink>
      <w:r w:rsidR="006828E4" w:rsidRPr="00260663">
        <w:rPr>
          <w:lang w:val="fr-FR"/>
        </w:rPr>
        <w:t xml:space="preserve"> </w:t>
      </w:r>
      <w:r w:rsidR="008B41CE" w:rsidRPr="00260663">
        <w:rPr>
          <w:lang w:val="fr-FR"/>
        </w:rPr>
        <w:t xml:space="preserve">pour une </w:t>
      </w:r>
      <w:r w:rsidR="006828E4" w:rsidRPr="00260663">
        <w:rPr>
          <w:lang w:val="fr-FR"/>
        </w:rPr>
        <w:t xml:space="preserve">compilation </w:t>
      </w:r>
      <w:r w:rsidR="008B41CE" w:rsidRPr="00260663">
        <w:rPr>
          <w:lang w:val="fr-FR"/>
        </w:rPr>
        <w:t>des outils et orientations présentés par les Parties</w:t>
      </w:r>
      <w:r w:rsidR="006828E4" w:rsidRPr="00260663">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7802784"/>
  <w:bookmarkStart w:id="3" w:name="_Hlk137802785"/>
  <w:p w14:paraId="518D3E9D" w14:textId="6970B9FD" w:rsidR="00A00234" w:rsidRPr="00EB403D" w:rsidRDefault="00000000" w:rsidP="000B6F50">
    <w:pPr>
      <w:pStyle w:val="En-tte"/>
      <w:spacing w:after="240"/>
    </w:pPr>
    <w:sdt>
      <w:sdtPr>
        <w:rPr>
          <w:lang w:val="en-CA"/>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EC260F" w:rsidRPr="00EC260F">
          <w:rPr>
            <w:lang w:val="en-CA"/>
          </w:rPr>
          <w:t>CBD/COP/DEC/16/12</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CA"/>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6F45460D" w14:textId="13CC2A0D" w:rsidR="002B559C" w:rsidRPr="00AA1791" w:rsidRDefault="00EC260F" w:rsidP="002B559C">
        <w:pPr>
          <w:pStyle w:val="En-tte"/>
          <w:spacing w:after="240"/>
          <w:jc w:val="right"/>
          <w:rPr>
            <w:szCs w:val="20"/>
            <w:lang w:val="en-CA"/>
          </w:rPr>
        </w:pPr>
        <w:r>
          <w:rPr>
            <w:szCs w:val="20"/>
            <w:lang w:val="en-CA"/>
          </w:rPr>
          <w:t>CBD/COP/DEC/16/12</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Default="001662BF" w:rsidP="001662BF">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84496817">
    <w:abstractNumId w:val="4"/>
  </w:num>
  <w:num w:numId="2" w16cid:durableId="1045906330">
    <w:abstractNumId w:val="12"/>
  </w:num>
  <w:num w:numId="3" w16cid:durableId="175075434">
    <w:abstractNumId w:val="15"/>
  </w:num>
  <w:num w:numId="4" w16cid:durableId="1032725037">
    <w:abstractNumId w:val="0"/>
  </w:num>
  <w:num w:numId="5" w16cid:durableId="1064989010">
    <w:abstractNumId w:val="1"/>
  </w:num>
  <w:num w:numId="6" w16cid:durableId="428280384">
    <w:abstractNumId w:val="1"/>
  </w:num>
  <w:num w:numId="7" w16cid:durableId="2127121377">
    <w:abstractNumId w:val="3"/>
  </w:num>
  <w:num w:numId="8" w16cid:durableId="1543517715">
    <w:abstractNumId w:val="7"/>
  </w:num>
  <w:num w:numId="9" w16cid:durableId="1177964453">
    <w:abstractNumId w:val="11"/>
  </w:num>
  <w:num w:numId="10" w16cid:durableId="1548955517">
    <w:abstractNumId w:val="10"/>
  </w:num>
  <w:num w:numId="11" w16cid:durableId="925531595">
    <w:abstractNumId w:val="6"/>
  </w:num>
  <w:num w:numId="12" w16cid:durableId="722027802">
    <w:abstractNumId w:val="2"/>
  </w:num>
  <w:num w:numId="13" w16cid:durableId="1138182129">
    <w:abstractNumId w:val="2"/>
    <w:lvlOverride w:ilvl="0">
      <w:startOverride w:val="1"/>
    </w:lvlOverride>
  </w:num>
  <w:num w:numId="14" w16cid:durableId="898252217">
    <w:abstractNumId w:val="9"/>
  </w:num>
  <w:num w:numId="15" w16cid:durableId="405688369">
    <w:abstractNumId w:val="9"/>
    <w:lvlOverride w:ilvl="0">
      <w:startOverride w:val="1"/>
    </w:lvlOverride>
  </w:num>
  <w:num w:numId="16" w16cid:durableId="549651368">
    <w:abstractNumId w:val="12"/>
    <w:lvlOverride w:ilvl="0">
      <w:startOverride w:val="1"/>
    </w:lvlOverride>
  </w:num>
  <w:num w:numId="17" w16cid:durableId="193226476">
    <w:abstractNumId w:val="9"/>
    <w:lvlOverride w:ilvl="0">
      <w:startOverride w:val="1"/>
    </w:lvlOverride>
  </w:num>
  <w:num w:numId="18" w16cid:durableId="1091706521">
    <w:abstractNumId w:val="16"/>
  </w:num>
  <w:num w:numId="19" w16cid:durableId="1908807666">
    <w:abstractNumId w:val="12"/>
    <w:lvlOverride w:ilvl="0">
      <w:startOverride w:val="1"/>
    </w:lvlOverride>
  </w:num>
  <w:num w:numId="20" w16cid:durableId="567115533">
    <w:abstractNumId w:val="12"/>
    <w:lvlOverride w:ilvl="0">
      <w:startOverride w:val="1"/>
    </w:lvlOverride>
  </w:num>
  <w:num w:numId="21" w16cid:durableId="2069721850">
    <w:abstractNumId w:val="8"/>
  </w:num>
  <w:num w:numId="22" w16cid:durableId="1923026851">
    <w:abstractNumId w:val="5"/>
  </w:num>
  <w:num w:numId="23" w16cid:durableId="1746685387">
    <w:abstractNumId w:val="13"/>
  </w:num>
  <w:num w:numId="24" w16cid:durableId="1114057722">
    <w:abstractNumId w:val="13"/>
  </w:num>
  <w:num w:numId="25" w16cid:durableId="1712806778">
    <w:abstractNumId w:val="13"/>
  </w:num>
  <w:num w:numId="26" w16cid:durableId="874151179">
    <w:abstractNumId w:val="13"/>
  </w:num>
  <w:num w:numId="27" w16cid:durableId="2028406390">
    <w:abstractNumId w:val="13"/>
  </w:num>
  <w:num w:numId="28" w16cid:durableId="1339456692">
    <w:abstractNumId w:val="13"/>
  </w:num>
  <w:num w:numId="29" w16cid:durableId="1972904824">
    <w:abstractNumId w:val="14"/>
  </w:num>
  <w:num w:numId="30" w16cid:durableId="1755123528">
    <w:abstractNumId w:val="14"/>
  </w:num>
  <w:num w:numId="31" w16cid:durableId="344522829">
    <w:abstractNumId w:val="14"/>
  </w:num>
  <w:num w:numId="32" w16cid:durableId="974022268">
    <w:abstractNumId w:val="14"/>
  </w:num>
  <w:num w:numId="33" w16cid:durableId="1229414719">
    <w:abstractNumId w:val="5"/>
  </w:num>
  <w:num w:numId="34" w16cid:durableId="1946647079">
    <w:abstractNumId w:val="5"/>
  </w:num>
  <w:num w:numId="35" w16cid:durableId="1940605256">
    <w:abstractNumId w:val="5"/>
  </w:num>
  <w:num w:numId="36" w16cid:durableId="1794010605">
    <w:abstractNumId w:val="5"/>
  </w:num>
  <w:num w:numId="37" w16cid:durableId="1246961165">
    <w:abstractNumId w:val="5"/>
  </w:num>
  <w:num w:numId="38" w16cid:durableId="599534568">
    <w:abstractNumId w:val="5"/>
  </w:num>
  <w:num w:numId="39" w16cid:durableId="102041653">
    <w:abstractNumId w:val="5"/>
  </w:num>
  <w:num w:numId="40" w16cid:durableId="1212040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1D97"/>
    <w:rsid w:val="000028D3"/>
    <w:rsid w:val="00011107"/>
    <w:rsid w:val="000163FB"/>
    <w:rsid w:val="00016C9A"/>
    <w:rsid w:val="00026C54"/>
    <w:rsid w:val="00040598"/>
    <w:rsid w:val="0006764E"/>
    <w:rsid w:val="00071BEB"/>
    <w:rsid w:val="000774CF"/>
    <w:rsid w:val="00083A87"/>
    <w:rsid w:val="000A18E9"/>
    <w:rsid w:val="000A4B53"/>
    <w:rsid w:val="000B1E29"/>
    <w:rsid w:val="000B5209"/>
    <w:rsid w:val="000B6F50"/>
    <w:rsid w:val="000C405D"/>
    <w:rsid w:val="000F66FD"/>
    <w:rsid w:val="001020B7"/>
    <w:rsid w:val="0010252F"/>
    <w:rsid w:val="00107FE8"/>
    <w:rsid w:val="00112CC6"/>
    <w:rsid w:val="001169B5"/>
    <w:rsid w:val="00132581"/>
    <w:rsid w:val="00134CAC"/>
    <w:rsid w:val="001454DA"/>
    <w:rsid w:val="00155BA4"/>
    <w:rsid w:val="001662BF"/>
    <w:rsid w:val="00171461"/>
    <w:rsid w:val="0017200E"/>
    <w:rsid w:val="00184206"/>
    <w:rsid w:val="00184909"/>
    <w:rsid w:val="00191ECE"/>
    <w:rsid w:val="001A0E1C"/>
    <w:rsid w:val="001A2527"/>
    <w:rsid w:val="001A69FB"/>
    <w:rsid w:val="001B74B1"/>
    <w:rsid w:val="001C1D3C"/>
    <w:rsid w:val="001C4474"/>
    <w:rsid w:val="001D7501"/>
    <w:rsid w:val="001E4E16"/>
    <w:rsid w:val="001F3A9B"/>
    <w:rsid w:val="002154BE"/>
    <w:rsid w:val="002237C2"/>
    <w:rsid w:val="00225CC3"/>
    <w:rsid w:val="00227AA4"/>
    <w:rsid w:val="0023454D"/>
    <w:rsid w:val="002358C1"/>
    <w:rsid w:val="00246598"/>
    <w:rsid w:val="00253036"/>
    <w:rsid w:val="00255695"/>
    <w:rsid w:val="00260663"/>
    <w:rsid w:val="00261E86"/>
    <w:rsid w:val="002823DD"/>
    <w:rsid w:val="002A335E"/>
    <w:rsid w:val="002B00CA"/>
    <w:rsid w:val="002B230A"/>
    <w:rsid w:val="002B3A96"/>
    <w:rsid w:val="002B559C"/>
    <w:rsid w:val="002D6830"/>
    <w:rsid w:val="002F3E47"/>
    <w:rsid w:val="002F7732"/>
    <w:rsid w:val="00303F0B"/>
    <w:rsid w:val="00310608"/>
    <w:rsid w:val="0031115A"/>
    <w:rsid w:val="003141FA"/>
    <w:rsid w:val="00314A65"/>
    <w:rsid w:val="00321131"/>
    <w:rsid w:val="00323F22"/>
    <w:rsid w:val="00340156"/>
    <w:rsid w:val="003476A9"/>
    <w:rsid w:val="0035014C"/>
    <w:rsid w:val="0035761D"/>
    <w:rsid w:val="00363470"/>
    <w:rsid w:val="003667BA"/>
    <w:rsid w:val="0037580E"/>
    <w:rsid w:val="00392150"/>
    <w:rsid w:val="003A4D41"/>
    <w:rsid w:val="003A7875"/>
    <w:rsid w:val="003A7E33"/>
    <w:rsid w:val="003A7F33"/>
    <w:rsid w:val="003C3310"/>
    <w:rsid w:val="003C34C1"/>
    <w:rsid w:val="003C6F10"/>
    <w:rsid w:val="003D2C66"/>
    <w:rsid w:val="003F3A54"/>
    <w:rsid w:val="004006AA"/>
    <w:rsid w:val="00414112"/>
    <w:rsid w:val="00441498"/>
    <w:rsid w:val="00441CD7"/>
    <w:rsid w:val="00446A36"/>
    <w:rsid w:val="00453646"/>
    <w:rsid w:val="00460AF9"/>
    <w:rsid w:val="00467080"/>
    <w:rsid w:val="004701EE"/>
    <w:rsid w:val="00480A8D"/>
    <w:rsid w:val="00481C9C"/>
    <w:rsid w:val="00495064"/>
    <w:rsid w:val="004A2A2D"/>
    <w:rsid w:val="004B2020"/>
    <w:rsid w:val="004C6544"/>
    <w:rsid w:val="004E64C5"/>
    <w:rsid w:val="004E7BA2"/>
    <w:rsid w:val="004F01AB"/>
    <w:rsid w:val="0050060E"/>
    <w:rsid w:val="00502234"/>
    <w:rsid w:val="005149C8"/>
    <w:rsid w:val="00515E31"/>
    <w:rsid w:val="00521EB9"/>
    <w:rsid w:val="00537248"/>
    <w:rsid w:val="00544720"/>
    <w:rsid w:val="00552D6F"/>
    <w:rsid w:val="00566ECA"/>
    <w:rsid w:val="005908E5"/>
    <w:rsid w:val="00595A79"/>
    <w:rsid w:val="00596A12"/>
    <w:rsid w:val="005A0D16"/>
    <w:rsid w:val="005A0F9F"/>
    <w:rsid w:val="005A206E"/>
    <w:rsid w:val="005C0058"/>
    <w:rsid w:val="005C1FD0"/>
    <w:rsid w:val="005D5176"/>
    <w:rsid w:val="005E2605"/>
    <w:rsid w:val="005F11D8"/>
    <w:rsid w:val="005F156C"/>
    <w:rsid w:val="00611814"/>
    <w:rsid w:val="00621D20"/>
    <w:rsid w:val="006240B4"/>
    <w:rsid w:val="00624B87"/>
    <w:rsid w:val="00651AB3"/>
    <w:rsid w:val="0065267F"/>
    <w:rsid w:val="00657ED6"/>
    <w:rsid w:val="00663C70"/>
    <w:rsid w:val="006645C5"/>
    <w:rsid w:val="006828E4"/>
    <w:rsid w:val="0069495E"/>
    <w:rsid w:val="006A5FC4"/>
    <w:rsid w:val="006B293D"/>
    <w:rsid w:val="006C6370"/>
    <w:rsid w:val="006D3E86"/>
    <w:rsid w:val="006F2E13"/>
    <w:rsid w:val="006F3EA8"/>
    <w:rsid w:val="006F435B"/>
    <w:rsid w:val="00717D7A"/>
    <w:rsid w:val="00724EBE"/>
    <w:rsid w:val="00725465"/>
    <w:rsid w:val="0073579B"/>
    <w:rsid w:val="00742421"/>
    <w:rsid w:val="0075018F"/>
    <w:rsid w:val="007567A5"/>
    <w:rsid w:val="0076622F"/>
    <w:rsid w:val="00783CB8"/>
    <w:rsid w:val="007A4641"/>
    <w:rsid w:val="007B3084"/>
    <w:rsid w:val="007B7B01"/>
    <w:rsid w:val="007C3BB0"/>
    <w:rsid w:val="007C755A"/>
    <w:rsid w:val="007C77BC"/>
    <w:rsid w:val="007D65C2"/>
    <w:rsid w:val="007E081D"/>
    <w:rsid w:val="007E57F5"/>
    <w:rsid w:val="008108DE"/>
    <w:rsid w:val="0084683B"/>
    <w:rsid w:val="00874541"/>
    <w:rsid w:val="008757F5"/>
    <w:rsid w:val="0087582D"/>
    <w:rsid w:val="008772B0"/>
    <w:rsid w:val="00880330"/>
    <w:rsid w:val="008839EB"/>
    <w:rsid w:val="00884BB1"/>
    <w:rsid w:val="00893CEE"/>
    <w:rsid w:val="008A2DBB"/>
    <w:rsid w:val="008B2D0D"/>
    <w:rsid w:val="008B41CE"/>
    <w:rsid w:val="008C31FA"/>
    <w:rsid w:val="008C7626"/>
    <w:rsid w:val="008E04FE"/>
    <w:rsid w:val="008E0581"/>
    <w:rsid w:val="008E06AE"/>
    <w:rsid w:val="008E130A"/>
    <w:rsid w:val="008E63E3"/>
    <w:rsid w:val="008F7B54"/>
    <w:rsid w:val="00905044"/>
    <w:rsid w:val="009154F8"/>
    <w:rsid w:val="009179BE"/>
    <w:rsid w:val="009224B6"/>
    <w:rsid w:val="00923FD9"/>
    <w:rsid w:val="00930FC3"/>
    <w:rsid w:val="00932F3A"/>
    <w:rsid w:val="0093372F"/>
    <w:rsid w:val="0093394C"/>
    <w:rsid w:val="00934FBB"/>
    <w:rsid w:val="00935461"/>
    <w:rsid w:val="009375CD"/>
    <w:rsid w:val="009459E3"/>
    <w:rsid w:val="009503E0"/>
    <w:rsid w:val="00952078"/>
    <w:rsid w:val="009539F0"/>
    <w:rsid w:val="00953EC7"/>
    <w:rsid w:val="0096343A"/>
    <w:rsid w:val="00991DA0"/>
    <w:rsid w:val="009938E8"/>
    <w:rsid w:val="00995DDC"/>
    <w:rsid w:val="009B75CA"/>
    <w:rsid w:val="009C1114"/>
    <w:rsid w:val="009C347C"/>
    <w:rsid w:val="009C5C7D"/>
    <w:rsid w:val="009D4558"/>
    <w:rsid w:val="009D6341"/>
    <w:rsid w:val="009F2684"/>
    <w:rsid w:val="009F42F9"/>
    <w:rsid w:val="009F4C73"/>
    <w:rsid w:val="00A00234"/>
    <w:rsid w:val="00A0255D"/>
    <w:rsid w:val="00A0642B"/>
    <w:rsid w:val="00A12CCB"/>
    <w:rsid w:val="00A157E8"/>
    <w:rsid w:val="00A25B13"/>
    <w:rsid w:val="00A32849"/>
    <w:rsid w:val="00A349E1"/>
    <w:rsid w:val="00A54FA0"/>
    <w:rsid w:val="00A574A1"/>
    <w:rsid w:val="00A8205D"/>
    <w:rsid w:val="00A84E33"/>
    <w:rsid w:val="00A96B21"/>
    <w:rsid w:val="00AA1791"/>
    <w:rsid w:val="00AA75C4"/>
    <w:rsid w:val="00AC01F5"/>
    <w:rsid w:val="00AC453E"/>
    <w:rsid w:val="00AC4EB1"/>
    <w:rsid w:val="00AC6C2E"/>
    <w:rsid w:val="00AE1A95"/>
    <w:rsid w:val="00AE1FAD"/>
    <w:rsid w:val="00AE47D3"/>
    <w:rsid w:val="00AF4BC8"/>
    <w:rsid w:val="00B03592"/>
    <w:rsid w:val="00B05A53"/>
    <w:rsid w:val="00B17408"/>
    <w:rsid w:val="00B2730F"/>
    <w:rsid w:val="00B27622"/>
    <w:rsid w:val="00B32F88"/>
    <w:rsid w:val="00B36EA9"/>
    <w:rsid w:val="00B41BF6"/>
    <w:rsid w:val="00B4404A"/>
    <w:rsid w:val="00B470EF"/>
    <w:rsid w:val="00B47BB1"/>
    <w:rsid w:val="00B50A44"/>
    <w:rsid w:val="00B8452A"/>
    <w:rsid w:val="00B93533"/>
    <w:rsid w:val="00BA5237"/>
    <w:rsid w:val="00BB60F0"/>
    <w:rsid w:val="00BC64A9"/>
    <w:rsid w:val="00BE3BF5"/>
    <w:rsid w:val="00C2321E"/>
    <w:rsid w:val="00C2354A"/>
    <w:rsid w:val="00C37A59"/>
    <w:rsid w:val="00C544A6"/>
    <w:rsid w:val="00C76623"/>
    <w:rsid w:val="00C76782"/>
    <w:rsid w:val="00C84C77"/>
    <w:rsid w:val="00C87B35"/>
    <w:rsid w:val="00C926EC"/>
    <w:rsid w:val="00C93A28"/>
    <w:rsid w:val="00C95C12"/>
    <w:rsid w:val="00CA75F0"/>
    <w:rsid w:val="00CB0D9D"/>
    <w:rsid w:val="00CB1446"/>
    <w:rsid w:val="00CE6FDA"/>
    <w:rsid w:val="00CF38E0"/>
    <w:rsid w:val="00CF53A5"/>
    <w:rsid w:val="00CF70AB"/>
    <w:rsid w:val="00D0583E"/>
    <w:rsid w:val="00D07BF8"/>
    <w:rsid w:val="00D13984"/>
    <w:rsid w:val="00D16436"/>
    <w:rsid w:val="00D16DFA"/>
    <w:rsid w:val="00D22E24"/>
    <w:rsid w:val="00D3059B"/>
    <w:rsid w:val="00D30ACB"/>
    <w:rsid w:val="00D42CD6"/>
    <w:rsid w:val="00D50E29"/>
    <w:rsid w:val="00D60046"/>
    <w:rsid w:val="00D64F28"/>
    <w:rsid w:val="00D66507"/>
    <w:rsid w:val="00D71FFB"/>
    <w:rsid w:val="00D7224E"/>
    <w:rsid w:val="00D80B06"/>
    <w:rsid w:val="00D965A1"/>
    <w:rsid w:val="00DC1561"/>
    <w:rsid w:val="00DC5CE5"/>
    <w:rsid w:val="00DD1D23"/>
    <w:rsid w:val="00DD2AEC"/>
    <w:rsid w:val="00DE186C"/>
    <w:rsid w:val="00DF213B"/>
    <w:rsid w:val="00DF634C"/>
    <w:rsid w:val="00E07AF6"/>
    <w:rsid w:val="00E1597C"/>
    <w:rsid w:val="00E22478"/>
    <w:rsid w:val="00E35E40"/>
    <w:rsid w:val="00E44A51"/>
    <w:rsid w:val="00E740AC"/>
    <w:rsid w:val="00EB403D"/>
    <w:rsid w:val="00EC260F"/>
    <w:rsid w:val="00ED12B3"/>
    <w:rsid w:val="00ED1488"/>
    <w:rsid w:val="00ED2A23"/>
    <w:rsid w:val="00ED3849"/>
    <w:rsid w:val="00ED4CD6"/>
    <w:rsid w:val="00EE6D4D"/>
    <w:rsid w:val="00EE7B3F"/>
    <w:rsid w:val="00EF20F0"/>
    <w:rsid w:val="00EF378F"/>
    <w:rsid w:val="00F0122F"/>
    <w:rsid w:val="00F17029"/>
    <w:rsid w:val="00F258FB"/>
    <w:rsid w:val="00F45F80"/>
    <w:rsid w:val="00F75F90"/>
    <w:rsid w:val="00F81044"/>
    <w:rsid w:val="00F934A7"/>
    <w:rsid w:val="00FA186B"/>
    <w:rsid w:val="00FA18C9"/>
    <w:rsid w:val="00FA297B"/>
    <w:rsid w:val="00FA43BB"/>
    <w:rsid w:val="00FA494D"/>
    <w:rsid w:val="00FB4677"/>
    <w:rsid w:val="00FC2887"/>
    <w:rsid w:val="00FC4293"/>
    <w:rsid w:val="00FD35F2"/>
    <w:rsid w:val="00FE0B22"/>
    <w:rsid w:val="00FE59A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Titre1">
    <w:name w:val="heading 1"/>
    <w:basedOn w:val="Normal"/>
    <w:next w:val="Titre2"/>
    <w:link w:val="Titre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Titre2">
    <w:name w:val="heading 2"/>
    <w:basedOn w:val="Normal"/>
    <w:next w:val="CBDNormalNumber"/>
    <w:link w:val="Titre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B93533"/>
    <w:pPr>
      <w:keepNext/>
      <w:numPr>
        <w:ilvl w:val="4"/>
        <w:numId w:val="28"/>
      </w:numPr>
      <w:spacing w:before="120" w:after="120"/>
      <w:jc w:val="left"/>
      <w:outlineLvl w:val="4"/>
    </w:pPr>
    <w:rPr>
      <w:rFonts w:eastAsiaTheme="majorEastAsia"/>
      <w:i/>
      <w:iCs/>
    </w:rPr>
  </w:style>
  <w:style w:type="paragraph" w:styleId="Titre6">
    <w:name w:val="heading 6"/>
    <w:basedOn w:val="Normal"/>
    <w:next w:val="Normal"/>
    <w:link w:val="Titre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B93533"/>
    <w:pPr>
      <w:keepNext/>
      <w:widowControl w:val="0"/>
      <w:numPr>
        <w:ilvl w:val="8"/>
        <w:numId w:val="32"/>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Corpsdetexte">
    <w:name w:val="Body Text"/>
    <w:basedOn w:val="Normal"/>
    <w:link w:val="CorpsdetexteCar"/>
    <w:uiPriority w:val="99"/>
    <w:semiHidden/>
    <w:unhideWhenUsed/>
    <w:rsid w:val="00B93533"/>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CorpsdetexteCar">
    <w:name w:val="Corps de texte Car"/>
    <w:basedOn w:val="Policepardfaut"/>
    <w:link w:val="Corpsdetexte"/>
    <w:uiPriority w:val="99"/>
    <w:semiHidden/>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en-US"/>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en-US"/>
      <w14:ligatures w14:val="none"/>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en-US"/>
      <w14:ligatures w14:val="none"/>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en-US"/>
      <w14:ligatures w14:val="none"/>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en-US"/>
      <w14:ligatures w14:val="none"/>
    </w:rPr>
  </w:style>
  <w:style w:type="character" w:customStyle="1" w:styleId="Titre5Car">
    <w:name w:val="Titre 5 Car"/>
    <w:basedOn w:val="Policepardfaut"/>
    <w:link w:val="Titre5"/>
    <w:uiPriority w:val="9"/>
    <w:rsid w:val="00B93533"/>
    <w:rPr>
      <w:rFonts w:ascii="Times New Roman" w:eastAsiaTheme="majorEastAsia" w:hAnsi="Times New Roman" w:cs="Times New Roman"/>
      <w:i/>
      <w:iCs/>
      <w:kern w:val="0"/>
      <w:lang w:val="en-US"/>
      <w14:ligatures w14:val="none"/>
    </w:rPr>
  </w:style>
  <w:style w:type="character" w:styleId="Marquedecommentaire">
    <w:name w:val="annotation reference"/>
    <w:basedOn w:val="Policepardfaut"/>
    <w:uiPriority w:val="99"/>
    <w:semiHidden/>
    <w:unhideWhenUsed/>
    <w:rsid w:val="00B93533"/>
    <w:rPr>
      <w:sz w:val="16"/>
      <w:szCs w:val="16"/>
    </w:rPr>
  </w:style>
  <w:style w:type="paragraph" w:styleId="Commentaire">
    <w:name w:val="annotation text"/>
    <w:basedOn w:val="Normal"/>
    <w:link w:val="CommentaireCar"/>
    <w:uiPriority w:val="99"/>
    <w:rsid w:val="00B93533"/>
    <w:rPr>
      <w:sz w:val="20"/>
      <w:szCs w:val="20"/>
    </w:rPr>
  </w:style>
  <w:style w:type="character" w:customStyle="1" w:styleId="CommentaireCar">
    <w:name w:val="Commentaire Car"/>
    <w:basedOn w:val="Policepardfaut"/>
    <w:link w:val="Commentaire"/>
    <w:uiPriority w:val="99"/>
    <w:rsid w:val="00B93533"/>
    <w:rPr>
      <w:rFonts w:ascii="Times New Roman" w:eastAsia="SimSun" w:hAnsi="Times New Roman" w:cs="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Titre6Car">
    <w:name w:val="Titre 6 Car"/>
    <w:basedOn w:val="Policepardfaut"/>
    <w:link w:val="Titre6"/>
    <w:semiHidden/>
    <w:rsid w:val="00B93533"/>
    <w:rPr>
      <w:rFonts w:ascii="Times New Roman" w:eastAsia="SimSun" w:hAnsi="Times New Roman" w:cs="Times New Roman"/>
      <w:bCs/>
      <w:kern w:val="0"/>
      <w:sz w:val="24"/>
      <w:lang w:val="en-US"/>
      <w14:ligatures w14:val="none"/>
    </w:rPr>
  </w:style>
  <w:style w:type="character" w:customStyle="1" w:styleId="Titre7Car">
    <w:name w:val="Titre 7 Car"/>
    <w:basedOn w:val="Policepardfaut"/>
    <w:link w:val="Titre7"/>
    <w:semiHidden/>
    <w:rsid w:val="00B93533"/>
    <w:rPr>
      <w:rFonts w:ascii="Times New Roman" w:eastAsia="SimSun" w:hAnsi="Times New Roman" w:cs="Times New Roman"/>
      <w:b/>
      <w:snapToGrid w:val="0"/>
      <w:kern w:val="0"/>
      <w:u w:val="single"/>
      <w:lang w:val="en-US"/>
      <w14:ligatures w14:val="none"/>
    </w:rPr>
  </w:style>
  <w:style w:type="character" w:customStyle="1" w:styleId="Titre8Car">
    <w:name w:val="Titre 8 Car"/>
    <w:basedOn w:val="Policepardfaut"/>
    <w:link w:val="Titre8"/>
    <w:semiHidden/>
    <w:rsid w:val="00B93533"/>
    <w:rPr>
      <w:rFonts w:ascii="Times New Roman" w:eastAsia="SimSun" w:hAnsi="Times New Roman" w:cs="Times New Roman"/>
      <w:b/>
      <w:snapToGrid w:val="0"/>
      <w:kern w:val="0"/>
      <w:u w:val="single"/>
      <w:lang w:val="en-US"/>
      <w14:ligatures w14:val="none"/>
    </w:rPr>
  </w:style>
  <w:style w:type="character" w:customStyle="1" w:styleId="Titre9Car">
    <w:name w:val="Titre 9 Car"/>
    <w:basedOn w:val="Policepardfaut"/>
    <w:link w:val="Titre9"/>
    <w:semiHidden/>
    <w:rsid w:val="00B93533"/>
    <w:rPr>
      <w:rFonts w:ascii="Times New Roman" w:eastAsia="SimSun" w:hAnsi="Times New Roman" w:cs="Times New Roman"/>
      <w:snapToGrid w:val="0"/>
      <w:kern w:val="0"/>
      <w:u w:val="single"/>
      <w:lang w:val="en-US"/>
      <w14:ligatures w14:val="none"/>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AA1791"/>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paragraph" w:styleId="Rvision">
    <w:name w:val="Revision"/>
    <w:hidden/>
    <w:uiPriority w:val="99"/>
    <w:semiHidden/>
    <w:rsid w:val="002B3A96"/>
    <w:pPr>
      <w:spacing w:after="0" w:line="240" w:lineRule="auto"/>
    </w:pPr>
    <w:rPr>
      <w:rFonts w:ascii="Times New Roman" w:eastAsia="SimSun" w:hAnsi="Times New Roman" w:cs="Times New Roman"/>
      <w:kern w:val="0"/>
      <w:lang w:val="en-US"/>
      <w14:ligatures w14:val="none"/>
    </w:rPr>
  </w:style>
  <w:style w:type="character" w:styleId="Mentionnonrsolue">
    <w:name w:val="Unresolved Mention"/>
    <w:basedOn w:val="Policepardfaut"/>
    <w:uiPriority w:val="99"/>
    <w:semiHidden/>
    <w:unhideWhenUsed/>
    <w:rsid w:val="009C3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01162">
      <w:bodyDiv w:val="1"/>
      <w:marLeft w:val="0"/>
      <w:marRight w:val="0"/>
      <w:marTop w:val="0"/>
      <w:marBottom w:val="0"/>
      <w:divBdr>
        <w:top w:val="none" w:sz="0" w:space="0" w:color="auto"/>
        <w:left w:val="none" w:sz="0" w:space="0" w:color="auto"/>
        <w:bottom w:val="none" w:sz="0" w:space="0" w:color="auto"/>
        <w:right w:val="none" w:sz="0" w:space="0" w:color="auto"/>
      </w:divBdr>
    </w:div>
    <w:div w:id="110291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fr.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uments/CBD/SBSTTA/26/INF/16/Rev.1" TargetMode="External"/><Relationship Id="rId1" Type="http://schemas.openxmlformats.org/officeDocument/2006/relationships/hyperlink" Target="https://www.cbd.int/meetings/SBSTTA-26?doc=661402b54defc2994ae81d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112CC6"/>
    <w:rsid w:val="001B1B9E"/>
    <w:rsid w:val="002413E9"/>
    <w:rsid w:val="002B230A"/>
    <w:rsid w:val="002D1F36"/>
    <w:rsid w:val="00303F0B"/>
    <w:rsid w:val="004D1CF4"/>
    <w:rsid w:val="00546C39"/>
    <w:rsid w:val="006C1F96"/>
    <w:rsid w:val="0073579B"/>
    <w:rsid w:val="00764DF4"/>
    <w:rsid w:val="00811444"/>
    <w:rsid w:val="008F7B54"/>
    <w:rsid w:val="00905044"/>
    <w:rsid w:val="00932F3A"/>
    <w:rsid w:val="009F2684"/>
    <w:rsid w:val="00AC6C2E"/>
    <w:rsid w:val="00B41BF6"/>
    <w:rsid w:val="00BF6563"/>
    <w:rsid w:val="00C87B35"/>
    <w:rsid w:val="00D07BF8"/>
    <w:rsid w:val="00D1588A"/>
    <w:rsid w:val="00D43E7F"/>
    <w:rsid w:val="00E44A51"/>
    <w:rsid w:val="00F17029"/>
    <w:rsid w:val="00F4683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CE78D6453E1E4F89A1372586409BE006">
    <w:name w:val="CE78D6453E1E4F89A1372586409BE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0DA1F-CC07-4596-80E2-9AF451BEBF5C}">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C:\Users\VLEFEBVR\United Nations\MEA-CBD-Editing Team - Documents\Meeting documents\COP\cop-16\templates&amp;status\template-cop-16-en.dotm</Template>
  <TotalTime>83</TotalTime>
  <Pages>3</Pages>
  <Words>1304</Words>
  <Characters>7046</Characters>
  <Application>Microsoft Office Word</Application>
  <DocSecurity>0</DocSecurity>
  <Lines>108</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Besoins scientifiques et techniques pour appuyer la mise en œuvre du Cadre mondial de la biodiversité de Kunming-Montréal</vt:lpstr>
      <vt:lpstr>Scientific and technical needs to support the implementation of the Kunming-Montreal Global Biodiversity Framework</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1er novembre 2024</dc:title>
  <dc:subject>CBD/COP/DEC/16/12</dc:subject>
  <dc:creator>Secretariat of the Convention on Biological Diversity</dc:creator>
  <cp:keywords>Conference of the Parties to the Convention on Biological Diversity</cp:keywords>
  <dc:description/>
  <cp:lastModifiedBy>Reviewer</cp:lastModifiedBy>
  <cp:revision>103</cp:revision>
  <dcterms:created xsi:type="dcterms:W3CDTF">2024-10-30T12:36:00Z</dcterms:created>
  <dcterms:modified xsi:type="dcterms:W3CDTF">2025-03-24T14:13:00Z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c163b46b75eb97a8d73e56605b29a057aadcb140ebb55c5f492cfdbe093a1cb2</vt:lpwstr>
  </property>
  <property fmtid="{D5CDD505-2E9C-101B-9397-08002B2CF9AE}" pid="3" name="ContentTypeId">
    <vt:lpwstr>0x01010069BFACF6D92CD24AA50050CE23F68F74</vt:lpwstr>
  </property>
  <property fmtid="{D5CDD505-2E9C-101B-9397-08002B2CF9AE}" pid="4" name="MediaServiceImageTags">
    <vt:lpwstr/>
  </property>
</Properties>
</file>