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E465DD" w:rsidRPr="004C6147" w14:paraId="2F005192" w14:textId="77777777" w:rsidTr="008D4EAD">
        <w:trPr>
          <w:trHeight w:val="851"/>
        </w:trPr>
        <w:tc>
          <w:tcPr>
            <w:tcW w:w="465" w:type="pct"/>
            <w:tcBorders>
              <w:bottom w:val="single" w:sz="8" w:space="0" w:color="auto"/>
            </w:tcBorders>
            <w:vAlign w:val="bottom"/>
          </w:tcPr>
          <w:p w14:paraId="2F00518F" w14:textId="77777777" w:rsidR="00E465DD" w:rsidRPr="004C6147" w:rsidRDefault="00E465DD" w:rsidP="00E465DD">
            <w:pPr>
              <w:spacing w:after="120"/>
              <w:jc w:val="left"/>
              <w:rPr>
                <w:lang w:val="fr-FR"/>
              </w:rPr>
            </w:pPr>
            <w:bookmarkStart w:id="0" w:name="_Hlk137651738"/>
            <w:r w:rsidRPr="004C6147">
              <w:rPr>
                <w:noProof/>
                <w:lang w:val="fr-FR" w:eastAsia="fr-CA"/>
              </w:rPr>
              <w:drawing>
                <wp:inline distT="0" distB="0" distL="0" distR="0" wp14:anchorId="2F0051C8" wp14:editId="2F0051C9">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2F005190" w14:textId="77777777" w:rsidR="00E465DD" w:rsidRPr="004C6147" w:rsidRDefault="00E465DD" w:rsidP="00E465DD">
            <w:pPr>
              <w:spacing w:after="120"/>
              <w:jc w:val="left"/>
              <w:rPr>
                <w:lang w:val="fr-FR"/>
              </w:rPr>
            </w:pPr>
            <w:r w:rsidRPr="004C6147">
              <w:rPr>
                <w:noProof/>
                <w:lang w:val="fr-FR" w:eastAsia="fr-CA"/>
              </w:rPr>
              <w:drawing>
                <wp:inline distT="0" distB="0" distL="0" distR="0" wp14:anchorId="2F0051CA" wp14:editId="2F0051CB">
                  <wp:extent cx="593725" cy="340995"/>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72305"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3725" cy="340995"/>
                          </a:xfrm>
                          <a:prstGeom prst="rect">
                            <a:avLst/>
                          </a:prstGeom>
                          <a:noFill/>
                          <a:ln>
                            <a:noFill/>
                          </a:ln>
                        </pic:spPr>
                      </pic:pic>
                    </a:graphicData>
                  </a:graphic>
                </wp:inline>
              </w:drawing>
            </w:r>
          </w:p>
        </w:tc>
        <w:tc>
          <w:tcPr>
            <w:tcW w:w="2703" w:type="pct"/>
            <w:tcBorders>
              <w:bottom w:val="single" w:sz="8" w:space="0" w:color="auto"/>
            </w:tcBorders>
            <w:vAlign w:val="bottom"/>
          </w:tcPr>
          <w:p w14:paraId="2F005191" w14:textId="4BF87AB6" w:rsidR="00E465DD" w:rsidRPr="004C6147" w:rsidRDefault="00E465DD" w:rsidP="00E465DD">
            <w:pPr>
              <w:spacing w:after="120"/>
              <w:ind w:left="2021"/>
              <w:jc w:val="right"/>
              <w:rPr>
                <w:szCs w:val="22"/>
                <w:lang w:val="fr-FR"/>
              </w:rPr>
            </w:pPr>
            <w:r w:rsidRPr="004C6147">
              <w:rPr>
                <w:sz w:val="22"/>
                <w:szCs w:val="22"/>
                <w:lang w:val="fr-FR"/>
              </w:rPr>
              <w:fldChar w:fldCharType="begin"/>
            </w:r>
            <w:r w:rsidRPr="004C6147">
              <w:rPr>
                <w:sz w:val="22"/>
                <w:szCs w:val="22"/>
                <w:lang w:val="fr-FR"/>
              </w:rPr>
              <w:instrText xml:space="preserve"> DOCPROPERTY Subject \* MERGEFORMAT </w:instrText>
            </w:r>
            <w:r w:rsidRPr="004C6147">
              <w:rPr>
                <w:sz w:val="22"/>
                <w:szCs w:val="22"/>
                <w:lang w:val="fr-FR"/>
              </w:rPr>
              <w:fldChar w:fldCharType="separate"/>
            </w:r>
            <w:r w:rsidRPr="004C6147">
              <w:rPr>
                <w:sz w:val="40"/>
                <w:szCs w:val="40"/>
                <w:lang w:val="fr-FR"/>
              </w:rPr>
              <w:t>CBD</w:t>
            </w:r>
            <w:r w:rsidRPr="004C6147">
              <w:rPr>
                <w:sz w:val="22"/>
                <w:szCs w:val="22"/>
                <w:lang w:val="fr-FR"/>
              </w:rPr>
              <w:t>/COP/DEC/16/15</w:t>
            </w:r>
            <w:r w:rsidRPr="004C6147">
              <w:rPr>
                <w:sz w:val="22"/>
                <w:szCs w:val="22"/>
                <w:lang w:val="fr-FR"/>
              </w:rPr>
              <w:fldChar w:fldCharType="end"/>
            </w:r>
          </w:p>
        </w:tc>
      </w:tr>
      <w:tr w:rsidR="00A96B21" w:rsidRPr="004C6147" w14:paraId="2F00519A" w14:textId="77777777" w:rsidTr="008D4EAD">
        <w:tc>
          <w:tcPr>
            <w:tcW w:w="2297" w:type="pct"/>
            <w:gridSpan w:val="2"/>
            <w:tcBorders>
              <w:top w:val="single" w:sz="8" w:space="0" w:color="auto"/>
              <w:bottom w:val="single" w:sz="12" w:space="0" w:color="auto"/>
            </w:tcBorders>
          </w:tcPr>
          <w:p w14:paraId="2F005193" w14:textId="77777777" w:rsidR="00A96B21" w:rsidRPr="004C6147" w:rsidRDefault="002F3AB0" w:rsidP="008D4EAD">
            <w:pPr>
              <w:pStyle w:val="Cornernotation"/>
              <w:suppressLineNumbers/>
              <w:suppressAutoHyphens/>
              <w:spacing w:before="120" w:after="120"/>
              <w:ind w:left="0" w:right="0" w:firstLine="0"/>
              <w:rPr>
                <w:lang w:val="fr-FR"/>
              </w:rPr>
            </w:pPr>
            <w:r w:rsidRPr="004C6147">
              <w:rPr>
                <w:b w:val="0"/>
                <w:bCs/>
                <w:noProof/>
                <w:lang w:val="fr-FR" w:eastAsia="fr-CA"/>
              </w:rPr>
              <w:drawing>
                <wp:inline distT="0" distB="0" distL="0" distR="0" wp14:anchorId="2F0051CC" wp14:editId="2F0051CD">
                  <wp:extent cx="2857500" cy="1076325"/>
                  <wp:effectExtent l="0" t="0" r="0" b="9525"/>
                  <wp:docPr id="5" name="Picture 5"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fr-CMYK-black [Conver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2F005194" w14:textId="1A2E0D2B" w:rsidR="002F3AB0" w:rsidRPr="004C6147" w:rsidRDefault="002F3AB0" w:rsidP="002F3AB0">
            <w:pPr>
              <w:ind w:left="2584"/>
              <w:rPr>
                <w:sz w:val="22"/>
                <w:szCs w:val="22"/>
                <w:lang w:val="fr-FR"/>
              </w:rPr>
            </w:pPr>
            <w:r w:rsidRPr="004C6147">
              <w:rPr>
                <w:sz w:val="22"/>
                <w:szCs w:val="22"/>
                <w:lang w:val="fr-FR"/>
              </w:rPr>
              <w:t xml:space="preserve">Distr. : </w:t>
            </w:r>
            <w:r w:rsidR="00E465DD" w:rsidRPr="004C6147">
              <w:rPr>
                <w:sz w:val="22"/>
                <w:szCs w:val="22"/>
                <w:lang w:val="fr-FR"/>
              </w:rPr>
              <w:t>générale</w:t>
            </w:r>
          </w:p>
          <w:p w14:paraId="2F005196" w14:textId="7C264E84" w:rsidR="002F3AB0" w:rsidRPr="004C6147" w:rsidRDefault="002F3AB0" w:rsidP="00E465DD">
            <w:pPr>
              <w:ind w:left="2584"/>
              <w:rPr>
                <w:sz w:val="22"/>
                <w:szCs w:val="22"/>
                <w:lang w:val="fr-FR"/>
              </w:rPr>
            </w:pPr>
            <w:r w:rsidRPr="004C6147">
              <w:rPr>
                <w:sz w:val="22"/>
                <w:szCs w:val="22"/>
                <w:lang w:val="fr-FR"/>
              </w:rPr>
              <w:t>2</w:t>
            </w:r>
            <w:r w:rsidR="00F1729E" w:rsidRPr="004C6147">
              <w:rPr>
                <w:sz w:val="22"/>
                <w:szCs w:val="22"/>
                <w:lang w:val="fr-FR"/>
              </w:rPr>
              <w:t>5</w:t>
            </w:r>
            <w:r w:rsidRPr="004C6147">
              <w:rPr>
                <w:sz w:val="22"/>
                <w:szCs w:val="22"/>
                <w:lang w:val="fr-FR"/>
              </w:rPr>
              <w:t> octobre 2024</w:t>
            </w:r>
          </w:p>
          <w:p w14:paraId="2F005197" w14:textId="77777777" w:rsidR="002F3AB0" w:rsidRPr="004C6147" w:rsidRDefault="002F3AB0" w:rsidP="002F3AB0">
            <w:pPr>
              <w:ind w:left="2584"/>
              <w:rPr>
                <w:sz w:val="22"/>
                <w:szCs w:val="22"/>
                <w:lang w:val="fr-FR"/>
              </w:rPr>
            </w:pPr>
            <w:r w:rsidRPr="004C6147">
              <w:rPr>
                <w:sz w:val="22"/>
                <w:szCs w:val="22"/>
                <w:lang w:val="fr-FR"/>
              </w:rPr>
              <w:t>Français</w:t>
            </w:r>
          </w:p>
          <w:p w14:paraId="2F005198" w14:textId="77777777" w:rsidR="002F3AB0" w:rsidRPr="004C6147" w:rsidRDefault="002F3AB0" w:rsidP="002F3AB0">
            <w:pPr>
              <w:ind w:left="2584"/>
              <w:rPr>
                <w:sz w:val="22"/>
                <w:szCs w:val="22"/>
                <w:lang w:val="fr-FR"/>
              </w:rPr>
            </w:pPr>
            <w:r w:rsidRPr="004C6147">
              <w:rPr>
                <w:sz w:val="22"/>
                <w:szCs w:val="22"/>
                <w:lang w:val="fr-FR"/>
              </w:rPr>
              <w:t>Original : anglais</w:t>
            </w:r>
          </w:p>
          <w:p w14:paraId="2F005199" w14:textId="77777777" w:rsidR="00A96B21" w:rsidRPr="004C6147" w:rsidRDefault="00A96B21" w:rsidP="008D4EAD">
            <w:pPr>
              <w:rPr>
                <w:lang w:val="fr-FR"/>
              </w:rPr>
            </w:pPr>
          </w:p>
        </w:tc>
      </w:tr>
    </w:tbl>
    <w:p w14:paraId="2F00519B" w14:textId="77777777" w:rsidR="00874541" w:rsidRPr="004C6147" w:rsidRDefault="002F3AB0" w:rsidP="00A00234">
      <w:pPr>
        <w:pStyle w:val="Cornernotation"/>
        <w:ind w:left="0" w:right="5249" w:firstLine="0"/>
        <w:rPr>
          <w:bCs/>
          <w:lang w:val="fr-FR"/>
        </w:rPr>
      </w:pPr>
      <w:r w:rsidRPr="004C6147">
        <w:rPr>
          <w:lang w:val="fr-FR"/>
        </w:rPr>
        <w:t xml:space="preserve">Conférence des Parties à la Convention </w:t>
      </w:r>
      <w:r w:rsidRPr="004C6147">
        <w:rPr>
          <w:lang w:val="fr-FR"/>
        </w:rPr>
        <w:br/>
        <w:t>sur la diversité biologique</w:t>
      </w:r>
    </w:p>
    <w:p w14:paraId="2F00519C" w14:textId="77777777" w:rsidR="00A96B21" w:rsidRPr="004C6147" w:rsidRDefault="002F3AB0" w:rsidP="00A96B21">
      <w:pPr>
        <w:pStyle w:val="Cornernotation"/>
        <w:rPr>
          <w:bCs/>
          <w:sz w:val="22"/>
          <w:lang w:val="fr-FR"/>
        </w:rPr>
      </w:pPr>
      <w:r w:rsidRPr="004C6147">
        <w:rPr>
          <w:bCs/>
          <w:sz w:val="22"/>
          <w:lang w:val="fr-FR"/>
        </w:rPr>
        <w:t>Seizième réunion</w:t>
      </w:r>
    </w:p>
    <w:p w14:paraId="2F00519D" w14:textId="0699B1CE" w:rsidR="00A96B21" w:rsidRPr="004C6147" w:rsidRDefault="002F3AB0" w:rsidP="00A96B21">
      <w:pPr>
        <w:pStyle w:val="Venuedate"/>
        <w:rPr>
          <w:lang w:val="fr-FR"/>
        </w:rPr>
      </w:pPr>
      <w:r w:rsidRPr="004C6147">
        <w:rPr>
          <w:lang w:val="fr-FR"/>
        </w:rPr>
        <w:t>Cali</w:t>
      </w:r>
      <w:r w:rsidR="00A00234" w:rsidRPr="004C6147">
        <w:rPr>
          <w:lang w:val="fr-FR"/>
        </w:rPr>
        <w:t xml:space="preserve"> </w:t>
      </w:r>
      <w:r w:rsidRPr="004C6147">
        <w:rPr>
          <w:lang w:val="fr-FR"/>
        </w:rPr>
        <w:t>(Colombie)</w:t>
      </w:r>
      <w:r w:rsidR="00A00234" w:rsidRPr="004C6147">
        <w:rPr>
          <w:lang w:val="fr-FR"/>
        </w:rPr>
        <w:t>, 21</w:t>
      </w:r>
      <w:r w:rsidRPr="004C6147">
        <w:rPr>
          <w:lang w:val="fr-FR"/>
        </w:rPr>
        <w:t> octobre</w:t>
      </w:r>
      <w:r w:rsidR="00A00234" w:rsidRPr="004C6147">
        <w:rPr>
          <w:lang w:val="fr-FR"/>
        </w:rPr>
        <w:t>–1</w:t>
      </w:r>
      <w:r w:rsidRPr="004C6147">
        <w:rPr>
          <w:vertAlign w:val="superscript"/>
          <w:lang w:val="fr-FR"/>
        </w:rPr>
        <w:t>er</w:t>
      </w:r>
      <w:r w:rsidRPr="004C6147">
        <w:rPr>
          <w:lang w:val="fr-FR"/>
        </w:rPr>
        <w:t> novembre </w:t>
      </w:r>
      <w:r w:rsidR="00A00234" w:rsidRPr="004C6147">
        <w:rPr>
          <w:lang w:val="fr-FR"/>
        </w:rPr>
        <w:t>2024</w:t>
      </w:r>
    </w:p>
    <w:p w14:paraId="2F00519E" w14:textId="77777777" w:rsidR="00A96B21" w:rsidRPr="004C6147" w:rsidRDefault="002F3AB0" w:rsidP="00A96B21">
      <w:pPr>
        <w:pStyle w:val="Cornernotation-Item"/>
        <w:rPr>
          <w:b w:val="0"/>
          <w:bCs w:val="0"/>
          <w:lang w:val="fr-FR"/>
        </w:rPr>
      </w:pPr>
      <w:r w:rsidRPr="004C6147">
        <w:rPr>
          <w:b w:val="0"/>
          <w:bCs w:val="0"/>
          <w:lang w:val="fr-FR"/>
        </w:rPr>
        <w:t>Point </w:t>
      </w:r>
      <w:r w:rsidR="00673722" w:rsidRPr="004C6147">
        <w:rPr>
          <w:b w:val="0"/>
          <w:bCs w:val="0"/>
          <w:lang w:val="fr-FR"/>
        </w:rPr>
        <w:t>19</w:t>
      </w:r>
      <w:r w:rsidRPr="004C6147">
        <w:rPr>
          <w:b w:val="0"/>
          <w:bCs w:val="0"/>
          <w:lang w:val="fr-FR"/>
        </w:rPr>
        <w:t xml:space="preserve"> de l</w:t>
      </w:r>
      <w:r w:rsidR="003F488A" w:rsidRPr="004C6147">
        <w:rPr>
          <w:b w:val="0"/>
          <w:bCs w:val="0"/>
          <w:lang w:val="fr-FR"/>
        </w:rPr>
        <w:t>’</w:t>
      </w:r>
      <w:r w:rsidRPr="004C6147">
        <w:rPr>
          <w:b w:val="0"/>
          <w:bCs w:val="0"/>
          <w:lang w:val="fr-FR"/>
        </w:rPr>
        <w:t>ordre du jour</w:t>
      </w:r>
    </w:p>
    <w:p w14:paraId="2F00519F" w14:textId="77777777" w:rsidR="00107FE8" w:rsidRPr="004C6147" w:rsidRDefault="002F3AB0" w:rsidP="00A96B21">
      <w:pPr>
        <w:pStyle w:val="Cornernotation-Item"/>
        <w:rPr>
          <w:lang w:val="fr-FR"/>
        </w:rPr>
      </w:pPr>
      <w:r w:rsidRPr="004C6147">
        <w:rPr>
          <w:szCs w:val="28"/>
          <w:lang w:val="fr-FR"/>
        </w:rPr>
        <w:t>Gestion durable de la faune et de la flore</w:t>
      </w:r>
      <w:r w:rsidR="00105DE1" w:rsidRPr="004C6147">
        <w:rPr>
          <w:szCs w:val="28"/>
          <w:lang w:val="fr-FR"/>
        </w:rPr>
        <w:t xml:space="preserve"> sauvages</w:t>
      </w:r>
    </w:p>
    <w:bookmarkEnd w:id="0"/>
    <w:p w14:paraId="2F0051A1" w14:textId="5141C2BE" w:rsidR="00A96B21" w:rsidRPr="004C6147" w:rsidRDefault="00B76C59" w:rsidP="001454DA">
      <w:pPr>
        <w:pStyle w:val="CBDTitle"/>
        <w:rPr>
          <w:lang w:val="fr-FR"/>
        </w:rPr>
      </w:pPr>
      <w:sdt>
        <w:sdtPr>
          <w:rPr>
            <w:szCs w:val="28"/>
            <w:lang w:val="fr-FR"/>
          </w:rPr>
          <w:alias w:val="Titl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Content>
          <w:r w:rsidRPr="004C6147">
            <w:rPr>
              <w:szCs w:val="28"/>
              <w:lang w:val="fr-FR"/>
            </w:rPr>
            <w:t>Décision adoptée par la Conférence des Parties à la Convention sur la diversité biologique le 25 octobre 2024</w:t>
          </w:r>
        </w:sdtContent>
      </w:sdt>
    </w:p>
    <w:p w14:paraId="2F0051A2" w14:textId="182766E0" w:rsidR="00A96B21" w:rsidRPr="004C6147" w:rsidRDefault="00B76C59" w:rsidP="00B76C59">
      <w:pPr>
        <w:pStyle w:val="CBDSubTitle"/>
        <w:rPr>
          <w:lang w:val="fr-FR"/>
        </w:rPr>
      </w:pPr>
      <w:r w:rsidRPr="004C6147">
        <w:rPr>
          <w:lang w:val="fr-FR"/>
        </w:rPr>
        <w:t>16/15.</w:t>
      </w:r>
      <w:r w:rsidRPr="004C6147">
        <w:rPr>
          <w:lang w:val="fr-FR"/>
        </w:rPr>
        <w:tab/>
      </w:r>
      <w:r w:rsidRPr="004C6147">
        <w:rPr>
          <w:lang w:val="fr-FR"/>
        </w:rPr>
        <w:tab/>
      </w:r>
      <w:r w:rsidRPr="004C6147">
        <w:rPr>
          <w:szCs w:val="28"/>
          <w:lang w:val="fr-FR"/>
        </w:rPr>
        <w:t>Gestion durable de la faune et de la flore sauvages</w:t>
      </w:r>
    </w:p>
    <w:p w14:paraId="2F0051A3" w14:textId="77777777" w:rsidR="00B3412B" w:rsidRPr="004C6147" w:rsidRDefault="00993748" w:rsidP="00B3412B">
      <w:pPr>
        <w:pStyle w:val="Para1"/>
        <w:numPr>
          <w:ilvl w:val="0"/>
          <w:numId w:val="0"/>
        </w:numPr>
        <w:tabs>
          <w:tab w:val="clear" w:pos="1134"/>
        </w:tabs>
        <w:ind w:left="567" w:firstLine="567"/>
        <w:rPr>
          <w:i/>
          <w:iCs/>
          <w:lang w:val="fr-FR"/>
        </w:rPr>
      </w:pPr>
      <w:r w:rsidRPr="004C6147">
        <w:rPr>
          <w:i/>
          <w:iCs/>
          <w:lang w:val="fr-FR"/>
        </w:rPr>
        <w:t>La Conférence des Parties</w:t>
      </w:r>
      <w:r w:rsidR="00B3412B" w:rsidRPr="004C6147">
        <w:rPr>
          <w:i/>
          <w:iCs/>
          <w:lang w:val="fr-FR"/>
        </w:rPr>
        <w:t>,</w:t>
      </w:r>
    </w:p>
    <w:p w14:paraId="2F0051A4" w14:textId="29E4D550" w:rsidR="00B3412B" w:rsidRPr="004C6147" w:rsidRDefault="00993748" w:rsidP="00B3412B">
      <w:pPr>
        <w:pStyle w:val="Para1RecommendationDecision"/>
        <w:tabs>
          <w:tab w:val="left" w:pos="1701"/>
        </w:tabs>
        <w:rPr>
          <w:lang w:val="fr-FR"/>
        </w:rPr>
      </w:pPr>
      <w:r w:rsidRPr="004C6147">
        <w:rPr>
          <w:i/>
          <w:iCs/>
          <w:lang w:val="fr-FR"/>
        </w:rPr>
        <w:t xml:space="preserve">Rappelant </w:t>
      </w:r>
      <w:r w:rsidRPr="004C6147">
        <w:rPr>
          <w:lang w:val="fr-FR"/>
        </w:rPr>
        <w:t>ses</w:t>
      </w:r>
      <w:r w:rsidRPr="004C6147">
        <w:rPr>
          <w:i/>
          <w:iCs/>
          <w:lang w:val="fr-FR"/>
        </w:rPr>
        <w:t xml:space="preserve"> </w:t>
      </w:r>
      <w:r w:rsidRPr="004C6147">
        <w:rPr>
          <w:lang w:val="fr-FR"/>
        </w:rPr>
        <w:t xml:space="preserve">décisions </w:t>
      </w:r>
      <w:hyperlink r:id="rId14" w:history="1">
        <w:r w:rsidRPr="004C6147">
          <w:rPr>
            <w:rStyle w:val="Lienhypertexte"/>
            <w:lang w:val="fr-FR"/>
          </w:rPr>
          <w:t>14/7</w:t>
        </w:r>
      </w:hyperlink>
      <w:r w:rsidR="00A60E29" w:rsidRPr="004C6147">
        <w:rPr>
          <w:lang w:val="fr-FR"/>
        </w:rPr>
        <w:t xml:space="preserve"> du 29 novembre </w:t>
      </w:r>
      <w:r w:rsidRPr="004C6147">
        <w:rPr>
          <w:lang w:val="fr-FR"/>
        </w:rPr>
        <w:t xml:space="preserve">2018, </w:t>
      </w:r>
      <w:hyperlink r:id="rId15" w:history="1">
        <w:r w:rsidRPr="004C6147">
          <w:rPr>
            <w:rStyle w:val="Lienhypertexte"/>
            <w:lang w:val="fr-FR"/>
          </w:rPr>
          <w:t>15/19</w:t>
        </w:r>
      </w:hyperlink>
      <w:r w:rsidR="00A60E29" w:rsidRPr="004C6147">
        <w:rPr>
          <w:lang w:val="fr-FR"/>
        </w:rPr>
        <w:t xml:space="preserve"> du 19 décembre </w:t>
      </w:r>
      <w:r w:rsidRPr="004C6147">
        <w:rPr>
          <w:lang w:val="fr-FR"/>
        </w:rPr>
        <w:t xml:space="preserve">2022 et </w:t>
      </w:r>
      <w:hyperlink r:id="rId16" w:history="1">
        <w:r w:rsidRPr="004C6147">
          <w:rPr>
            <w:rStyle w:val="Lienhypertexte"/>
            <w:lang w:val="fr-FR"/>
          </w:rPr>
          <w:t>15/23</w:t>
        </w:r>
      </w:hyperlink>
      <w:r w:rsidR="00A60E29" w:rsidRPr="004C6147">
        <w:rPr>
          <w:rStyle w:val="Lienhypertexte"/>
          <w:color w:val="auto"/>
          <w:u w:val="none"/>
          <w:lang w:val="fr-FR"/>
        </w:rPr>
        <w:t xml:space="preserve"> </w:t>
      </w:r>
      <w:r w:rsidR="00B9766E" w:rsidRPr="004C6147">
        <w:rPr>
          <w:rStyle w:val="Lienhypertexte"/>
          <w:color w:val="auto"/>
          <w:u w:val="none"/>
          <w:lang w:val="fr-FR"/>
        </w:rPr>
        <w:t xml:space="preserve">du </w:t>
      </w:r>
      <w:r w:rsidR="00A60E29" w:rsidRPr="004C6147">
        <w:rPr>
          <w:rStyle w:val="Lienhypertexte"/>
          <w:color w:val="auto"/>
          <w:u w:val="none"/>
          <w:lang w:val="fr-FR"/>
        </w:rPr>
        <w:t>10 décembre </w:t>
      </w:r>
      <w:r w:rsidRPr="004C6147">
        <w:rPr>
          <w:rStyle w:val="Lienhypertexte"/>
          <w:color w:val="auto"/>
          <w:u w:val="none"/>
          <w:lang w:val="fr-FR"/>
        </w:rPr>
        <w:t>2022</w:t>
      </w:r>
      <w:r w:rsidR="00B3412B" w:rsidRPr="004C6147">
        <w:rPr>
          <w:lang w:val="fr-FR"/>
        </w:rPr>
        <w:t>,</w:t>
      </w:r>
    </w:p>
    <w:p w14:paraId="2F0051A5" w14:textId="7FD2E8D9" w:rsidR="00993748" w:rsidRPr="004C6147" w:rsidRDefault="00993748" w:rsidP="00993748">
      <w:pPr>
        <w:pStyle w:val="Para1"/>
        <w:numPr>
          <w:ilvl w:val="0"/>
          <w:numId w:val="0"/>
        </w:numPr>
        <w:tabs>
          <w:tab w:val="clear" w:pos="1134"/>
        </w:tabs>
        <w:ind w:left="567" w:firstLine="567"/>
        <w:rPr>
          <w:lang w:val="fr-FR"/>
        </w:rPr>
      </w:pPr>
      <w:r w:rsidRPr="004C6147">
        <w:rPr>
          <w:i/>
          <w:iCs/>
          <w:lang w:val="fr-FR"/>
        </w:rPr>
        <w:t xml:space="preserve">Reconnaissant </w:t>
      </w:r>
      <w:r w:rsidRPr="004C6147">
        <w:rPr>
          <w:lang w:val="fr-FR"/>
        </w:rPr>
        <w:t>que l</w:t>
      </w:r>
      <w:r w:rsidR="003F488A" w:rsidRPr="004C6147">
        <w:rPr>
          <w:lang w:val="fr-FR"/>
        </w:rPr>
        <w:t>’</w:t>
      </w:r>
      <w:r w:rsidRPr="004C6147">
        <w:rPr>
          <w:lang w:val="fr-FR"/>
        </w:rPr>
        <w:t xml:space="preserve">utilisation et la gestion durables des espèces sauvages contribuent </w:t>
      </w:r>
      <w:r w:rsidR="00CC2075" w:rsidRPr="00CC2075">
        <w:rPr>
          <w:lang w:val="fr-FR"/>
        </w:rPr>
        <w:t>à la réalisation des objectifs et cibles pertinents</w:t>
      </w:r>
      <w:r w:rsidR="00CC2075" w:rsidRPr="00CC2075">
        <w:rPr>
          <w:lang w:val="fr-FR"/>
        </w:rPr>
        <w:t xml:space="preserve"> </w:t>
      </w:r>
      <w:r w:rsidRPr="004C6147">
        <w:rPr>
          <w:lang w:val="fr-FR"/>
        </w:rPr>
        <w:t>du Cadre mondial de la biodiversité de Kunming-Montréal</w:t>
      </w:r>
      <w:r w:rsidRPr="004C6147">
        <w:rPr>
          <w:rStyle w:val="Appelnotedebasdep"/>
          <w:lang w:val="fr-FR"/>
        </w:rPr>
        <w:footnoteReference w:id="2"/>
      </w:r>
      <w:r w:rsidRPr="004C6147">
        <w:rPr>
          <w:lang w:val="fr-FR"/>
        </w:rPr>
        <w:t xml:space="preserve"> ainsi que des objectifs de développement durable,</w:t>
      </w:r>
    </w:p>
    <w:p w14:paraId="168B3FC3" w14:textId="5BC8FA98" w:rsidR="00AD1125" w:rsidRPr="004C6147" w:rsidRDefault="009B4FDB" w:rsidP="00993748">
      <w:pPr>
        <w:pStyle w:val="Para1"/>
        <w:numPr>
          <w:ilvl w:val="0"/>
          <w:numId w:val="0"/>
        </w:numPr>
        <w:tabs>
          <w:tab w:val="clear" w:pos="1134"/>
        </w:tabs>
        <w:ind w:left="567" w:firstLine="567"/>
        <w:rPr>
          <w:lang w:val="fr-FR"/>
        </w:rPr>
      </w:pPr>
      <w:r w:rsidRPr="004C6147">
        <w:rPr>
          <w:i/>
          <w:iCs/>
          <w:lang w:val="fr-FR"/>
        </w:rPr>
        <w:t>Reconnaissant également</w:t>
      </w:r>
      <w:r w:rsidRPr="004C6147">
        <w:rPr>
          <w:lang w:val="fr-FR"/>
        </w:rPr>
        <w:t xml:space="preserve"> que </w:t>
      </w:r>
      <w:r w:rsidR="007332EF" w:rsidRPr="004C6147">
        <w:rPr>
          <w:lang w:val="fr-FR"/>
        </w:rPr>
        <w:t xml:space="preserve">le Programme de gestion durable de la </w:t>
      </w:r>
      <w:r w:rsidR="00682B7A" w:rsidRPr="004C6147">
        <w:rPr>
          <w:lang w:val="fr-FR"/>
        </w:rPr>
        <w:t xml:space="preserve">faune </w:t>
      </w:r>
      <w:r w:rsidR="007332EF" w:rsidRPr="004C6147">
        <w:rPr>
          <w:lang w:val="fr-FR"/>
        </w:rPr>
        <w:t>sauvage</w:t>
      </w:r>
      <w:r w:rsidR="007673E3" w:rsidRPr="004C6147">
        <w:rPr>
          <w:rStyle w:val="Appelnotedebasdep"/>
          <w:lang w:val="fr-FR"/>
        </w:rPr>
        <w:footnoteReference w:id="3"/>
      </w:r>
      <w:r w:rsidR="007332EF" w:rsidRPr="004C6147">
        <w:rPr>
          <w:lang w:val="fr-FR"/>
        </w:rPr>
        <w:t xml:space="preserve"> </w:t>
      </w:r>
      <w:r w:rsidR="005D1131" w:rsidRPr="004C6147">
        <w:rPr>
          <w:lang w:val="fr-FR"/>
        </w:rPr>
        <w:t xml:space="preserve">aide </w:t>
      </w:r>
      <w:r w:rsidR="007332EF" w:rsidRPr="004C6147">
        <w:rPr>
          <w:lang w:val="fr-FR"/>
        </w:rPr>
        <w:t>les Parties à la Convention sur la diversité biologique</w:t>
      </w:r>
      <w:r w:rsidR="00A74975" w:rsidRPr="004C6147">
        <w:rPr>
          <w:rStyle w:val="Appelnotedebasdep"/>
          <w:lang w:val="fr-FR"/>
        </w:rPr>
        <w:footnoteReference w:id="4"/>
      </w:r>
      <w:r w:rsidR="007332EF" w:rsidRPr="004C6147">
        <w:rPr>
          <w:lang w:val="fr-FR"/>
        </w:rPr>
        <w:t xml:space="preserve"> </w:t>
      </w:r>
      <w:r w:rsidR="005D1131" w:rsidRPr="004C6147">
        <w:rPr>
          <w:lang w:val="fr-FR"/>
        </w:rPr>
        <w:t xml:space="preserve">à appliquer les </w:t>
      </w:r>
      <w:r w:rsidR="00CC2075" w:rsidRPr="00CC2075">
        <w:rPr>
          <w:lang w:val="en-US"/>
        </w:rPr>
        <w:t xml:space="preserve">orientations </w:t>
      </w:r>
      <w:proofErr w:type="spellStart"/>
      <w:r w:rsidR="00CC2075" w:rsidRPr="00CC2075">
        <w:rPr>
          <w:lang w:val="en-US"/>
        </w:rPr>
        <w:t>facultatives</w:t>
      </w:r>
      <w:proofErr w:type="spellEnd"/>
      <w:r w:rsidR="00CC2075" w:rsidRPr="00CC2075">
        <w:rPr>
          <w:lang w:val="en-US"/>
        </w:rPr>
        <w:t xml:space="preserve"> pour un </w:t>
      </w:r>
      <w:proofErr w:type="spellStart"/>
      <w:r w:rsidR="00CC2075" w:rsidRPr="00CC2075">
        <w:rPr>
          <w:lang w:val="en-US"/>
        </w:rPr>
        <w:t>secteur</w:t>
      </w:r>
      <w:proofErr w:type="spellEnd"/>
      <w:r w:rsidR="00CC2075" w:rsidRPr="00CC2075">
        <w:rPr>
          <w:lang w:val="en-US"/>
        </w:rPr>
        <w:t xml:space="preserve"> de la </w:t>
      </w:r>
      <w:proofErr w:type="spellStart"/>
      <w:r w:rsidR="00CC2075" w:rsidRPr="00CC2075">
        <w:rPr>
          <w:lang w:val="en-US"/>
        </w:rPr>
        <w:t>viande</w:t>
      </w:r>
      <w:proofErr w:type="spellEnd"/>
      <w:r w:rsidR="00CC2075" w:rsidRPr="00CC2075">
        <w:rPr>
          <w:lang w:val="en-US"/>
        </w:rPr>
        <w:t xml:space="preserve"> de </w:t>
      </w:r>
      <w:proofErr w:type="spellStart"/>
      <w:r w:rsidR="00CC2075" w:rsidRPr="00CC2075">
        <w:rPr>
          <w:lang w:val="en-US"/>
        </w:rPr>
        <w:t>brousse</w:t>
      </w:r>
      <w:proofErr w:type="spellEnd"/>
      <w:r w:rsidR="00CC2075" w:rsidRPr="00CC2075">
        <w:rPr>
          <w:lang w:val="en-US"/>
        </w:rPr>
        <w:t xml:space="preserve"> durable</w:t>
      </w:r>
      <w:r w:rsidR="00B76C59" w:rsidRPr="004C6147">
        <w:rPr>
          <w:rStyle w:val="Appelnotedebasdep"/>
          <w:lang w:val="fr-FR"/>
        </w:rPr>
        <w:footnoteReference w:id="5"/>
      </w:r>
      <w:r w:rsidR="00B76C59" w:rsidRPr="004C6147">
        <w:rPr>
          <w:lang w:val="fr-FR"/>
        </w:rPr>
        <w:t xml:space="preserve"> </w:t>
      </w:r>
      <w:r w:rsidR="004535D0" w:rsidRPr="004C6147">
        <w:rPr>
          <w:lang w:val="fr-FR"/>
        </w:rPr>
        <w:t xml:space="preserve"> </w:t>
      </w:r>
      <w:r w:rsidR="007332EF" w:rsidRPr="004C6147">
        <w:rPr>
          <w:lang w:val="fr-FR"/>
        </w:rPr>
        <w:t xml:space="preserve">à différents niveaux, </w:t>
      </w:r>
      <w:r w:rsidR="00342D57" w:rsidRPr="004C6147">
        <w:rPr>
          <w:lang w:val="fr-FR"/>
        </w:rPr>
        <w:t>d</w:t>
      </w:r>
      <w:r w:rsidR="00F12477" w:rsidRPr="004C6147">
        <w:rPr>
          <w:lang w:val="fr-FR"/>
        </w:rPr>
        <w:t xml:space="preserve">es </w:t>
      </w:r>
      <w:r w:rsidR="007332EF" w:rsidRPr="004C6147">
        <w:rPr>
          <w:lang w:val="fr-FR"/>
        </w:rPr>
        <w:t>communaut</w:t>
      </w:r>
      <w:r w:rsidR="00F12477" w:rsidRPr="004C6147">
        <w:rPr>
          <w:lang w:val="fr-FR"/>
        </w:rPr>
        <w:t xml:space="preserve">és </w:t>
      </w:r>
      <w:r w:rsidR="007332EF" w:rsidRPr="004C6147">
        <w:rPr>
          <w:lang w:val="fr-FR"/>
        </w:rPr>
        <w:t>jusqu</w:t>
      </w:r>
      <w:r w:rsidR="00C4353D" w:rsidRPr="004C6147">
        <w:rPr>
          <w:lang w:val="fr-FR"/>
        </w:rPr>
        <w:t>’</w:t>
      </w:r>
      <w:r w:rsidR="007332EF" w:rsidRPr="004C6147">
        <w:rPr>
          <w:lang w:val="fr-FR"/>
        </w:rPr>
        <w:t>au</w:t>
      </w:r>
      <w:r w:rsidR="00F12477" w:rsidRPr="004C6147">
        <w:rPr>
          <w:lang w:val="fr-FR"/>
        </w:rPr>
        <w:t>x</w:t>
      </w:r>
      <w:r w:rsidR="007332EF" w:rsidRPr="004C6147">
        <w:rPr>
          <w:lang w:val="fr-FR"/>
        </w:rPr>
        <w:t xml:space="preserve"> </w:t>
      </w:r>
      <w:r w:rsidR="00C4353D" w:rsidRPr="004C6147">
        <w:rPr>
          <w:lang w:val="fr-FR"/>
        </w:rPr>
        <w:t xml:space="preserve">institutions publiques </w:t>
      </w:r>
      <w:r w:rsidR="00742BF8" w:rsidRPr="004C6147">
        <w:rPr>
          <w:lang w:val="fr-FR"/>
        </w:rPr>
        <w:t xml:space="preserve">qui leur fournissent un soutien stratégique et </w:t>
      </w:r>
      <w:r w:rsidR="007332EF" w:rsidRPr="004C6147">
        <w:rPr>
          <w:lang w:val="fr-FR"/>
        </w:rPr>
        <w:t>juridique</w:t>
      </w:r>
      <w:r w:rsidR="00F515C1" w:rsidRPr="004C6147">
        <w:rPr>
          <w:lang w:val="fr-FR"/>
        </w:rPr>
        <w:t>,</w:t>
      </w:r>
    </w:p>
    <w:p w14:paraId="6FC9D2C5" w14:textId="77777777" w:rsidR="002202F7" w:rsidRPr="004C6147" w:rsidRDefault="002202F7" w:rsidP="002202F7">
      <w:pPr>
        <w:pStyle w:val="Para1"/>
        <w:numPr>
          <w:ilvl w:val="0"/>
          <w:numId w:val="0"/>
        </w:numPr>
        <w:tabs>
          <w:tab w:val="clear" w:pos="1134"/>
        </w:tabs>
        <w:ind w:left="567" w:firstLine="567"/>
        <w:rPr>
          <w:lang w:val="fr-FR"/>
        </w:rPr>
      </w:pPr>
      <w:r w:rsidRPr="004C6147">
        <w:rPr>
          <w:i/>
          <w:iCs/>
          <w:lang w:val="fr-FR"/>
        </w:rPr>
        <w:t>Se félicitant</w:t>
      </w:r>
      <w:r w:rsidRPr="004C6147">
        <w:rPr>
          <w:lang w:val="fr-FR"/>
        </w:rPr>
        <w:t xml:space="preserve"> des progrès réalisés par le Partenariat de collaboration sur la gestion durable de la vie sauvage,</w:t>
      </w:r>
    </w:p>
    <w:p w14:paraId="2F0051A7" w14:textId="6344E777" w:rsidR="00993748" w:rsidRPr="004C6147" w:rsidRDefault="00993748" w:rsidP="00993748">
      <w:pPr>
        <w:pStyle w:val="Para1RecommendationDecision"/>
        <w:tabs>
          <w:tab w:val="left" w:pos="1701"/>
        </w:tabs>
        <w:rPr>
          <w:bCs/>
          <w:lang w:val="fr-FR"/>
        </w:rPr>
      </w:pPr>
      <w:r w:rsidRPr="004C6147">
        <w:rPr>
          <w:bCs/>
          <w:i/>
          <w:iCs/>
          <w:lang w:val="fr-FR"/>
        </w:rPr>
        <w:t>Reconnaissant</w:t>
      </w:r>
      <w:r w:rsidRPr="004C6147">
        <w:rPr>
          <w:lang w:val="fr-FR"/>
        </w:rPr>
        <w:t xml:space="preserve"> que la Plateforme intergouvernementale scientifique et politique sur la biodiversité et les services écosystémiques</w:t>
      </w:r>
      <w:r w:rsidR="00C858D8">
        <w:rPr>
          <w:lang w:val="fr-FR"/>
        </w:rPr>
        <w:t xml:space="preserve"> a indiqué que </w:t>
      </w:r>
      <w:r w:rsidR="00C858D8" w:rsidRPr="004C6147">
        <w:rPr>
          <w:lang w:val="fr-FR"/>
        </w:rPr>
        <w:t xml:space="preserve">la surexploitation des espèces </w:t>
      </w:r>
      <w:r w:rsidR="00C858D8">
        <w:rPr>
          <w:lang w:val="fr-FR"/>
        </w:rPr>
        <w:t xml:space="preserve">était </w:t>
      </w:r>
      <w:r w:rsidRPr="004C6147">
        <w:rPr>
          <w:lang w:val="fr-FR"/>
        </w:rPr>
        <w:t>un des principaux facteurs de perte de biodiversité,</w:t>
      </w:r>
    </w:p>
    <w:p w14:paraId="2F0051A8" w14:textId="7FA302CC" w:rsidR="00993748" w:rsidRPr="004C6147" w:rsidRDefault="00993748" w:rsidP="00993748">
      <w:pPr>
        <w:pStyle w:val="Para1RecommendationDecision"/>
        <w:tabs>
          <w:tab w:val="left" w:pos="1701"/>
        </w:tabs>
        <w:rPr>
          <w:szCs w:val="22"/>
          <w:lang w:val="fr-FR"/>
        </w:rPr>
      </w:pPr>
      <w:r w:rsidRPr="004C6147">
        <w:rPr>
          <w:i/>
          <w:iCs/>
          <w:lang w:val="fr-FR"/>
        </w:rPr>
        <w:t>Reconnaissant également</w:t>
      </w:r>
      <w:r w:rsidRPr="004C6147">
        <w:rPr>
          <w:lang w:val="fr-FR"/>
        </w:rPr>
        <w:t xml:space="preserve"> que l</w:t>
      </w:r>
      <w:r w:rsidR="003F488A" w:rsidRPr="004C6147">
        <w:rPr>
          <w:lang w:val="fr-FR"/>
        </w:rPr>
        <w:t>’</w:t>
      </w:r>
      <w:r w:rsidRPr="004C6147">
        <w:rPr>
          <w:lang w:val="fr-FR"/>
        </w:rPr>
        <w:t>utilisation durable des espèces sauvages est cruciale pour mettre fin à la perte de biodiversité et pour inverser la tendance et s</w:t>
      </w:r>
      <w:r w:rsidR="003F488A" w:rsidRPr="004C6147">
        <w:rPr>
          <w:lang w:val="fr-FR"/>
        </w:rPr>
        <w:t>’</w:t>
      </w:r>
      <w:r w:rsidRPr="004C6147">
        <w:rPr>
          <w:lang w:val="fr-FR"/>
        </w:rPr>
        <w:t>intègre donc parfaitement dans les travaux menés dans le cadre de la Convention, notamment dans les multiples programmes de travail, les principes et directives d</w:t>
      </w:r>
      <w:r w:rsidR="003F488A" w:rsidRPr="004C6147">
        <w:rPr>
          <w:lang w:val="fr-FR"/>
        </w:rPr>
        <w:t>’</w:t>
      </w:r>
      <w:r w:rsidRPr="004C6147">
        <w:rPr>
          <w:lang w:val="fr-FR"/>
        </w:rPr>
        <w:t>Addis-Abeba pour l</w:t>
      </w:r>
      <w:r w:rsidR="003F488A" w:rsidRPr="004C6147">
        <w:rPr>
          <w:lang w:val="fr-FR"/>
        </w:rPr>
        <w:t>’</w:t>
      </w:r>
      <w:r w:rsidRPr="004C6147">
        <w:rPr>
          <w:lang w:val="fr-FR"/>
        </w:rPr>
        <w:t>utilisation durable de la diversité biologique</w:t>
      </w:r>
      <w:r w:rsidRPr="004C6147">
        <w:rPr>
          <w:rStyle w:val="Appelnotedebasdep"/>
          <w:lang w:val="fr-FR"/>
        </w:rPr>
        <w:footnoteReference w:id="6"/>
      </w:r>
      <w:r w:rsidRPr="004C6147">
        <w:rPr>
          <w:lang w:val="fr-FR"/>
        </w:rPr>
        <w:t xml:space="preserve"> et le Cadre,</w:t>
      </w:r>
    </w:p>
    <w:p w14:paraId="2F0051A9" w14:textId="30C15D70" w:rsidR="00993748" w:rsidRPr="004C6147" w:rsidRDefault="00993748" w:rsidP="00993748">
      <w:pPr>
        <w:pStyle w:val="Para1RecommendationDecision"/>
        <w:tabs>
          <w:tab w:val="left" w:pos="1701"/>
        </w:tabs>
        <w:rPr>
          <w:lang w:val="fr-FR"/>
        </w:rPr>
      </w:pPr>
      <w:r w:rsidRPr="004C6147">
        <w:rPr>
          <w:i/>
          <w:iCs/>
          <w:lang w:val="fr-FR"/>
        </w:rPr>
        <w:lastRenderedPageBreak/>
        <w:t>Soulignant</w:t>
      </w:r>
      <w:r w:rsidRPr="004C6147">
        <w:rPr>
          <w:lang w:val="fr-FR"/>
        </w:rPr>
        <w:t xml:space="preserve"> que des milliards de personnes dans le monde sont tributaires de l</w:t>
      </w:r>
      <w:r w:rsidR="003F488A" w:rsidRPr="004C6147">
        <w:rPr>
          <w:lang w:val="fr-FR"/>
        </w:rPr>
        <w:t>’</w:t>
      </w:r>
      <w:r w:rsidRPr="004C6147">
        <w:rPr>
          <w:lang w:val="fr-FR"/>
        </w:rPr>
        <w:t>utilisation durable d</w:t>
      </w:r>
      <w:r w:rsidR="003F488A" w:rsidRPr="004C6147">
        <w:rPr>
          <w:lang w:val="fr-FR"/>
        </w:rPr>
        <w:t>’</w:t>
      </w:r>
      <w:r w:rsidRPr="004C6147">
        <w:rPr>
          <w:lang w:val="fr-FR"/>
        </w:rPr>
        <w:t xml:space="preserve">espèces sauvages, qui sont particulièrement importantes pour </w:t>
      </w:r>
      <w:r w:rsidR="00C858D8">
        <w:rPr>
          <w:lang w:val="fr-FR"/>
        </w:rPr>
        <w:t>l</w:t>
      </w:r>
      <w:r w:rsidRPr="004C6147">
        <w:rPr>
          <w:lang w:val="fr-FR"/>
        </w:rPr>
        <w:t>es personnes en situation de vulnérabilité,</w:t>
      </w:r>
    </w:p>
    <w:p w14:paraId="2F0051AA" w14:textId="59C3677E" w:rsidR="00B3412B" w:rsidRPr="004C6147" w:rsidRDefault="00993748" w:rsidP="00993748">
      <w:pPr>
        <w:pStyle w:val="Para1RecommendationDecision"/>
        <w:tabs>
          <w:tab w:val="left" w:pos="1701"/>
        </w:tabs>
        <w:rPr>
          <w:lang w:val="fr-FR"/>
        </w:rPr>
      </w:pPr>
      <w:r w:rsidRPr="004C6147">
        <w:rPr>
          <w:i/>
          <w:iCs/>
          <w:lang w:val="fr-FR"/>
        </w:rPr>
        <w:t>Soulignant également</w:t>
      </w:r>
      <w:r w:rsidRPr="004C6147">
        <w:rPr>
          <w:lang w:val="fr-FR"/>
        </w:rPr>
        <w:t xml:space="preserve"> que l</w:t>
      </w:r>
      <w:r w:rsidR="003F488A" w:rsidRPr="004C6147">
        <w:rPr>
          <w:lang w:val="fr-FR"/>
        </w:rPr>
        <w:t>’</w:t>
      </w:r>
      <w:r w:rsidRPr="004C6147">
        <w:rPr>
          <w:lang w:val="fr-FR"/>
        </w:rPr>
        <w:t>utilisation durable d</w:t>
      </w:r>
      <w:r w:rsidR="003F488A" w:rsidRPr="004C6147">
        <w:rPr>
          <w:lang w:val="fr-FR"/>
        </w:rPr>
        <w:t>’</w:t>
      </w:r>
      <w:r w:rsidRPr="004C6147">
        <w:rPr>
          <w:lang w:val="fr-FR"/>
        </w:rPr>
        <w:t>espèces sauvages est un élément central de l</w:t>
      </w:r>
      <w:r w:rsidR="003F488A" w:rsidRPr="004C6147">
        <w:rPr>
          <w:lang w:val="fr-FR"/>
        </w:rPr>
        <w:t>’</w:t>
      </w:r>
      <w:r w:rsidRPr="004C6147">
        <w:rPr>
          <w:lang w:val="fr-FR"/>
        </w:rPr>
        <w:t>identité et de l</w:t>
      </w:r>
      <w:r w:rsidR="003F488A" w:rsidRPr="004C6147">
        <w:rPr>
          <w:lang w:val="fr-FR"/>
        </w:rPr>
        <w:t>’</w:t>
      </w:r>
      <w:r w:rsidRPr="004C6147">
        <w:rPr>
          <w:lang w:val="fr-FR"/>
        </w:rPr>
        <w:t xml:space="preserve">existence de </w:t>
      </w:r>
      <w:r w:rsidR="00456517" w:rsidRPr="004C6147">
        <w:rPr>
          <w:lang w:val="fr-FR"/>
        </w:rPr>
        <w:t xml:space="preserve">nombreux peuples autochtones et </w:t>
      </w:r>
      <w:r w:rsidRPr="004C6147">
        <w:rPr>
          <w:lang w:val="fr-FR"/>
        </w:rPr>
        <w:t>communautés locales et femmes</w:t>
      </w:r>
      <w:r w:rsidR="00B3412B" w:rsidRPr="004C6147">
        <w:rPr>
          <w:lang w:val="fr-FR"/>
        </w:rPr>
        <w:t>,</w:t>
      </w:r>
    </w:p>
    <w:p w14:paraId="2F0051AB" w14:textId="3CE450B1" w:rsidR="00B3412B" w:rsidRPr="004C6147" w:rsidRDefault="00B3412B" w:rsidP="00B3412B">
      <w:pPr>
        <w:pStyle w:val="Para1RecommendationDecision"/>
        <w:tabs>
          <w:tab w:val="left" w:pos="1701"/>
        </w:tabs>
        <w:rPr>
          <w:lang w:val="fr-FR"/>
        </w:rPr>
      </w:pPr>
      <w:r w:rsidRPr="004C6147">
        <w:rPr>
          <w:lang w:val="fr-FR"/>
        </w:rPr>
        <w:t>1.</w:t>
      </w:r>
      <w:r w:rsidRPr="004C6147">
        <w:rPr>
          <w:lang w:val="fr-FR"/>
        </w:rPr>
        <w:tab/>
      </w:r>
      <w:r w:rsidR="00993748" w:rsidRPr="004C6147">
        <w:rPr>
          <w:i/>
          <w:iCs/>
          <w:lang w:val="fr-FR"/>
        </w:rPr>
        <w:t>Se félicite</w:t>
      </w:r>
      <w:r w:rsidR="00993748" w:rsidRPr="004C6147">
        <w:rPr>
          <w:lang w:val="fr-FR"/>
        </w:rPr>
        <w:t xml:space="preserve"> </w:t>
      </w:r>
      <w:r w:rsidR="00C858D8">
        <w:rPr>
          <w:lang w:val="fr-FR"/>
        </w:rPr>
        <w:t xml:space="preserve">de la publication </w:t>
      </w:r>
      <w:r w:rsidR="00C858D8" w:rsidRPr="00D040C0">
        <w:rPr>
          <w:i/>
          <w:iCs/>
        </w:rPr>
        <w:t>The</w:t>
      </w:r>
      <w:r w:rsidR="00C858D8" w:rsidRPr="00166E11">
        <w:rPr>
          <w:i/>
          <w:iCs/>
        </w:rPr>
        <w:t xml:space="preserve"> Thematic Assessment Report on the Sustainable Use of Wild Species</w:t>
      </w:r>
      <w:r w:rsidR="00C858D8" w:rsidRPr="00166E11">
        <w:t xml:space="preserve"> </w:t>
      </w:r>
      <w:r w:rsidR="00C858D8" w:rsidRPr="00C858D8">
        <w:rPr>
          <w:lang w:val="fr-FR"/>
        </w:rPr>
        <w:t>(</w:t>
      </w:r>
      <w:r w:rsidR="00C858D8">
        <w:rPr>
          <w:lang w:val="fr-FR"/>
        </w:rPr>
        <w:t>R</w:t>
      </w:r>
      <w:r w:rsidR="00993748" w:rsidRPr="00C858D8">
        <w:rPr>
          <w:lang w:val="fr-FR"/>
        </w:rPr>
        <w:t>apport d</w:t>
      </w:r>
      <w:r w:rsidR="00C858D8">
        <w:rPr>
          <w:lang w:val="fr-FR"/>
        </w:rPr>
        <w:t>e l</w:t>
      </w:r>
      <w:r w:rsidR="003F488A" w:rsidRPr="00C858D8">
        <w:rPr>
          <w:lang w:val="fr-FR"/>
        </w:rPr>
        <w:t>’</w:t>
      </w:r>
      <w:r w:rsidR="00993748" w:rsidRPr="00C858D8">
        <w:rPr>
          <w:lang w:val="fr-FR"/>
        </w:rPr>
        <w:t>évaluation thématique de l</w:t>
      </w:r>
      <w:r w:rsidR="003F488A" w:rsidRPr="00C858D8">
        <w:rPr>
          <w:lang w:val="fr-FR"/>
        </w:rPr>
        <w:t>’</w:t>
      </w:r>
      <w:r w:rsidR="00993748" w:rsidRPr="00C858D8">
        <w:rPr>
          <w:lang w:val="fr-FR"/>
        </w:rPr>
        <w:t>utilisation durable des espèces sauvages</w:t>
      </w:r>
      <w:r w:rsidR="00C858D8" w:rsidRPr="00C858D8">
        <w:rPr>
          <w:lang w:val="fr-FR"/>
        </w:rPr>
        <w:t>)</w:t>
      </w:r>
      <w:r w:rsidR="00993748" w:rsidRPr="00C858D8">
        <w:rPr>
          <w:lang w:val="fr-FR"/>
        </w:rPr>
        <w:t xml:space="preserve"> </w:t>
      </w:r>
      <w:r w:rsidR="00993748" w:rsidRPr="004C6147">
        <w:rPr>
          <w:lang w:val="fr-FR"/>
        </w:rPr>
        <w:t>de la Plateforme intergouvernementale scientifique et politique sur la biodiversité et les services écosystémiques</w:t>
      </w:r>
      <w:r w:rsidR="00993748" w:rsidRPr="004C6147">
        <w:rPr>
          <w:i/>
          <w:iCs/>
          <w:lang w:val="fr-FR"/>
        </w:rPr>
        <w:t xml:space="preserve">, </w:t>
      </w:r>
      <w:r w:rsidR="00993748" w:rsidRPr="004C6147">
        <w:rPr>
          <w:iCs/>
          <w:lang w:val="fr-FR"/>
        </w:rPr>
        <w:t xml:space="preserve">y compris </w:t>
      </w:r>
      <w:r w:rsidR="00993748" w:rsidRPr="004C6147">
        <w:rPr>
          <w:lang w:val="fr-FR"/>
        </w:rPr>
        <w:t>du résumé à l</w:t>
      </w:r>
      <w:r w:rsidR="003F488A" w:rsidRPr="004C6147">
        <w:rPr>
          <w:lang w:val="fr-FR"/>
        </w:rPr>
        <w:t>’</w:t>
      </w:r>
      <w:r w:rsidR="00456517" w:rsidRPr="004C6147">
        <w:rPr>
          <w:lang w:val="fr-FR"/>
        </w:rPr>
        <w:t>intention</w:t>
      </w:r>
      <w:r w:rsidR="00993748" w:rsidRPr="004C6147">
        <w:rPr>
          <w:lang w:val="fr-FR"/>
        </w:rPr>
        <w:t xml:space="preserve"> des décideurs</w:t>
      </w:r>
      <w:r w:rsidR="00C14875" w:rsidRPr="004C6147">
        <w:rPr>
          <w:lang w:val="fr-FR"/>
        </w:rPr>
        <w:t xml:space="preserve"> et de</w:t>
      </w:r>
      <w:r w:rsidR="00C858D8">
        <w:rPr>
          <w:lang w:val="fr-FR"/>
        </w:rPr>
        <w:t xml:space="preserve"> ses</w:t>
      </w:r>
      <w:r w:rsidR="00C14875" w:rsidRPr="004C6147">
        <w:rPr>
          <w:lang w:val="fr-FR"/>
        </w:rPr>
        <w:t xml:space="preserve"> messages clés</w:t>
      </w:r>
      <w:r w:rsidR="00993748" w:rsidRPr="004C6147">
        <w:rPr>
          <w:lang w:val="fr-FR"/>
        </w:rPr>
        <w:t>, et note leur pertinence pour les travaux menés dans le cadre de la Convention et pour l</w:t>
      </w:r>
      <w:r w:rsidR="003F488A" w:rsidRPr="004C6147">
        <w:rPr>
          <w:lang w:val="fr-FR"/>
        </w:rPr>
        <w:t>’</w:t>
      </w:r>
      <w:r w:rsidR="00993748" w:rsidRPr="004C6147">
        <w:rPr>
          <w:lang w:val="fr-FR"/>
        </w:rPr>
        <w:t>application du Cadre mondial de la biodiversité de Kunming-Montréal</w:t>
      </w:r>
      <w:r w:rsidR="00516DB4" w:rsidRPr="004C6147">
        <w:rPr>
          <w:lang w:val="fr-FR"/>
        </w:rPr>
        <w:t xml:space="preserve"> </w:t>
      </w:r>
      <w:r w:rsidR="00993748" w:rsidRPr="004C6147">
        <w:rPr>
          <w:lang w:val="fr-FR"/>
        </w:rPr>
        <w:t>;</w:t>
      </w:r>
    </w:p>
    <w:p w14:paraId="2F0051AC" w14:textId="03065316" w:rsidR="00993748" w:rsidRPr="004C6147" w:rsidRDefault="00B3412B" w:rsidP="00993748">
      <w:pPr>
        <w:pStyle w:val="Para1RecommendationDecision"/>
        <w:tabs>
          <w:tab w:val="left" w:pos="1701"/>
        </w:tabs>
        <w:rPr>
          <w:lang w:val="fr-FR"/>
        </w:rPr>
      </w:pPr>
      <w:r w:rsidRPr="004C6147">
        <w:rPr>
          <w:lang w:val="fr-FR"/>
        </w:rPr>
        <w:t>2.</w:t>
      </w:r>
      <w:r w:rsidRPr="004C6147">
        <w:rPr>
          <w:lang w:val="fr-FR"/>
        </w:rPr>
        <w:tab/>
      </w:r>
      <w:r w:rsidR="00993748" w:rsidRPr="004C6147">
        <w:rPr>
          <w:i/>
          <w:iCs/>
          <w:szCs w:val="22"/>
          <w:lang w:val="fr-FR"/>
        </w:rPr>
        <w:t>Reconnait</w:t>
      </w:r>
      <w:r w:rsidR="00993748" w:rsidRPr="004C6147">
        <w:rPr>
          <w:lang w:val="fr-FR"/>
        </w:rPr>
        <w:t xml:space="preserve"> que le suivi des espèces sauvages mobilise beaucoup de ressources et nécessitera davantage de soutien et d</w:t>
      </w:r>
      <w:r w:rsidR="003F488A" w:rsidRPr="004C6147">
        <w:rPr>
          <w:lang w:val="fr-FR"/>
        </w:rPr>
        <w:t>’</w:t>
      </w:r>
      <w:r w:rsidR="00993748" w:rsidRPr="004C6147">
        <w:rPr>
          <w:lang w:val="fr-FR"/>
        </w:rPr>
        <w:t xml:space="preserve">investissements de la part de tous les pays pour surmonter les difficultés financières, techniques, institutionnelles et relatives aux capacités, qui </w:t>
      </w:r>
      <w:r w:rsidR="00DD0D6E" w:rsidRPr="004C6147">
        <w:rPr>
          <w:lang w:val="fr-FR"/>
        </w:rPr>
        <w:t>restreignent considérablement</w:t>
      </w:r>
      <w:r w:rsidR="00993748" w:rsidRPr="004C6147">
        <w:rPr>
          <w:lang w:val="fr-FR"/>
        </w:rPr>
        <w:t xml:space="preserve"> le suivi des espèces sauvages, celles-ci étant plus prononcées encore dans les pays en développement, et souligne que les efforts de suivi qui i</w:t>
      </w:r>
      <w:r w:rsidR="00456517" w:rsidRPr="004C6147">
        <w:rPr>
          <w:lang w:val="fr-FR"/>
        </w:rPr>
        <w:t>ncluent les peuples autochtones et</w:t>
      </w:r>
      <w:r w:rsidR="00993748" w:rsidRPr="004C6147">
        <w:rPr>
          <w:lang w:val="fr-FR"/>
        </w:rPr>
        <w:t xml:space="preserve"> communautés locales, les femmes et les approches scientifiques et qui facilitent la participation équitable de tous les principaux acteurs peuvent contribuer à des prises de décisions en meilleure connaissance de cause</w:t>
      </w:r>
      <w:r w:rsidR="00516DB4" w:rsidRPr="004C6147">
        <w:rPr>
          <w:lang w:val="fr-FR"/>
        </w:rPr>
        <w:t xml:space="preserve"> </w:t>
      </w:r>
      <w:r w:rsidR="00993748" w:rsidRPr="004C6147">
        <w:rPr>
          <w:lang w:val="fr-FR"/>
        </w:rPr>
        <w:t>;</w:t>
      </w:r>
    </w:p>
    <w:p w14:paraId="2F0051AD" w14:textId="24AE3142" w:rsidR="00993748" w:rsidRPr="004C6147" w:rsidRDefault="00993748" w:rsidP="00993748">
      <w:pPr>
        <w:pStyle w:val="Para1RecommendationDecision"/>
        <w:tabs>
          <w:tab w:val="left" w:pos="1701"/>
        </w:tabs>
        <w:rPr>
          <w:lang w:val="fr-FR"/>
        </w:rPr>
      </w:pPr>
      <w:r w:rsidRPr="004C6147">
        <w:rPr>
          <w:lang w:val="fr-FR"/>
        </w:rPr>
        <w:t>3.</w:t>
      </w:r>
      <w:r w:rsidRPr="004C6147">
        <w:rPr>
          <w:lang w:val="fr-FR"/>
        </w:rPr>
        <w:tab/>
      </w:r>
      <w:r w:rsidRPr="004C6147">
        <w:rPr>
          <w:i/>
          <w:iCs/>
          <w:lang w:val="fr-FR"/>
        </w:rPr>
        <w:t>Encourage</w:t>
      </w:r>
      <w:r w:rsidRPr="004C6147">
        <w:rPr>
          <w:lang w:val="fr-FR"/>
        </w:rPr>
        <w:t xml:space="preserve"> les Parties, les autres gouvernements, les autorités infranationales à tous les niveaux et les organisations concernées à veiller à la participation pleine et ef</w:t>
      </w:r>
      <w:r w:rsidR="00456517" w:rsidRPr="004C6147">
        <w:rPr>
          <w:lang w:val="fr-FR"/>
        </w:rPr>
        <w:t>fective des peuples autochtones et</w:t>
      </w:r>
      <w:r w:rsidRPr="004C6147">
        <w:rPr>
          <w:lang w:val="fr-FR"/>
        </w:rPr>
        <w:t xml:space="preserve"> communautés locales, des femmes, des filles et des garçons, de la jeunesse et des personnes handicapées aux processus de prise de décisions relatives aux espèces sauvages, conforméme</w:t>
      </w:r>
      <w:r w:rsidR="00A60E29" w:rsidRPr="004C6147">
        <w:rPr>
          <w:lang w:val="fr-FR"/>
        </w:rPr>
        <w:t>nt aux cibles 22 et 23 du Cadre</w:t>
      </w:r>
      <w:r w:rsidR="00516DB4" w:rsidRPr="004C6147">
        <w:rPr>
          <w:lang w:val="fr-FR"/>
        </w:rPr>
        <w:t xml:space="preserve"> </w:t>
      </w:r>
      <w:r w:rsidRPr="004C6147">
        <w:rPr>
          <w:lang w:val="fr-FR"/>
        </w:rPr>
        <w:t>;</w:t>
      </w:r>
    </w:p>
    <w:p w14:paraId="2F0051AE" w14:textId="49A488A5" w:rsidR="00B3412B" w:rsidRPr="004C6147" w:rsidRDefault="00993748" w:rsidP="00993748">
      <w:pPr>
        <w:pStyle w:val="Para1RecommendationDecision"/>
        <w:tabs>
          <w:tab w:val="left" w:pos="1701"/>
        </w:tabs>
        <w:rPr>
          <w:lang w:val="fr-FR"/>
        </w:rPr>
      </w:pPr>
      <w:r w:rsidRPr="004C6147">
        <w:rPr>
          <w:lang w:val="fr-FR"/>
        </w:rPr>
        <w:t>4.</w:t>
      </w:r>
      <w:r w:rsidRPr="004C6147">
        <w:rPr>
          <w:i/>
          <w:iCs/>
          <w:lang w:val="fr-FR"/>
        </w:rPr>
        <w:tab/>
        <w:t>Encourage</w:t>
      </w:r>
      <w:r w:rsidRPr="004C6147">
        <w:rPr>
          <w:lang w:val="fr-FR"/>
        </w:rPr>
        <w:t xml:space="preserve"> les Parties, et invite les autres gouvernements, les autorités infranationales à tous les n</w:t>
      </w:r>
      <w:r w:rsidR="00456517" w:rsidRPr="004C6147">
        <w:rPr>
          <w:lang w:val="fr-FR"/>
        </w:rPr>
        <w:t>iveaux, les peuples autochtones et</w:t>
      </w:r>
      <w:r w:rsidRPr="004C6147">
        <w:rPr>
          <w:lang w:val="fr-FR"/>
        </w:rPr>
        <w:t xml:space="preserve"> communautés locales, les femmes et les organisations compétentes, selon leurs besoins, leurs capacités et leur situation, dans le respect des obligations internationales pertinentes, selon qu</w:t>
      </w:r>
      <w:r w:rsidR="003F488A" w:rsidRPr="004C6147">
        <w:rPr>
          <w:lang w:val="fr-FR"/>
        </w:rPr>
        <w:t>’</w:t>
      </w:r>
      <w:r w:rsidRPr="004C6147">
        <w:rPr>
          <w:lang w:val="fr-FR"/>
        </w:rPr>
        <w:t>il convient, à </w:t>
      </w:r>
      <w:r w:rsidR="00B3412B" w:rsidRPr="004C6147">
        <w:rPr>
          <w:lang w:val="fr-FR"/>
        </w:rPr>
        <w:t>:</w:t>
      </w:r>
    </w:p>
    <w:p w14:paraId="2F0051AF" w14:textId="0DE6AA19" w:rsidR="00993748" w:rsidRPr="004C6147" w:rsidRDefault="00993748" w:rsidP="00993748">
      <w:pPr>
        <w:pStyle w:val="Para2RecommendationDecision"/>
        <w:tabs>
          <w:tab w:val="left" w:pos="2268"/>
        </w:tabs>
        <w:rPr>
          <w:lang w:val="fr-FR"/>
        </w:rPr>
      </w:pPr>
      <w:r w:rsidRPr="004C6147">
        <w:rPr>
          <w:lang w:val="fr-FR"/>
        </w:rPr>
        <w:t>a)</w:t>
      </w:r>
      <w:r w:rsidRPr="004C6147">
        <w:rPr>
          <w:lang w:val="fr-FR"/>
        </w:rPr>
        <w:tab/>
        <w:t>Utiliser l</w:t>
      </w:r>
      <w:r w:rsidR="003F488A" w:rsidRPr="004C6147">
        <w:rPr>
          <w:lang w:val="fr-FR"/>
        </w:rPr>
        <w:t>’</w:t>
      </w:r>
      <w:r w:rsidRPr="004C6147">
        <w:rPr>
          <w:lang w:val="fr-FR"/>
        </w:rPr>
        <w:t>information fournie dans l</w:t>
      </w:r>
      <w:r w:rsidR="003F488A" w:rsidRPr="004C6147">
        <w:rPr>
          <w:lang w:val="fr-FR"/>
        </w:rPr>
        <w:t>’</w:t>
      </w:r>
      <w:r w:rsidRPr="004C6147">
        <w:rPr>
          <w:lang w:val="fr-FR"/>
        </w:rPr>
        <w:t>évaluation de la mise en œuvre de la Convention et des objectifs et cibles du Cadre, y compris lors de l</w:t>
      </w:r>
      <w:r w:rsidR="003F488A" w:rsidRPr="004C6147">
        <w:rPr>
          <w:lang w:val="fr-FR"/>
        </w:rPr>
        <w:t>’</w:t>
      </w:r>
      <w:r w:rsidRPr="004C6147">
        <w:rPr>
          <w:lang w:val="fr-FR"/>
        </w:rPr>
        <w:t>actualisation des stratégies et plans d</w:t>
      </w:r>
      <w:r w:rsidR="003F488A" w:rsidRPr="004C6147">
        <w:rPr>
          <w:lang w:val="fr-FR"/>
        </w:rPr>
        <w:t>’</w:t>
      </w:r>
      <w:r w:rsidRPr="004C6147">
        <w:rPr>
          <w:lang w:val="fr-FR"/>
        </w:rPr>
        <w:t xml:space="preserve">action nationaux pour la biodiversité, la </w:t>
      </w:r>
      <w:r w:rsidR="00E7495C">
        <w:rPr>
          <w:lang w:val="fr-FR"/>
        </w:rPr>
        <w:t>détermination</w:t>
      </w:r>
      <w:r w:rsidRPr="004C6147">
        <w:rPr>
          <w:lang w:val="fr-FR"/>
        </w:rPr>
        <w:t xml:space="preserve"> d</w:t>
      </w:r>
      <w:r w:rsidR="003F488A" w:rsidRPr="004C6147">
        <w:rPr>
          <w:lang w:val="fr-FR"/>
        </w:rPr>
        <w:t>’</w:t>
      </w:r>
      <w:r w:rsidRPr="004C6147">
        <w:rPr>
          <w:lang w:val="fr-FR"/>
        </w:rPr>
        <w:t>objectifs nationaux et l</w:t>
      </w:r>
      <w:r w:rsidR="003F488A" w:rsidRPr="004C6147">
        <w:rPr>
          <w:lang w:val="fr-FR"/>
        </w:rPr>
        <w:t>’</w:t>
      </w:r>
      <w:r w:rsidRPr="004C6147">
        <w:rPr>
          <w:lang w:val="fr-FR"/>
        </w:rPr>
        <w:t>él</w:t>
      </w:r>
      <w:r w:rsidR="00A60E29" w:rsidRPr="004C6147">
        <w:rPr>
          <w:lang w:val="fr-FR"/>
        </w:rPr>
        <w:t>aboration de rapports nationaux</w:t>
      </w:r>
      <w:r w:rsidR="00516DB4" w:rsidRPr="004C6147">
        <w:rPr>
          <w:lang w:val="fr-FR"/>
        </w:rPr>
        <w:t> </w:t>
      </w:r>
      <w:r w:rsidRPr="004C6147">
        <w:rPr>
          <w:lang w:val="fr-FR"/>
        </w:rPr>
        <w:t>;</w:t>
      </w:r>
    </w:p>
    <w:p w14:paraId="2F0051B0" w14:textId="57204BD0" w:rsidR="00993748" w:rsidRPr="004C6147" w:rsidRDefault="00993748" w:rsidP="00993748">
      <w:pPr>
        <w:pStyle w:val="Para2RecommendationDecision"/>
        <w:tabs>
          <w:tab w:val="left" w:pos="2268"/>
        </w:tabs>
        <w:rPr>
          <w:lang w:val="fr-FR"/>
        </w:rPr>
      </w:pPr>
      <w:r w:rsidRPr="004C6147">
        <w:rPr>
          <w:lang w:val="fr-FR"/>
        </w:rPr>
        <w:t>b)</w:t>
      </w:r>
      <w:r w:rsidRPr="004C6147">
        <w:rPr>
          <w:lang w:val="fr-FR"/>
        </w:rPr>
        <w:tab/>
        <w:t>Prendre en compte, selon qu</w:t>
      </w:r>
      <w:r w:rsidR="003F488A" w:rsidRPr="004C6147">
        <w:rPr>
          <w:lang w:val="fr-FR"/>
        </w:rPr>
        <w:t>’</w:t>
      </w:r>
      <w:r w:rsidRPr="004C6147">
        <w:rPr>
          <w:lang w:val="fr-FR"/>
        </w:rPr>
        <w:t>il convient et conformément à la législation nationale, les s</w:t>
      </w:r>
      <w:r w:rsidR="003F488A" w:rsidRPr="004C6147">
        <w:rPr>
          <w:lang w:val="fr-FR"/>
        </w:rPr>
        <w:t>ept mesures de politiques, ou « éléments clés »</w:t>
      </w:r>
      <w:r w:rsidRPr="004C6147">
        <w:rPr>
          <w:lang w:val="fr-FR"/>
        </w:rPr>
        <w:t xml:space="preserve"> suggérés dans l</w:t>
      </w:r>
      <w:r w:rsidR="003F488A" w:rsidRPr="004C6147">
        <w:rPr>
          <w:lang w:val="fr-FR"/>
        </w:rPr>
        <w:t>’</w:t>
      </w:r>
      <w:r w:rsidRPr="004C6147">
        <w:rPr>
          <w:lang w:val="fr-FR"/>
        </w:rPr>
        <w:t>évaluation, comme indiqué au paragraphe 6 de la recommandation </w:t>
      </w:r>
      <w:hyperlink r:id="rId17" w:history="1">
        <w:r w:rsidRPr="004C6147">
          <w:rPr>
            <w:rStyle w:val="Lienhypertexte"/>
            <w:lang w:val="fr-FR"/>
          </w:rPr>
          <w:t>25/</w:t>
        </w:r>
        <w:r w:rsidRPr="004C6147">
          <w:rPr>
            <w:rStyle w:val="Lienhypertexte"/>
            <w:lang w:val="fr-FR"/>
          </w:rPr>
          <w:t>7</w:t>
        </w:r>
      </w:hyperlink>
      <w:r w:rsidRPr="004C6147">
        <w:rPr>
          <w:lang w:val="fr-FR"/>
        </w:rPr>
        <w:t xml:space="preserve"> </w:t>
      </w:r>
      <w:r w:rsidR="00DD0D6E" w:rsidRPr="004C6147">
        <w:rPr>
          <w:lang w:val="fr-FR"/>
        </w:rPr>
        <w:t xml:space="preserve">du 19 octobre 2023 </w:t>
      </w:r>
      <w:r w:rsidRPr="004C6147">
        <w:rPr>
          <w:lang w:val="fr-FR"/>
        </w:rPr>
        <w:t>de l</w:t>
      </w:r>
      <w:r w:rsidR="003F488A" w:rsidRPr="004C6147">
        <w:rPr>
          <w:lang w:val="fr-FR"/>
        </w:rPr>
        <w:t>’</w:t>
      </w:r>
      <w:r w:rsidRPr="004C6147">
        <w:rPr>
          <w:lang w:val="fr-FR"/>
        </w:rPr>
        <w:t>Organe subsidiaire chargé de fournir des avis scientifiques, techniques et technologiques, lors de l</w:t>
      </w:r>
      <w:r w:rsidR="003F488A" w:rsidRPr="004C6147">
        <w:rPr>
          <w:lang w:val="fr-FR"/>
        </w:rPr>
        <w:t>’</w:t>
      </w:r>
      <w:r w:rsidRPr="004C6147">
        <w:rPr>
          <w:lang w:val="fr-FR"/>
        </w:rPr>
        <w:t>élaboration et de la mise en œuvre de politiques sur l</w:t>
      </w:r>
      <w:r w:rsidR="003F488A" w:rsidRPr="004C6147">
        <w:rPr>
          <w:lang w:val="fr-FR"/>
        </w:rPr>
        <w:t>’</w:t>
      </w:r>
      <w:r w:rsidRPr="004C6147">
        <w:rPr>
          <w:lang w:val="fr-FR"/>
        </w:rPr>
        <w:t>utilisation durable, à savoir la prise de décision inclusive et participative, l</w:t>
      </w:r>
      <w:r w:rsidR="003F488A" w:rsidRPr="004C6147">
        <w:rPr>
          <w:lang w:val="fr-FR"/>
        </w:rPr>
        <w:t>’</w:t>
      </w:r>
      <w:r w:rsidRPr="004C6147">
        <w:rPr>
          <w:lang w:val="fr-FR"/>
        </w:rPr>
        <w:t>inclusion de différents régimes de savoirs et reconnaissance des droits, la répartition équitable des coûts et des avantages, l</w:t>
      </w:r>
      <w:r w:rsidR="003F488A" w:rsidRPr="004C6147">
        <w:rPr>
          <w:lang w:val="fr-FR"/>
        </w:rPr>
        <w:t>’</w:t>
      </w:r>
      <w:r w:rsidRPr="004C6147">
        <w:rPr>
          <w:lang w:val="fr-FR"/>
        </w:rPr>
        <w:t>adaptation des politiques au contexte socioécologique local, le suivi des conditions et des pratiques socioécologiques, des politiques coordonnées et harmonisées, et des institutions solides, accompagnées d</w:t>
      </w:r>
      <w:r w:rsidR="003F488A" w:rsidRPr="004C6147">
        <w:rPr>
          <w:lang w:val="fr-FR"/>
        </w:rPr>
        <w:t>’</w:t>
      </w:r>
      <w:r w:rsidRPr="004C6147">
        <w:rPr>
          <w:lang w:val="fr-FR"/>
        </w:rPr>
        <w:t>une tr</w:t>
      </w:r>
      <w:r w:rsidR="00A60E29" w:rsidRPr="004C6147">
        <w:rPr>
          <w:lang w:val="fr-FR"/>
        </w:rPr>
        <w:t>ansition de la coutume à la loi</w:t>
      </w:r>
      <w:r w:rsidR="00516DB4" w:rsidRPr="004C6147">
        <w:rPr>
          <w:lang w:val="fr-FR"/>
        </w:rPr>
        <w:t> </w:t>
      </w:r>
      <w:r w:rsidRPr="004C6147">
        <w:rPr>
          <w:lang w:val="fr-FR"/>
        </w:rPr>
        <w:t>;</w:t>
      </w:r>
    </w:p>
    <w:p w14:paraId="2F0051B1" w14:textId="52E41B64" w:rsidR="00993748" w:rsidRPr="004C6147" w:rsidRDefault="00993748" w:rsidP="00993748">
      <w:pPr>
        <w:pStyle w:val="Para2RecommendationDecision"/>
        <w:tabs>
          <w:tab w:val="left" w:pos="2268"/>
        </w:tabs>
        <w:rPr>
          <w:lang w:val="fr-FR"/>
        </w:rPr>
      </w:pPr>
      <w:r w:rsidRPr="004C6147">
        <w:rPr>
          <w:lang w:val="fr-FR"/>
        </w:rPr>
        <w:t>c)</w:t>
      </w:r>
      <w:r w:rsidRPr="004C6147">
        <w:rPr>
          <w:lang w:val="fr-FR"/>
        </w:rPr>
        <w:tab/>
        <w:t>Incorporer les mécanismes inclusifs et participatifs pour l</w:t>
      </w:r>
      <w:r w:rsidR="003F488A" w:rsidRPr="004C6147">
        <w:rPr>
          <w:lang w:val="fr-FR"/>
        </w:rPr>
        <w:t>’</w:t>
      </w:r>
      <w:r w:rsidRPr="004C6147">
        <w:rPr>
          <w:lang w:val="fr-FR"/>
        </w:rPr>
        <w:t>élaboration des instruments et outils de politique, des cadres et indicateurs de surveillance, y compris pour les cibles 4, 5, 9, 10, 22 et 23 du Cadre, conformément à la législation nationale et aux obligations internationales pertinentes, veiller à ce que des instruments et outils tiennent compte des changements de contexte socioéconomique et de l</w:t>
      </w:r>
      <w:r w:rsidR="003F488A" w:rsidRPr="004C6147">
        <w:rPr>
          <w:lang w:val="fr-FR"/>
        </w:rPr>
        <w:t>’</w:t>
      </w:r>
      <w:r w:rsidRPr="004C6147">
        <w:rPr>
          <w:lang w:val="fr-FR"/>
        </w:rPr>
        <w:t>harmonisation aux politiques sectorielles, et promouvoir l</w:t>
      </w:r>
      <w:r w:rsidR="003F488A" w:rsidRPr="004C6147">
        <w:rPr>
          <w:lang w:val="fr-FR"/>
        </w:rPr>
        <w:t>’</w:t>
      </w:r>
      <w:r w:rsidRPr="004C6147">
        <w:rPr>
          <w:lang w:val="fr-FR"/>
        </w:rPr>
        <w:t>incorporation des systèmes de connaissances diversifiés afin d</w:t>
      </w:r>
      <w:r w:rsidR="003F488A" w:rsidRPr="004C6147">
        <w:rPr>
          <w:lang w:val="fr-FR"/>
        </w:rPr>
        <w:t>’</w:t>
      </w:r>
      <w:r w:rsidRPr="004C6147">
        <w:rPr>
          <w:lang w:val="fr-FR"/>
        </w:rPr>
        <w:t>améliorer la prise de décisions et renforcer la capacité d</w:t>
      </w:r>
      <w:r w:rsidR="003F488A" w:rsidRPr="004C6147">
        <w:rPr>
          <w:lang w:val="fr-FR"/>
        </w:rPr>
        <w:t>’</w:t>
      </w:r>
      <w:r w:rsidRPr="004C6147">
        <w:rPr>
          <w:lang w:val="fr-FR"/>
        </w:rPr>
        <w:t>adaptation des instruments de politique en ce qui a trait à l</w:t>
      </w:r>
      <w:r w:rsidR="003F488A" w:rsidRPr="004C6147">
        <w:rPr>
          <w:lang w:val="fr-FR"/>
        </w:rPr>
        <w:t>’</w:t>
      </w:r>
      <w:r w:rsidRPr="004C6147">
        <w:rPr>
          <w:lang w:val="fr-FR"/>
        </w:rPr>
        <w:t>utilisati</w:t>
      </w:r>
      <w:r w:rsidR="00A60E29" w:rsidRPr="004C6147">
        <w:rPr>
          <w:lang w:val="fr-FR"/>
        </w:rPr>
        <w:t>on durable des espèces sauvages</w:t>
      </w:r>
      <w:r w:rsidR="00516DB4" w:rsidRPr="004C6147">
        <w:rPr>
          <w:lang w:val="fr-FR"/>
        </w:rPr>
        <w:t> </w:t>
      </w:r>
      <w:r w:rsidRPr="004C6147">
        <w:rPr>
          <w:lang w:val="fr-FR"/>
        </w:rPr>
        <w:t>;</w:t>
      </w:r>
    </w:p>
    <w:p w14:paraId="2F0051B2" w14:textId="452C6323" w:rsidR="00993748" w:rsidRPr="004C6147" w:rsidRDefault="00993748" w:rsidP="00993748">
      <w:pPr>
        <w:pStyle w:val="Para2RecommendationDecision"/>
        <w:tabs>
          <w:tab w:val="left" w:pos="2268"/>
        </w:tabs>
        <w:rPr>
          <w:lang w:val="fr-FR"/>
        </w:rPr>
      </w:pPr>
      <w:r w:rsidRPr="004C6147">
        <w:rPr>
          <w:lang w:val="fr-FR"/>
        </w:rPr>
        <w:lastRenderedPageBreak/>
        <w:t>d)</w:t>
      </w:r>
      <w:r w:rsidRPr="004C6147">
        <w:rPr>
          <w:lang w:val="fr-FR"/>
        </w:rPr>
        <w:tab/>
        <w:t>Soutenir les politiques qui tiennent compte des niveaux de pauvreté, d</w:t>
      </w:r>
      <w:r w:rsidR="003F488A" w:rsidRPr="004C6147">
        <w:rPr>
          <w:lang w:val="fr-FR"/>
        </w:rPr>
        <w:t>’</w:t>
      </w:r>
      <w:r w:rsidRPr="004C6147">
        <w:rPr>
          <w:lang w:val="fr-FR"/>
        </w:rPr>
        <w:t>inégalité et d</w:t>
      </w:r>
      <w:r w:rsidR="003F488A" w:rsidRPr="004C6147">
        <w:rPr>
          <w:lang w:val="fr-FR"/>
        </w:rPr>
        <w:t>’</w:t>
      </w:r>
      <w:r w:rsidRPr="004C6147">
        <w:rPr>
          <w:lang w:val="fr-FR"/>
        </w:rPr>
        <w:t>insécurité alimentaire parmi les groupes en situation de vulnérabilité qui sont tributaires de l</w:t>
      </w:r>
      <w:r w:rsidR="003F488A" w:rsidRPr="004C6147">
        <w:rPr>
          <w:lang w:val="fr-FR"/>
        </w:rPr>
        <w:t>’</w:t>
      </w:r>
      <w:r w:rsidRPr="004C6147">
        <w:rPr>
          <w:lang w:val="fr-FR"/>
        </w:rPr>
        <w:t>utilisation durable des espèces sauvages, et soutenir des alternatives complémentaires pour les personnes en situation de pauvreté afin d</w:t>
      </w:r>
      <w:r w:rsidR="003F488A" w:rsidRPr="004C6147">
        <w:rPr>
          <w:lang w:val="fr-FR"/>
        </w:rPr>
        <w:t>’</w:t>
      </w:r>
      <w:r w:rsidRPr="004C6147">
        <w:rPr>
          <w:lang w:val="fr-FR"/>
        </w:rPr>
        <w:t>év</w:t>
      </w:r>
      <w:r w:rsidR="00A60E29" w:rsidRPr="004C6147">
        <w:rPr>
          <w:lang w:val="fr-FR"/>
        </w:rPr>
        <w:t>iter les pratiques non durables</w:t>
      </w:r>
      <w:r w:rsidR="00516DB4" w:rsidRPr="004C6147">
        <w:rPr>
          <w:lang w:val="fr-FR"/>
        </w:rPr>
        <w:t> </w:t>
      </w:r>
      <w:r w:rsidRPr="004C6147">
        <w:rPr>
          <w:lang w:val="fr-FR"/>
        </w:rPr>
        <w:t>;</w:t>
      </w:r>
    </w:p>
    <w:p w14:paraId="2F0051B3" w14:textId="063F4AFC" w:rsidR="00993748" w:rsidRPr="004C6147" w:rsidRDefault="00993748" w:rsidP="00993748">
      <w:pPr>
        <w:pStyle w:val="Para2RecommendationDecision"/>
        <w:tabs>
          <w:tab w:val="left" w:pos="2268"/>
        </w:tabs>
        <w:rPr>
          <w:lang w:val="fr-FR"/>
        </w:rPr>
      </w:pPr>
      <w:r w:rsidRPr="004C6147">
        <w:rPr>
          <w:lang w:val="fr-FR"/>
        </w:rPr>
        <w:t>e)</w:t>
      </w:r>
      <w:r w:rsidRPr="004C6147">
        <w:rPr>
          <w:lang w:val="fr-FR"/>
        </w:rPr>
        <w:tab/>
        <w:t>Répondre aux besoins et à la situation des personnes vulnérables, et éliminer les difficultés en lien avec les titres de propriété, les droits d</w:t>
      </w:r>
      <w:r w:rsidR="003F488A" w:rsidRPr="004C6147">
        <w:rPr>
          <w:lang w:val="fr-FR"/>
        </w:rPr>
        <w:t>’</w:t>
      </w:r>
      <w:r w:rsidRPr="004C6147">
        <w:rPr>
          <w:lang w:val="fr-FR"/>
        </w:rPr>
        <w:t>utilisation des ressources et à la répartition inéquitable des coûts et des avantages découlant de l</w:t>
      </w:r>
      <w:r w:rsidR="003F488A" w:rsidRPr="004C6147">
        <w:rPr>
          <w:lang w:val="fr-FR"/>
        </w:rPr>
        <w:t>’</w:t>
      </w:r>
      <w:r w:rsidRPr="004C6147">
        <w:rPr>
          <w:lang w:val="fr-FR"/>
        </w:rPr>
        <w:t>utilisation durable des espèces sauvages pour la réalisation des objectifs de la Convention ainsi que des cibles et des objectifs du Cadre</w:t>
      </w:r>
      <w:r w:rsidR="00516DB4" w:rsidRPr="004C6147">
        <w:rPr>
          <w:lang w:val="fr-FR"/>
        </w:rPr>
        <w:t> </w:t>
      </w:r>
      <w:r w:rsidRPr="004C6147">
        <w:rPr>
          <w:lang w:val="fr-FR"/>
        </w:rPr>
        <w:t>;</w:t>
      </w:r>
    </w:p>
    <w:p w14:paraId="2F0051B4" w14:textId="2A1055A0" w:rsidR="00993748" w:rsidRPr="004C6147" w:rsidRDefault="00993748" w:rsidP="00993748">
      <w:pPr>
        <w:pStyle w:val="Para2RecommendationDecision"/>
        <w:tabs>
          <w:tab w:val="left" w:pos="2268"/>
        </w:tabs>
        <w:rPr>
          <w:lang w:val="fr-FR"/>
        </w:rPr>
      </w:pPr>
      <w:r w:rsidRPr="004C6147">
        <w:rPr>
          <w:lang w:val="fr-FR"/>
        </w:rPr>
        <w:t>f)</w:t>
      </w:r>
      <w:r w:rsidRPr="004C6147">
        <w:rPr>
          <w:lang w:val="fr-FR"/>
        </w:rPr>
        <w:tab/>
        <w:t>Soutenir les efforts pour intégrer l</w:t>
      </w:r>
      <w:r w:rsidR="003F488A" w:rsidRPr="004C6147">
        <w:rPr>
          <w:lang w:val="fr-FR"/>
        </w:rPr>
        <w:t>’</w:t>
      </w:r>
      <w:r w:rsidRPr="004C6147">
        <w:rPr>
          <w:lang w:val="fr-FR"/>
        </w:rPr>
        <w:t>éducation, la communication et la sensibilisation à l</w:t>
      </w:r>
      <w:r w:rsidR="003F488A" w:rsidRPr="004C6147">
        <w:rPr>
          <w:lang w:val="fr-FR"/>
        </w:rPr>
        <w:t>’</w:t>
      </w:r>
      <w:r w:rsidRPr="004C6147">
        <w:rPr>
          <w:lang w:val="fr-FR"/>
        </w:rPr>
        <w:t xml:space="preserve">utilisation durable des espèces sauvages pour la réalisation </w:t>
      </w:r>
      <w:r w:rsidR="00DD0D6E" w:rsidRPr="004C6147">
        <w:rPr>
          <w:lang w:val="fr-FR"/>
        </w:rPr>
        <w:t xml:space="preserve">des cibles et des objectifs </w:t>
      </w:r>
      <w:r w:rsidRPr="004C6147">
        <w:rPr>
          <w:lang w:val="fr-FR"/>
        </w:rPr>
        <w:t>du Ca</w:t>
      </w:r>
      <w:r w:rsidR="00A60E29" w:rsidRPr="004C6147">
        <w:rPr>
          <w:lang w:val="fr-FR"/>
        </w:rPr>
        <w:t>dre, conformément à sa cible 21</w:t>
      </w:r>
      <w:r w:rsidR="00516DB4" w:rsidRPr="004C6147">
        <w:rPr>
          <w:lang w:val="fr-FR"/>
        </w:rPr>
        <w:t> </w:t>
      </w:r>
      <w:r w:rsidRPr="004C6147">
        <w:rPr>
          <w:lang w:val="fr-FR"/>
        </w:rPr>
        <w:t>;</w:t>
      </w:r>
    </w:p>
    <w:p w14:paraId="2F0051B5" w14:textId="6096E320" w:rsidR="00993748" w:rsidRPr="004C6147" w:rsidRDefault="00993748" w:rsidP="00993748">
      <w:pPr>
        <w:pStyle w:val="Para2RecommendationDecision"/>
        <w:tabs>
          <w:tab w:val="left" w:pos="2268"/>
        </w:tabs>
        <w:rPr>
          <w:lang w:val="fr-FR"/>
        </w:rPr>
      </w:pPr>
      <w:r w:rsidRPr="004C6147">
        <w:rPr>
          <w:lang w:val="fr-FR"/>
        </w:rPr>
        <w:t>g)</w:t>
      </w:r>
      <w:r w:rsidRPr="004C6147">
        <w:rPr>
          <w:lang w:val="fr-FR"/>
        </w:rPr>
        <w:tab/>
        <w:t>Travailler avec les partenaires, y compris le Partenariat de collaboration sur la gestion durable de la vie sauvage, afin d</w:t>
      </w:r>
      <w:r w:rsidR="003F488A" w:rsidRPr="004C6147">
        <w:rPr>
          <w:lang w:val="fr-FR"/>
        </w:rPr>
        <w:t>’</w:t>
      </w:r>
      <w:r w:rsidRPr="004C6147">
        <w:rPr>
          <w:lang w:val="fr-FR"/>
        </w:rPr>
        <w:t>élaborer des indicateurs pour assurer la surveillance de l</w:t>
      </w:r>
      <w:r w:rsidR="003F488A" w:rsidRPr="004C6147">
        <w:rPr>
          <w:lang w:val="fr-FR"/>
        </w:rPr>
        <w:t>’</w:t>
      </w:r>
      <w:r w:rsidRPr="004C6147">
        <w:rPr>
          <w:lang w:val="fr-FR"/>
        </w:rPr>
        <w:t>état et des tendances dans l</w:t>
      </w:r>
      <w:r w:rsidR="003F488A" w:rsidRPr="004C6147">
        <w:rPr>
          <w:lang w:val="fr-FR"/>
        </w:rPr>
        <w:t>’</w:t>
      </w:r>
      <w:r w:rsidRPr="004C6147">
        <w:rPr>
          <w:lang w:val="fr-FR"/>
        </w:rPr>
        <w:t>utilisation des espèces sauvages, des avantages sociaux, économiques et environnementaux et des incidences sur les groupes en situation de vulnérabilité, tout en prenant en considération les indicateurs du cadre de suivi du Cadre mondial de la biodiversité de Kunming-Montréal</w:t>
      </w:r>
      <w:r w:rsidR="00DD0D6E" w:rsidRPr="004C6147">
        <w:rPr>
          <w:rStyle w:val="Appelnotedebasdep"/>
          <w:rFonts w:eastAsia="SimSun"/>
          <w:lang w:val="fr-FR"/>
        </w:rPr>
        <w:footnoteReference w:id="7"/>
      </w:r>
      <w:r w:rsidR="00516DB4" w:rsidRPr="004C6147">
        <w:rPr>
          <w:lang w:val="fr-FR"/>
        </w:rPr>
        <w:t xml:space="preserve"> </w:t>
      </w:r>
      <w:r w:rsidRPr="004C6147">
        <w:rPr>
          <w:lang w:val="fr-FR"/>
        </w:rPr>
        <w:t>;</w:t>
      </w:r>
    </w:p>
    <w:p w14:paraId="2F0051B6" w14:textId="5C937986" w:rsidR="00993748" w:rsidRPr="004C6147" w:rsidRDefault="00993748" w:rsidP="00993748">
      <w:pPr>
        <w:pStyle w:val="Para2RecommendationDecision"/>
        <w:tabs>
          <w:tab w:val="left" w:pos="2268"/>
        </w:tabs>
        <w:rPr>
          <w:lang w:val="fr-FR"/>
        </w:rPr>
      </w:pPr>
      <w:r w:rsidRPr="004C6147">
        <w:rPr>
          <w:lang w:val="fr-FR"/>
        </w:rPr>
        <w:t>h)</w:t>
      </w:r>
      <w:r w:rsidRPr="004C6147">
        <w:rPr>
          <w:lang w:val="fr-FR"/>
        </w:rPr>
        <w:tab/>
      </w:r>
      <w:r w:rsidR="00DD0D6E" w:rsidRPr="004C6147">
        <w:rPr>
          <w:lang w:val="fr-FR"/>
        </w:rPr>
        <w:t xml:space="preserve">S'attaquer aux obstacles susceptibles d'entraver l'utilisation durable des espèces sauvages, notamment les effets des changements climatiques, les pratiques non durables et l'augmentation de la demande ainsi que les progrès technologiques qui entraînent des pratiques non durables, qui ont des effets négatifs sur les espèces sauvages, de manière intégrée afin d'atteindre les objectifs et les cibles du Cadre </w:t>
      </w:r>
      <w:r w:rsidRPr="004C6147">
        <w:rPr>
          <w:rStyle w:val="ui-provider"/>
          <w:lang w:val="fr-FR"/>
        </w:rPr>
        <w:t>;</w:t>
      </w:r>
    </w:p>
    <w:p w14:paraId="2F0051B7" w14:textId="43129F7F" w:rsidR="00993748" w:rsidRPr="004C6147" w:rsidRDefault="00993748" w:rsidP="00993748">
      <w:pPr>
        <w:pStyle w:val="Para2RecommendationDecision"/>
        <w:tabs>
          <w:tab w:val="left" w:pos="2268"/>
        </w:tabs>
        <w:rPr>
          <w:lang w:val="fr-FR"/>
        </w:rPr>
      </w:pPr>
      <w:r w:rsidRPr="004C6147">
        <w:rPr>
          <w:lang w:val="fr-FR"/>
        </w:rPr>
        <w:t>i)</w:t>
      </w:r>
      <w:r w:rsidRPr="004C6147">
        <w:rPr>
          <w:lang w:val="fr-FR"/>
        </w:rPr>
        <w:tab/>
        <w:t>Recenser les liens et les contributions de l</w:t>
      </w:r>
      <w:r w:rsidR="003F488A" w:rsidRPr="004C6147">
        <w:rPr>
          <w:lang w:val="fr-FR"/>
        </w:rPr>
        <w:t>’</w:t>
      </w:r>
      <w:r w:rsidRPr="004C6147">
        <w:rPr>
          <w:lang w:val="fr-FR"/>
        </w:rPr>
        <w:t>utilisation durable d</w:t>
      </w:r>
      <w:r w:rsidR="003F488A" w:rsidRPr="004C6147">
        <w:rPr>
          <w:lang w:val="fr-FR"/>
        </w:rPr>
        <w:t>’</w:t>
      </w:r>
      <w:r w:rsidRPr="004C6147">
        <w:rPr>
          <w:lang w:val="fr-FR"/>
        </w:rPr>
        <w:t>espèces sauvages concernant la réalisation des vastes objectifs de conservation, de restauration et de gestion durable et des objectifs de développement durable, afin de garantir l</w:t>
      </w:r>
      <w:r w:rsidR="003F488A" w:rsidRPr="004C6147">
        <w:rPr>
          <w:lang w:val="fr-FR"/>
        </w:rPr>
        <w:t>’</w:t>
      </w:r>
      <w:r w:rsidRPr="004C6147">
        <w:rPr>
          <w:lang w:val="fr-FR"/>
        </w:rPr>
        <w:t>harmonisation des politiques, et soutenir l</w:t>
      </w:r>
      <w:r w:rsidR="003F488A" w:rsidRPr="004C6147">
        <w:rPr>
          <w:lang w:val="fr-FR"/>
        </w:rPr>
        <w:t>’</w:t>
      </w:r>
      <w:r w:rsidRPr="004C6147">
        <w:rPr>
          <w:lang w:val="fr-FR"/>
        </w:rPr>
        <w:t>atténuation et l</w:t>
      </w:r>
      <w:r w:rsidR="003F488A" w:rsidRPr="004C6147">
        <w:rPr>
          <w:lang w:val="fr-FR"/>
        </w:rPr>
        <w:t>’</w:t>
      </w:r>
      <w:r w:rsidRPr="004C6147">
        <w:rPr>
          <w:lang w:val="fr-FR"/>
        </w:rPr>
        <w:t>élimination de la pauvreté et les politiques pour garantir les droits de propriété et l</w:t>
      </w:r>
      <w:r w:rsidR="003F488A" w:rsidRPr="004C6147">
        <w:rPr>
          <w:lang w:val="fr-FR"/>
        </w:rPr>
        <w:t>’</w:t>
      </w:r>
      <w:r w:rsidRPr="004C6147">
        <w:rPr>
          <w:lang w:val="fr-FR"/>
        </w:rPr>
        <w:t>accès équitable aux terres, aux pêches et aux forêts en tant que condition de facilitation de l</w:t>
      </w:r>
      <w:r w:rsidR="003F488A" w:rsidRPr="004C6147">
        <w:rPr>
          <w:lang w:val="fr-FR"/>
        </w:rPr>
        <w:t>’</w:t>
      </w:r>
      <w:r w:rsidRPr="004C6147">
        <w:rPr>
          <w:lang w:val="fr-FR"/>
        </w:rPr>
        <w:t>utilisation durable des espèces sauvages</w:t>
      </w:r>
      <w:r w:rsidR="00516DB4" w:rsidRPr="004C6147">
        <w:rPr>
          <w:lang w:val="fr-FR"/>
        </w:rPr>
        <w:t xml:space="preserve"> </w:t>
      </w:r>
      <w:r w:rsidRPr="004C6147">
        <w:rPr>
          <w:lang w:val="fr-FR"/>
        </w:rPr>
        <w:t>;</w:t>
      </w:r>
    </w:p>
    <w:p w14:paraId="2F0051B8" w14:textId="7802370C" w:rsidR="00993748" w:rsidRPr="004C6147" w:rsidRDefault="00993748" w:rsidP="00993748">
      <w:pPr>
        <w:pStyle w:val="Para2RecommendationDecision"/>
        <w:tabs>
          <w:tab w:val="left" w:pos="2268"/>
        </w:tabs>
        <w:ind w:firstLine="562"/>
        <w:rPr>
          <w:lang w:val="fr-FR"/>
        </w:rPr>
      </w:pPr>
      <w:r w:rsidRPr="004C6147">
        <w:rPr>
          <w:lang w:val="fr-FR"/>
        </w:rPr>
        <w:t>j)</w:t>
      </w:r>
      <w:r w:rsidRPr="004C6147">
        <w:rPr>
          <w:lang w:val="fr-FR"/>
        </w:rPr>
        <w:tab/>
        <w:t>Éliminer les contraintes telles que la non-mise en œuvre des instruments internationaux dans les politiques nationales, l</w:t>
      </w:r>
      <w:r w:rsidR="003F488A" w:rsidRPr="004C6147">
        <w:rPr>
          <w:lang w:val="fr-FR"/>
        </w:rPr>
        <w:t>’</w:t>
      </w:r>
      <w:r w:rsidRPr="004C6147">
        <w:rPr>
          <w:lang w:val="fr-FR"/>
        </w:rPr>
        <w:t>absence de données et d</w:t>
      </w:r>
      <w:r w:rsidR="003F488A" w:rsidRPr="004C6147">
        <w:rPr>
          <w:lang w:val="fr-FR"/>
        </w:rPr>
        <w:t>’</w:t>
      </w:r>
      <w:r w:rsidRPr="004C6147">
        <w:rPr>
          <w:lang w:val="fr-FR"/>
        </w:rPr>
        <w:t>indicateurs permettant d</w:t>
      </w:r>
      <w:r w:rsidR="003F488A" w:rsidRPr="004C6147">
        <w:rPr>
          <w:lang w:val="fr-FR"/>
        </w:rPr>
        <w:t>’</w:t>
      </w:r>
      <w:r w:rsidRPr="004C6147">
        <w:rPr>
          <w:lang w:val="fr-FR"/>
        </w:rPr>
        <w:t>assurer un suivi des progrès réalisés à cet égard, et la perte de langues, qui empêchent les peuples autochtones</w:t>
      </w:r>
      <w:r w:rsidR="00E7495C">
        <w:rPr>
          <w:lang w:val="fr-FR"/>
        </w:rPr>
        <w:t xml:space="preserve"> et</w:t>
      </w:r>
      <w:r w:rsidRPr="004C6147">
        <w:rPr>
          <w:lang w:val="fr-FR"/>
        </w:rPr>
        <w:t xml:space="preserve"> communautés locales et les femmes de conserver et de restaurer les pratiques associées à l</w:t>
      </w:r>
      <w:r w:rsidR="003F488A" w:rsidRPr="004C6147">
        <w:rPr>
          <w:lang w:val="fr-FR"/>
        </w:rPr>
        <w:t>’</w:t>
      </w:r>
      <w:r w:rsidRPr="004C6147">
        <w:rPr>
          <w:lang w:val="fr-FR"/>
        </w:rPr>
        <w:t>utilisation durable des espèces sauvages pour la réalisation des cibl</w:t>
      </w:r>
      <w:r w:rsidR="00A60E29" w:rsidRPr="004C6147">
        <w:rPr>
          <w:lang w:val="fr-FR"/>
        </w:rPr>
        <w:t xml:space="preserve">es </w:t>
      </w:r>
      <w:r w:rsidR="00E7495C">
        <w:rPr>
          <w:lang w:val="fr-FR"/>
        </w:rPr>
        <w:t>concernant</w:t>
      </w:r>
      <w:r w:rsidR="00A60E29" w:rsidRPr="004C6147">
        <w:rPr>
          <w:lang w:val="fr-FR"/>
        </w:rPr>
        <w:t xml:space="preserve"> ce</w:t>
      </w:r>
      <w:r w:rsidR="00E7495C">
        <w:rPr>
          <w:lang w:val="fr-FR"/>
        </w:rPr>
        <w:t>tte</w:t>
      </w:r>
      <w:r w:rsidR="00A60E29" w:rsidRPr="004C6147">
        <w:rPr>
          <w:lang w:val="fr-FR"/>
        </w:rPr>
        <w:t xml:space="preserve"> utilisation</w:t>
      </w:r>
      <w:r w:rsidR="00E7495C">
        <w:rPr>
          <w:lang w:val="fr-FR"/>
        </w:rPr>
        <w:t xml:space="preserve"> </w:t>
      </w:r>
      <w:r w:rsidRPr="004C6147">
        <w:rPr>
          <w:lang w:val="fr-FR"/>
        </w:rPr>
        <w:t>;</w:t>
      </w:r>
    </w:p>
    <w:p w14:paraId="2F0051B9" w14:textId="6F270DB7" w:rsidR="00993748" w:rsidRPr="004C6147" w:rsidRDefault="00993748" w:rsidP="00993748">
      <w:pPr>
        <w:pStyle w:val="Para2RecommendationDecision"/>
        <w:tabs>
          <w:tab w:val="left" w:pos="2268"/>
        </w:tabs>
        <w:ind w:firstLine="562"/>
        <w:rPr>
          <w:lang w:val="fr-FR"/>
        </w:rPr>
      </w:pPr>
      <w:r w:rsidRPr="004C6147">
        <w:rPr>
          <w:lang w:val="fr-FR"/>
        </w:rPr>
        <w:t>k)</w:t>
      </w:r>
      <w:r w:rsidRPr="004C6147">
        <w:rPr>
          <w:lang w:val="fr-FR"/>
        </w:rPr>
        <w:tab/>
        <w:t xml:space="preserve">Renforcer les institutions et règles coutumières et encourager la participation des détenteurs des connaissances traditionnelles </w:t>
      </w:r>
      <w:r w:rsidR="009C11FD" w:rsidRPr="004C6147">
        <w:rPr>
          <w:lang w:val="fr-FR"/>
        </w:rPr>
        <w:t xml:space="preserve">et autochtones </w:t>
      </w:r>
      <w:r w:rsidRPr="004C6147">
        <w:rPr>
          <w:lang w:val="fr-FR"/>
        </w:rPr>
        <w:t>au développement d</w:t>
      </w:r>
      <w:r w:rsidR="003F488A" w:rsidRPr="004C6147">
        <w:rPr>
          <w:lang w:val="fr-FR"/>
        </w:rPr>
        <w:t>’</w:t>
      </w:r>
      <w:r w:rsidRPr="004C6147">
        <w:rPr>
          <w:lang w:val="fr-FR"/>
        </w:rPr>
        <w:t>ins</w:t>
      </w:r>
      <w:r w:rsidR="00A60E29" w:rsidRPr="004C6147">
        <w:rPr>
          <w:lang w:val="fr-FR"/>
        </w:rPr>
        <w:t>truments et outils de politique</w:t>
      </w:r>
      <w:r w:rsidR="00516DB4" w:rsidRPr="004C6147">
        <w:rPr>
          <w:lang w:val="fr-FR"/>
        </w:rPr>
        <w:t xml:space="preserve"> </w:t>
      </w:r>
      <w:r w:rsidR="00A60E29" w:rsidRPr="004C6147">
        <w:rPr>
          <w:lang w:val="fr-FR"/>
        </w:rPr>
        <w:t>;</w:t>
      </w:r>
    </w:p>
    <w:p w14:paraId="2F0051BA" w14:textId="70661DAF" w:rsidR="00993748" w:rsidRPr="004C6147" w:rsidRDefault="00993748" w:rsidP="00993748">
      <w:pPr>
        <w:pStyle w:val="Para2RecommendationDecision"/>
        <w:tabs>
          <w:tab w:val="left" w:pos="2268"/>
        </w:tabs>
        <w:ind w:firstLine="562"/>
        <w:rPr>
          <w:lang w:val="fr-FR"/>
        </w:rPr>
      </w:pPr>
      <w:r w:rsidRPr="004C6147">
        <w:rPr>
          <w:lang w:val="fr-FR"/>
        </w:rPr>
        <w:t>l)</w:t>
      </w:r>
      <w:r w:rsidRPr="004C6147">
        <w:rPr>
          <w:lang w:val="fr-FR"/>
        </w:rPr>
        <w:tab/>
        <w:t>Améliorer la compréhension : i) des liens entre l</w:t>
      </w:r>
      <w:r w:rsidR="003F488A" w:rsidRPr="004C6147">
        <w:rPr>
          <w:lang w:val="fr-FR"/>
        </w:rPr>
        <w:t>’</w:t>
      </w:r>
      <w:r w:rsidRPr="004C6147">
        <w:rPr>
          <w:lang w:val="fr-FR"/>
        </w:rPr>
        <w:t>utilisation des espèces sauvages et les principaux facteurs de perte de biodiversité, en particulier les voies d</w:t>
      </w:r>
      <w:r w:rsidR="003F488A" w:rsidRPr="004C6147">
        <w:rPr>
          <w:lang w:val="fr-FR"/>
        </w:rPr>
        <w:t>’</w:t>
      </w:r>
      <w:r w:rsidRPr="004C6147">
        <w:rPr>
          <w:lang w:val="fr-FR"/>
        </w:rPr>
        <w:t xml:space="preserve">introduction et de propagation des espèces exotiques envahissantes, et ii) des outils propres à empêcher cette introduction et cette propagation, en </w:t>
      </w:r>
      <w:r w:rsidR="00E7495C">
        <w:rPr>
          <w:lang w:val="fr-FR"/>
        </w:rPr>
        <w:t>appui</w:t>
      </w:r>
      <w:r w:rsidRPr="004C6147">
        <w:rPr>
          <w:lang w:val="fr-FR"/>
        </w:rPr>
        <w:t xml:space="preserve"> à la cible 6 du Cadre</w:t>
      </w:r>
      <w:r w:rsidR="00516DB4" w:rsidRPr="004C6147">
        <w:rPr>
          <w:lang w:val="fr-FR"/>
        </w:rPr>
        <w:t xml:space="preserve"> </w:t>
      </w:r>
      <w:r w:rsidRPr="004C6147">
        <w:rPr>
          <w:lang w:val="fr-FR"/>
        </w:rPr>
        <w:t>;</w:t>
      </w:r>
    </w:p>
    <w:p w14:paraId="2F0051BB" w14:textId="188DBB70" w:rsidR="00993748" w:rsidRPr="004C6147" w:rsidRDefault="00993748" w:rsidP="00993748">
      <w:pPr>
        <w:pStyle w:val="Para2RecommendationDecision"/>
        <w:tabs>
          <w:tab w:val="left" w:pos="2268"/>
        </w:tabs>
        <w:ind w:firstLine="562"/>
        <w:rPr>
          <w:lang w:val="fr-FR"/>
        </w:rPr>
      </w:pPr>
      <w:r w:rsidRPr="004C6147">
        <w:rPr>
          <w:lang w:val="fr-FR"/>
        </w:rPr>
        <w:t>m)</w:t>
      </w:r>
      <w:r w:rsidRPr="004C6147">
        <w:rPr>
          <w:lang w:val="fr-FR"/>
        </w:rPr>
        <w:tab/>
        <w:t xml:space="preserve">Coordonner les efforts </w:t>
      </w:r>
      <w:r w:rsidR="00DD498C" w:rsidRPr="004C6147">
        <w:rPr>
          <w:lang w:val="fr-FR"/>
        </w:rPr>
        <w:t xml:space="preserve">aux niveau national et international </w:t>
      </w:r>
      <w:r w:rsidRPr="004C6147">
        <w:rPr>
          <w:lang w:val="fr-FR"/>
        </w:rPr>
        <w:t xml:space="preserve">pour </w:t>
      </w:r>
      <w:r w:rsidR="00DD0D6E" w:rsidRPr="004C6147">
        <w:rPr>
          <w:lang w:val="fr-FR"/>
        </w:rPr>
        <w:t>s’attaquer</w:t>
      </w:r>
      <w:r w:rsidRPr="004C6147">
        <w:rPr>
          <w:lang w:val="fr-FR"/>
        </w:rPr>
        <w:t xml:space="preserve"> à l</w:t>
      </w:r>
      <w:r w:rsidR="003F488A" w:rsidRPr="004C6147">
        <w:rPr>
          <w:lang w:val="fr-FR"/>
        </w:rPr>
        <w:t>’</w:t>
      </w:r>
      <w:r w:rsidRPr="004C6147">
        <w:rPr>
          <w:lang w:val="fr-FR"/>
        </w:rPr>
        <w:t>abattage</w:t>
      </w:r>
      <w:r w:rsidR="00D1718C" w:rsidRPr="004C6147">
        <w:rPr>
          <w:lang w:val="fr-FR"/>
        </w:rPr>
        <w:t xml:space="preserve"> et</w:t>
      </w:r>
      <w:r w:rsidRPr="004C6147">
        <w:rPr>
          <w:lang w:val="fr-FR"/>
        </w:rPr>
        <w:t xml:space="preserve"> à </w:t>
      </w:r>
      <w:r w:rsidR="00D1718C" w:rsidRPr="004C6147">
        <w:rPr>
          <w:lang w:val="fr-FR"/>
        </w:rPr>
        <w:t>toutes les formes d</w:t>
      </w:r>
      <w:r w:rsidR="003F488A" w:rsidRPr="004C6147">
        <w:rPr>
          <w:lang w:val="fr-FR"/>
        </w:rPr>
        <w:t>’</w:t>
      </w:r>
      <w:r w:rsidRPr="004C6147">
        <w:rPr>
          <w:lang w:val="fr-FR"/>
        </w:rPr>
        <w:t xml:space="preserve">utilisation et </w:t>
      </w:r>
      <w:r w:rsidR="00D1718C" w:rsidRPr="004C6147">
        <w:rPr>
          <w:lang w:val="fr-FR"/>
        </w:rPr>
        <w:t xml:space="preserve">de </w:t>
      </w:r>
      <w:r w:rsidRPr="004C6147">
        <w:rPr>
          <w:lang w:val="fr-FR"/>
        </w:rPr>
        <w:t>commerce illicites et non durables d</w:t>
      </w:r>
      <w:r w:rsidR="003F488A" w:rsidRPr="004C6147">
        <w:rPr>
          <w:lang w:val="fr-FR"/>
        </w:rPr>
        <w:t>’</w:t>
      </w:r>
      <w:r w:rsidRPr="004C6147">
        <w:rPr>
          <w:lang w:val="fr-FR"/>
        </w:rPr>
        <w:t>espèces sauvages, tout en promouvant un commerce durable, sûr</w:t>
      </w:r>
      <w:r w:rsidR="00362568" w:rsidRPr="004C6147">
        <w:rPr>
          <w:lang w:val="fr-FR"/>
        </w:rPr>
        <w:t xml:space="preserve"> et</w:t>
      </w:r>
      <w:r w:rsidRPr="004C6147">
        <w:rPr>
          <w:lang w:val="fr-FR"/>
        </w:rPr>
        <w:t xml:space="preserve"> légal, en appui à la cible 5 du Cadre</w:t>
      </w:r>
      <w:r w:rsidR="00516DB4" w:rsidRPr="004C6147">
        <w:rPr>
          <w:lang w:val="fr-FR"/>
        </w:rPr>
        <w:t xml:space="preserve"> </w:t>
      </w:r>
      <w:r w:rsidRPr="004C6147">
        <w:rPr>
          <w:lang w:val="fr-FR"/>
        </w:rPr>
        <w:t>;</w:t>
      </w:r>
    </w:p>
    <w:p w14:paraId="2F0051BC" w14:textId="14676FBD" w:rsidR="00993748" w:rsidRPr="004C6147" w:rsidRDefault="00993748" w:rsidP="00993748">
      <w:pPr>
        <w:pStyle w:val="Para2RecommendationDecision"/>
        <w:tabs>
          <w:tab w:val="left" w:pos="2268"/>
        </w:tabs>
        <w:ind w:firstLine="562"/>
        <w:rPr>
          <w:lang w:val="fr-FR"/>
        </w:rPr>
      </w:pPr>
      <w:r w:rsidRPr="004C6147">
        <w:rPr>
          <w:lang w:val="fr-FR"/>
        </w:rPr>
        <w:t>n)</w:t>
      </w:r>
      <w:r w:rsidRPr="004C6147">
        <w:rPr>
          <w:lang w:val="fr-FR"/>
        </w:rPr>
        <w:tab/>
        <w:t>Encourager de plus amples recherches afin de mieux comprendre les liens entre l</w:t>
      </w:r>
      <w:r w:rsidR="003F488A" w:rsidRPr="004C6147">
        <w:rPr>
          <w:lang w:val="fr-FR"/>
        </w:rPr>
        <w:t>’</w:t>
      </w:r>
      <w:r w:rsidRPr="004C6147">
        <w:rPr>
          <w:lang w:val="fr-FR"/>
        </w:rPr>
        <w:t xml:space="preserve">utilisation des espèces sauvages et les maladies zoonotiques, en tenant compte des déterminants </w:t>
      </w:r>
      <w:r w:rsidRPr="004C6147">
        <w:rPr>
          <w:lang w:val="fr-FR"/>
        </w:rPr>
        <w:lastRenderedPageBreak/>
        <w:t>sociaux, économiques et environnementaux de la santé et en s</w:t>
      </w:r>
      <w:r w:rsidR="003F488A" w:rsidRPr="004C6147">
        <w:rPr>
          <w:lang w:val="fr-FR"/>
        </w:rPr>
        <w:t>’</w:t>
      </w:r>
      <w:r w:rsidRPr="004C6147">
        <w:rPr>
          <w:lang w:val="fr-FR"/>
        </w:rPr>
        <w:t>appuyant sur les connaissances existantes</w:t>
      </w:r>
      <w:r w:rsidR="00516DB4" w:rsidRPr="004C6147">
        <w:rPr>
          <w:lang w:val="fr-FR"/>
        </w:rPr>
        <w:t xml:space="preserve"> </w:t>
      </w:r>
      <w:r w:rsidRPr="004C6147">
        <w:rPr>
          <w:lang w:val="fr-FR"/>
        </w:rPr>
        <w:t>;</w:t>
      </w:r>
    </w:p>
    <w:p w14:paraId="2F0051BD" w14:textId="6D60A5C5" w:rsidR="00B3412B" w:rsidRPr="004C6147" w:rsidRDefault="00993748" w:rsidP="00993748">
      <w:pPr>
        <w:pStyle w:val="Para2RecommendationDecision"/>
        <w:tabs>
          <w:tab w:val="left" w:pos="2268"/>
        </w:tabs>
        <w:ind w:firstLine="562"/>
        <w:rPr>
          <w:lang w:val="fr-FR"/>
        </w:rPr>
      </w:pPr>
      <w:r w:rsidRPr="004C6147">
        <w:rPr>
          <w:lang w:val="fr-FR"/>
        </w:rPr>
        <w:t>o)</w:t>
      </w:r>
      <w:r w:rsidRPr="004C6147">
        <w:rPr>
          <w:lang w:val="fr-FR"/>
        </w:rPr>
        <w:tab/>
        <w:t>Promouvoir des travaux de recherche plus approfondis, en collaboration avec les peuples autochtones</w:t>
      </w:r>
      <w:r w:rsidR="00E7495C">
        <w:rPr>
          <w:lang w:val="fr-FR"/>
        </w:rPr>
        <w:t xml:space="preserve"> et</w:t>
      </w:r>
      <w:r w:rsidRPr="004C6147">
        <w:rPr>
          <w:lang w:val="fr-FR"/>
        </w:rPr>
        <w:t xml:space="preserve"> communautés locales et les femmes, sur les scénarios relatifs à l</w:t>
      </w:r>
      <w:r w:rsidR="003F488A" w:rsidRPr="004C6147">
        <w:rPr>
          <w:lang w:val="fr-FR"/>
        </w:rPr>
        <w:t>’</w:t>
      </w:r>
      <w:r w:rsidRPr="004C6147">
        <w:rPr>
          <w:lang w:val="fr-FR"/>
        </w:rPr>
        <w:t>utilisation durable des espèces sauvages, y compris pour la collecte, le prélèvement d</w:t>
      </w:r>
      <w:r w:rsidR="003F488A" w:rsidRPr="004C6147">
        <w:rPr>
          <w:lang w:val="fr-FR"/>
        </w:rPr>
        <w:t>’</w:t>
      </w:r>
      <w:r w:rsidRPr="004C6147">
        <w:rPr>
          <w:lang w:val="fr-FR"/>
        </w:rPr>
        <w:t>animaux terrestres et les pratiques non extractives</w:t>
      </w:r>
      <w:r w:rsidR="00B65A9A" w:rsidRPr="004C6147">
        <w:rPr>
          <w:lang w:val="fr-FR"/>
        </w:rPr>
        <w:t xml:space="preserve"> </w:t>
      </w:r>
      <w:r w:rsidR="00B3412B" w:rsidRPr="004C6147">
        <w:rPr>
          <w:lang w:val="fr-FR"/>
        </w:rPr>
        <w:t>;</w:t>
      </w:r>
    </w:p>
    <w:p w14:paraId="6A8665B3" w14:textId="03DBC108" w:rsidR="000377ED" w:rsidRPr="004C6147" w:rsidRDefault="00A519D1" w:rsidP="00B3412B">
      <w:pPr>
        <w:pStyle w:val="Para1"/>
        <w:numPr>
          <w:ilvl w:val="0"/>
          <w:numId w:val="0"/>
        </w:numPr>
        <w:tabs>
          <w:tab w:val="clear" w:pos="1134"/>
        </w:tabs>
        <w:ind w:left="567" w:firstLine="567"/>
        <w:rPr>
          <w:lang w:val="fr-FR"/>
        </w:rPr>
      </w:pPr>
      <w:r w:rsidRPr="004C6147">
        <w:rPr>
          <w:lang w:val="fr-FR"/>
        </w:rPr>
        <w:t>5.</w:t>
      </w:r>
      <w:r w:rsidRPr="004C6147">
        <w:rPr>
          <w:lang w:val="fr-FR"/>
        </w:rPr>
        <w:tab/>
      </w:r>
      <w:r w:rsidR="009802EC" w:rsidRPr="004C6147">
        <w:rPr>
          <w:i/>
          <w:iCs/>
          <w:lang w:val="fr-FR"/>
        </w:rPr>
        <w:t>Prie</w:t>
      </w:r>
      <w:r w:rsidR="009802EC" w:rsidRPr="004C6147">
        <w:rPr>
          <w:lang w:val="fr-FR"/>
        </w:rPr>
        <w:t xml:space="preserve"> la Secrétaire exécutive de collaborer et de renforcer les synergies dans le domaine de l</w:t>
      </w:r>
      <w:r w:rsidR="007063DA" w:rsidRPr="004C6147">
        <w:rPr>
          <w:lang w:val="fr-FR"/>
        </w:rPr>
        <w:t>’</w:t>
      </w:r>
      <w:r w:rsidR="009802EC" w:rsidRPr="004C6147">
        <w:rPr>
          <w:lang w:val="fr-FR"/>
        </w:rPr>
        <w:t>utilisation durable de</w:t>
      </w:r>
      <w:r w:rsidR="00BB12EA" w:rsidRPr="004C6147">
        <w:rPr>
          <w:lang w:val="fr-FR"/>
        </w:rPr>
        <w:t>s</w:t>
      </w:r>
      <w:r w:rsidR="009802EC" w:rsidRPr="004C6147">
        <w:rPr>
          <w:lang w:val="fr-FR"/>
        </w:rPr>
        <w:t xml:space="preserve"> </w:t>
      </w:r>
      <w:r w:rsidR="00BB12EA" w:rsidRPr="004C6147">
        <w:rPr>
          <w:lang w:val="fr-FR"/>
        </w:rPr>
        <w:t xml:space="preserve">espèces </w:t>
      </w:r>
      <w:r w:rsidR="009802EC" w:rsidRPr="004C6147">
        <w:rPr>
          <w:lang w:val="fr-FR"/>
        </w:rPr>
        <w:t xml:space="preserve">sauvages avec le </w:t>
      </w:r>
      <w:r w:rsidR="00E7495C">
        <w:rPr>
          <w:lang w:val="fr-FR"/>
        </w:rPr>
        <w:t>s</w:t>
      </w:r>
      <w:r w:rsidR="009802EC" w:rsidRPr="004C6147">
        <w:rPr>
          <w:lang w:val="fr-FR"/>
        </w:rPr>
        <w:t>ecrétariat de la Convention sur le commerce international des espèces de faune et de flore sauvages menacées d</w:t>
      </w:r>
      <w:r w:rsidR="002B1175" w:rsidRPr="004C6147">
        <w:rPr>
          <w:lang w:val="fr-FR"/>
        </w:rPr>
        <w:t>’</w:t>
      </w:r>
      <w:r w:rsidR="009802EC" w:rsidRPr="004C6147">
        <w:rPr>
          <w:lang w:val="fr-FR"/>
        </w:rPr>
        <w:t>extinction</w:t>
      </w:r>
      <w:r w:rsidR="00DD0D6E" w:rsidRPr="004C6147">
        <w:rPr>
          <w:rStyle w:val="Appelnotedebasdep"/>
          <w:lang w:val="fr-FR"/>
        </w:rPr>
        <w:footnoteReference w:id="8"/>
      </w:r>
      <w:r w:rsidR="009802EC" w:rsidRPr="004C6147">
        <w:rPr>
          <w:lang w:val="fr-FR"/>
        </w:rPr>
        <w:t>, l</w:t>
      </w:r>
      <w:r w:rsidR="002B1175" w:rsidRPr="004C6147">
        <w:rPr>
          <w:lang w:val="fr-FR"/>
        </w:rPr>
        <w:t>’</w:t>
      </w:r>
      <w:r w:rsidR="009802EC" w:rsidRPr="004C6147">
        <w:rPr>
          <w:lang w:val="fr-FR"/>
        </w:rPr>
        <w:t>Organisation des Nations Unies pour l</w:t>
      </w:r>
      <w:r w:rsidR="002B1175" w:rsidRPr="004C6147">
        <w:rPr>
          <w:lang w:val="fr-FR"/>
        </w:rPr>
        <w:t>’</w:t>
      </w:r>
      <w:r w:rsidR="009802EC" w:rsidRPr="004C6147">
        <w:rPr>
          <w:lang w:val="fr-FR"/>
        </w:rPr>
        <w:t>alimentation et l</w:t>
      </w:r>
      <w:r w:rsidR="002B1175" w:rsidRPr="004C6147">
        <w:rPr>
          <w:lang w:val="fr-FR"/>
        </w:rPr>
        <w:t>’</w:t>
      </w:r>
      <w:r w:rsidR="009802EC" w:rsidRPr="004C6147">
        <w:rPr>
          <w:lang w:val="fr-FR"/>
        </w:rPr>
        <w:t xml:space="preserve">agriculture, le </w:t>
      </w:r>
      <w:r w:rsidR="00E7495C">
        <w:rPr>
          <w:lang w:val="fr-FR"/>
        </w:rPr>
        <w:t>s</w:t>
      </w:r>
      <w:r w:rsidR="009802EC" w:rsidRPr="004C6147">
        <w:rPr>
          <w:lang w:val="fr-FR"/>
        </w:rPr>
        <w:t xml:space="preserve">ecrétariat de la </w:t>
      </w:r>
      <w:r w:rsidR="005A729D" w:rsidRPr="004C6147">
        <w:rPr>
          <w:lang w:val="fr-FR"/>
        </w:rPr>
        <w:t>Convention sur la conservation des espèces migratrices appartenant à la faune sauvage</w:t>
      </w:r>
      <w:r w:rsidR="00DD0D6E" w:rsidRPr="004C6147">
        <w:rPr>
          <w:rStyle w:val="Appelnotedebasdep"/>
          <w:lang w:val="fr-FR"/>
        </w:rPr>
        <w:footnoteReference w:id="9"/>
      </w:r>
      <w:r w:rsidR="005A729D" w:rsidRPr="004C6147">
        <w:rPr>
          <w:lang w:val="fr-FR"/>
        </w:rPr>
        <w:t xml:space="preserve"> </w:t>
      </w:r>
      <w:r w:rsidR="009802EC" w:rsidRPr="004C6147">
        <w:rPr>
          <w:lang w:val="fr-FR"/>
        </w:rPr>
        <w:t>et les secrétariats d</w:t>
      </w:r>
      <w:r w:rsidR="00516DB4" w:rsidRPr="004C6147">
        <w:rPr>
          <w:lang w:val="fr-FR"/>
        </w:rPr>
        <w:t xml:space="preserve">es </w:t>
      </w:r>
      <w:r w:rsidR="009802EC" w:rsidRPr="004C6147">
        <w:rPr>
          <w:lang w:val="fr-FR"/>
        </w:rPr>
        <w:t>autres accords multilatéraux pertinents en matière d</w:t>
      </w:r>
      <w:r w:rsidR="00B65A9A" w:rsidRPr="004C6147">
        <w:rPr>
          <w:lang w:val="fr-FR"/>
        </w:rPr>
        <w:t>’</w:t>
      </w:r>
      <w:r w:rsidR="009802EC" w:rsidRPr="004C6147">
        <w:rPr>
          <w:lang w:val="fr-FR"/>
        </w:rPr>
        <w:t>environnement</w:t>
      </w:r>
      <w:r w:rsidR="00B65A9A" w:rsidRPr="004C6147">
        <w:rPr>
          <w:lang w:val="fr-FR"/>
        </w:rPr>
        <w:t xml:space="preserve"> ;</w:t>
      </w:r>
    </w:p>
    <w:p w14:paraId="2F0051BE" w14:textId="2F460D83" w:rsidR="00BD1733" w:rsidRPr="004C6147" w:rsidRDefault="007F70D7" w:rsidP="00B3412B">
      <w:pPr>
        <w:pStyle w:val="Para1"/>
        <w:numPr>
          <w:ilvl w:val="0"/>
          <w:numId w:val="0"/>
        </w:numPr>
        <w:tabs>
          <w:tab w:val="clear" w:pos="1134"/>
        </w:tabs>
        <w:ind w:left="567" w:firstLine="567"/>
        <w:rPr>
          <w:lang w:val="fr-FR"/>
        </w:rPr>
      </w:pPr>
      <w:r w:rsidRPr="004C6147">
        <w:rPr>
          <w:lang w:val="fr-FR"/>
        </w:rPr>
        <w:t xml:space="preserve">6. </w:t>
      </w:r>
      <w:r w:rsidR="009802EC" w:rsidRPr="004C6147">
        <w:rPr>
          <w:lang w:val="fr-FR"/>
        </w:rPr>
        <w:tab/>
      </w:r>
      <w:r w:rsidR="00993748" w:rsidRPr="004C6147">
        <w:rPr>
          <w:i/>
          <w:iCs/>
          <w:lang w:val="fr-FR"/>
        </w:rPr>
        <w:t>Prie</w:t>
      </w:r>
      <w:r w:rsidR="00993748" w:rsidRPr="004C6147">
        <w:rPr>
          <w:lang w:val="fr-FR"/>
        </w:rPr>
        <w:t xml:space="preserve"> </w:t>
      </w:r>
      <w:r w:rsidR="00F22F54" w:rsidRPr="004C6147">
        <w:rPr>
          <w:i/>
          <w:iCs/>
          <w:lang w:val="fr-FR"/>
        </w:rPr>
        <w:t xml:space="preserve">également </w:t>
      </w:r>
      <w:r w:rsidR="00993748" w:rsidRPr="004C6147">
        <w:rPr>
          <w:lang w:val="fr-FR"/>
        </w:rPr>
        <w:t>la Secrétaire exécutive, sous réserve de la disponibilité des ressources, en collaboration avec le Partenariat de collaboration sur la gestion durable des espèces sauvages</w:t>
      </w:r>
      <w:r w:rsidR="000E6202" w:rsidRPr="004C6147">
        <w:rPr>
          <w:lang w:val="fr-FR"/>
        </w:rPr>
        <w:t>, en particulier le</w:t>
      </w:r>
      <w:r w:rsidR="00E7495C">
        <w:rPr>
          <w:lang w:val="fr-FR"/>
        </w:rPr>
        <w:t xml:space="preserve"> s</w:t>
      </w:r>
      <w:r w:rsidR="000E6202" w:rsidRPr="004C6147">
        <w:rPr>
          <w:lang w:val="fr-FR"/>
        </w:rPr>
        <w:t>ecrétariat de la Convention sur la conservation des espèces migratrices</w:t>
      </w:r>
      <w:r w:rsidR="00993748" w:rsidRPr="004C6147">
        <w:rPr>
          <w:lang w:val="fr-FR"/>
        </w:rPr>
        <w:t xml:space="preserve"> et </w:t>
      </w:r>
      <w:r w:rsidR="000E6202" w:rsidRPr="004C6147">
        <w:rPr>
          <w:lang w:val="fr-FR"/>
        </w:rPr>
        <w:t xml:space="preserve">le </w:t>
      </w:r>
      <w:r w:rsidR="00E7495C">
        <w:rPr>
          <w:lang w:val="fr-FR"/>
        </w:rPr>
        <w:t>s</w:t>
      </w:r>
      <w:r w:rsidR="000E6202" w:rsidRPr="004C6147">
        <w:rPr>
          <w:lang w:val="fr-FR"/>
        </w:rPr>
        <w:t>ecrétariat de la Convention sur le commerce international des espèces de faune et de flore sauvages menacées d’extinction</w:t>
      </w:r>
      <w:r w:rsidR="00A31D86" w:rsidRPr="004C6147">
        <w:rPr>
          <w:lang w:val="fr-FR"/>
        </w:rPr>
        <w:t>,</w:t>
      </w:r>
      <w:r w:rsidR="000E6202" w:rsidRPr="004C6147">
        <w:rPr>
          <w:lang w:val="fr-FR"/>
        </w:rPr>
        <w:t xml:space="preserve"> </w:t>
      </w:r>
      <w:r w:rsidR="00A31D86" w:rsidRPr="004C6147">
        <w:rPr>
          <w:lang w:val="fr-FR"/>
        </w:rPr>
        <w:t xml:space="preserve">et avec </w:t>
      </w:r>
      <w:r w:rsidR="00993748" w:rsidRPr="004C6147">
        <w:rPr>
          <w:lang w:val="fr-FR"/>
        </w:rPr>
        <w:t>les contributions des Parties, des autres gouvernements, des peuples autochtones et communautés locales,</w:t>
      </w:r>
      <w:r w:rsidR="00DD0D6E" w:rsidRPr="004C6147">
        <w:rPr>
          <w:lang w:val="fr-FR"/>
        </w:rPr>
        <w:t xml:space="preserve"> et</w:t>
      </w:r>
      <w:r w:rsidR="00993748" w:rsidRPr="004C6147">
        <w:rPr>
          <w:lang w:val="fr-FR"/>
        </w:rPr>
        <w:t xml:space="preserve"> des femmes, des jeunes, ainsi que des organisations compétentes, d</w:t>
      </w:r>
      <w:r w:rsidR="003F488A" w:rsidRPr="004C6147">
        <w:rPr>
          <w:lang w:val="fr-FR"/>
        </w:rPr>
        <w:t>’</w:t>
      </w:r>
      <w:r w:rsidR="00993748" w:rsidRPr="004C6147">
        <w:rPr>
          <w:lang w:val="fr-FR"/>
        </w:rPr>
        <w:t>élaborer un projet d</w:t>
      </w:r>
      <w:r w:rsidR="003F488A" w:rsidRPr="004C6147">
        <w:rPr>
          <w:lang w:val="fr-FR"/>
        </w:rPr>
        <w:t>’</w:t>
      </w:r>
      <w:r w:rsidR="00993748" w:rsidRPr="004C6147">
        <w:rPr>
          <w:lang w:val="fr-FR"/>
        </w:rPr>
        <w:t xml:space="preserve">orientations globales sur la gestion durable </w:t>
      </w:r>
      <w:r w:rsidR="00105DE1" w:rsidRPr="004C6147">
        <w:rPr>
          <w:lang w:val="fr-FR"/>
        </w:rPr>
        <w:t>des espèces sauvages applicables à de multiples espèces et à de multiples pratiques, en mettant l</w:t>
      </w:r>
      <w:r w:rsidR="003F488A" w:rsidRPr="004C6147">
        <w:rPr>
          <w:lang w:val="fr-FR"/>
        </w:rPr>
        <w:t>’</w:t>
      </w:r>
      <w:r w:rsidR="00105DE1" w:rsidRPr="004C6147">
        <w:rPr>
          <w:lang w:val="fr-FR"/>
        </w:rPr>
        <w:t>accent sur :</w:t>
      </w:r>
    </w:p>
    <w:p w14:paraId="2F0051BF" w14:textId="77777777" w:rsidR="00BD1733" w:rsidRPr="004C6147" w:rsidRDefault="00BD1733" w:rsidP="00B3412B">
      <w:pPr>
        <w:pStyle w:val="Para1"/>
        <w:numPr>
          <w:ilvl w:val="0"/>
          <w:numId w:val="0"/>
        </w:numPr>
        <w:tabs>
          <w:tab w:val="clear" w:pos="1134"/>
        </w:tabs>
        <w:ind w:left="567" w:firstLine="567"/>
        <w:rPr>
          <w:lang w:val="fr-FR"/>
        </w:rPr>
      </w:pPr>
      <w:r w:rsidRPr="004C6147">
        <w:rPr>
          <w:lang w:val="fr-FR"/>
        </w:rPr>
        <w:t>a)</w:t>
      </w:r>
      <w:r w:rsidR="00EA7B73" w:rsidRPr="004C6147">
        <w:rPr>
          <w:lang w:val="fr-FR"/>
        </w:rPr>
        <w:tab/>
      </w:r>
      <w:r w:rsidR="00105DE1" w:rsidRPr="004C6147">
        <w:rPr>
          <w:lang w:val="fr-FR"/>
        </w:rPr>
        <w:t>Un système de prise de décision intégr</w:t>
      </w:r>
      <w:r w:rsidR="00117A7D" w:rsidRPr="004C6147">
        <w:rPr>
          <w:lang w:val="fr-FR"/>
        </w:rPr>
        <w:t>é et participatif</w:t>
      </w:r>
      <w:r w:rsidR="00105DE1" w:rsidRPr="004C6147">
        <w:rPr>
          <w:lang w:val="fr-FR"/>
        </w:rPr>
        <w:t>;</w:t>
      </w:r>
    </w:p>
    <w:p w14:paraId="2F0051C0" w14:textId="52C70679" w:rsidR="00BD1733" w:rsidRPr="004C6147" w:rsidRDefault="00BD1733" w:rsidP="00B3412B">
      <w:pPr>
        <w:pStyle w:val="Para1"/>
        <w:numPr>
          <w:ilvl w:val="0"/>
          <w:numId w:val="0"/>
        </w:numPr>
        <w:tabs>
          <w:tab w:val="clear" w:pos="1134"/>
        </w:tabs>
        <w:ind w:left="567" w:firstLine="567"/>
        <w:rPr>
          <w:lang w:val="fr-FR"/>
        </w:rPr>
      </w:pPr>
      <w:r w:rsidRPr="004C6147">
        <w:rPr>
          <w:lang w:val="fr-FR"/>
        </w:rPr>
        <w:t>b)</w:t>
      </w:r>
      <w:r w:rsidR="00EA7B73" w:rsidRPr="004C6147">
        <w:rPr>
          <w:lang w:val="fr-FR"/>
        </w:rPr>
        <w:tab/>
      </w:r>
      <w:r w:rsidR="00117A7D" w:rsidRPr="004C6147">
        <w:rPr>
          <w:lang w:val="fr-FR"/>
        </w:rPr>
        <w:t>L</w:t>
      </w:r>
      <w:r w:rsidR="003F488A" w:rsidRPr="004C6147">
        <w:rPr>
          <w:lang w:val="fr-FR"/>
        </w:rPr>
        <w:t>’</w:t>
      </w:r>
      <w:r w:rsidR="00117A7D" w:rsidRPr="004C6147">
        <w:rPr>
          <w:lang w:val="fr-FR"/>
        </w:rPr>
        <w:t xml:space="preserve">inclusion de multiples </w:t>
      </w:r>
      <w:r w:rsidR="00F90A06" w:rsidRPr="004C6147">
        <w:rPr>
          <w:lang w:val="fr-FR"/>
        </w:rPr>
        <w:t xml:space="preserve">systèmes de </w:t>
      </w:r>
      <w:r w:rsidR="00117A7D" w:rsidRPr="004C6147">
        <w:rPr>
          <w:lang w:val="fr-FR"/>
        </w:rPr>
        <w:t>savoirs et la reconnaissance des droits;</w:t>
      </w:r>
    </w:p>
    <w:p w14:paraId="2F0051C1" w14:textId="77777777" w:rsidR="00BD1733" w:rsidRPr="004C6147" w:rsidRDefault="00BD1733" w:rsidP="00B3412B">
      <w:pPr>
        <w:pStyle w:val="Para1"/>
        <w:numPr>
          <w:ilvl w:val="0"/>
          <w:numId w:val="0"/>
        </w:numPr>
        <w:tabs>
          <w:tab w:val="clear" w:pos="1134"/>
        </w:tabs>
        <w:ind w:left="567" w:firstLine="567"/>
        <w:rPr>
          <w:lang w:val="fr-FR"/>
        </w:rPr>
      </w:pPr>
      <w:r w:rsidRPr="004C6147">
        <w:rPr>
          <w:lang w:val="fr-FR"/>
        </w:rPr>
        <w:t>c)</w:t>
      </w:r>
      <w:r w:rsidR="00EA7B73" w:rsidRPr="004C6147">
        <w:rPr>
          <w:lang w:val="fr-FR"/>
        </w:rPr>
        <w:tab/>
      </w:r>
      <w:r w:rsidR="00117A7D" w:rsidRPr="004C6147">
        <w:rPr>
          <w:lang w:val="fr-FR"/>
        </w:rPr>
        <w:t>Une répartition équitable des coûts et des avantages;</w:t>
      </w:r>
    </w:p>
    <w:p w14:paraId="2F0051C2" w14:textId="0C895BBB" w:rsidR="00A519D1" w:rsidRPr="004C6147" w:rsidRDefault="002771A3" w:rsidP="00CD3F82">
      <w:pPr>
        <w:pStyle w:val="Para1"/>
        <w:numPr>
          <w:ilvl w:val="0"/>
          <w:numId w:val="0"/>
        </w:numPr>
        <w:tabs>
          <w:tab w:val="clear" w:pos="1134"/>
        </w:tabs>
        <w:ind w:left="567" w:firstLine="567"/>
        <w:rPr>
          <w:lang w:val="fr-FR"/>
        </w:rPr>
      </w:pPr>
      <w:r w:rsidRPr="004C6147">
        <w:rPr>
          <w:lang w:val="fr-FR"/>
        </w:rPr>
        <w:t>7</w:t>
      </w:r>
      <w:r w:rsidR="00EA7B73" w:rsidRPr="004C6147">
        <w:rPr>
          <w:lang w:val="fr-FR"/>
        </w:rPr>
        <w:t>.</w:t>
      </w:r>
      <w:r w:rsidR="00EA7B73" w:rsidRPr="004C6147">
        <w:rPr>
          <w:lang w:val="fr-FR"/>
        </w:rPr>
        <w:tab/>
      </w:r>
      <w:r w:rsidR="0094215B" w:rsidRPr="004C6147">
        <w:rPr>
          <w:i/>
          <w:lang w:val="fr-FR"/>
        </w:rPr>
        <w:t xml:space="preserve">Prie </w:t>
      </w:r>
      <w:r w:rsidR="00683668" w:rsidRPr="004C6147">
        <w:rPr>
          <w:i/>
          <w:lang w:val="fr-FR"/>
        </w:rPr>
        <w:t>en outre</w:t>
      </w:r>
      <w:r w:rsidR="00D938DF" w:rsidRPr="004C6147">
        <w:rPr>
          <w:lang w:val="fr-FR"/>
        </w:rPr>
        <w:t xml:space="preserve"> </w:t>
      </w:r>
      <w:r w:rsidR="0094215B" w:rsidRPr="004C6147">
        <w:rPr>
          <w:lang w:val="fr-FR"/>
        </w:rPr>
        <w:t>la Secrétaire exécutive de présenter les orientations susmentionnées au paragraphe</w:t>
      </w:r>
      <w:r w:rsidR="00456517" w:rsidRPr="004C6147">
        <w:rPr>
          <w:lang w:val="fr-FR"/>
        </w:rPr>
        <w:t xml:space="preserve"> 5 </w:t>
      </w:r>
      <w:r w:rsidR="0094215B" w:rsidRPr="004C6147">
        <w:rPr>
          <w:lang w:val="fr-FR"/>
        </w:rPr>
        <w:t>à l</w:t>
      </w:r>
      <w:r w:rsidR="003F488A" w:rsidRPr="004C6147">
        <w:rPr>
          <w:lang w:val="fr-FR"/>
        </w:rPr>
        <w:t>’</w:t>
      </w:r>
      <w:r w:rsidR="0094215B" w:rsidRPr="004C6147">
        <w:rPr>
          <w:lang w:val="fr-FR"/>
        </w:rPr>
        <w:t>Organe subsidiaire chargé de fournir des avis scientifiques, techniques et technologiques</w:t>
      </w:r>
      <w:r w:rsidR="00456517" w:rsidRPr="004C6147">
        <w:rPr>
          <w:lang w:val="fr-FR"/>
        </w:rPr>
        <w:t>,</w:t>
      </w:r>
      <w:r w:rsidR="0094215B" w:rsidRPr="004C6147">
        <w:rPr>
          <w:lang w:val="fr-FR"/>
        </w:rPr>
        <w:t xml:space="preserve"> lors d</w:t>
      </w:r>
      <w:r w:rsidR="003F488A" w:rsidRPr="004C6147">
        <w:rPr>
          <w:lang w:val="fr-FR"/>
        </w:rPr>
        <w:t>’</w:t>
      </w:r>
      <w:r w:rsidR="0094215B" w:rsidRPr="004C6147">
        <w:rPr>
          <w:lang w:val="fr-FR"/>
        </w:rPr>
        <w:t xml:space="preserve">une réunion qui se tiendra avant la dix-septième réunion de la Conférence des Parties, en veillant à ce que </w:t>
      </w:r>
      <w:r w:rsidR="008D4EAD" w:rsidRPr="004C6147">
        <w:rPr>
          <w:lang w:val="fr-FR"/>
        </w:rPr>
        <w:t>lesdites</w:t>
      </w:r>
      <w:r w:rsidR="0094215B" w:rsidRPr="004C6147">
        <w:rPr>
          <w:lang w:val="fr-FR"/>
        </w:rPr>
        <w:t xml:space="preserve"> orientations évitent les doubles emplois avec les orientations existantes;</w:t>
      </w:r>
    </w:p>
    <w:p w14:paraId="2F0051C3" w14:textId="54FF8BB8" w:rsidR="006216E8" w:rsidRPr="004C6147" w:rsidRDefault="00AB67C2" w:rsidP="002545F0">
      <w:pPr>
        <w:pStyle w:val="Para1"/>
        <w:numPr>
          <w:ilvl w:val="0"/>
          <w:numId w:val="0"/>
        </w:numPr>
        <w:tabs>
          <w:tab w:val="clear" w:pos="1134"/>
        </w:tabs>
        <w:ind w:left="567" w:firstLine="567"/>
        <w:rPr>
          <w:lang w:val="fr-FR"/>
        </w:rPr>
      </w:pPr>
      <w:r w:rsidRPr="004C6147">
        <w:rPr>
          <w:lang w:val="fr-FR"/>
        </w:rPr>
        <w:t>8</w:t>
      </w:r>
      <w:r w:rsidR="00EA7B73" w:rsidRPr="004C6147">
        <w:rPr>
          <w:lang w:val="fr-FR"/>
        </w:rPr>
        <w:t>.</w:t>
      </w:r>
      <w:r w:rsidR="00EA7B73" w:rsidRPr="004C6147">
        <w:rPr>
          <w:lang w:val="fr-FR"/>
        </w:rPr>
        <w:tab/>
      </w:r>
      <w:r w:rsidR="00834F37" w:rsidRPr="004C6147">
        <w:rPr>
          <w:i/>
          <w:iCs/>
          <w:lang w:val="fr-FR"/>
        </w:rPr>
        <w:t>Encourage</w:t>
      </w:r>
      <w:r w:rsidR="00834F37" w:rsidRPr="004C6147">
        <w:rPr>
          <w:lang w:val="fr-FR"/>
        </w:rPr>
        <w:t xml:space="preserve"> </w:t>
      </w:r>
      <w:r w:rsidR="0094215B" w:rsidRPr="004C6147">
        <w:rPr>
          <w:lang w:val="fr-FR"/>
        </w:rPr>
        <w:t xml:space="preserve">les </w:t>
      </w:r>
      <w:r w:rsidR="00834F37" w:rsidRPr="004C6147">
        <w:rPr>
          <w:lang w:val="fr-FR"/>
        </w:rPr>
        <w:t>Parties</w:t>
      </w:r>
      <w:r w:rsidR="0094215B" w:rsidRPr="004C6147">
        <w:rPr>
          <w:lang w:val="fr-FR"/>
        </w:rPr>
        <w:t xml:space="preserve"> à favoriser </w:t>
      </w:r>
      <w:r w:rsidR="008D4EAD" w:rsidRPr="004C6147">
        <w:rPr>
          <w:lang w:val="fr-FR"/>
        </w:rPr>
        <w:t>d</w:t>
      </w:r>
      <w:r w:rsidR="0094215B" w:rsidRPr="004C6147">
        <w:rPr>
          <w:lang w:val="fr-FR"/>
        </w:rPr>
        <w:t>es activités</w:t>
      </w:r>
      <w:r w:rsidR="008D4EAD" w:rsidRPr="004C6147">
        <w:rPr>
          <w:lang w:val="fr-FR"/>
        </w:rPr>
        <w:t xml:space="preserve"> et des partenariats</w:t>
      </w:r>
      <w:r w:rsidR="0094215B" w:rsidRPr="004C6147">
        <w:rPr>
          <w:lang w:val="fr-FR"/>
        </w:rPr>
        <w:t xml:space="preserve"> de coopération scientifique et technique, </w:t>
      </w:r>
      <w:r w:rsidR="008D4EAD" w:rsidRPr="004C6147">
        <w:rPr>
          <w:lang w:val="fr-FR"/>
        </w:rPr>
        <w:t>d</w:t>
      </w:r>
      <w:r w:rsidR="0094215B" w:rsidRPr="004C6147">
        <w:rPr>
          <w:lang w:val="fr-FR"/>
        </w:rPr>
        <w:t>e r</w:t>
      </w:r>
      <w:r w:rsidR="008D4EAD" w:rsidRPr="004C6147">
        <w:rPr>
          <w:lang w:val="fr-FR"/>
        </w:rPr>
        <w:t xml:space="preserve">enforcement des capacités et de transfert de technologies, afin de combler les lacunes énoncées aux paragraphes 9 à 12 du document </w:t>
      </w:r>
      <w:hyperlink r:id="rId18" w:history="1">
        <w:r w:rsidR="008D4EAD" w:rsidRPr="004C6147">
          <w:rPr>
            <w:rStyle w:val="Lienhypertexte"/>
            <w:lang w:val="fr-FR"/>
          </w:rPr>
          <w:t>CBD/COP/16/11</w:t>
        </w:r>
      </w:hyperlink>
      <w:r w:rsidR="008D4EAD" w:rsidRPr="004C6147">
        <w:rPr>
          <w:lang w:val="fr-FR"/>
        </w:rPr>
        <w:t xml:space="preserve">, en tenant compte des difficultés </w:t>
      </w:r>
      <w:r w:rsidR="00E7495C">
        <w:rPr>
          <w:lang w:val="fr-FR"/>
        </w:rPr>
        <w:t>particulières</w:t>
      </w:r>
      <w:r w:rsidR="008D4EAD" w:rsidRPr="004C6147">
        <w:rPr>
          <w:lang w:val="fr-FR"/>
        </w:rPr>
        <w:t xml:space="preserve"> </w:t>
      </w:r>
      <w:r w:rsidR="00E7495C">
        <w:rPr>
          <w:lang w:val="fr-FR"/>
        </w:rPr>
        <w:t>rencontrées par</w:t>
      </w:r>
      <w:r w:rsidR="008D4EAD" w:rsidRPr="004C6147">
        <w:rPr>
          <w:lang w:val="fr-FR"/>
        </w:rPr>
        <w:t xml:space="preserve"> les pays en développement;</w:t>
      </w:r>
    </w:p>
    <w:p w14:paraId="2F0051C4" w14:textId="1F2ABABD" w:rsidR="00B3412B" w:rsidRPr="004C6147" w:rsidRDefault="00AB67C2" w:rsidP="00B3412B">
      <w:pPr>
        <w:pStyle w:val="Para1"/>
        <w:numPr>
          <w:ilvl w:val="0"/>
          <w:numId w:val="0"/>
        </w:numPr>
        <w:tabs>
          <w:tab w:val="clear" w:pos="1134"/>
        </w:tabs>
        <w:ind w:left="567" w:firstLine="567"/>
        <w:rPr>
          <w:lang w:val="fr-FR"/>
        </w:rPr>
      </w:pPr>
      <w:r w:rsidRPr="004C6147">
        <w:rPr>
          <w:lang w:val="fr-FR"/>
        </w:rPr>
        <w:t>9</w:t>
      </w:r>
      <w:r w:rsidR="00B3412B" w:rsidRPr="004C6147">
        <w:rPr>
          <w:lang w:val="fr-FR"/>
        </w:rPr>
        <w:t>.</w:t>
      </w:r>
      <w:r w:rsidR="00B3412B" w:rsidRPr="004C6147">
        <w:rPr>
          <w:lang w:val="fr-FR"/>
        </w:rPr>
        <w:tab/>
      </w:r>
      <w:r w:rsidR="008D4EAD" w:rsidRPr="004C6147">
        <w:rPr>
          <w:i/>
          <w:iCs/>
          <w:lang w:val="fr-FR"/>
        </w:rPr>
        <w:t>Invite</w:t>
      </w:r>
      <w:r w:rsidR="008D4EAD" w:rsidRPr="004C6147">
        <w:rPr>
          <w:lang w:val="fr-FR"/>
        </w:rPr>
        <w:t xml:space="preserve"> les Parties, les autres gouvernements, les autorités infranationales à tous les niveaux, les peuples autochtones et communautés locales, les femmes ainsi que les organisations compétentes à communiquer des informations sur les meilleures pratiques en matière de gestion durable des espèces sauvages, et prie la Secrétaire exécutive de compiler </w:t>
      </w:r>
      <w:r w:rsidR="00DD0D6E" w:rsidRPr="004C6147">
        <w:rPr>
          <w:lang w:val="fr-FR"/>
        </w:rPr>
        <w:t>c</w:t>
      </w:r>
      <w:r w:rsidR="008D4EAD" w:rsidRPr="004C6147">
        <w:rPr>
          <w:lang w:val="fr-FR"/>
        </w:rPr>
        <w:t>es informations et d</w:t>
      </w:r>
      <w:r w:rsidR="003F488A" w:rsidRPr="004C6147">
        <w:rPr>
          <w:lang w:val="fr-FR"/>
        </w:rPr>
        <w:t>’</w:t>
      </w:r>
      <w:r w:rsidR="008D4EAD" w:rsidRPr="004C6147">
        <w:rPr>
          <w:lang w:val="fr-FR"/>
        </w:rPr>
        <w:t>en faire la synthèse, aux fins d</w:t>
      </w:r>
      <w:r w:rsidR="003F488A" w:rsidRPr="004C6147">
        <w:rPr>
          <w:lang w:val="fr-FR"/>
        </w:rPr>
        <w:t>’</w:t>
      </w:r>
      <w:r w:rsidR="008D4EAD" w:rsidRPr="004C6147">
        <w:rPr>
          <w:lang w:val="fr-FR"/>
        </w:rPr>
        <w:t>examen par l</w:t>
      </w:r>
      <w:r w:rsidR="003F488A" w:rsidRPr="004C6147">
        <w:rPr>
          <w:lang w:val="fr-FR"/>
        </w:rPr>
        <w:t>’</w:t>
      </w:r>
      <w:r w:rsidR="008D4EAD" w:rsidRPr="004C6147">
        <w:rPr>
          <w:lang w:val="fr-FR"/>
        </w:rPr>
        <w:t>Organe subsidiaire chargé de fournir des avis scientifiques, techniques et technologiqu</w:t>
      </w:r>
      <w:r w:rsidR="0029574B" w:rsidRPr="004C6147">
        <w:rPr>
          <w:lang w:val="fr-FR"/>
        </w:rPr>
        <w:t>es à sa vingt-septième réunion;</w:t>
      </w:r>
    </w:p>
    <w:p w14:paraId="2F0051C5" w14:textId="5D8CC73A" w:rsidR="00B3412B" w:rsidRPr="004C6147" w:rsidRDefault="00F31A74" w:rsidP="00B3412B">
      <w:pPr>
        <w:pStyle w:val="Para1"/>
        <w:numPr>
          <w:ilvl w:val="0"/>
          <w:numId w:val="0"/>
        </w:numPr>
        <w:tabs>
          <w:tab w:val="clear" w:pos="1134"/>
        </w:tabs>
        <w:ind w:left="567" w:firstLine="567"/>
        <w:rPr>
          <w:lang w:val="fr-FR"/>
        </w:rPr>
      </w:pPr>
      <w:r w:rsidRPr="004C6147">
        <w:rPr>
          <w:lang w:val="fr-FR"/>
        </w:rPr>
        <w:t>1</w:t>
      </w:r>
      <w:r w:rsidR="00AB67C2" w:rsidRPr="004C6147">
        <w:rPr>
          <w:lang w:val="fr-FR"/>
        </w:rPr>
        <w:t>0</w:t>
      </w:r>
      <w:r w:rsidR="00B3412B" w:rsidRPr="004C6147">
        <w:rPr>
          <w:lang w:val="fr-FR"/>
        </w:rPr>
        <w:t>.</w:t>
      </w:r>
      <w:r w:rsidR="00B3412B" w:rsidRPr="004C6147">
        <w:rPr>
          <w:i/>
          <w:iCs/>
          <w:lang w:val="fr-FR"/>
        </w:rPr>
        <w:tab/>
      </w:r>
      <w:r w:rsidR="008D4EAD" w:rsidRPr="004C6147">
        <w:rPr>
          <w:i/>
          <w:iCs/>
          <w:lang w:val="fr-FR"/>
        </w:rPr>
        <w:t>Invite</w:t>
      </w:r>
      <w:r w:rsidR="008D4EAD" w:rsidRPr="004C6147">
        <w:rPr>
          <w:lang w:val="fr-FR"/>
        </w:rPr>
        <w:t xml:space="preserve"> les Parties, les autres gouvernements</w:t>
      </w:r>
      <w:r w:rsidR="00AB4B24" w:rsidRPr="004C6147">
        <w:rPr>
          <w:lang w:val="fr-FR"/>
        </w:rPr>
        <w:t xml:space="preserve">, les </w:t>
      </w:r>
      <w:r w:rsidR="00F715C5" w:rsidRPr="004C6147">
        <w:rPr>
          <w:lang w:val="fr-FR"/>
        </w:rPr>
        <w:t>autorités</w:t>
      </w:r>
      <w:r w:rsidR="00AB4B24" w:rsidRPr="004C6147">
        <w:rPr>
          <w:lang w:val="fr-FR"/>
        </w:rPr>
        <w:t xml:space="preserve"> infranationales à tous les niveaux</w:t>
      </w:r>
      <w:r w:rsidR="008D4EAD" w:rsidRPr="004C6147">
        <w:rPr>
          <w:lang w:val="fr-FR"/>
        </w:rPr>
        <w:t xml:space="preserve"> et les organisations compétentes à promouvoir</w:t>
      </w:r>
      <w:r w:rsidR="009314A6" w:rsidRPr="004C6147">
        <w:rPr>
          <w:lang w:val="fr-FR"/>
        </w:rPr>
        <w:t>, dans le respect des obligations internationales pertinentes,</w:t>
      </w:r>
      <w:r w:rsidR="008D4EAD" w:rsidRPr="004C6147">
        <w:rPr>
          <w:lang w:val="fr-FR"/>
        </w:rPr>
        <w:t xml:space="preserve"> des mesures d</w:t>
      </w:r>
      <w:r w:rsidR="003F488A" w:rsidRPr="004C6147">
        <w:rPr>
          <w:lang w:val="fr-FR"/>
        </w:rPr>
        <w:t>’</w:t>
      </w:r>
      <w:r w:rsidR="008D4EAD" w:rsidRPr="004C6147">
        <w:rPr>
          <w:lang w:val="fr-FR"/>
        </w:rPr>
        <w:t xml:space="preserve">incitation visant à renforcer la conservation de la biodiversité et </w:t>
      </w:r>
      <w:r w:rsidR="00661435" w:rsidRPr="004C6147">
        <w:rPr>
          <w:lang w:val="fr-FR"/>
        </w:rPr>
        <w:t xml:space="preserve">à garantir </w:t>
      </w:r>
      <w:r w:rsidR="008D4EAD" w:rsidRPr="004C6147">
        <w:rPr>
          <w:lang w:val="fr-FR"/>
        </w:rPr>
        <w:t>l</w:t>
      </w:r>
      <w:r w:rsidR="003F488A" w:rsidRPr="004C6147">
        <w:rPr>
          <w:lang w:val="fr-FR"/>
        </w:rPr>
        <w:t>’</w:t>
      </w:r>
      <w:r w:rsidR="008D4EAD" w:rsidRPr="004C6147">
        <w:rPr>
          <w:lang w:val="fr-FR"/>
        </w:rPr>
        <w:t xml:space="preserve">utilisation durable des espèces sauvages, </w:t>
      </w:r>
      <w:r w:rsidR="007A7F33" w:rsidRPr="004C6147">
        <w:rPr>
          <w:lang w:val="fr-FR"/>
        </w:rPr>
        <w:t xml:space="preserve">y compris </w:t>
      </w:r>
      <w:r w:rsidR="00E7495C">
        <w:rPr>
          <w:lang w:val="fr-FR"/>
        </w:rPr>
        <w:t>au moyen</w:t>
      </w:r>
      <w:r w:rsidR="007A7F33" w:rsidRPr="004C6147">
        <w:rPr>
          <w:lang w:val="fr-FR"/>
        </w:rPr>
        <w:t xml:space="preserve"> de solutions de financement novatrices, </w:t>
      </w:r>
      <w:r w:rsidR="002122A7" w:rsidRPr="004C6147">
        <w:rPr>
          <w:lang w:val="fr-FR"/>
        </w:rPr>
        <w:t xml:space="preserve">tout </w:t>
      </w:r>
      <w:r w:rsidR="00BB226B" w:rsidRPr="004C6147">
        <w:rPr>
          <w:lang w:val="fr-FR"/>
        </w:rPr>
        <w:t xml:space="preserve">en appuyant les </w:t>
      </w:r>
      <w:r w:rsidR="008D4EAD" w:rsidRPr="004C6147">
        <w:rPr>
          <w:lang w:val="fr-FR"/>
        </w:rPr>
        <w:t>peuples autochtones et communautés locales ainsi qu</w:t>
      </w:r>
      <w:r w:rsidR="00641CEC" w:rsidRPr="004C6147">
        <w:rPr>
          <w:lang w:val="fr-FR"/>
        </w:rPr>
        <w:t xml:space="preserve">e les </w:t>
      </w:r>
      <w:r w:rsidR="008D4EAD" w:rsidRPr="004C6147">
        <w:rPr>
          <w:lang w:val="fr-FR"/>
        </w:rPr>
        <w:t xml:space="preserve">femmes </w:t>
      </w:r>
      <w:r w:rsidR="00641CEC" w:rsidRPr="004C6147">
        <w:rPr>
          <w:lang w:val="fr-FR"/>
        </w:rPr>
        <w:t xml:space="preserve">et les jeunes </w:t>
      </w:r>
      <w:r w:rsidR="008D4EAD" w:rsidRPr="004C6147">
        <w:rPr>
          <w:lang w:val="fr-FR"/>
        </w:rPr>
        <w:t>qui participent à la conservation et à la gestion</w:t>
      </w:r>
      <w:r w:rsidR="0029574B" w:rsidRPr="004C6147">
        <w:rPr>
          <w:lang w:val="fr-FR"/>
        </w:rPr>
        <w:t xml:space="preserve"> durable des espèces sauvages</w:t>
      </w:r>
      <w:r w:rsidR="00641CEC" w:rsidRPr="004C6147">
        <w:rPr>
          <w:lang w:val="fr-FR"/>
        </w:rPr>
        <w:t> </w:t>
      </w:r>
      <w:r w:rsidR="0029574B" w:rsidRPr="004C6147">
        <w:rPr>
          <w:lang w:val="fr-FR"/>
        </w:rPr>
        <w:t>;</w:t>
      </w:r>
    </w:p>
    <w:p w14:paraId="2F0051C6" w14:textId="137256AC" w:rsidR="00537248" w:rsidRPr="004C6147" w:rsidRDefault="00EA7B73" w:rsidP="00F879C7">
      <w:pPr>
        <w:pStyle w:val="Para1"/>
        <w:numPr>
          <w:ilvl w:val="0"/>
          <w:numId w:val="0"/>
        </w:numPr>
        <w:tabs>
          <w:tab w:val="clear" w:pos="1134"/>
        </w:tabs>
        <w:ind w:left="567" w:firstLine="567"/>
        <w:rPr>
          <w:lang w:val="fr-FR"/>
        </w:rPr>
      </w:pPr>
      <w:r w:rsidRPr="004C6147">
        <w:rPr>
          <w:lang w:val="fr-FR"/>
        </w:rPr>
        <w:lastRenderedPageBreak/>
        <w:t>1</w:t>
      </w:r>
      <w:r w:rsidR="00AB67C2" w:rsidRPr="004C6147">
        <w:rPr>
          <w:lang w:val="fr-FR"/>
        </w:rPr>
        <w:t>1</w:t>
      </w:r>
      <w:r w:rsidR="00B3412B" w:rsidRPr="004C6147">
        <w:rPr>
          <w:lang w:val="fr-FR"/>
        </w:rPr>
        <w:t>.</w:t>
      </w:r>
      <w:r w:rsidR="00B3412B" w:rsidRPr="004C6147">
        <w:rPr>
          <w:lang w:val="fr-FR"/>
        </w:rPr>
        <w:tab/>
      </w:r>
      <w:r w:rsidR="008D4EAD" w:rsidRPr="004C6147">
        <w:rPr>
          <w:i/>
          <w:iCs/>
          <w:lang w:val="fr-FR"/>
        </w:rPr>
        <w:t>Prie</w:t>
      </w:r>
      <w:r w:rsidR="008D4EAD" w:rsidRPr="004C6147">
        <w:rPr>
          <w:lang w:val="fr-FR"/>
        </w:rPr>
        <w:t xml:space="preserve"> la Secrétaire exécutive</w:t>
      </w:r>
      <w:r w:rsidR="0029574B" w:rsidRPr="004C6147">
        <w:rPr>
          <w:lang w:val="fr-FR"/>
        </w:rPr>
        <w:t xml:space="preserve">, </w:t>
      </w:r>
      <w:r w:rsidR="008D4EAD" w:rsidRPr="004C6147">
        <w:rPr>
          <w:lang w:val="fr-FR"/>
        </w:rPr>
        <w:t xml:space="preserve">sous réserve de la disponibilité des ressources, en concertation avec les Parties, les autres gouvernements et les organisations compétentes, dont </w:t>
      </w:r>
      <w:r w:rsidR="007221C9" w:rsidRPr="004C6147">
        <w:rPr>
          <w:lang w:val="fr-FR"/>
        </w:rPr>
        <w:t>les peuples autochtones et communautés locales, les organisations de femmes et de jeunes, et d'autres organisations concernées</w:t>
      </w:r>
      <w:r w:rsidR="008D4EAD" w:rsidRPr="004C6147">
        <w:rPr>
          <w:lang w:val="fr-FR"/>
        </w:rPr>
        <w:t>, en collaboration avec le Partenariat de collaboration sur la gestion durable des espèces sauvages, de faciliter les dialogues régionaux</w:t>
      </w:r>
      <w:r w:rsidR="0029574B" w:rsidRPr="004C6147">
        <w:rPr>
          <w:lang w:val="fr-FR"/>
        </w:rPr>
        <w:t>,</w:t>
      </w:r>
      <w:r w:rsidR="008D4EAD" w:rsidRPr="004C6147">
        <w:rPr>
          <w:lang w:val="fr-FR"/>
        </w:rPr>
        <w:t xml:space="preserve"> afin de parvenir à une compréhension commune de l</w:t>
      </w:r>
      <w:r w:rsidR="003F488A" w:rsidRPr="004C6147">
        <w:rPr>
          <w:lang w:val="fr-FR"/>
        </w:rPr>
        <w:t>’</w:t>
      </w:r>
      <w:r w:rsidR="008D4EAD" w:rsidRPr="004C6147">
        <w:rPr>
          <w:lang w:val="fr-FR"/>
        </w:rPr>
        <w:t>application des sept éléments clés visés au paragraphe 4 b)</w:t>
      </w:r>
      <w:r w:rsidR="00496F80" w:rsidRPr="004C6147">
        <w:rPr>
          <w:lang w:val="fr-FR"/>
        </w:rPr>
        <w:t>.</w:t>
      </w:r>
    </w:p>
    <w:p w14:paraId="2F0051C7" w14:textId="77777777" w:rsidR="002B559C" w:rsidRPr="004C6147" w:rsidRDefault="00ED3849" w:rsidP="00B3412B">
      <w:pPr>
        <w:pStyle w:val="Para1"/>
        <w:numPr>
          <w:ilvl w:val="0"/>
          <w:numId w:val="0"/>
        </w:numPr>
        <w:ind w:left="567"/>
        <w:jc w:val="center"/>
        <w:rPr>
          <w:lang w:val="fr-FR"/>
        </w:rPr>
      </w:pPr>
      <w:r w:rsidRPr="004C6147">
        <w:rPr>
          <w:lang w:val="fr-FR"/>
        </w:rPr>
        <w:t>__________</w:t>
      </w:r>
    </w:p>
    <w:sectPr w:rsidR="002B559C" w:rsidRPr="004C6147" w:rsidSect="001662BF">
      <w:headerReference w:type="even" r:id="rId19"/>
      <w:headerReference w:type="default" r:id="rId20"/>
      <w:footerReference w:type="even" r:id="rId21"/>
      <w:footerReference w:type="default" r:id="rId22"/>
      <w:headerReference w:type="first" r:id="rId23"/>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16A18" w14:textId="77777777" w:rsidR="0071437F" w:rsidRDefault="0071437F" w:rsidP="00A96B21">
      <w:r>
        <w:separator/>
      </w:r>
    </w:p>
  </w:endnote>
  <w:endnote w:type="continuationSeparator" w:id="0">
    <w:p w14:paraId="1160C59F" w14:textId="77777777" w:rsidR="0071437F" w:rsidRDefault="0071437F" w:rsidP="00A96B21">
      <w:r>
        <w:continuationSeparator/>
      </w:r>
    </w:p>
  </w:endnote>
  <w:endnote w:type="continuationNotice" w:id="1">
    <w:p w14:paraId="7532696F" w14:textId="77777777" w:rsidR="0071437F" w:rsidRDefault="007143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2F0051D6" w14:textId="77777777" w:rsidR="008D4EAD" w:rsidRDefault="008D4EAD">
            <w:pPr>
              <w:pStyle w:val="Pieddepage"/>
            </w:pPr>
            <w:r w:rsidRPr="002B559C">
              <w:rPr>
                <w:szCs w:val="20"/>
              </w:rPr>
              <w:fldChar w:fldCharType="begin"/>
            </w:r>
            <w:r w:rsidRPr="002B559C">
              <w:rPr>
                <w:szCs w:val="20"/>
              </w:rPr>
              <w:instrText xml:space="preserve"> PAGE </w:instrText>
            </w:r>
            <w:r w:rsidRPr="002B559C">
              <w:rPr>
                <w:szCs w:val="20"/>
              </w:rPr>
              <w:fldChar w:fldCharType="separate"/>
            </w:r>
            <w:r w:rsidR="00496F80">
              <w:rPr>
                <w:noProof/>
                <w:szCs w:val="20"/>
              </w:rPr>
              <w:t>4</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496F80">
              <w:rPr>
                <w:noProof/>
                <w:szCs w:val="20"/>
              </w:rPr>
              <w:t>4</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2F0051D7" w14:textId="77777777" w:rsidR="008D4EAD" w:rsidRDefault="008D4EAD" w:rsidP="002B559C">
            <w:pPr>
              <w:pStyle w:val="Pieddepage"/>
              <w:jc w:val="right"/>
            </w:pPr>
            <w:r w:rsidRPr="002B559C">
              <w:rPr>
                <w:szCs w:val="20"/>
              </w:rPr>
              <w:fldChar w:fldCharType="begin"/>
            </w:r>
            <w:r w:rsidRPr="002B559C">
              <w:rPr>
                <w:szCs w:val="20"/>
              </w:rPr>
              <w:instrText xml:space="preserve"> PAGE </w:instrText>
            </w:r>
            <w:r w:rsidRPr="002B559C">
              <w:rPr>
                <w:szCs w:val="20"/>
              </w:rPr>
              <w:fldChar w:fldCharType="separate"/>
            </w:r>
            <w:r w:rsidR="00A60E29">
              <w:rPr>
                <w:noProof/>
                <w:szCs w:val="20"/>
              </w:rPr>
              <w:t>3</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A60E29">
              <w:rPr>
                <w:noProof/>
                <w:szCs w:val="20"/>
              </w:rPr>
              <w:t>4</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4CB3D" w14:textId="77777777" w:rsidR="0071437F" w:rsidRDefault="0071437F" w:rsidP="00A96B21">
      <w:r>
        <w:separator/>
      </w:r>
    </w:p>
  </w:footnote>
  <w:footnote w:type="continuationSeparator" w:id="0">
    <w:p w14:paraId="5CAF66F5" w14:textId="77777777" w:rsidR="0071437F" w:rsidRDefault="0071437F" w:rsidP="00A96B21">
      <w:r>
        <w:continuationSeparator/>
      </w:r>
    </w:p>
  </w:footnote>
  <w:footnote w:type="continuationNotice" w:id="1">
    <w:p w14:paraId="36B30935" w14:textId="77777777" w:rsidR="0071437F" w:rsidRDefault="0071437F"/>
  </w:footnote>
  <w:footnote w:id="2">
    <w:p w14:paraId="2F0051D9" w14:textId="77777777" w:rsidR="008D4EAD" w:rsidRPr="00AF6C24" w:rsidRDefault="008D4EAD" w:rsidP="00993748">
      <w:pPr>
        <w:pStyle w:val="Notedebasdepage"/>
        <w:rPr>
          <w:lang w:val="fr-FR"/>
        </w:rPr>
      </w:pPr>
      <w:r w:rsidRPr="00AF6C24">
        <w:rPr>
          <w:rStyle w:val="Appelnotedebasdep"/>
          <w:lang w:val="fr-FR"/>
        </w:rPr>
        <w:footnoteRef/>
      </w:r>
      <w:r w:rsidRPr="00AF6C24">
        <w:rPr>
          <w:lang w:val="fr-FR"/>
        </w:rPr>
        <w:t xml:space="preserve"> Décision 15/4, annexe.</w:t>
      </w:r>
    </w:p>
  </w:footnote>
  <w:footnote w:id="3">
    <w:p w14:paraId="51BD9B59" w14:textId="4E72FE0C" w:rsidR="007673E3" w:rsidRPr="00AF6C24" w:rsidRDefault="007673E3" w:rsidP="007673E3">
      <w:pPr>
        <w:pStyle w:val="Notedebasdepage"/>
        <w:rPr>
          <w:lang w:val="fr-FR"/>
        </w:rPr>
      </w:pPr>
      <w:r w:rsidRPr="00AF6C24">
        <w:rPr>
          <w:rStyle w:val="Appelnotedebasdep"/>
          <w:lang w:val="fr-FR"/>
        </w:rPr>
        <w:footnoteRef/>
      </w:r>
      <w:r w:rsidR="00B76C59" w:rsidRPr="00AF6C24">
        <w:rPr>
          <w:lang w:val="fr-FR"/>
        </w:rPr>
        <w:t xml:space="preserve"> Voir </w:t>
      </w:r>
      <w:r w:rsidRPr="00AF6C24">
        <w:rPr>
          <w:lang w:val="fr-FR"/>
        </w:rPr>
        <w:t xml:space="preserve"> </w:t>
      </w:r>
      <w:hyperlink r:id="rId1" w:history="1">
        <w:r w:rsidRPr="00AF6C24">
          <w:rPr>
            <w:rStyle w:val="Lienhypertexte"/>
            <w:lang w:val="fr-FR"/>
          </w:rPr>
          <w:t>www.swm-programme.info/</w:t>
        </w:r>
      </w:hyperlink>
      <w:r w:rsidRPr="00AF6C24">
        <w:rPr>
          <w:lang w:val="fr-FR"/>
        </w:rPr>
        <w:t xml:space="preserve">. </w:t>
      </w:r>
    </w:p>
  </w:footnote>
  <w:footnote w:id="4">
    <w:p w14:paraId="4DA1F6E6" w14:textId="68D38ABF" w:rsidR="00A74975" w:rsidRPr="00AF6C24" w:rsidRDefault="00A74975" w:rsidP="00A74975">
      <w:pPr>
        <w:pStyle w:val="Notedebasdepage"/>
        <w:rPr>
          <w:szCs w:val="18"/>
          <w:lang w:val="fr-FR"/>
        </w:rPr>
      </w:pPr>
      <w:r w:rsidRPr="00AF6C24">
        <w:rPr>
          <w:rStyle w:val="Appelnotedebasdep"/>
          <w:szCs w:val="18"/>
          <w:lang w:val="fr-FR"/>
        </w:rPr>
        <w:footnoteRef/>
      </w:r>
      <w:r w:rsidRPr="00AF6C24">
        <w:rPr>
          <w:szCs w:val="18"/>
          <w:lang w:val="fr-FR"/>
        </w:rPr>
        <w:t xml:space="preserve"> </w:t>
      </w:r>
      <w:r w:rsidR="00C3798A" w:rsidRPr="00AF6C24">
        <w:rPr>
          <w:lang w:val="fr-FR"/>
        </w:rPr>
        <w:t xml:space="preserve">Nations Unies, </w:t>
      </w:r>
      <w:r w:rsidR="00C3798A" w:rsidRPr="00AF6C24">
        <w:rPr>
          <w:i/>
          <w:lang w:val="fr-FR"/>
        </w:rPr>
        <w:t>Recueil des Traités</w:t>
      </w:r>
      <w:r w:rsidR="00C3798A" w:rsidRPr="00AF6C24">
        <w:rPr>
          <w:lang w:val="fr-FR"/>
        </w:rPr>
        <w:t>, vol. 1760, n</w:t>
      </w:r>
      <w:r w:rsidR="00C3798A" w:rsidRPr="00AF6C24">
        <w:rPr>
          <w:vertAlign w:val="superscript"/>
          <w:lang w:val="fr-FR"/>
        </w:rPr>
        <w:t>o</w:t>
      </w:r>
      <w:r w:rsidR="00C3798A" w:rsidRPr="00AF6C24">
        <w:rPr>
          <w:lang w:val="fr-FR"/>
        </w:rPr>
        <w:t> 30619.</w:t>
      </w:r>
    </w:p>
  </w:footnote>
  <w:footnote w:id="5">
    <w:p w14:paraId="01F3F8B0" w14:textId="72CF1DC8" w:rsidR="00B76C59" w:rsidRPr="00AF6C24" w:rsidRDefault="00B76C59" w:rsidP="00B76C59">
      <w:pPr>
        <w:pStyle w:val="Notedebasdepage"/>
        <w:rPr>
          <w:lang w:val="fr-FR"/>
        </w:rPr>
      </w:pPr>
      <w:r w:rsidRPr="00AF6C24">
        <w:rPr>
          <w:rStyle w:val="Appelnotedebasdep"/>
          <w:lang w:val="fr-FR"/>
        </w:rPr>
        <w:footnoteRef/>
      </w:r>
      <w:r w:rsidRPr="00AF6C24">
        <w:rPr>
          <w:lang w:val="fr-FR"/>
        </w:rPr>
        <w:t xml:space="preserve"> D</w:t>
      </w:r>
      <w:r w:rsidRPr="00AF6C24">
        <w:rPr>
          <w:lang w:val="fr-FR"/>
        </w:rPr>
        <w:t>é</w:t>
      </w:r>
      <w:r w:rsidRPr="00AF6C24">
        <w:rPr>
          <w:lang w:val="fr-FR"/>
        </w:rPr>
        <w:t xml:space="preserve">cision </w:t>
      </w:r>
      <w:hyperlink r:id="rId2" w:history="1">
        <w:r w:rsidRPr="00AF6C24">
          <w:rPr>
            <w:rStyle w:val="Lienhypertexte"/>
            <w:lang w:val="fr-FR"/>
          </w:rPr>
          <w:t>14</w:t>
        </w:r>
        <w:r w:rsidRPr="00AF6C24">
          <w:rPr>
            <w:rStyle w:val="Lienhypertexte"/>
            <w:lang w:val="fr-FR"/>
          </w:rPr>
          <w:t>/</w:t>
        </w:r>
        <w:r w:rsidRPr="00AF6C24">
          <w:rPr>
            <w:rStyle w:val="Lienhypertexte"/>
            <w:lang w:val="fr-FR"/>
          </w:rPr>
          <w:t>7</w:t>
        </w:r>
      </w:hyperlink>
      <w:r w:rsidRPr="00AF6C24">
        <w:rPr>
          <w:lang w:val="fr-FR"/>
        </w:rPr>
        <w:t>, annex</w:t>
      </w:r>
      <w:r w:rsidRPr="00AF6C24">
        <w:rPr>
          <w:lang w:val="fr-FR"/>
        </w:rPr>
        <w:t>e</w:t>
      </w:r>
      <w:r w:rsidRPr="00AF6C24">
        <w:rPr>
          <w:lang w:val="fr-FR"/>
        </w:rPr>
        <w:t>.</w:t>
      </w:r>
    </w:p>
  </w:footnote>
  <w:footnote w:id="6">
    <w:p w14:paraId="2F0051DB" w14:textId="637EEC1B" w:rsidR="008D4EAD" w:rsidRPr="00AF6C24" w:rsidRDefault="008D4EAD" w:rsidP="00993748">
      <w:pPr>
        <w:pStyle w:val="Notedebasdepage"/>
        <w:rPr>
          <w:szCs w:val="18"/>
          <w:lang w:val="fr-FR"/>
        </w:rPr>
      </w:pPr>
      <w:r w:rsidRPr="00AF6C24">
        <w:rPr>
          <w:rStyle w:val="Appelnotedebasdep"/>
          <w:szCs w:val="18"/>
          <w:lang w:val="fr-FR"/>
        </w:rPr>
        <w:footnoteRef/>
      </w:r>
      <w:r w:rsidRPr="00AF6C24">
        <w:rPr>
          <w:lang w:val="fr-FR"/>
        </w:rPr>
        <w:t xml:space="preserve"> Décision </w:t>
      </w:r>
      <w:hyperlink r:id="rId3" w:history="1">
        <w:r w:rsidRPr="00AF6C24">
          <w:rPr>
            <w:rStyle w:val="Lienhypertexte"/>
            <w:lang w:val="fr-FR"/>
          </w:rPr>
          <w:t>VII/12</w:t>
        </w:r>
      </w:hyperlink>
      <w:r w:rsidRPr="00AF6C24">
        <w:rPr>
          <w:lang w:val="fr-FR"/>
        </w:rPr>
        <w:t>, annexe II.</w:t>
      </w:r>
    </w:p>
  </w:footnote>
  <w:footnote w:id="7">
    <w:p w14:paraId="1794217D" w14:textId="202E4271" w:rsidR="00DD0D6E" w:rsidRPr="00AF6C24" w:rsidRDefault="00DD0D6E" w:rsidP="00DD0D6E">
      <w:pPr>
        <w:pStyle w:val="Notedebasdepage"/>
        <w:rPr>
          <w:lang w:val="fr-FR"/>
        </w:rPr>
      </w:pPr>
      <w:r w:rsidRPr="00AF6C24">
        <w:rPr>
          <w:rStyle w:val="Appelnotedebasdep"/>
          <w:lang w:val="fr-FR"/>
        </w:rPr>
        <w:footnoteRef/>
      </w:r>
      <w:r w:rsidRPr="00AF6C24">
        <w:rPr>
          <w:lang w:val="fr-FR"/>
        </w:rPr>
        <w:t xml:space="preserve"> Décision 15/5, annexe I.</w:t>
      </w:r>
    </w:p>
  </w:footnote>
  <w:footnote w:id="8">
    <w:p w14:paraId="50AEA011" w14:textId="17764DC6" w:rsidR="00DD0D6E" w:rsidRPr="00AF6C24" w:rsidRDefault="00DD0D6E" w:rsidP="00DD0D6E">
      <w:pPr>
        <w:pStyle w:val="Notedebasdepage"/>
        <w:rPr>
          <w:lang w:val="fr-FR"/>
        </w:rPr>
      </w:pPr>
      <w:r w:rsidRPr="00AF6C24">
        <w:rPr>
          <w:rStyle w:val="Appelnotedebasdep"/>
          <w:lang w:val="fr-FR"/>
        </w:rPr>
        <w:footnoteRef/>
      </w:r>
      <w:r w:rsidRPr="00AF6C24">
        <w:rPr>
          <w:lang w:val="fr-FR"/>
        </w:rPr>
        <w:t xml:space="preserve"> </w:t>
      </w:r>
      <w:r w:rsidR="00876E77" w:rsidRPr="00AF6C24">
        <w:rPr>
          <w:lang w:val="fr-FR"/>
        </w:rPr>
        <w:t xml:space="preserve">Nations Unies, </w:t>
      </w:r>
      <w:r w:rsidR="00876E77" w:rsidRPr="00AF6C24">
        <w:rPr>
          <w:i/>
          <w:iCs/>
          <w:lang w:val="fr-FR"/>
        </w:rPr>
        <w:t>Recueil des Traités</w:t>
      </w:r>
      <w:r w:rsidR="00876E77" w:rsidRPr="00AF6C24">
        <w:rPr>
          <w:lang w:val="fr-FR"/>
        </w:rPr>
        <w:t>, vol. 993, n° 14537</w:t>
      </w:r>
      <w:r w:rsidRPr="00AF6C24">
        <w:rPr>
          <w:lang w:val="fr-FR"/>
        </w:rPr>
        <w:t>.</w:t>
      </w:r>
    </w:p>
  </w:footnote>
  <w:footnote w:id="9">
    <w:p w14:paraId="759FD4A3" w14:textId="77777777" w:rsidR="00DD0D6E" w:rsidRPr="00AF6C24" w:rsidRDefault="00DD0D6E" w:rsidP="00DD0D6E">
      <w:pPr>
        <w:pStyle w:val="Notedebasdepage"/>
        <w:rPr>
          <w:lang w:val="fr-FR"/>
        </w:rPr>
      </w:pPr>
      <w:r w:rsidRPr="00AF6C24">
        <w:rPr>
          <w:rStyle w:val="Appelnotedebasdep"/>
          <w:lang w:val="fr-FR"/>
        </w:rPr>
        <w:footnoteRef/>
      </w:r>
      <w:r w:rsidRPr="00AF6C24">
        <w:rPr>
          <w:lang w:val="fr-FR"/>
        </w:rPr>
        <w:t xml:space="preserve"> Ibid., vol. 1651, No. 28395.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7802784"/>
  <w:bookmarkStart w:id="2" w:name="_Hlk137802785"/>
  <w:p w14:paraId="2F0051D4" w14:textId="784F60EB" w:rsidR="008D4EAD" w:rsidRPr="00B3412B" w:rsidRDefault="00B76C59" w:rsidP="00B3412B">
    <w:pPr>
      <w:pStyle w:val="En-tte"/>
      <w:spacing w:after="240"/>
      <w:rPr>
        <w:szCs w:val="20"/>
        <w:lang w:val="en-CA"/>
      </w:rPr>
    </w:pPr>
    <w:sdt>
      <w:sdt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Pr="00B76C59">
          <w:t>CBD/COP/DEC/16/15</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lang w:val="en-CA"/>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2F0051D5" w14:textId="5CF2F844" w:rsidR="008D4EAD" w:rsidRPr="00B3412B" w:rsidRDefault="00B76C59" w:rsidP="002B559C">
        <w:pPr>
          <w:pStyle w:val="En-tte"/>
          <w:spacing w:after="240"/>
          <w:jc w:val="right"/>
          <w:rPr>
            <w:szCs w:val="20"/>
            <w:lang w:val="en-CA"/>
          </w:rPr>
        </w:pPr>
        <w:r>
          <w:rPr>
            <w:szCs w:val="20"/>
            <w:lang w:val="en-CA"/>
          </w:rPr>
          <w:t>CBD/COP/DEC/16/15</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51D8" w14:textId="77777777" w:rsidR="008D4EAD" w:rsidRDefault="008D4EAD" w:rsidP="001662BF">
    <w:pPr>
      <w:pStyle w:val="En-tt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61446846">
    <w:abstractNumId w:val="4"/>
  </w:num>
  <w:num w:numId="2" w16cid:durableId="522398950">
    <w:abstractNumId w:val="12"/>
  </w:num>
  <w:num w:numId="3" w16cid:durableId="1936590448">
    <w:abstractNumId w:val="15"/>
  </w:num>
  <w:num w:numId="4" w16cid:durableId="1880051267">
    <w:abstractNumId w:val="0"/>
  </w:num>
  <w:num w:numId="5" w16cid:durableId="1195079870">
    <w:abstractNumId w:val="1"/>
  </w:num>
  <w:num w:numId="6" w16cid:durableId="473641118">
    <w:abstractNumId w:val="1"/>
  </w:num>
  <w:num w:numId="7" w16cid:durableId="864904747">
    <w:abstractNumId w:val="3"/>
  </w:num>
  <w:num w:numId="8" w16cid:durableId="215043690">
    <w:abstractNumId w:val="7"/>
  </w:num>
  <w:num w:numId="9" w16cid:durableId="837959564">
    <w:abstractNumId w:val="11"/>
  </w:num>
  <w:num w:numId="10" w16cid:durableId="264193394">
    <w:abstractNumId w:val="10"/>
  </w:num>
  <w:num w:numId="11" w16cid:durableId="1774324810">
    <w:abstractNumId w:val="6"/>
  </w:num>
  <w:num w:numId="12" w16cid:durableId="1916283823">
    <w:abstractNumId w:val="2"/>
  </w:num>
  <w:num w:numId="13" w16cid:durableId="1013920255">
    <w:abstractNumId w:val="2"/>
    <w:lvlOverride w:ilvl="0">
      <w:startOverride w:val="1"/>
    </w:lvlOverride>
  </w:num>
  <w:num w:numId="14" w16cid:durableId="1797259651">
    <w:abstractNumId w:val="9"/>
  </w:num>
  <w:num w:numId="15" w16cid:durableId="1264650682">
    <w:abstractNumId w:val="9"/>
    <w:lvlOverride w:ilvl="0">
      <w:startOverride w:val="1"/>
    </w:lvlOverride>
  </w:num>
  <w:num w:numId="16" w16cid:durableId="60522374">
    <w:abstractNumId w:val="12"/>
    <w:lvlOverride w:ilvl="0">
      <w:startOverride w:val="1"/>
    </w:lvlOverride>
  </w:num>
  <w:num w:numId="17" w16cid:durableId="56124502">
    <w:abstractNumId w:val="9"/>
    <w:lvlOverride w:ilvl="0">
      <w:startOverride w:val="1"/>
    </w:lvlOverride>
  </w:num>
  <w:num w:numId="18" w16cid:durableId="1347831664">
    <w:abstractNumId w:val="16"/>
  </w:num>
  <w:num w:numId="19" w16cid:durableId="576204853">
    <w:abstractNumId w:val="12"/>
    <w:lvlOverride w:ilvl="0">
      <w:startOverride w:val="1"/>
    </w:lvlOverride>
  </w:num>
  <w:num w:numId="20" w16cid:durableId="1675256260">
    <w:abstractNumId w:val="12"/>
    <w:lvlOverride w:ilvl="0">
      <w:startOverride w:val="1"/>
    </w:lvlOverride>
  </w:num>
  <w:num w:numId="21" w16cid:durableId="238517710">
    <w:abstractNumId w:val="8"/>
  </w:num>
  <w:num w:numId="22" w16cid:durableId="1921210260">
    <w:abstractNumId w:val="5"/>
  </w:num>
  <w:num w:numId="23" w16cid:durableId="1714159845">
    <w:abstractNumId w:val="13"/>
  </w:num>
  <w:num w:numId="24" w16cid:durableId="2053381038">
    <w:abstractNumId w:val="13"/>
  </w:num>
  <w:num w:numId="25" w16cid:durableId="2063942513">
    <w:abstractNumId w:val="13"/>
  </w:num>
  <w:num w:numId="26" w16cid:durableId="53504389">
    <w:abstractNumId w:val="13"/>
  </w:num>
  <w:num w:numId="27" w16cid:durableId="1700818383">
    <w:abstractNumId w:val="13"/>
  </w:num>
  <w:num w:numId="28" w16cid:durableId="1060522070">
    <w:abstractNumId w:val="13"/>
  </w:num>
  <w:num w:numId="29" w16cid:durableId="763846226">
    <w:abstractNumId w:val="14"/>
  </w:num>
  <w:num w:numId="30" w16cid:durableId="251593118">
    <w:abstractNumId w:val="14"/>
  </w:num>
  <w:num w:numId="31" w16cid:durableId="41370864">
    <w:abstractNumId w:val="14"/>
  </w:num>
  <w:num w:numId="32" w16cid:durableId="2095783557">
    <w:abstractNumId w:val="14"/>
  </w:num>
  <w:num w:numId="33" w16cid:durableId="630524599">
    <w:abstractNumId w:val="5"/>
  </w:num>
  <w:num w:numId="34" w16cid:durableId="1949466093">
    <w:abstractNumId w:val="5"/>
  </w:num>
  <w:num w:numId="35" w16cid:durableId="1409769597">
    <w:abstractNumId w:val="5"/>
  </w:num>
  <w:num w:numId="36" w16cid:durableId="1490827523">
    <w:abstractNumId w:val="5"/>
  </w:num>
  <w:num w:numId="37" w16cid:durableId="1791705258">
    <w:abstractNumId w:val="5"/>
  </w:num>
  <w:num w:numId="38" w16cid:durableId="469858229">
    <w:abstractNumId w:val="5"/>
  </w:num>
  <w:num w:numId="39" w16cid:durableId="51856433">
    <w:abstractNumId w:val="5"/>
  </w:num>
  <w:num w:numId="40" w16cid:durableId="10844520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133B0"/>
    <w:rsid w:val="000377ED"/>
    <w:rsid w:val="00040598"/>
    <w:rsid w:val="00065259"/>
    <w:rsid w:val="0006764E"/>
    <w:rsid w:val="00073242"/>
    <w:rsid w:val="00083A87"/>
    <w:rsid w:val="000B1E29"/>
    <w:rsid w:val="000B33BC"/>
    <w:rsid w:val="000E4547"/>
    <w:rsid w:val="000E6202"/>
    <w:rsid w:val="000E661A"/>
    <w:rsid w:val="000F66FD"/>
    <w:rsid w:val="00103068"/>
    <w:rsid w:val="00105DE1"/>
    <w:rsid w:val="00107FE8"/>
    <w:rsid w:val="00117A7D"/>
    <w:rsid w:val="00132581"/>
    <w:rsid w:val="00144AC5"/>
    <w:rsid w:val="001454DA"/>
    <w:rsid w:val="00152D0E"/>
    <w:rsid w:val="00155BA4"/>
    <w:rsid w:val="001662BF"/>
    <w:rsid w:val="00180E94"/>
    <w:rsid w:val="00184909"/>
    <w:rsid w:val="00187BF9"/>
    <w:rsid w:val="00197DCC"/>
    <w:rsid w:val="001A2527"/>
    <w:rsid w:val="001C26F1"/>
    <w:rsid w:val="001D0580"/>
    <w:rsid w:val="001D2C6A"/>
    <w:rsid w:val="001D7501"/>
    <w:rsid w:val="001D7A4D"/>
    <w:rsid w:val="001E4E16"/>
    <w:rsid w:val="00207D65"/>
    <w:rsid w:val="002122A7"/>
    <w:rsid w:val="002202F7"/>
    <w:rsid w:val="00223617"/>
    <w:rsid w:val="002545F0"/>
    <w:rsid w:val="002771A3"/>
    <w:rsid w:val="0029574B"/>
    <w:rsid w:val="002A24E5"/>
    <w:rsid w:val="002A5F11"/>
    <w:rsid w:val="002B00CA"/>
    <w:rsid w:val="002B1175"/>
    <w:rsid w:val="002B559C"/>
    <w:rsid w:val="002C56FF"/>
    <w:rsid w:val="002D13AE"/>
    <w:rsid w:val="002F367D"/>
    <w:rsid w:val="002F3AB0"/>
    <w:rsid w:val="002F6319"/>
    <w:rsid w:val="00303F0B"/>
    <w:rsid w:val="00305500"/>
    <w:rsid w:val="00310608"/>
    <w:rsid w:val="00314729"/>
    <w:rsid w:val="00323F22"/>
    <w:rsid w:val="00342D57"/>
    <w:rsid w:val="00342E50"/>
    <w:rsid w:val="003476A9"/>
    <w:rsid w:val="00356232"/>
    <w:rsid w:val="00362568"/>
    <w:rsid w:val="0036335A"/>
    <w:rsid w:val="003C1EB7"/>
    <w:rsid w:val="003C3310"/>
    <w:rsid w:val="003C6F10"/>
    <w:rsid w:val="003D660F"/>
    <w:rsid w:val="003F488A"/>
    <w:rsid w:val="004202A4"/>
    <w:rsid w:val="00434C77"/>
    <w:rsid w:val="00441498"/>
    <w:rsid w:val="004442CA"/>
    <w:rsid w:val="00445AE3"/>
    <w:rsid w:val="004535D0"/>
    <w:rsid w:val="00456517"/>
    <w:rsid w:val="004701EE"/>
    <w:rsid w:val="00480A8D"/>
    <w:rsid w:val="004817F3"/>
    <w:rsid w:val="0048785B"/>
    <w:rsid w:val="00496F80"/>
    <w:rsid w:val="004A2A2D"/>
    <w:rsid w:val="004C2D7D"/>
    <w:rsid w:val="004C38A8"/>
    <w:rsid w:val="004C6147"/>
    <w:rsid w:val="004C6544"/>
    <w:rsid w:val="004C7A97"/>
    <w:rsid w:val="004D60C4"/>
    <w:rsid w:val="004E5D46"/>
    <w:rsid w:val="004E66AB"/>
    <w:rsid w:val="004E7BA2"/>
    <w:rsid w:val="00516DB4"/>
    <w:rsid w:val="005235EF"/>
    <w:rsid w:val="00533D6C"/>
    <w:rsid w:val="00537248"/>
    <w:rsid w:val="0056109A"/>
    <w:rsid w:val="0056581F"/>
    <w:rsid w:val="00585407"/>
    <w:rsid w:val="005903B9"/>
    <w:rsid w:val="00591A30"/>
    <w:rsid w:val="005946C6"/>
    <w:rsid w:val="00595A79"/>
    <w:rsid w:val="005A206E"/>
    <w:rsid w:val="005A729D"/>
    <w:rsid w:val="005B3806"/>
    <w:rsid w:val="005C0058"/>
    <w:rsid w:val="005D1131"/>
    <w:rsid w:val="005D5924"/>
    <w:rsid w:val="005E2605"/>
    <w:rsid w:val="00610D46"/>
    <w:rsid w:val="006210D5"/>
    <w:rsid w:val="006216E8"/>
    <w:rsid w:val="00641CEC"/>
    <w:rsid w:val="00657ED6"/>
    <w:rsid w:val="00661435"/>
    <w:rsid w:val="00673722"/>
    <w:rsid w:val="00682B7A"/>
    <w:rsid w:val="00683668"/>
    <w:rsid w:val="006B293D"/>
    <w:rsid w:val="006B74C6"/>
    <w:rsid w:val="006C6370"/>
    <w:rsid w:val="006F12A0"/>
    <w:rsid w:val="00705F82"/>
    <w:rsid w:val="007063DA"/>
    <w:rsid w:val="007075C8"/>
    <w:rsid w:val="0071437F"/>
    <w:rsid w:val="007221C9"/>
    <w:rsid w:val="007332EF"/>
    <w:rsid w:val="00742BF8"/>
    <w:rsid w:val="0075018F"/>
    <w:rsid w:val="007556B8"/>
    <w:rsid w:val="0076622F"/>
    <w:rsid w:val="007673E3"/>
    <w:rsid w:val="00767E90"/>
    <w:rsid w:val="00783CB8"/>
    <w:rsid w:val="00791C79"/>
    <w:rsid w:val="007A7F33"/>
    <w:rsid w:val="007B3281"/>
    <w:rsid w:val="007C77BC"/>
    <w:rsid w:val="007F70D7"/>
    <w:rsid w:val="00816346"/>
    <w:rsid w:val="008246F1"/>
    <w:rsid w:val="00834F37"/>
    <w:rsid w:val="00840EBE"/>
    <w:rsid w:val="0084575F"/>
    <w:rsid w:val="00852895"/>
    <w:rsid w:val="00874541"/>
    <w:rsid w:val="00874C82"/>
    <w:rsid w:val="0087582D"/>
    <w:rsid w:val="00876E77"/>
    <w:rsid w:val="00880330"/>
    <w:rsid w:val="008A7D71"/>
    <w:rsid w:val="008C5D5B"/>
    <w:rsid w:val="008D4EAD"/>
    <w:rsid w:val="008E0581"/>
    <w:rsid w:val="008F460A"/>
    <w:rsid w:val="00902031"/>
    <w:rsid w:val="00905044"/>
    <w:rsid w:val="00912C2D"/>
    <w:rsid w:val="00923DAF"/>
    <w:rsid w:val="009314A6"/>
    <w:rsid w:val="009343E4"/>
    <w:rsid w:val="00935461"/>
    <w:rsid w:val="0094215B"/>
    <w:rsid w:val="009459E3"/>
    <w:rsid w:val="00954C03"/>
    <w:rsid w:val="00970F40"/>
    <w:rsid w:val="00973A27"/>
    <w:rsid w:val="009802EC"/>
    <w:rsid w:val="00993748"/>
    <w:rsid w:val="00995DDC"/>
    <w:rsid w:val="009B4FDB"/>
    <w:rsid w:val="009B512E"/>
    <w:rsid w:val="009C1114"/>
    <w:rsid w:val="009C11FD"/>
    <w:rsid w:val="009D0A7E"/>
    <w:rsid w:val="00A00234"/>
    <w:rsid w:val="00A0607D"/>
    <w:rsid w:val="00A12935"/>
    <w:rsid w:val="00A16DB0"/>
    <w:rsid w:val="00A30018"/>
    <w:rsid w:val="00A31D86"/>
    <w:rsid w:val="00A349E1"/>
    <w:rsid w:val="00A405DD"/>
    <w:rsid w:val="00A519D1"/>
    <w:rsid w:val="00A54FA0"/>
    <w:rsid w:val="00A60E29"/>
    <w:rsid w:val="00A74975"/>
    <w:rsid w:val="00A837CD"/>
    <w:rsid w:val="00A96B21"/>
    <w:rsid w:val="00AA5912"/>
    <w:rsid w:val="00AB4B24"/>
    <w:rsid w:val="00AB4BC5"/>
    <w:rsid w:val="00AB67C2"/>
    <w:rsid w:val="00AC7149"/>
    <w:rsid w:val="00AD1125"/>
    <w:rsid w:val="00AE1A95"/>
    <w:rsid w:val="00AF6C24"/>
    <w:rsid w:val="00B01A8D"/>
    <w:rsid w:val="00B0642F"/>
    <w:rsid w:val="00B14087"/>
    <w:rsid w:val="00B16AAD"/>
    <w:rsid w:val="00B3412B"/>
    <w:rsid w:val="00B36EA9"/>
    <w:rsid w:val="00B41BF6"/>
    <w:rsid w:val="00B47BB1"/>
    <w:rsid w:val="00B65A9A"/>
    <w:rsid w:val="00B76C59"/>
    <w:rsid w:val="00B92375"/>
    <w:rsid w:val="00B93169"/>
    <w:rsid w:val="00B93533"/>
    <w:rsid w:val="00B9766E"/>
    <w:rsid w:val="00BB12EA"/>
    <w:rsid w:val="00BB226B"/>
    <w:rsid w:val="00BB60F0"/>
    <w:rsid w:val="00BC0368"/>
    <w:rsid w:val="00BD1733"/>
    <w:rsid w:val="00BD2698"/>
    <w:rsid w:val="00BD34AB"/>
    <w:rsid w:val="00BE67FA"/>
    <w:rsid w:val="00C0160C"/>
    <w:rsid w:val="00C12F4C"/>
    <w:rsid w:val="00C14875"/>
    <w:rsid w:val="00C156AA"/>
    <w:rsid w:val="00C210B3"/>
    <w:rsid w:val="00C2354A"/>
    <w:rsid w:val="00C35FEB"/>
    <w:rsid w:val="00C3798A"/>
    <w:rsid w:val="00C4353D"/>
    <w:rsid w:val="00C858D8"/>
    <w:rsid w:val="00C938D7"/>
    <w:rsid w:val="00CB0D9D"/>
    <w:rsid w:val="00CC2075"/>
    <w:rsid w:val="00CD3F82"/>
    <w:rsid w:val="00CD7932"/>
    <w:rsid w:val="00CF70AB"/>
    <w:rsid w:val="00D1718C"/>
    <w:rsid w:val="00D3059B"/>
    <w:rsid w:val="00D50E29"/>
    <w:rsid w:val="00D60046"/>
    <w:rsid w:val="00D64F28"/>
    <w:rsid w:val="00D71FFB"/>
    <w:rsid w:val="00D8395A"/>
    <w:rsid w:val="00D83E91"/>
    <w:rsid w:val="00D91E42"/>
    <w:rsid w:val="00D938DF"/>
    <w:rsid w:val="00DA4615"/>
    <w:rsid w:val="00DC7B85"/>
    <w:rsid w:val="00DD0D6E"/>
    <w:rsid w:val="00DD498C"/>
    <w:rsid w:val="00DD7645"/>
    <w:rsid w:val="00E0379A"/>
    <w:rsid w:val="00E1597C"/>
    <w:rsid w:val="00E2183F"/>
    <w:rsid w:val="00E379E4"/>
    <w:rsid w:val="00E43681"/>
    <w:rsid w:val="00E465DD"/>
    <w:rsid w:val="00E6125C"/>
    <w:rsid w:val="00E740AC"/>
    <w:rsid w:val="00E7495C"/>
    <w:rsid w:val="00E80E48"/>
    <w:rsid w:val="00EA7B73"/>
    <w:rsid w:val="00EB5B2C"/>
    <w:rsid w:val="00EB7275"/>
    <w:rsid w:val="00ED3849"/>
    <w:rsid w:val="00F0122F"/>
    <w:rsid w:val="00F12477"/>
    <w:rsid w:val="00F1729E"/>
    <w:rsid w:val="00F22F54"/>
    <w:rsid w:val="00F258FB"/>
    <w:rsid w:val="00F31A74"/>
    <w:rsid w:val="00F515C1"/>
    <w:rsid w:val="00F715C5"/>
    <w:rsid w:val="00F75F90"/>
    <w:rsid w:val="00F879C7"/>
    <w:rsid w:val="00F90A06"/>
    <w:rsid w:val="00F921CA"/>
    <w:rsid w:val="00F9220D"/>
    <w:rsid w:val="00FA18C9"/>
    <w:rsid w:val="00FA43BB"/>
    <w:rsid w:val="00FA494D"/>
    <w:rsid w:val="00FE0B22"/>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0518F"/>
  <w15:docId w15:val="{FD699418-F551-4E28-B15F-335267EF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rPr>
  </w:style>
  <w:style w:type="paragraph" w:styleId="Titre1">
    <w:name w:val="heading 1"/>
    <w:basedOn w:val="Normal"/>
    <w:next w:val="Titre2"/>
    <w:link w:val="Titre1C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rPr>
  </w:style>
  <w:style w:type="paragraph" w:styleId="Titre2">
    <w:name w:val="heading 2"/>
    <w:basedOn w:val="Normal"/>
    <w:next w:val="CBDNormalNumber"/>
    <w:link w:val="Titre2C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Titre5">
    <w:name w:val="heading 5"/>
    <w:aliases w:val="Heading 5 - GTI"/>
    <w:basedOn w:val="Normal"/>
    <w:next w:val="Normal"/>
    <w:link w:val="Titre5Car"/>
    <w:qFormat/>
    <w:rsid w:val="00B93533"/>
    <w:pPr>
      <w:keepNext/>
      <w:numPr>
        <w:ilvl w:val="4"/>
        <w:numId w:val="28"/>
      </w:numPr>
      <w:spacing w:before="120" w:after="120"/>
      <w:jc w:val="left"/>
      <w:outlineLvl w:val="4"/>
    </w:pPr>
    <w:rPr>
      <w:rFonts w:eastAsiaTheme="majorEastAsia"/>
      <w:i/>
      <w:iCs/>
    </w:rPr>
  </w:style>
  <w:style w:type="paragraph" w:styleId="Titre6">
    <w:name w:val="heading 6"/>
    <w:basedOn w:val="Normal"/>
    <w:next w:val="Normal"/>
    <w:link w:val="Titre6C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B93533"/>
    <w:pPr>
      <w:keepNext/>
      <w:widowControl w:val="0"/>
      <w:numPr>
        <w:ilvl w:val="8"/>
        <w:numId w:val="32"/>
      </w:numPr>
      <w:suppressAutoHyphens/>
      <w:jc w:val="left"/>
      <w:outlineLvl w:val="8"/>
    </w:pPr>
    <w:rPr>
      <w:snapToGrid w:val="0"/>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Corpsdetexte">
    <w:name w:val="Body Text"/>
    <w:basedOn w:val="Normal"/>
    <w:link w:val="CorpsdetexteCar"/>
    <w:uiPriority w:val="99"/>
    <w:semiHidden/>
    <w:unhideWhenUsed/>
    <w:rsid w:val="00B93533"/>
    <w:pPr>
      <w:spacing w:after="120" w:line="259" w:lineRule="auto"/>
      <w:jc w:val="left"/>
    </w:pPr>
    <w:rPr>
      <w:rFonts w:asciiTheme="minorHAnsi" w:eastAsiaTheme="minorHAnsi" w:hAnsiTheme="minorHAnsi" w:cstheme="minorBidi"/>
      <w:kern w:val="2"/>
      <w:lang w:val="en-CA"/>
    </w:rPr>
  </w:style>
  <w:style w:type="character" w:customStyle="1" w:styleId="CorpsdetexteCar">
    <w:name w:val="Corps de texte Car"/>
    <w:basedOn w:val="Policepardfaut"/>
    <w:link w:val="Corpsdetexte"/>
    <w:uiPriority w:val="99"/>
    <w:semiHidden/>
    <w:rsid w:val="00B93533"/>
  </w:style>
  <w:style w:type="paragraph" w:styleId="Titre">
    <w:name w:val="Title"/>
    <w:basedOn w:val="Normal"/>
    <w:next w:val="Normal"/>
    <w:link w:val="TitreC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reCar">
    <w:name w:val="Titre Car"/>
    <w:basedOn w:val="Policepardfaut"/>
    <w:link w:val="Titr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Titre1Car">
    <w:name w:val="Titre 1 Car"/>
    <w:basedOn w:val="Policepardfaut"/>
    <w:link w:val="Titre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auNormal"/>
    <w:next w:val="Grilledutableau"/>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utableau">
    <w:name w:val="Table Grid"/>
    <w:basedOn w:val="Tableau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B93533"/>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B93533"/>
    <w:rPr>
      <w:rFonts w:ascii="Times New Roman" w:eastAsia="SimSun" w:hAnsi="Times New Roman" w:cs="Times New Roman"/>
      <w:kern w:val="0"/>
      <w:sz w:val="18"/>
      <w:szCs w:val="20"/>
      <w:lang w:val="en-US"/>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B93533"/>
    <w:rPr>
      <w:vertAlign w:val="superscript"/>
    </w:rPr>
  </w:style>
  <w:style w:type="paragraph" w:customStyle="1" w:styleId="Footnote">
    <w:name w:val="Footnote"/>
    <w:basedOn w:val="Notedebasdepage"/>
    <w:qFormat/>
    <w:rsid w:val="00B93533"/>
    <w:rPr>
      <w:szCs w:val="18"/>
      <w:lang w:val="en-CA"/>
    </w:rPr>
  </w:style>
  <w:style w:type="paragraph" w:customStyle="1" w:styleId="Cornernotation-Item">
    <w:name w:val="Corner notation - Item"/>
    <w:basedOn w:val="Venuedate"/>
    <w:qFormat/>
    <w:rsid w:val="00A96B21"/>
    <w:rPr>
      <w:b/>
    </w:rPr>
  </w:style>
  <w:style w:type="paragraph" w:styleId="Sous-titre">
    <w:name w:val="Subtitle"/>
    <w:basedOn w:val="Normal"/>
    <w:next w:val="Normal"/>
    <w:link w:val="Sous-titre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ous-titreCar">
    <w:name w:val="Sous-titre Car"/>
    <w:basedOn w:val="Policepardfaut"/>
    <w:link w:val="Sous-titr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Titre2Car">
    <w:name w:val="Titre 2 Car"/>
    <w:basedOn w:val="Policepardfaut"/>
    <w:link w:val="Titre2"/>
    <w:uiPriority w:val="9"/>
    <w:rsid w:val="00B93533"/>
    <w:rPr>
      <w:rFonts w:ascii="Times New Roman Bold" w:eastAsiaTheme="majorEastAsia" w:hAnsi="Times New Roman Bold" w:cstheme="majorBidi"/>
      <w:b/>
      <w:kern w:val="0"/>
      <w:sz w:val="24"/>
      <w:szCs w:val="26"/>
      <w:lang w:val="en-US"/>
    </w:rPr>
  </w:style>
  <w:style w:type="character" w:styleId="Textedelespacerserv">
    <w:name w:val="Placeholder Text"/>
    <w:basedOn w:val="Policepardfaut"/>
    <w:uiPriority w:val="99"/>
    <w:semiHidden/>
    <w:rsid w:val="00995DDC"/>
    <w:rPr>
      <w:color w:val="808080"/>
    </w:rPr>
  </w:style>
  <w:style w:type="paragraph" w:styleId="En-tte">
    <w:name w:val="header"/>
    <w:basedOn w:val="Normal"/>
    <w:link w:val="En-tteCar"/>
    <w:rsid w:val="00B93533"/>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B93533"/>
    <w:rPr>
      <w:rFonts w:ascii="Times New Roman" w:eastAsia="SimSun" w:hAnsi="Times New Roman" w:cs="Times New Roman"/>
      <w:kern w:val="0"/>
      <w:sz w:val="20"/>
      <w:lang w:val="en-US"/>
    </w:rPr>
  </w:style>
  <w:style w:type="paragraph" w:styleId="Pieddepage">
    <w:name w:val="footer"/>
    <w:basedOn w:val="Normal"/>
    <w:link w:val="PieddepageCar"/>
    <w:uiPriority w:val="99"/>
    <w:rsid w:val="00B93533"/>
    <w:pPr>
      <w:tabs>
        <w:tab w:val="center" w:pos="4680"/>
        <w:tab w:val="right" w:pos="9360"/>
      </w:tabs>
    </w:pPr>
    <w:rPr>
      <w:sz w:val="20"/>
    </w:rPr>
  </w:style>
  <w:style w:type="character" w:customStyle="1" w:styleId="PieddepageCar">
    <w:name w:val="Pied de page Car"/>
    <w:basedOn w:val="Policepardfaut"/>
    <w:link w:val="Pieddepage"/>
    <w:uiPriority w:val="99"/>
    <w:rsid w:val="00B93533"/>
    <w:rPr>
      <w:rFonts w:ascii="Times New Roman" w:eastAsia="SimSun" w:hAnsi="Times New Roman" w:cs="Times New Roman"/>
      <w:kern w:val="0"/>
      <w:sz w:val="20"/>
      <w:lang w:val="en-US"/>
    </w:rPr>
  </w:style>
  <w:style w:type="character" w:customStyle="1" w:styleId="Titre3Car">
    <w:name w:val="Titre 3 Car"/>
    <w:basedOn w:val="Policepardfaut"/>
    <w:link w:val="Titre3"/>
    <w:uiPriority w:val="9"/>
    <w:rsid w:val="00B93533"/>
    <w:rPr>
      <w:rFonts w:ascii="Times New Roman" w:eastAsiaTheme="majorEastAsia" w:hAnsi="Times New Roman" w:cs="Times New Roman"/>
      <w:b/>
      <w:bCs/>
      <w:kern w:val="0"/>
      <w:lang w:val="en-US"/>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itre4Car">
    <w:name w:val="Titre 4 Car"/>
    <w:basedOn w:val="Policepardfaut"/>
    <w:link w:val="Titre4"/>
    <w:uiPriority w:val="9"/>
    <w:rsid w:val="00B93533"/>
    <w:rPr>
      <w:rFonts w:ascii="Times New Roman" w:eastAsiaTheme="majorEastAsia" w:hAnsi="Times New Roman" w:cs="Times New Roman"/>
      <w:b/>
      <w:bCs/>
      <w:kern w:val="0"/>
      <w:lang w:val="en-US"/>
    </w:rPr>
  </w:style>
  <w:style w:type="character" w:customStyle="1" w:styleId="Titre5Car">
    <w:name w:val="Titre 5 Car"/>
    <w:aliases w:val="Heading 5 - GTI Car"/>
    <w:basedOn w:val="Policepardfaut"/>
    <w:link w:val="Titre5"/>
    <w:uiPriority w:val="9"/>
    <w:rsid w:val="00B93533"/>
    <w:rPr>
      <w:rFonts w:ascii="Times New Roman" w:eastAsiaTheme="majorEastAsia" w:hAnsi="Times New Roman" w:cs="Times New Roman"/>
      <w:i/>
      <w:iCs/>
      <w:kern w:val="0"/>
      <w:lang w:val="en-US"/>
    </w:rPr>
  </w:style>
  <w:style w:type="character" w:styleId="Marquedecommentaire">
    <w:name w:val="annotation reference"/>
    <w:basedOn w:val="Policepardfaut"/>
    <w:uiPriority w:val="99"/>
    <w:semiHidden/>
    <w:unhideWhenUsed/>
    <w:rsid w:val="00B93533"/>
    <w:rPr>
      <w:sz w:val="16"/>
      <w:szCs w:val="16"/>
    </w:rPr>
  </w:style>
  <w:style w:type="paragraph" w:styleId="Commentaire">
    <w:name w:val="annotation text"/>
    <w:basedOn w:val="Normal"/>
    <w:link w:val="CommentaireCar"/>
    <w:uiPriority w:val="99"/>
    <w:rsid w:val="00B93533"/>
    <w:rPr>
      <w:sz w:val="20"/>
      <w:szCs w:val="20"/>
    </w:rPr>
  </w:style>
  <w:style w:type="character" w:customStyle="1" w:styleId="CommentaireCar">
    <w:name w:val="Commentaire Car"/>
    <w:basedOn w:val="Policepardfaut"/>
    <w:link w:val="Commentaire"/>
    <w:uiPriority w:val="99"/>
    <w:rsid w:val="00B93533"/>
    <w:rPr>
      <w:rFonts w:ascii="Times New Roman" w:eastAsia="SimSun" w:hAnsi="Times New Roman" w:cs="Times New Roman"/>
      <w:kern w:val="0"/>
      <w:sz w:val="20"/>
      <w:szCs w:val="20"/>
      <w:lang w:val="en-US"/>
    </w:rPr>
  </w:style>
  <w:style w:type="paragraph" w:styleId="Objetducommentaire">
    <w:name w:val="annotation subject"/>
    <w:basedOn w:val="Commentaire"/>
    <w:next w:val="Commentaire"/>
    <w:link w:val="ObjetducommentaireCar"/>
    <w:uiPriority w:val="99"/>
    <w:semiHidden/>
    <w:unhideWhenUsed/>
    <w:rsid w:val="00B93533"/>
    <w:rPr>
      <w:b/>
      <w:bCs/>
    </w:rPr>
  </w:style>
  <w:style w:type="character" w:customStyle="1" w:styleId="ObjetducommentaireCar">
    <w:name w:val="Objet du commentaire Car"/>
    <w:basedOn w:val="CommentaireCar"/>
    <w:link w:val="Objetducommentaire"/>
    <w:uiPriority w:val="99"/>
    <w:semiHidden/>
    <w:rsid w:val="00B93533"/>
    <w:rPr>
      <w:rFonts w:ascii="Times New Roman" w:eastAsia="SimSun" w:hAnsi="Times New Roman" w:cs="Times New Roman"/>
      <w:b/>
      <w:bCs/>
      <w:kern w:val="0"/>
      <w:sz w:val="20"/>
      <w:szCs w:val="20"/>
      <w:lang w:val="en-US"/>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Aucuneliste"/>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Titre6Car">
    <w:name w:val="Titre 6 Car"/>
    <w:basedOn w:val="Policepardfaut"/>
    <w:link w:val="Titre6"/>
    <w:semiHidden/>
    <w:rsid w:val="00B93533"/>
    <w:rPr>
      <w:rFonts w:ascii="Times New Roman" w:eastAsia="SimSun" w:hAnsi="Times New Roman" w:cs="Times New Roman"/>
      <w:bCs/>
      <w:kern w:val="0"/>
      <w:sz w:val="24"/>
      <w:lang w:val="en-US"/>
    </w:rPr>
  </w:style>
  <w:style w:type="character" w:customStyle="1" w:styleId="Titre7Car">
    <w:name w:val="Titre 7 Car"/>
    <w:basedOn w:val="Policepardfaut"/>
    <w:link w:val="Titre7"/>
    <w:semiHidden/>
    <w:rsid w:val="00B93533"/>
    <w:rPr>
      <w:rFonts w:ascii="Times New Roman" w:eastAsia="SimSun" w:hAnsi="Times New Roman" w:cs="Times New Roman"/>
      <w:b/>
      <w:snapToGrid w:val="0"/>
      <w:kern w:val="0"/>
      <w:u w:val="single"/>
      <w:lang w:val="en-US"/>
    </w:rPr>
  </w:style>
  <w:style w:type="character" w:customStyle="1" w:styleId="Titre8Car">
    <w:name w:val="Titre 8 Car"/>
    <w:basedOn w:val="Policepardfaut"/>
    <w:link w:val="Titre8"/>
    <w:semiHidden/>
    <w:rsid w:val="00B93533"/>
    <w:rPr>
      <w:rFonts w:ascii="Times New Roman" w:eastAsia="SimSun" w:hAnsi="Times New Roman" w:cs="Times New Roman"/>
      <w:b/>
      <w:snapToGrid w:val="0"/>
      <w:kern w:val="0"/>
      <w:u w:val="single"/>
      <w:lang w:val="en-US"/>
    </w:rPr>
  </w:style>
  <w:style w:type="character" w:customStyle="1" w:styleId="Titre9Car">
    <w:name w:val="Titre 9 Car"/>
    <w:basedOn w:val="Policepardfaut"/>
    <w:link w:val="Titre9"/>
    <w:semiHidden/>
    <w:rsid w:val="00B93533"/>
    <w:rPr>
      <w:rFonts w:ascii="Times New Roman" w:eastAsia="SimSun" w:hAnsi="Times New Roman" w:cs="Times New Roman"/>
      <w:snapToGrid w:val="0"/>
      <w:kern w:val="0"/>
      <w:u w:val="single"/>
      <w:lang w:val="en-US"/>
    </w:rPr>
  </w:style>
  <w:style w:type="character" w:styleId="Lienhypertexte">
    <w:name w:val="Hyperlink"/>
    <w:basedOn w:val="Policepardfaut"/>
    <w:uiPriority w:val="99"/>
    <w:unhideWhenUsed/>
    <w:rsid w:val="00B93533"/>
    <w:rPr>
      <w:rFonts w:ascii="Times New Roman" w:hAnsi="Times New Roman"/>
      <w:color w:val="0563C1" w:themeColor="hyperlink"/>
      <w:u w:val="single"/>
    </w:rPr>
  </w:style>
  <w:style w:type="paragraph" w:styleId="Liste">
    <w:name w:val="List"/>
    <w:basedOn w:val="Normal"/>
    <w:semiHidden/>
    <w:rsid w:val="00B93533"/>
    <w:pPr>
      <w:contextualSpacing/>
    </w:pPr>
  </w:style>
  <w:style w:type="paragraph" w:styleId="Paragraphedeliste">
    <w:name w:val="List Paragraph"/>
    <w:basedOn w:val="Normal"/>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B3412B"/>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rPr>
  </w:style>
  <w:style w:type="character" w:customStyle="1" w:styleId="ui-provider">
    <w:name w:val="ui-provider"/>
    <w:basedOn w:val="Policepardfaut"/>
    <w:rsid w:val="00B3412B"/>
  </w:style>
  <w:style w:type="paragraph" w:customStyle="1" w:styleId="Para1RecommendationDecision">
    <w:name w:val="Para 1 Recommendation/Decision"/>
    <w:basedOn w:val="Para1"/>
    <w:qFormat/>
    <w:rsid w:val="00B3412B"/>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Normal"/>
    <w:qFormat/>
    <w:rsid w:val="00B3412B"/>
    <w:pPr>
      <w:tabs>
        <w:tab w:val="clear" w:pos="567"/>
        <w:tab w:val="clear" w:pos="1134"/>
        <w:tab w:val="clear" w:pos="2268"/>
      </w:tabs>
      <w:spacing w:before="120" w:after="120"/>
      <w:ind w:left="567" w:firstLine="567"/>
    </w:pPr>
    <w:rPr>
      <w:rFonts w:eastAsia="Times New Roman"/>
      <w:szCs w:val="24"/>
      <w:lang w:val="en-GB"/>
    </w:rPr>
  </w:style>
  <w:style w:type="paragraph" w:styleId="Rvision">
    <w:name w:val="Revision"/>
    <w:hidden/>
    <w:uiPriority w:val="99"/>
    <w:semiHidden/>
    <w:rsid w:val="00D8395A"/>
    <w:pPr>
      <w:spacing w:after="0" w:line="240" w:lineRule="auto"/>
    </w:pPr>
    <w:rPr>
      <w:rFonts w:ascii="Times New Roman" w:eastAsia="SimSun" w:hAnsi="Times New Roman" w:cs="Times New Roman"/>
      <w:kern w:val="0"/>
      <w:lang w:val="en-US"/>
    </w:rPr>
  </w:style>
  <w:style w:type="paragraph" w:styleId="Textedebulles">
    <w:name w:val="Balloon Text"/>
    <w:basedOn w:val="Normal"/>
    <w:link w:val="TextedebullesCar"/>
    <w:uiPriority w:val="99"/>
    <w:semiHidden/>
    <w:unhideWhenUsed/>
    <w:rsid w:val="002F6319"/>
    <w:rPr>
      <w:rFonts w:ascii="Tahoma" w:hAnsi="Tahoma" w:cs="Tahoma"/>
      <w:sz w:val="16"/>
      <w:szCs w:val="16"/>
    </w:rPr>
  </w:style>
  <w:style w:type="character" w:customStyle="1" w:styleId="TextedebullesCar">
    <w:name w:val="Texte de bulles Car"/>
    <w:basedOn w:val="Policepardfaut"/>
    <w:link w:val="Textedebulles"/>
    <w:uiPriority w:val="99"/>
    <w:semiHidden/>
    <w:rsid w:val="002F6319"/>
    <w:rPr>
      <w:rFonts w:ascii="Tahoma" w:eastAsia="SimSun" w:hAnsi="Tahoma" w:cs="Tahoma"/>
      <w:kern w:val="0"/>
      <w:sz w:val="16"/>
      <w:szCs w:val="16"/>
      <w:lang w:val="en-US"/>
    </w:rPr>
  </w:style>
  <w:style w:type="paragraph" w:styleId="Notedefin">
    <w:name w:val="endnote text"/>
    <w:basedOn w:val="Normal"/>
    <w:link w:val="NotedefinCar"/>
    <w:uiPriority w:val="99"/>
    <w:semiHidden/>
    <w:unhideWhenUsed/>
    <w:rsid w:val="003F488A"/>
    <w:rPr>
      <w:sz w:val="20"/>
      <w:szCs w:val="20"/>
    </w:rPr>
  </w:style>
  <w:style w:type="character" w:customStyle="1" w:styleId="NotedefinCar">
    <w:name w:val="Note de fin Car"/>
    <w:basedOn w:val="Policepardfaut"/>
    <w:link w:val="Notedefin"/>
    <w:uiPriority w:val="99"/>
    <w:semiHidden/>
    <w:rsid w:val="003F488A"/>
    <w:rPr>
      <w:rFonts w:ascii="Times New Roman" w:eastAsia="SimSun" w:hAnsi="Times New Roman" w:cs="Times New Roman"/>
      <w:kern w:val="0"/>
      <w:sz w:val="20"/>
      <w:szCs w:val="20"/>
      <w:lang w:val="en-US"/>
    </w:rPr>
  </w:style>
  <w:style w:type="character" w:styleId="Appeldenotedefin">
    <w:name w:val="endnote reference"/>
    <w:basedOn w:val="Policepardfaut"/>
    <w:uiPriority w:val="99"/>
    <w:semiHidden/>
    <w:unhideWhenUsed/>
    <w:rsid w:val="003F488A"/>
    <w:rPr>
      <w:vertAlign w:val="superscript"/>
    </w:rPr>
  </w:style>
  <w:style w:type="character" w:styleId="Mentionnonrsolue">
    <w:name w:val="Unresolved Mention"/>
    <w:basedOn w:val="Policepardfaut"/>
    <w:uiPriority w:val="99"/>
    <w:semiHidden/>
    <w:unhideWhenUsed/>
    <w:rsid w:val="00AD1125"/>
    <w:rPr>
      <w:color w:val="605E5C"/>
      <w:shd w:val="clear" w:color="auto" w:fill="E1DFDD"/>
    </w:rPr>
  </w:style>
  <w:style w:type="character" w:styleId="Lienhypertextesuivivisit">
    <w:name w:val="FollowedHyperlink"/>
    <w:basedOn w:val="Policepardfaut"/>
    <w:uiPriority w:val="99"/>
    <w:semiHidden/>
    <w:unhideWhenUsed/>
    <w:rsid w:val="00A749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5909">
      <w:bodyDiv w:val="1"/>
      <w:marLeft w:val="0"/>
      <w:marRight w:val="0"/>
      <w:marTop w:val="0"/>
      <w:marBottom w:val="0"/>
      <w:divBdr>
        <w:top w:val="none" w:sz="0" w:space="0" w:color="auto"/>
        <w:left w:val="none" w:sz="0" w:space="0" w:color="auto"/>
        <w:bottom w:val="none" w:sz="0" w:space="0" w:color="auto"/>
        <w:right w:val="none" w:sz="0" w:space="0" w:color="auto"/>
      </w:divBdr>
    </w:div>
    <w:div w:id="69158710">
      <w:bodyDiv w:val="1"/>
      <w:marLeft w:val="0"/>
      <w:marRight w:val="0"/>
      <w:marTop w:val="0"/>
      <w:marBottom w:val="0"/>
      <w:divBdr>
        <w:top w:val="none" w:sz="0" w:space="0" w:color="auto"/>
        <w:left w:val="none" w:sz="0" w:space="0" w:color="auto"/>
        <w:bottom w:val="none" w:sz="0" w:space="0" w:color="auto"/>
        <w:right w:val="none" w:sz="0" w:space="0" w:color="auto"/>
      </w:divBdr>
    </w:div>
    <w:div w:id="153761446">
      <w:bodyDiv w:val="1"/>
      <w:marLeft w:val="0"/>
      <w:marRight w:val="0"/>
      <w:marTop w:val="0"/>
      <w:marBottom w:val="0"/>
      <w:divBdr>
        <w:top w:val="none" w:sz="0" w:space="0" w:color="auto"/>
        <w:left w:val="none" w:sz="0" w:space="0" w:color="auto"/>
        <w:bottom w:val="none" w:sz="0" w:space="0" w:color="auto"/>
        <w:right w:val="none" w:sz="0" w:space="0" w:color="auto"/>
      </w:divBdr>
    </w:div>
    <w:div w:id="1691637396">
      <w:bodyDiv w:val="1"/>
      <w:marLeft w:val="0"/>
      <w:marRight w:val="0"/>
      <w:marTop w:val="0"/>
      <w:marBottom w:val="0"/>
      <w:divBdr>
        <w:top w:val="none" w:sz="0" w:space="0" w:color="auto"/>
        <w:left w:val="none" w:sz="0" w:space="0" w:color="auto"/>
        <w:bottom w:val="none" w:sz="0" w:space="0" w:color="auto"/>
        <w:right w:val="none" w:sz="0" w:space="0" w:color="auto"/>
      </w:divBdr>
    </w:div>
    <w:div w:id="1962805559">
      <w:bodyDiv w:val="1"/>
      <w:marLeft w:val="0"/>
      <w:marRight w:val="0"/>
      <w:marTop w:val="0"/>
      <w:marBottom w:val="0"/>
      <w:divBdr>
        <w:top w:val="none" w:sz="0" w:space="0" w:color="auto"/>
        <w:left w:val="none" w:sz="0" w:space="0" w:color="auto"/>
        <w:bottom w:val="none" w:sz="0" w:space="0" w:color="auto"/>
        <w:right w:val="none" w:sz="0" w:space="0" w:color="auto"/>
      </w:divBdr>
    </w:div>
    <w:div w:id="211000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uments/CBD/COP/16/1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recommendations/sbstta-25/sbstta-25-rec-07-fr.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doc/decisions/cop-15/cop-15-dec-23-fr.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bd.int/doc/decisions/cop-15/cop-15-dec-19-fr.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4/cop-14-dec-07-fr.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ecision/cop/default.shtml?id=7749" TargetMode="External"/><Relationship Id="rId2" Type="http://schemas.openxmlformats.org/officeDocument/2006/relationships/hyperlink" Target="https://www.cbd.int/doc/decisions/cop-14/cop-14-dec-07-fr.pdf" TargetMode="External"/><Relationship Id="rId1" Type="http://schemas.openxmlformats.org/officeDocument/2006/relationships/hyperlink" Target="https://www.swm-programme.in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DF4"/>
    <w:rsid w:val="00073242"/>
    <w:rsid w:val="00134F99"/>
    <w:rsid w:val="002C56FF"/>
    <w:rsid w:val="002D1F36"/>
    <w:rsid w:val="00303F0B"/>
    <w:rsid w:val="00304938"/>
    <w:rsid w:val="00356232"/>
    <w:rsid w:val="004202A4"/>
    <w:rsid w:val="00445AE3"/>
    <w:rsid w:val="004B4927"/>
    <w:rsid w:val="00517151"/>
    <w:rsid w:val="006C1F96"/>
    <w:rsid w:val="00764DF4"/>
    <w:rsid w:val="007B42AD"/>
    <w:rsid w:val="00811444"/>
    <w:rsid w:val="00832CAE"/>
    <w:rsid w:val="008730DE"/>
    <w:rsid w:val="00905044"/>
    <w:rsid w:val="00A30018"/>
    <w:rsid w:val="00B41BF6"/>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0D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730DE"/>
    <w:rPr>
      <w:color w:val="808080"/>
    </w:rPr>
  </w:style>
  <w:style w:type="paragraph" w:customStyle="1" w:styleId="CE78D6453E1E4F89A1372586409BE006">
    <w:name w:val="CE78D6453E1E4F89A1372586409BE006"/>
    <w:rsid w:val="008730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F8CF7-E15E-4355-990E-8B180629F573}">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AD6A4D71-9822-4D9B-B007-A03C77B64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0D90B8-EE00-489E-A1F2-6A7BACD6C582}">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C:\Users\VLEFEBVR\United Nations\MEA-CBD-Editing Team - Documents\Meeting documents\COP\cop-16\templates&amp;status\template-cop-16-en.dotm</Template>
  <TotalTime>23</TotalTime>
  <Pages>5</Pages>
  <Words>2333</Words>
  <Characters>12599</Characters>
  <Application>Microsoft Office Word</Application>
  <DocSecurity>0</DocSecurity>
  <Lines>193</Lines>
  <Paragraphs>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Gestion durable de la faune et de la flore sauvages</vt:lpstr>
      <vt:lpstr>Gestion durable de la faune et de la flore sauvages</vt:lpstr>
    </vt:vector>
  </TitlesOfParts>
  <Company/>
  <LinksUpToDate>false</LinksUpToDate>
  <CharactersWithSpaces>14851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le 25 octobre 2024</dc:title>
  <dc:subject>CBD/COP/DEC/16/15</dc:subject>
  <dc:creator>Secretariat of the Convention on Biological Diversity</dc:creator>
  <cp:keywords>Conference of the Parties to the Convention on Biological Diversity</cp:keywords>
  <cp:lastModifiedBy>Reviewer</cp:lastModifiedBy>
  <cp:revision>10</cp:revision>
  <dcterms:created xsi:type="dcterms:W3CDTF">2025-03-15T02:04:00Z</dcterms:created>
  <dcterms:modified xsi:type="dcterms:W3CDTF">2025-03-15T02:57:00Z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