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CF5107" w:rsidRPr="00E0188B" w14:paraId="1AD7EC2A" w14:textId="77777777" w:rsidTr="009D0EB4">
        <w:trPr>
          <w:trHeight w:val="850"/>
        </w:trPr>
        <w:tc>
          <w:tcPr>
            <w:tcW w:w="975" w:type="dxa"/>
            <w:shd w:val="clear" w:color="auto" w:fill="auto"/>
            <w:vAlign w:val="bottom"/>
          </w:tcPr>
          <w:p w14:paraId="52E0C1BB" w14:textId="77777777" w:rsidR="00CF5107" w:rsidRPr="00E0188B" w:rsidRDefault="00CF5107" w:rsidP="009D0EB4">
            <w:pPr>
              <w:pStyle w:val="AASmallLogo"/>
            </w:pPr>
            <w:bookmarkStart w:id="0" w:name="_Hlk137651738"/>
            <w:r>
              <w:rPr>
                <w:noProof/>
              </w:rPr>
              <w:drawing>
                <wp:inline distT="0" distB="0" distL="0" distR="0" wp14:anchorId="3D687B89" wp14:editId="6C58073D">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1374F296" w14:textId="77777777" w:rsidR="00CF5107" w:rsidRPr="00E0188B" w:rsidRDefault="00CF5107" w:rsidP="009D0EB4">
            <w:pPr>
              <w:pStyle w:val="AASmallLogo"/>
            </w:pPr>
          </w:p>
        </w:tc>
        <w:tc>
          <w:tcPr>
            <w:tcW w:w="1434" w:type="dxa"/>
            <w:shd w:val="clear" w:color="auto" w:fill="auto"/>
            <w:noWrap/>
            <w:vAlign w:val="bottom"/>
          </w:tcPr>
          <w:p w14:paraId="088B1B32" w14:textId="77777777" w:rsidR="00CF5107" w:rsidRPr="00E0188B" w:rsidRDefault="00CF5107" w:rsidP="009D0EB4">
            <w:pPr>
              <w:pStyle w:val="AASmallLogo"/>
            </w:pPr>
            <w:r>
              <w:rPr>
                <w:noProof/>
              </w:rPr>
              <w:drawing>
                <wp:inline distT="0" distB="0" distL="0" distR="0" wp14:anchorId="081AB283" wp14:editId="033F0F1B">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t xml:space="preserve"> </w:t>
            </w:r>
          </w:p>
          <w:p w14:paraId="5B9EF134" w14:textId="77777777" w:rsidR="00CF5107" w:rsidRPr="00E0188B" w:rsidRDefault="00CF5107" w:rsidP="009D0EB4">
            <w:pPr>
              <w:pStyle w:val="AASmallLogo"/>
            </w:pPr>
          </w:p>
        </w:tc>
        <w:tc>
          <w:tcPr>
            <w:tcW w:w="8073" w:type="dxa"/>
            <w:shd w:val="clear" w:color="auto" w:fill="auto"/>
            <w:vAlign w:val="bottom"/>
          </w:tcPr>
          <w:p w14:paraId="7B983FE3" w14:textId="6AED579A" w:rsidR="00CF5107" w:rsidRPr="00E0188B" w:rsidRDefault="00CF5107" w:rsidP="009D0EB4">
            <w:pPr>
              <w:pStyle w:val="ABSymbol"/>
              <w:rPr>
                <w:sz w:val="22"/>
                <w:szCs w:val="22"/>
              </w:rPr>
            </w:pPr>
            <w:r w:rsidRPr="00E0188B">
              <w:rPr>
                <w:sz w:val="22"/>
              </w:rPr>
              <w:fldChar w:fldCharType="begin"/>
            </w:r>
            <w:r w:rsidRPr="00E0188B">
              <w:rPr>
                <w:sz w:val="22"/>
              </w:rPr>
              <w:instrText xml:space="preserve"> DOCPROPERTY Subject \* MERGEFORMAT </w:instrText>
            </w:r>
            <w:r w:rsidRPr="00E0188B">
              <w:rPr>
                <w:sz w:val="22"/>
              </w:rPr>
              <w:fldChar w:fldCharType="separate"/>
            </w:r>
            <w:r w:rsidR="002F528B" w:rsidRPr="002F528B">
              <w:rPr>
                <w:sz w:val="40"/>
              </w:rPr>
              <w:t>CBD</w:t>
            </w:r>
            <w:r w:rsidR="002F528B">
              <w:rPr>
                <w:sz w:val="22"/>
              </w:rPr>
              <w:t>/COP/DEC/16/21</w:t>
            </w:r>
            <w:r w:rsidRPr="00E0188B">
              <w:rPr>
                <w:sz w:val="22"/>
              </w:rPr>
              <w:fldChar w:fldCharType="end"/>
            </w:r>
          </w:p>
        </w:tc>
      </w:tr>
    </w:tbl>
    <w:p w14:paraId="688BD51B" w14:textId="77777777" w:rsidR="00CF5107" w:rsidRPr="00E0188B" w:rsidRDefault="00CF5107" w:rsidP="00CF510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CF5107" w:rsidRPr="00E0188B" w14:paraId="3B9447D6" w14:textId="77777777" w:rsidTr="009D0EB4">
        <w:trPr>
          <w:trHeight w:val="1814"/>
        </w:trPr>
        <w:tc>
          <w:tcPr>
            <w:tcW w:w="7370" w:type="dxa"/>
            <w:shd w:val="clear" w:color="auto" w:fill="auto"/>
          </w:tcPr>
          <w:p w14:paraId="577B6272" w14:textId="77777777" w:rsidR="00CF5107" w:rsidRPr="00E0188B" w:rsidRDefault="00CF5107" w:rsidP="009D0EB4">
            <w:pPr>
              <w:pStyle w:val="ACLargeLogo"/>
            </w:pPr>
            <w:r>
              <w:rPr>
                <w:noProof/>
              </w:rPr>
              <w:drawing>
                <wp:inline distT="0" distB="0" distL="0" distR="0" wp14:anchorId="2533252D" wp14:editId="3625E2D4">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t xml:space="preserve"> </w:t>
            </w:r>
          </w:p>
          <w:p w14:paraId="337C8FFF" w14:textId="77777777" w:rsidR="00CF5107" w:rsidRPr="00E0188B" w:rsidRDefault="00CF5107" w:rsidP="009D0EB4">
            <w:pPr>
              <w:pStyle w:val="ACLargeLogo"/>
            </w:pPr>
          </w:p>
        </w:tc>
        <w:tc>
          <w:tcPr>
            <w:tcW w:w="3112" w:type="dxa"/>
            <w:shd w:val="clear" w:color="auto" w:fill="auto"/>
          </w:tcPr>
          <w:p w14:paraId="4CAD08A5" w14:textId="77777777" w:rsidR="00CF5107" w:rsidRPr="00E0188B" w:rsidRDefault="00CF5107" w:rsidP="009D0EB4">
            <w:pPr>
              <w:pStyle w:val="AEDistrNormal"/>
            </w:pPr>
            <w:r>
              <w:t xml:space="preserve">Distr. </w:t>
            </w:r>
            <w:sdt>
              <w:sdtPr>
                <w:alias w:val="DistributionType"/>
                <w:id w:val="-943536495"/>
                <w:placeholder>
                  <w:docPart w:val="5ECC4B33A4584799BDD3582843DEE59F"/>
                </w:placeholder>
                <w15:color w:val="800000"/>
              </w:sdtPr>
              <w:sdtContent>
                <w:r>
                  <w:t>general</w:t>
                </w:r>
              </w:sdtContent>
            </w:sdt>
            <w:r>
              <w:t xml:space="preserve"> </w:t>
            </w:r>
          </w:p>
          <w:p w14:paraId="25318812" w14:textId="58A36D8B" w:rsidR="00CF5107" w:rsidRPr="00E0188B" w:rsidRDefault="00000000" w:rsidP="009D0EB4">
            <w:pPr>
              <w:pStyle w:val="AEDistrNormal"/>
            </w:pPr>
            <w:sdt>
              <w:sdtPr>
                <w:alias w:val="DistributionDate"/>
                <w:id w:val="1090040067"/>
                <w:placeholder>
                  <w:docPart w:val="14EC21178CC941888B0263E7190EB63D"/>
                </w:placeholder>
                <w15:color w:val="800000"/>
              </w:sdtPr>
              <w:sdtContent>
                <w:r>
                  <w:t>1 de noviembre de 2024</w:t>
                </w:r>
              </w:sdtContent>
            </w:sdt>
          </w:p>
          <w:p w14:paraId="783DE41E" w14:textId="77777777" w:rsidR="00CF5107" w:rsidRPr="00E0188B" w:rsidRDefault="00000000" w:rsidP="009D0EB4">
            <w:pPr>
              <w:pStyle w:val="AEDistrNormal6pt"/>
            </w:pPr>
            <w:sdt>
              <w:sdtPr>
                <w:alias w:val="DistributionLanguage"/>
                <w:id w:val="-1478219683"/>
                <w:placeholder>
                  <w:docPart w:val="7B3683FCD1484C5B981914599BBA6F4A"/>
                </w:placeholder>
                <w15:color w:val="800000"/>
              </w:sdtPr>
              <w:sdtContent>
                <w:r>
                  <w:t>Español</w:t>
                </w:r>
                <w:r>
                  <w:br/>
                  <w:t>Original: inglés</w:t>
                </w:r>
              </w:sdtContent>
            </w:sdt>
            <w:r>
              <w:t xml:space="preserve"> </w:t>
            </w:r>
          </w:p>
          <w:p w14:paraId="79653AF8" w14:textId="77777777" w:rsidR="00CF5107" w:rsidRPr="00E0188B" w:rsidRDefault="00CF5107" w:rsidP="009D0EB4">
            <w:pPr>
              <w:pStyle w:val="AEDistrNormal6pt"/>
            </w:pPr>
          </w:p>
        </w:tc>
      </w:tr>
    </w:tbl>
    <w:p w14:paraId="4294AD71" w14:textId="77777777" w:rsidR="00CF5107" w:rsidRPr="00E0188B" w:rsidRDefault="00CF5107" w:rsidP="00CF510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CF5107" w:rsidRPr="00E0188B" w14:paraId="1D1B5A6B" w14:textId="77777777" w:rsidTr="009D0EB4">
        <w:trPr>
          <w:trHeight w:val="57"/>
        </w:trPr>
        <w:tc>
          <w:tcPr>
            <w:tcW w:w="6094" w:type="dxa"/>
            <w:shd w:val="clear" w:color="auto" w:fill="auto"/>
          </w:tcPr>
          <w:p w14:paraId="5CCE9394" w14:textId="77777777" w:rsidR="00CF5107" w:rsidRPr="00E0188B" w:rsidRDefault="00000000" w:rsidP="009D0EB4">
            <w:pPr>
              <w:pStyle w:val="AFCorN12Bold"/>
            </w:pPr>
            <w:sdt>
              <w:sdtPr>
                <w:rPr>
                  <w:bCs/>
                </w:rPr>
                <w:alias w:val="CorNot1Text"/>
                <w:id w:val="1971018176"/>
                <w:placeholder>
                  <w:docPart w:val="3073E40E67374A918DD8794E37E1F3A8"/>
                </w:placeholder>
                <w15:color w:val="800000"/>
                <w:text w:multiLine="1"/>
              </w:sdtPr>
              <w:sdtContent>
                <w:r>
                  <w:t xml:space="preserve">Conferencia de las Partes en el </w:t>
                </w:r>
                <w:r>
                  <w:br/>
                  <w:t>Convenio sobre la Diversidad Biológica</w:t>
                </w:r>
              </w:sdtContent>
            </w:sdt>
            <w:r>
              <w:t xml:space="preserve"> </w:t>
            </w:r>
          </w:p>
          <w:p w14:paraId="7C007233" w14:textId="77777777" w:rsidR="00CF5107" w:rsidRPr="00E0188B" w:rsidRDefault="00000000" w:rsidP="009D0EB4">
            <w:pPr>
              <w:pStyle w:val="AFCorNBold"/>
            </w:pPr>
            <w:sdt>
              <w:sdtPr>
                <w:alias w:val="CorNot1TextPart2"/>
                <w:id w:val="-1728751740"/>
                <w:placeholder>
                  <w:docPart w:val="B6F3983F56BC40A7A359B7FD5AD16591"/>
                </w:placeholder>
                <w15:color w:val="800000"/>
                <w:text w:multiLine="1"/>
              </w:sdtPr>
              <w:sdtContent>
                <w:r>
                  <w:t>16ª reunión</w:t>
                </w:r>
              </w:sdtContent>
            </w:sdt>
            <w:r>
              <w:t xml:space="preserve"> </w:t>
            </w:r>
          </w:p>
          <w:p w14:paraId="3829FBC6" w14:textId="77777777" w:rsidR="00CF5107" w:rsidRPr="00E0188B" w:rsidRDefault="00000000" w:rsidP="009D0EB4">
            <w:pPr>
              <w:pStyle w:val="AFCorNBold"/>
              <w:rPr>
                <w:b w:val="0"/>
                <w:bCs/>
              </w:rPr>
            </w:pPr>
            <w:sdt>
              <w:sdtPr>
                <w:alias w:val="CorNot1VenueDate"/>
                <w:id w:val="152953731"/>
                <w:placeholder>
                  <w:docPart w:val="A7E45F04564D4D178AF03B26E80ECC65"/>
                </w:placeholder>
                <w15:color w:val="800000"/>
              </w:sdtPr>
              <w:sdtEndPr>
                <w:rPr>
                  <w:b w:val="0"/>
                  <w:bCs/>
                </w:rPr>
              </w:sdtEndPr>
              <w:sdtContent>
                <w:r>
                  <w:rPr>
                    <w:b w:val="0"/>
                  </w:rPr>
                  <w:t>Cali (Colombia), 21 de octubre a 1 de noviembre de 2024</w:t>
                </w:r>
              </w:sdtContent>
            </w:sdt>
            <w:r>
              <w:rPr>
                <w:b w:val="0"/>
              </w:rPr>
              <w:t xml:space="preserve"> </w:t>
            </w:r>
          </w:p>
          <w:p w14:paraId="3DACAE7A" w14:textId="5F538097" w:rsidR="00CF5107" w:rsidRPr="00E0188B" w:rsidRDefault="00000000" w:rsidP="009D0EB4">
            <w:pPr>
              <w:pStyle w:val="AFCorNNormal"/>
            </w:pPr>
            <w:sdt>
              <w:sdtPr>
                <w:alias w:val="CorNot1AgItem"/>
                <w:id w:val="287018184"/>
                <w:placeholder>
                  <w:docPart w:val="77AF70AF734B42D8BB501F7A1EC3D277"/>
                </w:placeholder>
                <w15:color w:val="800000"/>
                <w:text/>
              </w:sdtPr>
              <w:sdtContent>
                <w:r>
                  <w:t>Tema 24 del programa</w:t>
                </w:r>
              </w:sdtContent>
            </w:sdt>
            <w:r>
              <w:t xml:space="preserve"> </w:t>
            </w:r>
          </w:p>
          <w:p w14:paraId="24AE461B" w14:textId="12265AF3" w:rsidR="00CF5107" w:rsidRPr="00E0188B" w:rsidRDefault="00CF5107" w:rsidP="009D0EB4">
            <w:pPr>
              <w:pStyle w:val="AFCorNBold"/>
            </w:pPr>
            <w:r>
              <w:t>Biología sintética</w:t>
            </w:r>
          </w:p>
        </w:tc>
        <w:tc>
          <w:tcPr>
            <w:tcW w:w="4388" w:type="dxa"/>
            <w:shd w:val="clear" w:color="auto" w:fill="auto"/>
          </w:tcPr>
          <w:p w14:paraId="4CC42DBC" w14:textId="77777777" w:rsidR="00CF5107" w:rsidRPr="00E0188B" w:rsidRDefault="00CF5107" w:rsidP="009D0EB4">
            <w:pPr>
              <w:pStyle w:val="CBDNormal"/>
              <w:jc w:val="left"/>
            </w:pPr>
          </w:p>
        </w:tc>
      </w:tr>
    </w:tbl>
    <w:bookmarkEnd w:id="0"/>
    <w:p w14:paraId="3F49212B" w14:textId="3F830FA3" w:rsidR="00A96B21" w:rsidRPr="0019094B" w:rsidRDefault="00CF5107" w:rsidP="001454DA">
      <w:pPr>
        <w:pStyle w:val="CBDTitle"/>
      </w:pPr>
      <w:r>
        <w:t>Decisión adoptada por la Conferencia de las Partes en el Convenio sobre la Diversidad Biológica el 1 de noviembre de 2024</w:t>
      </w:r>
    </w:p>
    <w:p w14:paraId="738A3667" w14:textId="2C652445" w:rsidR="00A96B21" w:rsidRPr="0019094B" w:rsidRDefault="002D110C" w:rsidP="00717311">
      <w:pPr>
        <w:pStyle w:val="CBDSubTitle"/>
        <w:tabs>
          <w:tab w:val="left" w:pos="1440"/>
        </w:tabs>
      </w:pPr>
      <w:r>
        <w:t>16/21.</w:t>
      </w:r>
      <w:r>
        <w:tab/>
      </w:r>
      <w:r>
        <w:tab/>
        <w:t xml:space="preserve">Biología sintética </w:t>
      </w:r>
    </w:p>
    <w:p w14:paraId="1B6A0A49" w14:textId="4C3FC3E0" w:rsidR="002C3B82" w:rsidRPr="0019094B" w:rsidRDefault="006A4F12" w:rsidP="00717311">
      <w:pPr>
        <w:pStyle w:val="CBDDesicionText"/>
        <w:rPr>
          <w:b/>
          <w:bCs/>
        </w:rPr>
      </w:pPr>
      <w:r>
        <w:rPr>
          <w:i/>
        </w:rPr>
        <w:t>La Conferencia de las Partes</w:t>
      </w:r>
      <w:r>
        <w:t>,</w:t>
      </w:r>
    </w:p>
    <w:p w14:paraId="3A725E00" w14:textId="0549ED98" w:rsidR="00640025" w:rsidRPr="0019094B" w:rsidRDefault="003A585F" w:rsidP="00717311">
      <w:pPr>
        <w:pStyle w:val="CBDDesicionText"/>
        <w:rPr>
          <w:rFonts w:eastAsia="Times New Roman"/>
          <w:kern w:val="2"/>
          <w14:ligatures w14:val="standardContextual"/>
        </w:rPr>
      </w:pPr>
      <w:r>
        <w:rPr>
          <w:i/>
        </w:rPr>
        <w:t>Recordando</w:t>
      </w:r>
      <w:r>
        <w:t xml:space="preserve"> sus decisiones</w:t>
      </w:r>
      <w:r w:rsidR="006454F5">
        <w:t> </w:t>
      </w:r>
      <w:hyperlink r:id="rId14" w:history="1">
        <w:r>
          <w:rPr>
            <w:rStyle w:val="Hipervnculo"/>
          </w:rPr>
          <w:t>14/19</w:t>
        </w:r>
      </w:hyperlink>
      <w:r>
        <w:t xml:space="preserve">, de 29 de noviembre de 2018, y </w:t>
      </w:r>
      <w:hyperlink r:id="rId15" w:history="1">
        <w:r>
          <w:rPr>
            <w:rStyle w:val="Hipervnculo"/>
          </w:rPr>
          <w:t>15/4</w:t>
        </w:r>
      </w:hyperlink>
      <w:r>
        <w:t xml:space="preserve">, </w:t>
      </w:r>
      <w:hyperlink r:id="rId16" w:history="1">
        <w:r>
          <w:rPr>
            <w:rStyle w:val="Hipervnculo"/>
          </w:rPr>
          <w:t>15/8</w:t>
        </w:r>
      </w:hyperlink>
      <w:r>
        <w:t xml:space="preserve"> y </w:t>
      </w:r>
      <w:hyperlink r:id="rId17" w:history="1">
        <w:r>
          <w:rPr>
            <w:rStyle w:val="Hipervnculo"/>
          </w:rPr>
          <w:t>15/31</w:t>
        </w:r>
      </w:hyperlink>
      <w:r>
        <w:t>, de 19 de diciembre de 2022, y la decisión </w:t>
      </w:r>
      <w:hyperlink r:id="rId18" w:history="1">
        <w:r>
          <w:rPr>
            <w:rStyle w:val="Hipervnculo"/>
          </w:rPr>
          <w:t>BS-VII/12</w:t>
        </w:r>
      </w:hyperlink>
      <w:r>
        <w:t>, de 3 de octubre de 2014, de la Conferencia de las Partes que actúa como reunión de las Partes en el Protocolo de Cartagena sobre Seguridad de la Biotecnología</w:t>
      </w:r>
      <w:r w:rsidR="00D72FC4">
        <w:rPr>
          <w:rStyle w:val="Refdenotaalpie"/>
          <w:rFonts w:eastAsia="Times New Roman"/>
          <w:kern w:val="2"/>
        </w:rPr>
        <w:footnoteReference w:id="2"/>
      </w:r>
      <w:r>
        <w:t>,</w:t>
      </w:r>
    </w:p>
    <w:p w14:paraId="5D5AED45" w14:textId="2D4918A7" w:rsidR="006A4F12" w:rsidRPr="0019094B" w:rsidRDefault="006A4F12" w:rsidP="00717311">
      <w:pPr>
        <w:pStyle w:val="CBDDesicionText"/>
        <w:rPr>
          <w:rFonts w:eastAsia="Times New Roman"/>
          <w:kern w:val="2"/>
          <w14:ligatures w14:val="standardContextual"/>
        </w:rPr>
      </w:pPr>
      <w:r>
        <w:rPr>
          <w:i/>
        </w:rPr>
        <w:t xml:space="preserve">Poniendo de relieve nuevamente </w:t>
      </w:r>
      <w:r>
        <w:t>la aplicación de un enfoque de precaución, de acuerdo con los objetivos del Convenio sobre la Diversidad Biológica</w:t>
      </w:r>
      <w:r w:rsidR="00571CCF" w:rsidRPr="0019094B">
        <w:rPr>
          <w:rStyle w:val="Refdenotaalpie"/>
          <w:rFonts w:eastAsia="Times New Roman"/>
          <w:kern w:val="2"/>
        </w:rPr>
        <w:footnoteReference w:id="3"/>
      </w:r>
      <w:r>
        <w:t>, para la liberación en el medio ambiente de las aplicaciones de biología sintética,</w:t>
      </w:r>
    </w:p>
    <w:p w14:paraId="788A72D3" w14:textId="3F2D371E" w:rsidR="006A4F12" w:rsidRPr="0019094B" w:rsidRDefault="006A4F12" w:rsidP="00717311">
      <w:pPr>
        <w:pStyle w:val="CBDDesicionText"/>
        <w:rPr>
          <w:rFonts w:eastAsia="Times New Roman"/>
          <w:kern w:val="2"/>
          <w14:ligatures w14:val="standardContextual"/>
        </w:rPr>
      </w:pPr>
      <w:r>
        <w:rPr>
          <w:i/>
        </w:rPr>
        <w:t>Reconociendo</w:t>
      </w:r>
      <w:r>
        <w:t xml:space="preserve"> la falta de equidad en la participación de los países en desarrollo en la investigación y el desarrollo y la evaluación en el campo de la biología sintética, y la importancia de abordar los efectos,</w:t>
      </w:r>
    </w:p>
    <w:p w14:paraId="3DC1153A" w14:textId="35346D1D" w:rsidR="002C3B82" w:rsidRPr="0019094B" w:rsidRDefault="007D45EB" w:rsidP="00717311">
      <w:pPr>
        <w:pStyle w:val="CBDDesicionText"/>
        <w:rPr>
          <w:rFonts w:eastAsia="Times New Roman"/>
          <w:b/>
          <w:bCs/>
          <w:kern w:val="2"/>
          <w14:ligatures w14:val="standardContextual"/>
        </w:rPr>
      </w:pPr>
      <w:r>
        <w:rPr>
          <w:i/>
        </w:rPr>
        <w:t xml:space="preserve">Observando </w:t>
      </w:r>
      <w:r>
        <w:t>la labor del Grupo Multidisciplinario Especial de Expertos Técnicos sobre Biología Sintética para Apoyar el Proceso de Análisis Prospectivos Amplios y Periódicos, Seguimiento y Evaluación y los resultados del proceso de análisis prospectivos amplios y periódicos, seguimiento y evaluación de los adelantos tecnológicos más recientes en materia de biología sintética</w:t>
      </w:r>
      <w:r w:rsidR="0045069A">
        <w:rPr>
          <w:rStyle w:val="Refdenotaalpie"/>
          <w:rFonts w:eastAsia="Times New Roman"/>
          <w:kern w:val="2"/>
        </w:rPr>
        <w:footnoteReference w:id="4"/>
      </w:r>
      <w:r>
        <w:t>,</w:t>
      </w:r>
    </w:p>
    <w:p w14:paraId="019DB7EE" w14:textId="72890632" w:rsidR="006A4F12" w:rsidRPr="0019094B" w:rsidRDefault="006A4F12" w:rsidP="00717311">
      <w:pPr>
        <w:pStyle w:val="CBDDesicionText"/>
        <w:rPr>
          <w:rFonts w:eastAsia="Times New Roman"/>
          <w:kern w:val="2"/>
          <w14:ligatures w14:val="standardContextual"/>
        </w:rPr>
      </w:pPr>
      <w:r>
        <w:t>1.</w:t>
      </w:r>
      <w:r>
        <w:tab/>
      </w:r>
      <w:r>
        <w:rPr>
          <w:i/>
        </w:rPr>
        <w:t>Pone de relieve</w:t>
      </w:r>
      <w:r>
        <w:t xml:space="preserve"> la necesidad urgente de creación y desarrollo de capacidad, acceso a tecnología y transferencia de tecnología e intercambio de conocimientos en materia de biología sintética, en particular para las Partes que son países en desarrollo, a fin de lograr los objetivos y las metas del Marco Mundial de Biodiversidad de Kunming-Montreal</w:t>
      </w:r>
      <w:r w:rsidR="00C665B9">
        <w:rPr>
          <w:rStyle w:val="Refdenotaalpie"/>
          <w:rFonts w:eastAsia="Times New Roman"/>
          <w:kern w:val="2"/>
        </w:rPr>
        <w:footnoteReference w:id="5"/>
      </w:r>
      <w:r>
        <w:t>;</w:t>
      </w:r>
    </w:p>
    <w:p w14:paraId="1AA5D03F" w14:textId="0ABAD327" w:rsidR="006A4F12" w:rsidRPr="0019094B" w:rsidRDefault="006A4F12" w:rsidP="00717311">
      <w:pPr>
        <w:pStyle w:val="CBDDesicionText"/>
        <w:rPr>
          <w:rFonts w:eastAsia="Times New Roman"/>
          <w:kern w:val="2"/>
          <w14:ligatures w14:val="standardContextual"/>
        </w:rPr>
      </w:pPr>
      <w:r>
        <w:t>2.</w:t>
      </w:r>
      <w:r>
        <w:tab/>
      </w:r>
      <w:r>
        <w:rPr>
          <w:i/>
        </w:rPr>
        <w:t>Insta</w:t>
      </w:r>
      <w:r>
        <w:t xml:space="preserve"> a las Partes, e invita a otros Gobiernos y organizaciones pertinentes, a proporcionar apoyo financiero y técnico para la creación y el desarrollo de capacidad y para iniciativas de </w:t>
      </w:r>
      <w:r>
        <w:lastRenderedPageBreak/>
        <w:t>transferencia de tecnología en las Partes que son países en desarrollo, en particular los países menos adelantados y los pequeños Estados insulares en desarrollo, y las Partes con economías en transición, entre otras cosas para la investigación y el desarrollo y para la evaluación en el campo de la biología sintética;</w:t>
      </w:r>
    </w:p>
    <w:p w14:paraId="6632CFDC" w14:textId="6E0FF027" w:rsidR="006A4F12" w:rsidRPr="0019094B" w:rsidRDefault="006A4F12" w:rsidP="00717311">
      <w:pPr>
        <w:pStyle w:val="CBDDesicionText"/>
        <w:rPr>
          <w:rFonts w:eastAsia="Times New Roman"/>
          <w:kern w:val="2"/>
          <w14:ligatures w14:val="standardContextual"/>
        </w:rPr>
      </w:pPr>
      <w:r>
        <w:t>3.</w:t>
      </w:r>
      <w:r>
        <w:tab/>
      </w:r>
      <w:r>
        <w:rPr>
          <w:i/>
        </w:rPr>
        <w:t>Exhorta</w:t>
      </w:r>
      <w:r>
        <w:t xml:space="preserve"> a las Partes y otros interesados a facilitar una amplia cooperación internacional, transferencia de tecnología, intercambio de conocimientos y creación y desarrollo de capacidad en materia de biología sintética, tomando en cuenta las necesidades de las Partes, los pueblos indígenas y las comunidades locales, las mujeres y la juventud;</w:t>
      </w:r>
    </w:p>
    <w:p w14:paraId="465D217F" w14:textId="78681C35" w:rsidR="006A4F12" w:rsidRPr="0019094B" w:rsidRDefault="006A4F12" w:rsidP="00717311">
      <w:pPr>
        <w:pStyle w:val="CBDDesicionText"/>
        <w:rPr>
          <w:rFonts w:eastAsia="Times New Roman"/>
          <w:kern w:val="2"/>
          <w14:ligatures w14:val="standardContextual"/>
        </w:rPr>
      </w:pPr>
      <w:r>
        <w:t>4.</w:t>
      </w:r>
      <w:r>
        <w:tab/>
      </w:r>
      <w:r>
        <w:rPr>
          <w:i/>
        </w:rPr>
        <w:t xml:space="preserve">Alienta </w:t>
      </w:r>
      <w:r>
        <w:t>a las Partes a presentar sus necesidades y prioridades en materia de biología sintética en el contexto del Marco, incluido a través de los centros regionales y subregionales de apoyo del mecanismo de cooperación científica y técnica;</w:t>
      </w:r>
    </w:p>
    <w:p w14:paraId="7DDADCF3" w14:textId="29ABE254" w:rsidR="006A4F12" w:rsidRPr="0019094B" w:rsidRDefault="006A4F12" w:rsidP="00717311">
      <w:pPr>
        <w:pStyle w:val="CBDDesicionText"/>
      </w:pPr>
      <w:r>
        <w:t>5</w:t>
      </w:r>
      <w:r>
        <w:rPr>
          <w:i/>
        </w:rPr>
        <w:t>.</w:t>
      </w:r>
      <w:r>
        <w:rPr>
          <w:i/>
        </w:rPr>
        <w:tab/>
        <w:t>Decide</w:t>
      </w:r>
      <w:r>
        <w:t xml:space="preserve"> elaborar un plan de acción temático para apoyar la creación y el desarrollo de capacidad, el acceso a tecnología y la transferencia de tecnología y el intercambio de conocimientos en el contexto de la biología sintética, sobre la base de las necesidades y prioridades de las Partes, especialmente para las Partes que son países en desarrollo, en particular los países menos adelantados y los pequeños Estados insulares en desarrollo, y las Partes con economías en transición, para la consecución de los tres objetivos del Convenio sobre la Diversidad Biológica y la implementación del Marco, en consonancia con el marco estratégico a largo plazo para la creación y el desarrollo de capacidad</w:t>
      </w:r>
      <w:r w:rsidRPr="0019094B">
        <w:rPr>
          <w:rStyle w:val="Refdenotaalpie"/>
          <w:rFonts w:eastAsia="Times New Roman"/>
          <w:kern w:val="2"/>
        </w:rPr>
        <w:footnoteReference w:id="6"/>
      </w:r>
      <w:r>
        <w:t xml:space="preserve">, evitando a la vez duplicaciones </w:t>
      </w:r>
      <w:r>
        <w:rPr>
          <w:rFonts w:asciiTheme="majorBidi" w:hAnsiTheme="majorBidi"/>
        </w:rPr>
        <w:t>con planes y estrategias existentes en el contexto del Convenio y sus Protocolos</w:t>
      </w:r>
      <w:r w:rsidRPr="0019094B">
        <w:rPr>
          <w:rStyle w:val="Refdenotaalpie"/>
          <w:rFonts w:asciiTheme="majorBidi" w:eastAsia="Times New Roman" w:hAnsiTheme="majorBidi" w:cstheme="majorBidi"/>
          <w:kern w:val="2"/>
          <w:szCs w:val="18"/>
        </w:rPr>
        <w:footnoteReference w:id="7"/>
      </w:r>
      <w:r>
        <w:rPr>
          <w:rFonts w:asciiTheme="majorBidi" w:hAnsiTheme="majorBidi"/>
        </w:rPr>
        <w:t>,</w:t>
      </w:r>
      <w:r>
        <w:t xml:space="preserve"> teniendo en cuenta:</w:t>
      </w:r>
    </w:p>
    <w:p w14:paraId="505B51FC" w14:textId="74B862E2" w:rsidR="006A4F12" w:rsidRPr="0019094B" w:rsidRDefault="006A4F12" w:rsidP="00717311">
      <w:pPr>
        <w:pStyle w:val="CBDDesicionText"/>
      </w:pPr>
      <w:r>
        <w:t>a)</w:t>
      </w:r>
      <w:r>
        <w:tab/>
        <w:t xml:space="preserve">Las necesidades específicas de las Partes y los pueblos indígenas y las comunidades locales que sean complementarias del plan de acción para la creación de capacidad para el Protocolo de Cartagena, que se hayan indicado en la información que presenten en respuesta al pedido formulado en el párrafo 7 anterior; </w:t>
      </w:r>
    </w:p>
    <w:p w14:paraId="5A650630" w14:textId="6C343067" w:rsidR="006A4F12" w:rsidRPr="0019094B" w:rsidRDefault="006A4F12" w:rsidP="00717311">
      <w:pPr>
        <w:pStyle w:val="CBDDesicionText"/>
        <w:rPr>
          <w:b/>
          <w:bCs/>
        </w:rPr>
      </w:pPr>
      <w:r>
        <w:t>b)</w:t>
      </w:r>
      <w:r>
        <w:tab/>
        <w:t>La determinación de áreas en las que se requiere creación y desarrollo de capacidad, acceso a tecnología y transferencia de tecnología e intercambio de conocimientos para la investigación y el desarrollo y para la evaluación en el campo de la biología sintética;</w:t>
      </w:r>
    </w:p>
    <w:p w14:paraId="70AB50E0" w14:textId="23A9D0DC" w:rsidR="006A4F12" w:rsidRPr="0019094B" w:rsidRDefault="006A4F12" w:rsidP="00717311">
      <w:pPr>
        <w:pStyle w:val="CBDDesicionText"/>
        <w:rPr>
          <w:b/>
          <w:bCs/>
        </w:rPr>
      </w:pPr>
      <w:r>
        <w:t>c)</w:t>
      </w:r>
      <w:r>
        <w:tab/>
        <w:t>Estrategias para facilitar la participación equitativa de las Partes que son países en desarrollo, los pueblos indígenas y las comunidades locales, las mujeres, la juventud, el sector académico, el sector empresarial y las instituciones pertinentes de investigación y desarrollo en el campo de la biología sintética;</w:t>
      </w:r>
    </w:p>
    <w:p w14:paraId="774AA1B9" w14:textId="255A15F7" w:rsidR="006A4F12" w:rsidRPr="0019094B" w:rsidRDefault="006A4F12" w:rsidP="00717311">
      <w:pPr>
        <w:pStyle w:val="CBDDesicionText"/>
      </w:pPr>
      <w:r>
        <w:t>d)</w:t>
      </w:r>
      <w:r>
        <w:tab/>
        <w:t>Estrategias para promover la participación justa y equitativa en los beneficios que se deriven de la biología sintética, en consonancia con los artículos </w:t>
      </w:r>
      <w:hyperlink r:id="rId19" w:history="1">
        <w:r>
          <w:rPr>
            <w:rStyle w:val="Hipervnculo"/>
          </w:rPr>
          <w:t>16</w:t>
        </w:r>
      </w:hyperlink>
      <w:r>
        <w:t xml:space="preserve"> y </w:t>
      </w:r>
      <w:hyperlink r:id="rId20" w:history="1">
        <w:r>
          <w:rPr>
            <w:rStyle w:val="Hipervnculo"/>
          </w:rPr>
          <w:t>19</w:t>
        </w:r>
      </w:hyperlink>
      <w:r>
        <w:t xml:space="preserve"> del Convenio y con el Marco;</w:t>
      </w:r>
    </w:p>
    <w:p w14:paraId="052B3C42" w14:textId="1034CC74" w:rsidR="006A4F12" w:rsidRPr="0019094B" w:rsidRDefault="006A4F12" w:rsidP="00717311">
      <w:pPr>
        <w:pStyle w:val="CBDDesicionText"/>
        <w:rPr>
          <w:b/>
          <w:bCs/>
        </w:rPr>
      </w:pPr>
      <w:r>
        <w:t>e)</w:t>
      </w:r>
      <w:r>
        <w:tab/>
        <w:t>Mecanismos para la transferencia de tecnología, el intercambio de conocimientos y la cooperación científica y técnica internacional a fin de fomentar la innovación, en consonancia con los artículos </w:t>
      </w:r>
      <w:hyperlink r:id="rId21" w:history="1">
        <w:r>
          <w:rPr>
            <w:rStyle w:val="Hipervnculo"/>
          </w:rPr>
          <w:t>16</w:t>
        </w:r>
      </w:hyperlink>
      <w:r>
        <w:t xml:space="preserve"> y </w:t>
      </w:r>
      <w:hyperlink r:id="rId22" w:history="1">
        <w:r>
          <w:rPr>
            <w:rStyle w:val="Hipervnculo"/>
          </w:rPr>
          <w:t>18</w:t>
        </w:r>
      </w:hyperlink>
      <w:r>
        <w:t xml:space="preserve"> del Convenio y con el Marco;</w:t>
      </w:r>
    </w:p>
    <w:p w14:paraId="72F4C903" w14:textId="4D00DEB1" w:rsidR="00706A86" w:rsidRPr="0019094B" w:rsidRDefault="00706A86" w:rsidP="00717311">
      <w:pPr>
        <w:pStyle w:val="CBDDesicionText"/>
      </w:pPr>
      <w:r>
        <w:t>6.</w:t>
      </w:r>
      <w:r>
        <w:tab/>
      </w:r>
      <w:r>
        <w:rPr>
          <w:i/>
        </w:rPr>
        <w:t xml:space="preserve">Establece </w:t>
      </w:r>
      <w:r>
        <w:t>un nuevo grupo especial de expertos técnicos sobre biología sintética, de acuerdo con el mandato que figura en el anexo de la presente decisión;</w:t>
      </w:r>
    </w:p>
    <w:p w14:paraId="0ABBEDA9" w14:textId="27653CD1" w:rsidR="006A4F12" w:rsidRPr="0019094B" w:rsidRDefault="00706A86" w:rsidP="00270E23">
      <w:pPr>
        <w:tabs>
          <w:tab w:val="clear" w:pos="567"/>
          <w:tab w:val="clear" w:pos="1134"/>
        </w:tabs>
        <w:snapToGrid w:val="0"/>
        <w:spacing w:before="120" w:after="120"/>
        <w:ind w:left="567" w:firstLine="567"/>
        <w:rPr>
          <w:rFonts w:asciiTheme="majorBidi" w:hAnsiTheme="majorBidi" w:cstheme="majorBidi"/>
        </w:rPr>
      </w:pPr>
      <w:r>
        <w:t>7.</w:t>
      </w:r>
      <w:r>
        <w:tab/>
      </w:r>
      <w:r>
        <w:rPr>
          <w:rFonts w:asciiTheme="majorBidi" w:hAnsiTheme="majorBidi"/>
          <w:i/>
          <w:iCs/>
        </w:rPr>
        <w:t>Invita</w:t>
      </w:r>
      <w:r>
        <w:rPr>
          <w:rFonts w:asciiTheme="majorBidi" w:hAnsiTheme="majorBidi"/>
        </w:rPr>
        <w:t xml:space="preserve"> a las Partes, otros Gobiernos, pueblos indígenas y comunidades locales, las mujeres, la juventud, el sector académico, instituciones de investigación, el sector empresarial y otras organizaciones pertinentes a presentar información sobre sus experiencias, necesidades y prioridades en relación con lo siguiente: a) la biología sintética, con miras a apoyar la preparación del plan de acción temático que se menciona en el párrafo 5; y b) otros procesos e iniciativas pertinentes de </w:t>
      </w:r>
      <w:r>
        <w:rPr>
          <w:rFonts w:asciiTheme="majorBidi" w:hAnsiTheme="majorBidi"/>
        </w:rPr>
        <w:lastRenderedPageBreak/>
        <w:t>creación y desarrollo de capacidad, acceso a tecnología y transferencia de tecnología e intercambio de conocimientos que guarden relación con la biología sintética;</w:t>
      </w:r>
    </w:p>
    <w:p w14:paraId="6ECAC4D4" w14:textId="1ECE96BA" w:rsidR="002C3B82" w:rsidRPr="0019094B" w:rsidRDefault="00706A86" w:rsidP="00717311">
      <w:pPr>
        <w:pStyle w:val="CBDDesicionText"/>
        <w:rPr>
          <w:b/>
          <w:bCs/>
        </w:rPr>
      </w:pPr>
      <w:r>
        <w:t>8.</w:t>
      </w:r>
      <w:r>
        <w:tab/>
      </w:r>
      <w:r>
        <w:rPr>
          <w:i/>
        </w:rPr>
        <w:t>Invita también</w:t>
      </w:r>
      <w:r>
        <w:t xml:space="preserve"> a las Partes, otros Gobiernos, pueblos indígenas y comunidades locales, las mujeres, la juventud, el sector académico, instituciones de investigación, el sector empresarial y organizaciones pertinentes a presentar información sobre sus áreas prioritarias en materia de biología sintética, incluidos los adelantos tecnológicos más recientes, pertinentes para los tres objetivos del Convenio y para el Marco, con miras a aportar información para la labor del Grupo Especial de Expertos Técnicos sobre Biología Sintética descrita en el párrafo 3 del anexo de la presente decisión;</w:t>
      </w:r>
    </w:p>
    <w:p w14:paraId="02867775" w14:textId="76792952" w:rsidR="006A4F12" w:rsidRPr="0019094B" w:rsidRDefault="00324CAF" w:rsidP="00717311">
      <w:pPr>
        <w:pStyle w:val="CBDDesicionText"/>
        <w:keepNext/>
        <w:ind w:left="562" w:firstLine="562"/>
      </w:pPr>
      <w:r>
        <w:t>9.</w:t>
      </w:r>
      <w:r>
        <w:tab/>
      </w:r>
      <w:r>
        <w:rPr>
          <w:i/>
        </w:rPr>
        <w:t xml:space="preserve">Pide </w:t>
      </w:r>
      <w:r>
        <w:t>a la Secretaria Ejecutiva que, con sujeción a la disponibilidad de recursos:</w:t>
      </w:r>
    </w:p>
    <w:p w14:paraId="7BA17B2C" w14:textId="4236F274" w:rsidR="006A4F12" w:rsidRPr="0019094B" w:rsidRDefault="006A4F12" w:rsidP="00717311">
      <w:pPr>
        <w:pStyle w:val="CBDDesicionText"/>
      </w:pPr>
      <w:r>
        <w:t>a)</w:t>
      </w:r>
      <w:r>
        <w:tab/>
        <w:t>Prepare un proyecto de plan de acción temático para apoyar la creación y el desarrollo de capacidad, el acceso a tecnología y la transferencia de tecnología y el intercambio de conocimientos en el contexto de la biología sintética, como se indica en el párrafo 5;</w:t>
      </w:r>
    </w:p>
    <w:p w14:paraId="48E628E3" w14:textId="330A98B8" w:rsidR="00DE0348" w:rsidRPr="0019094B" w:rsidRDefault="00DE0348" w:rsidP="00717311">
      <w:pPr>
        <w:pStyle w:val="CBDDesicionText"/>
      </w:pPr>
      <w:r>
        <w:t>b)</w:t>
      </w:r>
      <w:r>
        <w:tab/>
        <w:t>Encargue un estudio científico independiente que recopile y resuma los estudios científicos existentes, las necesidades y prioridades de financiación de investigación y desarrollo públicos, así como hojas de ruta de investigación sobre aplicaciones de la biología sintética pertinentes para el logro del Marco, en particular sus metas 4, 6, 7, 8, 10, 13 y 17;</w:t>
      </w:r>
    </w:p>
    <w:p w14:paraId="7CFF459D" w14:textId="055B3247" w:rsidR="006A4F12" w:rsidRPr="0019094B" w:rsidRDefault="006A4F12" w:rsidP="00717311">
      <w:pPr>
        <w:pStyle w:val="CBDDesicionText"/>
      </w:pPr>
      <w:r>
        <w:t>c)</w:t>
      </w:r>
      <w:r>
        <w:tab/>
        <w:t>Sintetice la información presentada de conformidad con los párrafos 7, 8 y 9 f);</w:t>
      </w:r>
    </w:p>
    <w:p w14:paraId="681E87E7" w14:textId="3E22DB35" w:rsidR="006A4F12" w:rsidRPr="0019094B" w:rsidRDefault="006A4F12" w:rsidP="00717311">
      <w:pPr>
        <w:pStyle w:val="CBDDesicionText"/>
      </w:pPr>
      <w:r>
        <w:t>d)</w:t>
      </w:r>
      <w:r>
        <w:tab/>
        <w:t>Presente el proyecto de plan de acción temático para someterlo a una revisión por pares antes de la 28ª reunión del Órgano Subsidiario de Asesoramiento Científico, Técnico y Tecnológico;</w:t>
      </w:r>
    </w:p>
    <w:p w14:paraId="76508A19" w14:textId="72EC4615" w:rsidR="006A4F12" w:rsidRPr="0019094B" w:rsidRDefault="006A4F12" w:rsidP="00717311">
      <w:pPr>
        <w:pStyle w:val="CBDDesicionText"/>
      </w:pPr>
      <w:r>
        <w:t>e)</w:t>
      </w:r>
      <w:r>
        <w:tab/>
        <w:t>Cree una sección específica en el mecanismo de facilitación para promover el plan de acción temático y los resultados del Grupo Especial de Expertos Técnicos sobre Biología Sintética y para facilitar el intercambio de conocimientos en el contexto de la biología sintética;</w:t>
      </w:r>
    </w:p>
    <w:p w14:paraId="0ACED17A" w14:textId="0C2BC56F" w:rsidR="006A4F12" w:rsidRPr="0019094B" w:rsidRDefault="006A4F12" w:rsidP="00717311">
      <w:pPr>
        <w:pStyle w:val="CBDDesicionText"/>
      </w:pPr>
      <w:r>
        <w:t>f)</w:t>
      </w:r>
      <w:r>
        <w:tab/>
        <w:t>Convoque debates en línea del Foro en Línea de Composición Abierta sobre Biología Sintética a fin de apoyar la labor del Grupo Especial de Expertos Técnicos sobre Biología Sintética;</w:t>
      </w:r>
    </w:p>
    <w:p w14:paraId="3B46FA7B" w14:textId="300B6ABB" w:rsidR="006A4F12" w:rsidRPr="0019094B" w:rsidRDefault="006A4F12" w:rsidP="00717311">
      <w:pPr>
        <w:pStyle w:val="CBDDesicionText"/>
      </w:pPr>
      <w:r>
        <w:t>g)</w:t>
      </w:r>
      <w:r>
        <w:tab/>
        <w:t>Convoque reuniones del Grupo Especial de Expertos Técnicos sobre Biología Sintética, una de las cuales deberá ser presencial;</w:t>
      </w:r>
    </w:p>
    <w:p w14:paraId="2D040D43" w14:textId="56F7ECC6" w:rsidR="006A4F12" w:rsidRPr="0019094B" w:rsidRDefault="006A4F12" w:rsidP="00717311">
      <w:pPr>
        <w:pStyle w:val="CBDDesicionText"/>
      </w:pPr>
      <w:r>
        <w:t>h)</w:t>
      </w:r>
      <w:r>
        <w:tab/>
        <w:t xml:space="preserve">Apoye la participación plena y efectiva de los pueblos indígenas y las comunidades locales en la labor relativa a la biología sintética realizada en el contexto del Convenio, de conformidad con la decisión </w:t>
      </w:r>
      <w:hyperlink r:id="rId23" w:history="1">
        <w:r>
          <w:rPr>
            <w:rStyle w:val="Hipervnculo"/>
          </w:rPr>
          <w:t>X/40</w:t>
        </w:r>
      </w:hyperlink>
      <w:r>
        <w:t>, de 29 de octubre de 2010;</w:t>
      </w:r>
    </w:p>
    <w:p w14:paraId="0F7D8F3F" w14:textId="70C4A849" w:rsidR="006A4F12" w:rsidRPr="0019094B" w:rsidRDefault="006A4F12" w:rsidP="00717311">
      <w:pPr>
        <w:pStyle w:val="CBDDesicionText"/>
      </w:pPr>
      <w:r>
        <w:t>i)</w:t>
      </w:r>
      <w:r>
        <w:tab/>
        <w:t>Apoye además la participación de las mujeres, la juventud, el sector académico y las instituciones de investigación en la labor relacionada con la biología sintética realizada en el contexto del Convenio;</w:t>
      </w:r>
    </w:p>
    <w:p w14:paraId="72968F9F" w14:textId="39D3DE24" w:rsidR="00941160" w:rsidRPr="0019094B" w:rsidRDefault="006A4F12" w:rsidP="00717311">
      <w:pPr>
        <w:pStyle w:val="CBDDesicionText"/>
        <w:rPr>
          <w:b/>
          <w:bCs/>
        </w:rPr>
      </w:pPr>
      <w:r>
        <w:t>j)</w:t>
      </w:r>
      <w:r>
        <w:tab/>
        <w:t>Facilite actividades de creación de capacidad en materia de biología sintética;</w:t>
      </w:r>
    </w:p>
    <w:p w14:paraId="1DF2770C" w14:textId="0E03ABF9" w:rsidR="007D45EB" w:rsidRPr="0019094B" w:rsidRDefault="006A4F12" w:rsidP="00F47085">
      <w:pPr>
        <w:tabs>
          <w:tab w:val="clear" w:pos="567"/>
          <w:tab w:val="clear" w:pos="1134"/>
        </w:tabs>
        <w:snapToGrid w:val="0"/>
        <w:spacing w:before="120" w:after="120"/>
        <w:ind w:left="567" w:firstLine="567"/>
        <w:rPr>
          <w:rFonts w:eastAsia="Times New Roman"/>
          <w:strike/>
          <w:kern w:val="2"/>
          <w14:ligatures w14:val="standardContextual"/>
        </w:rPr>
      </w:pPr>
      <w:r>
        <w:t>10.</w:t>
      </w:r>
      <w:r>
        <w:tab/>
      </w:r>
      <w:r>
        <w:rPr>
          <w:i/>
        </w:rPr>
        <w:t>Pide</w:t>
      </w:r>
      <w:r>
        <w:t xml:space="preserve"> al Órgano Subsidiario de Asesoramiento Científico, Técnico y Tecnológico que en su 28ª reunión considere el `proyecto de plan de acción temático y los resultados de la labor del Grupo Especial de Expertos Técnicos sobre Biología Sintética, y pide al Órgano Subsidiario sobre la Aplicación que en su 6ª reunión revise los aspectos relativos a la aplicación del plan de acción temático, con miras a presentar un proyecto de decisión a la consideración de la Conferencia de las Partes en su 17ª reunión.</w:t>
      </w:r>
    </w:p>
    <w:p w14:paraId="0C02A89F" w14:textId="3E58397B" w:rsidR="006A4F12" w:rsidRPr="0019094B" w:rsidRDefault="006A4F12" w:rsidP="00717311">
      <w:pPr>
        <w:pStyle w:val="CBDDesicionAnnex"/>
        <w:rPr>
          <w:rFonts w:hint="eastAsia"/>
        </w:rPr>
      </w:pPr>
      <w:r>
        <w:lastRenderedPageBreak/>
        <w:t xml:space="preserve">Anexo </w:t>
      </w:r>
      <w:r>
        <w:br/>
        <w:t xml:space="preserve">Mandato para el Grupo Especial de Expertos Técnicos sobre Biología Sintética </w:t>
      </w:r>
    </w:p>
    <w:p w14:paraId="5D0BA3FE" w14:textId="483080D0" w:rsidR="006A4F12" w:rsidRPr="0019094B" w:rsidRDefault="006A4F12" w:rsidP="006A4F12">
      <w:pPr>
        <w:tabs>
          <w:tab w:val="clear" w:pos="567"/>
          <w:tab w:val="clear" w:pos="1701"/>
          <w:tab w:val="clear" w:pos="2268"/>
        </w:tabs>
        <w:snapToGrid w:val="0"/>
        <w:spacing w:before="120" w:after="120"/>
        <w:ind w:left="567"/>
        <w:rPr>
          <w:rFonts w:eastAsia="Times New Roman"/>
          <w:kern w:val="2"/>
          <w14:ligatures w14:val="standardContextual"/>
        </w:rPr>
      </w:pPr>
      <w:r>
        <w:t>1.</w:t>
      </w:r>
      <w:r>
        <w:tab/>
        <w:t xml:space="preserve">El Grupo Especial de Expertos Técnicos sobre Biología Sintética se convocará de conformidad con la sección H del </w:t>
      </w:r>
      <w:r>
        <w:rPr>
          <w:i/>
          <w:iCs/>
        </w:rPr>
        <w:t>modus operandi</w:t>
      </w:r>
      <w:r>
        <w:t xml:space="preserve"> consolidado del Órgano Subsidiario de Asesoramiento Científico, Técnico y Tecnológico</w:t>
      </w:r>
      <w:r w:rsidRPr="0019094B">
        <w:rPr>
          <w:rFonts w:eastAsia="Times New Roman"/>
          <w:kern w:val="2"/>
          <w:vertAlign w:val="superscript"/>
        </w:rPr>
        <w:footnoteReference w:id="8"/>
      </w:r>
      <w:r>
        <w:t>.</w:t>
      </w:r>
    </w:p>
    <w:p w14:paraId="229F2503" w14:textId="2F3374C2" w:rsidR="006A4F12" w:rsidRPr="0019094B" w:rsidRDefault="006A4F12" w:rsidP="006A4F12">
      <w:pPr>
        <w:tabs>
          <w:tab w:val="clear" w:pos="567"/>
          <w:tab w:val="clear" w:pos="1701"/>
          <w:tab w:val="clear" w:pos="2268"/>
        </w:tabs>
        <w:snapToGrid w:val="0"/>
        <w:spacing w:before="120" w:after="120"/>
        <w:ind w:left="567"/>
        <w:rPr>
          <w:rFonts w:eastAsia="Times New Roman"/>
          <w:kern w:val="2"/>
          <w14:ligatures w14:val="standardContextual"/>
        </w:rPr>
      </w:pPr>
      <w:r>
        <w:t>2.</w:t>
      </w:r>
      <w:r>
        <w:tab/>
        <w:t>El procedimiento para evitar o tratar conflictos de intereses en los grupos de expertos establecido en el anexo de la decisión </w:t>
      </w:r>
      <w:hyperlink r:id="rId24" w:history="1">
        <w:r>
          <w:rPr>
            <w:rStyle w:val="Hipervnculo"/>
          </w:rPr>
          <w:t>14/33</w:t>
        </w:r>
      </w:hyperlink>
      <w:r>
        <w:t>, de 29 de noviembre de 2018, se aplicará al Grupo Especial de Expertos Técnicos sobre Biología Sintética.</w:t>
      </w:r>
    </w:p>
    <w:p w14:paraId="4E5BA07B" w14:textId="3DE91AD7" w:rsidR="006A4F12" w:rsidRPr="0019094B" w:rsidRDefault="006A4F12" w:rsidP="00717311">
      <w:pPr>
        <w:keepNext/>
        <w:tabs>
          <w:tab w:val="clear" w:pos="567"/>
          <w:tab w:val="clear" w:pos="1701"/>
          <w:tab w:val="clear" w:pos="2268"/>
        </w:tabs>
        <w:snapToGrid w:val="0"/>
        <w:spacing w:before="120" w:after="120"/>
        <w:ind w:left="562"/>
        <w:rPr>
          <w:rFonts w:asciiTheme="majorBidi" w:eastAsia="Times New Roman" w:hAnsiTheme="majorBidi" w:cstheme="majorBidi"/>
          <w:kern w:val="2"/>
          <w14:ligatures w14:val="standardContextual"/>
        </w:rPr>
      </w:pPr>
      <w:r>
        <w:t>3.</w:t>
      </w:r>
      <w:r>
        <w:tab/>
        <w:t>El Grupo Especial de Expertos Técnicos sobre Biología Sintética habrá de</w:t>
      </w:r>
      <w:r>
        <w:rPr>
          <w:rFonts w:asciiTheme="majorBidi" w:hAnsiTheme="majorBidi"/>
        </w:rPr>
        <w:t>:</w:t>
      </w:r>
    </w:p>
    <w:p w14:paraId="2098EC78" w14:textId="6A3D20F7" w:rsidR="009B3DAC" w:rsidRPr="0019094B" w:rsidRDefault="006A4F12" w:rsidP="006A4F12">
      <w:pPr>
        <w:tabs>
          <w:tab w:val="clear" w:pos="567"/>
          <w:tab w:val="clear" w:pos="1134"/>
          <w:tab w:val="clear" w:pos="2268"/>
        </w:tabs>
        <w:snapToGrid w:val="0"/>
        <w:spacing w:before="120" w:after="120"/>
        <w:ind w:left="567" w:firstLine="567"/>
        <w:rPr>
          <w:rFonts w:asciiTheme="majorBidi" w:eastAsia="Times New Roman" w:hAnsiTheme="majorBidi" w:cstheme="majorBidi"/>
          <w:kern w:val="2"/>
          <w14:ligatures w14:val="standardContextual"/>
        </w:rPr>
      </w:pPr>
      <w:r>
        <w:rPr>
          <w:rFonts w:asciiTheme="majorBidi" w:hAnsiTheme="majorBidi"/>
        </w:rPr>
        <w:t>a)</w:t>
      </w:r>
      <w:r>
        <w:rPr>
          <w:rFonts w:asciiTheme="majorBidi" w:hAnsiTheme="majorBidi"/>
        </w:rPr>
        <w:tab/>
        <w:t>Examinar y sintetizar las recopilaciones que se indican en el apartado 9 c) de la presente decisión, y el estudio científico que se indica en el apartado 9 b), teniendo en cuenta el proyecto de plan de acción temático y otra información técnica pertinente que exista;</w:t>
      </w:r>
    </w:p>
    <w:p w14:paraId="1B135CD1" w14:textId="4626965F" w:rsidR="00623AF7" w:rsidRPr="0019094B" w:rsidRDefault="009B3DAC" w:rsidP="006A4F12">
      <w:pPr>
        <w:tabs>
          <w:tab w:val="clear" w:pos="567"/>
          <w:tab w:val="clear" w:pos="1134"/>
          <w:tab w:val="clear" w:pos="2268"/>
        </w:tabs>
        <w:snapToGrid w:val="0"/>
        <w:spacing w:before="120" w:after="120"/>
        <w:ind w:left="567" w:firstLine="567"/>
        <w:rPr>
          <w:rFonts w:asciiTheme="majorBidi" w:eastAsia="Times New Roman" w:hAnsiTheme="majorBidi" w:cstheme="majorBidi"/>
          <w:kern w:val="2"/>
          <w14:ligatures w14:val="standardContextual"/>
        </w:rPr>
      </w:pPr>
      <w:r>
        <w:rPr>
          <w:rFonts w:asciiTheme="majorBidi" w:hAnsiTheme="majorBidi"/>
        </w:rPr>
        <w:t>b)</w:t>
      </w:r>
      <w:r>
        <w:rPr>
          <w:rFonts w:asciiTheme="majorBidi" w:hAnsiTheme="majorBidi"/>
        </w:rPr>
        <w:tab/>
        <w:t>Basarse en la labor anterior pertinente desarrollada en el contexto del Convenio sobre la Diversidad Biológica</w:t>
      </w:r>
      <w:r w:rsidR="00571CCF" w:rsidRPr="0019094B">
        <w:rPr>
          <w:rStyle w:val="Refdenotaalpie"/>
          <w:rFonts w:asciiTheme="majorBidi" w:eastAsia="Times New Roman" w:hAnsiTheme="majorBidi" w:cstheme="majorBidi"/>
          <w:kern w:val="2"/>
        </w:rPr>
        <w:footnoteReference w:id="9"/>
      </w:r>
      <w:r>
        <w:rPr>
          <w:rFonts w:asciiTheme="majorBidi" w:hAnsiTheme="majorBidi"/>
        </w:rPr>
        <w:t xml:space="preserve"> y sus Protocolos;</w:t>
      </w:r>
    </w:p>
    <w:p w14:paraId="2D5CC190" w14:textId="516390E7" w:rsidR="006A4F12" w:rsidRPr="0019094B" w:rsidRDefault="006A4F12" w:rsidP="00110E1B">
      <w:pPr>
        <w:tabs>
          <w:tab w:val="clear" w:pos="567"/>
          <w:tab w:val="clear" w:pos="1134"/>
          <w:tab w:val="clear" w:pos="2268"/>
        </w:tabs>
        <w:snapToGrid w:val="0"/>
        <w:spacing w:before="120" w:after="120"/>
        <w:ind w:left="567" w:firstLine="567"/>
        <w:rPr>
          <w:rFonts w:asciiTheme="majorBidi" w:eastAsia="Times New Roman" w:hAnsiTheme="majorBidi" w:cstheme="majorBidi"/>
          <w:b/>
          <w:bCs/>
          <w:kern w:val="2"/>
          <w14:ligatures w14:val="standardContextual"/>
        </w:rPr>
      </w:pPr>
      <w:r>
        <w:rPr>
          <w:rFonts w:asciiTheme="majorBidi" w:hAnsiTheme="majorBidi"/>
        </w:rPr>
        <w:t>c)</w:t>
      </w:r>
      <w:r>
        <w:rPr>
          <w:rFonts w:asciiTheme="majorBidi" w:hAnsiTheme="majorBidi"/>
        </w:rPr>
        <w:tab/>
        <w:t>Identificar los beneficios actuales y potenciales de la biología sintética en lo que respecta a los tres objetivos del Convenio y la implementación del Marco Mundial de Biodiversidad de Kunming-Montreal</w:t>
      </w:r>
      <w:r w:rsidR="003765F1">
        <w:rPr>
          <w:rStyle w:val="Refdenotaalpie"/>
          <w:rFonts w:asciiTheme="majorBidi" w:eastAsia="Times New Roman" w:hAnsiTheme="majorBidi" w:cstheme="majorBidi"/>
          <w:kern w:val="2"/>
        </w:rPr>
        <w:footnoteReference w:id="10"/>
      </w:r>
      <w:r>
        <w:rPr>
          <w:rFonts w:asciiTheme="majorBidi" w:hAnsiTheme="majorBidi"/>
        </w:rPr>
        <w:t>;</w:t>
      </w:r>
    </w:p>
    <w:p w14:paraId="5A7A7FFC" w14:textId="73BAD850" w:rsidR="006A4F12" w:rsidRPr="0019094B" w:rsidRDefault="006A4F12" w:rsidP="006A4F12">
      <w:pPr>
        <w:tabs>
          <w:tab w:val="clear" w:pos="567"/>
          <w:tab w:val="clear" w:pos="1134"/>
          <w:tab w:val="clear" w:pos="2268"/>
        </w:tabs>
        <w:snapToGrid w:val="0"/>
        <w:spacing w:before="120" w:after="120"/>
        <w:ind w:left="567" w:firstLine="567"/>
        <w:rPr>
          <w:rFonts w:asciiTheme="majorBidi" w:eastAsia="Times New Roman" w:hAnsiTheme="majorBidi" w:cstheme="majorBidi"/>
          <w:kern w:val="2"/>
          <w14:ligatures w14:val="standardContextual"/>
        </w:rPr>
      </w:pPr>
      <w:r>
        <w:rPr>
          <w:rFonts w:asciiTheme="majorBidi" w:hAnsiTheme="majorBidi"/>
        </w:rPr>
        <w:t>d)</w:t>
      </w:r>
      <w:r>
        <w:rPr>
          <w:rFonts w:asciiTheme="majorBidi" w:hAnsiTheme="majorBidi"/>
        </w:rPr>
        <w:tab/>
        <w:t>Identificar los potenciales efectos positivos de los adelantos tecnológicos más recientes en materia de biología sintética en lo que respecta a los tres objetivos del Convenio y la implementación del Marco;</w:t>
      </w:r>
    </w:p>
    <w:p w14:paraId="2AB808F7" w14:textId="62097291" w:rsidR="009D6FD4" w:rsidRPr="0019094B" w:rsidRDefault="006A4F12" w:rsidP="006A4F12">
      <w:pPr>
        <w:tabs>
          <w:tab w:val="clear" w:pos="567"/>
          <w:tab w:val="clear" w:pos="1134"/>
          <w:tab w:val="clear" w:pos="2268"/>
        </w:tabs>
        <w:snapToGrid w:val="0"/>
        <w:spacing w:before="120" w:after="120"/>
        <w:ind w:left="567" w:firstLine="567"/>
        <w:rPr>
          <w:rFonts w:asciiTheme="majorBidi" w:eastAsia="Times New Roman" w:hAnsiTheme="majorBidi" w:cstheme="majorBidi"/>
          <w:kern w:val="2"/>
          <w14:ligatures w14:val="standardContextual"/>
        </w:rPr>
      </w:pPr>
      <w:r>
        <w:rPr>
          <w:rFonts w:asciiTheme="majorBidi" w:hAnsiTheme="majorBidi"/>
        </w:rPr>
        <w:t>e)</w:t>
      </w:r>
      <w:r>
        <w:rPr>
          <w:rFonts w:asciiTheme="majorBidi" w:hAnsiTheme="majorBidi"/>
        </w:rPr>
        <w:tab/>
        <w:t>Identificar los potenciales efectos negativos de los adelantos tecnológicos más recientes en materia de biología sintética en lo que respecta a los tres objetivos del Convenio y la implementación del Marco;</w:t>
      </w:r>
    </w:p>
    <w:p w14:paraId="5966284A" w14:textId="29C17FA3" w:rsidR="00A43182" w:rsidRPr="0019094B" w:rsidRDefault="00ED254E" w:rsidP="00A43182">
      <w:pPr>
        <w:tabs>
          <w:tab w:val="clear" w:pos="567"/>
          <w:tab w:val="clear" w:pos="1134"/>
          <w:tab w:val="clear" w:pos="2268"/>
        </w:tabs>
        <w:snapToGrid w:val="0"/>
        <w:spacing w:before="120" w:after="120"/>
        <w:ind w:left="567" w:firstLine="567"/>
        <w:rPr>
          <w:rFonts w:asciiTheme="majorBidi" w:eastAsia="Times New Roman" w:hAnsiTheme="majorBidi" w:cstheme="majorBidi"/>
          <w:b/>
          <w:bCs/>
          <w:kern w:val="2"/>
          <w14:ligatures w14:val="standardContextual"/>
        </w:rPr>
      </w:pPr>
      <w:r>
        <w:rPr>
          <w:rFonts w:asciiTheme="majorBidi" w:hAnsiTheme="majorBidi"/>
        </w:rPr>
        <w:t>f)</w:t>
      </w:r>
      <w:r>
        <w:rPr>
          <w:rFonts w:asciiTheme="majorBidi" w:hAnsiTheme="majorBidi"/>
        </w:rPr>
        <w:tab/>
        <w:t>Proporcionar asesoramiento sobre el modo en que se pueden tener en cuenta la creación y el desarrollo de capacidad, el acceso a tecnología y la transferencia de tecnología y el intercambio de conocimientos en materia de biología sintética con respecto al proyecto de plan de acción temático, a la luz de futuros adelantos en materia de biología sintética y la consecución de los objetivos del Convenio y del Marco;</w:t>
      </w:r>
    </w:p>
    <w:p w14:paraId="51D449D7" w14:textId="78B3511C" w:rsidR="00A43182" w:rsidRPr="0019094B" w:rsidRDefault="00A43182" w:rsidP="00787C84">
      <w:pPr>
        <w:tabs>
          <w:tab w:val="clear" w:pos="567"/>
          <w:tab w:val="clear" w:pos="1134"/>
          <w:tab w:val="clear" w:pos="2268"/>
        </w:tabs>
        <w:snapToGrid w:val="0"/>
        <w:spacing w:before="120" w:after="120"/>
        <w:ind w:left="567" w:firstLine="567"/>
        <w:rPr>
          <w:rFonts w:asciiTheme="majorBidi" w:eastAsia="Times New Roman" w:hAnsiTheme="majorBidi" w:cstheme="majorBidi"/>
          <w:kern w:val="2"/>
          <w14:ligatures w14:val="standardContextual"/>
        </w:rPr>
      </w:pPr>
      <w:r>
        <w:rPr>
          <w:rFonts w:asciiTheme="majorBidi" w:hAnsiTheme="majorBidi"/>
        </w:rPr>
        <w:t>g)</w:t>
      </w:r>
      <w:r>
        <w:rPr>
          <w:rFonts w:asciiTheme="majorBidi" w:hAnsiTheme="majorBidi"/>
        </w:rPr>
        <w:tab/>
        <w:t>Preparar un informe de su labor para que sea considerado por el Órgano Subsidiario de Asesoramiento Científico, Técnico y Tecnológico en su 28ª reunión.</w:t>
      </w:r>
    </w:p>
    <w:p w14:paraId="61D564E2" w14:textId="619FC69A" w:rsidR="002B559C" w:rsidRPr="0019094B" w:rsidRDefault="00ED3849" w:rsidP="00283805">
      <w:pPr>
        <w:pStyle w:val="Para1"/>
        <w:tabs>
          <w:tab w:val="clear" w:pos="926"/>
        </w:tabs>
        <w:jc w:val="center"/>
      </w:pPr>
      <w:r>
        <w:t>__________</w:t>
      </w:r>
    </w:p>
    <w:sectPr w:rsidR="002B559C" w:rsidRPr="0019094B" w:rsidSect="001662BF">
      <w:headerReference w:type="even" r:id="rId25"/>
      <w:headerReference w:type="default" r:id="rId26"/>
      <w:footerReference w:type="even" r:id="rId27"/>
      <w:footerReference w:type="default" r:id="rId28"/>
      <w:headerReference w:type="first" r:id="rId2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8E1D" w14:textId="77777777" w:rsidR="00283F5A" w:rsidRPr="0019094B" w:rsidRDefault="00283F5A" w:rsidP="00A96B21">
      <w:r w:rsidRPr="0019094B">
        <w:separator/>
      </w:r>
    </w:p>
  </w:endnote>
  <w:endnote w:type="continuationSeparator" w:id="0">
    <w:p w14:paraId="18FE41FF" w14:textId="77777777" w:rsidR="00283F5A" w:rsidRPr="0019094B" w:rsidRDefault="00283F5A" w:rsidP="00A96B21">
      <w:r w:rsidRPr="0019094B">
        <w:continuationSeparator/>
      </w:r>
    </w:p>
  </w:endnote>
  <w:endnote w:type="continuationNotice" w:id="1">
    <w:p w14:paraId="63CCC875" w14:textId="77777777" w:rsidR="00283F5A" w:rsidRPr="0019094B" w:rsidRDefault="00283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19094B" w:rsidRDefault="002B559C">
            <w:pPr>
              <w:pStyle w:val="Piedepgina"/>
            </w:pPr>
            <w:r w:rsidRPr="0019094B">
              <w:fldChar w:fldCharType="begin"/>
            </w:r>
            <w:r w:rsidRPr="0019094B">
              <w:instrText xml:space="preserve"> PAGE </w:instrText>
            </w:r>
            <w:r w:rsidRPr="0019094B">
              <w:fldChar w:fldCharType="separate"/>
            </w:r>
            <w:r w:rsidRPr="0019094B">
              <w:t>2</w:t>
            </w:r>
            <w:r w:rsidRPr="0019094B">
              <w:fldChar w:fldCharType="end"/>
            </w:r>
            <w:r>
              <w:t>/</w:t>
            </w:r>
            <w:fldSimple w:instr=" NUMPAGES  ">
              <w:r w:rsidRPr="0019094B">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19094B" w:rsidRDefault="002B559C" w:rsidP="002B559C">
            <w:pPr>
              <w:pStyle w:val="Piedepgina"/>
              <w:jc w:val="right"/>
            </w:pPr>
            <w:r w:rsidRPr="0019094B">
              <w:fldChar w:fldCharType="begin"/>
            </w:r>
            <w:r w:rsidRPr="0019094B">
              <w:instrText xml:space="preserve"> PAGE </w:instrText>
            </w:r>
            <w:r w:rsidRPr="0019094B">
              <w:fldChar w:fldCharType="separate"/>
            </w:r>
            <w:r w:rsidRPr="0019094B">
              <w:t>2</w:t>
            </w:r>
            <w:r w:rsidRPr="0019094B">
              <w:fldChar w:fldCharType="end"/>
            </w:r>
            <w:r>
              <w:t>/</w:t>
            </w:r>
            <w:fldSimple w:instr=" NUMPAGES  ">
              <w:r w:rsidRPr="0019094B">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54FD" w14:textId="77777777" w:rsidR="00283F5A" w:rsidRPr="0019094B" w:rsidRDefault="00283F5A" w:rsidP="00A96B21">
      <w:r w:rsidRPr="0019094B">
        <w:separator/>
      </w:r>
    </w:p>
  </w:footnote>
  <w:footnote w:type="continuationSeparator" w:id="0">
    <w:p w14:paraId="349E6578" w14:textId="77777777" w:rsidR="00283F5A" w:rsidRPr="0019094B" w:rsidRDefault="00283F5A" w:rsidP="00A96B21">
      <w:r w:rsidRPr="0019094B">
        <w:continuationSeparator/>
      </w:r>
    </w:p>
  </w:footnote>
  <w:footnote w:type="continuationNotice" w:id="1">
    <w:p w14:paraId="256FBB67" w14:textId="77777777" w:rsidR="00283F5A" w:rsidRPr="0019094B" w:rsidRDefault="00283F5A"/>
  </w:footnote>
  <w:footnote w:id="2">
    <w:p w14:paraId="200765B6" w14:textId="6E1CB74A" w:rsidR="00D72FC4" w:rsidRPr="00D72FC4" w:rsidRDefault="00D72FC4">
      <w:pPr>
        <w:pStyle w:val="Textonotapie"/>
      </w:pPr>
      <w:r>
        <w:rPr>
          <w:rStyle w:val="Refdenotaalpie"/>
        </w:rPr>
        <w:footnoteRef/>
      </w:r>
      <w:r>
        <w:t xml:space="preserve"> Naciones Unidas, </w:t>
      </w:r>
      <w:r>
        <w:rPr>
          <w:i/>
        </w:rPr>
        <w:t>Treaty Series</w:t>
      </w:r>
      <w:r>
        <w:t>, vol. 2226, núm. 30619.</w:t>
      </w:r>
    </w:p>
  </w:footnote>
  <w:footnote w:id="3">
    <w:p w14:paraId="75D61E0B" w14:textId="6A079793" w:rsidR="00571CCF" w:rsidRPr="0019094B" w:rsidRDefault="00571CCF">
      <w:pPr>
        <w:pStyle w:val="Textonotapie"/>
      </w:pPr>
      <w:r>
        <w:rPr>
          <w:rStyle w:val="Refdenotaalpie"/>
        </w:rPr>
        <w:footnoteRef/>
      </w:r>
      <w:r>
        <w:t xml:space="preserve"> </w:t>
      </w:r>
      <w:r>
        <w:rPr>
          <w:i/>
          <w:iCs/>
        </w:rPr>
        <w:t>Ibid</w:t>
      </w:r>
      <w:r>
        <w:t>., vol. 1760, núm. 30619.</w:t>
      </w:r>
    </w:p>
  </w:footnote>
  <w:footnote w:id="4">
    <w:p w14:paraId="374AB186" w14:textId="18503F36" w:rsidR="0045069A" w:rsidRPr="0045069A" w:rsidRDefault="0045069A">
      <w:pPr>
        <w:pStyle w:val="Textonotapie"/>
      </w:pPr>
      <w:r>
        <w:rPr>
          <w:rStyle w:val="Refdenotaalpie"/>
        </w:rPr>
        <w:footnoteRef/>
      </w:r>
      <w:r>
        <w:t xml:space="preserve"> CBD/SBSTTA/26/4, anexos I, II, III y V.</w:t>
      </w:r>
    </w:p>
  </w:footnote>
  <w:footnote w:id="5">
    <w:p w14:paraId="0DBFAD45" w14:textId="470D3A06" w:rsidR="00C665B9" w:rsidRPr="00C665B9" w:rsidRDefault="00C665B9">
      <w:pPr>
        <w:pStyle w:val="Textonotapie"/>
      </w:pPr>
      <w:r>
        <w:rPr>
          <w:rStyle w:val="Refdenotaalpie"/>
        </w:rPr>
        <w:footnoteRef/>
      </w:r>
      <w:r>
        <w:t xml:space="preserve"> Decisión </w:t>
      </w:r>
      <w:hyperlink r:id="rId1" w:history="1">
        <w:r>
          <w:rPr>
            <w:rStyle w:val="Hipervnculo"/>
          </w:rPr>
          <w:t>15/4</w:t>
        </w:r>
      </w:hyperlink>
      <w:r>
        <w:t>, anexo.</w:t>
      </w:r>
    </w:p>
  </w:footnote>
  <w:footnote w:id="6">
    <w:p w14:paraId="15DBCEFF" w14:textId="4C08E3C4" w:rsidR="006A4F12" w:rsidRPr="0019094B" w:rsidRDefault="006A4F12" w:rsidP="006A4F12">
      <w:pPr>
        <w:pStyle w:val="Textonotapie"/>
      </w:pPr>
      <w:r>
        <w:rPr>
          <w:rStyle w:val="Refdenotaalpie"/>
        </w:rPr>
        <w:footnoteRef/>
      </w:r>
      <w:r>
        <w:t xml:space="preserve"> Decisión </w:t>
      </w:r>
      <w:hyperlink r:id="rId2" w:history="1">
        <w:r>
          <w:rPr>
            <w:rStyle w:val="Hipervnculo"/>
          </w:rPr>
          <w:t>15/8</w:t>
        </w:r>
      </w:hyperlink>
      <w:r>
        <w:t>, anexo I.</w:t>
      </w:r>
    </w:p>
  </w:footnote>
  <w:footnote w:id="7">
    <w:p w14:paraId="2CA0D039" w14:textId="5CA330B8" w:rsidR="006A4F12" w:rsidRPr="00717311" w:rsidRDefault="006A4F12" w:rsidP="006A4F12">
      <w:pPr>
        <w:pStyle w:val="Textonotapie"/>
      </w:pPr>
      <w:r>
        <w:rPr>
          <w:rStyle w:val="Refdenotaalpie"/>
        </w:rPr>
        <w:footnoteRef/>
      </w:r>
      <w:r>
        <w:t xml:space="preserve"> En particular, el plan de acción para la creación de capacidad para el Protocolo de Cartagena sobre Seguridad de la Biotecnología (decisión </w:t>
      </w:r>
      <w:hyperlink r:id="rId3" w:history="1">
        <w:r>
          <w:rPr>
            <w:rStyle w:val="Hipervnculo"/>
          </w:rPr>
          <w:t>CP-10/4</w:t>
        </w:r>
      </w:hyperlink>
      <w:r>
        <w:t>, anexo).</w:t>
      </w:r>
    </w:p>
  </w:footnote>
  <w:footnote w:id="8">
    <w:p w14:paraId="11A6BB24" w14:textId="025A55A0" w:rsidR="006A4F12" w:rsidRPr="00717311" w:rsidRDefault="006A4F12" w:rsidP="006A4F12">
      <w:pPr>
        <w:pStyle w:val="Textonotapie"/>
        <w:rPr>
          <w:szCs w:val="18"/>
        </w:rPr>
      </w:pPr>
      <w:r>
        <w:rPr>
          <w:rStyle w:val="Refdenotaalpie"/>
          <w:szCs w:val="18"/>
        </w:rPr>
        <w:footnoteRef/>
      </w:r>
      <w:r>
        <w:t xml:space="preserve"> Decisión </w:t>
      </w:r>
      <w:hyperlink r:id="rId4" w:history="1">
        <w:r>
          <w:rPr>
            <w:rStyle w:val="Hipervnculo"/>
          </w:rPr>
          <w:t>VIII/10</w:t>
        </w:r>
      </w:hyperlink>
      <w:r>
        <w:t>, anexo III.</w:t>
      </w:r>
    </w:p>
  </w:footnote>
  <w:footnote w:id="9">
    <w:p w14:paraId="00934B5F" w14:textId="2FC41D1A" w:rsidR="00571CCF" w:rsidRPr="0019094B" w:rsidRDefault="00571CCF">
      <w:pPr>
        <w:pStyle w:val="Textonotapie"/>
      </w:pPr>
      <w:r>
        <w:rPr>
          <w:rStyle w:val="Refdenotaalpie"/>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w:t>
      </w:r>
      <w:r>
        <w:t> 1760, núm. 30619.</w:t>
      </w:r>
    </w:p>
  </w:footnote>
  <w:footnote w:id="10">
    <w:p w14:paraId="36E28B3B" w14:textId="5E2E777B" w:rsidR="003765F1" w:rsidRPr="00717311" w:rsidRDefault="003765F1">
      <w:pPr>
        <w:pStyle w:val="Textonotapie"/>
      </w:pPr>
      <w:r>
        <w:rPr>
          <w:rStyle w:val="Refdenotaalpie"/>
        </w:rPr>
        <w:footnoteRef/>
      </w:r>
      <w:r>
        <w:t xml:space="preserve"> Decisión </w:t>
      </w:r>
      <w:hyperlink r:id="rId5" w:history="1">
        <w:r>
          <w:rPr>
            <w:rStyle w:val="Hipervnculo"/>
          </w:rPr>
          <w:t>15/4</w:t>
        </w:r>
      </w:hyperlink>
      <w: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1F7D081C" w:rsidR="00A00234" w:rsidRPr="00717311" w:rsidRDefault="00000000" w:rsidP="00443360">
    <w:pPr>
      <w:pStyle w:val="Encabezado"/>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CF5107">
          <w:rPr>
            <w:szCs w:val="20"/>
          </w:rPr>
          <w:t>CBD/COP/DEC/16/21</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03D5F93C" w:rsidR="002B559C" w:rsidRPr="00717311" w:rsidRDefault="00CF5107" w:rsidP="002B559C">
        <w:pPr>
          <w:pStyle w:val="Encabezado"/>
          <w:spacing w:after="240"/>
          <w:jc w:val="right"/>
          <w:rPr>
            <w:szCs w:val="20"/>
          </w:rPr>
        </w:pPr>
        <w:r w:rsidRPr="00717311">
          <w:rPr>
            <w:szCs w:val="20"/>
          </w:rPr>
          <w:t>CBD/COP/DEC/16/21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19094B"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6CE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732A82B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7525E9E"/>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FF63B4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D80ACC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E1E6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7CA8D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78CD4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CEB43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3CA8565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1944222708">
    <w:abstractNumId w:val="11"/>
  </w:num>
  <w:num w:numId="2" w16cid:durableId="1308514536">
    <w:abstractNumId w:val="12"/>
  </w:num>
  <w:num w:numId="3" w16cid:durableId="35277319">
    <w:abstractNumId w:val="13"/>
  </w:num>
  <w:num w:numId="4" w16cid:durableId="607395260">
    <w:abstractNumId w:val="9"/>
  </w:num>
  <w:num w:numId="5" w16cid:durableId="98110136">
    <w:abstractNumId w:val="7"/>
  </w:num>
  <w:num w:numId="6" w16cid:durableId="920676582">
    <w:abstractNumId w:val="6"/>
  </w:num>
  <w:num w:numId="7" w16cid:durableId="447286378">
    <w:abstractNumId w:val="5"/>
  </w:num>
  <w:num w:numId="8" w16cid:durableId="1532258362">
    <w:abstractNumId w:val="4"/>
  </w:num>
  <w:num w:numId="9" w16cid:durableId="703213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7753791">
    <w:abstractNumId w:val="8"/>
  </w:num>
  <w:num w:numId="11" w16cid:durableId="1399012811">
    <w:abstractNumId w:val="3"/>
  </w:num>
  <w:num w:numId="12" w16cid:durableId="1901791611">
    <w:abstractNumId w:val="2"/>
  </w:num>
  <w:num w:numId="13" w16cid:durableId="1956404648">
    <w:abstractNumId w:val="1"/>
  </w:num>
  <w:num w:numId="14" w16cid:durableId="225648952">
    <w:abstractNumId w:val="0"/>
  </w:num>
  <w:num w:numId="15" w16cid:durableId="45175005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3707"/>
    <w:rsid w:val="00020CA7"/>
    <w:rsid w:val="000238B8"/>
    <w:rsid w:val="0002611F"/>
    <w:rsid w:val="000279A8"/>
    <w:rsid w:val="0003402D"/>
    <w:rsid w:val="00040598"/>
    <w:rsid w:val="000474B7"/>
    <w:rsid w:val="00061E2F"/>
    <w:rsid w:val="00063D71"/>
    <w:rsid w:val="00066827"/>
    <w:rsid w:val="0006764E"/>
    <w:rsid w:val="000712FC"/>
    <w:rsid w:val="00081960"/>
    <w:rsid w:val="00083A87"/>
    <w:rsid w:val="00085B73"/>
    <w:rsid w:val="00093AF1"/>
    <w:rsid w:val="000B0502"/>
    <w:rsid w:val="000B1E29"/>
    <w:rsid w:val="000B5395"/>
    <w:rsid w:val="000C0144"/>
    <w:rsid w:val="000C2611"/>
    <w:rsid w:val="000C4D66"/>
    <w:rsid w:val="000C5810"/>
    <w:rsid w:val="000C5EFA"/>
    <w:rsid w:val="000C7D04"/>
    <w:rsid w:val="000D51B8"/>
    <w:rsid w:val="000D6D1F"/>
    <w:rsid w:val="000E62BB"/>
    <w:rsid w:val="000E7B52"/>
    <w:rsid w:val="000F2DDE"/>
    <w:rsid w:val="000F66FD"/>
    <w:rsid w:val="000F7720"/>
    <w:rsid w:val="00107FE8"/>
    <w:rsid w:val="00110E1B"/>
    <w:rsid w:val="0012411B"/>
    <w:rsid w:val="00132581"/>
    <w:rsid w:val="00137E50"/>
    <w:rsid w:val="00141C97"/>
    <w:rsid w:val="001454DA"/>
    <w:rsid w:val="0014601C"/>
    <w:rsid w:val="0014784C"/>
    <w:rsid w:val="00155BA4"/>
    <w:rsid w:val="001615B6"/>
    <w:rsid w:val="001639BC"/>
    <w:rsid w:val="00164B72"/>
    <w:rsid w:val="00165752"/>
    <w:rsid w:val="001662BF"/>
    <w:rsid w:val="00173505"/>
    <w:rsid w:val="00177426"/>
    <w:rsid w:val="00182689"/>
    <w:rsid w:val="00183ED9"/>
    <w:rsid w:val="00184909"/>
    <w:rsid w:val="0019094B"/>
    <w:rsid w:val="001937FC"/>
    <w:rsid w:val="00195D6C"/>
    <w:rsid w:val="001A0E6D"/>
    <w:rsid w:val="001A2527"/>
    <w:rsid w:val="001A2682"/>
    <w:rsid w:val="001A40DC"/>
    <w:rsid w:val="001A4D38"/>
    <w:rsid w:val="001A67E3"/>
    <w:rsid w:val="001B71A7"/>
    <w:rsid w:val="001C5AB3"/>
    <w:rsid w:val="001D4424"/>
    <w:rsid w:val="001D7501"/>
    <w:rsid w:val="001E37E8"/>
    <w:rsid w:val="001E4E16"/>
    <w:rsid w:val="001E6F91"/>
    <w:rsid w:val="001F0FE6"/>
    <w:rsid w:val="002016E3"/>
    <w:rsid w:val="0021645A"/>
    <w:rsid w:val="00217B45"/>
    <w:rsid w:val="002202D8"/>
    <w:rsid w:val="00220BB1"/>
    <w:rsid w:val="00220C6B"/>
    <w:rsid w:val="002452CC"/>
    <w:rsid w:val="002462F9"/>
    <w:rsid w:val="0025196C"/>
    <w:rsid w:val="002544D0"/>
    <w:rsid w:val="00266567"/>
    <w:rsid w:val="00270E23"/>
    <w:rsid w:val="002727C9"/>
    <w:rsid w:val="002735CD"/>
    <w:rsid w:val="00274657"/>
    <w:rsid w:val="00283805"/>
    <w:rsid w:val="00283F5A"/>
    <w:rsid w:val="00287A8A"/>
    <w:rsid w:val="00297631"/>
    <w:rsid w:val="002A21B8"/>
    <w:rsid w:val="002A5E56"/>
    <w:rsid w:val="002B00CA"/>
    <w:rsid w:val="002B559C"/>
    <w:rsid w:val="002C32CD"/>
    <w:rsid w:val="002C3B82"/>
    <w:rsid w:val="002C7190"/>
    <w:rsid w:val="002D110C"/>
    <w:rsid w:val="002D3EC2"/>
    <w:rsid w:val="002E1C40"/>
    <w:rsid w:val="002E2258"/>
    <w:rsid w:val="002E596F"/>
    <w:rsid w:val="002F261B"/>
    <w:rsid w:val="002F415E"/>
    <w:rsid w:val="002F43A6"/>
    <w:rsid w:val="002F4422"/>
    <w:rsid w:val="002F471A"/>
    <w:rsid w:val="002F528B"/>
    <w:rsid w:val="00303F0B"/>
    <w:rsid w:val="00303F64"/>
    <w:rsid w:val="00304471"/>
    <w:rsid w:val="00310608"/>
    <w:rsid w:val="0031174D"/>
    <w:rsid w:val="00323A97"/>
    <w:rsid w:val="00323F22"/>
    <w:rsid w:val="00324CAF"/>
    <w:rsid w:val="0032513E"/>
    <w:rsid w:val="003277FD"/>
    <w:rsid w:val="00327E46"/>
    <w:rsid w:val="00333CDC"/>
    <w:rsid w:val="003371F2"/>
    <w:rsid w:val="00343C6D"/>
    <w:rsid w:val="003448CF"/>
    <w:rsid w:val="003476A9"/>
    <w:rsid w:val="00352366"/>
    <w:rsid w:val="00364866"/>
    <w:rsid w:val="003737D6"/>
    <w:rsid w:val="00374838"/>
    <w:rsid w:val="003765F1"/>
    <w:rsid w:val="00381831"/>
    <w:rsid w:val="0038428B"/>
    <w:rsid w:val="003A2D71"/>
    <w:rsid w:val="003A585F"/>
    <w:rsid w:val="003B0C60"/>
    <w:rsid w:val="003B408D"/>
    <w:rsid w:val="003B48BC"/>
    <w:rsid w:val="003C3310"/>
    <w:rsid w:val="003C3ADF"/>
    <w:rsid w:val="003C5960"/>
    <w:rsid w:val="003C6F10"/>
    <w:rsid w:val="003C71BF"/>
    <w:rsid w:val="003D14E0"/>
    <w:rsid w:val="003E15AE"/>
    <w:rsid w:val="003E3D3D"/>
    <w:rsid w:val="003F0457"/>
    <w:rsid w:val="003F129B"/>
    <w:rsid w:val="003F2653"/>
    <w:rsid w:val="003F5761"/>
    <w:rsid w:val="003F57D0"/>
    <w:rsid w:val="00405A4F"/>
    <w:rsid w:val="00413D55"/>
    <w:rsid w:val="0042063E"/>
    <w:rsid w:val="00423CA0"/>
    <w:rsid w:val="00427430"/>
    <w:rsid w:val="004343CD"/>
    <w:rsid w:val="00436EF1"/>
    <w:rsid w:val="00441498"/>
    <w:rsid w:val="00443360"/>
    <w:rsid w:val="00443E92"/>
    <w:rsid w:val="0045069A"/>
    <w:rsid w:val="00451819"/>
    <w:rsid w:val="004612E8"/>
    <w:rsid w:val="00462FB7"/>
    <w:rsid w:val="00465DA5"/>
    <w:rsid w:val="004701EE"/>
    <w:rsid w:val="0047234E"/>
    <w:rsid w:val="00472E91"/>
    <w:rsid w:val="00480A8D"/>
    <w:rsid w:val="004862BD"/>
    <w:rsid w:val="00492C92"/>
    <w:rsid w:val="00495024"/>
    <w:rsid w:val="004A2A2D"/>
    <w:rsid w:val="004A3337"/>
    <w:rsid w:val="004A463F"/>
    <w:rsid w:val="004A67B3"/>
    <w:rsid w:val="004A69A9"/>
    <w:rsid w:val="004A789F"/>
    <w:rsid w:val="004B1102"/>
    <w:rsid w:val="004B450D"/>
    <w:rsid w:val="004B6951"/>
    <w:rsid w:val="004C2C9C"/>
    <w:rsid w:val="004C2CCE"/>
    <w:rsid w:val="004C6544"/>
    <w:rsid w:val="004C7E38"/>
    <w:rsid w:val="004D71DC"/>
    <w:rsid w:val="004E03E1"/>
    <w:rsid w:val="004E7BA2"/>
    <w:rsid w:val="0051213B"/>
    <w:rsid w:val="0051617B"/>
    <w:rsid w:val="00520C05"/>
    <w:rsid w:val="00521A36"/>
    <w:rsid w:val="00523D1A"/>
    <w:rsid w:val="005257E1"/>
    <w:rsid w:val="00527D8B"/>
    <w:rsid w:val="00531FFB"/>
    <w:rsid w:val="005334A5"/>
    <w:rsid w:val="005365E7"/>
    <w:rsid w:val="00537248"/>
    <w:rsid w:val="00543873"/>
    <w:rsid w:val="00543F0B"/>
    <w:rsid w:val="00545265"/>
    <w:rsid w:val="005503B7"/>
    <w:rsid w:val="005563D9"/>
    <w:rsid w:val="00556D48"/>
    <w:rsid w:val="005640DE"/>
    <w:rsid w:val="00570BBB"/>
    <w:rsid w:val="00571CCF"/>
    <w:rsid w:val="005849D2"/>
    <w:rsid w:val="005918B8"/>
    <w:rsid w:val="00595A79"/>
    <w:rsid w:val="00597399"/>
    <w:rsid w:val="005A0C8D"/>
    <w:rsid w:val="005A0EF2"/>
    <w:rsid w:val="005A206E"/>
    <w:rsid w:val="005B293E"/>
    <w:rsid w:val="005C0058"/>
    <w:rsid w:val="005D1760"/>
    <w:rsid w:val="005D53F5"/>
    <w:rsid w:val="005E0A02"/>
    <w:rsid w:val="005E2605"/>
    <w:rsid w:val="005E3F17"/>
    <w:rsid w:val="005E69E2"/>
    <w:rsid w:val="005F24FD"/>
    <w:rsid w:val="00601338"/>
    <w:rsid w:val="00607D84"/>
    <w:rsid w:val="00610379"/>
    <w:rsid w:val="006177F2"/>
    <w:rsid w:val="006210F3"/>
    <w:rsid w:val="00622CA1"/>
    <w:rsid w:val="0062350D"/>
    <w:rsid w:val="00623AF7"/>
    <w:rsid w:val="00631CDB"/>
    <w:rsid w:val="006320F0"/>
    <w:rsid w:val="00640025"/>
    <w:rsid w:val="006454F5"/>
    <w:rsid w:val="00647AD1"/>
    <w:rsid w:val="0065206C"/>
    <w:rsid w:val="00657ED6"/>
    <w:rsid w:val="0066738C"/>
    <w:rsid w:val="00675ADF"/>
    <w:rsid w:val="0067738A"/>
    <w:rsid w:val="006777DD"/>
    <w:rsid w:val="00687A8F"/>
    <w:rsid w:val="00696759"/>
    <w:rsid w:val="00697A67"/>
    <w:rsid w:val="006A274A"/>
    <w:rsid w:val="006A4F12"/>
    <w:rsid w:val="006B13E6"/>
    <w:rsid w:val="006B293D"/>
    <w:rsid w:val="006B7DA4"/>
    <w:rsid w:val="006C20D3"/>
    <w:rsid w:val="006C3EFD"/>
    <w:rsid w:val="006C6370"/>
    <w:rsid w:val="006D4AEB"/>
    <w:rsid w:val="006D5C9F"/>
    <w:rsid w:val="006E4904"/>
    <w:rsid w:val="006E54CF"/>
    <w:rsid w:val="006F3EC6"/>
    <w:rsid w:val="006F4DB6"/>
    <w:rsid w:val="006F4F05"/>
    <w:rsid w:val="00704DFE"/>
    <w:rsid w:val="00706A86"/>
    <w:rsid w:val="00717311"/>
    <w:rsid w:val="007223B3"/>
    <w:rsid w:val="00727125"/>
    <w:rsid w:val="00727FFA"/>
    <w:rsid w:val="00733D5A"/>
    <w:rsid w:val="00736176"/>
    <w:rsid w:val="007363B4"/>
    <w:rsid w:val="00740894"/>
    <w:rsid w:val="00741A47"/>
    <w:rsid w:val="0075018F"/>
    <w:rsid w:val="00751471"/>
    <w:rsid w:val="0075214C"/>
    <w:rsid w:val="00755619"/>
    <w:rsid w:val="0076622F"/>
    <w:rsid w:val="00766E05"/>
    <w:rsid w:val="00770CB0"/>
    <w:rsid w:val="00774B41"/>
    <w:rsid w:val="007759CE"/>
    <w:rsid w:val="007772CF"/>
    <w:rsid w:val="00780048"/>
    <w:rsid w:val="00780EAB"/>
    <w:rsid w:val="00781AD5"/>
    <w:rsid w:val="00783CB8"/>
    <w:rsid w:val="00787C84"/>
    <w:rsid w:val="007962EB"/>
    <w:rsid w:val="0079789F"/>
    <w:rsid w:val="007A1C70"/>
    <w:rsid w:val="007B2E27"/>
    <w:rsid w:val="007B35CA"/>
    <w:rsid w:val="007C2D33"/>
    <w:rsid w:val="007C70FA"/>
    <w:rsid w:val="007C77BC"/>
    <w:rsid w:val="007D2226"/>
    <w:rsid w:val="007D45EB"/>
    <w:rsid w:val="007D47CF"/>
    <w:rsid w:val="007D7946"/>
    <w:rsid w:val="007E0C48"/>
    <w:rsid w:val="007E2036"/>
    <w:rsid w:val="007E2408"/>
    <w:rsid w:val="007E2771"/>
    <w:rsid w:val="007E29EC"/>
    <w:rsid w:val="007E30C2"/>
    <w:rsid w:val="007F15E9"/>
    <w:rsid w:val="007F42C0"/>
    <w:rsid w:val="007F7DD2"/>
    <w:rsid w:val="00800E03"/>
    <w:rsid w:val="00803698"/>
    <w:rsid w:val="00815F20"/>
    <w:rsid w:val="0082156D"/>
    <w:rsid w:val="008226F8"/>
    <w:rsid w:val="00822B2A"/>
    <w:rsid w:val="00823FDA"/>
    <w:rsid w:val="00826CB2"/>
    <w:rsid w:val="008413B1"/>
    <w:rsid w:val="00855091"/>
    <w:rsid w:val="008567E9"/>
    <w:rsid w:val="00862891"/>
    <w:rsid w:val="008630CA"/>
    <w:rsid w:val="0086393B"/>
    <w:rsid w:val="00864311"/>
    <w:rsid w:val="008652AE"/>
    <w:rsid w:val="00870F7B"/>
    <w:rsid w:val="00871402"/>
    <w:rsid w:val="00874541"/>
    <w:rsid w:val="0087582D"/>
    <w:rsid w:val="00880330"/>
    <w:rsid w:val="00881451"/>
    <w:rsid w:val="008840D1"/>
    <w:rsid w:val="008A4BAF"/>
    <w:rsid w:val="008B0620"/>
    <w:rsid w:val="008B27E2"/>
    <w:rsid w:val="008B3BB2"/>
    <w:rsid w:val="008C1A94"/>
    <w:rsid w:val="008C1BD6"/>
    <w:rsid w:val="008C6DD2"/>
    <w:rsid w:val="008E0581"/>
    <w:rsid w:val="008F3DC8"/>
    <w:rsid w:val="008F4AC2"/>
    <w:rsid w:val="008F4C48"/>
    <w:rsid w:val="0090250F"/>
    <w:rsid w:val="00902A8D"/>
    <w:rsid w:val="00921105"/>
    <w:rsid w:val="0092204D"/>
    <w:rsid w:val="009235D1"/>
    <w:rsid w:val="00924983"/>
    <w:rsid w:val="00925D46"/>
    <w:rsid w:val="00926CCD"/>
    <w:rsid w:val="0092781F"/>
    <w:rsid w:val="00927A9E"/>
    <w:rsid w:val="0093052F"/>
    <w:rsid w:val="00932F3A"/>
    <w:rsid w:val="0093537D"/>
    <w:rsid w:val="00935461"/>
    <w:rsid w:val="00941160"/>
    <w:rsid w:val="009457AB"/>
    <w:rsid w:val="009459E3"/>
    <w:rsid w:val="00950CED"/>
    <w:rsid w:val="00952AD2"/>
    <w:rsid w:val="00954EA1"/>
    <w:rsid w:val="00956148"/>
    <w:rsid w:val="00957167"/>
    <w:rsid w:val="00957251"/>
    <w:rsid w:val="00960A72"/>
    <w:rsid w:val="00962620"/>
    <w:rsid w:val="009658A9"/>
    <w:rsid w:val="00977DDE"/>
    <w:rsid w:val="00985C5C"/>
    <w:rsid w:val="00992602"/>
    <w:rsid w:val="00995DDC"/>
    <w:rsid w:val="009A2E79"/>
    <w:rsid w:val="009A3211"/>
    <w:rsid w:val="009A6309"/>
    <w:rsid w:val="009B3DAC"/>
    <w:rsid w:val="009B5F94"/>
    <w:rsid w:val="009B6F23"/>
    <w:rsid w:val="009C1114"/>
    <w:rsid w:val="009C2DE6"/>
    <w:rsid w:val="009C4ECF"/>
    <w:rsid w:val="009C5C13"/>
    <w:rsid w:val="009D554C"/>
    <w:rsid w:val="009D5D16"/>
    <w:rsid w:val="009D6226"/>
    <w:rsid w:val="009D6B59"/>
    <w:rsid w:val="009D6FD4"/>
    <w:rsid w:val="009E17DC"/>
    <w:rsid w:val="009E3530"/>
    <w:rsid w:val="009E4752"/>
    <w:rsid w:val="009F0540"/>
    <w:rsid w:val="009F2684"/>
    <w:rsid w:val="00A00234"/>
    <w:rsid w:val="00A17A04"/>
    <w:rsid w:val="00A21DF0"/>
    <w:rsid w:val="00A349E1"/>
    <w:rsid w:val="00A43182"/>
    <w:rsid w:val="00A44D43"/>
    <w:rsid w:val="00A46EA0"/>
    <w:rsid w:val="00A477EB"/>
    <w:rsid w:val="00A50833"/>
    <w:rsid w:val="00A529C4"/>
    <w:rsid w:val="00A54FA0"/>
    <w:rsid w:val="00A64561"/>
    <w:rsid w:val="00A65B61"/>
    <w:rsid w:val="00A86864"/>
    <w:rsid w:val="00A924B5"/>
    <w:rsid w:val="00A954B3"/>
    <w:rsid w:val="00A96720"/>
    <w:rsid w:val="00A96B21"/>
    <w:rsid w:val="00A97481"/>
    <w:rsid w:val="00AA1C6E"/>
    <w:rsid w:val="00AA58BF"/>
    <w:rsid w:val="00AA7DD6"/>
    <w:rsid w:val="00AB226F"/>
    <w:rsid w:val="00AB6077"/>
    <w:rsid w:val="00AC36DD"/>
    <w:rsid w:val="00AC7EF6"/>
    <w:rsid w:val="00AD5F58"/>
    <w:rsid w:val="00AD6EA3"/>
    <w:rsid w:val="00AE122C"/>
    <w:rsid w:val="00AE1A95"/>
    <w:rsid w:val="00AF1455"/>
    <w:rsid w:val="00AF29C4"/>
    <w:rsid w:val="00AF44CB"/>
    <w:rsid w:val="00B04A10"/>
    <w:rsid w:val="00B04D89"/>
    <w:rsid w:val="00B05D9F"/>
    <w:rsid w:val="00B13878"/>
    <w:rsid w:val="00B177FE"/>
    <w:rsid w:val="00B21857"/>
    <w:rsid w:val="00B25ECF"/>
    <w:rsid w:val="00B2616A"/>
    <w:rsid w:val="00B331BA"/>
    <w:rsid w:val="00B34CF0"/>
    <w:rsid w:val="00B35AFA"/>
    <w:rsid w:val="00B36DDE"/>
    <w:rsid w:val="00B36EA9"/>
    <w:rsid w:val="00B41BF6"/>
    <w:rsid w:val="00B451EE"/>
    <w:rsid w:val="00B47BB1"/>
    <w:rsid w:val="00B5042B"/>
    <w:rsid w:val="00B551AB"/>
    <w:rsid w:val="00B578E9"/>
    <w:rsid w:val="00B60016"/>
    <w:rsid w:val="00B75860"/>
    <w:rsid w:val="00B77AAF"/>
    <w:rsid w:val="00B817C4"/>
    <w:rsid w:val="00B826A0"/>
    <w:rsid w:val="00B852F5"/>
    <w:rsid w:val="00B93533"/>
    <w:rsid w:val="00B9563F"/>
    <w:rsid w:val="00B9665D"/>
    <w:rsid w:val="00BA5082"/>
    <w:rsid w:val="00BA62F3"/>
    <w:rsid w:val="00BA64C0"/>
    <w:rsid w:val="00BB37D0"/>
    <w:rsid w:val="00BB60F0"/>
    <w:rsid w:val="00BC223D"/>
    <w:rsid w:val="00BD0E77"/>
    <w:rsid w:val="00BE354B"/>
    <w:rsid w:val="00BE3769"/>
    <w:rsid w:val="00BE5B71"/>
    <w:rsid w:val="00BF268D"/>
    <w:rsid w:val="00C03227"/>
    <w:rsid w:val="00C06F7F"/>
    <w:rsid w:val="00C14AE9"/>
    <w:rsid w:val="00C14C49"/>
    <w:rsid w:val="00C15BD2"/>
    <w:rsid w:val="00C20356"/>
    <w:rsid w:val="00C21885"/>
    <w:rsid w:val="00C2354A"/>
    <w:rsid w:val="00C4092B"/>
    <w:rsid w:val="00C463EA"/>
    <w:rsid w:val="00C47A7A"/>
    <w:rsid w:val="00C50D53"/>
    <w:rsid w:val="00C57DD0"/>
    <w:rsid w:val="00C62FAA"/>
    <w:rsid w:val="00C64984"/>
    <w:rsid w:val="00C665B9"/>
    <w:rsid w:val="00C768C4"/>
    <w:rsid w:val="00C77683"/>
    <w:rsid w:val="00C81AB6"/>
    <w:rsid w:val="00C850B8"/>
    <w:rsid w:val="00C85A0A"/>
    <w:rsid w:val="00C90883"/>
    <w:rsid w:val="00CA00CD"/>
    <w:rsid w:val="00CA7BE5"/>
    <w:rsid w:val="00CB0D9D"/>
    <w:rsid w:val="00CB37DE"/>
    <w:rsid w:val="00CB457C"/>
    <w:rsid w:val="00CB4992"/>
    <w:rsid w:val="00CE3C5D"/>
    <w:rsid w:val="00CE495A"/>
    <w:rsid w:val="00CE58C5"/>
    <w:rsid w:val="00CF5107"/>
    <w:rsid w:val="00CF6BF0"/>
    <w:rsid w:val="00CF6DC1"/>
    <w:rsid w:val="00CF70AB"/>
    <w:rsid w:val="00D0207B"/>
    <w:rsid w:val="00D02962"/>
    <w:rsid w:val="00D119E1"/>
    <w:rsid w:val="00D3059B"/>
    <w:rsid w:val="00D35517"/>
    <w:rsid w:val="00D371B6"/>
    <w:rsid w:val="00D37DFC"/>
    <w:rsid w:val="00D37EA0"/>
    <w:rsid w:val="00D4110C"/>
    <w:rsid w:val="00D47430"/>
    <w:rsid w:val="00D50E29"/>
    <w:rsid w:val="00D56748"/>
    <w:rsid w:val="00D5744A"/>
    <w:rsid w:val="00D60046"/>
    <w:rsid w:val="00D64F28"/>
    <w:rsid w:val="00D71FFB"/>
    <w:rsid w:val="00D72FC4"/>
    <w:rsid w:val="00D77CFA"/>
    <w:rsid w:val="00D83E12"/>
    <w:rsid w:val="00D840EE"/>
    <w:rsid w:val="00D9043A"/>
    <w:rsid w:val="00D94739"/>
    <w:rsid w:val="00DA0A3E"/>
    <w:rsid w:val="00DA6E54"/>
    <w:rsid w:val="00DA7CA1"/>
    <w:rsid w:val="00DB6040"/>
    <w:rsid w:val="00DB7DFA"/>
    <w:rsid w:val="00DC53F4"/>
    <w:rsid w:val="00DC7F76"/>
    <w:rsid w:val="00DD1F56"/>
    <w:rsid w:val="00DD2C19"/>
    <w:rsid w:val="00DE0348"/>
    <w:rsid w:val="00DE513B"/>
    <w:rsid w:val="00DF5533"/>
    <w:rsid w:val="00DF58F3"/>
    <w:rsid w:val="00DF6463"/>
    <w:rsid w:val="00DF75D9"/>
    <w:rsid w:val="00E02A57"/>
    <w:rsid w:val="00E04DF4"/>
    <w:rsid w:val="00E13C94"/>
    <w:rsid w:val="00E1597C"/>
    <w:rsid w:val="00E1798E"/>
    <w:rsid w:val="00E31BFC"/>
    <w:rsid w:val="00E35111"/>
    <w:rsid w:val="00E3671D"/>
    <w:rsid w:val="00E511A4"/>
    <w:rsid w:val="00E554CA"/>
    <w:rsid w:val="00E55C41"/>
    <w:rsid w:val="00E62D00"/>
    <w:rsid w:val="00E64F29"/>
    <w:rsid w:val="00E66856"/>
    <w:rsid w:val="00E71D1D"/>
    <w:rsid w:val="00E740AC"/>
    <w:rsid w:val="00E76F7F"/>
    <w:rsid w:val="00E82E08"/>
    <w:rsid w:val="00E82F95"/>
    <w:rsid w:val="00E954F7"/>
    <w:rsid w:val="00EA350D"/>
    <w:rsid w:val="00EB09A5"/>
    <w:rsid w:val="00EC5A99"/>
    <w:rsid w:val="00EC6569"/>
    <w:rsid w:val="00ED0CB1"/>
    <w:rsid w:val="00ED254E"/>
    <w:rsid w:val="00ED3849"/>
    <w:rsid w:val="00EE0122"/>
    <w:rsid w:val="00EE1938"/>
    <w:rsid w:val="00EE5B6E"/>
    <w:rsid w:val="00EF23B2"/>
    <w:rsid w:val="00EF463A"/>
    <w:rsid w:val="00EF4A55"/>
    <w:rsid w:val="00EF4E34"/>
    <w:rsid w:val="00EF6BF9"/>
    <w:rsid w:val="00F0122F"/>
    <w:rsid w:val="00F119AF"/>
    <w:rsid w:val="00F1537F"/>
    <w:rsid w:val="00F15E7D"/>
    <w:rsid w:val="00F16B26"/>
    <w:rsid w:val="00F222CA"/>
    <w:rsid w:val="00F23E66"/>
    <w:rsid w:val="00F24B17"/>
    <w:rsid w:val="00F258FB"/>
    <w:rsid w:val="00F30A91"/>
    <w:rsid w:val="00F45577"/>
    <w:rsid w:val="00F47085"/>
    <w:rsid w:val="00F47704"/>
    <w:rsid w:val="00F52157"/>
    <w:rsid w:val="00F532ED"/>
    <w:rsid w:val="00F66889"/>
    <w:rsid w:val="00F71421"/>
    <w:rsid w:val="00F75F90"/>
    <w:rsid w:val="00F81C8C"/>
    <w:rsid w:val="00F8298A"/>
    <w:rsid w:val="00F82F5F"/>
    <w:rsid w:val="00F862D7"/>
    <w:rsid w:val="00F86BDB"/>
    <w:rsid w:val="00F91DF8"/>
    <w:rsid w:val="00FA08A4"/>
    <w:rsid w:val="00FA18C9"/>
    <w:rsid w:val="00FA43BB"/>
    <w:rsid w:val="00FA494D"/>
    <w:rsid w:val="00FB1035"/>
    <w:rsid w:val="00FB12E3"/>
    <w:rsid w:val="00FB56B4"/>
    <w:rsid w:val="00FB653C"/>
    <w:rsid w:val="00FC7D35"/>
    <w:rsid w:val="00FD1962"/>
    <w:rsid w:val="00FD58D6"/>
    <w:rsid w:val="00FD6AED"/>
    <w:rsid w:val="00FE0B22"/>
    <w:rsid w:val="00FE447A"/>
    <w:rsid w:val="00FF1166"/>
    <w:rsid w:val="00FF502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0F23D8CE-0D59-4278-AF66-DD77C8E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4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19094B"/>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19094B"/>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19094B"/>
    <w:pPr>
      <w:keepNext/>
      <w:keepLines/>
      <w:numPr>
        <w:ilvl w:val="2"/>
        <w:numId w:val="2"/>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19094B"/>
    <w:pPr>
      <w:keepNext/>
      <w:numPr>
        <w:ilvl w:val="3"/>
        <w:numId w:val="2"/>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19094B"/>
    <w:pPr>
      <w:keepNext/>
      <w:numPr>
        <w:ilvl w:val="4"/>
        <w:numId w:val="2"/>
      </w:numPr>
      <w:spacing w:before="120" w:after="120"/>
      <w:jc w:val="left"/>
      <w:outlineLvl w:val="4"/>
    </w:pPr>
    <w:rPr>
      <w:rFonts w:eastAsiaTheme="majorEastAsia"/>
      <w:i/>
      <w:iCs/>
    </w:rPr>
  </w:style>
  <w:style w:type="paragraph" w:styleId="Ttulo6">
    <w:name w:val="heading 6"/>
    <w:basedOn w:val="Normal"/>
    <w:next w:val="Normal"/>
    <w:link w:val="Ttulo6Car"/>
    <w:semiHidden/>
    <w:rsid w:val="0019094B"/>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19094B"/>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19094B"/>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19094B"/>
    <w:pPr>
      <w:keepNext/>
      <w:widowControl w:val="0"/>
      <w:numPr>
        <w:ilvl w:val="8"/>
        <w:numId w:val="3"/>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19094B"/>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19094B"/>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19094B"/>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19094B"/>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19094B"/>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19094B"/>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19094B"/>
    <w:rPr>
      <w:vertAlign w:val="superscript"/>
      <w:lang w:val="es-ES"/>
    </w:rPr>
  </w:style>
  <w:style w:type="paragraph" w:customStyle="1" w:styleId="Footnote">
    <w:name w:val="Footnote"/>
    <w:basedOn w:val="Textonotapie"/>
    <w:qFormat/>
    <w:rsid w:val="0019094B"/>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926"/>
      </w:tabs>
      <w:spacing w:before="120" w:after="120"/>
      <w:ind w:left="567"/>
    </w:pPr>
  </w:style>
  <w:style w:type="character" w:customStyle="1" w:styleId="Ttulo2Car">
    <w:name w:val="Título 2 Car"/>
    <w:basedOn w:val="Fuentedeprrafopredeter"/>
    <w:link w:val="Ttulo2"/>
    <w:uiPriority w:val="9"/>
    <w:rsid w:val="0019094B"/>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19094B"/>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19094B"/>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19094B"/>
    <w:pPr>
      <w:tabs>
        <w:tab w:val="center" w:pos="4680"/>
        <w:tab w:val="right" w:pos="9360"/>
      </w:tabs>
    </w:pPr>
    <w:rPr>
      <w:sz w:val="20"/>
    </w:rPr>
  </w:style>
  <w:style w:type="character" w:customStyle="1" w:styleId="PiedepginaCar">
    <w:name w:val="Pie de página Car"/>
    <w:basedOn w:val="Fuentedeprrafopredeter"/>
    <w:link w:val="Piedepgina"/>
    <w:uiPriority w:val="99"/>
    <w:rsid w:val="0019094B"/>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19094B"/>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19094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19094B"/>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19094B"/>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19094B"/>
    <w:rPr>
      <w:sz w:val="16"/>
      <w:szCs w:val="16"/>
      <w:lang w:val="es-ES"/>
    </w:rPr>
  </w:style>
  <w:style w:type="paragraph" w:styleId="Textocomentario">
    <w:name w:val="annotation text"/>
    <w:basedOn w:val="Normal"/>
    <w:link w:val="TextocomentarioCar"/>
    <w:uiPriority w:val="99"/>
    <w:rsid w:val="0019094B"/>
    <w:rPr>
      <w:sz w:val="20"/>
      <w:szCs w:val="20"/>
    </w:rPr>
  </w:style>
  <w:style w:type="character" w:customStyle="1" w:styleId="TextocomentarioCar">
    <w:name w:val="Texto comentario Car"/>
    <w:basedOn w:val="Fuentedeprrafopredeter"/>
    <w:link w:val="Textocomentario"/>
    <w:uiPriority w:val="99"/>
    <w:rsid w:val="0019094B"/>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19094B"/>
    <w:rPr>
      <w:b/>
      <w:bCs/>
    </w:rPr>
  </w:style>
  <w:style w:type="character" w:customStyle="1" w:styleId="AsuntodelcomentarioCar">
    <w:name w:val="Asunto del comentario Car"/>
    <w:basedOn w:val="TextocomentarioCar"/>
    <w:link w:val="Asuntodelcomentario"/>
    <w:uiPriority w:val="99"/>
    <w:semiHidden/>
    <w:rsid w:val="0019094B"/>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19094B"/>
    <w:pPr>
      <w:jc w:val="left"/>
    </w:pPr>
  </w:style>
  <w:style w:type="paragraph" w:customStyle="1" w:styleId="AASmallLogo">
    <w:name w:val="AA_SmallLogo"/>
    <w:basedOn w:val="AEDistrNormal"/>
    <w:unhideWhenUsed/>
    <w:rsid w:val="0019094B"/>
    <w:pPr>
      <w:spacing w:before="40"/>
    </w:pPr>
    <w:rPr>
      <w:sz w:val="4"/>
    </w:rPr>
  </w:style>
  <w:style w:type="paragraph" w:customStyle="1" w:styleId="ABSymbol">
    <w:name w:val="AB_Symbol"/>
    <w:basedOn w:val="Normal"/>
    <w:qFormat/>
    <w:rsid w:val="0019094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19094B"/>
    <w:pPr>
      <w:spacing w:before="120"/>
      <w:contextualSpacing/>
    </w:pPr>
    <w:rPr>
      <w:sz w:val="8"/>
    </w:rPr>
  </w:style>
  <w:style w:type="paragraph" w:customStyle="1" w:styleId="AEDistrNormal6pt">
    <w:name w:val="AE_DistrNormal6pt"/>
    <w:basedOn w:val="AEDistrNormal"/>
    <w:next w:val="AFCorNNormal"/>
    <w:unhideWhenUsed/>
    <w:qFormat/>
    <w:rsid w:val="0019094B"/>
    <w:pPr>
      <w:spacing w:before="120"/>
    </w:pPr>
  </w:style>
  <w:style w:type="paragraph" w:customStyle="1" w:styleId="AENormal">
    <w:name w:val="AE_Normal"/>
    <w:basedOn w:val="Normal"/>
    <w:rsid w:val="0019094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19094B"/>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19094B"/>
    <w:pPr>
      <w:keepNext/>
      <w:keepLines/>
      <w:spacing w:before="240" w:after="120"/>
      <w:jc w:val="left"/>
    </w:pPr>
    <w:rPr>
      <w:b/>
      <w:sz w:val="24"/>
    </w:rPr>
  </w:style>
  <w:style w:type="paragraph" w:customStyle="1" w:styleId="CBDNormal">
    <w:name w:val="CBD_Normal"/>
    <w:unhideWhenUsed/>
    <w:qFormat/>
    <w:rsid w:val="0019094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19094B"/>
    <w:pPr>
      <w:keepNext/>
      <w:keepLines/>
      <w:spacing w:after="240"/>
      <w:jc w:val="left"/>
    </w:pPr>
    <w:rPr>
      <w:b/>
      <w:sz w:val="28"/>
      <w:lang w:bidi="ar-SY"/>
    </w:rPr>
  </w:style>
  <w:style w:type="paragraph" w:customStyle="1" w:styleId="CBDDesicionAnnex">
    <w:name w:val="CBD_DesicionAnnex"/>
    <w:basedOn w:val="CBDNormal"/>
    <w:next w:val="CBDDesicionText"/>
    <w:qFormat/>
    <w:rsid w:val="0019094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19094B"/>
    <w:pPr>
      <w:spacing w:after="120"/>
      <w:ind w:left="567" w:firstLine="567"/>
    </w:pPr>
  </w:style>
  <w:style w:type="paragraph" w:customStyle="1" w:styleId="CBDFigureTitle">
    <w:name w:val="CBD_FigureTitle"/>
    <w:basedOn w:val="CBDNormal"/>
    <w:next w:val="CBDNormalNoNumber"/>
    <w:qFormat/>
    <w:rsid w:val="0019094B"/>
    <w:pPr>
      <w:keepNext/>
      <w:keepLines/>
      <w:spacing w:before="120" w:after="60"/>
      <w:ind w:left="567"/>
      <w:jc w:val="left"/>
    </w:pPr>
    <w:rPr>
      <w:b/>
    </w:rPr>
  </w:style>
  <w:style w:type="paragraph" w:customStyle="1" w:styleId="CBDFooter">
    <w:name w:val="CBD_Footer"/>
    <w:basedOn w:val="CBDNormal"/>
    <w:qFormat/>
    <w:rsid w:val="0019094B"/>
    <w:rPr>
      <w:sz w:val="20"/>
    </w:rPr>
  </w:style>
  <w:style w:type="paragraph" w:customStyle="1" w:styleId="CBDFootnoteText">
    <w:name w:val="CBD_Footnote_Text"/>
    <w:basedOn w:val="CBDNormal"/>
    <w:qFormat/>
    <w:rsid w:val="0019094B"/>
    <w:pPr>
      <w:jc w:val="left"/>
    </w:pPr>
    <w:rPr>
      <w:sz w:val="18"/>
    </w:rPr>
  </w:style>
  <w:style w:type="paragraph" w:customStyle="1" w:styleId="CBDH1">
    <w:name w:val="CBD_H1"/>
    <w:basedOn w:val="CBDNormal"/>
    <w:qFormat/>
    <w:rsid w:val="0019094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19094B"/>
    <w:pPr>
      <w:numPr>
        <w:numId w:val="1"/>
      </w:numPr>
      <w:tabs>
        <w:tab w:val="left" w:pos="3969"/>
      </w:tabs>
      <w:spacing w:before="120" w:after="120"/>
    </w:pPr>
  </w:style>
  <w:style w:type="paragraph" w:customStyle="1" w:styleId="CBDH2">
    <w:name w:val="CBD_H2"/>
    <w:basedOn w:val="CBDNormalNumber"/>
    <w:qFormat/>
    <w:rsid w:val="0019094B"/>
    <w:pPr>
      <w:keepNext/>
      <w:keepLines/>
      <w:numPr>
        <w:numId w:val="0"/>
      </w:numPr>
      <w:ind w:left="567" w:hanging="567"/>
    </w:pPr>
    <w:rPr>
      <w:b/>
      <w:sz w:val="24"/>
    </w:rPr>
  </w:style>
  <w:style w:type="paragraph" w:customStyle="1" w:styleId="CBDH3">
    <w:name w:val="CBD_H3"/>
    <w:basedOn w:val="CBDNormal"/>
    <w:qFormat/>
    <w:rsid w:val="0019094B"/>
    <w:pPr>
      <w:keepNext/>
      <w:keepLines/>
      <w:spacing w:before="120" w:after="120"/>
      <w:ind w:left="567" w:hanging="567"/>
      <w:jc w:val="left"/>
    </w:pPr>
    <w:rPr>
      <w:b/>
    </w:rPr>
  </w:style>
  <w:style w:type="paragraph" w:customStyle="1" w:styleId="CBDH4">
    <w:name w:val="CBD_H4"/>
    <w:basedOn w:val="CBDNormal"/>
    <w:rsid w:val="0019094B"/>
    <w:pPr>
      <w:keepNext/>
      <w:keepLines/>
      <w:spacing w:before="120" w:after="120"/>
      <w:ind w:left="567" w:hanging="567"/>
      <w:jc w:val="left"/>
    </w:pPr>
    <w:rPr>
      <w:b/>
    </w:rPr>
  </w:style>
  <w:style w:type="paragraph" w:customStyle="1" w:styleId="CBDH5">
    <w:name w:val="CBD_H5"/>
    <w:basedOn w:val="CBDNormal"/>
    <w:qFormat/>
    <w:rsid w:val="0019094B"/>
    <w:pPr>
      <w:keepNext/>
      <w:keepLines/>
      <w:spacing w:before="120" w:after="120"/>
      <w:ind w:left="567" w:hanging="567"/>
      <w:jc w:val="left"/>
    </w:pPr>
    <w:rPr>
      <w:i/>
    </w:rPr>
  </w:style>
  <w:style w:type="paragraph" w:customStyle="1" w:styleId="CBDHeader">
    <w:name w:val="CBD_Header"/>
    <w:basedOn w:val="CBDNormal"/>
    <w:next w:val="CBDFooter"/>
    <w:qFormat/>
    <w:rsid w:val="0019094B"/>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19094B"/>
    <w:pPr>
      <w:numPr>
        <w:numId w:val="15"/>
      </w:numPr>
    </w:pPr>
  </w:style>
  <w:style w:type="numbering" w:customStyle="1" w:styleId="CBDHeadings">
    <w:name w:val="CBD_Headings"/>
    <w:basedOn w:val="ListCBD"/>
    <w:uiPriority w:val="99"/>
    <w:rsid w:val="0019094B"/>
    <w:pPr>
      <w:numPr>
        <w:numId w:val="2"/>
      </w:numPr>
    </w:pPr>
  </w:style>
  <w:style w:type="paragraph" w:customStyle="1" w:styleId="CBDNormalNoNumber">
    <w:name w:val="CBD_Normal_NoNumber"/>
    <w:basedOn w:val="CBDNormal"/>
    <w:qFormat/>
    <w:rsid w:val="0019094B"/>
    <w:pPr>
      <w:spacing w:after="120"/>
      <w:ind w:left="567"/>
    </w:pPr>
  </w:style>
  <w:style w:type="paragraph" w:customStyle="1" w:styleId="CBDSubTitle">
    <w:name w:val="CBD_SubTitle"/>
    <w:basedOn w:val="CBDNormal"/>
    <w:qFormat/>
    <w:rsid w:val="0019094B"/>
    <w:pPr>
      <w:keepNext/>
      <w:keepLines/>
      <w:spacing w:before="240" w:after="240"/>
      <w:ind w:left="567"/>
      <w:jc w:val="left"/>
    </w:pPr>
    <w:rPr>
      <w:b/>
    </w:rPr>
  </w:style>
  <w:style w:type="paragraph" w:customStyle="1" w:styleId="CBDTableNormal">
    <w:name w:val="CBD_TableNormal"/>
    <w:basedOn w:val="CBDNormal"/>
    <w:qFormat/>
    <w:rsid w:val="0019094B"/>
    <w:pPr>
      <w:spacing w:before="40" w:after="80"/>
      <w:jc w:val="left"/>
    </w:pPr>
    <w:rPr>
      <w:sz w:val="20"/>
    </w:rPr>
  </w:style>
  <w:style w:type="paragraph" w:customStyle="1" w:styleId="CBDTableTitle">
    <w:name w:val="CBD_TableTitle"/>
    <w:basedOn w:val="CBDNormal"/>
    <w:qFormat/>
    <w:rsid w:val="0019094B"/>
    <w:pPr>
      <w:keepNext/>
      <w:keepLines/>
      <w:spacing w:before="120" w:after="60"/>
      <w:ind w:left="567"/>
      <w:jc w:val="left"/>
    </w:pPr>
    <w:rPr>
      <w:b/>
    </w:rPr>
  </w:style>
  <w:style w:type="paragraph" w:customStyle="1" w:styleId="CBDTitle">
    <w:name w:val="CBD_Title"/>
    <w:basedOn w:val="CBDNormal"/>
    <w:next w:val="CBDSubTitle"/>
    <w:qFormat/>
    <w:rsid w:val="0019094B"/>
    <w:pPr>
      <w:keepNext/>
      <w:keepLines/>
      <w:spacing w:before="240" w:after="240"/>
      <w:ind w:left="567"/>
      <w:jc w:val="left"/>
    </w:pPr>
    <w:rPr>
      <w:b/>
      <w:sz w:val="28"/>
    </w:rPr>
  </w:style>
  <w:style w:type="character" w:customStyle="1" w:styleId="Ttulo6Car">
    <w:name w:val="Título 6 Car"/>
    <w:basedOn w:val="Fuentedeprrafopredeter"/>
    <w:link w:val="Ttulo6"/>
    <w:semiHidden/>
    <w:rsid w:val="0019094B"/>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19094B"/>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19094B"/>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19094B"/>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19094B"/>
    <w:rPr>
      <w:rFonts w:ascii="Times New Roman" w:hAnsi="Times New Roman"/>
      <w:color w:val="0563C1" w:themeColor="hyperlink"/>
      <w:u w:val="single"/>
      <w:lang w:val="es-ES"/>
    </w:rPr>
  </w:style>
  <w:style w:type="paragraph" w:styleId="Lista">
    <w:name w:val="List"/>
    <w:basedOn w:val="Normal"/>
    <w:semiHidden/>
    <w:rsid w:val="0019094B"/>
    <w:pPr>
      <w:contextualSpacing/>
    </w:pPr>
  </w:style>
  <w:style w:type="paragraph" w:styleId="Prrafodelista">
    <w:name w:val="List Paragraph"/>
    <w:basedOn w:val="Normal"/>
    <w:uiPriority w:val="34"/>
    <w:qFormat/>
    <w:rsid w:val="0019094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443360"/>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styleId="Mencinsinresolver">
    <w:name w:val="Unresolved Mention"/>
    <w:basedOn w:val="Fuentedeprrafopredeter"/>
    <w:uiPriority w:val="99"/>
    <w:semiHidden/>
    <w:unhideWhenUsed/>
    <w:rsid w:val="00183ED9"/>
    <w:rPr>
      <w:color w:val="605E5C"/>
      <w:shd w:val="clear" w:color="auto" w:fill="E1DFDD"/>
      <w:lang w:val="es-ES"/>
    </w:rPr>
  </w:style>
  <w:style w:type="paragraph" w:styleId="Revisin">
    <w:name w:val="Revision"/>
    <w:hidden/>
    <w:uiPriority w:val="99"/>
    <w:semiHidden/>
    <w:rsid w:val="0019094B"/>
    <w:pPr>
      <w:spacing w:after="0" w:line="240" w:lineRule="auto"/>
    </w:pPr>
    <w:rPr>
      <w:rFonts w:ascii="Simplified Arabic" w:eastAsia="Times New Roman" w:hAnsi="Simplified Arabic" w:cs="Simplified Arabic"/>
      <w:noProof/>
      <w:kern w:val="0"/>
      <w:sz w:val="24"/>
      <w:szCs w:val="24"/>
      <w14:ligatures w14:val="none"/>
    </w:rPr>
  </w:style>
  <w:style w:type="character" w:styleId="Hipervnculovisitado">
    <w:name w:val="FollowedHyperlink"/>
    <w:basedOn w:val="Fuentedeprrafopredeter"/>
    <w:uiPriority w:val="99"/>
    <w:semiHidden/>
    <w:unhideWhenUsed/>
    <w:rsid w:val="00E954F7"/>
    <w:rPr>
      <w:color w:val="954F72" w:themeColor="followedHyperlink"/>
      <w:u w:val="single"/>
      <w:lang w:val="es-ES"/>
    </w:rPr>
  </w:style>
  <w:style w:type="paragraph" w:customStyle="1" w:styleId="DarkList-Accent31">
    <w:name w:val="Dark List - Accent 31"/>
    <w:hidden/>
    <w:uiPriority w:val="99"/>
    <w:semiHidden/>
    <w:rsid w:val="0019094B"/>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19094B"/>
    <w:pPr>
      <w:jc w:val="left"/>
    </w:pPr>
  </w:style>
  <w:style w:type="paragraph" w:customStyle="1" w:styleId="AFCorNBold">
    <w:name w:val="AF_CorNBold"/>
    <w:basedOn w:val="AFCorNNormal"/>
    <w:next w:val="AFCorNNormal"/>
    <w:unhideWhenUsed/>
    <w:qFormat/>
    <w:rsid w:val="0019094B"/>
    <w:rPr>
      <w:b/>
    </w:rPr>
  </w:style>
  <w:style w:type="paragraph" w:customStyle="1" w:styleId="AFCorN12Bold">
    <w:name w:val="AF_CorN12Bold"/>
    <w:basedOn w:val="AFCorNNormal"/>
    <w:next w:val="AFCorNNormal"/>
    <w:unhideWhenUsed/>
    <w:qFormat/>
    <w:rsid w:val="0019094B"/>
    <w:rPr>
      <w:b/>
      <w:sz w:val="24"/>
    </w:rPr>
  </w:style>
  <w:style w:type="paragraph" w:styleId="TDC1">
    <w:name w:val="toc 1"/>
    <w:basedOn w:val="CBDNormal"/>
    <w:next w:val="Normal"/>
    <w:autoRedefine/>
    <w:uiPriority w:val="39"/>
    <w:unhideWhenUsed/>
    <w:rsid w:val="0019094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19094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19094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19094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19094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19094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19094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19094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19094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1909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094B"/>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19094B"/>
  </w:style>
  <w:style w:type="paragraph" w:styleId="Textodebloque">
    <w:name w:val="Block Text"/>
    <w:basedOn w:val="Normal"/>
    <w:uiPriority w:val="99"/>
    <w:semiHidden/>
    <w:unhideWhenUsed/>
    <w:rsid w:val="001909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19094B"/>
    <w:pPr>
      <w:spacing w:after="120" w:line="480" w:lineRule="auto"/>
    </w:pPr>
  </w:style>
  <w:style w:type="character" w:customStyle="1" w:styleId="Textoindependiente2Car">
    <w:name w:val="Texto independiente 2 Car"/>
    <w:basedOn w:val="Fuentedeprrafopredeter"/>
    <w:link w:val="Textoindependiente2"/>
    <w:uiPriority w:val="99"/>
    <w:semiHidden/>
    <w:rsid w:val="0019094B"/>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19094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9094B"/>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19094B"/>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19094B"/>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19094B"/>
    <w:pPr>
      <w:spacing w:after="120"/>
      <w:ind w:left="283"/>
    </w:pPr>
  </w:style>
  <w:style w:type="character" w:customStyle="1" w:styleId="SangradetextonormalCar">
    <w:name w:val="Sangría de texto normal Car"/>
    <w:basedOn w:val="Fuentedeprrafopredeter"/>
    <w:link w:val="Sangradetextonormal"/>
    <w:uiPriority w:val="99"/>
    <w:semiHidden/>
    <w:rsid w:val="0019094B"/>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19094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9094B"/>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1909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9094B"/>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19094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9094B"/>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19094B"/>
    <w:rPr>
      <w:b/>
      <w:bCs/>
      <w:i/>
      <w:iCs/>
      <w:spacing w:val="5"/>
      <w:lang w:val="es-ES"/>
    </w:rPr>
  </w:style>
  <w:style w:type="paragraph" w:styleId="Descripcin">
    <w:name w:val="caption"/>
    <w:basedOn w:val="Normal"/>
    <w:next w:val="Normal"/>
    <w:uiPriority w:val="35"/>
    <w:semiHidden/>
    <w:unhideWhenUsed/>
    <w:qFormat/>
    <w:rsid w:val="0019094B"/>
    <w:pPr>
      <w:spacing w:after="200"/>
    </w:pPr>
    <w:rPr>
      <w:i/>
      <w:iCs/>
      <w:color w:val="44546A" w:themeColor="text2"/>
      <w:sz w:val="18"/>
      <w:szCs w:val="18"/>
    </w:rPr>
  </w:style>
  <w:style w:type="paragraph" w:styleId="Cierre">
    <w:name w:val="Closing"/>
    <w:basedOn w:val="Normal"/>
    <w:link w:val="CierreCar"/>
    <w:uiPriority w:val="99"/>
    <w:semiHidden/>
    <w:unhideWhenUsed/>
    <w:rsid w:val="0019094B"/>
    <w:pPr>
      <w:ind w:left="4252"/>
    </w:pPr>
  </w:style>
  <w:style w:type="character" w:customStyle="1" w:styleId="CierreCar">
    <w:name w:val="Cierre Car"/>
    <w:basedOn w:val="Fuentedeprrafopredeter"/>
    <w:link w:val="Cierre"/>
    <w:uiPriority w:val="99"/>
    <w:semiHidden/>
    <w:rsid w:val="0019094B"/>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1909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1909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1909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1909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1909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1909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1909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1909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19094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19094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19094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19094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19094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19094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19094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19094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19094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19094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19094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19094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19094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19094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19094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19094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19094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19094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19094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19094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19094B"/>
  </w:style>
  <w:style w:type="character" w:customStyle="1" w:styleId="FechaCar">
    <w:name w:val="Fecha Car"/>
    <w:basedOn w:val="Fuentedeprrafopredeter"/>
    <w:link w:val="Fecha"/>
    <w:uiPriority w:val="99"/>
    <w:semiHidden/>
    <w:rsid w:val="0019094B"/>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19094B"/>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19094B"/>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19094B"/>
  </w:style>
  <w:style w:type="character" w:customStyle="1" w:styleId="FirmadecorreoelectrnicoCar">
    <w:name w:val="Firma de correo electrónico Car"/>
    <w:basedOn w:val="Fuentedeprrafopredeter"/>
    <w:link w:val="Firmadecorreoelectrnico"/>
    <w:uiPriority w:val="99"/>
    <w:semiHidden/>
    <w:rsid w:val="0019094B"/>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19094B"/>
    <w:rPr>
      <w:i/>
      <w:iCs/>
      <w:lang w:val="es-ES"/>
    </w:rPr>
  </w:style>
  <w:style w:type="character" w:styleId="Refdenotaalfinal">
    <w:name w:val="endnote reference"/>
    <w:basedOn w:val="Fuentedeprrafopredeter"/>
    <w:uiPriority w:val="99"/>
    <w:semiHidden/>
    <w:unhideWhenUsed/>
    <w:rsid w:val="0019094B"/>
    <w:rPr>
      <w:vertAlign w:val="superscript"/>
      <w:lang w:val="es-ES"/>
    </w:rPr>
  </w:style>
  <w:style w:type="paragraph" w:styleId="Textonotaalfinal">
    <w:name w:val="endnote text"/>
    <w:basedOn w:val="Normal"/>
    <w:link w:val="TextonotaalfinalCar"/>
    <w:uiPriority w:val="99"/>
    <w:semiHidden/>
    <w:unhideWhenUsed/>
    <w:rsid w:val="0019094B"/>
    <w:rPr>
      <w:sz w:val="20"/>
      <w:szCs w:val="20"/>
    </w:rPr>
  </w:style>
  <w:style w:type="character" w:customStyle="1" w:styleId="TextonotaalfinalCar">
    <w:name w:val="Texto nota al final Car"/>
    <w:basedOn w:val="Fuentedeprrafopredeter"/>
    <w:link w:val="Textonotaalfinal"/>
    <w:uiPriority w:val="99"/>
    <w:semiHidden/>
    <w:rsid w:val="0019094B"/>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19094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19094B"/>
    <w:rPr>
      <w:rFonts w:asciiTheme="majorHAnsi" w:eastAsiaTheme="majorEastAsia" w:hAnsiTheme="majorHAnsi" w:cstheme="majorBidi"/>
      <w:sz w:val="20"/>
      <w:szCs w:val="20"/>
    </w:rPr>
  </w:style>
  <w:style w:type="table" w:styleId="Tablaconcuadrcula1clara">
    <w:name w:val="Grid Table 1 Light"/>
    <w:basedOn w:val="Tablanormal"/>
    <w:uiPriority w:val="46"/>
    <w:rsid w:val="001909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9094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19094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19094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19094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19094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19094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1909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19094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19094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19094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19094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19094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19094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1909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1909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19094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1909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19094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19094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19094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1909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1909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19094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1909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19094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19094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19094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1909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1909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1909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1909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1909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1909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1909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1909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19094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19094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19094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19094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19094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19094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1909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19094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19094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19094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19094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19094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19094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19094B"/>
    <w:rPr>
      <w:color w:val="2B579A"/>
      <w:shd w:val="clear" w:color="auto" w:fill="E1DFDD"/>
      <w:lang w:val="es-ES"/>
    </w:rPr>
  </w:style>
  <w:style w:type="character" w:styleId="AcrnimoHTML">
    <w:name w:val="HTML Acronym"/>
    <w:basedOn w:val="Fuentedeprrafopredeter"/>
    <w:uiPriority w:val="99"/>
    <w:semiHidden/>
    <w:unhideWhenUsed/>
    <w:rsid w:val="0019094B"/>
    <w:rPr>
      <w:lang w:val="es-ES"/>
    </w:rPr>
  </w:style>
  <w:style w:type="paragraph" w:styleId="DireccinHTML">
    <w:name w:val="HTML Address"/>
    <w:basedOn w:val="Normal"/>
    <w:link w:val="DireccinHTMLCar"/>
    <w:uiPriority w:val="99"/>
    <w:semiHidden/>
    <w:unhideWhenUsed/>
    <w:rsid w:val="0019094B"/>
    <w:rPr>
      <w:i/>
      <w:iCs/>
    </w:rPr>
  </w:style>
  <w:style w:type="character" w:customStyle="1" w:styleId="DireccinHTMLCar">
    <w:name w:val="Dirección HTML Car"/>
    <w:basedOn w:val="Fuentedeprrafopredeter"/>
    <w:link w:val="DireccinHTML"/>
    <w:uiPriority w:val="99"/>
    <w:semiHidden/>
    <w:rsid w:val="0019094B"/>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19094B"/>
    <w:rPr>
      <w:i/>
      <w:iCs/>
      <w:lang w:val="es-ES"/>
    </w:rPr>
  </w:style>
  <w:style w:type="character" w:styleId="CdigoHTML">
    <w:name w:val="HTML Code"/>
    <w:basedOn w:val="Fuentedeprrafopredeter"/>
    <w:uiPriority w:val="99"/>
    <w:semiHidden/>
    <w:unhideWhenUsed/>
    <w:rsid w:val="0019094B"/>
    <w:rPr>
      <w:rFonts w:ascii="Consolas" w:hAnsi="Consolas"/>
      <w:sz w:val="20"/>
      <w:szCs w:val="20"/>
      <w:lang w:val="es-ES"/>
    </w:rPr>
  </w:style>
  <w:style w:type="character" w:styleId="DefinicinHTML">
    <w:name w:val="HTML Definition"/>
    <w:basedOn w:val="Fuentedeprrafopredeter"/>
    <w:uiPriority w:val="99"/>
    <w:semiHidden/>
    <w:unhideWhenUsed/>
    <w:rsid w:val="0019094B"/>
    <w:rPr>
      <w:i/>
      <w:iCs/>
      <w:lang w:val="es-ES"/>
    </w:rPr>
  </w:style>
  <w:style w:type="character" w:styleId="TecladoHTML">
    <w:name w:val="HTML Keyboard"/>
    <w:basedOn w:val="Fuentedeprrafopredeter"/>
    <w:uiPriority w:val="99"/>
    <w:semiHidden/>
    <w:unhideWhenUsed/>
    <w:rsid w:val="0019094B"/>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19094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9094B"/>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19094B"/>
    <w:rPr>
      <w:rFonts w:ascii="Consolas" w:hAnsi="Consolas"/>
      <w:sz w:val="24"/>
      <w:szCs w:val="24"/>
      <w:lang w:val="es-ES"/>
    </w:rPr>
  </w:style>
  <w:style w:type="character" w:styleId="MquinadeescribirHTML">
    <w:name w:val="HTML Typewriter"/>
    <w:basedOn w:val="Fuentedeprrafopredeter"/>
    <w:uiPriority w:val="99"/>
    <w:semiHidden/>
    <w:unhideWhenUsed/>
    <w:rsid w:val="0019094B"/>
    <w:rPr>
      <w:rFonts w:ascii="Consolas" w:hAnsi="Consolas"/>
      <w:sz w:val="20"/>
      <w:szCs w:val="20"/>
      <w:lang w:val="es-ES"/>
    </w:rPr>
  </w:style>
  <w:style w:type="character" w:styleId="VariableHTML">
    <w:name w:val="HTML Variable"/>
    <w:basedOn w:val="Fuentedeprrafopredeter"/>
    <w:uiPriority w:val="99"/>
    <w:semiHidden/>
    <w:unhideWhenUsed/>
    <w:rsid w:val="0019094B"/>
    <w:rPr>
      <w:i/>
      <w:iCs/>
      <w:lang w:val="es-ES"/>
    </w:rPr>
  </w:style>
  <w:style w:type="paragraph" w:styleId="ndice1">
    <w:name w:val="index 1"/>
    <w:basedOn w:val="Normal"/>
    <w:next w:val="Normal"/>
    <w:autoRedefine/>
    <w:uiPriority w:val="99"/>
    <w:semiHidden/>
    <w:unhideWhenUsed/>
    <w:rsid w:val="0019094B"/>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19094B"/>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19094B"/>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19094B"/>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19094B"/>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19094B"/>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19094B"/>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19094B"/>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19094B"/>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19094B"/>
    <w:rPr>
      <w:rFonts w:asciiTheme="majorHAnsi" w:eastAsiaTheme="majorEastAsia" w:hAnsiTheme="majorHAnsi" w:cstheme="majorBidi"/>
      <w:b/>
      <w:bCs/>
    </w:rPr>
  </w:style>
  <w:style w:type="character" w:styleId="nfasisintenso">
    <w:name w:val="Intense Emphasis"/>
    <w:basedOn w:val="Fuentedeprrafopredeter"/>
    <w:uiPriority w:val="21"/>
    <w:qFormat/>
    <w:rsid w:val="0019094B"/>
    <w:rPr>
      <w:i/>
      <w:iCs/>
      <w:color w:val="4472C4" w:themeColor="accent1"/>
      <w:lang w:val="es-ES"/>
    </w:rPr>
  </w:style>
  <w:style w:type="paragraph" w:styleId="Citadestacada">
    <w:name w:val="Intense Quote"/>
    <w:basedOn w:val="Normal"/>
    <w:next w:val="Normal"/>
    <w:link w:val="CitadestacadaCar"/>
    <w:uiPriority w:val="30"/>
    <w:qFormat/>
    <w:rsid w:val="001909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19094B"/>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19094B"/>
    <w:rPr>
      <w:b/>
      <w:bCs/>
      <w:smallCaps/>
      <w:color w:val="4472C4" w:themeColor="accent1"/>
      <w:spacing w:val="5"/>
      <w:lang w:val="es-ES"/>
    </w:rPr>
  </w:style>
  <w:style w:type="table" w:styleId="Cuadrculaclara">
    <w:name w:val="Light Grid"/>
    <w:basedOn w:val="Tablanormal"/>
    <w:uiPriority w:val="62"/>
    <w:semiHidden/>
    <w:unhideWhenUsed/>
    <w:rsid w:val="001909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19094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19094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19094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19094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19094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19094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1909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19094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19094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19094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19094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19094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19094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1909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19094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19094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19094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19094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19094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19094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19094B"/>
    <w:rPr>
      <w:lang w:val="es-ES"/>
    </w:rPr>
  </w:style>
  <w:style w:type="paragraph" w:styleId="Lista2">
    <w:name w:val="List 2"/>
    <w:basedOn w:val="Normal"/>
    <w:uiPriority w:val="99"/>
    <w:semiHidden/>
    <w:unhideWhenUsed/>
    <w:rsid w:val="0019094B"/>
    <w:pPr>
      <w:ind w:left="566" w:hanging="283"/>
      <w:contextualSpacing/>
    </w:pPr>
  </w:style>
  <w:style w:type="paragraph" w:styleId="Lista3">
    <w:name w:val="List 3"/>
    <w:basedOn w:val="Normal"/>
    <w:uiPriority w:val="99"/>
    <w:semiHidden/>
    <w:unhideWhenUsed/>
    <w:rsid w:val="0019094B"/>
    <w:pPr>
      <w:ind w:left="849" w:hanging="283"/>
      <w:contextualSpacing/>
    </w:pPr>
  </w:style>
  <w:style w:type="paragraph" w:styleId="Lista4">
    <w:name w:val="List 4"/>
    <w:basedOn w:val="Normal"/>
    <w:uiPriority w:val="99"/>
    <w:semiHidden/>
    <w:unhideWhenUsed/>
    <w:rsid w:val="0019094B"/>
    <w:pPr>
      <w:ind w:left="1132" w:hanging="283"/>
      <w:contextualSpacing/>
    </w:pPr>
  </w:style>
  <w:style w:type="paragraph" w:styleId="Lista5">
    <w:name w:val="List 5"/>
    <w:basedOn w:val="Normal"/>
    <w:uiPriority w:val="99"/>
    <w:semiHidden/>
    <w:unhideWhenUsed/>
    <w:rsid w:val="0019094B"/>
    <w:pPr>
      <w:ind w:left="1415" w:hanging="283"/>
      <w:contextualSpacing/>
    </w:pPr>
  </w:style>
  <w:style w:type="paragraph" w:styleId="Listaconvietas">
    <w:name w:val="List Bullet"/>
    <w:basedOn w:val="Normal"/>
    <w:uiPriority w:val="99"/>
    <w:semiHidden/>
    <w:unhideWhenUsed/>
    <w:rsid w:val="0019094B"/>
    <w:pPr>
      <w:numPr>
        <w:numId w:val="4"/>
      </w:numPr>
      <w:contextualSpacing/>
    </w:pPr>
  </w:style>
  <w:style w:type="paragraph" w:styleId="Listaconvietas2">
    <w:name w:val="List Bullet 2"/>
    <w:basedOn w:val="Normal"/>
    <w:uiPriority w:val="99"/>
    <w:semiHidden/>
    <w:unhideWhenUsed/>
    <w:rsid w:val="0019094B"/>
    <w:pPr>
      <w:numPr>
        <w:numId w:val="5"/>
      </w:numPr>
      <w:contextualSpacing/>
    </w:pPr>
  </w:style>
  <w:style w:type="paragraph" w:styleId="Listaconvietas3">
    <w:name w:val="List Bullet 3"/>
    <w:basedOn w:val="Normal"/>
    <w:uiPriority w:val="99"/>
    <w:semiHidden/>
    <w:unhideWhenUsed/>
    <w:rsid w:val="0019094B"/>
    <w:pPr>
      <w:numPr>
        <w:numId w:val="6"/>
      </w:numPr>
      <w:contextualSpacing/>
    </w:pPr>
  </w:style>
  <w:style w:type="paragraph" w:styleId="Listaconvietas4">
    <w:name w:val="List Bullet 4"/>
    <w:basedOn w:val="Normal"/>
    <w:uiPriority w:val="99"/>
    <w:semiHidden/>
    <w:unhideWhenUsed/>
    <w:rsid w:val="0019094B"/>
    <w:pPr>
      <w:numPr>
        <w:numId w:val="7"/>
      </w:numPr>
      <w:contextualSpacing/>
    </w:pPr>
  </w:style>
  <w:style w:type="paragraph" w:styleId="Listaconvietas5">
    <w:name w:val="List Bullet 5"/>
    <w:basedOn w:val="Normal"/>
    <w:uiPriority w:val="99"/>
    <w:semiHidden/>
    <w:unhideWhenUsed/>
    <w:rsid w:val="0019094B"/>
    <w:pPr>
      <w:numPr>
        <w:numId w:val="8"/>
      </w:numPr>
      <w:contextualSpacing/>
    </w:pPr>
  </w:style>
  <w:style w:type="paragraph" w:styleId="Continuarlista">
    <w:name w:val="List Continue"/>
    <w:basedOn w:val="Normal"/>
    <w:uiPriority w:val="99"/>
    <w:semiHidden/>
    <w:unhideWhenUsed/>
    <w:rsid w:val="0019094B"/>
    <w:pPr>
      <w:spacing w:after="120"/>
      <w:ind w:left="283"/>
      <w:contextualSpacing/>
    </w:pPr>
  </w:style>
  <w:style w:type="paragraph" w:styleId="Continuarlista2">
    <w:name w:val="List Continue 2"/>
    <w:basedOn w:val="Normal"/>
    <w:uiPriority w:val="99"/>
    <w:semiHidden/>
    <w:unhideWhenUsed/>
    <w:rsid w:val="0019094B"/>
    <w:pPr>
      <w:spacing w:after="120"/>
      <w:ind w:left="566"/>
      <w:contextualSpacing/>
    </w:pPr>
  </w:style>
  <w:style w:type="paragraph" w:styleId="Continuarlista3">
    <w:name w:val="List Continue 3"/>
    <w:basedOn w:val="Normal"/>
    <w:uiPriority w:val="99"/>
    <w:semiHidden/>
    <w:unhideWhenUsed/>
    <w:rsid w:val="0019094B"/>
    <w:pPr>
      <w:spacing w:after="120"/>
      <w:ind w:left="849"/>
      <w:contextualSpacing/>
    </w:pPr>
  </w:style>
  <w:style w:type="paragraph" w:styleId="Continuarlista4">
    <w:name w:val="List Continue 4"/>
    <w:basedOn w:val="Normal"/>
    <w:uiPriority w:val="99"/>
    <w:semiHidden/>
    <w:unhideWhenUsed/>
    <w:rsid w:val="0019094B"/>
    <w:pPr>
      <w:spacing w:after="120"/>
      <w:ind w:left="1132"/>
      <w:contextualSpacing/>
    </w:pPr>
  </w:style>
  <w:style w:type="paragraph" w:styleId="Continuarlista5">
    <w:name w:val="List Continue 5"/>
    <w:basedOn w:val="Normal"/>
    <w:uiPriority w:val="99"/>
    <w:semiHidden/>
    <w:unhideWhenUsed/>
    <w:rsid w:val="0019094B"/>
    <w:pPr>
      <w:spacing w:after="120"/>
      <w:ind w:left="1415"/>
      <w:contextualSpacing/>
    </w:pPr>
  </w:style>
  <w:style w:type="paragraph" w:styleId="Listaconnmeros">
    <w:name w:val="List Number"/>
    <w:basedOn w:val="Normal"/>
    <w:uiPriority w:val="99"/>
    <w:semiHidden/>
    <w:unhideWhenUsed/>
    <w:rsid w:val="0019094B"/>
    <w:pPr>
      <w:numPr>
        <w:numId w:val="10"/>
      </w:numPr>
      <w:contextualSpacing/>
    </w:pPr>
  </w:style>
  <w:style w:type="paragraph" w:styleId="Listaconnmeros2">
    <w:name w:val="List Number 2"/>
    <w:basedOn w:val="Normal"/>
    <w:uiPriority w:val="99"/>
    <w:semiHidden/>
    <w:unhideWhenUsed/>
    <w:rsid w:val="0019094B"/>
    <w:pPr>
      <w:numPr>
        <w:numId w:val="11"/>
      </w:numPr>
      <w:contextualSpacing/>
    </w:pPr>
  </w:style>
  <w:style w:type="paragraph" w:styleId="Listaconnmeros3">
    <w:name w:val="List Number 3"/>
    <w:basedOn w:val="Normal"/>
    <w:uiPriority w:val="99"/>
    <w:semiHidden/>
    <w:unhideWhenUsed/>
    <w:rsid w:val="0019094B"/>
    <w:pPr>
      <w:numPr>
        <w:numId w:val="12"/>
      </w:numPr>
      <w:contextualSpacing/>
    </w:pPr>
  </w:style>
  <w:style w:type="paragraph" w:styleId="Listaconnmeros4">
    <w:name w:val="List Number 4"/>
    <w:basedOn w:val="Normal"/>
    <w:uiPriority w:val="99"/>
    <w:semiHidden/>
    <w:unhideWhenUsed/>
    <w:rsid w:val="0019094B"/>
    <w:pPr>
      <w:numPr>
        <w:numId w:val="13"/>
      </w:numPr>
      <w:contextualSpacing/>
    </w:pPr>
  </w:style>
  <w:style w:type="paragraph" w:styleId="Listaconnmeros5">
    <w:name w:val="List Number 5"/>
    <w:basedOn w:val="Normal"/>
    <w:uiPriority w:val="99"/>
    <w:semiHidden/>
    <w:unhideWhenUsed/>
    <w:rsid w:val="0019094B"/>
    <w:pPr>
      <w:numPr>
        <w:numId w:val="14"/>
      </w:numPr>
      <w:contextualSpacing/>
    </w:pPr>
  </w:style>
  <w:style w:type="table" w:styleId="Tabladelista1clara">
    <w:name w:val="List Table 1 Light"/>
    <w:basedOn w:val="Tablanormal"/>
    <w:uiPriority w:val="46"/>
    <w:rsid w:val="001909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19094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19094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19094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19094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19094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19094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19094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19094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19094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19094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19094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19094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19094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1909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19094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19094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19094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19094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19094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19094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1909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1909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19094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1909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19094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19094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19094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1909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19094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19094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19094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19094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19094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19094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1909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19094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19094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19094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19094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19094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19094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1909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19094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19094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19094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19094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19094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19094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19094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19094B"/>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1909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19094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19094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19094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19094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19094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19094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1909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1909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1909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1909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1909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1909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1909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1909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19094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19094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19094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19094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19094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19094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1909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1909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19094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19094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19094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19094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19094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19094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1909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1909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1909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1909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1909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1909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1909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19094B"/>
    <w:rPr>
      <w:color w:val="2B579A"/>
      <w:shd w:val="clear" w:color="auto" w:fill="E1DFDD"/>
      <w:lang w:val="es-ES"/>
    </w:rPr>
  </w:style>
  <w:style w:type="paragraph" w:styleId="Encabezadodemensaje">
    <w:name w:val="Message Header"/>
    <w:basedOn w:val="Normal"/>
    <w:link w:val="EncabezadodemensajeCar"/>
    <w:uiPriority w:val="99"/>
    <w:semiHidden/>
    <w:unhideWhenUsed/>
    <w:rsid w:val="001909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19094B"/>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19094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19094B"/>
    <w:rPr>
      <w:sz w:val="24"/>
      <w:szCs w:val="24"/>
    </w:rPr>
  </w:style>
  <w:style w:type="paragraph" w:styleId="Sangranormal">
    <w:name w:val="Normal Indent"/>
    <w:basedOn w:val="Normal"/>
    <w:uiPriority w:val="99"/>
    <w:semiHidden/>
    <w:unhideWhenUsed/>
    <w:rsid w:val="0019094B"/>
    <w:pPr>
      <w:ind w:left="720"/>
    </w:pPr>
  </w:style>
  <w:style w:type="paragraph" w:styleId="Encabezadodenota">
    <w:name w:val="Note Heading"/>
    <w:basedOn w:val="Normal"/>
    <w:next w:val="Normal"/>
    <w:link w:val="EncabezadodenotaCar"/>
    <w:uiPriority w:val="99"/>
    <w:semiHidden/>
    <w:unhideWhenUsed/>
    <w:rsid w:val="0019094B"/>
  </w:style>
  <w:style w:type="character" w:customStyle="1" w:styleId="EncabezadodenotaCar">
    <w:name w:val="Encabezado de nota Car"/>
    <w:basedOn w:val="Fuentedeprrafopredeter"/>
    <w:link w:val="Encabezadodenota"/>
    <w:uiPriority w:val="99"/>
    <w:semiHidden/>
    <w:rsid w:val="0019094B"/>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19094B"/>
    <w:rPr>
      <w:lang w:val="es-ES"/>
    </w:rPr>
  </w:style>
  <w:style w:type="table" w:styleId="Tablanormal1">
    <w:name w:val="Plain Table 1"/>
    <w:basedOn w:val="Tablanormal"/>
    <w:uiPriority w:val="41"/>
    <w:rsid w:val="001909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909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1909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1909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1909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19094B"/>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9094B"/>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19094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9094B"/>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19094B"/>
  </w:style>
  <w:style w:type="character" w:customStyle="1" w:styleId="SaludoCar">
    <w:name w:val="Saludo Car"/>
    <w:basedOn w:val="Fuentedeprrafopredeter"/>
    <w:link w:val="Saludo"/>
    <w:uiPriority w:val="99"/>
    <w:semiHidden/>
    <w:rsid w:val="0019094B"/>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19094B"/>
    <w:pPr>
      <w:ind w:left="4252"/>
    </w:pPr>
  </w:style>
  <w:style w:type="character" w:customStyle="1" w:styleId="FirmaCar">
    <w:name w:val="Firma Car"/>
    <w:basedOn w:val="Fuentedeprrafopredeter"/>
    <w:link w:val="Firma"/>
    <w:uiPriority w:val="99"/>
    <w:semiHidden/>
    <w:rsid w:val="0019094B"/>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19094B"/>
    <w:rPr>
      <w:u w:val="dotted"/>
      <w:lang w:val="es-ES"/>
    </w:rPr>
  </w:style>
  <w:style w:type="character" w:styleId="SmartLink">
    <w:name w:val="Smart Link"/>
    <w:basedOn w:val="Fuentedeprrafopredeter"/>
    <w:uiPriority w:val="99"/>
    <w:semiHidden/>
    <w:unhideWhenUsed/>
    <w:rsid w:val="0019094B"/>
    <w:rPr>
      <w:color w:val="0000FF"/>
      <w:u w:val="single"/>
      <w:shd w:val="clear" w:color="auto" w:fill="F3F2F1"/>
      <w:lang w:val="es-ES"/>
    </w:rPr>
  </w:style>
  <w:style w:type="character" w:styleId="Textoennegrita">
    <w:name w:val="Strong"/>
    <w:basedOn w:val="Fuentedeprrafopredeter"/>
    <w:uiPriority w:val="22"/>
    <w:qFormat/>
    <w:rsid w:val="0019094B"/>
    <w:rPr>
      <w:b/>
      <w:bCs/>
      <w:lang w:val="es-ES"/>
    </w:rPr>
  </w:style>
  <w:style w:type="character" w:styleId="nfasissutil">
    <w:name w:val="Subtle Emphasis"/>
    <w:basedOn w:val="Fuentedeprrafopredeter"/>
    <w:uiPriority w:val="19"/>
    <w:qFormat/>
    <w:rsid w:val="0019094B"/>
    <w:rPr>
      <w:i/>
      <w:iCs/>
      <w:color w:val="404040" w:themeColor="text1" w:themeTint="BF"/>
      <w:lang w:val="es-ES"/>
    </w:rPr>
  </w:style>
  <w:style w:type="character" w:styleId="Referenciasutil">
    <w:name w:val="Subtle Reference"/>
    <w:basedOn w:val="Fuentedeprrafopredeter"/>
    <w:uiPriority w:val="31"/>
    <w:qFormat/>
    <w:rsid w:val="0019094B"/>
    <w:rPr>
      <w:smallCaps/>
      <w:color w:val="5A5A5A" w:themeColor="text1" w:themeTint="A5"/>
      <w:lang w:val="es-ES"/>
    </w:rPr>
  </w:style>
  <w:style w:type="table" w:styleId="Tablaconefectos3D1">
    <w:name w:val="Table 3D effects 1"/>
    <w:basedOn w:val="Tablanormal"/>
    <w:uiPriority w:val="99"/>
    <w:semiHidden/>
    <w:unhideWhenUsed/>
    <w:rsid w:val="0019094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19094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19094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19094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19094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19094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19094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19094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19094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19094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19094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19094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19094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19094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19094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1909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19094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19094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19094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19094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19094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19094B"/>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19094B"/>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19094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19094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19094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19094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19094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19094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19094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19094B"/>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19094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mop-07/mop-07-dec-12-es.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bd.int/convention/articles/default.shtml?a=cbd-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31-es.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08-es.pdf" TargetMode="External"/><Relationship Id="rId20" Type="http://schemas.openxmlformats.org/officeDocument/2006/relationships/hyperlink" Target="https://www.cbd.int/doc/legal/cbd-es.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oc/decisions/cop-14/cop-14-dec-33-e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5/cop-15-dec-04-es.pdf" TargetMode="External"/><Relationship Id="rId23" Type="http://schemas.openxmlformats.org/officeDocument/2006/relationships/hyperlink" Target="https://www.cbd.int/doc/decisions/cop-10/cop-10-dec-40-es.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legal/cbd-es.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19-es.pdf" TargetMode="External"/><Relationship Id="rId22" Type="http://schemas.openxmlformats.org/officeDocument/2006/relationships/hyperlink" Target="https://www.cbd.int/convention/articles/default.shtml?a=cbd-18"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p-mop-10/cp-mop-10-dec-04-es.pdf" TargetMode="External"/><Relationship Id="rId2" Type="http://schemas.openxmlformats.org/officeDocument/2006/relationships/hyperlink" Target="https://www.cbd.int/doc/decisions/cop-15/cop-15-dec-08-es.pdf" TargetMode="External"/><Relationship Id="rId1"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08/full/cop-08-de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C4B33A4584799BDD3582843DEE59F"/>
        <w:category>
          <w:name w:val="General"/>
          <w:gallery w:val="placeholder"/>
        </w:category>
        <w:types>
          <w:type w:val="bbPlcHdr"/>
        </w:types>
        <w:behaviors>
          <w:behavior w:val="content"/>
        </w:behaviors>
        <w:guid w:val="{823D0D08-C938-40AF-80A1-2D6581736210}"/>
      </w:docPartPr>
      <w:docPartBody>
        <w:p w:rsidR="006A5139" w:rsidRDefault="006C5F67" w:rsidP="006C5F67">
          <w:pPr>
            <w:pStyle w:val="5ECC4B33A4584799BDD3582843DEE59F"/>
          </w:pPr>
          <w:r w:rsidRPr="00302849">
            <w:rPr>
              <w:rStyle w:val="Textodelmarcadordeposicin"/>
            </w:rPr>
            <w:t>General</w:t>
          </w:r>
        </w:p>
      </w:docPartBody>
    </w:docPart>
    <w:docPart>
      <w:docPartPr>
        <w:name w:val="14EC21178CC941888B0263E7190EB63D"/>
        <w:category>
          <w:name w:val="General"/>
          <w:gallery w:val="placeholder"/>
        </w:category>
        <w:types>
          <w:type w:val="bbPlcHdr"/>
        </w:types>
        <w:behaviors>
          <w:behavior w:val="content"/>
        </w:behaviors>
        <w:guid w:val="{873E4281-4C20-4E48-B848-1FB3D7C9240F}"/>
      </w:docPartPr>
      <w:docPartBody>
        <w:p w:rsidR="006A5139" w:rsidRDefault="006C5F67" w:rsidP="006C5F67">
          <w:pPr>
            <w:pStyle w:val="14EC21178CC941888B0263E7190EB63D"/>
          </w:pPr>
          <w:r w:rsidRPr="00302849">
            <w:rPr>
              <w:rStyle w:val="Textodelmarcadordeposicin"/>
            </w:rPr>
            <w:t>[Date]</w:t>
          </w:r>
        </w:p>
      </w:docPartBody>
    </w:docPart>
    <w:docPart>
      <w:docPartPr>
        <w:name w:val="7B3683FCD1484C5B981914599BBA6F4A"/>
        <w:category>
          <w:name w:val="General"/>
          <w:gallery w:val="placeholder"/>
        </w:category>
        <w:types>
          <w:type w:val="bbPlcHdr"/>
        </w:types>
        <w:behaviors>
          <w:behavior w:val="content"/>
        </w:behaviors>
        <w:guid w:val="{CB6A5C78-0858-4947-8A77-BEB1A17E2699}"/>
      </w:docPartPr>
      <w:docPartBody>
        <w:p w:rsidR="006A5139" w:rsidRDefault="006C5F67" w:rsidP="006C5F67">
          <w:pPr>
            <w:pStyle w:val="7B3683FCD1484C5B981914599BBA6F4A"/>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3073E40E67374A918DD8794E37E1F3A8"/>
        <w:category>
          <w:name w:val="General"/>
          <w:gallery w:val="placeholder"/>
        </w:category>
        <w:types>
          <w:type w:val="bbPlcHdr"/>
        </w:types>
        <w:behaviors>
          <w:behavior w:val="content"/>
        </w:behaviors>
        <w:guid w:val="{A8D16A60-E077-4742-A21A-9B403CF2E9C4}"/>
      </w:docPartPr>
      <w:docPartBody>
        <w:p w:rsidR="006A5139" w:rsidRDefault="006C5F67" w:rsidP="006C5F67">
          <w:pPr>
            <w:pStyle w:val="3073E40E67374A918DD8794E37E1F3A8"/>
          </w:pPr>
          <w:r w:rsidRPr="00302849">
            <w:rPr>
              <w:rStyle w:val="Textodelmarcadordeposicin"/>
            </w:rPr>
            <w:t>Meeting name (part 1)</w:t>
          </w:r>
        </w:p>
      </w:docPartBody>
    </w:docPart>
    <w:docPart>
      <w:docPartPr>
        <w:name w:val="B6F3983F56BC40A7A359B7FD5AD16591"/>
        <w:category>
          <w:name w:val="General"/>
          <w:gallery w:val="placeholder"/>
        </w:category>
        <w:types>
          <w:type w:val="bbPlcHdr"/>
        </w:types>
        <w:behaviors>
          <w:behavior w:val="content"/>
        </w:behaviors>
        <w:guid w:val="{EDBB9EC7-C028-4D6A-AD5F-4B248F2EF808}"/>
      </w:docPartPr>
      <w:docPartBody>
        <w:p w:rsidR="006A5139" w:rsidRDefault="006C5F67" w:rsidP="006C5F67">
          <w:pPr>
            <w:pStyle w:val="B6F3983F56BC40A7A359B7FD5AD16591"/>
          </w:pPr>
          <w:r w:rsidRPr="00302849">
            <w:rPr>
              <w:rStyle w:val="Textodelmarcadordeposicin"/>
            </w:rPr>
            <w:t>Meeting name (part 2)</w:t>
          </w:r>
        </w:p>
      </w:docPartBody>
    </w:docPart>
    <w:docPart>
      <w:docPartPr>
        <w:name w:val="A7E45F04564D4D178AF03B26E80ECC65"/>
        <w:category>
          <w:name w:val="General"/>
          <w:gallery w:val="placeholder"/>
        </w:category>
        <w:types>
          <w:type w:val="bbPlcHdr"/>
        </w:types>
        <w:behaviors>
          <w:behavior w:val="content"/>
        </w:behaviors>
        <w:guid w:val="{0C0BE67C-5CC7-443D-A056-46AB3D1FBA2F}"/>
      </w:docPartPr>
      <w:docPartBody>
        <w:p w:rsidR="006A5139" w:rsidRDefault="006C5F67" w:rsidP="006C5F67">
          <w:pPr>
            <w:pStyle w:val="A7E45F04564D4D178AF03B26E80ECC65"/>
          </w:pPr>
          <w:r w:rsidRPr="00302849">
            <w:rPr>
              <w:rStyle w:val="Textodelmarcadordeposicin"/>
            </w:rPr>
            <w:t>[Venue, date]</w:t>
          </w:r>
        </w:p>
      </w:docPartBody>
    </w:docPart>
    <w:docPart>
      <w:docPartPr>
        <w:name w:val="77AF70AF734B42D8BB501F7A1EC3D277"/>
        <w:category>
          <w:name w:val="General"/>
          <w:gallery w:val="placeholder"/>
        </w:category>
        <w:types>
          <w:type w:val="bbPlcHdr"/>
        </w:types>
        <w:behaviors>
          <w:behavior w:val="content"/>
        </w:behaviors>
        <w:guid w:val="{152FB229-411F-4702-A3E1-9F6D20C249AC}"/>
      </w:docPartPr>
      <w:docPartBody>
        <w:p w:rsidR="006A5139" w:rsidRDefault="006C5F67" w:rsidP="006C5F67">
          <w:pPr>
            <w:pStyle w:val="77AF70AF734B42D8BB501F7A1EC3D277"/>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20CA7"/>
    <w:rsid w:val="00025179"/>
    <w:rsid w:val="000D0310"/>
    <w:rsid w:val="000D6D1F"/>
    <w:rsid w:val="00175761"/>
    <w:rsid w:val="001E4870"/>
    <w:rsid w:val="002271E3"/>
    <w:rsid w:val="002C32CD"/>
    <w:rsid w:val="002C7190"/>
    <w:rsid w:val="002D1F36"/>
    <w:rsid w:val="002F4422"/>
    <w:rsid w:val="00303F0B"/>
    <w:rsid w:val="00350C4F"/>
    <w:rsid w:val="00413D55"/>
    <w:rsid w:val="004A67B3"/>
    <w:rsid w:val="00583D0D"/>
    <w:rsid w:val="00593A97"/>
    <w:rsid w:val="005D53F5"/>
    <w:rsid w:val="00622CA1"/>
    <w:rsid w:val="00647AD1"/>
    <w:rsid w:val="00666750"/>
    <w:rsid w:val="00675ADF"/>
    <w:rsid w:val="006A5139"/>
    <w:rsid w:val="006C1F96"/>
    <w:rsid w:val="006C3EFD"/>
    <w:rsid w:val="006C5F67"/>
    <w:rsid w:val="006C7B18"/>
    <w:rsid w:val="00764DF4"/>
    <w:rsid w:val="007709A4"/>
    <w:rsid w:val="0079789F"/>
    <w:rsid w:val="007D31A3"/>
    <w:rsid w:val="00811444"/>
    <w:rsid w:val="00932F3A"/>
    <w:rsid w:val="0093537D"/>
    <w:rsid w:val="009457AB"/>
    <w:rsid w:val="00955023"/>
    <w:rsid w:val="009F2684"/>
    <w:rsid w:val="00A610A3"/>
    <w:rsid w:val="00AE3726"/>
    <w:rsid w:val="00B41BF6"/>
    <w:rsid w:val="00B710FC"/>
    <w:rsid w:val="00B77AAF"/>
    <w:rsid w:val="00B9665D"/>
    <w:rsid w:val="00C06F7F"/>
    <w:rsid w:val="00C122EA"/>
    <w:rsid w:val="00CA7BE5"/>
    <w:rsid w:val="00D371B6"/>
    <w:rsid w:val="00DC7F76"/>
    <w:rsid w:val="00E13448"/>
    <w:rsid w:val="00E13C94"/>
    <w:rsid w:val="00EA2E9B"/>
    <w:rsid w:val="00F8102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C5F67"/>
    <w:rPr>
      <w:color w:val="808080"/>
    </w:rPr>
  </w:style>
  <w:style w:type="paragraph" w:customStyle="1" w:styleId="5ECC4B33A4584799BDD3582843DEE59F">
    <w:name w:val="5ECC4B33A4584799BDD3582843DEE59F"/>
    <w:rsid w:val="006C5F67"/>
  </w:style>
  <w:style w:type="paragraph" w:customStyle="1" w:styleId="14EC21178CC941888B0263E7190EB63D">
    <w:name w:val="14EC21178CC941888B0263E7190EB63D"/>
    <w:rsid w:val="006C5F67"/>
  </w:style>
  <w:style w:type="paragraph" w:customStyle="1" w:styleId="7B3683FCD1484C5B981914599BBA6F4A">
    <w:name w:val="7B3683FCD1484C5B981914599BBA6F4A"/>
    <w:rsid w:val="006C5F67"/>
  </w:style>
  <w:style w:type="paragraph" w:customStyle="1" w:styleId="3073E40E67374A918DD8794E37E1F3A8">
    <w:name w:val="3073E40E67374A918DD8794E37E1F3A8"/>
    <w:rsid w:val="006C5F67"/>
  </w:style>
  <w:style w:type="paragraph" w:customStyle="1" w:styleId="B6F3983F56BC40A7A359B7FD5AD16591">
    <w:name w:val="B6F3983F56BC40A7A359B7FD5AD16591"/>
    <w:rsid w:val="006C5F67"/>
  </w:style>
  <w:style w:type="paragraph" w:customStyle="1" w:styleId="A7E45F04564D4D178AF03B26E80ECC65">
    <w:name w:val="A7E45F04564D4D178AF03B26E80ECC65"/>
    <w:rsid w:val="006C5F67"/>
  </w:style>
  <w:style w:type="paragraph" w:customStyle="1" w:styleId="77AF70AF734B42D8BB501F7A1EC3D277">
    <w:name w:val="77AF70AF734B42D8BB501F7A1EC3D277"/>
    <w:rsid w:val="006C5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FF494-4C51-4496-A175-FA0310A6931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A6C1DFF3-34AA-4DAA-8122-2DF4119B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4</Pages>
  <Words>1899</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12322</CharactersWithSpaces>
  <SharedDoc>false</SharedDoc>
  <HLinks>
    <vt:vector size="54" baseType="variant">
      <vt:variant>
        <vt:i4>786505</vt:i4>
      </vt:variant>
      <vt:variant>
        <vt:i4>15</vt:i4>
      </vt:variant>
      <vt:variant>
        <vt:i4>0</vt:i4>
      </vt:variant>
      <vt:variant>
        <vt:i4>5</vt:i4>
      </vt:variant>
      <vt:variant>
        <vt:lpwstr>https://www.cbd.int/doc/decisions/cop-14/cop-14-dec-33-en.pdf</vt:lpwstr>
      </vt:variant>
      <vt:variant>
        <vt:lpwstr/>
      </vt:variant>
      <vt:variant>
        <vt:i4>720970</vt:i4>
      </vt:variant>
      <vt:variant>
        <vt:i4>12</vt:i4>
      </vt:variant>
      <vt:variant>
        <vt:i4>0</vt:i4>
      </vt:variant>
      <vt:variant>
        <vt:i4>5</vt:i4>
      </vt:variant>
      <vt:variant>
        <vt:lpwstr>https://www.cbd.int/doc/decisions/cop-10/cop-10-dec-40-en.pdf</vt:lpwstr>
      </vt:variant>
      <vt:variant>
        <vt:lpwstr/>
      </vt:variant>
      <vt:variant>
        <vt:i4>655435</vt:i4>
      </vt:variant>
      <vt:variant>
        <vt:i4>9</vt:i4>
      </vt:variant>
      <vt:variant>
        <vt:i4>0</vt:i4>
      </vt:variant>
      <vt:variant>
        <vt:i4>5</vt:i4>
      </vt:variant>
      <vt:variant>
        <vt:lpwstr>https://www.cbd.int/doc/decisions/cop-15/cop-15-dec-04-en.pdf</vt:lpwstr>
      </vt:variant>
      <vt:variant>
        <vt:lpwstr/>
      </vt:variant>
      <vt:variant>
        <vt:i4>393291</vt:i4>
      </vt:variant>
      <vt:variant>
        <vt:i4>6</vt:i4>
      </vt:variant>
      <vt:variant>
        <vt:i4>0</vt:i4>
      </vt:variant>
      <vt:variant>
        <vt:i4>5</vt:i4>
      </vt:variant>
      <vt:variant>
        <vt:lpwstr>https://www.cbd.int/doc/decisions/cop-15/cop-15-dec-08-en.pdf</vt:lpwstr>
      </vt:variant>
      <vt:variant>
        <vt:lpwstr/>
      </vt:variant>
      <vt:variant>
        <vt:i4>983112</vt:i4>
      </vt:variant>
      <vt:variant>
        <vt:i4>3</vt:i4>
      </vt:variant>
      <vt:variant>
        <vt:i4>0</vt:i4>
      </vt:variant>
      <vt:variant>
        <vt:i4>5</vt:i4>
      </vt:variant>
      <vt:variant>
        <vt:lpwstr>https://www.cbd.int/doc/decisions/cop-15/cop-15-dec-31-en.pdf</vt:lpwstr>
      </vt:variant>
      <vt:variant>
        <vt:lpwstr/>
      </vt:variant>
      <vt:variant>
        <vt:i4>393291</vt:i4>
      </vt:variant>
      <vt:variant>
        <vt:i4>0</vt:i4>
      </vt:variant>
      <vt:variant>
        <vt:i4>0</vt:i4>
      </vt:variant>
      <vt:variant>
        <vt:i4>5</vt:i4>
      </vt:variant>
      <vt:variant>
        <vt:lpwstr>https://www.cbd.int/doc/decisions/cop-14/cop-14-dec-19-en.pdf</vt:lpwstr>
      </vt:variant>
      <vt:variant>
        <vt:lpwstr/>
      </vt:variant>
      <vt:variant>
        <vt:i4>131142</vt:i4>
      </vt:variant>
      <vt:variant>
        <vt:i4>9</vt:i4>
      </vt:variant>
      <vt:variant>
        <vt:i4>0</vt:i4>
      </vt:variant>
      <vt:variant>
        <vt:i4>5</vt:i4>
      </vt:variant>
      <vt:variant>
        <vt:lpwstr>https://www.cbd.int/doc/decisions/cop-08/cop-08-dec-10-en.pdf</vt:lpwstr>
      </vt:variant>
      <vt:variant>
        <vt:lpwstr/>
      </vt:variant>
      <vt:variant>
        <vt:i4>7340081</vt:i4>
      </vt:variant>
      <vt:variant>
        <vt:i4>6</vt:i4>
      </vt:variant>
      <vt:variant>
        <vt:i4>0</vt:i4>
      </vt:variant>
      <vt:variant>
        <vt:i4>5</vt:i4>
      </vt:variant>
      <vt:variant>
        <vt:lpwstr>https://www.cbd.int/doc/decisions/cp-mop-10/cp-mop-10-dec-04-en.pdf</vt:lpwstr>
      </vt:variant>
      <vt:variant>
        <vt:lpwstr/>
      </vt:variant>
      <vt:variant>
        <vt:i4>393291</vt:i4>
      </vt:variant>
      <vt:variant>
        <vt:i4>3</vt:i4>
      </vt:variant>
      <vt:variant>
        <vt:i4>0</vt:i4>
      </vt:variant>
      <vt:variant>
        <vt:i4>5</vt:i4>
      </vt:variant>
      <vt:variant>
        <vt:lpwstr>https://www.cbd.int/doc/decisions/cop-15/cop-15-dec-08-en.pdf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CBD/COP/DEC/16/21</dc:subject>
  <dc:creator>Secretariat of the Convention on Biological Diversity</dc:creator>
  <cp:keywords>Conference of the Parties to the Convention on Biological Diversity</cp:keywords>
  <dc:description/>
  <cp:lastModifiedBy>Maria Troitino</cp:lastModifiedBy>
  <cp:revision>3</cp:revision>
  <cp:lastPrinted>2024-11-01T13:41:00Z</cp:lastPrinted>
  <dcterms:created xsi:type="dcterms:W3CDTF">2025-03-30T10:38:00Z</dcterms:created>
  <dcterms:modified xsi:type="dcterms:W3CDTF">2025-04-02T12:27:00Z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