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BC46F3" w14:paraId="6FBA1655" w14:textId="77777777" w:rsidTr="004D71DC">
        <w:trPr>
          <w:trHeight w:val="851"/>
        </w:trPr>
        <w:tc>
          <w:tcPr>
            <w:tcW w:w="465" w:type="pct"/>
            <w:tcBorders>
              <w:bottom w:val="single" w:sz="8" w:space="0" w:color="auto"/>
            </w:tcBorders>
            <w:vAlign w:val="bottom"/>
          </w:tcPr>
          <w:p w14:paraId="050F0FC7" w14:textId="77777777" w:rsidR="00A96B21" w:rsidRPr="00BC46F3" w:rsidRDefault="00A96B21" w:rsidP="004D71DC">
            <w:pPr>
              <w:spacing w:after="120"/>
              <w:jc w:val="left"/>
              <w:rPr>
                <w:lang w:val="fr-FR"/>
              </w:rPr>
            </w:pPr>
            <w:bookmarkStart w:id="0" w:name="_Hlk137651738"/>
            <w:r w:rsidRPr="00BC46F3">
              <w:rPr>
                <w:noProof/>
                <w:lang w:val="fr-FR" w:eastAsia="fr-FR"/>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5BAEDB36" w:rsidR="00A96B21" w:rsidRPr="00BC46F3" w:rsidRDefault="00A16560" w:rsidP="004D71DC">
            <w:pPr>
              <w:spacing w:after="120"/>
              <w:jc w:val="left"/>
              <w:rPr>
                <w:lang w:val="fr-FR"/>
              </w:rPr>
            </w:pPr>
            <w:r w:rsidRPr="00BC46F3">
              <w:rPr>
                <w:noProof/>
                <w:lang w:val="fr-FR" w:eastAsia="fr-FR"/>
              </w:rPr>
              <w:drawing>
                <wp:inline distT="0" distB="0" distL="0" distR="0" wp14:anchorId="5E1C88B2" wp14:editId="07B50BF4">
                  <wp:extent cx="596900" cy="342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00" cy="34290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29E59021" w:rsidR="00A96B21" w:rsidRPr="00BC46F3" w:rsidRDefault="00406E02" w:rsidP="00184909">
            <w:pPr>
              <w:spacing w:after="120"/>
              <w:ind w:left="2021"/>
              <w:jc w:val="right"/>
              <w:rPr>
                <w:szCs w:val="22"/>
                <w:lang w:val="fr-FR"/>
              </w:rPr>
            </w:pPr>
            <w:r w:rsidRPr="00BC46F3">
              <w:rPr>
                <w:sz w:val="22"/>
                <w:szCs w:val="22"/>
                <w:lang w:val="fr-FR"/>
              </w:rPr>
              <w:fldChar w:fldCharType="begin"/>
            </w:r>
            <w:r w:rsidRPr="00BC46F3">
              <w:rPr>
                <w:sz w:val="22"/>
                <w:szCs w:val="22"/>
                <w:lang w:val="fr-FR"/>
              </w:rPr>
              <w:instrText xml:space="preserve"> DOCPROPERTY Subject \* MERGEFORMAT </w:instrText>
            </w:r>
            <w:r w:rsidRPr="00BC46F3">
              <w:rPr>
                <w:sz w:val="22"/>
                <w:szCs w:val="22"/>
                <w:lang w:val="fr-FR"/>
              </w:rPr>
              <w:fldChar w:fldCharType="separate"/>
            </w:r>
            <w:r w:rsidRPr="00BC46F3">
              <w:rPr>
                <w:sz w:val="40"/>
                <w:szCs w:val="40"/>
                <w:lang w:val="fr-FR"/>
              </w:rPr>
              <w:t>CBD</w:t>
            </w:r>
            <w:r w:rsidRPr="00BC46F3">
              <w:rPr>
                <w:sz w:val="22"/>
                <w:szCs w:val="22"/>
                <w:lang w:val="fr-FR"/>
              </w:rPr>
              <w:t>/COP/DEC/16/21</w:t>
            </w:r>
            <w:r w:rsidRPr="00BC46F3">
              <w:rPr>
                <w:sz w:val="22"/>
                <w:szCs w:val="22"/>
                <w:lang w:val="fr-FR"/>
              </w:rPr>
              <w:fldChar w:fldCharType="end"/>
            </w:r>
          </w:p>
        </w:tc>
      </w:tr>
      <w:tr w:rsidR="00A96B21" w:rsidRPr="00BC46F3" w14:paraId="1CA08A60" w14:textId="77777777" w:rsidTr="004D71DC">
        <w:tc>
          <w:tcPr>
            <w:tcW w:w="2297" w:type="pct"/>
            <w:gridSpan w:val="2"/>
            <w:tcBorders>
              <w:top w:val="single" w:sz="8" w:space="0" w:color="auto"/>
              <w:bottom w:val="single" w:sz="12" w:space="0" w:color="auto"/>
            </w:tcBorders>
          </w:tcPr>
          <w:p w14:paraId="50F7B9CF" w14:textId="78783152" w:rsidR="00A96B21" w:rsidRPr="00BC46F3" w:rsidRDefault="00A16560" w:rsidP="004D71DC">
            <w:pPr>
              <w:pStyle w:val="Cornernotation"/>
              <w:suppressLineNumbers/>
              <w:suppressAutoHyphens/>
              <w:spacing w:before="120" w:after="120"/>
              <w:ind w:left="0" w:right="0" w:firstLine="0"/>
              <w:rPr>
                <w:lang w:val="fr-FR"/>
              </w:rPr>
            </w:pPr>
            <w:r w:rsidRPr="00BC46F3">
              <w:rPr>
                <w:noProof/>
                <w:lang w:val="fr-FR" w:eastAsia="fr-FR"/>
                <w14:ligatures w14:val="standardContextual"/>
              </w:rPr>
              <w:drawing>
                <wp:inline distT="0" distB="0" distL="0" distR="0" wp14:anchorId="36091C76" wp14:editId="1695B682">
                  <wp:extent cx="2857500" cy="1079500"/>
                  <wp:effectExtent l="0" t="0" r="0" b="635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95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65C344C4" w:rsidR="00A96B21" w:rsidRPr="00BC46F3" w:rsidRDefault="00A96B21" w:rsidP="003C6F10">
            <w:pPr>
              <w:ind w:left="2584"/>
              <w:rPr>
                <w:sz w:val="22"/>
                <w:szCs w:val="22"/>
                <w:lang w:val="fr-FR"/>
              </w:rPr>
            </w:pPr>
            <w:r w:rsidRPr="00BC46F3">
              <w:rPr>
                <w:lang w:val="fr-FR"/>
              </w:rPr>
              <w:t xml:space="preserve">Distr.: </w:t>
            </w:r>
            <w:r w:rsidR="00406E02" w:rsidRPr="00BC46F3">
              <w:rPr>
                <w:lang w:val="fr-FR"/>
              </w:rPr>
              <w:t>générale</w:t>
            </w:r>
          </w:p>
          <w:p w14:paraId="47F6CB58" w14:textId="3E7DA942" w:rsidR="00A96B21" w:rsidRPr="00BC46F3" w:rsidRDefault="00695FFD" w:rsidP="00695FFD">
            <w:pPr>
              <w:ind w:left="2584"/>
              <w:rPr>
                <w:sz w:val="22"/>
                <w:szCs w:val="22"/>
                <w:lang w:val="fr-FR"/>
              </w:rPr>
            </w:pPr>
            <w:r w:rsidRPr="00BC46F3">
              <w:rPr>
                <w:lang w:val="fr-FR"/>
              </w:rPr>
              <w:t>1</w:t>
            </w:r>
            <w:r w:rsidRPr="00BC46F3">
              <w:rPr>
                <w:vertAlign w:val="superscript"/>
                <w:lang w:val="fr-FR"/>
              </w:rPr>
              <w:t>er</w:t>
            </w:r>
            <w:r w:rsidRPr="00BC46F3">
              <w:rPr>
                <w:lang w:val="fr-FR"/>
              </w:rPr>
              <w:t xml:space="preserve"> novem</w:t>
            </w:r>
            <w:r w:rsidR="0033744B" w:rsidRPr="00BC46F3">
              <w:rPr>
                <w:lang w:val="fr-FR"/>
              </w:rPr>
              <w:t>bre</w:t>
            </w:r>
            <w:r w:rsidR="00A96B21" w:rsidRPr="00BC46F3">
              <w:rPr>
                <w:lang w:val="fr-FR"/>
              </w:rPr>
              <w:t xml:space="preserve"> 202</w:t>
            </w:r>
            <w:r w:rsidR="00A00234" w:rsidRPr="00BC46F3">
              <w:rPr>
                <w:lang w:val="fr-FR"/>
              </w:rPr>
              <w:t>4</w:t>
            </w:r>
          </w:p>
          <w:p w14:paraId="2F174BE6" w14:textId="77777777" w:rsidR="0033744B" w:rsidRPr="00BC46F3" w:rsidRDefault="0033744B" w:rsidP="003C6F10">
            <w:pPr>
              <w:ind w:left="2584"/>
              <w:rPr>
                <w:lang w:val="fr-FR"/>
              </w:rPr>
            </w:pPr>
            <w:r w:rsidRPr="00BC46F3">
              <w:rPr>
                <w:lang w:val="fr-FR"/>
              </w:rPr>
              <w:t>Français</w:t>
            </w:r>
          </w:p>
          <w:p w14:paraId="61E3D10C" w14:textId="1B32B25C" w:rsidR="00A96B21" w:rsidRPr="00BC46F3" w:rsidRDefault="0033744B" w:rsidP="003C6F10">
            <w:pPr>
              <w:ind w:left="2584"/>
              <w:rPr>
                <w:sz w:val="22"/>
                <w:szCs w:val="22"/>
                <w:lang w:val="fr-FR"/>
              </w:rPr>
            </w:pPr>
            <w:r w:rsidRPr="00BC46F3">
              <w:rPr>
                <w:lang w:val="fr-FR"/>
              </w:rPr>
              <w:t>Original :</w:t>
            </w:r>
            <w:r w:rsidR="00A96B21" w:rsidRPr="00BC46F3">
              <w:rPr>
                <w:lang w:val="fr-FR"/>
              </w:rPr>
              <w:t xml:space="preserve"> </w:t>
            </w:r>
            <w:r w:rsidR="00695FFD" w:rsidRPr="00BC46F3">
              <w:rPr>
                <w:lang w:val="fr-FR"/>
              </w:rPr>
              <w:t>a</w:t>
            </w:r>
            <w:r w:rsidRPr="00BC46F3">
              <w:rPr>
                <w:lang w:val="fr-FR"/>
              </w:rPr>
              <w:t>nglais</w:t>
            </w:r>
          </w:p>
          <w:p w14:paraId="7BD7B0A4" w14:textId="07D09D6D" w:rsidR="00A96B21" w:rsidRPr="00BC46F3" w:rsidRDefault="00406E02" w:rsidP="00406E02">
            <w:pPr>
              <w:tabs>
                <w:tab w:val="clear" w:pos="567"/>
                <w:tab w:val="clear" w:pos="1701"/>
                <w:tab w:val="clear" w:pos="2268"/>
              </w:tabs>
              <w:rPr>
                <w:lang w:val="fr-FR"/>
              </w:rPr>
            </w:pPr>
            <w:r w:rsidRPr="00BC46F3">
              <w:rPr>
                <w:lang w:val="fr-FR"/>
              </w:rPr>
              <w:tab/>
            </w:r>
          </w:p>
        </w:tc>
      </w:tr>
    </w:tbl>
    <w:p w14:paraId="55E95605" w14:textId="65CF75F0" w:rsidR="00874541" w:rsidRPr="00BC46F3" w:rsidRDefault="00767C49" w:rsidP="00A00234">
      <w:pPr>
        <w:pStyle w:val="Cornernotation"/>
        <w:ind w:left="0" w:right="5249" w:firstLine="0"/>
        <w:rPr>
          <w:bCs/>
          <w:lang w:val="fr-FR"/>
        </w:rPr>
      </w:pPr>
      <w:r w:rsidRPr="00BC46F3">
        <w:rPr>
          <w:bCs/>
          <w:lang w:val="fr-FR"/>
        </w:rPr>
        <w:t>Conférence des Parties à la Convention sur la diversité biologique</w:t>
      </w:r>
    </w:p>
    <w:p w14:paraId="08560762" w14:textId="77777777" w:rsidR="00A16560" w:rsidRPr="00BC46F3" w:rsidRDefault="00A16560" w:rsidP="00A96B21">
      <w:pPr>
        <w:pStyle w:val="Venuedate"/>
        <w:rPr>
          <w:b/>
          <w:lang w:val="fr-FR"/>
        </w:rPr>
      </w:pPr>
      <w:r w:rsidRPr="00BC46F3">
        <w:rPr>
          <w:b/>
          <w:lang w:val="fr-FR"/>
        </w:rPr>
        <w:t xml:space="preserve">Seizième réunion </w:t>
      </w:r>
    </w:p>
    <w:p w14:paraId="5A9E0A3D" w14:textId="427B1EB6" w:rsidR="00A96B21" w:rsidRPr="00BC46F3" w:rsidRDefault="00A00234" w:rsidP="00A96B21">
      <w:pPr>
        <w:pStyle w:val="Venuedate"/>
        <w:rPr>
          <w:lang w:val="fr-FR"/>
        </w:rPr>
      </w:pPr>
      <w:r w:rsidRPr="00BC46F3">
        <w:rPr>
          <w:lang w:val="fr-FR"/>
        </w:rPr>
        <w:t>Cali, Colombi</w:t>
      </w:r>
      <w:r w:rsidR="0033744B" w:rsidRPr="00BC46F3">
        <w:rPr>
          <w:lang w:val="fr-FR"/>
        </w:rPr>
        <w:t>e</w:t>
      </w:r>
      <w:r w:rsidRPr="00BC46F3">
        <w:rPr>
          <w:lang w:val="fr-FR"/>
        </w:rPr>
        <w:t xml:space="preserve">, 21 </w:t>
      </w:r>
      <w:r w:rsidR="0033744B" w:rsidRPr="00BC46F3">
        <w:rPr>
          <w:lang w:val="fr-FR"/>
        </w:rPr>
        <w:t>octobre</w:t>
      </w:r>
      <w:r w:rsidRPr="00BC46F3">
        <w:rPr>
          <w:lang w:val="fr-FR"/>
        </w:rPr>
        <w:t>–</w:t>
      </w:r>
      <w:r w:rsidR="0033744B" w:rsidRPr="00BC46F3">
        <w:rPr>
          <w:lang w:val="fr-FR"/>
        </w:rPr>
        <w:t>1</w:t>
      </w:r>
      <w:r w:rsidR="0033744B" w:rsidRPr="00BC46F3">
        <w:rPr>
          <w:vertAlign w:val="superscript"/>
          <w:lang w:val="fr-FR"/>
        </w:rPr>
        <w:t>er</w:t>
      </w:r>
      <w:r w:rsidR="0033744B" w:rsidRPr="00BC46F3">
        <w:rPr>
          <w:lang w:val="fr-FR"/>
        </w:rPr>
        <w:t xml:space="preserve"> novembre</w:t>
      </w:r>
      <w:r w:rsidRPr="00BC46F3">
        <w:rPr>
          <w:lang w:val="fr-FR"/>
        </w:rPr>
        <w:t xml:space="preserve"> 2024</w:t>
      </w:r>
    </w:p>
    <w:p w14:paraId="7BFBB5BA" w14:textId="25492BF7" w:rsidR="00A96B21" w:rsidRPr="00BC46F3" w:rsidRDefault="0033744B" w:rsidP="00A96B21">
      <w:pPr>
        <w:pStyle w:val="Cornernotation-Item"/>
        <w:rPr>
          <w:b w:val="0"/>
          <w:bCs w:val="0"/>
          <w:lang w:val="fr-FR"/>
        </w:rPr>
      </w:pPr>
      <w:r w:rsidRPr="00BC46F3">
        <w:rPr>
          <w:b w:val="0"/>
          <w:bCs w:val="0"/>
          <w:lang w:val="fr-FR"/>
        </w:rPr>
        <w:t>Point 24 de l</w:t>
      </w:r>
      <w:r w:rsidR="00E578FD" w:rsidRPr="00BC46F3">
        <w:rPr>
          <w:b w:val="0"/>
          <w:bCs w:val="0"/>
          <w:lang w:val="fr-FR"/>
        </w:rPr>
        <w:t>’</w:t>
      </w:r>
      <w:r w:rsidRPr="00BC46F3">
        <w:rPr>
          <w:b w:val="0"/>
          <w:bCs w:val="0"/>
          <w:lang w:val="fr-FR"/>
        </w:rPr>
        <w:t>ordre du jour</w:t>
      </w:r>
    </w:p>
    <w:p w14:paraId="02778C2C" w14:textId="1FC7C3D2" w:rsidR="00A96B21" w:rsidRPr="00C23844" w:rsidRDefault="0033744B" w:rsidP="00C23844">
      <w:pPr>
        <w:pStyle w:val="Cornernotation-Item"/>
        <w:rPr>
          <w:lang w:val="fr-FR"/>
        </w:rPr>
      </w:pPr>
      <w:r w:rsidRPr="00BC46F3">
        <w:rPr>
          <w:lang w:val="fr-FR"/>
        </w:rPr>
        <w:t>Biologie de synthèse</w:t>
      </w:r>
    </w:p>
    <w:bookmarkEnd w:id="0"/>
    <w:p w14:paraId="3F49212B" w14:textId="6A03F634" w:rsidR="00A96B21" w:rsidRPr="00BC46F3" w:rsidRDefault="00991912" w:rsidP="001454DA">
      <w:pPr>
        <w:pStyle w:val="CBDTitle"/>
        <w:rPr>
          <w:lang w:val="fr-FR"/>
        </w:rPr>
      </w:pPr>
      <w:sdt>
        <w:sdtPr>
          <w:rPr>
            <w:szCs w:val="28"/>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Pr="00BC46F3">
            <w:rPr>
              <w:szCs w:val="28"/>
              <w:lang w:val="fr-FR"/>
            </w:rPr>
            <w:t xml:space="preserve">Décision adoptée par la Conférence des Parties à la Convention sur la diversité biologique le 1er novembre 2024 </w:t>
          </w:r>
        </w:sdtContent>
      </w:sdt>
    </w:p>
    <w:p w14:paraId="738A3667" w14:textId="54E13181" w:rsidR="00A96B21" w:rsidRPr="00BC46F3" w:rsidRDefault="00991912" w:rsidP="001454DA">
      <w:pPr>
        <w:pStyle w:val="CBDSubTitle"/>
        <w:rPr>
          <w:lang w:val="fr-FR"/>
        </w:rPr>
      </w:pPr>
      <w:r w:rsidRPr="00BC46F3">
        <w:rPr>
          <w:lang w:val="fr-FR"/>
        </w:rPr>
        <w:t>16/21.</w:t>
      </w:r>
      <w:r w:rsidRPr="00BC46F3">
        <w:rPr>
          <w:lang w:val="fr-FR"/>
        </w:rPr>
        <w:tab/>
      </w:r>
      <w:r w:rsidRPr="00BC46F3">
        <w:rPr>
          <w:lang w:val="fr-FR"/>
        </w:rPr>
        <w:tab/>
      </w:r>
      <w:r w:rsidRPr="00BC46F3">
        <w:rPr>
          <w:szCs w:val="28"/>
          <w:lang w:val="fr-FR"/>
        </w:rPr>
        <w:t>Biologie de synthèse</w:t>
      </w:r>
    </w:p>
    <w:p w14:paraId="7D12D873" w14:textId="77777777" w:rsidR="0033744B" w:rsidRPr="00BC46F3" w:rsidRDefault="0033744B" w:rsidP="0033744B">
      <w:pPr>
        <w:tabs>
          <w:tab w:val="clear" w:pos="567"/>
          <w:tab w:val="clear" w:pos="1134"/>
          <w:tab w:val="clear" w:pos="1701"/>
        </w:tabs>
        <w:snapToGrid w:val="0"/>
        <w:spacing w:before="120" w:after="120"/>
        <w:ind w:left="567" w:firstLine="567"/>
        <w:rPr>
          <w:i/>
          <w:iCs/>
          <w:lang w:val="fr-FR"/>
        </w:rPr>
      </w:pPr>
      <w:r w:rsidRPr="00BC46F3">
        <w:rPr>
          <w:i/>
          <w:iCs/>
          <w:lang w:val="fr-FR"/>
        </w:rPr>
        <w:t>La Conférence des Parties,</w:t>
      </w:r>
    </w:p>
    <w:p w14:paraId="514DA9E7" w14:textId="2D5A8B8F" w:rsidR="0033744B" w:rsidRPr="00BC46F3" w:rsidRDefault="00695FFD" w:rsidP="00695FFD">
      <w:pPr>
        <w:tabs>
          <w:tab w:val="clear" w:pos="567"/>
          <w:tab w:val="clear" w:pos="1134"/>
          <w:tab w:val="clear" w:pos="1701"/>
        </w:tabs>
        <w:snapToGrid w:val="0"/>
        <w:spacing w:before="120" w:after="120"/>
        <w:ind w:left="567" w:firstLine="567"/>
        <w:rPr>
          <w:rFonts w:eastAsia="Times New Roman"/>
          <w:kern w:val="2"/>
          <w:lang w:val="fr-FR"/>
          <w14:ligatures w14:val="standardContextual"/>
        </w:rPr>
      </w:pPr>
      <w:r w:rsidRPr="00BC46F3">
        <w:rPr>
          <w:rFonts w:eastAsia="Times New Roman"/>
          <w:i/>
          <w:iCs/>
          <w:kern w:val="2"/>
          <w:lang w:val="fr-FR"/>
          <w14:ligatures w14:val="standardContextual"/>
        </w:rPr>
        <w:t xml:space="preserve">Rappelant </w:t>
      </w:r>
      <w:r w:rsidRPr="00BC46F3">
        <w:rPr>
          <w:rFonts w:eastAsia="Times New Roman"/>
          <w:kern w:val="2"/>
          <w:lang w:val="fr-FR"/>
          <w14:ligatures w14:val="standardContextual"/>
        </w:rPr>
        <w:t>ses</w:t>
      </w:r>
      <w:r w:rsidRPr="00BC46F3">
        <w:rPr>
          <w:rFonts w:eastAsia="Times New Roman"/>
          <w:i/>
          <w:iCs/>
          <w:kern w:val="2"/>
          <w:lang w:val="fr-FR"/>
          <w14:ligatures w14:val="standardContextual"/>
        </w:rPr>
        <w:t xml:space="preserve"> </w:t>
      </w:r>
      <w:r w:rsidRPr="00BC46F3">
        <w:rPr>
          <w:rFonts w:eastAsia="Times New Roman"/>
          <w:kern w:val="2"/>
          <w:lang w:val="fr-FR"/>
          <w14:ligatures w14:val="standardContextual"/>
        </w:rPr>
        <w:t xml:space="preserve">décisions </w:t>
      </w:r>
      <w:hyperlink r:id="rId14" w:history="1">
        <w:r w:rsidRPr="00BC46F3">
          <w:rPr>
            <w:rStyle w:val="Lienhypertexte"/>
            <w:lang w:val="fr-FR"/>
          </w:rPr>
          <w:t>14</w:t>
        </w:r>
        <w:r w:rsidRPr="00BC46F3">
          <w:rPr>
            <w:rStyle w:val="Lienhypertexte"/>
            <w:lang w:val="fr-FR"/>
          </w:rPr>
          <w:t>/</w:t>
        </w:r>
        <w:r w:rsidRPr="00BC46F3">
          <w:rPr>
            <w:rStyle w:val="Lienhypertexte"/>
            <w:lang w:val="fr-FR"/>
          </w:rPr>
          <w:t>19</w:t>
        </w:r>
      </w:hyperlink>
      <w:r w:rsidRPr="00BC46F3">
        <w:rPr>
          <w:rFonts w:eastAsia="Times New Roman"/>
          <w:kern w:val="2"/>
          <w:lang w:val="fr-FR"/>
          <w14:ligatures w14:val="standardContextual"/>
        </w:rPr>
        <w:t xml:space="preserve"> du 29 novembre 2018 et </w:t>
      </w:r>
      <w:hyperlink r:id="rId15" w:history="1">
        <w:r w:rsidRPr="00BC46F3">
          <w:rPr>
            <w:rStyle w:val="Lienhypertexte"/>
            <w:rFonts w:eastAsia="Times New Roman"/>
            <w:kern w:val="2"/>
            <w:lang w:val="fr-FR"/>
            <w14:ligatures w14:val="standardContextual"/>
          </w:rPr>
          <w:t>15</w:t>
        </w:r>
        <w:r w:rsidRPr="00BC46F3">
          <w:rPr>
            <w:rStyle w:val="Lienhypertexte"/>
            <w:rFonts w:eastAsia="Times New Roman"/>
            <w:kern w:val="2"/>
            <w:lang w:val="fr-FR"/>
            <w14:ligatures w14:val="standardContextual"/>
          </w:rPr>
          <w:t>/</w:t>
        </w:r>
        <w:r w:rsidRPr="00BC46F3">
          <w:rPr>
            <w:rStyle w:val="Lienhypertexte"/>
            <w:rFonts w:eastAsia="Times New Roman"/>
            <w:kern w:val="2"/>
            <w:lang w:val="fr-FR"/>
            <w14:ligatures w14:val="standardContextual"/>
          </w:rPr>
          <w:t>4</w:t>
        </w:r>
      </w:hyperlink>
      <w:r w:rsidRPr="00BC46F3">
        <w:rPr>
          <w:rFonts w:eastAsia="Times New Roman"/>
          <w:kern w:val="2"/>
          <w:lang w:val="fr-FR"/>
          <w14:ligatures w14:val="standardContextual"/>
        </w:rPr>
        <w:t xml:space="preserve">, </w:t>
      </w:r>
      <w:hyperlink r:id="rId16" w:history="1">
        <w:r w:rsidRPr="00BC46F3">
          <w:rPr>
            <w:rStyle w:val="Lienhypertexte"/>
            <w:rFonts w:eastAsia="Times New Roman"/>
            <w:kern w:val="2"/>
            <w:lang w:val="fr-FR"/>
            <w14:ligatures w14:val="standardContextual"/>
          </w:rPr>
          <w:t>1</w:t>
        </w:r>
        <w:r w:rsidRPr="00BC46F3">
          <w:rPr>
            <w:rStyle w:val="Lienhypertexte"/>
            <w:rFonts w:eastAsia="Times New Roman"/>
            <w:kern w:val="2"/>
            <w:lang w:val="fr-FR"/>
            <w14:ligatures w14:val="standardContextual"/>
          </w:rPr>
          <w:t>5</w:t>
        </w:r>
        <w:r w:rsidRPr="00BC46F3">
          <w:rPr>
            <w:rStyle w:val="Lienhypertexte"/>
            <w:rFonts w:eastAsia="Times New Roman"/>
            <w:kern w:val="2"/>
            <w:lang w:val="fr-FR"/>
            <w14:ligatures w14:val="standardContextual"/>
          </w:rPr>
          <w:t>/8</w:t>
        </w:r>
      </w:hyperlink>
      <w:r w:rsidRPr="00BC46F3">
        <w:rPr>
          <w:rFonts w:eastAsia="Times New Roman"/>
          <w:kern w:val="2"/>
          <w:lang w:val="fr-FR"/>
          <w14:ligatures w14:val="standardContextual"/>
        </w:rPr>
        <w:t xml:space="preserve"> et </w:t>
      </w:r>
      <w:hyperlink r:id="rId17" w:history="1">
        <w:r w:rsidRPr="00BC46F3">
          <w:rPr>
            <w:rStyle w:val="Lienhypertexte"/>
            <w:rFonts w:eastAsia="Times New Roman"/>
            <w:kern w:val="2"/>
            <w:lang w:val="fr-FR"/>
            <w14:ligatures w14:val="standardContextual"/>
          </w:rPr>
          <w:t>15/</w:t>
        </w:r>
        <w:r w:rsidRPr="00BC46F3">
          <w:rPr>
            <w:rStyle w:val="Lienhypertexte"/>
            <w:rFonts w:eastAsia="Times New Roman"/>
            <w:kern w:val="2"/>
            <w:lang w:val="fr-FR"/>
            <w14:ligatures w14:val="standardContextual"/>
          </w:rPr>
          <w:t>3</w:t>
        </w:r>
        <w:r w:rsidRPr="00BC46F3">
          <w:rPr>
            <w:rStyle w:val="Lienhypertexte"/>
            <w:rFonts w:eastAsia="Times New Roman"/>
            <w:kern w:val="2"/>
            <w:lang w:val="fr-FR"/>
            <w14:ligatures w14:val="standardContextual"/>
          </w:rPr>
          <w:t>1</w:t>
        </w:r>
      </w:hyperlink>
      <w:r w:rsidRPr="00BC46F3">
        <w:rPr>
          <w:rFonts w:eastAsia="Times New Roman"/>
          <w:kern w:val="2"/>
          <w:lang w:val="fr-FR"/>
          <w14:ligatures w14:val="standardContextual"/>
        </w:rPr>
        <w:t xml:space="preserve"> du 19 décembre 2022 et la décision </w:t>
      </w:r>
      <w:hyperlink r:id="rId18" w:history="1">
        <w:r w:rsidRPr="00BC46F3">
          <w:rPr>
            <w:rStyle w:val="Lienhypertexte"/>
            <w:lang w:val="fr-FR"/>
          </w:rPr>
          <w:t>BS-VI</w:t>
        </w:r>
        <w:r w:rsidRPr="00BC46F3">
          <w:rPr>
            <w:rStyle w:val="Lienhypertexte"/>
            <w:lang w:val="fr-FR"/>
          </w:rPr>
          <w:t>I</w:t>
        </w:r>
        <w:r w:rsidRPr="00BC46F3">
          <w:rPr>
            <w:rStyle w:val="Lienhypertexte"/>
            <w:lang w:val="fr-FR"/>
          </w:rPr>
          <w:t>/12</w:t>
        </w:r>
      </w:hyperlink>
      <w:r w:rsidRPr="00BC46F3">
        <w:rPr>
          <w:rFonts w:eastAsia="Times New Roman"/>
          <w:kern w:val="2"/>
          <w:lang w:val="fr-FR"/>
          <w14:ligatures w14:val="standardContextual"/>
        </w:rPr>
        <w:t xml:space="preserve"> du 3 octobre 2014 de la Conférence des Parties siégeant en tant que réunion des Parties au Protocole de Cartagena sur la prévention des risques biotechnologiques</w:t>
      </w:r>
      <w:r w:rsidR="00C43FCC" w:rsidRPr="00BC46F3">
        <w:rPr>
          <w:rStyle w:val="Appelnotedebasdep"/>
          <w:rFonts w:eastAsia="Times New Roman"/>
          <w:kern w:val="2"/>
          <w:lang w:val="fr-FR"/>
          <w14:ligatures w14:val="standardContextual"/>
        </w:rPr>
        <w:footnoteReference w:id="2"/>
      </w:r>
      <w:r w:rsidR="0033744B" w:rsidRPr="00BC46F3">
        <w:rPr>
          <w:rFonts w:eastAsia="Times New Roman"/>
          <w:kern w:val="2"/>
          <w:lang w:val="fr-FR"/>
          <w14:ligatures w14:val="standardContextual"/>
        </w:rPr>
        <w:t>,</w:t>
      </w:r>
    </w:p>
    <w:p w14:paraId="2B7BE24E" w14:textId="4398DA70" w:rsidR="0033744B" w:rsidRPr="00BC46F3" w:rsidRDefault="0033744B" w:rsidP="0033744B">
      <w:pPr>
        <w:tabs>
          <w:tab w:val="clear" w:pos="567"/>
          <w:tab w:val="clear" w:pos="1134"/>
          <w:tab w:val="clear" w:pos="1701"/>
        </w:tabs>
        <w:snapToGrid w:val="0"/>
        <w:spacing w:before="120" w:after="120"/>
        <w:ind w:left="567" w:firstLine="567"/>
        <w:rPr>
          <w:rFonts w:eastAsia="Times New Roman"/>
          <w:i/>
          <w:iCs/>
          <w:kern w:val="2"/>
          <w:lang w:val="fr-FR"/>
          <w14:ligatures w14:val="standardContextual"/>
        </w:rPr>
      </w:pPr>
      <w:r w:rsidRPr="00BC46F3">
        <w:rPr>
          <w:rFonts w:eastAsia="Times New Roman"/>
          <w:i/>
          <w:iCs/>
          <w:kern w:val="2"/>
          <w:lang w:val="fr-FR"/>
          <w14:ligatures w14:val="standardContextual"/>
        </w:rPr>
        <w:t xml:space="preserve">Soulignant </w:t>
      </w:r>
      <w:r w:rsidRPr="00BC46F3">
        <w:rPr>
          <w:rFonts w:eastAsia="Times New Roman"/>
          <w:i/>
          <w:kern w:val="2"/>
          <w:lang w:val="fr-FR"/>
          <w14:ligatures w14:val="standardContextual"/>
        </w:rPr>
        <w:t>à nouveau</w:t>
      </w:r>
      <w:r w:rsidRPr="00BC46F3">
        <w:rPr>
          <w:rFonts w:eastAsia="Times New Roman"/>
          <w:kern w:val="2"/>
          <w:lang w:val="fr-FR"/>
          <w14:ligatures w14:val="standardContextual"/>
        </w:rPr>
        <w:t xml:space="preserve"> </w:t>
      </w:r>
      <w:r w:rsidR="00DB14DC">
        <w:rPr>
          <w:rFonts w:eastAsia="Times New Roman"/>
          <w:kern w:val="2"/>
          <w:lang w:val="fr-FR"/>
          <w14:ligatures w14:val="standardContextual"/>
        </w:rPr>
        <w:t>l’importance de mettre en œuvre de mesures</w:t>
      </w:r>
      <w:r w:rsidRPr="00BC46F3">
        <w:rPr>
          <w:rFonts w:eastAsia="Times New Roman"/>
          <w:kern w:val="2"/>
          <w:lang w:val="fr-FR"/>
          <w14:ligatures w14:val="standardContextual"/>
        </w:rPr>
        <w:t xml:space="preserve"> de précaut</w:t>
      </w:r>
      <w:r w:rsidR="00E578FD" w:rsidRPr="00BC46F3">
        <w:rPr>
          <w:rFonts w:eastAsia="Times New Roman"/>
          <w:kern w:val="2"/>
          <w:lang w:val="fr-FR"/>
          <w14:ligatures w14:val="standardContextual"/>
        </w:rPr>
        <w:t xml:space="preserve">ion, conformément aux objectifs </w:t>
      </w:r>
      <w:r w:rsidRPr="00BC46F3">
        <w:rPr>
          <w:rFonts w:eastAsia="Times New Roman"/>
          <w:kern w:val="2"/>
          <w:lang w:val="fr-FR"/>
          <w14:ligatures w14:val="standardContextual"/>
        </w:rPr>
        <w:t>de la Convention sur la diversité biologique</w:t>
      </w:r>
      <w:r w:rsidR="003E03DD" w:rsidRPr="00BC46F3">
        <w:rPr>
          <w:rStyle w:val="Appelnotedebasdep"/>
          <w:rFonts w:eastAsia="Times New Roman"/>
          <w:kern w:val="2"/>
          <w:lang w:val="fr-FR"/>
          <w14:ligatures w14:val="standardContextual"/>
        </w:rPr>
        <w:footnoteReference w:id="3"/>
      </w:r>
      <w:r w:rsidRPr="00BC46F3">
        <w:rPr>
          <w:rFonts w:eastAsia="Times New Roman"/>
          <w:kern w:val="2"/>
          <w:lang w:val="fr-FR"/>
          <w14:ligatures w14:val="standardContextual"/>
        </w:rPr>
        <w:t xml:space="preserve">, </w:t>
      </w:r>
      <w:r w:rsidR="00DB14DC">
        <w:rPr>
          <w:rFonts w:eastAsia="Times New Roman"/>
          <w:kern w:val="2"/>
          <w:lang w:val="fr-FR"/>
          <w14:ligatures w14:val="standardContextual"/>
        </w:rPr>
        <w:t>concernant</w:t>
      </w:r>
      <w:r w:rsidRPr="00BC46F3">
        <w:rPr>
          <w:rFonts w:eastAsia="Times New Roman"/>
          <w:kern w:val="2"/>
          <w:lang w:val="fr-FR"/>
          <w14:ligatures w14:val="standardContextual"/>
        </w:rPr>
        <w:t xml:space="preserve"> les rejets dans l</w:t>
      </w:r>
      <w:r w:rsidR="00E578FD" w:rsidRPr="00BC46F3">
        <w:rPr>
          <w:rFonts w:eastAsia="Times New Roman"/>
          <w:kern w:val="2"/>
          <w:lang w:val="fr-FR"/>
          <w14:ligatures w14:val="standardContextual"/>
        </w:rPr>
        <w:t>’</w:t>
      </w:r>
      <w:r w:rsidRPr="00BC46F3">
        <w:rPr>
          <w:rFonts w:eastAsia="Times New Roman"/>
          <w:kern w:val="2"/>
          <w:lang w:val="fr-FR"/>
          <w14:ligatures w14:val="standardContextual"/>
        </w:rPr>
        <w:t xml:space="preserve">environnement des applications de la biologie </w:t>
      </w:r>
      <w:r w:rsidR="009C3851" w:rsidRPr="00BC46F3">
        <w:rPr>
          <w:rFonts w:eastAsia="Times New Roman"/>
          <w:kern w:val="2"/>
          <w:lang w:val="fr-FR"/>
          <w14:ligatures w14:val="standardContextual"/>
        </w:rPr>
        <w:t xml:space="preserve">de </w:t>
      </w:r>
      <w:r w:rsidR="00E578FD" w:rsidRPr="00BC46F3">
        <w:rPr>
          <w:rFonts w:eastAsia="Times New Roman"/>
          <w:kern w:val="2"/>
          <w:lang w:val="fr-FR"/>
          <w14:ligatures w14:val="standardContextual"/>
        </w:rPr>
        <w:t>synthèse,</w:t>
      </w:r>
    </w:p>
    <w:p w14:paraId="409793DE" w14:textId="4A6F1402" w:rsidR="009136BA" w:rsidRPr="00BC46F3" w:rsidRDefault="009136BA" w:rsidP="009136BA">
      <w:pPr>
        <w:tabs>
          <w:tab w:val="clear" w:pos="567"/>
          <w:tab w:val="clear" w:pos="1134"/>
          <w:tab w:val="clear" w:pos="1701"/>
        </w:tabs>
        <w:snapToGrid w:val="0"/>
        <w:spacing w:before="120" w:after="120"/>
        <w:ind w:left="567" w:firstLine="567"/>
        <w:rPr>
          <w:rFonts w:eastAsia="Times New Roman"/>
          <w:kern w:val="2"/>
          <w:lang w:val="fr-FR"/>
          <w14:ligatures w14:val="standardContextual"/>
        </w:rPr>
      </w:pPr>
      <w:r w:rsidRPr="00BC46F3">
        <w:rPr>
          <w:i/>
          <w:iCs/>
          <w:lang w:val="fr-FR"/>
        </w:rPr>
        <w:t>Reconnaissant</w:t>
      </w:r>
      <w:r w:rsidRPr="00BC46F3">
        <w:rPr>
          <w:lang w:val="fr-FR"/>
        </w:rPr>
        <w:t xml:space="preserve"> l</w:t>
      </w:r>
      <w:r w:rsidR="00E578FD" w:rsidRPr="00BC46F3">
        <w:rPr>
          <w:lang w:val="fr-FR"/>
        </w:rPr>
        <w:t>’</w:t>
      </w:r>
      <w:r w:rsidRPr="00BC46F3">
        <w:rPr>
          <w:lang w:val="fr-FR"/>
        </w:rPr>
        <w:t>inégalité de la participation des pays en développement à la recherche</w:t>
      </w:r>
      <w:r w:rsidR="00CE314D" w:rsidRPr="00BC46F3">
        <w:rPr>
          <w:lang w:val="fr-FR"/>
        </w:rPr>
        <w:t>-</w:t>
      </w:r>
      <w:r w:rsidRPr="00BC46F3">
        <w:rPr>
          <w:lang w:val="fr-FR"/>
        </w:rPr>
        <w:t xml:space="preserve"> développement</w:t>
      </w:r>
      <w:r w:rsidR="00CE314D" w:rsidRPr="00BC46F3">
        <w:rPr>
          <w:lang w:val="fr-FR"/>
        </w:rPr>
        <w:t xml:space="preserve"> et</w:t>
      </w:r>
      <w:r w:rsidRPr="00BC46F3">
        <w:rPr>
          <w:lang w:val="fr-FR"/>
        </w:rPr>
        <w:t xml:space="preserve"> à l</w:t>
      </w:r>
      <w:r w:rsidR="00E578FD" w:rsidRPr="00BC46F3">
        <w:rPr>
          <w:lang w:val="fr-FR"/>
        </w:rPr>
        <w:t>’</w:t>
      </w:r>
      <w:r w:rsidRPr="00BC46F3">
        <w:rPr>
          <w:lang w:val="fr-FR"/>
        </w:rPr>
        <w:t>évaluation en matière de biologie de synthèse</w:t>
      </w:r>
      <w:r w:rsidR="00CE314D" w:rsidRPr="00BC46F3">
        <w:rPr>
          <w:lang w:val="fr-FR"/>
        </w:rPr>
        <w:t>,</w:t>
      </w:r>
      <w:r w:rsidRPr="00BC46F3">
        <w:rPr>
          <w:lang w:val="fr-FR"/>
        </w:rPr>
        <w:t xml:space="preserve"> et l</w:t>
      </w:r>
      <w:r w:rsidR="00E578FD" w:rsidRPr="00BC46F3">
        <w:rPr>
          <w:lang w:val="fr-FR"/>
        </w:rPr>
        <w:t>’</w:t>
      </w:r>
      <w:r w:rsidRPr="00BC46F3">
        <w:rPr>
          <w:lang w:val="fr-FR"/>
        </w:rPr>
        <w:t xml:space="preserve">importance de gérer les incidences, </w:t>
      </w:r>
    </w:p>
    <w:p w14:paraId="3CF50BA3" w14:textId="6482A88E" w:rsidR="0033744B" w:rsidRPr="00BC46F3" w:rsidRDefault="00E578FD" w:rsidP="00E06A64">
      <w:pPr>
        <w:keepNext/>
        <w:tabs>
          <w:tab w:val="clear" w:pos="567"/>
          <w:tab w:val="clear" w:pos="1134"/>
          <w:tab w:val="clear" w:pos="1701"/>
        </w:tabs>
        <w:snapToGrid w:val="0"/>
        <w:spacing w:before="120" w:after="120"/>
        <w:ind w:left="567" w:firstLine="567"/>
        <w:rPr>
          <w:rFonts w:eastAsia="Times New Roman"/>
          <w:kern w:val="2"/>
          <w:lang w:val="fr-FR"/>
          <w14:ligatures w14:val="standardContextual"/>
        </w:rPr>
      </w:pPr>
      <w:r w:rsidRPr="00BC46F3">
        <w:rPr>
          <w:i/>
          <w:iCs/>
          <w:lang w:val="fr-FR"/>
        </w:rPr>
        <w:t>Prenant note</w:t>
      </w:r>
      <w:r w:rsidRPr="00BC46F3">
        <w:rPr>
          <w:lang w:val="fr-FR"/>
        </w:rPr>
        <w:t xml:space="preserve"> d</w:t>
      </w:r>
      <w:r w:rsidR="009136BA" w:rsidRPr="00BC46F3">
        <w:rPr>
          <w:lang w:val="fr-FR"/>
        </w:rPr>
        <w:t>e</w:t>
      </w:r>
      <w:r w:rsidR="00C42BF2" w:rsidRPr="00BC46F3">
        <w:rPr>
          <w:lang w:val="fr-FR"/>
        </w:rPr>
        <w:t xml:space="preserve">s travaux </w:t>
      </w:r>
      <w:r w:rsidR="009136BA" w:rsidRPr="00BC46F3">
        <w:rPr>
          <w:lang w:val="fr-FR"/>
        </w:rPr>
        <w:t>du</w:t>
      </w:r>
      <w:r w:rsidR="0033744B" w:rsidRPr="00BC46F3">
        <w:rPr>
          <w:lang w:val="fr-FR"/>
        </w:rPr>
        <w:t xml:space="preserve"> Groupe spécial d</w:t>
      </w:r>
      <w:r w:rsidRPr="00BC46F3">
        <w:rPr>
          <w:lang w:val="fr-FR"/>
        </w:rPr>
        <w:t>’</w:t>
      </w:r>
      <w:r w:rsidR="0033744B" w:rsidRPr="00BC46F3">
        <w:rPr>
          <w:lang w:val="fr-FR"/>
        </w:rPr>
        <w:t>experts techniques multidisciplinaire sur la biologie de synthèse</w:t>
      </w:r>
      <w:r w:rsidR="00C43FCC" w:rsidRPr="00BC46F3">
        <w:rPr>
          <w:lang w:val="fr-FR"/>
        </w:rPr>
        <w:t xml:space="preserve"> à l'appui du processus d'analyse prospective, de suivi et d'évaluation élargi et régulier</w:t>
      </w:r>
      <w:r w:rsidR="0033744B" w:rsidRPr="00BC46F3">
        <w:rPr>
          <w:lang w:val="fr-FR"/>
        </w:rPr>
        <w:t>,</w:t>
      </w:r>
      <w:r w:rsidR="00C42BF2" w:rsidRPr="00BC46F3">
        <w:rPr>
          <w:lang w:val="fr-FR"/>
        </w:rPr>
        <w:t xml:space="preserve"> </w:t>
      </w:r>
      <w:r w:rsidRPr="00BC46F3">
        <w:rPr>
          <w:lang w:val="fr-FR"/>
        </w:rPr>
        <w:t xml:space="preserve">ainsi que </w:t>
      </w:r>
      <w:r w:rsidR="00C43FCC" w:rsidRPr="00BC46F3">
        <w:rPr>
          <w:lang w:val="fr-FR"/>
        </w:rPr>
        <w:t>des résultats de celui-ci</w:t>
      </w:r>
      <w:r w:rsidR="00E06A64" w:rsidRPr="00BC46F3">
        <w:rPr>
          <w:lang w:val="fr-FR"/>
        </w:rPr>
        <w:t xml:space="preserve"> concernant</w:t>
      </w:r>
      <w:r w:rsidR="00C42BF2" w:rsidRPr="00BC46F3">
        <w:rPr>
          <w:lang w:val="fr-FR"/>
        </w:rPr>
        <w:t xml:space="preserve"> les développements les plus récents dans le domaine de la biologie de synthèse</w:t>
      </w:r>
      <w:r w:rsidR="00C43FCC" w:rsidRPr="00BC46F3">
        <w:rPr>
          <w:rStyle w:val="Appelnotedebasdep"/>
          <w:rFonts w:eastAsia="Times New Roman"/>
          <w:kern w:val="2"/>
          <w:lang w:val="fr-FR"/>
          <w14:ligatures w14:val="standardContextual"/>
        </w:rPr>
        <w:footnoteReference w:id="4"/>
      </w:r>
      <w:r w:rsidR="00C42BF2" w:rsidRPr="00BC46F3">
        <w:rPr>
          <w:lang w:val="fr-FR"/>
        </w:rPr>
        <w:t>,</w:t>
      </w:r>
    </w:p>
    <w:p w14:paraId="1FCC514C" w14:textId="40E7ED0D" w:rsidR="0033744B" w:rsidRPr="00BC46F3" w:rsidRDefault="0033744B" w:rsidP="0033744B">
      <w:pPr>
        <w:tabs>
          <w:tab w:val="clear" w:pos="567"/>
          <w:tab w:val="clear" w:pos="1134"/>
        </w:tabs>
        <w:snapToGrid w:val="0"/>
        <w:spacing w:before="120" w:after="120"/>
        <w:ind w:left="567" w:firstLine="567"/>
        <w:rPr>
          <w:rFonts w:eastAsia="Times New Roman"/>
          <w:kern w:val="2"/>
          <w:lang w:val="fr-FR"/>
          <w14:ligatures w14:val="standardContextual"/>
        </w:rPr>
      </w:pPr>
      <w:r w:rsidRPr="00BC46F3">
        <w:rPr>
          <w:lang w:val="fr-FR"/>
        </w:rPr>
        <w:t>1.</w:t>
      </w:r>
      <w:r w:rsidRPr="00BC46F3">
        <w:rPr>
          <w:lang w:val="fr-FR"/>
        </w:rPr>
        <w:tab/>
      </w:r>
      <w:r w:rsidRPr="00BC46F3">
        <w:rPr>
          <w:i/>
          <w:iCs/>
          <w:lang w:val="fr-FR"/>
        </w:rPr>
        <w:t>Souligne</w:t>
      </w:r>
      <w:r w:rsidRPr="00BC46F3">
        <w:rPr>
          <w:lang w:val="fr-FR"/>
        </w:rPr>
        <w:t xml:space="preserve"> qu</w:t>
      </w:r>
      <w:r w:rsidR="00E578FD" w:rsidRPr="00BC46F3">
        <w:rPr>
          <w:lang w:val="fr-FR"/>
        </w:rPr>
        <w:t>’</w:t>
      </w:r>
      <w:r w:rsidR="00977C40" w:rsidRPr="00BC46F3">
        <w:rPr>
          <w:lang w:val="fr-FR"/>
        </w:rPr>
        <w:t>il e</w:t>
      </w:r>
      <w:r w:rsidRPr="00BC46F3">
        <w:rPr>
          <w:lang w:val="fr-FR"/>
        </w:rPr>
        <w:t>st u</w:t>
      </w:r>
      <w:r w:rsidR="00E06A64" w:rsidRPr="00BC46F3">
        <w:rPr>
          <w:lang w:val="fr-FR"/>
        </w:rPr>
        <w:t>rgent de renforcer et de développer l</w:t>
      </w:r>
      <w:r w:rsidRPr="00BC46F3">
        <w:rPr>
          <w:lang w:val="fr-FR"/>
        </w:rPr>
        <w:t>es capacités, d</w:t>
      </w:r>
      <w:r w:rsidR="00E578FD" w:rsidRPr="00BC46F3">
        <w:rPr>
          <w:lang w:val="fr-FR"/>
        </w:rPr>
        <w:t>’</w:t>
      </w:r>
      <w:r w:rsidRPr="00BC46F3">
        <w:rPr>
          <w:lang w:val="fr-FR"/>
        </w:rPr>
        <w:t>assurer l</w:t>
      </w:r>
      <w:r w:rsidR="00E578FD" w:rsidRPr="00BC46F3">
        <w:rPr>
          <w:lang w:val="fr-FR"/>
        </w:rPr>
        <w:t>’</w:t>
      </w:r>
      <w:r w:rsidRPr="00BC46F3">
        <w:rPr>
          <w:lang w:val="fr-FR"/>
        </w:rPr>
        <w:t>accès aux technologies et leur transfert, et de partager les connaissances en matière de biologie de synthèse</w:t>
      </w:r>
      <w:r w:rsidR="00E06A64" w:rsidRPr="00BC46F3">
        <w:rPr>
          <w:lang w:val="fr-FR"/>
        </w:rPr>
        <w:t xml:space="preserve">, en particulier pour les pays en développement </w:t>
      </w:r>
      <w:r w:rsidR="00CE314D" w:rsidRPr="00BC46F3">
        <w:rPr>
          <w:lang w:val="fr-FR"/>
        </w:rPr>
        <w:t>p</w:t>
      </w:r>
      <w:r w:rsidR="00E06A64" w:rsidRPr="00BC46F3">
        <w:rPr>
          <w:lang w:val="fr-FR"/>
        </w:rPr>
        <w:t>arties, afin d’atteindre les objectifs et les cibles du Cadre mondial de la biodiversité de Kunming-Montréal</w:t>
      </w:r>
      <w:r w:rsidR="00CE314D" w:rsidRPr="00BC46F3">
        <w:rPr>
          <w:rStyle w:val="Appelnotedebasdep"/>
          <w:rFonts w:eastAsia="Times New Roman"/>
          <w:kern w:val="2"/>
          <w:lang w:val="fr-FR"/>
          <w14:ligatures w14:val="standardContextual"/>
        </w:rPr>
        <w:footnoteReference w:id="5"/>
      </w:r>
      <w:r w:rsidR="00CE314D" w:rsidRPr="00BC46F3">
        <w:rPr>
          <w:lang w:val="fr-FR"/>
        </w:rPr>
        <w:t xml:space="preserve"> </w:t>
      </w:r>
      <w:r w:rsidRPr="00BC46F3">
        <w:rPr>
          <w:lang w:val="fr-FR"/>
        </w:rPr>
        <w:t>;</w:t>
      </w:r>
    </w:p>
    <w:p w14:paraId="7C57855B" w14:textId="531CED19" w:rsidR="0033744B" w:rsidRPr="00BC46F3" w:rsidRDefault="0033744B" w:rsidP="0033744B">
      <w:pPr>
        <w:tabs>
          <w:tab w:val="clear" w:pos="567"/>
          <w:tab w:val="clear" w:pos="1134"/>
        </w:tabs>
        <w:snapToGrid w:val="0"/>
        <w:spacing w:before="120" w:after="120"/>
        <w:ind w:left="567" w:firstLine="567"/>
        <w:rPr>
          <w:rFonts w:eastAsia="Times New Roman"/>
          <w:kern w:val="2"/>
          <w:lang w:val="fr-FR"/>
          <w14:ligatures w14:val="standardContextual"/>
        </w:rPr>
      </w:pPr>
      <w:r w:rsidRPr="00BC46F3">
        <w:rPr>
          <w:lang w:val="fr-FR"/>
        </w:rPr>
        <w:t>2.</w:t>
      </w:r>
      <w:r w:rsidRPr="00BC46F3">
        <w:rPr>
          <w:lang w:val="fr-FR"/>
        </w:rPr>
        <w:tab/>
      </w:r>
      <w:r w:rsidRPr="00BC46F3">
        <w:rPr>
          <w:i/>
          <w:iCs/>
          <w:lang w:val="fr-FR"/>
        </w:rPr>
        <w:t>Exhorte</w:t>
      </w:r>
      <w:r w:rsidRPr="00BC46F3">
        <w:rPr>
          <w:lang w:val="fr-FR"/>
        </w:rPr>
        <w:t xml:space="preserve"> les Parties et invite</w:t>
      </w:r>
      <w:r w:rsidR="00E06A64" w:rsidRPr="00BC46F3">
        <w:rPr>
          <w:lang w:val="fr-FR"/>
        </w:rPr>
        <w:t xml:space="preserve"> les autres gouvernements et</w:t>
      </w:r>
      <w:r w:rsidRPr="00BC46F3">
        <w:rPr>
          <w:lang w:val="fr-FR"/>
        </w:rPr>
        <w:t xml:space="preserve"> les organisations compétentes à fournir un appui financier et technique </w:t>
      </w:r>
      <w:r w:rsidR="00DB14DC">
        <w:rPr>
          <w:lang w:val="fr-FR"/>
        </w:rPr>
        <w:t>aux activités de</w:t>
      </w:r>
      <w:r w:rsidR="00E06A64" w:rsidRPr="00BC46F3">
        <w:rPr>
          <w:lang w:val="fr-FR"/>
        </w:rPr>
        <w:t xml:space="preserve"> </w:t>
      </w:r>
      <w:r w:rsidR="0089277B">
        <w:rPr>
          <w:lang w:val="fr-FR"/>
        </w:rPr>
        <w:t xml:space="preserve">création et de </w:t>
      </w:r>
      <w:r w:rsidR="00E06A64" w:rsidRPr="00BC46F3">
        <w:rPr>
          <w:lang w:val="fr-FR"/>
        </w:rPr>
        <w:t xml:space="preserve">renforcement des capacités </w:t>
      </w:r>
      <w:r w:rsidRPr="00BC46F3">
        <w:rPr>
          <w:lang w:val="fr-FR"/>
        </w:rPr>
        <w:t xml:space="preserve">et </w:t>
      </w:r>
      <w:r w:rsidR="00DB14DC" w:rsidRPr="00BC46F3">
        <w:rPr>
          <w:lang w:val="fr-FR"/>
        </w:rPr>
        <w:t xml:space="preserve">aux initiatives </w:t>
      </w:r>
      <w:r w:rsidRPr="00BC46F3">
        <w:rPr>
          <w:lang w:val="fr-FR"/>
        </w:rPr>
        <w:t>de transfert de technologies dans les pays en développement</w:t>
      </w:r>
      <w:r w:rsidR="00C43FCC" w:rsidRPr="00BC46F3">
        <w:rPr>
          <w:lang w:val="fr-FR"/>
        </w:rPr>
        <w:t xml:space="preserve"> parties</w:t>
      </w:r>
      <w:r w:rsidRPr="00BC46F3">
        <w:rPr>
          <w:lang w:val="fr-FR"/>
        </w:rPr>
        <w:t xml:space="preserve">, </w:t>
      </w:r>
      <w:r w:rsidR="00440CBC" w:rsidRPr="00BC46F3">
        <w:rPr>
          <w:lang w:val="fr-FR"/>
        </w:rPr>
        <w:t xml:space="preserve">en particulier les pays les moins avancés et les petits États insulaires en développement, ainsi que les </w:t>
      </w:r>
      <w:r w:rsidR="00CE314D" w:rsidRPr="00BC46F3">
        <w:rPr>
          <w:lang w:val="fr-FR"/>
        </w:rPr>
        <w:t>Parties dont</w:t>
      </w:r>
      <w:r w:rsidR="00440CBC" w:rsidRPr="00BC46F3">
        <w:rPr>
          <w:lang w:val="fr-FR"/>
        </w:rPr>
        <w:t xml:space="preserve"> </w:t>
      </w:r>
      <w:r w:rsidR="00CE314D" w:rsidRPr="00BC46F3">
        <w:rPr>
          <w:lang w:val="fr-FR"/>
        </w:rPr>
        <w:lastRenderedPageBreak/>
        <w:t>l’</w:t>
      </w:r>
      <w:r w:rsidR="00440CBC" w:rsidRPr="00BC46F3">
        <w:rPr>
          <w:lang w:val="fr-FR"/>
        </w:rPr>
        <w:t xml:space="preserve">économie </w:t>
      </w:r>
      <w:r w:rsidR="00CE314D" w:rsidRPr="00BC46F3">
        <w:rPr>
          <w:lang w:val="fr-FR"/>
        </w:rPr>
        <w:t xml:space="preserve">est </w:t>
      </w:r>
      <w:r w:rsidR="00440CBC" w:rsidRPr="00BC46F3">
        <w:rPr>
          <w:lang w:val="fr-FR"/>
        </w:rPr>
        <w:t xml:space="preserve">en transition, </w:t>
      </w:r>
      <w:r w:rsidRPr="00BC46F3">
        <w:rPr>
          <w:lang w:val="fr-FR"/>
        </w:rPr>
        <w:t>y compris pour la recherche</w:t>
      </w:r>
      <w:r w:rsidR="00CE314D" w:rsidRPr="00BC46F3">
        <w:rPr>
          <w:lang w:val="fr-FR"/>
        </w:rPr>
        <w:t>-</w:t>
      </w:r>
      <w:r w:rsidRPr="00BC46F3">
        <w:rPr>
          <w:lang w:val="fr-FR"/>
        </w:rPr>
        <w:t>développement et l</w:t>
      </w:r>
      <w:r w:rsidR="00E578FD" w:rsidRPr="00BC46F3">
        <w:rPr>
          <w:lang w:val="fr-FR"/>
        </w:rPr>
        <w:t>’</w:t>
      </w:r>
      <w:r w:rsidRPr="00BC46F3">
        <w:rPr>
          <w:lang w:val="fr-FR"/>
        </w:rPr>
        <w:t>évaluation dans le dom</w:t>
      </w:r>
      <w:r w:rsidR="00E06A64" w:rsidRPr="00BC46F3">
        <w:rPr>
          <w:lang w:val="fr-FR"/>
        </w:rPr>
        <w:t>aine de la biologie de synthèse</w:t>
      </w:r>
      <w:r w:rsidR="00CE314D" w:rsidRPr="00BC46F3">
        <w:rPr>
          <w:lang w:val="fr-FR"/>
        </w:rPr>
        <w:t xml:space="preserve"> </w:t>
      </w:r>
      <w:r w:rsidRPr="00BC46F3">
        <w:rPr>
          <w:lang w:val="fr-FR"/>
        </w:rPr>
        <w:t>;</w:t>
      </w:r>
    </w:p>
    <w:p w14:paraId="44A3EF77" w14:textId="4338DC67" w:rsidR="0033744B" w:rsidRPr="00BC46F3" w:rsidRDefault="0033744B" w:rsidP="0033744B">
      <w:pPr>
        <w:tabs>
          <w:tab w:val="clear" w:pos="567"/>
          <w:tab w:val="clear" w:pos="1134"/>
        </w:tabs>
        <w:snapToGrid w:val="0"/>
        <w:spacing w:before="120" w:after="120"/>
        <w:ind w:left="567" w:firstLine="567"/>
        <w:rPr>
          <w:rFonts w:eastAsia="Times New Roman"/>
          <w:kern w:val="2"/>
          <w:lang w:val="fr-FR"/>
          <w14:ligatures w14:val="standardContextual"/>
        </w:rPr>
      </w:pPr>
      <w:r w:rsidRPr="00BC46F3">
        <w:rPr>
          <w:lang w:val="fr-FR"/>
        </w:rPr>
        <w:t>3.</w:t>
      </w:r>
      <w:r w:rsidRPr="00BC46F3">
        <w:rPr>
          <w:lang w:val="fr-FR"/>
        </w:rPr>
        <w:tab/>
      </w:r>
      <w:r w:rsidRPr="00BC46F3">
        <w:rPr>
          <w:i/>
          <w:iCs/>
          <w:lang w:val="fr-FR"/>
        </w:rPr>
        <w:t>Invite</w:t>
      </w:r>
      <w:r w:rsidRPr="00BC46F3">
        <w:rPr>
          <w:lang w:val="fr-FR"/>
        </w:rPr>
        <w:t xml:space="preserve"> les Parties et les autres parties prenantes à faciliter une coopération internationale</w:t>
      </w:r>
      <w:r w:rsidR="00E06A64" w:rsidRPr="00BC46F3">
        <w:rPr>
          <w:lang w:val="fr-FR"/>
        </w:rPr>
        <w:t>, un transfert de technologies, un partage des connaissances</w:t>
      </w:r>
      <w:r w:rsidR="00DB14DC">
        <w:rPr>
          <w:lang w:val="fr-FR"/>
        </w:rPr>
        <w:t xml:space="preserve"> et</w:t>
      </w:r>
      <w:r w:rsidR="00E06A64" w:rsidRPr="00BC46F3">
        <w:rPr>
          <w:lang w:val="fr-FR"/>
        </w:rPr>
        <w:t xml:space="preserve"> </w:t>
      </w:r>
      <w:r w:rsidR="0089277B">
        <w:rPr>
          <w:lang w:val="fr-FR"/>
        </w:rPr>
        <w:t>une création</w:t>
      </w:r>
      <w:r w:rsidR="00E06A64" w:rsidRPr="00BC46F3">
        <w:rPr>
          <w:lang w:val="fr-FR"/>
        </w:rPr>
        <w:t xml:space="preserve"> et </w:t>
      </w:r>
      <w:r w:rsidR="0089277B">
        <w:rPr>
          <w:lang w:val="fr-FR"/>
        </w:rPr>
        <w:t>renforcement</w:t>
      </w:r>
      <w:r w:rsidRPr="00BC46F3">
        <w:rPr>
          <w:lang w:val="fr-FR"/>
        </w:rPr>
        <w:t xml:space="preserve"> des capacités </w:t>
      </w:r>
      <w:r w:rsidR="00E06A64" w:rsidRPr="00BC46F3">
        <w:rPr>
          <w:lang w:val="fr-FR"/>
        </w:rPr>
        <w:t xml:space="preserve">larges </w:t>
      </w:r>
      <w:r w:rsidRPr="00BC46F3">
        <w:rPr>
          <w:lang w:val="fr-FR"/>
        </w:rPr>
        <w:t>dans le domaine de la biologie de synthèse, en tenant compte des besoins des Parties, des peuples au</w:t>
      </w:r>
      <w:r w:rsidR="00E06A64" w:rsidRPr="00BC46F3">
        <w:rPr>
          <w:lang w:val="fr-FR"/>
        </w:rPr>
        <w:t>tochtones et</w:t>
      </w:r>
      <w:r w:rsidRPr="00BC46F3">
        <w:rPr>
          <w:lang w:val="fr-FR"/>
        </w:rPr>
        <w:t xml:space="preserve"> communautés lo</w:t>
      </w:r>
      <w:r w:rsidR="00E06A64" w:rsidRPr="00BC46F3">
        <w:rPr>
          <w:lang w:val="fr-FR"/>
        </w:rPr>
        <w:t>cales, des femmes et des jeunes</w:t>
      </w:r>
      <w:r w:rsidR="00CE314D" w:rsidRPr="00BC46F3">
        <w:rPr>
          <w:lang w:val="fr-FR"/>
        </w:rPr>
        <w:t xml:space="preserve"> </w:t>
      </w:r>
      <w:r w:rsidRPr="00BC46F3">
        <w:rPr>
          <w:lang w:val="fr-FR"/>
        </w:rPr>
        <w:t>;</w:t>
      </w:r>
    </w:p>
    <w:p w14:paraId="6026885D" w14:textId="1B5D8546" w:rsidR="0033744B" w:rsidRPr="00BC46F3" w:rsidRDefault="0033744B" w:rsidP="0033744B">
      <w:pPr>
        <w:tabs>
          <w:tab w:val="clear" w:pos="567"/>
          <w:tab w:val="clear" w:pos="1134"/>
        </w:tabs>
        <w:snapToGrid w:val="0"/>
        <w:spacing w:before="120" w:after="120"/>
        <w:ind w:left="567" w:firstLine="567"/>
        <w:rPr>
          <w:rFonts w:eastAsia="Times New Roman"/>
          <w:kern w:val="2"/>
          <w:lang w:val="fr-FR"/>
          <w14:ligatures w14:val="standardContextual"/>
        </w:rPr>
      </w:pPr>
      <w:r w:rsidRPr="00BC46F3">
        <w:rPr>
          <w:lang w:val="fr-FR"/>
        </w:rPr>
        <w:t>4.</w:t>
      </w:r>
      <w:r w:rsidR="005063F0" w:rsidRPr="00BC46F3">
        <w:rPr>
          <w:lang w:val="fr-FR"/>
        </w:rPr>
        <w:tab/>
      </w:r>
      <w:r w:rsidR="005063F0" w:rsidRPr="00BC46F3">
        <w:rPr>
          <w:i/>
          <w:iCs/>
          <w:lang w:val="fr-FR"/>
        </w:rPr>
        <w:t xml:space="preserve">Encourage </w:t>
      </w:r>
      <w:r w:rsidR="00E06A64" w:rsidRPr="00BC46F3">
        <w:rPr>
          <w:lang w:val="fr-FR"/>
        </w:rPr>
        <w:t>les Parties à communiquer leurs besoins et priorités concernant la</w:t>
      </w:r>
      <w:r w:rsidR="005063F0" w:rsidRPr="00BC46F3">
        <w:rPr>
          <w:lang w:val="fr-FR"/>
        </w:rPr>
        <w:t xml:space="preserve"> biologie de synthèse dans le</w:t>
      </w:r>
      <w:r w:rsidR="00E06A64" w:rsidRPr="00BC46F3">
        <w:rPr>
          <w:lang w:val="fr-FR"/>
        </w:rPr>
        <w:t xml:space="preserve"> contexte du</w:t>
      </w:r>
      <w:r w:rsidR="005063F0" w:rsidRPr="00BC46F3">
        <w:rPr>
          <w:lang w:val="fr-FR"/>
        </w:rPr>
        <w:t xml:space="preserve"> C</w:t>
      </w:r>
      <w:r w:rsidR="00E06A64" w:rsidRPr="00BC46F3">
        <w:rPr>
          <w:lang w:val="fr-FR"/>
        </w:rPr>
        <w:t>adre</w:t>
      </w:r>
      <w:r w:rsidR="005063F0" w:rsidRPr="00BC46F3">
        <w:rPr>
          <w:lang w:val="fr-FR"/>
        </w:rPr>
        <w:t xml:space="preserve">, notamment </w:t>
      </w:r>
      <w:r w:rsidR="00DB14DC">
        <w:rPr>
          <w:lang w:val="fr-FR"/>
        </w:rPr>
        <w:t>grâce aux</w:t>
      </w:r>
      <w:r w:rsidR="005063F0" w:rsidRPr="00BC46F3">
        <w:rPr>
          <w:lang w:val="fr-FR"/>
        </w:rPr>
        <w:t xml:space="preserve"> centres</w:t>
      </w:r>
      <w:r w:rsidR="00743A40" w:rsidRPr="00BC46F3">
        <w:rPr>
          <w:lang w:val="fr-FR"/>
        </w:rPr>
        <w:t xml:space="preserve"> régionaux et infrarégionaux </w:t>
      </w:r>
      <w:r w:rsidR="00E06A64" w:rsidRPr="00BC46F3">
        <w:rPr>
          <w:lang w:val="fr-FR"/>
        </w:rPr>
        <w:t xml:space="preserve">du mécanisme </w:t>
      </w:r>
      <w:r w:rsidR="00743A40" w:rsidRPr="00BC46F3">
        <w:rPr>
          <w:lang w:val="fr-FR"/>
        </w:rPr>
        <w:t>d</w:t>
      </w:r>
      <w:r w:rsidR="00E06A64" w:rsidRPr="00BC46F3">
        <w:rPr>
          <w:lang w:val="fr-FR"/>
        </w:rPr>
        <w:t xml:space="preserve">e coopération </w:t>
      </w:r>
      <w:r w:rsidR="005063F0" w:rsidRPr="00BC46F3">
        <w:rPr>
          <w:lang w:val="fr-FR"/>
        </w:rPr>
        <w:t>technique et scientifique</w:t>
      </w:r>
      <w:r w:rsidR="00FB5BCA" w:rsidRPr="00BC46F3">
        <w:rPr>
          <w:lang w:val="fr-FR"/>
        </w:rPr>
        <w:t xml:space="preserve"> </w:t>
      </w:r>
      <w:r w:rsidR="005063F0" w:rsidRPr="00BC46F3">
        <w:rPr>
          <w:lang w:val="fr-FR"/>
        </w:rPr>
        <w:t>;</w:t>
      </w:r>
    </w:p>
    <w:p w14:paraId="2314711D" w14:textId="08EFAF6A" w:rsidR="00577816" w:rsidRPr="00BC46F3" w:rsidRDefault="0033744B" w:rsidP="00577816">
      <w:pPr>
        <w:tabs>
          <w:tab w:val="clear" w:pos="567"/>
          <w:tab w:val="clear" w:pos="1134"/>
        </w:tabs>
        <w:snapToGrid w:val="0"/>
        <w:spacing w:before="120" w:after="120"/>
        <w:ind w:left="567" w:firstLine="567"/>
        <w:rPr>
          <w:lang w:val="fr-FR"/>
        </w:rPr>
      </w:pPr>
      <w:r w:rsidRPr="00BC46F3">
        <w:rPr>
          <w:lang w:val="fr-FR"/>
        </w:rPr>
        <w:t>5.</w:t>
      </w:r>
      <w:r w:rsidRPr="00BC46F3">
        <w:rPr>
          <w:i/>
          <w:iCs/>
          <w:lang w:val="fr-FR"/>
        </w:rPr>
        <w:tab/>
        <w:t>Décide</w:t>
      </w:r>
      <w:r w:rsidRPr="00BC46F3">
        <w:rPr>
          <w:lang w:val="fr-FR"/>
        </w:rPr>
        <w:t xml:space="preserve"> d</w:t>
      </w:r>
      <w:r w:rsidR="00E578FD" w:rsidRPr="00BC46F3">
        <w:rPr>
          <w:lang w:val="fr-FR"/>
        </w:rPr>
        <w:t>’</w:t>
      </w:r>
      <w:r w:rsidRPr="00BC46F3">
        <w:rPr>
          <w:lang w:val="fr-FR"/>
        </w:rPr>
        <w:t>élaborer un plan d</w:t>
      </w:r>
      <w:r w:rsidR="00E578FD" w:rsidRPr="00BC46F3">
        <w:rPr>
          <w:lang w:val="fr-FR"/>
        </w:rPr>
        <w:t>’</w:t>
      </w:r>
      <w:r w:rsidRPr="00BC46F3">
        <w:rPr>
          <w:lang w:val="fr-FR"/>
        </w:rPr>
        <w:t>action thématique pour appuye</w:t>
      </w:r>
      <w:r w:rsidR="00E06A64" w:rsidRPr="00BC46F3">
        <w:rPr>
          <w:lang w:val="fr-FR"/>
        </w:rPr>
        <w:t xml:space="preserve">r </w:t>
      </w:r>
      <w:r w:rsidR="0089277B">
        <w:rPr>
          <w:lang w:val="fr-FR"/>
        </w:rPr>
        <w:t>la création et le renforcement des capacités</w:t>
      </w:r>
      <w:r w:rsidRPr="00BC46F3">
        <w:rPr>
          <w:lang w:val="fr-FR"/>
        </w:rPr>
        <w:t>, l</w:t>
      </w:r>
      <w:r w:rsidR="00E578FD" w:rsidRPr="00BC46F3">
        <w:rPr>
          <w:lang w:val="fr-FR"/>
        </w:rPr>
        <w:t>’</w:t>
      </w:r>
      <w:r w:rsidRPr="00BC46F3">
        <w:rPr>
          <w:lang w:val="fr-FR"/>
        </w:rPr>
        <w:t>accès aux technologies et le transfert de celles-ci</w:t>
      </w:r>
      <w:r w:rsidR="00E06A64" w:rsidRPr="00BC46F3">
        <w:rPr>
          <w:lang w:val="fr-FR"/>
        </w:rPr>
        <w:t>,</w:t>
      </w:r>
      <w:r w:rsidRPr="00BC46F3">
        <w:rPr>
          <w:lang w:val="fr-FR"/>
        </w:rPr>
        <w:t xml:space="preserve"> ainsi que le partage</w:t>
      </w:r>
      <w:r w:rsidR="00E06A64" w:rsidRPr="00BC46F3">
        <w:rPr>
          <w:lang w:val="fr-FR"/>
        </w:rPr>
        <w:t xml:space="preserve"> des connaissances dans le contexte de la</w:t>
      </w:r>
      <w:r w:rsidRPr="00BC46F3">
        <w:rPr>
          <w:lang w:val="fr-FR"/>
        </w:rPr>
        <w:t xml:space="preserve"> biologie de synthèse</w:t>
      </w:r>
      <w:r w:rsidR="00E06A64" w:rsidRPr="00BC46F3">
        <w:rPr>
          <w:lang w:val="fr-FR"/>
        </w:rPr>
        <w:t xml:space="preserve">, en s’appuyant </w:t>
      </w:r>
      <w:r w:rsidR="00577816" w:rsidRPr="00BC46F3">
        <w:rPr>
          <w:lang w:val="fr-FR"/>
        </w:rPr>
        <w:t>sur les besoins et priorités des Parties, en particulier des pays en développement, notam</w:t>
      </w:r>
      <w:r w:rsidR="00E06A64" w:rsidRPr="00BC46F3">
        <w:rPr>
          <w:lang w:val="fr-FR"/>
        </w:rPr>
        <w:t>ment les pays les moins avancés et</w:t>
      </w:r>
      <w:r w:rsidR="00577816" w:rsidRPr="00BC46F3">
        <w:rPr>
          <w:lang w:val="fr-FR"/>
        </w:rPr>
        <w:t xml:space="preserve"> les petits États insulaires en développement, ainsi que les </w:t>
      </w:r>
      <w:r w:rsidR="00CE314D" w:rsidRPr="00BC46F3">
        <w:rPr>
          <w:lang w:val="fr-FR"/>
        </w:rPr>
        <w:t>Parties dont l’économie est en transition</w:t>
      </w:r>
      <w:r w:rsidR="004920CD" w:rsidRPr="00BC46F3">
        <w:rPr>
          <w:lang w:val="fr-FR"/>
        </w:rPr>
        <w:t>, pour faciliter la mise en œuvre</w:t>
      </w:r>
      <w:r w:rsidR="00577816" w:rsidRPr="00BC46F3">
        <w:rPr>
          <w:lang w:val="fr-FR"/>
        </w:rPr>
        <w:t xml:space="preserve"> des trois objectifs de la Convention sur la diversité biologique </w:t>
      </w:r>
      <w:r w:rsidR="004920CD" w:rsidRPr="00BC46F3">
        <w:rPr>
          <w:lang w:val="fr-FR"/>
        </w:rPr>
        <w:t>et du Cadre, en accord avec</w:t>
      </w:r>
      <w:r w:rsidR="00577816" w:rsidRPr="00BC46F3">
        <w:rPr>
          <w:lang w:val="fr-FR"/>
        </w:rPr>
        <w:t xml:space="preserve"> le cadre stratégique à long terme pour </w:t>
      </w:r>
      <w:r w:rsidR="0089277B">
        <w:rPr>
          <w:lang w:val="fr-FR"/>
        </w:rPr>
        <w:t>la création et le renforcement des capacités</w:t>
      </w:r>
      <w:r w:rsidR="004920CD" w:rsidRPr="00BC46F3">
        <w:rPr>
          <w:rStyle w:val="Appelnotedebasdep"/>
          <w:lang w:val="fr-FR"/>
        </w:rPr>
        <w:footnoteReference w:id="6"/>
      </w:r>
      <w:r w:rsidR="004920CD" w:rsidRPr="00BC46F3">
        <w:rPr>
          <w:lang w:val="fr-FR"/>
        </w:rPr>
        <w:t>, en évitant les doubles emplois</w:t>
      </w:r>
      <w:r w:rsidR="00577816" w:rsidRPr="00BC46F3">
        <w:rPr>
          <w:lang w:val="fr-FR"/>
        </w:rPr>
        <w:t xml:space="preserve"> avec les plans et stratégies e</w:t>
      </w:r>
      <w:r w:rsidR="004920CD" w:rsidRPr="00BC46F3">
        <w:rPr>
          <w:lang w:val="fr-FR"/>
        </w:rPr>
        <w:t>xistants</w:t>
      </w:r>
      <w:r w:rsidR="00577816" w:rsidRPr="00BC46F3">
        <w:rPr>
          <w:lang w:val="fr-FR"/>
        </w:rPr>
        <w:t xml:space="preserve"> au titre de la Convention et de ses Protocoles</w:t>
      </w:r>
      <w:r w:rsidR="003A2E4A" w:rsidRPr="00BC46F3">
        <w:rPr>
          <w:rStyle w:val="Appelnotedebasdep"/>
          <w:lang w:val="fr-FR"/>
        </w:rPr>
        <w:footnoteReference w:id="7"/>
      </w:r>
      <w:r w:rsidR="00577816" w:rsidRPr="00BC46F3">
        <w:rPr>
          <w:lang w:val="fr-FR"/>
        </w:rPr>
        <w:t>, et en tenant compte</w:t>
      </w:r>
      <w:r w:rsidR="00DB14DC">
        <w:rPr>
          <w:lang w:val="fr-FR"/>
        </w:rPr>
        <w:t xml:space="preserve"> </w:t>
      </w:r>
      <w:r w:rsidR="00577816" w:rsidRPr="00BC46F3">
        <w:rPr>
          <w:lang w:val="fr-FR"/>
        </w:rPr>
        <w:t>:</w:t>
      </w:r>
    </w:p>
    <w:p w14:paraId="0E02A4D9" w14:textId="7CD39691" w:rsidR="00577816" w:rsidRPr="00BC46F3" w:rsidRDefault="004920CD" w:rsidP="00577816">
      <w:pPr>
        <w:tabs>
          <w:tab w:val="clear" w:pos="567"/>
          <w:tab w:val="clear" w:pos="1134"/>
        </w:tabs>
        <w:snapToGrid w:val="0"/>
        <w:spacing w:before="120" w:after="120"/>
        <w:ind w:left="567" w:firstLine="567"/>
        <w:rPr>
          <w:lang w:val="fr-FR"/>
        </w:rPr>
      </w:pPr>
      <w:r w:rsidRPr="00BC46F3">
        <w:rPr>
          <w:lang w:val="fr-FR"/>
        </w:rPr>
        <w:t>a)</w:t>
      </w:r>
      <w:r w:rsidRPr="00BC46F3">
        <w:rPr>
          <w:lang w:val="fr-FR"/>
        </w:rPr>
        <w:tab/>
      </w:r>
      <w:r w:rsidR="00DB14DC">
        <w:rPr>
          <w:lang w:val="fr-FR"/>
        </w:rPr>
        <w:t>D</w:t>
      </w:r>
      <w:r w:rsidR="00577816" w:rsidRPr="00BC46F3">
        <w:rPr>
          <w:lang w:val="fr-FR"/>
        </w:rPr>
        <w:t xml:space="preserve">es besoins </w:t>
      </w:r>
      <w:r w:rsidR="00DB14DC">
        <w:rPr>
          <w:lang w:val="fr-FR"/>
        </w:rPr>
        <w:t>particuliers</w:t>
      </w:r>
      <w:r w:rsidR="00577816" w:rsidRPr="00BC46F3">
        <w:rPr>
          <w:lang w:val="fr-FR"/>
        </w:rPr>
        <w:t xml:space="preserve"> des Parties</w:t>
      </w:r>
      <w:r w:rsidR="00DB14DC">
        <w:rPr>
          <w:lang w:val="fr-FR"/>
        </w:rPr>
        <w:t xml:space="preserve"> et</w:t>
      </w:r>
      <w:r w:rsidR="00577816" w:rsidRPr="00BC46F3">
        <w:rPr>
          <w:lang w:val="fr-FR"/>
        </w:rPr>
        <w:t xml:space="preserve"> des peuples autochtones et communautés locales qui </w:t>
      </w:r>
      <w:r w:rsidRPr="00BC46F3">
        <w:rPr>
          <w:lang w:val="fr-FR"/>
        </w:rPr>
        <w:t>sont complémentaires du</w:t>
      </w:r>
      <w:r w:rsidR="00577816" w:rsidRPr="00BC46F3">
        <w:rPr>
          <w:lang w:val="fr-FR"/>
        </w:rPr>
        <w:t xml:space="preserve"> plan d</w:t>
      </w:r>
      <w:r w:rsidR="00E578FD" w:rsidRPr="00BC46F3">
        <w:rPr>
          <w:lang w:val="fr-FR"/>
        </w:rPr>
        <w:t>’</w:t>
      </w:r>
      <w:r w:rsidR="00577816" w:rsidRPr="00BC46F3">
        <w:rPr>
          <w:lang w:val="fr-FR"/>
        </w:rPr>
        <w:t>action pour le renf</w:t>
      </w:r>
      <w:r w:rsidRPr="00BC46F3">
        <w:rPr>
          <w:lang w:val="fr-FR"/>
        </w:rPr>
        <w:t xml:space="preserve">orcement des capacités </w:t>
      </w:r>
      <w:r w:rsidR="00CE314D" w:rsidRPr="00BC46F3">
        <w:rPr>
          <w:lang w:val="fr-FR"/>
        </w:rPr>
        <w:t>aux fins du</w:t>
      </w:r>
      <w:r w:rsidR="00577816" w:rsidRPr="00BC46F3">
        <w:rPr>
          <w:lang w:val="fr-FR"/>
        </w:rPr>
        <w:t xml:space="preserve"> Protocole de Cartagena, tels </w:t>
      </w:r>
      <w:r w:rsidR="00DB14DC">
        <w:rPr>
          <w:lang w:val="fr-FR"/>
        </w:rPr>
        <w:t>que recensés</w:t>
      </w:r>
      <w:r w:rsidR="00577816" w:rsidRPr="00BC46F3">
        <w:rPr>
          <w:lang w:val="fr-FR"/>
        </w:rPr>
        <w:t xml:space="preserve"> à partir des informations communiquées à la suite de la d</w:t>
      </w:r>
      <w:r w:rsidRPr="00BC46F3">
        <w:rPr>
          <w:lang w:val="fr-FR"/>
        </w:rPr>
        <w:t>emande formulée au paragraphe 7</w:t>
      </w:r>
      <w:r w:rsidR="00FB5BCA" w:rsidRPr="00BC46F3">
        <w:rPr>
          <w:lang w:val="fr-FR"/>
        </w:rPr>
        <w:t xml:space="preserve"> </w:t>
      </w:r>
      <w:r w:rsidR="00577816" w:rsidRPr="00BC46F3">
        <w:rPr>
          <w:lang w:val="fr-FR"/>
        </w:rPr>
        <w:t>;</w:t>
      </w:r>
    </w:p>
    <w:p w14:paraId="2949CCF3" w14:textId="3A10B480" w:rsidR="00577816" w:rsidRPr="00BC46F3" w:rsidRDefault="004920CD" w:rsidP="00577816">
      <w:pPr>
        <w:tabs>
          <w:tab w:val="clear" w:pos="567"/>
          <w:tab w:val="clear" w:pos="1134"/>
        </w:tabs>
        <w:snapToGrid w:val="0"/>
        <w:spacing w:before="120" w:after="120"/>
        <w:ind w:left="567" w:firstLine="567"/>
        <w:rPr>
          <w:lang w:val="fr-FR"/>
        </w:rPr>
      </w:pPr>
      <w:r w:rsidRPr="00BC46F3">
        <w:rPr>
          <w:lang w:val="fr-FR"/>
        </w:rPr>
        <w:t>b)</w:t>
      </w:r>
      <w:r w:rsidRPr="00BC46F3">
        <w:rPr>
          <w:lang w:val="fr-FR"/>
        </w:rPr>
        <w:tab/>
      </w:r>
      <w:r w:rsidR="00DB14DC">
        <w:rPr>
          <w:lang w:val="fr-FR"/>
        </w:rPr>
        <w:t>Du recensement</w:t>
      </w:r>
      <w:r w:rsidR="00577816" w:rsidRPr="00BC46F3">
        <w:rPr>
          <w:lang w:val="fr-FR"/>
        </w:rPr>
        <w:t xml:space="preserve"> des domaines dans lesquels </w:t>
      </w:r>
      <w:r w:rsidR="0089277B">
        <w:rPr>
          <w:lang w:val="fr-FR"/>
        </w:rPr>
        <w:t>la création et le renforcement des capacités</w:t>
      </w:r>
      <w:r w:rsidR="00577816" w:rsidRPr="00BC46F3">
        <w:rPr>
          <w:lang w:val="fr-FR"/>
        </w:rPr>
        <w:t>, l</w:t>
      </w:r>
      <w:r w:rsidR="00E578FD" w:rsidRPr="00BC46F3">
        <w:rPr>
          <w:lang w:val="fr-FR"/>
        </w:rPr>
        <w:t>’</w:t>
      </w:r>
      <w:r w:rsidR="00577816" w:rsidRPr="00BC46F3">
        <w:rPr>
          <w:lang w:val="fr-FR"/>
        </w:rPr>
        <w:t>accès aux technologies et leur transfert</w:t>
      </w:r>
      <w:r w:rsidRPr="00BC46F3">
        <w:rPr>
          <w:lang w:val="fr-FR"/>
        </w:rPr>
        <w:t>,</w:t>
      </w:r>
      <w:r w:rsidR="00577816" w:rsidRPr="00BC46F3">
        <w:rPr>
          <w:lang w:val="fr-FR"/>
        </w:rPr>
        <w:t xml:space="preserve"> ainsi que le partage des connaissances sont nécessaires pour la recherche-développement et l</w:t>
      </w:r>
      <w:r w:rsidR="00E578FD" w:rsidRPr="00BC46F3">
        <w:rPr>
          <w:lang w:val="fr-FR"/>
        </w:rPr>
        <w:t>’</w:t>
      </w:r>
      <w:r w:rsidR="00577816" w:rsidRPr="00BC46F3">
        <w:rPr>
          <w:lang w:val="fr-FR"/>
        </w:rPr>
        <w:t xml:space="preserve">évaluation </w:t>
      </w:r>
      <w:r w:rsidR="00DB14DC">
        <w:rPr>
          <w:lang w:val="fr-FR"/>
        </w:rPr>
        <w:t>concernant</w:t>
      </w:r>
      <w:r w:rsidR="00577816" w:rsidRPr="00BC46F3">
        <w:rPr>
          <w:lang w:val="fr-FR"/>
        </w:rPr>
        <w:t xml:space="preserve"> la biologie </w:t>
      </w:r>
      <w:r w:rsidRPr="00BC46F3">
        <w:rPr>
          <w:lang w:val="fr-FR"/>
        </w:rPr>
        <w:t>de synthèse</w:t>
      </w:r>
      <w:r w:rsidR="00CE314D" w:rsidRPr="00BC46F3">
        <w:rPr>
          <w:lang w:val="fr-FR"/>
        </w:rPr>
        <w:t xml:space="preserve"> </w:t>
      </w:r>
      <w:r w:rsidR="00F9638B" w:rsidRPr="00BC46F3">
        <w:rPr>
          <w:lang w:val="fr-FR"/>
        </w:rPr>
        <w:t>;</w:t>
      </w:r>
    </w:p>
    <w:p w14:paraId="12C8EB0F" w14:textId="066EE55E" w:rsidR="00577816" w:rsidRPr="00BC46F3" w:rsidRDefault="004920CD" w:rsidP="00577816">
      <w:pPr>
        <w:tabs>
          <w:tab w:val="clear" w:pos="567"/>
          <w:tab w:val="clear" w:pos="1134"/>
        </w:tabs>
        <w:snapToGrid w:val="0"/>
        <w:spacing w:before="120" w:after="120"/>
        <w:ind w:left="567" w:firstLine="567"/>
        <w:rPr>
          <w:lang w:val="fr-FR"/>
        </w:rPr>
      </w:pPr>
      <w:r w:rsidRPr="00BC46F3">
        <w:rPr>
          <w:lang w:val="fr-FR"/>
        </w:rPr>
        <w:t>c)</w:t>
      </w:r>
      <w:r w:rsidRPr="00BC46F3">
        <w:rPr>
          <w:lang w:val="fr-FR"/>
        </w:rPr>
        <w:tab/>
      </w:r>
      <w:r w:rsidR="00577816" w:rsidRPr="00BC46F3">
        <w:rPr>
          <w:lang w:val="fr-FR"/>
        </w:rPr>
        <w:t>Des stratégies visant à faciliter la participation équitable des pays en dévelo</w:t>
      </w:r>
      <w:r w:rsidRPr="00BC46F3">
        <w:rPr>
          <w:lang w:val="fr-FR"/>
        </w:rPr>
        <w:t xml:space="preserve">ppement </w:t>
      </w:r>
      <w:r w:rsidR="00DB14DC">
        <w:rPr>
          <w:lang w:val="fr-FR"/>
        </w:rPr>
        <w:t>p</w:t>
      </w:r>
      <w:r w:rsidR="00577816" w:rsidRPr="00BC46F3">
        <w:rPr>
          <w:lang w:val="fr-FR"/>
        </w:rPr>
        <w:t>arties, des</w:t>
      </w:r>
      <w:r w:rsidRPr="00BC46F3">
        <w:rPr>
          <w:lang w:val="fr-FR"/>
        </w:rPr>
        <w:t xml:space="preserve"> </w:t>
      </w:r>
      <w:r w:rsidR="00DB14DC">
        <w:rPr>
          <w:lang w:val="fr-FR"/>
        </w:rPr>
        <w:t>peuples</w:t>
      </w:r>
      <w:r w:rsidRPr="00BC46F3">
        <w:rPr>
          <w:lang w:val="fr-FR"/>
        </w:rPr>
        <w:t xml:space="preserve"> autochtones et </w:t>
      </w:r>
      <w:r w:rsidR="00577816" w:rsidRPr="00BC46F3">
        <w:rPr>
          <w:lang w:val="fr-FR"/>
        </w:rPr>
        <w:t xml:space="preserve">communautés locales, des femmes, des jeunes, </w:t>
      </w:r>
      <w:r w:rsidR="007E7E1C">
        <w:rPr>
          <w:lang w:val="fr-FR"/>
        </w:rPr>
        <w:t>du milieu universitaire</w:t>
      </w:r>
      <w:r w:rsidR="00577816" w:rsidRPr="00BC46F3">
        <w:rPr>
          <w:lang w:val="fr-FR"/>
        </w:rPr>
        <w:t xml:space="preserve">, du secteur </w:t>
      </w:r>
      <w:r w:rsidR="006B3E85" w:rsidRPr="00BC46F3">
        <w:rPr>
          <w:lang w:val="fr-FR"/>
        </w:rPr>
        <w:t xml:space="preserve">privé </w:t>
      </w:r>
      <w:r w:rsidR="00577816" w:rsidRPr="00BC46F3">
        <w:rPr>
          <w:lang w:val="fr-FR"/>
        </w:rPr>
        <w:t>et d</w:t>
      </w:r>
      <w:r w:rsidRPr="00BC46F3">
        <w:rPr>
          <w:lang w:val="fr-FR"/>
        </w:rPr>
        <w:t>es institutions compétentes en matière de recherche</w:t>
      </w:r>
      <w:r w:rsidR="00DB14DC">
        <w:rPr>
          <w:lang w:val="fr-FR"/>
        </w:rPr>
        <w:t>-</w:t>
      </w:r>
      <w:r w:rsidR="00577816" w:rsidRPr="00BC46F3">
        <w:rPr>
          <w:lang w:val="fr-FR"/>
        </w:rPr>
        <w:t xml:space="preserve">développement dans le domaine de la biologie </w:t>
      </w:r>
      <w:r w:rsidRPr="00BC46F3">
        <w:rPr>
          <w:lang w:val="fr-FR"/>
        </w:rPr>
        <w:t>de synthèse</w:t>
      </w:r>
      <w:r w:rsidR="00CE314D" w:rsidRPr="00BC46F3">
        <w:rPr>
          <w:lang w:val="fr-FR"/>
        </w:rPr>
        <w:t xml:space="preserve"> </w:t>
      </w:r>
      <w:r w:rsidR="006B3E85" w:rsidRPr="00BC46F3">
        <w:rPr>
          <w:lang w:val="fr-FR"/>
        </w:rPr>
        <w:t>;</w:t>
      </w:r>
    </w:p>
    <w:p w14:paraId="44B2DF99" w14:textId="204B67B5" w:rsidR="00577816" w:rsidRPr="00BC46F3" w:rsidRDefault="004920CD" w:rsidP="00577816">
      <w:pPr>
        <w:tabs>
          <w:tab w:val="clear" w:pos="567"/>
          <w:tab w:val="clear" w:pos="1134"/>
        </w:tabs>
        <w:snapToGrid w:val="0"/>
        <w:spacing w:before="120" w:after="120"/>
        <w:ind w:left="567" w:firstLine="567"/>
        <w:rPr>
          <w:lang w:val="fr-FR"/>
        </w:rPr>
      </w:pPr>
      <w:r w:rsidRPr="00BC46F3">
        <w:rPr>
          <w:lang w:val="fr-FR"/>
        </w:rPr>
        <w:t xml:space="preserve">d) </w:t>
      </w:r>
      <w:r w:rsidRPr="00BC46F3">
        <w:rPr>
          <w:lang w:val="fr-FR"/>
        </w:rPr>
        <w:tab/>
      </w:r>
      <w:r w:rsidR="00577816" w:rsidRPr="00BC46F3">
        <w:rPr>
          <w:lang w:val="fr-FR"/>
        </w:rPr>
        <w:t xml:space="preserve">Des stratégies visant à promouvoir le partage juste et équitable des avantages découlant de la biologie </w:t>
      </w:r>
      <w:r w:rsidR="006B3E85" w:rsidRPr="00BC46F3">
        <w:rPr>
          <w:lang w:val="fr-FR"/>
        </w:rPr>
        <w:t>de synthèse,</w:t>
      </w:r>
      <w:r w:rsidR="00577816" w:rsidRPr="00BC46F3">
        <w:rPr>
          <w:lang w:val="fr-FR"/>
        </w:rPr>
        <w:t xml:space="preserve"> conformément aux articles </w:t>
      </w:r>
      <w:hyperlink r:id="rId19" w:history="1">
        <w:r w:rsidR="00577816" w:rsidRPr="00BC46F3">
          <w:rPr>
            <w:rStyle w:val="Lienhypertexte"/>
            <w:lang w:val="fr-FR"/>
          </w:rPr>
          <w:t>16</w:t>
        </w:r>
      </w:hyperlink>
      <w:r w:rsidR="00577816" w:rsidRPr="00BC46F3">
        <w:rPr>
          <w:lang w:val="fr-FR"/>
        </w:rPr>
        <w:t xml:space="preserve"> et </w:t>
      </w:r>
      <w:hyperlink r:id="rId20" w:history="1">
        <w:r w:rsidR="00577816" w:rsidRPr="00BC46F3">
          <w:rPr>
            <w:rStyle w:val="Lienhypertexte"/>
            <w:lang w:val="fr-FR"/>
          </w:rPr>
          <w:t>19</w:t>
        </w:r>
      </w:hyperlink>
      <w:r w:rsidR="00577816" w:rsidRPr="00BC46F3">
        <w:rPr>
          <w:lang w:val="fr-FR"/>
        </w:rPr>
        <w:t xml:space="preserve"> de la </w:t>
      </w:r>
      <w:r w:rsidR="006B3E85" w:rsidRPr="00BC46F3">
        <w:rPr>
          <w:lang w:val="fr-FR"/>
        </w:rPr>
        <w:t>Co</w:t>
      </w:r>
      <w:r w:rsidRPr="00BC46F3">
        <w:rPr>
          <w:lang w:val="fr-FR"/>
        </w:rPr>
        <w:t>nvention et au</w:t>
      </w:r>
      <w:r w:rsidR="00577816" w:rsidRPr="00BC46F3">
        <w:rPr>
          <w:lang w:val="fr-FR"/>
        </w:rPr>
        <w:t xml:space="preserve"> </w:t>
      </w:r>
      <w:r w:rsidR="006B3E85" w:rsidRPr="00BC46F3">
        <w:rPr>
          <w:lang w:val="fr-FR"/>
        </w:rPr>
        <w:t>C</w:t>
      </w:r>
      <w:r w:rsidRPr="00BC46F3">
        <w:rPr>
          <w:lang w:val="fr-FR"/>
        </w:rPr>
        <w:t>adre</w:t>
      </w:r>
      <w:r w:rsidR="00CE314D" w:rsidRPr="00BC46F3">
        <w:rPr>
          <w:lang w:val="fr-FR"/>
        </w:rPr>
        <w:t xml:space="preserve"> </w:t>
      </w:r>
      <w:r w:rsidR="00577816" w:rsidRPr="00BC46F3">
        <w:rPr>
          <w:lang w:val="fr-FR"/>
        </w:rPr>
        <w:t>;</w:t>
      </w:r>
    </w:p>
    <w:p w14:paraId="6ED89C33" w14:textId="6AB87E5F" w:rsidR="00577816" w:rsidRPr="00BC46F3" w:rsidRDefault="004920CD" w:rsidP="00C7074B">
      <w:pPr>
        <w:tabs>
          <w:tab w:val="clear" w:pos="567"/>
          <w:tab w:val="clear" w:pos="1134"/>
        </w:tabs>
        <w:snapToGrid w:val="0"/>
        <w:spacing w:before="120" w:after="120"/>
        <w:ind w:left="567" w:firstLine="567"/>
        <w:rPr>
          <w:lang w:val="fr-FR"/>
        </w:rPr>
      </w:pPr>
      <w:r w:rsidRPr="00BC46F3">
        <w:rPr>
          <w:lang w:val="fr-FR"/>
        </w:rPr>
        <w:t xml:space="preserve">e)  </w:t>
      </w:r>
      <w:r w:rsidRPr="00BC46F3">
        <w:rPr>
          <w:lang w:val="fr-FR"/>
        </w:rPr>
        <w:tab/>
      </w:r>
      <w:r w:rsidR="006B3E85" w:rsidRPr="00BC46F3">
        <w:rPr>
          <w:lang w:val="fr-FR"/>
        </w:rPr>
        <w:t>De</w:t>
      </w:r>
      <w:r w:rsidR="00577816" w:rsidRPr="00BC46F3">
        <w:rPr>
          <w:lang w:val="fr-FR"/>
        </w:rPr>
        <w:t>s mécanismes de transfert de technologie, de partage des connaissances et de coopération technique et scientifique internationale pour favoriser l</w:t>
      </w:r>
      <w:r w:rsidR="00E578FD" w:rsidRPr="00BC46F3">
        <w:rPr>
          <w:lang w:val="fr-FR"/>
        </w:rPr>
        <w:t>’</w:t>
      </w:r>
      <w:r w:rsidR="00577816" w:rsidRPr="00BC46F3">
        <w:rPr>
          <w:lang w:val="fr-FR"/>
        </w:rPr>
        <w:t xml:space="preserve">innovation, conformément aux articles </w:t>
      </w:r>
      <w:r w:rsidR="00CE314D" w:rsidRPr="00BC46F3">
        <w:rPr>
          <w:lang w:val="fr-FR"/>
        </w:rPr>
        <w:fldChar w:fldCharType="begin"/>
      </w:r>
      <w:r w:rsidR="00CE314D" w:rsidRPr="00BC46F3">
        <w:rPr>
          <w:lang w:val="fr-FR"/>
        </w:rPr>
        <w:instrText>HYPERLINK "https://www.cbd.int/convention/articles/default.shtml?a=cbd-16"</w:instrText>
      </w:r>
      <w:r w:rsidR="00CE314D" w:rsidRPr="00BC46F3">
        <w:rPr>
          <w:lang w:val="fr-FR"/>
        </w:rPr>
      </w:r>
      <w:r w:rsidR="00CE314D" w:rsidRPr="00BC46F3">
        <w:rPr>
          <w:lang w:val="fr-FR"/>
        </w:rPr>
        <w:fldChar w:fldCharType="separate"/>
      </w:r>
      <w:r w:rsidR="00577816" w:rsidRPr="00BC46F3">
        <w:rPr>
          <w:rStyle w:val="Lienhypertexte"/>
          <w:lang w:val="fr-FR"/>
        </w:rPr>
        <w:t>16</w:t>
      </w:r>
      <w:r w:rsidR="00CE314D" w:rsidRPr="00BC46F3">
        <w:rPr>
          <w:lang w:val="fr-FR"/>
        </w:rPr>
        <w:fldChar w:fldCharType="end"/>
      </w:r>
      <w:r w:rsidR="00577816" w:rsidRPr="00BC46F3">
        <w:rPr>
          <w:lang w:val="fr-FR"/>
        </w:rPr>
        <w:t xml:space="preserve"> et </w:t>
      </w:r>
      <w:hyperlink r:id="rId21" w:history="1">
        <w:r w:rsidR="00577816" w:rsidRPr="00BC46F3">
          <w:rPr>
            <w:rStyle w:val="Lienhypertexte"/>
            <w:lang w:val="fr-FR"/>
          </w:rPr>
          <w:t>18</w:t>
        </w:r>
      </w:hyperlink>
      <w:r w:rsidR="00577816" w:rsidRPr="00BC46F3">
        <w:rPr>
          <w:lang w:val="fr-FR"/>
        </w:rPr>
        <w:t xml:space="preserve"> de la </w:t>
      </w:r>
      <w:r w:rsidR="006B3E85" w:rsidRPr="00BC46F3">
        <w:rPr>
          <w:lang w:val="fr-FR"/>
        </w:rPr>
        <w:t>C</w:t>
      </w:r>
      <w:r w:rsidR="00577816" w:rsidRPr="00BC46F3">
        <w:rPr>
          <w:lang w:val="fr-FR"/>
        </w:rPr>
        <w:t xml:space="preserve">onvention et </w:t>
      </w:r>
      <w:r w:rsidR="00FB5BCA" w:rsidRPr="00BC46F3">
        <w:rPr>
          <w:lang w:val="fr-FR"/>
        </w:rPr>
        <w:t>au</w:t>
      </w:r>
      <w:r w:rsidR="00577816" w:rsidRPr="00BC46F3">
        <w:rPr>
          <w:lang w:val="fr-FR"/>
        </w:rPr>
        <w:t xml:space="preserve"> </w:t>
      </w:r>
      <w:r w:rsidR="006B3E85" w:rsidRPr="00BC46F3">
        <w:rPr>
          <w:lang w:val="fr-FR"/>
        </w:rPr>
        <w:t>C</w:t>
      </w:r>
      <w:r w:rsidRPr="00BC46F3">
        <w:rPr>
          <w:lang w:val="fr-FR"/>
        </w:rPr>
        <w:t>adre</w:t>
      </w:r>
      <w:r w:rsidR="00CE314D" w:rsidRPr="00BC46F3">
        <w:rPr>
          <w:lang w:val="fr-FR"/>
        </w:rPr>
        <w:t xml:space="preserve"> </w:t>
      </w:r>
      <w:r w:rsidR="00577816" w:rsidRPr="00BC46F3">
        <w:rPr>
          <w:lang w:val="fr-FR"/>
        </w:rPr>
        <w:t>;</w:t>
      </w:r>
    </w:p>
    <w:p w14:paraId="00C90070" w14:textId="14DD09B9" w:rsidR="00C7074B" w:rsidRPr="00BC46F3" w:rsidRDefault="0033744B" w:rsidP="00C7074B">
      <w:pPr>
        <w:tabs>
          <w:tab w:val="clear" w:pos="567"/>
          <w:tab w:val="clear" w:pos="1134"/>
        </w:tabs>
        <w:snapToGrid w:val="0"/>
        <w:spacing w:before="120" w:after="120"/>
        <w:ind w:left="567" w:firstLine="567"/>
        <w:rPr>
          <w:lang w:val="fr-FR"/>
        </w:rPr>
      </w:pPr>
      <w:r w:rsidRPr="00BC46F3">
        <w:rPr>
          <w:lang w:val="fr-FR"/>
        </w:rPr>
        <w:t>6.</w:t>
      </w:r>
      <w:r w:rsidRPr="00BC46F3">
        <w:rPr>
          <w:lang w:val="fr-FR"/>
        </w:rPr>
        <w:tab/>
      </w:r>
      <w:r w:rsidR="004920CD" w:rsidRPr="00BC46F3">
        <w:rPr>
          <w:i/>
          <w:iCs/>
          <w:lang w:val="fr-FR"/>
        </w:rPr>
        <w:t>Met en place</w:t>
      </w:r>
      <w:r w:rsidR="00C7074B" w:rsidRPr="00BC46F3">
        <w:rPr>
          <w:lang w:val="fr-FR"/>
        </w:rPr>
        <w:t xml:space="preserve"> un nouveau </w:t>
      </w:r>
      <w:r w:rsidR="004920CD" w:rsidRPr="00BC46F3">
        <w:rPr>
          <w:lang w:val="fr-FR"/>
        </w:rPr>
        <w:t>Groupe</w:t>
      </w:r>
      <w:r w:rsidR="009842DA" w:rsidRPr="00BC46F3">
        <w:rPr>
          <w:lang w:val="fr-FR"/>
        </w:rPr>
        <w:t xml:space="preserve"> spécial d</w:t>
      </w:r>
      <w:r w:rsidR="00E578FD" w:rsidRPr="00BC46F3">
        <w:rPr>
          <w:lang w:val="fr-FR"/>
        </w:rPr>
        <w:t>’</w:t>
      </w:r>
      <w:r w:rsidR="009842DA" w:rsidRPr="00BC46F3">
        <w:rPr>
          <w:lang w:val="fr-FR"/>
        </w:rPr>
        <w:t>experts techniques</w:t>
      </w:r>
      <w:r w:rsidR="00C7074B" w:rsidRPr="00BC46F3">
        <w:rPr>
          <w:lang w:val="fr-FR"/>
        </w:rPr>
        <w:t xml:space="preserve"> sur la biologie de synthèse, conformément au mandat défini dans l</w:t>
      </w:r>
      <w:r w:rsidR="00E578FD" w:rsidRPr="00BC46F3">
        <w:rPr>
          <w:lang w:val="fr-FR"/>
        </w:rPr>
        <w:t>’</w:t>
      </w:r>
      <w:r w:rsidR="004920CD" w:rsidRPr="00BC46F3">
        <w:rPr>
          <w:lang w:val="fr-FR"/>
        </w:rPr>
        <w:t>annexe à la présente décision</w:t>
      </w:r>
      <w:r w:rsidR="00CE314D" w:rsidRPr="00BC46F3">
        <w:rPr>
          <w:lang w:val="fr-FR"/>
        </w:rPr>
        <w:t xml:space="preserve"> </w:t>
      </w:r>
      <w:r w:rsidR="00C7074B" w:rsidRPr="00BC46F3">
        <w:rPr>
          <w:lang w:val="fr-FR"/>
        </w:rPr>
        <w:t>;</w:t>
      </w:r>
    </w:p>
    <w:p w14:paraId="558754D0" w14:textId="6557C274" w:rsidR="000D6A10" w:rsidRPr="00BC46F3" w:rsidRDefault="00C7074B" w:rsidP="00C7074B">
      <w:pPr>
        <w:tabs>
          <w:tab w:val="clear" w:pos="567"/>
          <w:tab w:val="clear" w:pos="1134"/>
        </w:tabs>
        <w:snapToGrid w:val="0"/>
        <w:spacing w:before="120" w:after="120"/>
        <w:ind w:left="567" w:firstLine="567"/>
        <w:rPr>
          <w:lang w:val="fr-FR"/>
        </w:rPr>
      </w:pPr>
      <w:r w:rsidRPr="00BC46F3">
        <w:rPr>
          <w:lang w:val="fr-FR"/>
        </w:rPr>
        <w:t xml:space="preserve">7. </w:t>
      </w:r>
      <w:r w:rsidRPr="00BC46F3">
        <w:rPr>
          <w:lang w:val="fr-FR"/>
        </w:rPr>
        <w:tab/>
      </w:r>
      <w:r w:rsidR="00FB5BCA" w:rsidRPr="00BC46F3">
        <w:rPr>
          <w:i/>
          <w:iCs/>
          <w:lang w:val="fr-FR"/>
        </w:rPr>
        <w:t xml:space="preserve">Invite </w:t>
      </w:r>
      <w:r w:rsidR="00FB5BCA" w:rsidRPr="00BC46F3">
        <w:rPr>
          <w:lang w:val="fr-FR"/>
        </w:rPr>
        <w:t xml:space="preserve">les Parties, les autres </w:t>
      </w:r>
      <w:r w:rsidR="007E7E1C">
        <w:rPr>
          <w:lang w:val="fr-FR"/>
        </w:rPr>
        <w:t>g</w:t>
      </w:r>
      <w:r w:rsidR="00FB5BCA" w:rsidRPr="00BC46F3">
        <w:rPr>
          <w:lang w:val="fr-FR"/>
        </w:rPr>
        <w:t>ouvernements, les peuples autochtones et communautés locales, les femmes, les jeunes, le milieu universitaire, les instituts de recherche, le secteur des affaires et les organisations concernées à communiquer des informations sur leurs expériences, leurs besoins et leurs priorités en ce qui concerne : a) la biologie de synthèse, afin d'appuyer l'élaboration du plan d'action thématique visé au paragraphe 5 ; et b) d'autres processus et initiatives pertinents en matière de création et de renforcement des capacités, d'accès aux technologies et de transfert de celles-ci et de partage des connaissances concernant la biologie de synthèse</w:t>
      </w:r>
      <w:r w:rsidR="00FB5BCA" w:rsidRPr="00BC46F3">
        <w:rPr>
          <w:i/>
          <w:iCs/>
          <w:lang w:val="fr-FR"/>
        </w:rPr>
        <w:t xml:space="preserve"> </w:t>
      </w:r>
      <w:r w:rsidR="000D6A10" w:rsidRPr="00BC46F3">
        <w:rPr>
          <w:lang w:val="fr-FR"/>
        </w:rPr>
        <w:t>;</w:t>
      </w:r>
    </w:p>
    <w:p w14:paraId="6E6C26FB" w14:textId="51FB29FA" w:rsidR="0033744B" w:rsidRPr="00BC46F3" w:rsidRDefault="000D6A10" w:rsidP="00577090">
      <w:pPr>
        <w:tabs>
          <w:tab w:val="clear" w:pos="567"/>
          <w:tab w:val="clear" w:pos="1134"/>
        </w:tabs>
        <w:snapToGrid w:val="0"/>
        <w:spacing w:before="120" w:after="120"/>
        <w:ind w:left="567" w:firstLine="567"/>
        <w:rPr>
          <w:lang w:val="fr-FR"/>
        </w:rPr>
      </w:pPr>
      <w:r w:rsidRPr="00BC46F3">
        <w:rPr>
          <w:lang w:val="fr-FR"/>
        </w:rPr>
        <w:lastRenderedPageBreak/>
        <w:t xml:space="preserve">8. </w:t>
      </w:r>
      <w:r w:rsidRPr="00BC46F3">
        <w:rPr>
          <w:lang w:val="fr-FR"/>
        </w:rPr>
        <w:tab/>
      </w:r>
      <w:r w:rsidRPr="00BC46F3">
        <w:rPr>
          <w:i/>
          <w:iCs/>
          <w:lang w:val="fr-FR"/>
        </w:rPr>
        <w:t>Invite également</w:t>
      </w:r>
      <w:r w:rsidRPr="00BC46F3">
        <w:rPr>
          <w:lang w:val="fr-FR"/>
        </w:rPr>
        <w:t xml:space="preserve"> les Parties, les autres gouvernements, </w:t>
      </w:r>
      <w:r w:rsidR="004920CD" w:rsidRPr="00BC46F3">
        <w:rPr>
          <w:lang w:val="fr-FR"/>
        </w:rPr>
        <w:t>les peuples autochtones et</w:t>
      </w:r>
      <w:r w:rsidRPr="00BC46F3">
        <w:rPr>
          <w:lang w:val="fr-FR"/>
        </w:rPr>
        <w:t xml:space="preserve"> communautés locales, les femmes, les jeunes, les universités, les instituts de recherche, le secteur privé et les organisations concernées, à transmettre des informations su</w:t>
      </w:r>
      <w:r w:rsidR="004920CD" w:rsidRPr="00BC46F3">
        <w:rPr>
          <w:lang w:val="fr-FR"/>
        </w:rPr>
        <w:t>r leurs domaines prioritaires concernant la</w:t>
      </w:r>
      <w:r w:rsidRPr="00BC46F3">
        <w:rPr>
          <w:lang w:val="fr-FR"/>
        </w:rPr>
        <w:t xml:space="preserve"> biologie de synthèse, y compris les avancées technologiques </w:t>
      </w:r>
      <w:r w:rsidR="004920CD" w:rsidRPr="00BC46F3">
        <w:rPr>
          <w:lang w:val="fr-FR"/>
        </w:rPr>
        <w:t xml:space="preserve">les plus </w:t>
      </w:r>
      <w:r w:rsidRPr="00BC46F3">
        <w:rPr>
          <w:lang w:val="fr-FR"/>
        </w:rPr>
        <w:t xml:space="preserve">récentes, en lien avec les trois </w:t>
      </w:r>
      <w:r w:rsidR="004920CD" w:rsidRPr="00BC46F3">
        <w:rPr>
          <w:lang w:val="fr-FR"/>
        </w:rPr>
        <w:t>objectifs de la Convention et le</w:t>
      </w:r>
      <w:r w:rsidRPr="00BC46F3">
        <w:rPr>
          <w:lang w:val="fr-FR"/>
        </w:rPr>
        <w:t xml:space="preserve"> Cadre, afin d</w:t>
      </w:r>
      <w:r w:rsidR="00E578FD" w:rsidRPr="00BC46F3">
        <w:rPr>
          <w:lang w:val="fr-FR"/>
        </w:rPr>
        <w:t>’</w:t>
      </w:r>
      <w:r w:rsidRPr="00BC46F3">
        <w:rPr>
          <w:lang w:val="fr-FR"/>
        </w:rPr>
        <w:t>éclairer les travaux du Groupe spécial d</w:t>
      </w:r>
      <w:r w:rsidR="00E578FD" w:rsidRPr="00BC46F3">
        <w:rPr>
          <w:lang w:val="fr-FR"/>
        </w:rPr>
        <w:t>’</w:t>
      </w:r>
      <w:r w:rsidRPr="00BC46F3">
        <w:rPr>
          <w:lang w:val="fr-FR"/>
        </w:rPr>
        <w:t>experts techniques sur la biolog</w:t>
      </w:r>
      <w:r w:rsidR="004920CD" w:rsidRPr="00BC46F3">
        <w:rPr>
          <w:lang w:val="fr-FR"/>
        </w:rPr>
        <w:t>ie de synthèse, tel que décrit</w:t>
      </w:r>
      <w:r w:rsidRPr="00BC46F3">
        <w:rPr>
          <w:lang w:val="fr-FR"/>
        </w:rPr>
        <w:t xml:space="preserve"> au paragraphe 3 de l</w:t>
      </w:r>
      <w:r w:rsidR="00E578FD" w:rsidRPr="00BC46F3">
        <w:rPr>
          <w:lang w:val="fr-FR"/>
        </w:rPr>
        <w:t>’</w:t>
      </w:r>
      <w:r w:rsidR="00577090" w:rsidRPr="00BC46F3">
        <w:rPr>
          <w:lang w:val="fr-FR"/>
        </w:rPr>
        <w:t>annexe à la présente décision</w:t>
      </w:r>
      <w:r w:rsidR="00FB5BCA" w:rsidRPr="00BC46F3">
        <w:rPr>
          <w:lang w:val="fr-FR"/>
        </w:rPr>
        <w:t xml:space="preserve"> </w:t>
      </w:r>
      <w:r w:rsidR="00577090" w:rsidRPr="00BC46F3">
        <w:rPr>
          <w:lang w:val="fr-FR"/>
        </w:rPr>
        <w:t>;</w:t>
      </w:r>
      <w:r w:rsidRPr="00BC46F3">
        <w:rPr>
          <w:lang w:val="fr-FR"/>
        </w:rPr>
        <w:t xml:space="preserve"> </w:t>
      </w:r>
    </w:p>
    <w:p w14:paraId="46206864" w14:textId="014E3ACD" w:rsidR="0033744B" w:rsidRPr="00BC46F3" w:rsidRDefault="0033033F" w:rsidP="0033744B">
      <w:pPr>
        <w:tabs>
          <w:tab w:val="clear" w:pos="567"/>
          <w:tab w:val="clear" w:pos="1134"/>
        </w:tabs>
        <w:snapToGrid w:val="0"/>
        <w:spacing w:before="120" w:after="120"/>
        <w:ind w:left="567" w:firstLine="567"/>
        <w:rPr>
          <w:rFonts w:eastAsia="Times New Roman"/>
          <w:kern w:val="2"/>
          <w:lang w:val="fr-FR"/>
          <w14:ligatures w14:val="standardContextual"/>
        </w:rPr>
      </w:pPr>
      <w:r w:rsidRPr="00BC46F3">
        <w:rPr>
          <w:lang w:val="fr-FR"/>
        </w:rPr>
        <w:t>9</w:t>
      </w:r>
      <w:r w:rsidR="0033744B" w:rsidRPr="00BC46F3">
        <w:rPr>
          <w:lang w:val="fr-FR"/>
        </w:rPr>
        <w:t>.</w:t>
      </w:r>
      <w:r w:rsidR="0033744B" w:rsidRPr="00BC46F3">
        <w:rPr>
          <w:lang w:val="fr-FR"/>
        </w:rPr>
        <w:tab/>
      </w:r>
      <w:r w:rsidR="0033744B" w:rsidRPr="00BC46F3">
        <w:rPr>
          <w:i/>
          <w:iCs/>
          <w:lang w:val="fr-FR"/>
        </w:rPr>
        <w:t>Prie</w:t>
      </w:r>
      <w:r w:rsidR="00577090" w:rsidRPr="00BC46F3">
        <w:rPr>
          <w:lang w:val="fr-FR"/>
        </w:rPr>
        <w:t xml:space="preserve"> la Secrétaire exécutive</w:t>
      </w:r>
      <w:r w:rsidR="0033744B" w:rsidRPr="00BC46F3">
        <w:rPr>
          <w:lang w:val="fr-FR"/>
        </w:rPr>
        <w:t xml:space="preserve">, </w:t>
      </w:r>
      <w:r w:rsidR="00577090" w:rsidRPr="00BC46F3">
        <w:rPr>
          <w:lang w:val="fr-FR"/>
        </w:rPr>
        <w:t>dans la limite</w:t>
      </w:r>
      <w:r w:rsidR="0033744B" w:rsidRPr="00BC46F3">
        <w:rPr>
          <w:lang w:val="fr-FR"/>
        </w:rPr>
        <w:t xml:space="preserve"> des ressources</w:t>
      </w:r>
      <w:r w:rsidR="00577090" w:rsidRPr="00BC46F3">
        <w:rPr>
          <w:lang w:val="fr-FR"/>
        </w:rPr>
        <w:t xml:space="preserve"> disponibles</w:t>
      </w:r>
      <w:r w:rsidR="00FB5BCA" w:rsidRPr="00BC46F3">
        <w:rPr>
          <w:lang w:val="fr-FR"/>
        </w:rPr>
        <w:t xml:space="preserve"> </w:t>
      </w:r>
      <w:r w:rsidRPr="00BC46F3">
        <w:rPr>
          <w:lang w:val="fr-FR"/>
        </w:rPr>
        <w:t>:</w:t>
      </w:r>
      <w:r w:rsidR="0033744B" w:rsidRPr="00BC46F3">
        <w:rPr>
          <w:lang w:val="fr-FR"/>
        </w:rPr>
        <w:t xml:space="preserve"> </w:t>
      </w:r>
    </w:p>
    <w:p w14:paraId="64F3BB53" w14:textId="6B0B8406" w:rsidR="0033744B" w:rsidRPr="00BC46F3" w:rsidRDefault="0033744B" w:rsidP="0033744B">
      <w:pPr>
        <w:tabs>
          <w:tab w:val="clear" w:pos="567"/>
          <w:tab w:val="clear" w:pos="1134"/>
          <w:tab w:val="clear" w:pos="2268"/>
        </w:tabs>
        <w:spacing w:before="120" w:after="120"/>
        <w:ind w:left="567" w:firstLine="567"/>
        <w:rPr>
          <w:rFonts w:eastAsia="Times New Roman"/>
          <w:lang w:val="fr-FR"/>
        </w:rPr>
      </w:pPr>
      <w:r w:rsidRPr="00BC46F3">
        <w:rPr>
          <w:lang w:val="fr-FR"/>
        </w:rPr>
        <w:t>a)</w:t>
      </w:r>
      <w:r w:rsidRPr="00BC46F3">
        <w:rPr>
          <w:lang w:val="fr-FR"/>
        </w:rPr>
        <w:tab/>
      </w:r>
      <w:r w:rsidR="00FB5BCA" w:rsidRPr="00BC46F3">
        <w:rPr>
          <w:lang w:val="fr-FR"/>
        </w:rPr>
        <w:t>D’é</w:t>
      </w:r>
      <w:r w:rsidR="0033033F" w:rsidRPr="00BC46F3">
        <w:rPr>
          <w:lang w:val="fr-FR"/>
        </w:rPr>
        <w:t>laborer un</w:t>
      </w:r>
      <w:r w:rsidR="00FB5BCA" w:rsidRPr="00BC46F3">
        <w:rPr>
          <w:lang w:val="fr-FR"/>
        </w:rPr>
        <w:t xml:space="preserve"> projet de</w:t>
      </w:r>
      <w:r w:rsidR="0033033F" w:rsidRPr="00BC46F3">
        <w:rPr>
          <w:lang w:val="fr-FR"/>
        </w:rPr>
        <w:t xml:space="preserve"> plan d</w:t>
      </w:r>
      <w:r w:rsidR="00E578FD" w:rsidRPr="00BC46F3">
        <w:rPr>
          <w:lang w:val="fr-FR"/>
        </w:rPr>
        <w:t>’</w:t>
      </w:r>
      <w:r w:rsidR="00577090" w:rsidRPr="00BC46F3">
        <w:rPr>
          <w:lang w:val="fr-FR"/>
        </w:rPr>
        <w:t>action thématique pour appuyer</w:t>
      </w:r>
      <w:r w:rsidR="0033033F" w:rsidRPr="00BC46F3">
        <w:rPr>
          <w:lang w:val="fr-FR"/>
        </w:rPr>
        <w:t xml:space="preserve"> </w:t>
      </w:r>
      <w:r w:rsidR="0089277B">
        <w:rPr>
          <w:lang w:val="fr-FR"/>
        </w:rPr>
        <w:t>la création et le renforcement des capacités</w:t>
      </w:r>
      <w:r w:rsidR="00577090" w:rsidRPr="00BC46F3">
        <w:rPr>
          <w:lang w:val="fr-FR"/>
        </w:rPr>
        <w:t xml:space="preserve">, </w:t>
      </w:r>
      <w:r w:rsidR="0033033F" w:rsidRPr="00BC46F3">
        <w:rPr>
          <w:lang w:val="fr-FR"/>
        </w:rPr>
        <w:t>l</w:t>
      </w:r>
      <w:r w:rsidR="00E578FD" w:rsidRPr="00BC46F3">
        <w:rPr>
          <w:lang w:val="fr-FR"/>
        </w:rPr>
        <w:t>’</w:t>
      </w:r>
      <w:r w:rsidR="0033033F" w:rsidRPr="00BC46F3">
        <w:rPr>
          <w:lang w:val="fr-FR"/>
        </w:rPr>
        <w:t>accès aux technologies et leur</w:t>
      </w:r>
      <w:r w:rsidR="00577090" w:rsidRPr="00BC46F3">
        <w:rPr>
          <w:lang w:val="fr-FR"/>
        </w:rPr>
        <w:t xml:space="preserve"> transfert, ainsi que</w:t>
      </w:r>
      <w:r w:rsidR="0033033F" w:rsidRPr="00BC46F3">
        <w:rPr>
          <w:lang w:val="fr-FR"/>
        </w:rPr>
        <w:t xml:space="preserve"> le partage d</w:t>
      </w:r>
      <w:r w:rsidR="00577090" w:rsidRPr="00BC46F3">
        <w:rPr>
          <w:lang w:val="fr-FR"/>
        </w:rPr>
        <w:t>es connaissances dans le contexte</w:t>
      </w:r>
      <w:r w:rsidR="0033033F" w:rsidRPr="00BC46F3">
        <w:rPr>
          <w:lang w:val="fr-FR"/>
        </w:rPr>
        <w:t xml:space="preserve"> de la biolo</w:t>
      </w:r>
      <w:r w:rsidR="00577090" w:rsidRPr="00BC46F3">
        <w:rPr>
          <w:lang w:val="fr-FR"/>
        </w:rPr>
        <w:t>gie de synthèse, tel qu’indiqué</w:t>
      </w:r>
      <w:r w:rsidR="0033033F" w:rsidRPr="00BC46F3">
        <w:rPr>
          <w:lang w:val="fr-FR"/>
        </w:rPr>
        <w:t xml:space="preserve"> au paragraphe 5</w:t>
      </w:r>
      <w:r w:rsidR="00FB5BCA" w:rsidRPr="00BC46F3">
        <w:rPr>
          <w:lang w:val="fr-FR"/>
        </w:rPr>
        <w:t xml:space="preserve"> </w:t>
      </w:r>
      <w:r w:rsidR="00EF1FC1" w:rsidRPr="00BC46F3">
        <w:rPr>
          <w:lang w:val="fr-FR"/>
        </w:rPr>
        <w:t>;</w:t>
      </w:r>
    </w:p>
    <w:p w14:paraId="1E61579B" w14:textId="58D7B5A8" w:rsidR="00C246F4" w:rsidRPr="00BC46F3" w:rsidRDefault="0033744B" w:rsidP="0033744B">
      <w:pPr>
        <w:tabs>
          <w:tab w:val="clear" w:pos="567"/>
          <w:tab w:val="clear" w:pos="1134"/>
          <w:tab w:val="clear" w:pos="2268"/>
        </w:tabs>
        <w:spacing w:before="120" w:after="120"/>
        <w:ind w:left="567" w:firstLine="567"/>
        <w:rPr>
          <w:lang w:val="fr-FR"/>
        </w:rPr>
      </w:pPr>
      <w:r w:rsidRPr="00BC46F3">
        <w:rPr>
          <w:lang w:val="fr-FR"/>
        </w:rPr>
        <w:t>b)</w:t>
      </w:r>
      <w:r w:rsidRPr="00BC46F3">
        <w:rPr>
          <w:lang w:val="fr-FR"/>
        </w:rPr>
        <w:tab/>
      </w:r>
      <w:r w:rsidR="00FB5BCA" w:rsidRPr="00BC46F3">
        <w:rPr>
          <w:lang w:val="fr-FR"/>
        </w:rPr>
        <w:t xml:space="preserve">De faire réaliser </w:t>
      </w:r>
      <w:r w:rsidR="00C246F4" w:rsidRPr="00BC46F3">
        <w:rPr>
          <w:lang w:val="fr-FR"/>
        </w:rPr>
        <w:t>une étude scientifiqu</w:t>
      </w:r>
      <w:r w:rsidR="00ED5645" w:rsidRPr="00BC46F3">
        <w:rPr>
          <w:lang w:val="fr-FR"/>
        </w:rPr>
        <w:t>e indépendante q</w:t>
      </w:r>
      <w:r w:rsidR="00577090" w:rsidRPr="00BC46F3">
        <w:rPr>
          <w:lang w:val="fr-FR"/>
        </w:rPr>
        <w:t>ui consolide et résume les recherches scientifiques existantes et</w:t>
      </w:r>
      <w:r w:rsidR="00C246F4" w:rsidRPr="00BC46F3">
        <w:rPr>
          <w:lang w:val="fr-FR"/>
        </w:rPr>
        <w:t xml:space="preserve"> les besoins et priorités en matière de financement public pour la recherche</w:t>
      </w:r>
      <w:r w:rsidR="0089277B">
        <w:rPr>
          <w:lang w:val="fr-FR"/>
        </w:rPr>
        <w:t>-</w:t>
      </w:r>
      <w:r w:rsidR="00C246F4" w:rsidRPr="00BC46F3">
        <w:rPr>
          <w:lang w:val="fr-FR"/>
        </w:rPr>
        <w:t>développement, ainsi que les feuilles de route</w:t>
      </w:r>
      <w:r w:rsidR="00577090" w:rsidRPr="00BC46F3">
        <w:rPr>
          <w:lang w:val="fr-FR"/>
        </w:rPr>
        <w:t xml:space="preserve"> de la recherche</w:t>
      </w:r>
      <w:r w:rsidR="00C246F4" w:rsidRPr="00BC46F3">
        <w:rPr>
          <w:lang w:val="fr-FR"/>
        </w:rPr>
        <w:t xml:space="preserve"> </w:t>
      </w:r>
      <w:r w:rsidR="0089277B">
        <w:rPr>
          <w:lang w:val="fr-FR"/>
        </w:rPr>
        <w:t>concernant</w:t>
      </w:r>
      <w:r w:rsidR="00C246F4" w:rsidRPr="00BC46F3">
        <w:rPr>
          <w:lang w:val="fr-FR"/>
        </w:rPr>
        <w:t xml:space="preserve"> les applications de la biologie de synthèse </w:t>
      </w:r>
      <w:r w:rsidR="00577090" w:rsidRPr="00BC46F3">
        <w:rPr>
          <w:lang w:val="fr-FR"/>
        </w:rPr>
        <w:t xml:space="preserve">qui présentent un intérêt pour la mise en œuvre </w:t>
      </w:r>
      <w:r w:rsidR="00C246F4" w:rsidRPr="00BC46F3">
        <w:rPr>
          <w:lang w:val="fr-FR"/>
        </w:rPr>
        <w:t>du Cadre, nota</w:t>
      </w:r>
      <w:r w:rsidR="00577090" w:rsidRPr="00BC46F3">
        <w:rPr>
          <w:lang w:val="fr-FR"/>
        </w:rPr>
        <w:t>mment ses cibles 4, 6, 7, 8, 10, 13 et 17</w:t>
      </w:r>
      <w:r w:rsidR="00FB5BCA" w:rsidRPr="00BC46F3">
        <w:rPr>
          <w:lang w:val="fr-FR"/>
        </w:rPr>
        <w:t xml:space="preserve"> </w:t>
      </w:r>
      <w:r w:rsidR="00EF1FC1" w:rsidRPr="00BC46F3">
        <w:rPr>
          <w:lang w:val="fr-FR"/>
        </w:rPr>
        <w:t>;</w:t>
      </w:r>
    </w:p>
    <w:p w14:paraId="710C32C2" w14:textId="165D343D" w:rsidR="0033744B" w:rsidRPr="00BC46F3" w:rsidRDefault="0033744B" w:rsidP="0033744B">
      <w:pPr>
        <w:tabs>
          <w:tab w:val="clear" w:pos="567"/>
          <w:tab w:val="clear" w:pos="1134"/>
          <w:tab w:val="clear" w:pos="2268"/>
        </w:tabs>
        <w:spacing w:before="120" w:after="120"/>
        <w:ind w:left="567" w:firstLine="567"/>
        <w:rPr>
          <w:rFonts w:eastAsia="Times New Roman"/>
          <w:lang w:val="fr-FR"/>
        </w:rPr>
      </w:pPr>
      <w:r w:rsidRPr="00BC46F3">
        <w:rPr>
          <w:lang w:val="fr-FR"/>
        </w:rPr>
        <w:t>c)</w:t>
      </w:r>
      <w:r w:rsidRPr="00BC46F3">
        <w:rPr>
          <w:lang w:val="fr-FR"/>
        </w:rPr>
        <w:tab/>
      </w:r>
      <w:r w:rsidR="00FB5BCA" w:rsidRPr="00BC46F3">
        <w:rPr>
          <w:lang w:val="fr-FR"/>
        </w:rPr>
        <w:t>De f</w:t>
      </w:r>
      <w:r w:rsidR="00577090" w:rsidRPr="00BC46F3">
        <w:rPr>
          <w:lang w:val="fr-FR"/>
        </w:rPr>
        <w:t>aire la synthèse d</w:t>
      </w:r>
      <w:r w:rsidR="00473868" w:rsidRPr="00BC46F3">
        <w:rPr>
          <w:lang w:val="fr-FR"/>
        </w:rPr>
        <w:t xml:space="preserve">es informations </w:t>
      </w:r>
      <w:r w:rsidR="00FB5BCA" w:rsidRPr="00BC46F3">
        <w:rPr>
          <w:lang w:val="fr-FR"/>
        </w:rPr>
        <w:t>communiquées</w:t>
      </w:r>
      <w:r w:rsidR="00473868" w:rsidRPr="00BC46F3">
        <w:rPr>
          <w:lang w:val="fr-FR"/>
        </w:rPr>
        <w:t xml:space="preserve"> </w:t>
      </w:r>
      <w:r w:rsidR="00FB5BCA" w:rsidRPr="00BC46F3">
        <w:rPr>
          <w:lang w:val="fr-FR"/>
        </w:rPr>
        <w:t>conformément aux</w:t>
      </w:r>
      <w:r w:rsidR="00577090" w:rsidRPr="00BC46F3">
        <w:rPr>
          <w:lang w:val="fr-FR"/>
        </w:rPr>
        <w:t xml:space="preserve"> paragraphes 7, 8 et 9 f)</w:t>
      </w:r>
      <w:r w:rsidR="00FB5BCA" w:rsidRPr="00BC46F3">
        <w:rPr>
          <w:lang w:val="fr-FR"/>
        </w:rPr>
        <w:t xml:space="preserve"> </w:t>
      </w:r>
      <w:r w:rsidR="00473868" w:rsidRPr="00BC46F3">
        <w:rPr>
          <w:lang w:val="fr-FR"/>
        </w:rPr>
        <w:t>;</w:t>
      </w:r>
    </w:p>
    <w:p w14:paraId="7C04273F" w14:textId="5DD38333" w:rsidR="0033744B" w:rsidRPr="00BC46F3" w:rsidRDefault="0033744B" w:rsidP="0033744B">
      <w:pPr>
        <w:tabs>
          <w:tab w:val="clear" w:pos="567"/>
          <w:tab w:val="clear" w:pos="1134"/>
          <w:tab w:val="clear" w:pos="2268"/>
        </w:tabs>
        <w:spacing w:before="120" w:after="120"/>
        <w:ind w:left="567" w:firstLine="567"/>
        <w:rPr>
          <w:rFonts w:eastAsia="Times New Roman"/>
          <w:lang w:val="fr-FR"/>
        </w:rPr>
      </w:pPr>
      <w:r w:rsidRPr="00BC46F3">
        <w:rPr>
          <w:lang w:val="fr-FR"/>
        </w:rPr>
        <w:t>d)</w:t>
      </w:r>
      <w:r w:rsidRPr="00BC46F3">
        <w:rPr>
          <w:lang w:val="fr-FR"/>
        </w:rPr>
        <w:tab/>
      </w:r>
      <w:r w:rsidR="00FB5BCA" w:rsidRPr="00BC46F3">
        <w:rPr>
          <w:lang w:val="fr-FR"/>
        </w:rPr>
        <w:t>De soumettre</w:t>
      </w:r>
      <w:r w:rsidR="00473868" w:rsidRPr="00BC46F3">
        <w:rPr>
          <w:lang w:val="fr-FR"/>
        </w:rPr>
        <w:t xml:space="preserve"> </w:t>
      </w:r>
      <w:r w:rsidR="00FB5BCA" w:rsidRPr="00BC46F3">
        <w:rPr>
          <w:lang w:val="fr-FR"/>
        </w:rPr>
        <w:t>le</w:t>
      </w:r>
      <w:r w:rsidR="00473868" w:rsidRPr="00BC46F3">
        <w:rPr>
          <w:lang w:val="fr-FR"/>
        </w:rPr>
        <w:t xml:space="preserve"> projet de plan d</w:t>
      </w:r>
      <w:r w:rsidR="00E578FD" w:rsidRPr="00BC46F3">
        <w:rPr>
          <w:lang w:val="fr-FR"/>
        </w:rPr>
        <w:t>’</w:t>
      </w:r>
      <w:r w:rsidR="00577090" w:rsidRPr="00BC46F3">
        <w:rPr>
          <w:lang w:val="fr-FR"/>
        </w:rPr>
        <w:t>action thématique aux fins d’</w:t>
      </w:r>
      <w:r w:rsidR="00473868" w:rsidRPr="00BC46F3">
        <w:rPr>
          <w:lang w:val="fr-FR"/>
        </w:rPr>
        <w:t>examen par les pairs avant la vingt-huitième réunion de l</w:t>
      </w:r>
      <w:r w:rsidR="00E578FD" w:rsidRPr="00BC46F3">
        <w:rPr>
          <w:lang w:val="fr-FR"/>
        </w:rPr>
        <w:t>’</w:t>
      </w:r>
      <w:r w:rsidR="008C5308" w:rsidRPr="00BC46F3">
        <w:rPr>
          <w:lang w:val="fr-FR"/>
        </w:rPr>
        <w:t>O</w:t>
      </w:r>
      <w:r w:rsidR="00473868" w:rsidRPr="00BC46F3">
        <w:rPr>
          <w:lang w:val="fr-FR"/>
        </w:rPr>
        <w:t xml:space="preserve">rgane subsidiaire chargé </w:t>
      </w:r>
      <w:r w:rsidR="002D6B1D" w:rsidRPr="00BC46F3">
        <w:rPr>
          <w:lang w:val="fr-FR"/>
        </w:rPr>
        <w:t xml:space="preserve">de fournir </w:t>
      </w:r>
      <w:r w:rsidR="00473868" w:rsidRPr="00BC46F3">
        <w:rPr>
          <w:lang w:val="fr-FR"/>
        </w:rPr>
        <w:t>des avis scientifiques, techniques et technologiques</w:t>
      </w:r>
      <w:r w:rsidR="00FB5BCA" w:rsidRPr="00BC46F3">
        <w:rPr>
          <w:lang w:val="fr-FR"/>
        </w:rPr>
        <w:t xml:space="preserve"> </w:t>
      </w:r>
      <w:r w:rsidR="00473868" w:rsidRPr="00BC46F3">
        <w:rPr>
          <w:lang w:val="fr-FR"/>
        </w:rPr>
        <w:t>;</w:t>
      </w:r>
    </w:p>
    <w:p w14:paraId="466295F2" w14:textId="545E3A86" w:rsidR="0033744B" w:rsidRPr="00BC46F3" w:rsidRDefault="0033744B" w:rsidP="00704608">
      <w:pPr>
        <w:tabs>
          <w:tab w:val="clear" w:pos="567"/>
          <w:tab w:val="clear" w:pos="1134"/>
          <w:tab w:val="clear" w:pos="2268"/>
        </w:tabs>
        <w:spacing w:before="120" w:after="120"/>
        <w:ind w:left="567" w:firstLine="567"/>
        <w:rPr>
          <w:rFonts w:eastAsia="Times New Roman"/>
          <w:lang w:val="fr-FR"/>
        </w:rPr>
      </w:pPr>
      <w:r w:rsidRPr="00BC46F3">
        <w:rPr>
          <w:lang w:val="fr-FR"/>
        </w:rPr>
        <w:t>e)</w:t>
      </w:r>
      <w:r w:rsidRPr="00BC46F3">
        <w:rPr>
          <w:lang w:val="fr-FR"/>
        </w:rPr>
        <w:tab/>
      </w:r>
      <w:r w:rsidR="00FB5BCA" w:rsidRPr="00BC46F3">
        <w:rPr>
          <w:lang w:val="fr-FR"/>
        </w:rPr>
        <w:t>De m</w:t>
      </w:r>
      <w:r w:rsidR="00577090" w:rsidRPr="00BC46F3">
        <w:rPr>
          <w:lang w:val="fr-FR"/>
        </w:rPr>
        <w:t xml:space="preserve">ettre en place dans le centre d’échange </w:t>
      </w:r>
      <w:r w:rsidR="0089277B" w:rsidRPr="00BC46F3">
        <w:rPr>
          <w:lang w:val="fr-FR"/>
        </w:rPr>
        <w:t xml:space="preserve">une section </w:t>
      </w:r>
      <w:r w:rsidR="0089277B">
        <w:rPr>
          <w:lang w:val="fr-FR"/>
        </w:rPr>
        <w:t>visant</w:t>
      </w:r>
      <w:r w:rsidR="00577090" w:rsidRPr="00BC46F3">
        <w:rPr>
          <w:lang w:val="fr-FR"/>
        </w:rPr>
        <w:t xml:space="preserve"> </w:t>
      </w:r>
      <w:r w:rsidR="0089277B">
        <w:rPr>
          <w:lang w:val="fr-FR"/>
        </w:rPr>
        <w:t>à</w:t>
      </w:r>
      <w:r w:rsidR="00577090" w:rsidRPr="00BC46F3">
        <w:rPr>
          <w:lang w:val="fr-FR"/>
        </w:rPr>
        <w:t xml:space="preserve"> </w:t>
      </w:r>
      <w:r w:rsidR="00704608" w:rsidRPr="00BC46F3">
        <w:rPr>
          <w:lang w:val="fr-FR"/>
        </w:rPr>
        <w:t>promouvoir le plan d</w:t>
      </w:r>
      <w:r w:rsidR="00E578FD" w:rsidRPr="00BC46F3">
        <w:rPr>
          <w:lang w:val="fr-FR"/>
        </w:rPr>
        <w:t>’</w:t>
      </w:r>
      <w:r w:rsidR="00704608" w:rsidRPr="00BC46F3">
        <w:rPr>
          <w:lang w:val="fr-FR"/>
        </w:rPr>
        <w:t>action thématique et</w:t>
      </w:r>
      <w:r w:rsidR="001B50EA" w:rsidRPr="00BC46F3">
        <w:rPr>
          <w:lang w:val="fr-FR"/>
        </w:rPr>
        <w:t xml:space="preserve"> faciliter le partage des connaissances dans le contexte de la biologie </w:t>
      </w:r>
      <w:r w:rsidR="00577090" w:rsidRPr="00BC46F3">
        <w:rPr>
          <w:lang w:val="fr-FR"/>
        </w:rPr>
        <w:t>de synthèse</w:t>
      </w:r>
      <w:r w:rsidR="00FB5BCA" w:rsidRPr="00BC46F3">
        <w:rPr>
          <w:lang w:val="fr-FR"/>
        </w:rPr>
        <w:t xml:space="preserve"> </w:t>
      </w:r>
      <w:r w:rsidR="001B50EA" w:rsidRPr="00BC46F3">
        <w:rPr>
          <w:lang w:val="fr-FR"/>
        </w:rPr>
        <w:t>;</w:t>
      </w:r>
    </w:p>
    <w:p w14:paraId="4F1F3AB5" w14:textId="6083421A" w:rsidR="0033744B" w:rsidRPr="00BC46F3" w:rsidRDefault="0033744B" w:rsidP="0033744B">
      <w:pPr>
        <w:tabs>
          <w:tab w:val="clear" w:pos="567"/>
          <w:tab w:val="clear" w:pos="1134"/>
          <w:tab w:val="clear" w:pos="2268"/>
        </w:tabs>
        <w:spacing w:before="120" w:after="120"/>
        <w:ind w:left="567" w:firstLine="567"/>
        <w:rPr>
          <w:lang w:val="fr-FR"/>
        </w:rPr>
      </w:pPr>
      <w:r w:rsidRPr="00BC46F3">
        <w:rPr>
          <w:lang w:val="fr-FR"/>
        </w:rPr>
        <w:t>f)</w:t>
      </w:r>
      <w:r w:rsidRPr="00BC46F3">
        <w:rPr>
          <w:lang w:val="fr-FR"/>
        </w:rPr>
        <w:tab/>
      </w:r>
      <w:r w:rsidR="00FB5BCA" w:rsidRPr="00BC46F3">
        <w:rPr>
          <w:lang w:val="fr-FR"/>
        </w:rPr>
        <w:t>D’o</w:t>
      </w:r>
      <w:r w:rsidR="00704608" w:rsidRPr="00BC46F3">
        <w:rPr>
          <w:lang w:val="fr-FR"/>
        </w:rPr>
        <w:t>rganiser des discussions en ligne dans le cadre du Forum en ligne à composition non limitée sur la biologie de synthèse afin de soutenir les travaux du Groupe spécial d</w:t>
      </w:r>
      <w:r w:rsidR="00E578FD" w:rsidRPr="00BC46F3">
        <w:rPr>
          <w:lang w:val="fr-FR"/>
        </w:rPr>
        <w:t>’</w:t>
      </w:r>
      <w:r w:rsidR="00704608" w:rsidRPr="00BC46F3">
        <w:rPr>
          <w:lang w:val="fr-FR"/>
        </w:rPr>
        <w:t>experts techniques</w:t>
      </w:r>
      <w:r w:rsidR="00577090" w:rsidRPr="00BC46F3">
        <w:rPr>
          <w:lang w:val="fr-FR"/>
        </w:rPr>
        <w:t> sur la biologie de synthèse</w:t>
      </w:r>
      <w:r w:rsidR="00FB5BCA" w:rsidRPr="00BC46F3">
        <w:rPr>
          <w:lang w:val="fr-FR"/>
        </w:rPr>
        <w:t xml:space="preserve"> </w:t>
      </w:r>
      <w:r w:rsidR="00704608" w:rsidRPr="00BC46F3">
        <w:rPr>
          <w:lang w:val="fr-FR"/>
        </w:rPr>
        <w:t>;</w:t>
      </w:r>
    </w:p>
    <w:p w14:paraId="00DC7321" w14:textId="3DF80CCF" w:rsidR="00704608" w:rsidRPr="00BC46F3" w:rsidRDefault="00704608" w:rsidP="0033744B">
      <w:pPr>
        <w:tabs>
          <w:tab w:val="clear" w:pos="567"/>
          <w:tab w:val="clear" w:pos="1134"/>
          <w:tab w:val="clear" w:pos="2268"/>
        </w:tabs>
        <w:spacing w:before="120" w:after="120"/>
        <w:ind w:left="567" w:firstLine="567"/>
        <w:rPr>
          <w:lang w:val="fr-FR"/>
        </w:rPr>
      </w:pPr>
      <w:r w:rsidRPr="00BC46F3">
        <w:rPr>
          <w:lang w:val="fr-FR"/>
        </w:rPr>
        <w:t>g)</w:t>
      </w:r>
      <w:r w:rsidRPr="00BC46F3">
        <w:rPr>
          <w:lang w:val="fr-FR"/>
        </w:rPr>
        <w:tab/>
      </w:r>
      <w:r w:rsidR="00FB5BCA" w:rsidRPr="00BC46F3">
        <w:rPr>
          <w:lang w:val="fr-FR"/>
        </w:rPr>
        <w:t>D’organiser</w:t>
      </w:r>
      <w:r w:rsidR="00577090" w:rsidRPr="00BC46F3">
        <w:rPr>
          <w:lang w:val="fr-FR"/>
        </w:rPr>
        <w:t xml:space="preserve"> des réunions</w:t>
      </w:r>
      <w:r w:rsidRPr="00BC46F3">
        <w:rPr>
          <w:lang w:val="fr-FR"/>
        </w:rPr>
        <w:t xml:space="preserve"> du Groupe spécial d</w:t>
      </w:r>
      <w:r w:rsidR="00E578FD" w:rsidRPr="00BC46F3">
        <w:rPr>
          <w:lang w:val="fr-FR"/>
        </w:rPr>
        <w:t>’</w:t>
      </w:r>
      <w:r w:rsidRPr="00BC46F3">
        <w:rPr>
          <w:lang w:val="fr-FR"/>
        </w:rPr>
        <w:t xml:space="preserve">experts techniques sur la biologie de </w:t>
      </w:r>
      <w:r w:rsidR="00577090" w:rsidRPr="00BC46F3">
        <w:rPr>
          <w:lang w:val="fr-FR"/>
        </w:rPr>
        <w:t>synthèse, dont une réunion en présentiel</w:t>
      </w:r>
      <w:r w:rsidR="00FB5BCA" w:rsidRPr="00BC46F3">
        <w:rPr>
          <w:lang w:val="fr-FR"/>
        </w:rPr>
        <w:t xml:space="preserve"> </w:t>
      </w:r>
      <w:r w:rsidRPr="00BC46F3">
        <w:rPr>
          <w:lang w:val="fr-FR"/>
        </w:rPr>
        <w:t>;</w:t>
      </w:r>
    </w:p>
    <w:p w14:paraId="2CF8865E" w14:textId="2A23EAAC" w:rsidR="00704608" w:rsidRPr="00BC46F3" w:rsidRDefault="00704608" w:rsidP="0033744B">
      <w:pPr>
        <w:tabs>
          <w:tab w:val="clear" w:pos="567"/>
          <w:tab w:val="clear" w:pos="1134"/>
          <w:tab w:val="clear" w:pos="2268"/>
        </w:tabs>
        <w:spacing w:before="120" w:after="120"/>
        <w:ind w:left="567" w:firstLine="567"/>
        <w:rPr>
          <w:lang w:val="fr-FR"/>
        </w:rPr>
      </w:pPr>
      <w:r w:rsidRPr="00BC46F3">
        <w:rPr>
          <w:lang w:val="fr-FR"/>
        </w:rPr>
        <w:t>h)</w:t>
      </w:r>
      <w:r w:rsidRPr="00BC46F3">
        <w:rPr>
          <w:lang w:val="fr-FR"/>
        </w:rPr>
        <w:tab/>
      </w:r>
      <w:r w:rsidR="00FB5BCA" w:rsidRPr="00BC46F3">
        <w:rPr>
          <w:lang w:val="fr-FR"/>
        </w:rPr>
        <w:t>De s</w:t>
      </w:r>
      <w:r w:rsidRPr="00BC46F3">
        <w:rPr>
          <w:lang w:val="fr-FR"/>
        </w:rPr>
        <w:t>outenir la participation pleine et entière des peuples autochtones et des communautés locales aux travaux relatifs à l</w:t>
      </w:r>
      <w:r w:rsidR="00577090" w:rsidRPr="00BC46F3">
        <w:rPr>
          <w:lang w:val="fr-FR"/>
        </w:rPr>
        <w:t>a biologie de synthèse menés</w:t>
      </w:r>
      <w:r w:rsidRPr="00BC46F3">
        <w:rPr>
          <w:lang w:val="fr-FR"/>
        </w:rPr>
        <w:t xml:space="preserve"> dans le cadre de la Convention, conformément à la décision </w:t>
      </w:r>
      <w:hyperlink r:id="rId22" w:history="1">
        <w:r w:rsidRPr="00BC46F3">
          <w:rPr>
            <w:rStyle w:val="Lienhypertexte"/>
            <w:lang w:val="fr-FR"/>
          </w:rPr>
          <w:t>X/</w:t>
        </w:r>
        <w:r w:rsidRPr="00BC46F3">
          <w:rPr>
            <w:rStyle w:val="Lienhypertexte"/>
            <w:lang w:val="fr-FR"/>
          </w:rPr>
          <w:t>4</w:t>
        </w:r>
        <w:r w:rsidRPr="00BC46F3">
          <w:rPr>
            <w:rStyle w:val="Lienhypertexte"/>
            <w:lang w:val="fr-FR"/>
          </w:rPr>
          <w:t>0</w:t>
        </w:r>
      </w:hyperlink>
      <w:r w:rsidR="00577090" w:rsidRPr="00BC46F3">
        <w:rPr>
          <w:lang w:val="fr-FR"/>
        </w:rPr>
        <w:t xml:space="preserve"> du 29 octobre 2010</w:t>
      </w:r>
      <w:r w:rsidR="00FB5BCA" w:rsidRPr="00BC46F3">
        <w:rPr>
          <w:lang w:val="fr-FR"/>
        </w:rPr>
        <w:t xml:space="preserve"> </w:t>
      </w:r>
      <w:r w:rsidRPr="00BC46F3">
        <w:rPr>
          <w:lang w:val="fr-FR"/>
        </w:rPr>
        <w:t>;</w:t>
      </w:r>
    </w:p>
    <w:p w14:paraId="170DC584" w14:textId="052CFE49" w:rsidR="00704608" w:rsidRPr="00BC46F3" w:rsidRDefault="00704608" w:rsidP="0033744B">
      <w:pPr>
        <w:tabs>
          <w:tab w:val="clear" w:pos="567"/>
          <w:tab w:val="clear" w:pos="1134"/>
          <w:tab w:val="clear" w:pos="2268"/>
        </w:tabs>
        <w:spacing w:before="120" w:after="120"/>
        <w:ind w:left="567" w:firstLine="567"/>
        <w:rPr>
          <w:lang w:val="fr-FR"/>
        </w:rPr>
      </w:pPr>
      <w:r w:rsidRPr="00BC46F3">
        <w:rPr>
          <w:lang w:val="fr-FR"/>
        </w:rPr>
        <w:t>i)</w:t>
      </w:r>
      <w:r w:rsidRPr="00BC46F3">
        <w:rPr>
          <w:lang w:val="fr-FR"/>
        </w:rPr>
        <w:tab/>
      </w:r>
      <w:r w:rsidR="00FB5BCA" w:rsidRPr="00BC46F3">
        <w:rPr>
          <w:lang w:val="fr-FR"/>
        </w:rPr>
        <w:t>D’appuyer</w:t>
      </w:r>
      <w:r w:rsidRPr="00BC46F3">
        <w:rPr>
          <w:lang w:val="fr-FR"/>
        </w:rPr>
        <w:t xml:space="preserve"> davantage la participation des femmes, des jeunes</w:t>
      </w:r>
      <w:r w:rsidR="00577090" w:rsidRPr="00BC46F3">
        <w:rPr>
          <w:lang w:val="fr-FR"/>
        </w:rPr>
        <w:t xml:space="preserve">, des </w:t>
      </w:r>
      <w:r w:rsidR="008F4F97" w:rsidRPr="00BC46F3">
        <w:rPr>
          <w:lang w:val="fr-FR"/>
        </w:rPr>
        <w:t>université</w:t>
      </w:r>
      <w:r w:rsidRPr="00BC46F3">
        <w:rPr>
          <w:lang w:val="fr-FR"/>
        </w:rPr>
        <w:t>s</w:t>
      </w:r>
      <w:r w:rsidR="00577090" w:rsidRPr="00BC46F3">
        <w:rPr>
          <w:lang w:val="fr-FR"/>
        </w:rPr>
        <w:t xml:space="preserve"> et des instituts de recherche</w:t>
      </w:r>
      <w:r w:rsidRPr="00BC46F3">
        <w:rPr>
          <w:lang w:val="fr-FR"/>
        </w:rPr>
        <w:t xml:space="preserve"> aux travaux relatifs à la</w:t>
      </w:r>
      <w:r w:rsidR="00577090" w:rsidRPr="00BC46F3">
        <w:rPr>
          <w:lang w:val="fr-FR"/>
        </w:rPr>
        <w:t xml:space="preserve"> biologie de synthèse menés dans le cadre de la Convention</w:t>
      </w:r>
      <w:r w:rsidR="00FB5BCA" w:rsidRPr="00BC46F3">
        <w:rPr>
          <w:lang w:val="fr-FR"/>
        </w:rPr>
        <w:t xml:space="preserve"> </w:t>
      </w:r>
      <w:r w:rsidRPr="00BC46F3">
        <w:rPr>
          <w:lang w:val="fr-FR"/>
        </w:rPr>
        <w:t>;</w:t>
      </w:r>
    </w:p>
    <w:p w14:paraId="5133F660" w14:textId="2FDE7B4D" w:rsidR="00704608" w:rsidRPr="00BC46F3" w:rsidRDefault="00704608" w:rsidP="00704608">
      <w:pPr>
        <w:tabs>
          <w:tab w:val="clear" w:pos="567"/>
          <w:tab w:val="clear" w:pos="1134"/>
          <w:tab w:val="clear" w:pos="2268"/>
        </w:tabs>
        <w:spacing w:before="120" w:after="120"/>
        <w:ind w:left="567" w:firstLine="567"/>
        <w:rPr>
          <w:lang w:val="fr-FR"/>
        </w:rPr>
      </w:pPr>
      <w:r w:rsidRPr="00BC46F3">
        <w:rPr>
          <w:lang w:val="fr-FR"/>
        </w:rPr>
        <w:t>j)</w:t>
      </w:r>
      <w:r w:rsidRPr="00BC46F3">
        <w:rPr>
          <w:lang w:val="fr-FR"/>
        </w:rPr>
        <w:tab/>
      </w:r>
      <w:r w:rsidR="00FB5BCA" w:rsidRPr="00BC46F3">
        <w:rPr>
          <w:lang w:val="fr-FR"/>
        </w:rPr>
        <w:t>De f</w:t>
      </w:r>
      <w:r w:rsidRPr="00BC46F3">
        <w:rPr>
          <w:lang w:val="fr-FR"/>
        </w:rPr>
        <w:t>aciliter l</w:t>
      </w:r>
      <w:r w:rsidR="00FB5BCA" w:rsidRPr="00BC46F3">
        <w:rPr>
          <w:lang w:val="fr-FR"/>
        </w:rPr>
        <w:t xml:space="preserve">es activités de </w:t>
      </w:r>
      <w:r w:rsidR="00577090" w:rsidRPr="00BC46F3">
        <w:rPr>
          <w:lang w:val="fr-FR"/>
        </w:rPr>
        <w:t>renforcement des capacités concernant la</w:t>
      </w:r>
      <w:r w:rsidRPr="00BC46F3">
        <w:rPr>
          <w:lang w:val="fr-FR"/>
        </w:rPr>
        <w:t xml:space="preserve"> biologie </w:t>
      </w:r>
      <w:r w:rsidR="00577090" w:rsidRPr="00BC46F3">
        <w:rPr>
          <w:lang w:val="fr-FR"/>
        </w:rPr>
        <w:t>de synthèse</w:t>
      </w:r>
      <w:r w:rsidR="00FB5BCA" w:rsidRPr="00BC46F3">
        <w:rPr>
          <w:lang w:val="fr-FR"/>
        </w:rPr>
        <w:t xml:space="preserve"> </w:t>
      </w:r>
      <w:r w:rsidRPr="00BC46F3">
        <w:rPr>
          <w:lang w:val="fr-FR"/>
        </w:rPr>
        <w:t>;</w:t>
      </w:r>
    </w:p>
    <w:p w14:paraId="1EC62B50" w14:textId="2FB83609" w:rsidR="00B304E5" w:rsidRPr="00BC46F3" w:rsidRDefault="00704608" w:rsidP="0033744B">
      <w:pPr>
        <w:tabs>
          <w:tab w:val="clear" w:pos="567"/>
          <w:tab w:val="clear" w:pos="1134"/>
        </w:tabs>
        <w:snapToGrid w:val="0"/>
        <w:spacing w:before="120" w:after="120"/>
        <w:ind w:left="567" w:firstLine="567"/>
        <w:rPr>
          <w:lang w:val="fr-FR"/>
        </w:rPr>
      </w:pPr>
      <w:r w:rsidRPr="00BC46F3">
        <w:rPr>
          <w:lang w:val="fr-FR"/>
        </w:rPr>
        <w:t>10</w:t>
      </w:r>
      <w:r w:rsidR="0033744B" w:rsidRPr="00BC46F3">
        <w:rPr>
          <w:lang w:val="fr-FR"/>
        </w:rPr>
        <w:t>.</w:t>
      </w:r>
      <w:r w:rsidR="0033744B" w:rsidRPr="00BC46F3">
        <w:rPr>
          <w:lang w:val="fr-FR"/>
        </w:rPr>
        <w:tab/>
      </w:r>
      <w:r w:rsidR="0033744B" w:rsidRPr="00BC46F3">
        <w:rPr>
          <w:i/>
          <w:iCs/>
          <w:lang w:val="fr-FR"/>
        </w:rPr>
        <w:t>Prie</w:t>
      </w:r>
      <w:r w:rsidR="0033744B" w:rsidRPr="00BC46F3">
        <w:rPr>
          <w:lang w:val="fr-FR"/>
        </w:rPr>
        <w:t xml:space="preserve"> l</w:t>
      </w:r>
      <w:r w:rsidR="00E578FD" w:rsidRPr="00BC46F3">
        <w:rPr>
          <w:lang w:val="fr-FR"/>
        </w:rPr>
        <w:t>’</w:t>
      </w:r>
      <w:r w:rsidR="0033744B" w:rsidRPr="00BC46F3">
        <w:rPr>
          <w:lang w:val="fr-FR"/>
        </w:rPr>
        <w:t>Organe subsidiaire chargé de fournir des avis scientifiques, techniques et technologiques d</w:t>
      </w:r>
      <w:r w:rsidR="00E578FD" w:rsidRPr="00BC46F3">
        <w:rPr>
          <w:lang w:val="fr-FR"/>
        </w:rPr>
        <w:t>’</w:t>
      </w:r>
      <w:r w:rsidR="0033744B" w:rsidRPr="00BC46F3">
        <w:rPr>
          <w:lang w:val="fr-FR"/>
        </w:rPr>
        <w:t>examiner</w:t>
      </w:r>
      <w:r w:rsidR="00B304E5" w:rsidRPr="00BC46F3">
        <w:rPr>
          <w:lang w:val="fr-FR"/>
        </w:rPr>
        <w:t xml:space="preserve">, à sa vingt-huitième réunion, </w:t>
      </w:r>
      <w:r w:rsidR="004E55F6" w:rsidRPr="00BC46F3">
        <w:rPr>
          <w:lang w:val="fr-FR"/>
        </w:rPr>
        <w:t xml:space="preserve">le </w:t>
      </w:r>
      <w:r w:rsidR="00DE0949" w:rsidRPr="00BC46F3">
        <w:rPr>
          <w:lang w:val="fr-FR"/>
        </w:rPr>
        <w:t xml:space="preserve">projet de </w:t>
      </w:r>
      <w:r w:rsidR="004E55F6" w:rsidRPr="00BC46F3">
        <w:rPr>
          <w:lang w:val="fr-FR"/>
        </w:rPr>
        <w:t xml:space="preserve">plan d’action thématique et les résultats </w:t>
      </w:r>
      <w:r w:rsidR="00DE0949" w:rsidRPr="00BC46F3">
        <w:rPr>
          <w:lang w:val="fr-FR"/>
        </w:rPr>
        <w:t xml:space="preserve">des travaux </w:t>
      </w:r>
      <w:r w:rsidR="004E55F6" w:rsidRPr="00BC46F3">
        <w:rPr>
          <w:lang w:val="fr-FR"/>
        </w:rPr>
        <w:t xml:space="preserve">du Groupe spécial d’experts techniques sur la biologie de synthèse, et </w:t>
      </w:r>
      <w:r w:rsidR="00DE0949" w:rsidRPr="00BC46F3">
        <w:rPr>
          <w:rFonts w:eastAsia="Times New Roman"/>
          <w:kern w:val="2"/>
          <w:lang w:val="fr-FR"/>
          <w14:ligatures w14:val="standardContextual"/>
        </w:rPr>
        <w:t>demande</w:t>
      </w:r>
      <w:r w:rsidR="004E55F6" w:rsidRPr="00BC46F3">
        <w:rPr>
          <w:rFonts w:eastAsia="Times New Roman"/>
          <w:kern w:val="2"/>
          <w:lang w:val="fr-FR"/>
          <w14:ligatures w14:val="standardContextual"/>
        </w:rPr>
        <w:t xml:space="preserve"> </w:t>
      </w:r>
      <w:r w:rsidR="00DE0949" w:rsidRPr="00BC46F3">
        <w:rPr>
          <w:rFonts w:eastAsia="Times New Roman"/>
          <w:kern w:val="2"/>
          <w:lang w:val="fr-FR"/>
          <w14:ligatures w14:val="standardContextual"/>
        </w:rPr>
        <w:t xml:space="preserve">à </w:t>
      </w:r>
      <w:r w:rsidR="004E55F6" w:rsidRPr="00BC46F3">
        <w:rPr>
          <w:rFonts w:eastAsia="Times New Roman"/>
          <w:kern w:val="2"/>
          <w:lang w:val="fr-FR"/>
          <w14:ligatures w14:val="standardContextual"/>
        </w:rPr>
        <w:t xml:space="preserve">l’Organe subsidiaire chargé de l’application d’examiner à </w:t>
      </w:r>
      <w:r w:rsidR="00DE0949" w:rsidRPr="00BC46F3">
        <w:rPr>
          <w:rFonts w:eastAsia="Times New Roman"/>
          <w:kern w:val="2"/>
          <w:lang w:val="fr-FR"/>
          <w14:ligatures w14:val="standardContextual"/>
        </w:rPr>
        <w:t>une de ses</w:t>
      </w:r>
      <w:r w:rsidR="004E55F6" w:rsidRPr="00BC46F3">
        <w:rPr>
          <w:rFonts w:eastAsia="Times New Roman"/>
          <w:kern w:val="2"/>
          <w:lang w:val="fr-FR"/>
          <w14:ligatures w14:val="standardContextual"/>
        </w:rPr>
        <w:t xml:space="preserve"> réunion</w:t>
      </w:r>
      <w:r w:rsidR="00DE0949" w:rsidRPr="00BC46F3">
        <w:rPr>
          <w:rFonts w:eastAsia="Times New Roman"/>
          <w:kern w:val="2"/>
          <w:lang w:val="fr-FR"/>
          <w14:ligatures w14:val="standardContextual"/>
        </w:rPr>
        <w:t>s</w:t>
      </w:r>
      <w:r w:rsidR="004E55F6" w:rsidRPr="00BC46F3">
        <w:rPr>
          <w:rFonts w:eastAsia="Times New Roman"/>
          <w:kern w:val="2"/>
          <w:lang w:val="fr-FR"/>
          <w14:ligatures w14:val="standardContextual"/>
        </w:rPr>
        <w:t xml:space="preserve"> les </w:t>
      </w:r>
      <w:r w:rsidR="00DE0949" w:rsidRPr="00BC46F3">
        <w:rPr>
          <w:rFonts w:eastAsia="Times New Roman"/>
          <w:kern w:val="2"/>
          <w:lang w:val="fr-FR"/>
          <w14:ligatures w14:val="standardContextual"/>
        </w:rPr>
        <w:t xml:space="preserve">questions de </w:t>
      </w:r>
      <w:r w:rsidR="004E55F6" w:rsidRPr="00BC46F3">
        <w:rPr>
          <w:rFonts w:eastAsia="Times New Roman"/>
          <w:kern w:val="2"/>
          <w:lang w:val="fr-FR"/>
          <w14:ligatures w14:val="standardContextual"/>
        </w:rPr>
        <w:t xml:space="preserve"> mise en œuvre du plan d’action thématique, en vue de présenter un projet de décision pour examen par </w:t>
      </w:r>
      <w:r w:rsidR="0033744B" w:rsidRPr="00BC46F3">
        <w:rPr>
          <w:lang w:val="fr-FR"/>
        </w:rPr>
        <w:t xml:space="preserve">la Conférence des </w:t>
      </w:r>
      <w:r w:rsidR="00B304E5" w:rsidRPr="00BC46F3">
        <w:rPr>
          <w:lang w:val="fr-FR"/>
        </w:rPr>
        <w:t>P</w:t>
      </w:r>
      <w:r w:rsidR="0033744B" w:rsidRPr="00BC46F3">
        <w:rPr>
          <w:lang w:val="fr-FR"/>
        </w:rPr>
        <w:t>ar</w:t>
      </w:r>
      <w:r w:rsidR="004E55F6" w:rsidRPr="00BC46F3">
        <w:rPr>
          <w:lang w:val="fr-FR"/>
        </w:rPr>
        <w:t>ties à sa dix-septième réunion.</w:t>
      </w:r>
    </w:p>
    <w:p w14:paraId="35030DF5" w14:textId="77777777" w:rsidR="004E55F6" w:rsidRPr="00BC46F3" w:rsidRDefault="004E55F6" w:rsidP="0033744B">
      <w:pPr>
        <w:tabs>
          <w:tab w:val="clear" w:pos="567"/>
          <w:tab w:val="clear" w:pos="1134"/>
          <w:tab w:val="clear" w:pos="2268"/>
        </w:tabs>
        <w:snapToGrid w:val="0"/>
        <w:spacing w:before="120" w:after="120"/>
        <w:ind w:left="567"/>
        <w:jc w:val="left"/>
        <w:rPr>
          <w:lang w:val="fr-FR"/>
        </w:rPr>
      </w:pPr>
    </w:p>
    <w:p w14:paraId="7689A3D8" w14:textId="68AB86D7" w:rsidR="0033744B" w:rsidRPr="00BC46F3" w:rsidRDefault="0033744B" w:rsidP="0033744B">
      <w:pPr>
        <w:tabs>
          <w:tab w:val="clear" w:pos="567"/>
          <w:tab w:val="clear" w:pos="1134"/>
          <w:tab w:val="clear" w:pos="2268"/>
        </w:tabs>
        <w:snapToGrid w:val="0"/>
        <w:spacing w:before="120" w:after="120"/>
        <w:ind w:left="567"/>
        <w:jc w:val="left"/>
        <w:rPr>
          <w:rFonts w:eastAsia="Times New Roman"/>
          <w:b/>
          <w:bCs/>
          <w:kern w:val="2"/>
          <w:sz w:val="24"/>
          <w:szCs w:val="24"/>
          <w:lang w:val="fr-FR"/>
          <w14:ligatures w14:val="standardContextual"/>
        </w:rPr>
      </w:pPr>
      <w:r w:rsidRPr="00BC46F3">
        <w:rPr>
          <w:b/>
          <w:bCs/>
          <w:sz w:val="24"/>
          <w:szCs w:val="24"/>
          <w:lang w:val="fr-FR"/>
        </w:rPr>
        <w:t>Annexe</w:t>
      </w:r>
      <w:r w:rsidRPr="00BC46F3">
        <w:rPr>
          <w:b/>
          <w:bCs/>
          <w:sz w:val="24"/>
          <w:szCs w:val="24"/>
          <w:lang w:val="fr-FR"/>
        </w:rPr>
        <w:br/>
        <w:t>Mandat du Groupe spécial d</w:t>
      </w:r>
      <w:r w:rsidR="00E578FD" w:rsidRPr="00BC46F3">
        <w:rPr>
          <w:b/>
          <w:bCs/>
          <w:sz w:val="24"/>
          <w:szCs w:val="24"/>
          <w:lang w:val="fr-FR"/>
        </w:rPr>
        <w:t>’</w:t>
      </w:r>
      <w:r w:rsidRPr="00BC46F3">
        <w:rPr>
          <w:b/>
          <w:bCs/>
          <w:sz w:val="24"/>
          <w:szCs w:val="24"/>
          <w:lang w:val="fr-FR"/>
        </w:rPr>
        <w:t>experts techniques</w:t>
      </w:r>
      <w:r w:rsidR="00C923D7" w:rsidRPr="00BC46F3">
        <w:rPr>
          <w:b/>
          <w:bCs/>
          <w:sz w:val="24"/>
          <w:szCs w:val="24"/>
          <w:lang w:val="fr-FR"/>
        </w:rPr>
        <w:t xml:space="preserve"> </w:t>
      </w:r>
      <w:r w:rsidRPr="00BC46F3">
        <w:rPr>
          <w:b/>
          <w:bCs/>
          <w:sz w:val="24"/>
          <w:szCs w:val="24"/>
          <w:lang w:val="fr-FR"/>
        </w:rPr>
        <w:t xml:space="preserve">sur la biologie de synthèse </w:t>
      </w:r>
    </w:p>
    <w:p w14:paraId="195F874A" w14:textId="6A5CD134" w:rsidR="0033744B" w:rsidRPr="00BC46F3" w:rsidRDefault="0033744B" w:rsidP="0033744B">
      <w:pPr>
        <w:tabs>
          <w:tab w:val="clear" w:pos="567"/>
          <w:tab w:val="clear" w:pos="1701"/>
          <w:tab w:val="clear" w:pos="2268"/>
        </w:tabs>
        <w:snapToGrid w:val="0"/>
        <w:spacing w:before="120" w:after="120"/>
        <w:ind w:left="567"/>
        <w:rPr>
          <w:rFonts w:eastAsia="Times New Roman"/>
          <w:kern w:val="2"/>
          <w:lang w:val="fr-FR"/>
          <w14:ligatures w14:val="standardContextual"/>
        </w:rPr>
      </w:pPr>
      <w:r w:rsidRPr="00BC46F3">
        <w:rPr>
          <w:lang w:val="fr-FR"/>
        </w:rPr>
        <w:lastRenderedPageBreak/>
        <w:t>1.</w:t>
      </w:r>
      <w:r w:rsidRPr="00BC46F3">
        <w:rPr>
          <w:lang w:val="fr-FR"/>
        </w:rPr>
        <w:tab/>
        <w:t>Le Groupe spécial d</w:t>
      </w:r>
      <w:r w:rsidR="00E578FD" w:rsidRPr="00BC46F3">
        <w:rPr>
          <w:lang w:val="fr-FR"/>
        </w:rPr>
        <w:t>’</w:t>
      </w:r>
      <w:r w:rsidRPr="00BC46F3">
        <w:rPr>
          <w:lang w:val="fr-FR"/>
        </w:rPr>
        <w:t>experts techniques</w:t>
      </w:r>
      <w:r w:rsidR="00C923D7" w:rsidRPr="00BC46F3">
        <w:rPr>
          <w:lang w:val="fr-FR"/>
        </w:rPr>
        <w:t xml:space="preserve"> </w:t>
      </w:r>
      <w:r w:rsidRPr="00BC46F3">
        <w:rPr>
          <w:lang w:val="fr-FR"/>
        </w:rPr>
        <w:t xml:space="preserve">sur la biologie de synthèse sera </w:t>
      </w:r>
      <w:r w:rsidR="00CA1F6C" w:rsidRPr="00BC46F3">
        <w:rPr>
          <w:lang w:val="fr-FR"/>
        </w:rPr>
        <w:t>mis en place</w:t>
      </w:r>
      <w:r w:rsidRPr="00BC46F3">
        <w:rPr>
          <w:lang w:val="fr-FR"/>
        </w:rPr>
        <w:t xml:space="preserve"> conformément à la section H du mode de fonctionnement consolidé de l</w:t>
      </w:r>
      <w:r w:rsidR="00E578FD" w:rsidRPr="00BC46F3">
        <w:rPr>
          <w:lang w:val="fr-FR"/>
        </w:rPr>
        <w:t>’</w:t>
      </w:r>
      <w:r w:rsidRPr="00BC46F3">
        <w:rPr>
          <w:lang w:val="fr-FR"/>
        </w:rPr>
        <w:t>Organe subsidiaire chargé de fournir des avis scientifiques, techniques et technologiques</w:t>
      </w:r>
      <w:r w:rsidRPr="00BC46F3">
        <w:rPr>
          <w:rFonts w:eastAsia="Times New Roman"/>
          <w:kern w:val="2"/>
          <w:vertAlign w:val="superscript"/>
          <w:lang w:val="fr-FR"/>
        </w:rPr>
        <w:footnoteReference w:id="8"/>
      </w:r>
      <w:r w:rsidR="00C923D7" w:rsidRPr="00BC46F3">
        <w:rPr>
          <w:lang w:val="fr-FR"/>
        </w:rPr>
        <w:t>.</w:t>
      </w:r>
    </w:p>
    <w:p w14:paraId="00D5D211" w14:textId="5247166B" w:rsidR="0033744B" w:rsidRPr="00BC46F3" w:rsidRDefault="0033744B" w:rsidP="0033744B">
      <w:pPr>
        <w:tabs>
          <w:tab w:val="clear" w:pos="567"/>
          <w:tab w:val="clear" w:pos="1701"/>
          <w:tab w:val="clear" w:pos="2268"/>
        </w:tabs>
        <w:snapToGrid w:val="0"/>
        <w:spacing w:before="120" w:after="120"/>
        <w:ind w:left="567"/>
        <w:rPr>
          <w:rFonts w:eastAsia="Times New Roman"/>
          <w:kern w:val="2"/>
          <w:lang w:val="fr-FR"/>
          <w14:ligatures w14:val="standardContextual"/>
        </w:rPr>
      </w:pPr>
      <w:r w:rsidRPr="00BC46F3">
        <w:rPr>
          <w:lang w:val="fr-FR"/>
        </w:rPr>
        <w:t>2.</w:t>
      </w:r>
      <w:r w:rsidRPr="00BC46F3">
        <w:rPr>
          <w:lang w:val="fr-FR"/>
        </w:rPr>
        <w:tab/>
        <w:t xml:space="preserve">La procédure </w:t>
      </w:r>
      <w:r w:rsidR="0089277B">
        <w:rPr>
          <w:lang w:val="fr-FR"/>
        </w:rPr>
        <w:t>relative à la prévention</w:t>
      </w:r>
      <w:r w:rsidRPr="00BC46F3">
        <w:rPr>
          <w:lang w:val="fr-FR"/>
        </w:rPr>
        <w:t xml:space="preserve"> </w:t>
      </w:r>
      <w:r w:rsidR="0089277B">
        <w:rPr>
          <w:lang w:val="fr-FR"/>
        </w:rPr>
        <w:t>et à la gestion</w:t>
      </w:r>
      <w:r w:rsidRPr="00BC46F3">
        <w:rPr>
          <w:lang w:val="fr-FR"/>
        </w:rPr>
        <w:t xml:space="preserve"> </w:t>
      </w:r>
      <w:r w:rsidR="0089277B">
        <w:rPr>
          <w:lang w:val="fr-FR"/>
        </w:rPr>
        <w:t>d</w:t>
      </w:r>
      <w:r w:rsidRPr="00BC46F3">
        <w:rPr>
          <w:lang w:val="fr-FR"/>
        </w:rPr>
        <w:t>es conflits d</w:t>
      </w:r>
      <w:r w:rsidR="00E578FD" w:rsidRPr="00BC46F3">
        <w:rPr>
          <w:lang w:val="fr-FR"/>
        </w:rPr>
        <w:t>’</w:t>
      </w:r>
      <w:r w:rsidRPr="00BC46F3">
        <w:rPr>
          <w:lang w:val="fr-FR"/>
        </w:rPr>
        <w:t xml:space="preserve">intérêts dans les </w:t>
      </w:r>
      <w:r w:rsidR="00E27A11" w:rsidRPr="00BC46F3">
        <w:rPr>
          <w:lang w:val="fr-FR"/>
        </w:rPr>
        <w:t>g</w:t>
      </w:r>
      <w:r w:rsidRPr="00BC46F3">
        <w:rPr>
          <w:lang w:val="fr-FR"/>
        </w:rPr>
        <w:t>roupes d</w:t>
      </w:r>
      <w:r w:rsidR="00E578FD" w:rsidRPr="00BC46F3">
        <w:rPr>
          <w:lang w:val="fr-FR"/>
        </w:rPr>
        <w:t>’</w:t>
      </w:r>
      <w:r w:rsidRPr="00BC46F3">
        <w:rPr>
          <w:lang w:val="fr-FR"/>
        </w:rPr>
        <w:t>experts énoncée à l</w:t>
      </w:r>
      <w:r w:rsidR="00E578FD" w:rsidRPr="00BC46F3">
        <w:rPr>
          <w:lang w:val="fr-FR"/>
        </w:rPr>
        <w:t>’</w:t>
      </w:r>
      <w:r w:rsidRPr="00BC46F3">
        <w:rPr>
          <w:lang w:val="fr-FR"/>
        </w:rPr>
        <w:t xml:space="preserve">annexe de la décision </w:t>
      </w:r>
      <w:hyperlink r:id="rId23" w:history="1">
        <w:r w:rsidRPr="00BC46F3">
          <w:rPr>
            <w:rStyle w:val="Lienhypertexte"/>
            <w:lang w:val="fr-FR"/>
          </w:rPr>
          <w:t>14</w:t>
        </w:r>
        <w:r w:rsidRPr="00BC46F3">
          <w:rPr>
            <w:rStyle w:val="Lienhypertexte"/>
            <w:lang w:val="fr-FR"/>
          </w:rPr>
          <w:t>/</w:t>
        </w:r>
        <w:r w:rsidRPr="00BC46F3">
          <w:rPr>
            <w:rStyle w:val="Lienhypertexte"/>
            <w:lang w:val="fr-FR"/>
          </w:rPr>
          <w:t>3</w:t>
        </w:r>
        <w:r w:rsidRPr="00BC46F3">
          <w:rPr>
            <w:rStyle w:val="Lienhypertexte"/>
            <w:lang w:val="fr-FR"/>
          </w:rPr>
          <w:t>3</w:t>
        </w:r>
      </w:hyperlink>
      <w:r w:rsidRPr="00BC46F3">
        <w:rPr>
          <w:lang w:val="fr-FR"/>
        </w:rPr>
        <w:t xml:space="preserve"> du 29 novembre 2018 s</w:t>
      </w:r>
      <w:r w:rsidR="00E578FD" w:rsidRPr="00BC46F3">
        <w:rPr>
          <w:lang w:val="fr-FR"/>
        </w:rPr>
        <w:t>’</w:t>
      </w:r>
      <w:r w:rsidRPr="00BC46F3">
        <w:rPr>
          <w:lang w:val="fr-FR"/>
        </w:rPr>
        <w:t>applique au Groupe spécial d</w:t>
      </w:r>
      <w:r w:rsidR="00E578FD" w:rsidRPr="00BC46F3">
        <w:rPr>
          <w:lang w:val="fr-FR"/>
        </w:rPr>
        <w:t>’</w:t>
      </w:r>
      <w:r w:rsidRPr="00BC46F3">
        <w:rPr>
          <w:lang w:val="fr-FR"/>
        </w:rPr>
        <w:t>experts techniques sur la biologie de synthèse.</w:t>
      </w:r>
    </w:p>
    <w:p w14:paraId="25E881C9" w14:textId="119918B6" w:rsidR="0033744B" w:rsidRPr="00BC46F3" w:rsidRDefault="0033744B" w:rsidP="0033744B">
      <w:pPr>
        <w:tabs>
          <w:tab w:val="clear" w:pos="567"/>
          <w:tab w:val="clear" w:pos="1701"/>
          <w:tab w:val="clear" w:pos="2268"/>
        </w:tabs>
        <w:snapToGrid w:val="0"/>
        <w:spacing w:before="120" w:after="120"/>
        <w:ind w:left="567"/>
        <w:rPr>
          <w:rFonts w:asciiTheme="majorBidi" w:eastAsia="Times New Roman" w:hAnsiTheme="majorBidi" w:cstheme="majorBidi"/>
          <w:kern w:val="2"/>
          <w:lang w:val="fr-FR"/>
          <w14:ligatures w14:val="standardContextual"/>
        </w:rPr>
      </w:pPr>
      <w:r w:rsidRPr="00BC46F3">
        <w:rPr>
          <w:lang w:val="fr-FR"/>
        </w:rPr>
        <w:t>3.</w:t>
      </w:r>
      <w:r w:rsidRPr="00BC46F3">
        <w:rPr>
          <w:lang w:val="fr-FR"/>
        </w:rPr>
        <w:tab/>
        <w:t>Le Groupe spécial d</w:t>
      </w:r>
      <w:r w:rsidR="00E578FD" w:rsidRPr="00BC46F3">
        <w:rPr>
          <w:lang w:val="fr-FR"/>
        </w:rPr>
        <w:t>’</w:t>
      </w:r>
      <w:r w:rsidRPr="00BC46F3">
        <w:rPr>
          <w:lang w:val="fr-FR"/>
        </w:rPr>
        <w:t>experts techniques sur la biologie de synthès</w:t>
      </w:r>
      <w:r w:rsidR="00C923D7" w:rsidRPr="00BC46F3">
        <w:rPr>
          <w:lang w:val="fr-FR"/>
        </w:rPr>
        <w:t xml:space="preserve">e: </w:t>
      </w:r>
    </w:p>
    <w:p w14:paraId="63C7CAEB" w14:textId="39D3857E" w:rsidR="0033744B" w:rsidRPr="00BC46F3" w:rsidRDefault="0033744B" w:rsidP="0033744B">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fr-FR"/>
          <w14:ligatures w14:val="standardContextual"/>
        </w:rPr>
      </w:pPr>
      <w:r w:rsidRPr="00BC46F3">
        <w:rPr>
          <w:rFonts w:asciiTheme="majorBidi" w:hAnsiTheme="majorBidi"/>
          <w:lang w:val="fr-FR"/>
        </w:rPr>
        <w:t>a)</w:t>
      </w:r>
      <w:r w:rsidRPr="00BC46F3">
        <w:rPr>
          <w:rFonts w:asciiTheme="majorBidi" w:hAnsiTheme="majorBidi"/>
          <w:lang w:val="fr-FR"/>
        </w:rPr>
        <w:tab/>
      </w:r>
      <w:r w:rsidR="00991B2F">
        <w:rPr>
          <w:rFonts w:asciiTheme="majorBidi" w:hAnsiTheme="majorBidi"/>
          <w:lang w:val="fr-FR"/>
        </w:rPr>
        <w:t>Examine</w:t>
      </w:r>
      <w:r w:rsidR="004E55F6" w:rsidRPr="00BC46F3">
        <w:rPr>
          <w:rFonts w:asciiTheme="majorBidi" w:hAnsiTheme="majorBidi"/>
          <w:lang w:val="fr-FR"/>
        </w:rPr>
        <w:t xml:space="preserve"> et résume</w:t>
      </w:r>
      <w:r w:rsidR="00C923D7" w:rsidRPr="00BC46F3">
        <w:rPr>
          <w:rFonts w:asciiTheme="majorBidi" w:hAnsiTheme="majorBidi"/>
          <w:lang w:val="fr-FR"/>
        </w:rPr>
        <w:t xml:space="preserve"> les </w:t>
      </w:r>
      <w:r w:rsidR="004E55F6" w:rsidRPr="00BC46F3">
        <w:rPr>
          <w:rFonts w:asciiTheme="majorBidi" w:hAnsiTheme="majorBidi"/>
          <w:lang w:val="fr-FR"/>
        </w:rPr>
        <w:t xml:space="preserve">compilations visées </w:t>
      </w:r>
      <w:r w:rsidR="00BC46F3" w:rsidRPr="00BC46F3">
        <w:rPr>
          <w:rFonts w:asciiTheme="majorBidi" w:hAnsiTheme="majorBidi"/>
          <w:lang w:val="fr-FR"/>
        </w:rPr>
        <w:t>à l’alinéa</w:t>
      </w:r>
      <w:r w:rsidR="00C923D7" w:rsidRPr="00BC46F3">
        <w:rPr>
          <w:rFonts w:asciiTheme="majorBidi" w:hAnsiTheme="majorBidi"/>
          <w:lang w:val="fr-FR"/>
        </w:rPr>
        <w:t xml:space="preserve"> </w:t>
      </w:r>
      <w:r w:rsidR="00BC46F3" w:rsidRPr="00BC46F3">
        <w:rPr>
          <w:rFonts w:asciiTheme="majorBidi" w:hAnsiTheme="majorBidi"/>
          <w:lang w:val="fr-FR"/>
        </w:rPr>
        <w:t xml:space="preserve">c) du </w:t>
      </w:r>
      <w:r w:rsidR="00C923D7" w:rsidRPr="00BC46F3">
        <w:rPr>
          <w:rFonts w:asciiTheme="majorBidi" w:hAnsiTheme="majorBidi"/>
          <w:lang w:val="fr-FR"/>
        </w:rPr>
        <w:t>paragraphe 9 de l</w:t>
      </w:r>
      <w:r w:rsidR="004E55F6" w:rsidRPr="00BC46F3">
        <w:rPr>
          <w:rFonts w:asciiTheme="majorBidi" w:hAnsiTheme="majorBidi"/>
          <w:lang w:val="fr-FR"/>
        </w:rPr>
        <w:t>a présente décision, et de l’étude scientifique visée</w:t>
      </w:r>
      <w:r w:rsidR="00C923D7" w:rsidRPr="00BC46F3">
        <w:rPr>
          <w:rFonts w:asciiTheme="majorBidi" w:hAnsiTheme="majorBidi"/>
          <w:lang w:val="fr-FR"/>
        </w:rPr>
        <w:t xml:space="preserve"> </w:t>
      </w:r>
      <w:r w:rsidR="00BC46F3" w:rsidRPr="00BC46F3">
        <w:rPr>
          <w:rFonts w:asciiTheme="majorBidi" w:hAnsiTheme="majorBidi"/>
          <w:lang w:val="fr-FR"/>
        </w:rPr>
        <w:t>à l’alinéa b) d</w:t>
      </w:r>
      <w:r w:rsidR="004E55F6" w:rsidRPr="00BC46F3">
        <w:rPr>
          <w:rFonts w:asciiTheme="majorBidi" w:hAnsiTheme="majorBidi"/>
          <w:lang w:val="fr-FR"/>
        </w:rPr>
        <w:t>u paragraphe 9, en tenant</w:t>
      </w:r>
      <w:r w:rsidR="00977C40" w:rsidRPr="00BC46F3">
        <w:rPr>
          <w:rFonts w:asciiTheme="majorBidi" w:hAnsiTheme="majorBidi"/>
          <w:lang w:val="fr-FR"/>
        </w:rPr>
        <w:t xml:space="preserve"> compte d</w:t>
      </w:r>
      <w:r w:rsidR="004E55F6" w:rsidRPr="00BC46F3">
        <w:rPr>
          <w:rFonts w:asciiTheme="majorBidi" w:hAnsiTheme="majorBidi"/>
          <w:lang w:val="fr-FR"/>
        </w:rPr>
        <w:t>u</w:t>
      </w:r>
      <w:r w:rsidR="00C923D7" w:rsidRPr="00BC46F3">
        <w:rPr>
          <w:rFonts w:asciiTheme="majorBidi" w:hAnsiTheme="majorBidi"/>
          <w:lang w:val="fr-FR"/>
        </w:rPr>
        <w:t xml:space="preserve"> projet de plan d</w:t>
      </w:r>
      <w:r w:rsidR="00E578FD" w:rsidRPr="00BC46F3">
        <w:rPr>
          <w:rFonts w:asciiTheme="majorBidi" w:hAnsiTheme="majorBidi"/>
          <w:lang w:val="fr-FR"/>
        </w:rPr>
        <w:t>’</w:t>
      </w:r>
      <w:r w:rsidR="004E55F6" w:rsidRPr="00BC46F3">
        <w:rPr>
          <w:rFonts w:asciiTheme="majorBidi" w:hAnsiTheme="majorBidi"/>
          <w:lang w:val="fr-FR"/>
        </w:rPr>
        <w:t>action thématique et d’</w:t>
      </w:r>
      <w:r w:rsidR="00C923D7" w:rsidRPr="00BC46F3">
        <w:rPr>
          <w:rFonts w:asciiTheme="majorBidi" w:hAnsiTheme="majorBidi"/>
          <w:lang w:val="fr-FR"/>
        </w:rPr>
        <w:t>autres informations techniques pertinentes disponible</w:t>
      </w:r>
      <w:r w:rsidR="004E55F6" w:rsidRPr="00BC46F3">
        <w:rPr>
          <w:rFonts w:asciiTheme="majorBidi" w:hAnsiTheme="majorBidi"/>
          <w:lang w:val="fr-FR"/>
        </w:rPr>
        <w:t>s</w:t>
      </w:r>
      <w:r w:rsidR="00BC46F3" w:rsidRPr="00BC46F3">
        <w:rPr>
          <w:rFonts w:asciiTheme="majorBidi" w:hAnsiTheme="majorBidi"/>
          <w:lang w:val="fr-FR"/>
        </w:rPr>
        <w:t xml:space="preserve"> </w:t>
      </w:r>
      <w:r w:rsidR="00C923D7" w:rsidRPr="00BC46F3">
        <w:rPr>
          <w:rFonts w:asciiTheme="majorBidi" w:hAnsiTheme="majorBidi"/>
          <w:lang w:val="fr-FR"/>
        </w:rPr>
        <w:t>;</w:t>
      </w:r>
    </w:p>
    <w:p w14:paraId="698C35ED" w14:textId="62EFD27E" w:rsidR="002E26E6" w:rsidRPr="00BC46F3" w:rsidRDefault="0033744B" w:rsidP="0033744B">
      <w:pPr>
        <w:tabs>
          <w:tab w:val="clear" w:pos="567"/>
          <w:tab w:val="clear" w:pos="1134"/>
          <w:tab w:val="clear" w:pos="2268"/>
        </w:tabs>
        <w:snapToGrid w:val="0"/>
        <w:spacing w:before="120" w:after="120"/>
        <w:ind w:left="567" w:firstLine="567"/>
        <w:rPr>
          <w:rFonts w:asciiTheme="majorBidi" w:hAnsiTheme="majorBidi"/>
          <w:lang w:val="fr-FR"/>
        </w:rPr>
      </w:pPr>
      <w:r w:rsidRPr="00BC46F3">
        <w:rPr>
          <w:rFonts w:asciiTheme="majorBidi" w:hAnsiTheme="majorBidi"/>
          <w:lang w:val="fr-FR"/>
        </w:rPr>
        <w:t xml:space="preserve">b) </w:t>
      </w:r>
      <w:r w:rsidRPr="00BC46F3">
        <w:rPr>
          <w:rFonts w:asciiTheme="majorBidi" w:hAnsiTheme="majorBidi"/>
          <w:lang w:val="fr-FR"/>
        </w:rPr>
        <w:tab/>
      </w:r>
      <w:r w:rsidR="00991B2F">
        <w:rPr>
          <w:rFonts w:asciiTheme="majorBidi" w:hAnsiTheme="majorBidi"/>
          <w:lang w:val="fr-FR"/>
        </w:rPr>
        <w:t>S’appuie</w:t>
      </w:r>
      <w:r w:rsidR="002E26E6" w:rsidRPr="00BC46F3">
        <w:rPr>
          <w:rFonts w:asciiTheme="majorBidi" w:hAnsiTheme="majorBidi"/>
          <w:lang w:val="fr-FR"/>
        </w:rPr>
        <w:t xml:space="preserve"> sur les travaux</w:t>
      </w:r>
      <w:r w:rsidR="004E55F6" w:rsidRPr="00BC46F3">
        <w:rPr>
          <w:rFonts w:asciiTheme="majorBidi" w:hAnsiTheme="majorBidi"/>
          <w:lang w:val="fr-FR"/>
        </w:rPr>
        <w:t xml:space="preserve"> pertinents antérieurs mené</w:t>
      </w:r>
      <w:r w:rsidR="002E26E6" w:rsidRPr="00BC46F3">
        <w:rPr>
          <w:rFonts w:asciiTheme="majorBidi" w:hAnsiTheme="majorBidi"/>
          <w:lang w:val="fr-FR"/>
        </w:rPr>
        <w:t>s dans le cadre de la Convention sur la diversité biologique</w:t>
      </w:r>
      <w:r w:rsidR="00404599" w:rsidRPr="00BC46F3">
        <w:rPr>
          <w:rStyle w:val="Appelnotedebasdep"/>
          <w:rFonts w:asciiTheme="majorBidi" w:hAnsiTheme="majorBidi"/>
          <w:lang w:val="fr-FR"/>
        </w:rPr>
        <w:footnoteReference w:id="9"/>
      </w:r>
      <w:r w:rsidR="002E26E6" w:rsidRPr="00BC46F3">
        <w:rPr>
          <w:rFonts w:asciiTheme="majorBidi" w:hAnsiTheme="majorBidi"/>
          <w:lang w:val="fr-FR"/>
        </w:rPr>
        <w:t xml:space="preserve"> et de ses </w:t>
      </w:r>
      <w:r w:rsidR="00404599" w:rsidRPr="00BC46F3">
        <w:rPr>
          <w:rFonts w:asciiTheme="majorBidi" w:hAnsiTheme="majorBidi"/>
          <w:lang w:val="fr-FR"/>
        </w:rPr>
        <w:t>P</w:t>
      </w:r>
      <w:r w:rsidR="004E55F6" w:rsidRPr="00BC46F3">
        <w:rPr>
          <w:rFonts w:asciiTheme="majorBidi" w:hAnsiTheme="majorBidi"/>
          <w:lang w:val="fr-FR"/>
        </w:rPr>
        <w:t>rotocoles</w:t>
      </w:r>
      <w:r w:rsidR="00BC46F3" w:rsidRPr="00BC46F3">
        <w:rPr>
          <w:rFonts w:asciiTheme="majorBidi" w:hAnsiTheme="majorBidi"/>
          <w:lang w:val="fr-FR"/>
        </w:rPr>
        <w:t xml:space="preserve"> </w:t>
      </w:r>
      <w:r w:rsidR="002E26E6" w:rsidRPr="00BC46F3">
        <w:rPr>
          <w:rFonts w:asciiTheme="majorBidi" w:hAnsiTheme="majorBidi"/>
          <w:lang w:val="fr-FR"/>
        </w:rPr>
        <w:t xml:space="preserve">; </w:t>
      </w:r>
    </w:p>
    <w:p w14:paraId="1811BFFD" w14:textId="1E59716B" w:rsidR="002E26E6" w:rsidRPr="00BC46F3" w:rsidRDefault="004E55F6" w:rsidP="0033744B">
      <w:pPr>
        <w:tabs>
          <w:tab w:val="clear" w:pos="567"/>
          <w:tab w:val="clear" w:pos="1134"/>
          <w:tab w:val="clear" w:pos="2268"/>
        </w:tabs>
        <w:snapToGrid w:val="0"/>
        <w:spacing w:before="120" w:after="120"/>
        <w:ind w:left="567" w:firstLine="567"/>
        <w:rPr>
          <w:rFonts w:asciiTheme="majorBidi" w:hAnsiTheme="majorBidi"/>
          <w:lang w:val="fr-FR"/>
        </w:rPr>
      </w:pPr>
      <w:r w:rsidRPr="00BC46F3">
        <w:rPr>
          <w:rFonts w:asciiTheme="majorBidi" w:hAnsiTheme="majorBidi"/>
          <w:lang w:val="fr-FR"/>
        </w:rPr>
        <w:t>c)</w:t>
      </w:r>
      <w:r w:rsidRPr="00BC46F3">
        <w:rPr>
          <w:rFonts w:asciiTheme="majorBidi" w:hAnsiTheme="majorBidi"/>
          <w:lang w:val="fr-FR"/>
        </w:rPr>
        <w:tab/>
      </w:r>
      <w:r w:rsidR="00991B2F">
        <w:rPr>
          <w:rFonts w:asciiTheme="majorBidi" w:hAnsiTheme="majorBidi"/>
          <w:lang w:val="fr-FR"/>
        </w:rPr>
        <w:t>Recense</w:t>
      </w:r>
      <w:r w:rsidR="00CA1F6C" w:rsidRPr="00BC46F3">
        <w:rPr>
          <w:rFonts w:asciiTheme="majorBidi" w:hAnsiTheme="majorBidi"/>
          <w:lang w:val="fr-FR"/>
        </w:rPr>
        <w:t xml:space="preserve"> </w:t>
      </w:r>
      <w:r w:rsidRPr="00BC46F3">
        <w:rPr>
          <w:rFonts w:asciiTheme="majorBidi" w:hAnsiTheme="majorBidi"/>
          <w:lang w:val="fr-FR"/>
        </w:rPr>
        <w:t>les avantages actuels et potentiels découlant de</w:t>
      </w:r>
      <w:r w:rsidR="002E26E6" w:rsidRPr="00BC46F3">
        <w:rPr>
          <w:rFonts w:asciiTheme="majorBidi" w:hAnsiTheme="majorBidi"/>
          <w:lang w:val="fr-FR"/>
        </w:rPr>
        <w:t xml:space="preserve"> la biologie de s</w:t>
      </w:r>
      <w:r w:rsidRPr="00BC46F3">
        <w:rPr>
          <w:rFonts w:asciiTheme="majorBidi" w:hAnsiTheme="majorBidi"/>
          <w:lang w:val="fr-FR"/>
        </w:rPr>
        <w:t>ynthèse en lien avec les</w:t>
      </w:r>
      <w:r w:rsidR="002E26E6" w:rsidRPr="00BC46F3">
        <w:rPr>
          <w:rFonts w:asciiTheme="majorBidi" w:hAnsiTheme="majorBidi"/>
          <w:lang w:val="fr-FR"/>
        </w:rPr>
        <w:t xml:space="preserve"> trois objectifs de la </w:t>
      </w:r>
      <w:r w:rsidR="00E27A11" w:rsidRPr="00BC46F3">
        <w:rPr>
          <w:rFonts w:asciiTheme="majorBidi" w:hAnsiTheme="majorBidi"/>
          <w:lang w:val="fr-FR"/>
        </w:rPr>
        <w:t>C</w:t>
      </w:r>
      <w:r w:rsidRPr="00BC46F3">
        <w:rPr>
          <w:rFonts w:asciiTheme="majorBidi" w:hAnsiTheme="majorBidi"/>
          <w:lang w:val="fr-FR"/>
        </w:rPr>
        <w:t xml:space="preserve">onvention et </w:t>
      </w:r>
      <w:r w:rsidR="002E26E6" w:rsidRPr="00BC46F3">
        <w:rPr>
          <w:rFonts w:asciiTheme="majorBidi" w:hAnsiTheme="majorBidi"/>
          <w:lang w:val="fr-FR"/>
        </w:rPr>
        <w:t xml:space="preserve">la mise en œuvre du Cadre mondial </w:t>
      </w:r>
      <w:r w:rsidR="00E27A11" w:rsidRPr="00BC46F3">
        <w:rPr>
          <w:rFonts w:asciiTheme="majorBidi" w:hAnsiTheme="majorBidi"/>
          <w:lang w:val="fr-FR"/>
        </w:rPr>
        <w:t>de l</w:t>
      </w:r>
      <w:r w:rsidR="002E26E6" w:rsidRPr="00BC46F3">
        <w:rPr>
          <w:rFonts w:asciiTheme="majorBidi" w:hAnsiTheme="majorBidi"/>
          <w:lang w:val="fr-FR"/>
        </w:rPr>
        <w:t>a b</w:t>
      </w:r>
      <w:r w:rsidRPr="00BC46F3">
        <w:rPr>
          <w:rFonts w:asciiTheme="majorBidi" w:hAnsiTheme="majorBidi"/>
          <w:lang w:val="fr-FR"/>
        </w:rPr>
        <w:t>iodiversité de Kunming-Montréal</w:t>
      </w:r>
      <w:r w:rsidR="00BC46F3" w:rsidRPr="00BC46F3">
        <w:rPr>
          <w:rStyle w:val="Appelnotedebasdep"/>
          <w:rFonts w:asciiTheme="majorBidi" w:eastAsia="Times New Roman" w:hAnsiTheme="majorBidi" w:cstheme="majorBidi"/>
          <w:kern w:val="2"/>
          <w:lang w:val="fr-FR"/>
          <w14:ligatures w14:val="standardContextual"/>
        </w:rPr>
        <w:footnoteReference w:id="10"/>
      </w:r>
      <w:r w:rsidR="00BC46F3" w:rsidRPr="00BC46F3">
        <w:rPr>
          <w:rFonts w:asciiTheme="majorBidi" w:hAnsiTheme="majorBidi"/>
          <w:lang w:val="fr-FR"/>
        </w:rPr>
        <w:t xml:space="preserve"> </w:t>
      </w:r>
      <w:r w:rsidR="002E26E6" w:rsidRPr="00BC46F3">
        <w:rPr>
          <w:rFonts w:asciiTheme="majorBidi" w:hAnsiTheme="majorBidi"/>
          <w:lang w:val="fr-FR"/>
        </w:rPr>
        <w:t>;</w:t>
      </w:r>
    </w:p>
    <w:p w14:paraId="20C7A57E" w14:textId="09F4E48C" w:rsidR="009D1C16" w:rsidRPr="00BC46F3" w:rsidRDefault="009D1C16" w:rsidP="009D1C16">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fr-FR"/>
          <w14:ligatures w14:val="standardContextual"/>
        </w:rPr>
      </w:pPr>
      <w:r w:rsidRPr="00BC46F3">
        <w:rPr>
          <w:rFonts w:asciiTheme="majorBidi" w:hAnsiTheme="majorBidi"/>
          <w:lang w:val="fr-FR"/>
        </w:rPr>
        <w:t>d)</w:t>
      </w:r>
      <w:r w:rsidRPr="00BC46F3">
        <w:rPr>
          <w:rFonts w:asciiTheme="majorBidi" w:hAnsiTheme="majorBidi"/>
          <w:lang w:val="fr-FR"/>
        </w:rPr>
        <w:tab/>
      </w:r>
      <w:r w:rsidR="00991B2F">
        <w:rPr>
          <w:rFonts w:asciiTheme="majorBidi" w:hAnsiTheme="majorBidi"/>
          <w:lang w:val="fr-FR"/>
        </w:rPr>
        <w:t>Recense</w:t>
      </w:r>
      <w:r w:rsidR="00CA1F6C" w:rsidRPr="00BC46F3">
        <w:rPr>
          <w:rFonts w:asciiTheme="majorBidi" w:hAnsiTheme="majorBidi"/>
          <w:lang w:val="fr-FR"/>
        </w:rPr>
        <w:t xml:space="preserve"> </w:t>
      </w:r>
      <w:r w:rsidRPr="00BC46F3">
        <w:rPr>
          <w:rFonts w:asciiTheme="majorBidi" w:hAnsiTheme="majorBidi"/>
          <w:lang w:val="fr-FR"/>
        </w:rPr>
        <w:t xml:space="preserve">les </w:t>
      </w:r>
      <w:r w:rsidR="00991B2F">
        <w:rPr>
          <w:rFonts w:asciiTheme="majorBidi" w:hAnsiTheme="majorBidi"/>
          <w:lang w:val="fr-FR"/>
        </w:rPr>
        <w:t>effets</w:t>
      </w:r>
      <w:r w:rsidRPr="00BC46F3">
        <w:rPr>
          <w:rFonts w:asciiTheme="majorBidi" w:hAnsiTheme="majorBidi"/>
          <w:lang w:val="fr-FR"/>
        </w:rPr>
        <w:t xml:space="preserve"> positifs potentiels des avancées technologiques</w:t>
      </w:r>
      <w:r w:rsidR="004E55F6" w:rsidRPr="00BC46F3">
        <w:rPr>
          <w:rFonts w:asciiTheme="majorBidi" w:hAnsiTheme="majorBidi"/>
          <w:lang w:val="fr-FR"/>
        </w:rPr>
        <w:t xml:space="preserve"> les plus</w:t>
      </w:r>
      <w:r w:rsidRPr="00BC46F3">
        <w:rPr>
          <w:rFonts w:asciiTheme="majorBidi" w:hAnsiTheme="majorBidi"/>
          <w:lang w:val="fr-FR"/>
        </w:rPr>
        <w:t xml:space="preserve"> récentes dans le domaine de la biologie de synthèse en lien avec les trois objectifs de la Conventio</w:t>
      </w:r>
      <w:r w:rsidR="004E55F6" w:rsidRPr="00BC46F3">
        <w:rPr>
          <w:rFonts w:asciiTheme="majorBidi" w:hAnsiTheme="majorBidi"/>
          <w:lang w:val="fr-FR"/>
        </w:rPr>
        <w:t>n et la mise en œuvre du Cadre</w:t>
      </w:r>
      <w:r w:rsidR="00BC46F3" w:rsidRPr="00BC46F3">
        <w:rPr>
          <w:rFonts w:asciiTheme="majorBidi" w:hAnsiTheme="majorBidi"/>
          <w:lang w:val="fr-FR"/>
        </w:rPr>
        <w:t xml:space="preserve"> </w:t>
      </w:r>
      <w:r w:rsidR="004E55F6" w:rsidRPr="00BC46F3">
        <w:rPr>
          <w:rFonts w:asciiTheme="majorBidi" w:hAnsiTheme="majorBidi"/>
          <w:lang w:val="fr-FR"/>
        </w:rPr>
        <w:t>;</w:t>
      </w:r>
      <w:r w:rsidRPr="00BC46F3">
        <w:rPr>
          <w:rFonts w:asciiTheme="majorBidi" w:hAnsiTheme="majorBidi"/>
          <w:lang w:val="fr-FR"/>
        </w:rPr>
        <w:t xml:space="preserve"> </w:t>
      </w:r>
    </w:p>
    <w:p w14:paraId="57C5DB4D" w14:textId="6D285D74" w:rsidR="009D1C16" w:rsidRPr="00BC46F3" w:rsidRDefault="009D1C16" w:rsidP="0033744B">
      <w:pPr>
        <w:tabs>
          <w:tab w:val="clear" w:pos="567"/>
          <w:tab w:val="clear" w:pos="1134"/>
          <w:tab w:val="clear" w:pos="2268"/>
        </w:tabs>
        <w:snapToGrid w:val="0"/>
        <w:spacing w:before="120" w:after="120"/>
        <w:ind w:left="567" w:firstLine="567"/>
        <w:rPr>
          <w:rFonts w:asciiTheme="majorBidi" w:hAnsiTheme="majorBidi"/>
          <w:lang w:val="fr-FR"/>
        </w:rPr>
      </w:pPr>
      <w:r w:rsidRPr="00BC46F3">
        <w:rPr>
          <w:rFonts w:asciiTheme="majorBidi" w:hAnsiTheme="majorBidi"/>
          <w:lang w:val="fr-FR"/>
        </w:rPr>
        <w:t>e)</w:t>
      </w:r>
      <w:r w:rsidRPr="00BC46F3">
        <w:rPr>
          <w:rFonts w:asciiTheme="majorBidi" w:hAnsiTheme="majorBidi"/>
          <w:lang w:val="fr-FR"/>
        </w:rPr>
        <w:tab/>
      </w:r>
      <w:r w:rsidR="00991B2F">
        <w:rPr>
          <w:rFonts w:asciiTheme="majorBidi" w:hAnsiTheme="majorBidi"/>
          <w:lang w:val="fr-FR"/>
        </w:rPr>
        <w:t>Recense</w:t>
      </w:r>
      <w:r w:rsidR="00CA1F6C" w:rsidRPr="00BC46F3">
        <w:rPr>
          <w:rFonts w:asciiTheme="majorBidi" w:hAnsiTheme="majorBidi"/>
          <w:lang w:val="fr-FR"/>
        </w:rPr>
        <w:t xml:space="preserve"> </w:t>
      </w:r>
      <w:r w:rsidRPr="00BC46F3">
        <w:rPr>
          <w:rFonts w:asciiTheme="majorBidi" w:hAnsiTheme="majorBidi"/>
          <w:lang w:val="fr-FR"/>
        </w:rPr>
        <w:t>les impacts n</w:t>
      </w:r>
      <w:r w:rsidR="004E55F6" w:rsidRPr="00BC46F3">
        <w:rPr>
          <w:rFonts w:asciiTheme="majorBidi" w:hAnsiTheme="majorBidi"/>
          <w:lang w:val="fr-FR"/>
        </w:rPr>
        <w:t xml:space="preserve">égatifs potentiels des </w:t>
      </w:r>
      <w:r w:rsidRPr="00BC46F3">
        <w:rPr>
          <w:rFonts w:asciiTheme="majorBidi" w:hAnsiTheme="majorBidi"/>
          <w:lang w:val="fr-FR"/>
        </w:rPr>
        <w:t xml:space="preserve">avancées technologiques </w:t>
      </w:r>
      <w:r w:rsidR="004E55F6" w:rsidRPr="00BC46F3">
        <w:rPr>
          <w:rFonts w:asciiTheme="majorBidi" w:hAnsiTheme="majorBidi"/>
          <w:lang w:val="fr-FR"/>
        </w:rPr>
        <w:t xml:space="preserve">les plus récentes </w:t>
      </w:r>
      <w:r w:rsidRPr="00BC46F3">
        <w:rPr>
          <w:rFonts w:asciiTheme="majorBidi" w:hAnsiTheme="majorBidi"/>
          <w:lang w:val="fr-FR"/>
        </w:rPr>
        <w:t xml:space="preserve">dans le domaine de la biologie de synthèse </w:t>
      </w:r>
      <w:r w:rsidR="004E55F6" w:rsidRPr="00BC46F3">
        <w:rPr>
          <w:rFonts w:asciiTheme="majorBidi" w:hAnsiTheme="majorBidi"/>
          <w:lang w:val="fr-FR"/>
        </w:rPr>
        <w:t>en lien avec le</w:t>
      </w:r>
      <w:r w:rsidRPr="00BC46F3">
        <w:rPr>
          <w:rFonts w:asciiTheme="majorBidi" w:hAnsiTheme="majorBidi"/>
          <w:lang w:val="fr-FR"/>
        </w:rPr>
        <w:t>s trois o</w:t>
      </w:r>
      <w:r w:rsidR="004E55F6" w:rsidRPr="00BC46F3">
        <w:rPr>
          <w:rFonts w:asciiTheme="majorBidi" w:hAnsiTheme="majorBidi"/>
          <w:lang w:val="fr-FR"/>
        </w:rPr>
        <w:t xml:space="preserve">bjectifs de la Convention et </w:t>
      </w:r>
      <w:r w:rsidRPr="00BC46F3">
        <w:rPr>
          <w:rFonts w:asciiTheme="majorBidi" w:hAnsiTheme="majorBidi"/>
          <w:lang w:val="fr-FR"/>
        </w:rPr>
        <w:t>la mise en œuvre du Cadre</w:t>
      </w:r>
      <w:r w:rsidR="00BC46F3" w:rsidRPr="00BC46F3">
        <w:rPr>
          <w:rFonts w:asciiTheme="majorBidi" w:hAnsiTheme="majorBidi"/>
          <w:lang w:val="fr-FR"/>
        </w:rPr>
        <w:t xml:space="preserve"> </w:t>
      </w:r>
      <w:r w:rsidRPr="00BC46F3">
        <w:rPr>
          <w:rFonts w:asciiTheme="majorBidi" w:hAnsiTheme="majorBidi"/>
          <w:lang w:val="fr-FR"/>
        </w:rPr>
        <w:t>;</w:t>
      </w:r>
    </w:p>
    <w:p w14:paraId="63FD97FB" w14:textId="58EC4A7E" w:rsidR="009D1C16" w:rsidRPr="00BC46F3" w:rsidRDefault="009D1C16" w:rsidP="0033744B">
      <w:pPr>
        <w:tabs>
          <w:tab w:val="clear" w:pos="567"/>
          <w:tab w:val="clear" w:pos="1134"/>
          <w:tab w:val="clear" w:pos="2268"/>
        </w:tabs>
        <w:snapToGrid w:val="0"/>
        <w:spacing w:before="120" w:after="120"/>
        <w:ind w:left="567" w:firstLine="567"/>
        <w:rPr>
          <w:rFonts w:asciiTheme="majorBidi" w:hAnsiTheme="majorBidi"/>
          <w:lang w:val="fr-FR"/>
        </w:rPr>
      </w:pPr>
      <w:r w:rsidRPr="00BC46F3">
        <w:rPr>
          <w:rFonts w:asciiTheme="majorBidi" w:hAnsiTheme="majorBidi"/>
          <w:lang w:val="fr-FR"/>
        </w:rPr>
        <w:t>f)</w:t>
      </w:r>
      <w:r w:rsidRPr="00BC46F3">
        <w:rPr>
          <w:rFonts w:asciiTheme="majorBidi" w:hAnsiTheme="majorBidi"/>
          <w:lang w:val="fr-FR"/>
        </w:rPr>
        <w:tab/>
      </w:r>
      <w:r w:rsidR="00991B2F">
        <w:rPr>
          <w:rFonts w:asciiTheme="majorBidi" w:hAnsiTheme="majorBidi"/>
          <w:lang w:val="fr-FR"/>
        </w:rPr>
        <w:t>Donne</w:t>
      </w:r>
      <w:r w:rsidRPr="00BC46F3">
        <w:rPr>
          <w:rFonts w:asciiTheme="majorBidi" w:hAnsiTheme="majorBidi"/>
          <w:lang w:val="fr-FR"/>
        </w:rPr>
        <w:t xml:space="preserve"> </w:t>
      </w:r>
      <w:r w:rsidR="004E55F6" w:rsidRPr="00BC46F3">
        <w:rPr>
          <w:rFonts w:asciiTheme="majorBidi" w:hAnsiTheme="majorBidi"/>
          <w:lang w:val="fr-FR"/>
        </w:rPr>
        <w:t>des avis</w:t>
      </w:r>
      <w:r w:rsidRPr="00BC46F3">
        <w:rPr>
          <w:rFonts w:asciiTheme="majorBidi" w:hAnsiTheme="majorBidi"/>
          <w:lang w:val="fr-FR"/>
        </w:rPr>
        <w:t xml:space="preserve"> sur l</w:t>
      </w:r>
      <w:r w:rsidR="004E55F6" w:rsidRPr="00BC46F3">
        <w:rPr>
          <w:rFonts w:asciiTheme="majorBidi" w:hAnsiTheme="majorBidi"/>
          <w:lang w:val="fr-FR"/>
        </w:rPr>
        <w:t xml:space="preserve">a manière de prendre en compte </w:t>
      </w:r>
      <w:r w:rsidR="0089277B">
        <w:rPr>
          <w:rFonts w:asciiTheme="majorBidi" w:hAnsiTheme="majorBidi"/>
          <w:lang w:val="fr-FR"/>
        </w:rPr>
        <w:t>la création et le renforcement des capacités</w:t>
      </w:r>
      <w:r w:rsidR="004E55F6" w:rsidRPr="00BC46F3">
        <w:rPr>
          <w:rFonts w:asciiTheme="majorBidi" w:hAnsiTheme="majorBidi"/>
          <w:lang w:val="fr-FR"/>
        </w:rPr>
        <w:t xml:space="preserve">, </w:t>
      </w:r>
      <w:r w:rsidRPr="00BC46F3">
        <w:rPr>
          <w:rFonts w:asciiTheme="majorBidi" w:hAnsiTheme="majorBidi"/>
          <w:lang w:val="fr-FR"/>
        </w:rPr>
        <w:t>l</w:t>
      </w:r>
      <w:r w:rsidR="00E578FD" w:rsidRPr="00BC46F3">
        <w:rPr>
          <w:rFonts w:asciiTheme="majorBidi" w:hAnsiTheme="majorBidi"/>
          <w:lang w:val="fr-FR"/>
        </w:rPr>
        <w:t>’</w:t>
      </w:r>
      <w:r w:rsidR="004E55F6" w:rsidRPr="00BC46F3">
        <w:rPr>
          <w:rFonts w:asciiTheme="majorBidi" w:hAnsiTheme="majorBidi"/>
          <w:lang w:val="fr-FR"/>
        </w:rPr>
        <w:t>accès aux technologie</w:t>
      </w:r>
      <w:r w:rsidR="0073561D">
        <w:rPr>
          <w:rFonts w:asciiTheme="majorBidi" w:hAnsiTheme="majorBidi"/>
          <w:lang w:val="fr-FR"/>
        </w:rPr>
        <w:t>s</w:t>
      </w:r>
      <w:r w:rsidR="004E55F6" w:rsidRPr="00BC46F3">
        <w:rPr>
          <w:rFonts w:asciiTheme="majorBidi" w:hAnsiTheme="majorBidi"/>
          <w:lang w:val="fr-FR"/>
        </w:rPr>
        <w:t xml:space="preserve"> et</w:t>
      </w:r>
      <w:r w:rsidRPr="00BC46F3">
        <w:rPr>
          <w:rFonts w:asciiTheme="majorBidi" w:hAnsiTheme="majorBidi"/>
          <w:lang w:val="fr-FR"/>
        </w:rPr>
        <w:t xml:space="preserve"> leur </w:t>
      </w:r>
      <w:r w:rsidR="004E55F6" w:rsidRPr="00BC46F3">
        <w:rPr>
          <w:rFonts w:asciiTheme="majorBidi" w:hAnsiTheme="majorBidi"/>
          <w:lang w:val="fr-FR"/>
        </w:rPr>
        <w:t xml:space="preserve">transfert et le partage des connaissances dans le domaine </w:t>
      </w:r>
      <w:r w:rsidR="00991B2F">
        <w:rPr>
          <w:rFonts w:asciiTheme="majorBidi" w:hAnsiTheme="majorBidi"/>
          <w:lang w:val="fr-FR"/>
        </w:rPr>
        <w:t xml:space="preserve">de la </w:t>
      </w:r>
      <w:r w:rsidRPr="00BC46F3">
        <w:rPr>
          <w:rFonts w:asciiTheme="majorBidi" w:hAnsiTheme="majorBidi"/>
          <w:lang w:val="fr-FR"/>
        </w:rPr>
        <w:t>biologie de synthèse dans le projet de plan d</w:t>
      </w:r>
      <w:r w:rsidR="00E578FD" w:rsidRPr="00BC46F3">
        <w:rPr>
          <w:rFonts w:asciiTheme="majorBidi" w:hAnsiTheme="majorBidi"/>
          <w:lang w:val="fr-FR"/>
        </w:rPr>
        <w:t>’</w:t>
      </w:r>
      <w:r w:rsidRPr="00BC46F3">
        <w:rPr>
          <w:rFonts w:asciiTheme="majorBidi" w:hAnsiTheme="majorBidi"/>
          <w:lang w:val="fr-FR"/>
        </w:rPr>
        <w:t>act</w:t>
      </w:r>
      <w:r w:rsidR="005549B9" w:rsidRPr="00BC46F3">
        <w:rPr>
          <w:rFonts w:asciiTheme="majorBidi" w:hAnsiTheme="majorBidi"/>
          <w:lang w:val="fr-FR"/>
        </w:rPr>
        <w:t>ion thématique, à la lumière</w:t>
      </w:r>
      <w:r w:rsidRPr="00BC46F3">
        <w:rPr>
          <w:rFonts w:asciiTheme="majorBidi" w:hAnsiTheme="majorBidi"/>
          <w:lang w:val="fr-FR"/>
        </w:rPr>
        <w:t xml:space="preserve"> des évolutions futures </w:t>
      </w:r>
      <w:r w:rsidR="005549B9" w:rsidRPr="00BC46F3">
        <w:rPr>
          <w:rFonts w:asciiTheme="majorBidi" w:hAnsiTheme="majorBidi"/>
          <w:lang w:val="fr-FR"/>
        </w:rPr>
        <w:t xml:space="preserve">attendues dans </w:t>
      </w:r>
      <w:r w:rsidR="00991B2F">
        <w:rPr>
          <w:rFonts w:asciiTheme="majorBidi" w:hAnsiTheme="majorBidi"/>
          <w:lang w:val="fr-FR"/>
        </w:rPr>
        <w:t>c</w:t>
      </w:r>
      <w:r w:rsidR="005549B9" w:rsidRPr="00BC46F3">
        <w:rPr>
          <w:rFonts w:asciiTheme="majorBidi" w:hAnsiTheme="majorBidi"/>
          <w:lang w:val="fr-FR"/>
        </w:rPr>
        <w:t xml:space="preserve">e domaine </w:t>
      </w:r>
      <w:r w:rsidRPr="00BC46F3">
        <w:rPr>
          <w:rFonts w:asciiTheme="majorBidi" w:hAnsiTheme="majorBidi"/>
          <w:lang w:val="fr-FR"/>
        </w:rPr>
        <w:t>et de la</w:t>
      </w:r>
      <w:r w:rsidR="005549B9" w:rsidRPr="00BC46F3">
        <w:rPr>
          <w:rFonts w:asciiTheme="majorBidi" w:hAnsiTheme="majorBidi"/>
          <w:lang w:val="fr-FR"/>
        </w:rPr>
        <w:t xml:space="preserve"> mise en œuvre des objectifs de la</w:t>
      </w:r>
      <w:r w:rsidRPr="00BC46F3">
        <w:rPr>
          <w:rFonts w:asciiTheme="majorBidi" w:hAnsiTheme="majorBidi"/>
          <w:lang w:val="fr-FR"/>
        </w:rPr>
        <w:t xml:space="preserve"> </w:t>
      </w:r>
      <w:r w:rsidR="002D6B1D" w:rsidRPr="00BC46F3">
        <w:rPr>
          <w:rFonts w:asciiTheme="majorBidi" w:hAnsiTheme="majorBidi"/>
          <w:lang w:val="fr-FR"/>
        </w:rPr>
        <w:t>C</w:t>
      </w:r>
      <w:r w:rsidR="005549B9" w:rsidRPr="00BC46F3">
        <w:rPr>
          <w:rFonts w:asciiTheme="majorBidi" w:hAnsiTheme="majorBidi"/>
          <w:lang w:val="fr-FR"/>
        </w:rPr>
        <w:t>onvention</w:t>
      </w:r>
      <w:r w:rsidRPr="00BC46F3">
        <w:rPr>
          <w:rFonts w:asciiTheme="majorBidi" w:hAnsiTheme="majorBidi"/>
          <w:lang w:val="fr-FR"/>
        </w:rPr>
        <w:t xml:space="preserve"> et du </w:t>
      </w:r>
      <w:r w:rsidR="005549B9" w:rsidRPr="00BC46F3">
        <w:rPr>
          <w:rFonts w:asciiTheme="majorBidi" w:hAnsiTheme="majorBidi"/>
          <w:lang w:val="fr-FR"/>
        </w:rPr>
        <w:t>Cadre</w:t>
      </w:r>
      <w:r w:rsidR="00991B2F">
        <w:rPr>
          <w:rFonts w:asciiTheme="majorBidi" w:hAnsiTheme="majorBidi"/>
          <w:lang w:val="fr-FR"/>
        </w:rPr>
        <w:t> </w:t>
      </w:r>
      <w:r w:rsidRPr="00BC46F3">
        <w:rPr>
          <w:rFonts w:asciiTheme="majorBidi" w:hAnsiTheme="majorBidi"/>
          <w:lang w:val="fr-FR"/>
        </w:rPr>
        <w:t>;</w:t>
      </w:r>
    </w:p>
    <w:p w14:paraId="2F1ED7CA" w14:textId="0E2DAB25" w:rsidR="0033744B" w:rsidRPr="00991B2F" w:rsidRDefault="009D1C16" w:rsidP="00991B2F">
      <w:pPr>
        <w:tabs>
          <w:tab w:val="clear" w:pos="567"/>
          <w:tab w:val="clear" w:pos="1134"/>
          <w:tab w:val="clear" w:pos="2268"/>
        </w:tabs>
        <w:snapToGrid w:val="0"/>
        <w:spacing w:before="120" w:after="120"/>
        <w:ind w:left="567" w:firstLine="567"/>
        <w:rPr>
          <w:rFonts w:asciiTheme="majorBidi" w:hAnsiTheme="majorBidi"/>
          <w:lang w:val="fr-FR"/>
        </w:rPr>
      </w:pPr>
      <w:r w:rsidRPr="00BC46F3">
        <w:rPr>
          <w:rFonts w:asciiTheme="majorBidi" w:hAnsiTheme="majorBidi"/>
          <w:lang w:val="fr-FR"/>
        </w:rPr>
        <w:t>g)</w:t>
      </w:r>
      <w:r w:rsidRPr="00BC46F3">
        <w:rPr>
          <w:rFonts w:asciiTheme="majorBidi" w:hAnsiTheme="majorBidi"/>
          <w:lang w:val="fr-FR"/>
        </w:rPr>
        <w:tab/>
      </w:r>
      <w:r w:rsidR="00991B2F">
        <w:rPr>
          <w:rFonts w:asciiTheme="majorBidi" w:hAnsiTheme="majorBidi"/>
          <w:lang w:val="fr-FR"/>
        </w:rPr>
        <w:t>Rend compte de</w:t>
      </w:r>
      <w:r w:rsidR="005549B9" w:rsidRPr="00BC46F3">
        <w:rPr>
          <w:rFonts w:asciiTheme="majorBidi" w:hAnsiTheme="majorBidi"/>
          <w:lang w:val="fr-FR"/>
        </w:rPr>
        <w:t xml:space="preserve"> ses travaux, aux fins d’examen par</w:t>
      </w:r>
      <w:r w:rsidRPr="00BC46F3">
        <w:rPr>
          <w:rFonts w:asciiTheme="majorBidi" w:hAnsiTheme="majorBidi"/>
          <w:lang w:val="fr-FR"/>
        </w:rPr>
        <w:t xml:space="preserve"> l</w:t>
      </w:r>
      <w:r w:rsidR="00E578FD" w:rsidRPr="00BC46F3">
        <w:rPr>
          <w:rFonts w:asciiTheme="majorBidi" w:hAnsiTheme="majorBidi"/>
          <w:lang w:val="fr-FR"/>
        </w:rPr>
        <w:t>’</w:t>
      </w:r>
      <w:r w:rsidRPr="00BC46F3">
        <w:rPr>
          <w:rFonts w:asciiTheme="majorBidi" w:hAnsiTheme="majorBidi"/>
          <w:lang w:val="fr-FR"/>
        </w:rPr>
        <w:t>Organe subsidiaire chargé de</w:t>
      </w:r>
      <w:r w:rsidR="002D6B1D" w:rsidRPr="00BC46F3">
        <w:rPr>
          <w:rFonts w:asciiTheme="majorBidi" w:hAnsiTheme="majorBidi"/>
          <w:lang w:val="fr-FR"/>
        </w:rPr>
        <w:t xml:space="preserve"> fournir de</w:t>
      </w:r>
      <w:r w:rsidRPr="00BC46F3">
        <w:rPr>
          <w:rFonts w:asciiTheme="majorBidi" w:hAnsiTheme="majorBidi"/>
          <w:lang w:val="fr-FR"/>
        </w:rPr>
        <w:t>s avis scientifiques, techniques et technologiques</w:t>
      </w:r>
      <w:r w:rsidR="00BC46F3" w:rsidRPr="00BC46F3">
        <w:rPr>
          <w:lang w:val="fr-FR"/>
        </w:rPr>
        <w:t xml:space="preserve"> </w:t>
      </w:r>
      <w:r w:rsidR="00BC46F3" w:rsidRPr="00BC46F3">
        <w:rPr>
          <w:rFonts w:asciiTheme="majorBidi" w:hAnsiTheme="majorBidi"/>
          <w:lang w:val="fr-FR"/>
        </w:rPr>
        <w:t xml:space="preserve">à sa vingt-huitième </w:t>
      </w:r>
      <w:r w:rsidR="0099013A" w:rsidRPr="00BC46F3">
        <w:rPr>
          <w:rFonts w:asciiTheme="majorBidi" w:hAnsiTheme="majorBidi"/>
          <w:lang w:val="fr-FR"/>
        </w:rPr>
        <w:t>réunion.</w:t>
      </w:r>
      <w:r w:rsidR="00663E2D" w:rsidRPr="00BC46F3">
        <w:rPr>
          <w:rFonts w:asciiTheme="majorBidi" w:hAnsiTheme="majorBidi"/>
          <w:lang w:val="fr-FR"/>
        </w:rPr>
        <w:t xml:space="preserve"> </w:t>
      </w:r>
    </w:p>
    <w:p w14:paraId="61D564E2" w14:textId="619FC69A" w:rsidR="002B559C" w:rsidRPr="00BC46F3" w:rsidRDefault="00ED3849" w:rsidP="00283805">
      <w:pPr>
        <w:pStyle w:val="Para1"/>
        <w:numPr>
          <w:ilvl w:val="0"/>
          <w:numId w:val="0"/>
        </w:numPr>
        <w:ind w:left="567"/>
        <w:jc w:val="center"/>
        <w:rPr>
          <w:lang w:val="fr-FR"/>
        </w:rPr>
      </w:pPr>
      <w:r w:rsidRPr="00BC46F3">
        <w:rPr>
          <w:lang w:val="fr-FR"/>
        </w:rPr>
        <w:t>__________</w:t>
      </w:r>
    </w:p>
    <w:sectPr w:rsidR="002B559C" w:rsidRPr="00BC46F3" w:rsidSect="001662BF">
      <w:headerReference w:type="even" r:id="rId24"/>
      <w:headerReference w:type="default" r:id="rId25"/>
      <w:footerReference w:type="even" r:id="rId26"/>
      <w:footerReference w:type="default" r:id="rId27"/>
      <w:headerReference w:type="first" r:id="rId2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AE79" w14:textId="77777777" w:rsidR="00D34B51" w:rsidRDefault="00D34B51" w:rsidP="00A96B21">
      <w:r>
        <w:separator/>
      </w:r>
    </w:p>
  </w:endnote>
  <w:endnote w:type="continuationSeparator" w:id="0">
    <w:p w14:paraId="09D312BA" w14:textId="77777777" w:rsidR="00D34B51" w:rsidRDefault="00D34B51" w:rsidP="00A96B21">
      <w:r>
        <w:continuationSeparator/>
      </w:r>
    </w:p>
  </w:endnote>
  <w:endnote w:type="continuationNotice" w:id="1">
    <w:p w14:paraId="7553E18A" w14:textId="77777777" w:rsidR="00D34B51" w:rsidRDefault="00D34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9F455B">
              <w:rPr>
                <w:noProof/>
                <w:szCs w:val="20"/>
              </w:rPr>
              <w:t>4</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9F455B">
              <w:rPr>
                <w:noProof/>
                <w:szCs w:val="20"/>
              </w:rPr>
              <w:t>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009F455B">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9F455B">
              <w:rPr>
                <w:noProof/>
                <w:szCs w:val="20"/>
              </w:rPr>
              <w:t>4</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569F" w14:textId="77777777" w:rsidR="00D34B51" w:rsidRDefault="00D34B51" w:rsidP="00A96B21">
      <w:r>
        <w:separator/>
      </w:r>
    </w:p>
  </w:footnote>
  <w:footnote w:type="continuationSeparator" w:id="0">
    <w:p w14:paraId="0DED14DC" w14:textId="77777777" w:rsidR="00D34B51" w:rsidRDefault="00D34B51" w:rsidP="00A96B21">
      <w:r>
        <w:continuationSeparator/>
      </w:r>
    </w:p>
  </w:footnote>
  <w:footnote w:type="continuationNotice" w:id="1">
    <w:p w14:paraId="255149FA" w14:textId="77777777" w:rsidR="00D34B51" w:rsidRDefault="00D34B51"/>
  </w:footnote>
  <w:footnote w:id="2">
    <w:p w14:paraId="05A8BACE" w14:textId="06CAE059" w:rsidR="00C43FCC" w:rsidRPr="00BC46F3" w:rsidRDefault="00C43FCC" w:rsidP="00C43FCC">
      <w:pPr>
        <w:pStyle w:val="Notedebasdepage"/>
        <w:rPr>
          <w:lang w:val="fr-FR"/>
        </w:rPr>
      </w:pPr>
      <w:r w:rsidRPr="00BC46F3">
        <w:rPr>
          <w:rStyle w:val="Appelnotedebasdep"/>
          <w:lang w:val="fr-FR"/>
        </w:rPr>
        <w:footnoteRef/>
      </w:r>
      <w:r w:rsidRPr="00BC46F3">
        <w:rPr>
          <w:lang w:val="fr-FR"/>
        </w:rPr>
        <w:t xml:space="preserve"> Nations Unies, </w:t>
      </w:r>
      <w:r w:rsidRPr="00BC46F3">
        <w:rPr>
          <w:i/>
          <w:iCs/>
          <w:lang w:val="fr-FR"/>
        </w:rPr>
        <w:t>Recueil des Traités</w:t>
      </w:r>
      <w:r w:rsidRPr="00BC46F3">
        <w:rPr>
          <w:lang w:val="fr-FR"/>
        </w:rPr>
        <w:t>, vol. 2226, n° 30619.</w:t>
      </w:r>
    </w:p>
  </w:footnote>
  <w:footnote w:id="3">
    <w:p w14:paraId="26B00576" w14:textId="53E15E87" w:rsidR="003E03DD" w:rsidRPr="00BC46F3" w:rsidRDefault="003E03DD">
      <w:pPr>
        <w:pStyle w:val="Notedebasdepage"/>
        <w:rPr>
          <w:lang w:val="fr-FR"/>
        </w:rPr>
      </w:pPr>
      <w:r w:rsidRPr="00BC46F3">
        <w:rPr>
          <w:rStyle w:val="Appelnotedebasdep"/>
          <w:lang w:val="fr-FR"/>
        </w:rPr>
        <w:footnoteRef/>
      </w:r>
      <w:r w:rsidRPr="00BC46F3">
        <w:rPr>
          <w:lang w:val="fr-FR"/>
        </w:rPr>
        <w:t xml:space="preserve"> </w:t>
      </w:r>
      <w:r w:rsidR="00C43FCC" w:rsidRPr="00BC46F3">
        <w:rPr>
          <w:lang w:val="fr-FR"/>
        </w:rPr>
        <w:t>Ibid</w:t>
      </w:r>
      <w:r w:rsidRPr="00BC46F3">
        <w:rPr>
          <w:lang w:val="fr-FR"/>
        </w:rPr>
        <w:t>, vol. 1760, n</w:t>
      </w:r>
      <w:r w:rsidRPr="00BC46F3">
        <w:rPr>
          <w:vertAlign w:val="superscript"/>
          <w:lang w:val="fr-FR"/>
        </w:rPr>
        <w:t>o</w:t>
      </w:r>
      <w:r w:rsidRPr="00BC46F3">
        <w:rPr>
          <w:lang w:val="fr-FR"/>
        </w:rPr>
        <w:t> 30619.</w:t>
      </w:r>
    </w:p>
  </w:footnote>
  <w:footnote w:id="4">
    <w:p w14:paraId="03893BA3" w14:textId="31D8DA41" w:rsidR="00C43FCC" w:rsidRPr="00BC46F3" w:rsidRDefault="00C43FCC" w:rsidP="00C43FCC">
      <w:pPr>
        <w:pStyle w:val="Notedebasdepage"/>
        <w:rPr>
          <w:lang w:val="fr-FR"/>
        </w:rPr>
      </w:pPr>
      <w:r w:rsidRPr="00BC46F3">
        <w:rPr>
          <w:rStyle w:val="Appelnotedebasdep"/>
          <w:lang w:val="fr-FR"/>
        </w:rPr>
        <w:footnoteRef/>
      </w:r>
      <w:r w:rsidRPr="00BC46F3">
        <w:rPr>
          <w:lang w:val="fr-FR"/>
        </w:rPr>
        <w:t xml:space="preserve"> CBD/SBSTTA/26/4, annexes I, II, III </w:t>
      </w:r>
      <w:r w:rsidR="00CE314D" w:rsidRPr="00BC46F3">
        <w:rPr>
          <w:lang w:val="fr-FR"/>
        </w:rPr>
        <w:t>et</w:t>
      </w:r>
      <w:r w:rsidRPr="00BC46F3">
        <w:rPr>
          <w:lang w:val="fr-FR"/>
        </w:rPr>
        <w:t xml:space="preserve"> V.</w:t>
      </w:r>
    </w:p>
  </w:footnote>
  <w:footnote w:id="5">
    <w:p w14:paraId="6E50763C" w14:textId="02749F6E" w:rsidR="00CE314D" w:rsidRPr="00BC46F3" w:rsidRDefault="00CE314D" w:rsidP="00CE314D">
      <w:pPr>
        <w:pStyle w:val="Notedebasdepage"/>
        <w:rPr>
          <w:lang w:val="fr-FR"/>
        </w:rPr>
      </w:pPr>
      <w:r w:rsidRPr="00BC46F3">
        <w:rPr>
          <w:rStyle w:val="Appelnotedebasdep"/>
          <w:lang w:val="fr-FR"/>
        </w:rPr>
        <w:footnoteRef/>
      </w:r>
      <w:r w:rsidRPr="00BC46F3">
        <w:rPr>
          <w:lang w:val="fr-FR"/>
        </w:rPr>
        <w:t xml:space="preserve"> </w:t>
      </w:r>
      <w:r w:rsidR="00BC46F3" w:rsidRPr="00BC46F3">
        <w:rPr>
          <w:lang w:val="fr-FR"/>
        </w:rPr>
        <w:t>Décision</w:t>
      </w:r>
      <w:r w:rsidRPr="00BC46F3">
        <w:rPr>
          <w:lang w:val="fr-FR"/>
        </w:rPr>
        <w:t xml:space="preserve"> </w:t>
      </w:r>
      <w:hyperlink r:id="rId1" w:history="1">
        <w:r w:rsidRPr="00BC46F3">
          <w:rPr>
            <w:rStyle w:val="Lienhypertexte"/>
            <w:lang w:val="fr-FR"/>
          </w:rPr>
          <w:t>15</w:t>
        </w:r>
        <w:r w:rsidRPr="00BC46F3">
          <w:rPr>
            <w:rStyle w:val="Lienhypertexte"/>
            <w:lang w:val="fr-FR"/>
          </w:rPr>
          <w:t>/</w:t>
        </w:r>
        <w:r w:rsidRPr="00BC46F3">
          <w:rPr>
            <w:rStyle w:val="Lienhypertexte"/>
            <w:lang w:val="fr-FR"/>
          </w:rPr>
          <w:t>4</w:t>
        </w:r>
      </w:hyperlink>
      <w:r w:rsidRPr="00BC46F3">
        <w:rPr>
          <w:lang w:val="fr-FR"/>
        </w:rPr>
        <w:t>, annex</w:t>
      </w:r>
      <w:r w:rsidR="00BC46F3">
        <w:rPr>
          <w:lang w:val="fr-FR"/>
        </w:rPr>
        <w:t>e</w:t>
      </w:r>
      <w:r w:rsidRPr="00BC46F3">
        <w:rPr>
          <w:lang w:val="fr-FR"/>
        </w:rPr>
        <w:t>.</w:t>
      </w:r>
    </w:p>
  </w:footnote>
  <w:footnote w:id="6">
    <w:p w14:paraId="44D81E14" w14:textId="0FFA301D" w:rsidR="004920CD" w:rsidRPr="00BC46F3" w:rsidRDefault="004920CD">
      <w:pPr>
        <w:pStyle w:val="Notedebasdepage"/>
        <w:rPr>
          <w:lang w:val="fr-FR"/>
        </w:rPr>
      </w:pPr>
      <w:r w:rsidRPr="00BC46F3">
        <w:rPr>
          <w:rStyle w:val="Appelnotedebasdep"/>
          <w:lang w:val="fr-FR"/>
        </w:rPr>
        <w:footnoteRef/>
      </w:r>
      <w:r w:rsidRPr="00BC46F3">
        <w:rPr>
          <w:lang w:val="fr-FR"/>
        </w:rPr>
        <w:t xml:space="preserve"> Décision </w:t>
      </w:r>
      <w:hyperlink r:id="rId2" w:history="1">
        <w:r w:rsidRPr="00BC46F3">
          <w:rPr>
            <w:rStyle w:val="Lienhypertexte"/>
            <w:lang w:val="fr-FR"/>
          </w:rPr>
          <w:t>1</w:t>
        </w:r>
        <w:r w:rsidRPr="00BC46F3">
          <w:rPr>
            <w:rStyle w:val="Lienhypertexte"/>
            <w:lang w:val="fr-FR"/>
          </w:rPr>
          <w:t>5</w:t>
        </w:r>
        <w:r w:rsidRPr="00BC46F3">
          <w:rPr>
            <w:rStyle w:val="Lienhypertexte"/>
            <w:lang w:val="fr-FR"/>
          </w:rPr>
          <w:t>/</w:t>
        </w:r>
        <w:r w:rsidRPr="00BC46F3">
          <w:rPr>
            <w:rStyle w:val="Lienhypertexte"/>
            <w:lang w:val="fr-FR"/>
          </w:rPr>
          <w:t>8</w:t>
        </w:r>
      </w:hyperlink>
      <w:r w:rsidRPr="00BC46F3">
        <w:rPr>
          <w:lang w:val="fr-FR"/>
        </w:rPr>
        <w:t>, annexe I.</w:t>
      </w:r>
    </w:p>
  </w:footnote>
  <w:footnote w:id="7">
    <w:p w14:paraId="503CECE7" w14:textId="38D146E9" w:rsidR="003A2E4A" w:rsidRPr="00BC46F3" w:rsidRDefault="003A2E4A" w:rsidP="003A2E4A">
      <w:pPr>
        <w:pStyle w:val="Notedebasdepage"/>
        <w:rPr>
          <w:lang w:val="fr-FR"/>
        </w:rPr>
      </w:pPr>
      <w:r w:rsidRPr="00BC46F3">
        <w:rPr>
          <w:rStyle w:val="Appelnotedebasdep"/>
          <w:lang w:val="fr-FR"/>
        </w:rPr>
        <w:footnoteRef/>
      </w:r>
      <w:r w:rsidRPr="00BC46F3">
        <w:rPr>
          <w:lang w:val="fr-FR"/>
        </w:rPr>
        <w:t xml:space="preserve"> En particulier le Plan d’action pour le renforcement des capacités du Protocole de Cartagena sur la prévention des risques biotechnologiques (décision </w:t>
      </w:r>
      <w:hyperlink r:id="rId3" w:history="1">
        <w:r w:rsidRPr="00BC46F3">
          <w:rPr>
            <w:rStyle w:val="Lienhypertexte"/>
            <w:lang w:val="fr-FR"/>
          </w:rPr>
          <w:t>CP-</w:t>
        </w:r>
        <w:r w:rsidRPr="00BC46F3">
          <w:rPr>
            <w:rStyle w:val="Lienhypertexte"/>
            <w:lang w:val="fr-FR"/>
          </w:rPr>
          <w:t>1</w:t>
        </w:r>
        <w:r w:rsidRPr="00BC46F3">
          <w:rPr>
            <w:rStyle w:val="Lienhypertexte"/>
            <w:lang w:val="fr-FR"/>
          </w:rPr>
          <w:t>0</w:t>
        </w:r>
        <w:r w:rsidRPr="00BC46F3">
          <w:rPr>
            <w:rStyle w:val="Lienhypertexte"/>
            <w:lang w:val="fr-FR"/>
          </w:rPr>
          <w:t>/</w:t>
        </w:r>
        <w:r w:rsidRPr="00BC46F3">
          <w:rPr>
            <w:rStyle w:val="Lienhypertexte"/>
            <w:lang w:val="fr-FR"/>
          </w:rPr>
          <w:t>4</w:t>
        </w:r>
      </w:hyperlink>
      <w:r w:rsidRPr="00BC46F3">
        <w:rPr>
          <w:lang w:val="fr-FR"/>
        </w:rPr>
        <w:t>, annexe).</w:t>
      </w:r>
    </w:p>
    <w:p w14:paraId="782125A9" w14:textId="4C5936C1" w:rsidR="003A2E4A" w:rsidRPr="00BC46F3" w:rsidRDefault="003A2E4A">
      <w:pPr>
        <w:pStyle w:val="Notedebasdepage"/>
        <w:rPr>
          <w:lang w:val="fr-FR"/>
        </w:rPr>
      </w:pPr>
    </w:p>
  </w:footnote>
  <w:footnote w:id="8">
    <w:p w14:paraId="4D492039" w14:textId="2F1E7E89" w:rsidR="0033744B" w:rsidRPr="00BC46F3" w:rsidRDefault="0033744B" w:rsidP="0033744B">
      <w:pPr>
        <w:pStyle w:val="Notedebasdepage"/>
        <w:rPr>
          <w:szCs w:val="18"/>
          <w:lang w:val="fr-FR"/>
        </w:rPr>
      </w:pPr>
      <w:r w:rsidRPr="00BC46F3">
        <w:rPr>
          <w:rStyle w:val="Appelnotedebasdep"/>
          <w:szCs w:val="18"/>
          <w:lang w:val="fr-FR"/>
        </w:rPr>
        <w:footnoteRef/>
      </w:r>
      <w:r w:rsidRPr="00BC46F3">
        <w:rPr>
          <w:lang w:val="fr-FR"/>
        </w:rPr>
        <w:t xml:space="preserve"> Décision </w:t>
      </w:r>
      <w:hyperlink r:id="rId4" w:history="1">
        <w:r w:rsidRPr="00BC46F3">
          <w:rPr>
            <w:rStyle w:val="Lienhypertexte"/>
            <w:lang w:val="fr-FR"/>
          </w:rPr>
          <w:t>VIII/</w:t>
        </w:r>
        <w:r w:rsidRPr="00BC46F3">
          <w:rPr>
            <w:rStyle w:val="Lienhypertexte"/>
            <w:lang w:val="fr-FR"/>
          </w:rPr>
          <w:t>1</w:t>
        </w:r>
        <w:r w:rsidRPr="00BC46F3">
          <w:rPr>
            <w:rStyle w:val="Lienhypertexte"/>
            <w:lang w:val="fr-FR"/>
          </w:rPr>
          <w:t>0</w:t>
        </w:r>
      </w:hyperlink>
      <w:r w:rsidRPr="00BC46F3">
        <w:rPr>
          <w:lang w:val="fr-FR"/>
        </w:rPr>
        <w:t>, annexe III.</w:t>
      </w:r>
    </w:p>
  </w:footnote>
  <w:footnote w:id="9">
    <w:p w14:paraId="328219FF" w14:textId="380043CD" w:rsidR="00404599" w:rsidRPr="00BC46F3" w:rsidRDefault="00404599">
      <w:pPr>
        <w:pStyle w:val="Notedebasdepage"/>
        <w:rPr>
          <w:lang w:val="fr-FR"/>
        </w:rPr>
      </w:pPr>
      <w:r w:rsidRPr="00BC46F3">
        <w:rPr>
          <w:rStyle w:val="Appelnotedebasdep"/>
          <w:lang w:val="fr-FR"/>
        </w:rPr>
        <w:footnoteRef/>
      </w:r>
      <w:r w:rsidRPr="00BC46F3">
        <w:rPr>
          <w:lang w:val="fr-FR"/>
        </w:rPr>
        <w:t xml:space="preserve"> Nations Unies, </w:t>
      </w:r>
      <w:r w:rsidRPr="00BC46F3">
        <w:rPr>
          <w:i/>
          <w:iCs/>
          <w:lang w:val="fr-FR"/>
        </w:rPr>
        <w:t>Recueil des Traités</w:t>
      </w:r>
      <w:r w:rsidRPr="00BC46F3">
        <w:rPr>
          <w:lang w:val="fr-FR"/>
        </w:rPr>
        <w:t>, vol. 1760, n</w:t>
      </w:r>
      <w:r w:rsidRPr="00BC46F3">
        <w:rPr>
          <w:vertAlign w:val="superscript"/>
          <w:lang w:val="fr-FR"/>
        </w:rPr>
        <w:t>o</w:t>
      </w:r>
      <w:r w:rsidRPr="00BC46F3">
        <w:rPr>
          <w:lang w:val="fr-FR"/>
        </w:rPr>
        <w:t> 30619.</w:t>
      </w:r>
    </w:p>
  </w:footnote>
  <w:footnote w:id="10">
    <w:p w14:paraId="4603D119" w14:textId="65F9BD07" w:rsidR="00BC46F3" w:rsidRPr="00BC46F3" w:rsidRDefault="00BC46F3" w:rsidP="00BC46F3">
      <w:pPr>
        <w:pStyle w:val="Notedebasdepage"/>
        <w:rPr>
          <w:lang w:val="fr-FR"/>
        </w:rPr>
      </w:pPr>
      <w:r w:rsidRPr="00BC46F3">
        <w:rPr>
          <w:rStyle w:val="Appelnotedebasdep"/>
          <w:lang w:val="fr-FR"/>
        </w:rPr>
        <w:footnoteRef/>
      </w:r>
      <w:r w:rsidRPr="00BC46F3">
        <w:rPr>
          <w:lang w:val="fr-FR"/>
        </w:rPr>
        <w:t xml:space="preserve"> </w:t>
      </w:r>
      <w:r w:rsidR="0099013A" w:rsidRPr="00BC46F3">
        <w:rPr>
          <w:lang w:val="fr-FR"/>
        </w:rPr>
        <w:t>Décision</w:t>
      </w:r>
      <w:r w:rsidRPr="00BC46F3">
        <w:rPr>
          <w:lang w:val="fr-FR"/>
        </w:rPr>
        <w:t xml:space="preserve"> </w:t>
      </w:r>
      <w:hyperlink r:id="rId5" w:history="1">
        <w:r w:rsidRPr="00BC46F3">
          <w:rPr>
            <w:rStyle w:val="Lienhypertexte"/>
            <w:lang w:val="fr-FR"/>
          </w:rPr>
          <w:t>15</w:t>
        </w:r>
        <w:r w:rsidRPr="00BC46F3">
          <w:rPr>
            <w:rStyle w:val="Lienhypertexte"/>
            <w:lang w:val="fr-FR"/>
          </w:rPr>
          <w:t>/</w:t>
        </w:r>
        <w:r w:rsidRPr="00BC46F3">
          <w:rPr>
            <w:rStyle w:val="Lienhypertexte"/>
            <w:lang w:val="fr-FR"/>
          </w:rPr>
          <w:t>4</w:t>
        </w:r>
      </w:hyperlink>
      <w:r w:rsidRPr="00BC46F3">
        <w:rPr>
          <w:lang w:val="fr-FR"/>
        </w:rPr>
        <w:t xml:space="preserve">, </w:t>
      </w:r>
      <w:r w:rsidR="0099013A" w:rsidRPr="00BC46F3">
        <w:rPr>
          <w:lang w:val="fr-FR"/>
        </w:rPr>
        <w:t>annexe</w:t>
      </w:r>
      <w:r w:rsidRPr="00BC46F3">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6D63F578" w:rsidR="00A00234" w:rsidRPr="00443360" w:rsidRDefault="00406E02" w:rsidP="00443360">
    <w:pPr>
      <w:pStyle w:val="En-tte"/>
      <w:spacing w:after="240"/>
      <w:rPr>
        <w:szCs w:val="20"/>
        <w:lang w:val="en-CA"/>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406E02">
          <w:rPr>
            <w:szCs w:val="20"/>
          </w:rPr>
          <w:t>CBD/COP/DEC/16/21</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15D909F6" w:rsidR="002B559C" w:rsidRPr="002B559C" w:rsidRDefault="00406E02" w:rsidP="002B559C">
        <w:pPr>
          <w:pStyle w:val="En-tte"/>
          <w:spacing w:after="240"/>
          <w:jc w:val="right"/>
          <w:rPr>
            <w:szCs w:val="20"/>
            <w:lang w:val="fr-FR"/>
          </w:rPr>
        </w:pPr>
        <w:r>
          <w:rPr>
            <w:szCs w:val="20"/>
            <w:lang w:val="fr-FR"/>
          </w:rPr>
          <w:t>CBD/COP/DEC/16/21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B52788"/>
    <w:multiLevelType w:val="hybridMultilevel"/>
    <w:tmpl w:val="6A7225BE"/>
    <w:lvl w:ilvl="0" w:tplc="6A966448">
      <w:start w:val="1"/>
      <w:numFmt w:val="decimal"/>
      <w:lvlText w:val="%1)"/>
      <w:lvlJc w:val="left"/>
      <w:pPr>
        <w:ind w:left="1020" w:hanging="360"/>
      </w:pPr>
    </w:lvl>
    <w:lvl w:ilvl="1" w:tplc="7D328F50">
      <w:start w:val="1"/>
      <w:numFmt w:val="decimal"/>
      <w:lvlText w:val="%2)"/>
      <w:lvlJc w:val="left"/>
      <w:pPr>
        <w:ind w:left="1020" w:hanging="360"/>
      </w:pPr>
    </w:lvl>
    <w:lvl w:ilvl="2" w:tplc="79285328">
      <w:start w:val="1"/>
      <w:numFmt w:val="decimal"/>
      <w:lvlText w:val="%3)"/>
      <w:lvlJc w:val="left"/>
      <w:pPr>
        <w:ind w:left="1020" w:hanging="360"/>
      </w:pPr>
    </w:lvl>
    <w:lvl w:ilvl="3" w:tplc="7CA8AECA">
      <w:start w:val="1"/>
      <w:numFmt w:val="decimal"/>
      <w:lvlText w:val="%4)"/>
      <w:lvlJc w:val="left"/>
      <w:pPr>
        <w:ind w:left="1020" w:hanging="360"/>
      </w:pPr>
    </w:lvl>
    <w:lvl w:ilvl="4" w:tplc="099ABCBE">
      <w:start w:val="1"/>
      <w:numFmt w:val="decimal"/>
      <w:lvlText w:val="%5)"/>
      <w:lvlJc w:val="left"/>
      <w:pPr>
        <w:ind w:left="1020" w:hanging="360"/>
      </w:pPr>
    </w:lvl>
    <w:lvl w:ilvl="5" w:tplc="749E39FE">
      <w:start w:val="1"/>
      <w:numFmt w:val="decimal"/>
      <w:lvlText w:val="%6)"/>
      <w:lvlJc w:val="left"/>
      <w:pPr>
        <w:ind w:left="1020" w:hanging="360"/>
      </w:pPr>
    </w:lvl>
    <w:lvl w:ilvl="6" w:tplc="36BC508C">
      <w:start w:val="1"/>
      <w:numFmt w:val="decimal"/>
      <w:lvlText w:val="%7)"/>
      <w:lvlJc w:val="left"/>
      <w:pPr>
        <w:ind w:left="1020" w:hanging="360"/>
      </w:pPr>
    </w:lvl>
    <w:lvl w:ilvl="7" w:tplc="76761364">
      <w:start w:val="1"/>
      <w:numFmt w:val="decimal"/>
      <w:lvlText w:val="%8)"/>
      <w:lvlJc w:val="left"/>
      <w:pPr>
        <w:ind w:left="1020" w:hanging="360"/>
      </w:pPr>
    </w:lvl>
    <w:lvl w:ilvl="8" w:tplc="615ED3F2">
      <w:start w:val="1"/>
      <w:numFmt w:val="decimal"/>
      <w:lvlText w:val="%9)"/>
      <w:lvlJc w:val="left"/>
      <w:pPr>
        <w:ind w:left="1020" w:hanging="36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0467907">
    <w:abstractNumId w:val="4"/>
  </w:num>
  <w:num w:numId="2" w16cid:durableId="56589317">
    <w:abstractNumId w:val="13"/>
  </w:num>
  <w:num w:numId="3" w16cid:durableId="1228490863">
    <w:abstractNumId w:val="16"/>
  </w:num>
  <w:num w:numId="4" w16cid:durableId="564415211">
    <w:abstractNumId w:val="0"/>
  </w:num>
  <w:num w:numId="5" w16cid:durableId="926814067">
    <w:abstractNumId w:val="1"/>
  </w:num>
  <w:num w:numId="6" w16cid:durableId="913124319">
    <w:abstractNumId w:val="1"/>
  </w:num>
  <w:num w:numId="7" w16cid:durableId="747386378">
    <w:abstractNumId w:val="3"/>
  </w:num>
  <w:num w:numId="8" w16cid:durableId="1613130740">
    <w:abstractNumId w:val="7"/>
  </w:num>
  <w:num w:numId="9" w16cid:durableId="1429276524">
    <w:abstractNumId w:val="12"/>
  </w:num>
  <w:num w:numId="10" w16cid:durableId="2134132285">
    <w:abstractNumId w:val="10"/>
  </w:num>
  <w:num w:numId="11" w16cid:durableId="1149589816">
    <w:abstractNumId w:val="6"/>
  </w:num>
  <w:num w:numId="12" w16cid:durableId="564533231">
    <w:abstractNumId w:val="2"/>
  </w:num>
  <w:num w:numId="13" w16cid:durableId="854881045">
    <w:abstractNumId w:val="2"/>
    <w:lvlOverride w:ilvl="0">
      <w:startOverride w:val="1"/>
    </w:lvlOverride>
  </w:num>
  <w:num w:numId="14" w16cid:durableId="876544996">
    <w:abstractNumId w:val="9"/>
  </w:num>
  <w:num w:numId="15" w16cid:durableId="1503592793">
    <w:abstractNumId w:val="9"/>
    <w:lvlOverride w:ilvl="0">
      <w:startOverride w:val="1"/>
    </w:lvlOverride>
  </w:num>
  <w:num w:numId="16" w16cid:durableId="1613396559">
    <w:abstractNumId w:val="13"/>
    <w:lvlOverride w:ilvl="0">
      <w:startOverride w:val="1"/>
    </w:lvlOverride>
  </w:num>
  <w:num w:numId="17" w16cid:durableId="302124589">
    <w:abstractNumId w:val="9"/>
    <w:lvlOverride w:ilvl="0">
      <w:startOverride w:val="1"/>
    </w:lvlOverride>
  </w:num>
  <w:num w:numId="18" w16cid:durableId="1424107647">
    <w:abstractNumId w:val="17"/>
  </w:num>
  <w:num w:numId="19" w16cid:durableId="307129147">
    <w:abstractNumId w:val="13"/>
    <w:lvlOverride w:ilvl="0">
      <w:startOverride w:val="1"/>
    </w:lvlOverride>
  </w:num>
  <w:num w:numId="20" w16cid:durableId="894783153">
    <w:abstractNumId w:val="13"/>
    <w:lvlOverride w:ilvl="0">
      <w:startOverride w:val="1"/>
    </w:lvlOverride>
  </w:num>
  <w:num w:numId="21" w16cid:durableId="1560281575">
    <w:abstractNumId w:val="8"/>
  </w:num>
  <w:num w:numId="22" w16cid:durableId="1039089077">
    <w:abstractNumId w:val="5"/>
  </w:num>
  <w:num w:numId="23" w16cid:durableId="454444092">
    <w:abstractNumId w:val="14"/>
  </w:num>
  <w:num w:numId="24" w16cid:durableId="1499535976">
    <w:abstractNumId w:val="14"/>
  </w:num>
  <w:num w:numId="25" w16cid:durableId="1540967549">
    <w:abstractNumId w:val="14"/>
  </w:num>
  <w:num w:numId="26" w16cid:durableId="1840341984">
    <w:abstractNumId w:val="14"/>
  </w:num>
  <w:num w:numId="27" w16cid:durableId="1798138764">
    <w:abstractNumId w:val="14"/>
  </w:num>
  <w:num w:numId="28" w16cid:durableId="510610663">
    <w:abstractNumId w:val="14"/>
  </w:num>
  <w:num w:numId="29" w16cid:durableId="1740440418">
    <w:abstractNumId w:val="15"/>
  </w:num>
  <w:num w:numId="30" w16cid:durableId="370761865">
    <w:abstractNumId w:val="15"/>
  </w:num>
  <w:num w:numId="31" w16cid:durableId="1196508138">
    <w:abstractNumId w:val="15"/>
  </w:num>
  <w:num w:numId="32" w16cid:durableId="1442913545">
    <w:abstractNumId w:val="15"/>
  </w:num>
  <w:num w:numId="33" w16cid:durableId="597832564">
    <w:abstractNumId w:val="5"/>
  </w:num>
  <w:num w:numId="34" w16cid:durableId="634877005">
    <w:abstractNumId w:val="5"/>
  </w:num>
  <w:num w:numId="35" w16cid:durableId="570772483">
    <w:abstractNumId w:val="5"/>
  </w:num>
  <w:num w:numId="36" w16cid:durableId="362752783">
    <w:abstractNumId w:val="5"/>
  </w:num>
  <w:num w:numId="37" w16cid:durableId="1396590300">
    <w:abstractNumId w:val="5"/>
  </w:num>
  <w:num w:numId="38" w16cid:durableId="244150357">
    <w:abstractNumId w:val="5"/>
  </w:num>
  <w:num w:numId="39" w16cid:durableId="1210264030">
    <w:abstractNumId w:val="5"/>
  </w:num>
  <w:num w:numId="40" w16cid:durableId="610625986">
    <w:abstractNumId w:val="5"/>
  </w:num>
  <w:num w:numId="41" w16cid:durableId="777261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29"/>
    <w:rsid w:val="00020CA7"/>
    <w:rsid w:val="000238B8"/>
    <w:rsid w:val="00040598"/>
    <w:rsid w:val="000474B7"/>
    <w:rsid w:val="00056BF3"/>
    <w:rsid w:val="00066827"/>
    <w:rsid w:val="0006764E"/>
    <w:rsid w:val="000712FC"/>
    <w:rsid w:val="00083A87"/>
    <w:rsid w:val="00093AF1"/>
    <w:rsid w:val="000B1E29"/>
    <w:rsid w:val="000B5395"/>
    <w:rsid w:val="000C0144"/>
    <w:rsid w:val="000C2611"/>
    <w:rsid w:val="000C4D66"/>
    <w:rsid w:val="000D6A10"/>
    <w:rsid w:val="000E62BB"/>
    <w:rsid w:val="000F66FD"/>
    <w:rsid w:val="001068A0"/>
    <w:rsid w:val="00107FE8"/>
    <w:rsid w:val="00110E1B"/>
    <w:rsid w:val="0012411B"/>
    <w:rsid w:val="00132581"/>
    <w:rsid w:val="001454DA"/>
    <w:rsid w:val="0014784C"/>
    <w:rsid w:val="00155BA4"/>
    <w:rsid w:val="001615B6"/>
    <w:rsid w:val="00164B72"/>
    <w:rsid w:val="001662BF"/>
    <w:rsid w:val="00177426"/>
    <w:rsid w:val="00183ED9"/>
    <w:rsid w:val="00184909"/>
    <w:rsid w:val="001937FC"/>
    <w:rsid w:val="001A2527"/>
    <w:rsid w:val="001A40DC"/>
    <w:rsid w:val="001B50EA"/>
    <w:rsid w:val="001C5AB3"/>
    <w:rsid w:val="001D7501"/>
    <w:rsid w:val="001E37E8"/>
    <w:rsid w:val="001E4E16"/>
    <w:rsid w:val="001E6F91"/>
    <w:rsid w:val="001F0FE6"/>
    <w:rsid w:val="00217B45"/>
    <w:rsid w:val="002544D0"/>
    <w:rsid w:val="00266567"/>
    <w:rsid w:val="002735CD"/>
    <w:rsid w:val="00274657"/>
    <w:rsid w:val="00283805"/>
    <w:rsid w:val="002A5E56"/>
    <w:rsid w:val="002B00CA"/>
    <w:rsid w:val="002B559C"/>
    <w:rsid w:val="002C3B82"/>
    <w:rsid w:val="002D2E2A"/>
    <w:rsid w:val="002D6B1D"/>
    <w:rsid w:val="002E26E6"/>
    <w:rsid w:val="002E596F"/>
    <w:rsid w:val="002F471A"/>
    <w:rsid w:val="00303F0B"/>
    <w:rsid w:val="00310608"/>
    <w:rsid w:val="0031174D"/>
    <w:rsid w:val="00323A97"/>
    <w:rsid w:val="00323F22"/>
    <w:rsid w:val="00324CAF"/>
    <w:rsid w:val="00327E46"/>
    <w:rsid w:val="0033033F"/>
    <w:rsid w:val="0033744B"/>
    <w:rsid w:val="003448CF"/>
    <w:rsid w:val="003476A9"/>
    <w:rsid w:val="00364866"/>
    <w:rsid w:val="00367C81"/>
    <w:rsid w:val="00374838"/>
    <w:rsid w:val="00375941"/>
    <w:rsid w:val="00381831"/>
    <w:rsid w:val="0038428B"/>
    <w:rsid w:val="003A2D71"/>
    <w:rsid w:val="003A2E4A"/>
    <w:rsid w:val="003B408D"/>
    <w:rsid w:val="003C3310"/>
    <w:rsid w:val="003C6F10"/>
    <w:rsid w:val="003C71BF"/>
    <w:rsid w:val="003D14E0"/>
    <w:rsid w:val="003E03DD"/>
    <w:rsid w:val="003F57D0"/>
    <w:rsid w:val="00404599"/>
    <w:rsid w:val="00406E02"/>
    <w:rsid w:val="00423CA0"/>
    <w:rsid w:val="00440CBC"/>
    <w:rsid w:val="00441498"/>
    <w:rsid w:val="00443360"/>
    <w:rsid w:val="00445E2A"/>
    <w:rsid w:val="004612E8"/>
    <w:rsid w:val="004701EE"/>
    <w:rsid w:val="00472E91"/>
    <w:rsid w:val="00473868"/>
    <w:rsid w:val="00480A8D"/>
    <w:rsid w:val="004920CD"/>
    <w:rsid w:val="00492C92"/>
    <w:rsid w:val="00497800"/>
    <w:rsid w:val="004A2A2D"/>
    <w:rsid w:val="004B450D"/>
    <w:rsid w:val="004C2CCE"/>
    <w:rsid w:val="004C6544"/>
    <w:rsid w:val="004C7E38"/>
    <w:rsid w:val="004D71DC"/>
    <w:rsid w:val="004E03E1"/>
    <w:rsid w:val="004E55F6"/>
    <w:rsid w:val="004E7BA2"/>
    <w:rsid w:val="005063F0"/>
    <w:rsid w:val="0051617B"/>
    <w:rsid w:val="00520C05"/>
    <w:rsid w:val="00521A36"/>
    <w:rsid w:val="00523D1A"/>
    <w:rsid w:val="005257E1"/>
    <w:rsid w:val="00527D8B"/>
    <w:rsid w:val="005334A5"/>
    <w:rsid w:val="005365E7"/>
    <w:rsid w:val="00537248"/>
    <w:rsid w:val="00543873"/>
    <w:rsid w:val="00543F0B"/>
    <w:rsid w:val="005503B7"/>
    <w:rsid w:val="005549B9"/>
    <w:rsid w:val="00557A67"/>
    <w:rsid w:val="00571CCF"/>
    <w:rsid w:val="00577090"/>
    <w:rsid w:val="00577816"/>
    <w:rsid w:val="005849D2"/>
    <w:rsid w:val="00591617"/>
    <w:rsid w:val="00595A79"/>
    <w:rsid w:val="005A0EF2"/>
    <w:rsid w:val="005A1905"/>
    <w:rsid w:val="005A206E"/>
    <w:rsid w:val="005B0643"/>
    <w:rsid w:val="005C0058"/>
    <w:rsid w:val="005D1760"/>
    <w:rsid w:val="005E2605"/>
    <w:rsid w:val="005E69E2"/>
    <w:rsid w:val="00605A3E"/>
    <w:rsid w:val="00607D84"/>
    <w:rsid w:val="006210F3"/>
    <w:rsid w:val="0062350D"/>
    <w:rsid w:val="00623AF7"/>
    <w:rsid w:val="006320F0"/>
    <w:rsid w:val="00647AD1"/>
    <w:rsid w:val="00657ED6"/>
    <w:rsid w:val="00663E2D"/>
    <w:rsid w:val="0066738C"/>
    <w:rsid w:val="006749B8"/>
    <w:rsid w:val="00695FFD"/>
    <w:rsid w:val="006A274A"/>
    <w:rsid w:val="006A4F12"/>
    <w:rsid w:val="006B293D"/>
    <w:rsid w:val="006B3E85"/>
    <w:rsid w:val="006C0B82"/>
    <w:rsid w:val="006C6370"/>
    <w:rsid w:val="006D4AEB"/>
    <w:rsid w:val="006E54CF"/>
    <w:rsid w:val="006F3EC6"/>
    <w:rsid w:val="006F4DB6"/>
    <w:rsid w:val="00704608"/>
    <w:rsid w:val="00706A86"/>
    <w:rsid w:val="0073561D"/>
    <w:rsid w:val="00736176"/>
    <w:rsid w:val="007363B4"/>
    <w:rsid w:val="00743A40"/>
    <w:rsid w:val="0075018F"/>
    <w:rsid w:val="0075214C"/>
    <w:rsid w:val="0076622F"/>
    <w:rsid w:val="00766E05"/>
    <w:rsid w:val="00767C49"/>
    <w:rsid w:val="00774B41"/>
    <w:rsid w:val="007772CF"/>
    <w:rsid w:val="00783CB8"/>
    <w:rsid w:val="007962EB"/>
    <w:rsid w:val="007B6393"/>
    <w:rsid w:val="007C2D33"/>
    <w:rsid w:val="007C70FA"/>
    <w:rsid w:val="007C77BC"/>
    <w:rsid w:val="007E0C48"/>
    <w:rsid w:val="007E2408"/>
    <w:rsid w:val="007E2771"/>
    <w:rsid w:val="007E29EC"/>
    <w:rsid w:val="007E7E1C"/>
    <w:rsid w:val="007F15E9"/>
    <w:rsid w:val="007F7DD2"/>
    <w:rsid w:val="00800E03"/>
    <w:rsid w:val="00823FDA"/>
    <w:rsid w:val="00862891"/>
    <w:rsid w:val="0086393B"/>
    <w:rsid w:val="00871402"/>
    <w:rsid w:val="00874541"/>
    <w:rsid w:val="0087582D"/>
    <w:rsid w:val="00880330"/>
    <w:rsid w:val="00881451"/>
    <w:rsid w:val="0089277B"/>
    <w:rsid w:val="008B27E2"/>
    <w:rsid w:val="008B3BB2"/>
    <w:rsid w:val="008B437F"/>
    <w:rsid w:val="008C1A94"/>
    <w:rsid w:val="008C5308"/>
    <w:rsid w:val="008C6DD2"/>
    <w:rsid w:val="008C7C30"/>
    <w:rsid w:val="008E0581"/>
    <w:rsid w:val="008F3DC8"/>
    <w:rsid w:val="008F4C48"/>
    <w:rsid w:val="008F4F97"/>
    <w:rsid w:val="009136BA"/>
    <w:rsid w:val="0092204D"/>
    <w:rsid w:val="00924983"/>
    <w:rsid w:val="00925D46"/>
    <w:rsid w:val="0092781F"/>
    <w:rsid w:val="00927A9E"/>
    <w:rsid w:val="009310D4"/>
    <w:rsid w:val="00932F3A"/>
    <w:rsid w:val="0093537D"/>
    <w:rsid w:val="00935461"/>
    <w:rsid w:val="00941160"/>
    <w:rsid w:val="009459E3"/>
    <w:rsid w:val="00950CED"/>
    <w:rsid w:val="00954EA1"/>
    <w:rsid w:val="00956148"/>
    <w:rsid w:val="00957167"/>
    <w:rsid w:val="00957251"/>
    <w:rsid w:val="009734EA"/>
    <w:rsid w:val="00977C40"/>
    <w:rsid w:val="009842DA"/>
    <w:rsid w:val="0099013A"/>
    <w:rsid w:val="00991912"/>
    <w:rsid w:val="00991B2F"/>
    <w:rsid w:val="00995DDC"/>
    <w:rsid w:val="009A2E79"/>
    <w:rsid w:val="009B3DAC"/>
    <w:rsid w:val="009C1114"/>
    <w:rsid w:val="009C3851"/>
    <w:rsid w:val="009C4D4B"/>
    <w:rsid w:val="009C4ECF"/>
    <w:rsid w:val="009D1C16"/>
    <w:rsid w:val="009D5D16"/>
    <w:rsid w:val="009D6226"/>
    <w:rsid w:val="009D62A5"/>
    <w:rsid w:val="009D6FD4"/>
    <w:rsid w:val="009F0540"/>
    <w:rsid w:val="009F2684"/>
    <w:rsid w:val="009F455B"/>
    <w:rsid w:val="00A00234"/>
    <w:rsid w:val="00A16560"/>
    <w:rsid w:val="00A21DF0"/>
    <w:rsid w:val="00A349E1"/>
    <w:rsid w:val="00A43182"/>
    <w:rsid w:val="00A477EB"/>
    <w:rsid w:val="00A50833"/>
    <w:rsid w:val="00A54FA0"/>
    <w:rsid w:val="00A610DE"/>
    <w:rsid w:val="00A86864"/>
    <w:rsid w:val="00A954B3"/>
    <w:rsid w:val="00A96B21"/>
    <w:rsid w:val="00AB226F"/>
    <w:rsid w:val="00AB4A04"/>
    <w:rsid w:val="00AE1A95"/>
    <w:rsid w:val="00AF1455"/>
    <w:rsid w:val="00AF29C4"/>
    <w:rsid w:val="00B02DAD"/>
    <w:rsid w:val="00B04A10"/>
    <w:rsid w:val="00B0608E"/>
    <w:rsid w:val="00B13878"/>
    <w:rsid w:val="00B177FE"/>
    <w:rsid w:val="00B24013"/>
    <w:rsid w:val="00B25ECF"/>
    <w:rsid w:val="00B2616A"/>
    <w:rsid w:val="00B304E5"/>
    <w:rsid w:val="00B35AFA"/>
    <w:rsid w:val="00B36EA9"/>
    <w:rsid w:val="00B41BF6"/>
    <w:rsid w:val="00B47BB1"/>
    <w:rsid w:val="00B5042B"/>
    <w:rsid w:val="00B60016"/>
    <w:rsid w:val="00B75860"/>
    <w:rsid w:val="00B77AAF"/>
    <w:rsid w:val="00B817C4"/>
    <w:rsid w:val="00B93533"/>
    <w:rsid w:val="00B9563F"/>
    <w:rsid w:val="00BA62F3"/>
    <w:rsid w:val="00BB60F0"/>
    <w:rsid w:val="00BC46F3"/>
    <w:rsid w:val="00BE5B71"/>
    <w:rsid w:val="00BF268D"/>
    <w:rsid w:val="00BF5D0A"/>
    <w:rsid w:val="00BF7DB6"/>
    <w:rsid w:val="00C15BD2"/>
    <w:rsid w:val="00C2354A"/>
    <w:rsid w:val="00C23844"/>
    <w:rsid w:val="00C246F4"/>
    <w:rsid w:val="00C42BF2"/>
    <w:rsid w:val="00C43FCC"/>
    <w:rsid w:val="00C463EA"/>
    <w:rsid w:val="00C47A7A"/>
    <w:rsid w:val="00C7074B"/>
    <w:rsid w:val="00C77683"/>
    <w:rsid w:val="00C81AB6"/>
    <w:rsid w:val="00C85A0A"/>
    <w:rsid w:val="00C90883"/>
    <w:rsid w:val="00C923D7"/>
    <w:rsid w:val="00CA00CD"/>
    <w:rsid w:val="00CA1F6C"/>
    <w:rsid w:val="00CB0D9D"/>
    <w:rsid w:val="00CE314D"/>
    <w:rsid w:val="00CE3C5D"/>
    <w:rsid w:val="00CF6BF0"/>
    <w:rsid w:val="00CF70AB"/>
    <w:rsid w:val="00D00E3B"/>
    <w:rsid w:val="00D0207B"/>
    <w:rsid w:val="00D02962"/>
    <w:rsid w:val="00D3059B"/>
    <w:rsid w:val="00D34B51"/>
    <w:rsid w:val="00D37DFC"/>
    <w:rsid w:val="00D4110C"/>
    <w:rsid w:val="00D50E29"/>
    <w:rsid w:val="00D5744A"/>
    <w:rsid w:val="00D60046"/>
    <w:rsid w:val="00D64F28"/>
    <w:rsid w:val="00D71FFB"/>
    <w:rsid w:val="00D77CFA"/>
    <w:rsid w:val="00D94739"/>
    <w:rsid w:val="00DA6E54"/>
    <w:rsid w:val="00DA7CA1"/>
    <w:rsid w:val="00DB14DC"/>
    <w:rsid w:val="00DB6040"/>
    <w:rsid w:val="00DD2C19"/>
    <w:rsid w:val="00DE0348"/>
    <w:rsid w:val="00DE0949"/>
    <w:rsid w:val="00DE0D20"/>
    <w:rsid w:val="00DF75D9"/>
    <w:rsid w:val="00E02A57"/>
    <w:rsid w:val="00E06A64"/>
    <w:rsid w:val="00E1597C"/>
    <w:rsid w:val="00E1798E"/>
    <w:rsid w:val="00E27A11"/>
    <w:rsid w:val="00E511A4"/>
    <w:rsid w:val="00E578FD"/>
    <w:rsid w:val="00E62D00"/>
    <w:rsid w:val="00E66856"/>
    <w:rsid w:val="00E729CF"/>
    <w:rsid w:val="00E740AC"/>
    <w:rsid w:val="00E82E08"/>
    <w:rsid w:val="00E82F95"/>
    <w:rsid w:val="00E954F7"/>
    <w:rsid w:val="00EA350D"/>
    <w:rsid w:val="00ED0CB1"/>
    <w:rsid w:val="00ED254E"/>
    <w:rsid w:val="00ED3849"/>
    <w:rsid w:val="00ED5645"/>
    <w:rsid w:val="00EE0122"/>
    <w:rsid w:val="00EE5B6E"/>
    <w:rsid w:val="00EF1FC1"/>
    <w:rsid w:val="00EF23B2"/>
    <w:rsid w:val="00EF463A"/>
    <w:rsid w:val="00EF4E34"/>
    <w:rsid w:val="00EF6BF9"/>
    <w:rsid w:val="00F00996"/>
    <w:rsid w:val="00F0122F"/>
    <w:rsid w:val="00F119AF"/>
    <w:rsid w:val="00F15E7D"/>
    <w:rsid w:val="00F16B26"/>
    <w:rsid w:val="00F24B17"/>
    <w:rsid w:val="00F258FB"/>
    <w:rsid w:val="00F30A91"/>
    <w:rsid w:val="00F40CC9"/>
    <w:rsid w:val="00F42AC1"/>
    <w:rsid w:val="00F45577"/>
    <w:rsid w:val="00F532ED"/>
    <w:rsid w:val="00F66889"/>
    <w:rsid w:val="00F75F90"/>
    <w:rsid w:val="00F9638B"/>
    <w:rsid w:val="00FA18C9"/>
    <w:rsid w:val="00FA43BB"/>
    <w:rsid w:val="00FA494D"/>
    <w:rsid w:val="00FB1035"/>
    <w:rsid w:val="00FB12E3"/>
    <w:rsid w:val="00FB577B"/>
    <w:rsid w:val="00FB5BCA"/>
    <w:rsid w:val="00FC7D35"/>
    <w:rsid w:val="00FD1962"/>
    <w:rsid w:val="00FE0B22"/>
    <w:rsid w:val="00FE447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0F23D8CE-0D59-4278-AF66-DD77C8E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443360"/>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character" w:customStyle="1" w:styleId="UnresolvedMention1">
    <w:name w:val="Unresolved Mention1"/>
    <w:basedOn w:val="Policepardfaut"/>
    <w:uiPriority w:val="99"/>
    <w:semiHidden/>
    <w:unhideWhenUsed/>
    <w:rsid w:val="00183ED9"/>
    <w:rPr>
      <w:color w:val="605E5C"/>
      <w:shd w:val="clear" w:color="auto" w:fill="E1DFDD"/>
    </w:rPr>
  </w:style>
  <w:style w:type="paragraph" w:styleId="Rvision">
    <w:name w:val="Revision"/>
    <w:hidden/>
    <w:uiPriority w:val="99"/>
    <w:semiHidden/>
    <w:rsid w:val="004D71DC"/>
    <w:pPr>
      <w:spacing w:after="0" w:line="240" w:lineRule="auto"/>
    </w:pPr>
    <w:rPr>
      <w:rFonts w:ascii="Times New Roman" w:eastAsia="SimSun" w:hAnsi="Times New Roman" w:cs="Times New Roman"/>
      <w:kern w:val="0"/>
      <w:lang w:val="en-US"/>
      <w14:ligatures w14:val="none"/>
    </w:rPr>
  </w:style>
  <w:style w:type="character" w:styleId="Lienhypertextesuivivisit">
    <w:name w:val="FollowedHyperlink"/>
    <w:basedOn w:val="Policepardfaut"/>
    <w:uiPriority w:val="99"/>
    <w:semiHidden/>
    <w:unhideWhenUsed/>
    <w:rsid w:val="00E954F7"/>
    <w:rPr>
      <w:color w:val="954F72" w:themeColor="followedHyperlink"/>
      <w:u w:val="single"/>
    </w:rPr>
  </w:style>
  <w:style w:type="paragraph" w:styleId="NormalWeb">
    <w:name w:val="Normal (Web)"/>
    <w:basedOn w:val="Normal"/>
    <w:uiPriority w:val="99"/>
    <w:semiHidden/>
    <w:unhideWhenUsed/>
    <w:rsid w:val="003A2E4A"/>
    <w:rPr>
      <w:sz w:val="24"/>
      <w:szCs w:val="24"/>
    </w:rPr>
  </w:style>
  <w:style w:type="character" w:styleId="Mentionnonrsolue">
    <w:name w:val="Unresolved Mention"/>
    <w:basedOn w:val="Policepardfaut"/>
    <w:uiPriority w:val="99"/>
    <w:semiHidden/>
    <w:unhideWhenUsed/>
    <w:rsid w:val="00C43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512">
      <w:bodyDiv w:val="1"/>
      <w:marLeft w:val="0"/>
      <w:marRight w:val="0"/>
      <w:marTop w:val="0"/>
      <w:marBottom w:val="0"/>
      <w:divBdr>
        <w:top w:val="none" w:sz="0" w:space="0" w:color="auto"/>
        <w:left w:val="none" w:sz="0" w:space="0" w:color="auto"/>
        <w:bottom w:val="none" w:sz="0" w:space="0" w:color="auto"/>
        <w:right w:val="none" w:sz="0" w:space="0" w:color="auto"/>
      </w:divBdr>
    </w:div>
    <w:div w:id="287011707">
      <w:bodyDiv w:val="1"/>
      <w:marLeft w:val="0"/>
      <w:marRight w:val="0"/>
      <w:marTop w:val="0"/>
      <w:marBottom w:val="0"/>
      <w:divBdr>
        <w:top w:val="none" w:sz="0" w:space="0" w:color="auto"/>
        <w:left w:val="none" w:sz="0" w:space="0" w:color="auto"/>
        <w:bottom w:val="none" w:sz="0" w:space="0" w:color="auto"/>
        <w:right w:val="none" w:sz="0" w:space="0" w:color="auto"/>
      </w:divBdr>
    </w:div>
    <w:div w:id="845899210">
      <w:bodyDiv w:val="1"/>
      <w:marLeft w:val="0"/>
      <w:marRight w:val="0"/>
      <w:marTop w:val="0"/>
      <w:marBottom w:val="0"/>
      <w:divBdr>
        <w:top w:val="none" w:sz="0" w:space="0" w:color="auto"/>
        <w:left w:val="none" w:sz="0" w:space="0" w:color="auto"/>
        <w:bottom w:val="none" w:sz="0" w:space="0" w:color="auto"/>
        <w:right w:val="none" w:sz="0" w:space="0" w:color="auto"/>
      </w:divBdr>
    </w:div>
    <w:div w:id="1487621613">
      <w:bodyDiv w:val="1"/>
      <w:marLeft w:val="0"/>
      <w:marRight w:val="0"/>
      <w:marTop w:val="0"/>
      <w:marBottom w:val="0"/>
      <w:divBdr>
        <w:top w:val="none" w:sz="0" w:space="0" w:color="auto"/>
        <w:left w:val="none" w:sz="0" w:space="0" w:color="auto"/>
        <w:bottom w:val="none" w:sz="0" w:space="0" w:color="auto"/>
        <w:right w:val="none" w:sz="0" w:space="0" w:color="auto"/>
      </w:divBdr>
    </w:div>
    <w:div w:id="1555040782">
      <w:bodyDiv w:val="1"/>
      <w:marLeft w:val="0"/>
      <w:marRight w:val="0"/>
      <w:marTop w:val="0"/>
      <w:marBottom w:val="0"/>
      <w:divBdr>
        <w:top w:val="none" w:sz="0" w:space="0" w:color="auto"/>
        <w:left w:val="none" w:sz="0" w:space="0" w:color="auto"/>
        <w:bottom w:val="none" w:sz="0" w:space="0" w:color="auto"/>
        <w:right w:val="none" w:sz="0" w:space="0" w:color="auto"/>
      </w:divBdr>
    </w:div>
    <w:div w:id="1561017545">
      <w:bodyDiv w:val="1"/>
      <w:marLeft w:val="0"/>
      <w:marRight w:val="0"/>
      <w:marTop w:val="0"/>
      <w:marBottom w:val="0"/>
      <w:divBdr>
        <w:top w:val="none" w:sz="0" w:space="0" w:color="auto"/>
        <w:left w:val="none" w:sz="0" w:space="0" w:color="auto"/>
        <w:bottom w:val="none" w:sz="0" w:space="0" w:color="auto"/>
        <w:right w:val="none" w:sz="0" w:space="0" w:color="auto"/>
      </w:divBdr>
    </w:div>
    <w:div w:id="1635910792">
      <w:bodyDiv w:val="1"/>
      <w:marLeft w:val="0"/>
      <w:marRight w:val="0"/>
      <w:marTop w:val="0"/>
      <w:marBottom w:val="0"/>
      <w:divBdr>
        <w:top w:val="none" w:sz="0" w:space="0" w:color="auto"/>
        <w:left w:val="none" w:sz="0" w:space="0" w:color="auto"/>
        <w:bottom w:val="none" w:sz="0" w:space="0" w:color="auto"/>
        <w:right w:val="none" w:sz="0" w:space="0" w:color="auto"/>
      </w:divBdr>
    </w:div>
    <w:div w:id="1807163147">
      <w:bodyDiv w:val="1"/>
      <w:marLeft w:val="0"/>
      <w:marRight w:val="0"/>
      <w:marTop w:val="0"/>
      <w:marBottom w:val="0"/>
      <w:divBdr>
        <w:top w:val="none" w:sz="0" w:space="0" w:color="auto"/>
        <w:left w:val="none" w:sz="0" w:space="0" w:color="auto"/>
        <w:bottom w:val="none" w:sz="0" w:space="0" w:color="auto"/>
        <w:right w:val="none" w:sz="0" w:space="0" w:color="auto"/>
      </w:divBdr>
    </w:div>
    <w:div w:id="1913615394">
      <w:bodyDiv w:val="1"/>
      <w:marLeft w:val="0"/>
      <w:marRight w:val="0"/>
      <w:marTop w:val="0"/>
      <w:marBottom w:val="0"/>
      <w:divBdr>
        <w:top w:val="none" w:sz="0" w:space="0" w:color="auto"/>
        <w:left w:val="none" w:sz="0" w:space="0" w:color="auto"/>
        <w:bottom w:val="none" w:sz="0" w:space="0" w:color="auto"/>
        <w:right w:val="none" w:sz="0" w:space="0" w:color="auto"/>
      </w:divBdr>
    </w:div>
    <w:div w:id="2009553254">
      <w:bodyDiv w:val="1"/>
      <w:marLeft w:val="0"/>
      <w:marRight w:val="0"/>
      <w:marTop w:val="0"/>
      <w:marBottom w:val="0"/>
      <w:divBdr>
        <w:top w:val="none" w:sz="0" w:space="0" w:color="auto"/>
        <w:left w:val="none" w:sz="0" w:space="0" w:color="auto"/>
        <w:bottom w:val="none" w:sz="0" w:space="0" w:color="auto"/>
        <w:right w:val="none" w:sz="0" w:space="0" w:color="auto"/>
      </w:divBdr>
    </w:div>
    <w:div w:id="2011248496">
      <w:bodyDiv w:val="1"/>
      <w:marLeft w:val="0"/>
      <w:marRight w:val="0"/>
      <w:marTop w:val="0"/>
      <w:marBottom w:val="0"/>
      <w:divBdr>
        <w:top w:val="none" w:sz="0" w:space="0" w:color="auto"/>
        <w:left w:val="none" w:sz="0" w:space="0" w:color="auto"/>
        <w:bottom w:val="none" w:sz="0" w:space="0" w:color="auto"/>
        <w:right w:val="none" w:sz="0" w:space="0" w:color="auto"/>
      </w:divBdr>
    </w:div>
    <w:div w:id="20305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mop-07/mop-07-dec-12-fr.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convention/articles/default.shtml?a=cbd-1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31-fr.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decisions/cop-15/cop-15-dec-08-fr.pdf" TargetMode="External"/><Relationship Id="rId20" Type="http://schemas.openxmlformats.org/officeDocument/2006/relationships/hyperlink" Target="https://www.cbd.int/convention/articles/default.shtml?a=cbd-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bd.int/doc/decisions/cop-15/cop-15-dec-04-fr.pdf" TargetMode="External"/><Relationship Id="rId23" Type="http://schemas.openxmlformats.org/officeDocument/2006/relationships/hyperlink" Target="https://www.cbd.int/doc/decisions/cop-14/cop-14-dec-33-fr.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bd.int/convention/articles/default.shtml?a=cbd-1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19-fr.pdf" TargetMode="External"/><Relationship Id="rId22" Type="http://schemas.openxmlformats.org/officeDocument/2006/relationships/hyperlink" Target="https://www.cbd.int/doc/decisions/cop-10/cop-10-dec-40-fr.pdf"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p-mop-10/cp-mop-10-dec-04-fr.pdf" TargetMode="External"/><Relationship Id="rId2" Type="http://schemas.openxmlformats.org/officeDocument/2006/relationships/hyperlink" Target="https://www.cbd.int/doc/decisions/cop-15/cop-15-dec-08-fr.pdf" TargetMode="External"/><Relationship Id="rId1"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08/full/cop-08-dec-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F4"/>
    <w:rsid w:val="00020CA7"/>
    <w:rsid w:val="002D1F36"/>
    <w:rsid w:val="00303F0B"/>
    <w:rsid w:val="00306F32"/>
    <w:rsid w:val="00445E2A"/>
    <w:rsid w:val="00497800"/>
    <w:rsid w:val="00591617"/>
    <w:rsid w:val="00593A97"/>
    <w:rsid w:val="006749B8"/>
    <w:rsid w:val="006C1F96"/>
    <w:rsid w:val="00764DF4"/>
    <w:rsid w:val="00811444"/>
    <w:rsid w:val="00815BF5"/>
    <w:rsid w:val="00932F3A"/>
    <w:rsid w:val="0093537D"/>
    <w:rsid w:val="009F2684"/>
    <w:rsid w:val="00AB76C4"/>
    <w:rsid w:val="00AE3726"/>
    <w:rsid w:val="00B41BF6"/>
    <w:rsid w:val="00B77AAF"/>
    <w:rsid w:val="00DC2FB7"/>
    <w:rsid w:val="00EA2E9B"/>
    <w:rsid w:val="00F40C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FF494-4C51-4496-A175-FA0310A6931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28C507BD-81D8-42F1-B01E-EB9720007DA3}">
  <ds:schemaRefs>
    <ds:schemaRef ds:uri="http://schemas.openxmlformats.org/officeDocument/2006/bibliography"/>
  </ds:schemaRefs>
</ds:datastoreItem>
</file>

<file path=customXml/itemProps4.xml><?xml version="1.0" encoding="utf-8"?>
<ds:datastoreItem xmlns:ds="http://schemas.openxmlformats.org/officeDocument/2006/customXml" ds:itemID="{3B7A0406-FDD7-449C-B239-C63CF4EC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C:\Users\VLEFEBVR\United Nations\MEA-CBD-Editing Team - Documents\Meeting documents\COP\cop-16\templates&amp;status\template-cop-16-en.dotm</Template>
  <TotalTime>66</TotalTime>
  <Pages>4</Pages>
  <Words>1923</Words>
  <Characters>10579</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Biologie de synthèse</vt:lpstr>
      <vt:lpstr>Biologie de synthèse</vt:lpstr>
    </vt:vector>
  </TitlesOfParts>
  <Company/>
  <LinksUpToDate>false</LinksUpToDate>
  <CharactersWithSpaces>12478</CharactersWithSpaces>
  <SharedDoc>false</SharedDoc>
  <HLinks>
    <vt:vector size="54" baseType="variant">
      <vt:variant>
        <vt:i4>786505</vt:i4>
      </vt:variant>
      <vt:variant>
        <vt:i4>15</vt:i4>
      </vt:variant>
      <vt:variant>
        <vt:i4>0</vt:i4>
      </vt:variant>
      <vt:variant>
        <vt:i4>5</vt:i4>
      </vt:variant>
      <vt:variant>
        <vt:lpwstr>https://www.cbd.int/doc/decisions/cop-14/cop-14-dec-33-en.pdf</vt:lpwstr>
      </vt:variant>
      <vt:variant>
        <vt:lpwstr/>
      </vt:variant>
      <vt:variant>
        <vt:i4>720970</vt:i4>
      </vt:variant>
      <vt:variant>
        <vt:i4>12</vt:i4>
      </vt:variant>
      <vt:variant>
        <vt:i4>0</vt:i4>
      </vt:variant>
      <vt:variant>
        <vt:i4>5</vt:i4>
      </vt:variant>
      <vt:variant>
        <vt:lpwstr>https://www.cbd.int/doc/decisions/cop-10/cop-10-dec-40-en.pdf</vt:lpwstr>
      </vt:variant>
      <vt:variant>
        <vt:lpwstr/>
      </vt:variant>
      <vt:variant>
        <vt:i4>655435</vt:i4>
      </vt:variant>
      <vt:variant>
        <vt:i4>9</vt:i4>
      </vt:variant>
      <vt:variant>
        <vt:i4>0</vt:i4>
      </vt:variant>
      <vt:variant>
        <vt:i4>5</vt:i4>
      </vt:variant>
      <vt:variant>
        <vt:lpwstr>https://www.cbd.int/doc/decisions/cop-15/cop-15-dec-04-en.pdf</vt:lpwstr>
      </vt:variant>
      <vt:variant>
        <vt:lpwstr/>
      </vt:variant>
      <vt:variant>
        <vt:i4>393291</vt:i4>
      </vt:variant>
      <vt:variant>
        <vt:i4>6</vt:i4>
      </vt:variant>
      <vt:variant>
        <vt:i4>0</vt:i4>
      </vt:variant>
      <vt:variant>
        <vt:i4>5</vt:i4>
      </vt:variant>
      <vt:variant>
        <vt:lpwstr>https://www.cbd.int/doc/decisions/cop-15/cop-15-dec-08-en.pdf</vt:lpwstr>
      </vt:variant>
      <vt:variant>
        <vt:lpwstr/>
      </vt:variant>
      <vt:variant>
        <vt:i4>983112</vt:i4>
      </vt:variant>
      <vt:variant>
        <vt:i4>3</vt:i4>
      </vt:variant>
      <vt:variant>
        <vt:i4>0</vt:i4>
      </vt:variant>
      <vt:variant>
        <vt:i4>5</vt:i4>
      </vt:variant>
      <vt:variant>
        <vt:lpwstr>https://www.cbd.int/doc/decisions/cop-15/cop-15-dec-31-en.pdf</vt:lpwstr>
      </vt:variant>
      <vt:variant>
        <vt:lpwstr/>
      </vt:variant>
      <vt:variant>
        <vt:i4>393291</vt:i4>
      </vt:variant>
      <vt:variant>
        <vt:i4>0</vt:i4>
      </vt:variant>
      <vt:variant>
        <vt:i4>0</vt:i4>
      </vt:variant>
      <vt:variant>
        <vt:i4>5</vt:i4>
      </vt:variant>
      <vt:variant>
        <vt:lpwstr>https://www.cbd.int/doc/decisions/cop-14/cop-14-dec-19-en.pdf</vt:lpwstr>
      </vt:variant>
      <vt:variant>
        <vt:lpwstr/>
      </vt:variant>
      <vt:variant>
        <vt:i4>131142</vt:i4>
      </vt:variant>
      <vt:variant>
        <vt:i4>9</vt:i4>
      </vt:variant>
      <vt:variant>
        <vt:i4>0</vt:i4>
      </vt:variant>
      <vt:variant>
        <vt:i4>5</vt:i4>
      </vt:variant>
      <vt:variant>
        <vt:lpwstr>https://www.cbd.int/doc/decisions/cop-08/cop-08-dec-10-en.pdf</vt:lpwstr>
      </vt:variant>
      <vt:variant>
        <vt:lpwstr/>
      </vt:variant>
      <vt:variant>
        <vt:i4>7340081</vt:i4>
      </vt:variant>
      <vt:variant>
        <vt:i4>6</vt:i4>
      </vt:variant>
      <vt:variant>
        <vt:i4>0</vt:i4>
      </vt:variant>
      <vt:variant>
        <vt:i4>5</vt:i4>
      </vt:variant>
      <vt:variant>
        <vt:lpwstr>https://www.cbd.int/doc/decisions/cp-mop-10/cp-mop-10-dec-04-en.pdf</vt:lpwstr>
      </vt:variant>
      <vt:variant>
        <vt:lpwstr/>
      </vt:variant>
      <vt:variant>
        <vt:i4>393291</vt:i4>
      </vt:variant>
      <vt:variant>
        <vt:i4>3</vt:i4>
      </vt:variant>
      <vt:variant>
        <vt:i4>0</vt:i4>
      </vt:variant>
      <vt:variant>
        <vt:i4>5</vt:i4>
      </vt:variant>
      <vt:variant>
        <vt:lpwstr>https://www.cbd.int/doc/decisions/cop-15/cop-15-dec-08-en.pdf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CBD/COP/DEC/16/21</dc:subject>
  <dc:creator>Secretariat of the Convention on Biological Diversity</dc:creator>
  <cp:keywords>Conference of the Parties to the Convention on Biological Diversity</cp:keywords>
  <dc:description/>
  <cp:lastModifiedBy>Reviewer</cp:lastModifiedBy>
  <cp:revision>10</cp:revision>
  <cp:lastPrinted>2024-10-31T00:23:00Z</cp:lastPrinted>
  <dcterms:created xsi:type="dcterms:W3CDTF">2025-04-03T03:26:00Z</dcterms:created>
  <dcterms:modified xsi:type="dcterms:W3CDTF">2025-04-03T06:49:00Z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