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C253E5" w14:paraId="6FBA1655" w14:textId="77777777" w:rsidTr="00B60E5F">
        <w:trPr>
          <w:trHeight w:val="851"/>
        </w:trPr>
        <w:tc>
          <w:tcPr>
            <w:tcW w:w="465" w:type="pct"/>
            <w:tcBorders>
              <w:bottom w:val="single" w:sz="8" w:space="0" w:color="auto"/>
            </w:tcBorders>
            <w:vAlign w:val="bottom"/>
          </w:tcPr>
          <w:p w14:paraId="050F0FC7" w14:textId="77777777" w:rsidR="00A96B21" w:rsidRPr="00F926B2" w:rsidRDefault="00A96B21" w:rsidP="00B60E5F">
            <w:pPr>
              <w:spacing w:after="120"/>
              <w:jc w:val="left"/>
            </w:pPr>
            <w:bookmarkStart w:id="0" w:name="_Hlk137651738"/>
            <w:r>
              <w:rPr>
                <w:noProof/>
              </w:rPr>
              <w:drawing>
                <wp:inline distT="0" distB="0" distL="0" distR="0" wp14:anchorId="528C24D1" wp14:editId="656D434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2DDD0283" w14:textId="26E05423" w:rsidR="00A96B21" w:rsidRPr="00F926B2" w:rsidRDefault="009206BA" w:rsidP="00B60E5F">
            <w:pPr>
              <w:spacing w:after="120"/>
              <w:jc w:val="left"/>
            </w:pPr>
            <w:r w:rsidRPr="009206BA">
              <w:rPr>
                <w:noProof/>
                <w:lang w:val="fr-FR" w:eastAsia="fr-FR"/>
              </w:rPr>
              <w:drawing>
                <wp:inline distT="0" distB="0" distL="0" distR="0" wp14:anchorId="07087B70" wp14:editId="6B743E6B">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12B61E6E" w14:textId="26EA9A09" w:rsidR="00A96B21" w:rsidRPr="009206BA" w:rsidRDefault="00624217" w:rsidP="00184909">
            <w:pPr>
              <w:spacing w:after="120"/>
              <w:ind w:left="2021"/>
              <w:jc w:val="right"/>
              <w:rPr>
                <w:szCs w:val="22"/>
                <w:lang w:val="en-CA"/>
              </w:rPr>
            </w:pPr>
            <w:r w:rsidRPr="00B95D5F">
              <w:fldChar w:fldCharType="begin"/>
            </w:r>
            <w:r w:rsidRPr="00B95D5F">
              <w:rPr>
                <w:sz w:val="22"/>
                <w:szCs w:val="22"/>
              </w:rPr>
              <w:instrText xml:space="preserve"> DOCPROPERTY Subject \* MERGEFORMAT </w:instrText>
            </w:r>
            <w:r w:rsidRPr="00B95D5F">
              <w:fldChar w:fldCharType="separate"/>
            </w:r>
            <w:r w:rsidRPr="00B95D5F">
              <w:rPr>
                <w:sz w:val="40"/>
                <w:szCs w:val="40"/>
              </w:rPr>
              <w:t>CBD</w:t>
            </w:r>
            <w:r w:rsidRPr="00B95D5F">
              <w:rPr>
                <w:sz w:val="22"/>
                <w:szCs w:val="22"/>
              </w:rPr>
              <w:t>/COP/DEC/16/22</w:t>
            </w:r>
            <w:r w:rsidRPr="00B95D5F">
              <w:fldChar w:fldCharType="end"/>
            </w:r>
          </w:p>
        </w:tc>
      </w:tr>
      <w:tr w:rsidR="00A96B21" w:rsidRPr="007E5D62" w14:paraId="1CA08A60" w14:textId="77777777" w:rsidTr="00B60E5F">
        <w:tc>
          <w:tcPr>
            <w:tcW w:w="2297" w:type="pct"/>
            <w:gridSpan w:val="2"/>
            <w:tcBorders>
              <w:top w:val="single" w:sz="8" w:space="0" w:color="auto"/>
              <w:bottom w:val="single" w:sz="12" w:space="0" w:color="auto"/>
            </w:tcBorders>
          </w:tcPr>
          <w:p w14:paraId="50F7B9CF" w14:textId="102BB24A" w:rsidR="00A96B21" w:rsidRPr="00F926B2" w:rsidRDefault="009206BA" w:rsidP="00B60E5F">
            <w:pPr>
              <w:pStyle w:val="Cornernotation"/>
              <w:suppressLineNumbers/>
              <w:suppressAutoHyphens/>
              <w:spacing w:before="120" w:after="120"/>
              <w:ind w:left="0" w:right="0" w:firstLine="0"/>
            </w:pPr>
            <w:r w:rsidRPr="003D1608">
              <w:rPr>
                <w:noProof/>
                <w:lang w:val="fr-FR" w:eastAsia="fr-FR"/>
              </w:rPr>
              <w:drawing>
                <wp:inline distT="0" distB="0" distL="0" distR="0" wp14:anchorId="776367FE" wp14:editId="3B99746F">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4AA008A6" w14:textId="572A8A95" w:rsidR="00A96B21" w:rsidRPr="00F926B2" w:rsidRDefault="00A96B21" w:rsidP="003C6F10">
            <w:pPr>
              <w:ind w:left="2584"/>
              <w:rPr>
                <w:sz w:val="22"/>
                <w:szCs w:val="22"/>
              </w:rPr>
            </w:pPr>
            <w:r>
              <w:t>Distr.</w:t>
            </w:r>
            <w:r w:rsidR="009206BA">
              <w:t> </w:t>
            </w:r>
            <w:r>
              <w:t xml:space="preserve">: </w:t>
            </w:r>
            <w:r w:rsidR="00240BDD" w:rsidRPr="00240BDD">
              <w:t>Générale</w:t>
            </w:r>
          </w:p>
          <w:p w14:paraId="7878A8F6" w14:textId="49E8D38E" w:rsidR="00A96B21" w:rsidRPr="00F926B2" w:rsidRDefault="00C253E5" w:rsidP="003C6F10">
            <w:pPr>
              <w:ind w:left="2584"/>
              <w:rPr>
                <w:sz w:val="22"/>
                <w:szCs w:val="22"/>
              </w:rPr>
            </w:pPr>
            <w:r>
              <w:t>1</w:t>
            </w:r>
            <w:r w:rsidRPr="00C253E5">
              <w:rPr>
                <w:vertAlign w:val="superscript"/>
              </w:rPr>
              <w:t>er</w:t>
            </w:r>
            <w:r>
              <w:t xml:space="preserve"> novembre 2024</w:t>
            </w:r>
          </w:p>
          <w:p w14:paraId="47F6CB58" w14:textId="2CE07A9F" w:rsidR="00A96B21" w:rsidRPr="00175825" w:rsidRDefault="009206BA" w:rsidP="003C6F10">
            <w:pPr>
              <w:ind w:left="2584"/>
            </w:pPr>
            <w:r w:rsidRPr="00175825">
              <w:t>Français</w:t>
            </w:r>
          </w:p>
          <w:p w14:paraId="61E3D10C" w14:textId="474C8FAE" w:rsidR="00A96B21" w:rsidRDefault="00A96B21" w:rsidP="003C6F10">
            <w:pPr>
              <w:ind w:left="2584"/>
            </w:pPr>
            <w:r>
              <w:t xml:space="preserve">Original : </w:t>
            </w:r>
            <w:r w:rsidR="0025245F">
              <w:t>a</w:t>
            </w:r>
            <w:r>
              <w:t>nglais</w:t>
            </w:r>
          </w:p>
          <w:p w14:paraId="532186F2" w14:textId="77777777" w:rsidR="00624217" w:rsidRDefault="00624217" w:rsidP="003C6F10">
            <w:pPr>
              <w:ind w:left="2584"/>
            </w:pPr>
          </w:p>
          <w:p w14:paraId="7BD7B0A4" w14:textId="77777777" w:rsidR="00A96B21" w:rsidRPr="009206BA" w:rsidRDefault="00A96B21" w:rsidP="00B60E5F"/>
        </w:tc>
      </w:tr>
    </w:tbl>
    <w:p w14:paraId="55E95605" w14:textId="77777777" w:rsidR="00874541" w:rsidRPr="00F926B2" w:rsidRDefault="00A00234" w:rsidP="00A00234">
      <w:pPr>
        <w:pStyle w:val="Cornernotation"/>
        <w:ind w:left="0" w:right="5249" w:firstLine="0"/>
        <w:rPr>
          <w:bCs/>
        </w:rPr>
      </w:pPr>
      <w:r>
        <w:t>Conférence des Parties à la Convention sur la diversité biologique</w:t>
      </w:r>
    </w:p>
    <w:p w14:paraId="7395F327" w14:textId="77777777" w:rsidR="00A96B21" w:rsidRPr="00F926B2" w:rsidRDefault="00A00234" w:rsidP="00A96B21">
      <w:pPr>
        <w:pStyle w:val="Cornernotation"/>
        <w:rPr>
          <w:bCs/>
          <w:sz w:val="22"/>
        </w:rPr>
      </w:pPr>
      <w:r>
        <w:rPr>
          <w:bCs/>
          <w:sz w:val="22"/>
        </w:rPr>
        <w:t xml:space="preserve">Seizième réunion </w:t>
      </w:r>
    </w:p>
    <w:p w14:paraId="5A9E0A3D" w14:textId="1C1BD1A8" w:rsidR="00A96B21" w:rsidRPr="00F926B2" w:rsidRDefault="00A00234" w:rsidP="00A96B21">
      <w:pPr>
        <w:pStyle w:val="Venuedate"/>
      </w:pPr>
      <w:r>
        <w:t>Cali (Colombie), 21</w:t>
      </w:r>
      <w:r w:rsidR="009206BA">
        <w:t> </w:t>
      </w:r>
      <w:r>
        <w:t>octobre–1</w:t>
      </w:r>
      <w:r>
        <w:rPr>
          <w:vertAlign w:val="superscript"/>
        </w:rPr>
        <w:t>er</w:t>
      </w:r>
      <w:r w:rsidR="009206BA">
        <w:rPr>
          <w:vertAlign w:val="superscript"/>
        </w:rPr>
        <w:t> </w:t>
      </w:r>
      <w:r>
        <w:t>novembre 2024</w:t>
      </w:r>
    </w:p>
    <w:p w14:paraId="7BFBB5BA" w14:textId="03E38675" w:rsidR="00A96B21" w:rsidRPr="007F6A59" w:rsidRDefault="00FE0B22" w:rsidP="00A96B21">
      <w:pPr>
        <w:pStyle w:val="Cornernotation-Item"/>
        <w:rPr>
          <w:b w:val="0"/>
          <w:bCs w:val="0"/>
          <w:lang w:val="fr-FR"/>
        </w:rPr>
      </w:pPr>
      <w:r w:rsidRPr="007F6A59">
        <w:rPr>
          <w:b w:val="0"/>
          <w:bCs w:val="0"/>
          <w:lang w:val="fr-FR"/>
        </w:rPr>
        <w:t>Point</w:t>
      </w:r>
      <w:r w:rsidR="009206BA" w:rsidRPr="007F6A59">
        <w:rPr>
          <w:b w:val="0"/>
          <w:bCs w:val="0"/>
          <w:lang w:val="fr-FR"/>
        </w:rPr>
        <w:t> </w:t>
      </w:r>
      <w:r w:rsidRPr="007F6A59">
        <w:rPr>
          <w:b w:val="0"/>
          <w:bCs w:val="0"/>
          <w:lang w:val="fr-FR"/>
        </w:rPr>
        <w:t>25 de l</w:t>
      </w:r>
      <w:r w:rsidR="002C0322" w:rsidRPr="007F6A59">
        <w:rPr>
          <w:b w:val="0"/>
          <w:bCs w:val="0"/>
          <w:lang w:val="fr-FR"/>
        </w:rPr>
        <w:t>’</w:t>
      </w:r>
      <w:r w:rsidRPr="007F6A59">
        <w:rPr>
          <w:b w:val="0"/>
          <w:bCs w:val="0"/>
          <w:lang w:val="fr-FR"/>
        </w:rPr>
        <w:t>ordre du jour</w:t>
      </w:r>
    </w:p>
    <w:p w14:paraId="6DDA9877" w14:textId="1E32ECD0" w:rsidR="00107FE8" w:rsidRPr="00F926B2" w:rsidRDefault="00931BCF" w:rsidP="00A96B21">
      <w:pPr>
        <w:pStyle w:val="Cornernotation-Item"/>
      </w:pPr>
      <w:r>
        <w:t>Biodiversité et changements climatiques</w:t>
      </w:r>
    </w:p>
    <w:bookmarkEnd w:id="0"/>
    <w:p w14:paraId="3F49212B" w14:textId="016ED7BC" w:rsidR="00A96B21" w:rsidRPr="007E5D62" w:rsidRDefault="00000000" w:rsidP="001454DA">
      <w:pPr>
        <w:pStyle w:val="CBDTitle"/>
      </w:pPr>
      <w:sdt>
        <w:sdtPr>
          <w:alias w:val="Titr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Content>
          <w:r w:rsidR="00F82ED3">
            <w:t xml:space="preserve">Décision adoptée par la Conférence des Parties </w:t>
          </w:r>
          <w:r w:rsidR="0060218A">
            <w:t>à</w:t>
          </w:r>
          <w:r w:rsidR="00F82ED3">
            <w:t xml:space="preserve"> la Convention sur la diversité biologique le 1er novembre 2024</w:t>
          </w:r>
        </w:sdtContent>
      </w:sdt>
    </w:p>
    <w:p w14:paraId="42AAE04B" w14:textId="4A36F10D" w:rsidR="00624217" w:rsidRPr="00B95D5F" w:rsidRDefault="00624217" w:rsidP="00624217">
      <w:pPr>
        <w:pStyle w:val="CBDH2"/>
      </w:pPr>
      <w:r>
        <w:tab/>
        <w:t>16/22.</w:t>
      </w:r>
      <w:r>
        <w:tab/>
      </w:r>
      <w:r w:rsidRPr="00624217">
        <w:t>Biodiversité et changements climatiques</w:t>
      </w:r>
    </w:p>
    <w:p w14:paraId="194A0285" w14:textId="381BAB86" w:rsidR="001651D6" w:rsidRPr="00F926B2" w:rsidRDefault="001651D6" w:rsidP="001651D6">
      <w:pPr>
        <w:pStyle w:val="Para10"/>
        <w:ind w:left="567" w:firstLine="567"/>
        <w:rPr>
          <w:i/>
          <w:kern w:val="22"/>
          <w:szCs w:val="22"/>
        </w:rPr>
      </w:pPr>
      <w:r>
        <w:rPr>
          <w:i/>
          <w:iCs/>
        </w:rPr>
        <w:t>La Conférence des Parties,</w:t>
      </w:r>
    </w:p>
    <w:p w14:paraId="474F799D" w14:textId="62D77C3E" w:rsidR="001651D6" w:rsidRPr="007E5D62" w:rsidRDefault="001651D6" w:rsidP="001651D6">
      <w:pPr>
        <w:pStyle w:val="Para1"/>
        <w:numPr>
          <w:ilvl w:val="0"/>
          <w:numId w:val="0"/>
        </w:numPr>
        <w:suppressLineNumbers/>
        <w:tabs>
          <w:tab w:val="clear" w:pos="1134"/>
        </w:tabs>
        <w:suppressAutoHyphens/>
        <w:kinsoku w:val="0"/>
        <w:overflowPunct w:val="0"/>
        <w:autoSpaceDE w:val="0"/>
        <w:autoSpaceDN w:val="0"/>
        <w:adjustRightInd w:val="0"/>
        <w:snapToGrid w:val="0"/>
        <w:ind w:left="567" w:firstLine="567"/>
        <w:rPr>
          <w:kern w:val="22"/>
        </w:rPr>
      </w:pPr>
      <w:r>
        <w:rPr>
          <w:i/>
        </w:rPr>
        <w:t xml:space="preserve">Rappelant </w:t>
      </w:r>
      <w:r>
        <w:t>les décisions</w:t>
      </w:r>
      <w:r w:rsidR="009206BA">
        <w:t> </w:t>
      </w:r>
      <w:hyperlink r:id="rId15" w:history="1">
        <w:r>
          <w:rPr>
            <w:rStyle w:val="Lienhypertexte"/>
          </w:rPr>
          <w:t>VII/15</w:t>
        </w:r>
      </w:hyperlink>
      <w:r>
        <w:rPr>
          <w:rStyle w:val="Lienhypertexte"/>
          <w:color w:val="auto"/>
          <w:u w:val="none"/>
        </w:rPr>
        <w:t xml:space="preserve"> du </w:t>
      </w:r>
      <w:r>
        <w:t>20</w:t>
      </w:r>
      <w:r w:rsidR="009206BA">
        <w:t> </w:t>
      </w:r>
      <w:r>
        <w:t xml:space="preserve">février 2004, </w:t>
      </w:r>
      <w:hyperlink r:id="rId16" w:history="1">
        <w:r>
          <w:rPr>
            <w:rStyle w:val="Lienhypertexte"/>
          </w:rPr>
          <w:t>IX/16</w:t>
        </w:r>
      </w:hyperlink>
      <w:r>
        <w:rPr>
          <w:rStyle w:val="Lienhypertexte"/>
          <w:color w:val="000000" w:themeColor="text1"/>
          <w:u w:val="none"/>
        </w:rPr>
        <w:t xml:space="preserve"> A à D</w:t>
      </w:r>
      <w:r>
        <w:rPr>
          <w:rStyle w:val="Lienhypertexte"/>
          <w:u w:val="none"/>
        </w:rPr>
        <w:t xml:space="preserve"> </w:t>
      </w:r>
      <w:r w:rsidRPr="009206BA">
        <w:rPr>
          <w:rStyle w:val="Lienhypertexte"/>
          <w:color w:val="auto"/>
          <w:u w:val="none"/>
        </w:rPr>
        <w:t>du</w:t>
      </w:r>
      <w:r>
        <w:rPr>
          <w:rStyle w:val="Lienhypertexte"/>
          <w:u w:val="none"/>
        </w:rPr>
        <w:t xml:space="preserve"> </w:t>
      </w:r>
      <w:r>
        <w:t xml:space="preserve">30 mai 2008, </w:t>
      </w:r>
      <w:hyperlink r:id="rId17" w:history="1">
        <w:r>
          <w:rPr>
            <w:rStyle w:val="Lienhypertexte"/>
          </w:rPr>
          <w:t>X/33</w:t>
        </w:r>
      </w:hyperlink>
      <w:r>
        <w:t xml:space="preserve"> du 29 octobre 2010, </w:t>
      </w:r>
      <w:hyperlink r:id="rId18" w:history="1">
        <w:r>
          <w:rPr>
            <w:rStyle w:val="Lienhypertexte"/>
          </w:rPr>
          <w:t>XI/19</w:t>
        </w:r>
      </w:hyperlink>
      <w:r>
        <w:t xml:space="preserve">, </w:t>
      </w:r>
      <w:hyperlink r:id="rId19" w:history="1">
        <w:r>
          <w:rPr>
            <w:rStyle w:val="Lienhypertexte"/>
          </w:rPr>
          <w:t>XI/20</w:t>
        </w:r>
      </w:hyperlink>
      <w:r>
        <w:t xml:space="preserve"> et </w:t>
      </w:r>
      <w:hyperlink r:id="rId20" w:history="1">
        <w:r>
          <w:rPr>
            <w:rStyle w:val="Lienhypertexte"/>
          </w:rPr>
          <w:t>XI/21</w:t>
        </w:r>
      </w:hyperlink>
      <w:r>
        <w:t xml:space="preserve"> du 19</w:t>
      </w:r>
      <w:r w:rsidR="009206BA">
        <w:t> </w:t>
      </w:r>
      <w:r>
        <w:t xml:space="preserve">octobre 2012, </w:t>
      </w:r>
      <w:hyperlink r:id="rId21" w:history="1">
        <w:r>
          <w:rPr>
            <w:rStyle w:val="Lienhypertexte"/>
          </w:rPr>
          <w:t>XII/20</w:t>
        </w:r>
      </w:hyperlink>
      <w:r>
        <w:t xml:space="preserve"> du 17</w:t>
      </w:r>
      <w:r w:rsidR="009206BA">
        <w:t> </w:t>
      </w:r>
      <w:r>
        <w:t>octobre 2014,</w:t>
      </w:r>
      <w:hyperlink r:id="rId22" w:history="1">
        <w:r>
          <w:rPr>
            <w:rStyle w:val="Lienhypertexte"/>
          </w:rPr>
          <w:t xml:space="preserve"> XIII/4</w:t>
        </w:r>
      </w:hyperlink>
      <w:r>
        <w:t xml:space="preserve"> du 13</w:t>
      </w:r>
      <w:r w:rsidR="009206BA">
        <w:t> </w:t>
      </w:r>
      <w:r>
        <w:t xml:space="preserve">décembre 2016, </w:t>
      </w:r>
      <w:hyperlink r:id="rId23" w:history="1">
        <w:r>
          <w:rPr>
            <w:rStyle w:val="Lienhypertexte"/>
          </w:rPr>
          <w:t>14/5</w:t>
        </w:r>
      </w:hyperlink>
      <w:r>
        <w:rPr>
          <w:rStyle w:val="Lienhypertexte"/>
          <w:color w:val="auto"/>
          <w:u w:val="none"/>
        </w:rPr>
        <w:t xml:space="preserve"> du </w:t>
      </w:r>
      <w:r>
        <w:t>29</w:t>
      </w:r>
      <w:r w:rsidR="009206BA">
        <w:t> </w:t>
      </w:r>
      <w:r>
        <w:t xml:space="preserve">novembre 2018 et </w:t>
      </w:r>
      <w:hyperlink r:id="rId24" w:history="1">
        <w:r>
          <w:rPr>
            <w:rStyle w:val="Lienhypertexte"/>
          </w:rPr>
          <w:t>15/24</w:t>
        </w:r>
      </w:hyperlink>
      <w:r>
        <w:t xml:space="preserve"> et </w:t>
      </w:r>
      <w:hyperlink r:id="rId25" w:history="1">
        <w:r>
          <w:rPr>
            <w:rStyle w:val="Lienhypertexte"/>
          </w:rPr>
          <w:t>15/30</w:t>
        </w:r>
      </w:hyperlink>
      <w:r>
        <w:t xml:space="preserve"> du 19</w:t>
      </w:r>
      <w:r w:rsidR="009206BA">
        <w:t> </w:t>
      </w:r>
      <w:r>
        <w:t>décembre 2022 de la Conférence des Parties à la Convention sur la diversité biologique</w:t>
      </w:r>
      <w:r w:rsidRPr="007E5D62">
        <w:rPr>
          <w:rStyle w:val="Appelnotedebasdep"/>
          <w:kern w:val="22"/>
          <w:lang w:val="en-GB"/>
        </w:rPr>
        <w:footnoteReference w:id="2"/>
      </w:r>
      <w:r>
        <w:t xml:space="preserve"> et, </w:t>
      </w:r>
      <w:r w:rsidR="00F54876" w:rsidRPr="00F54876">
        <w:t xml:space="preserve">en particulier, la menace essentielle que font peser les changements climatiques sur la biodiversité et le rôle de celle-ci en matière d'adaptation et d'atténuation ainsi que de réduction des risques de catastrophe, tout en soulignant l'importance de </w:t>
      </w:r>
      <w:r w:rsidR="00420A9C">
        <w:t>prendre en</w:t>
      </w:r>
      <w:r w:rsidR="00F54876" w:rsidRPr="00F54876">
        <w:t xml:space="preserve"> </w:t>
      </w:r>
      <w:r w:rsidR="00420A9C">
        <w:t>considération</w:t>
      </w:r>
      <w:r w:rsidR="00F54876" w:rsidRPr="00F54876">
        <w:t xml:space="preserve"> </w:t>
      </w:r>
      <w:r w:rsidR="00420A9C">
        <w:t>l</w:t>
      </w:r>
      <w:r w:rsidR="00F54876" w:rsidRPr="00F54876">
        <w:t>es changements climatiques au-delà des cibles 8 et 11 du Cadre mondial de la biodiversité de Kunming-Montréal</w:t>
      </w:r>
      <w:r w:rsidRPr="007E5D62">
        <w:rPr>
          <w:rStyle w:val="Appelnotedebasdep"/>
          <w:kern w:val="22"/>
          <w:lang w:val="en-GB"/>
        </w:rPr>
        <w:footnoteReference w:id="3"/>
      </w:r>
      <w:r>
        <w:t xml:space="preserve"> </w:t>
      </w:r>
      <w:r w:rsidR="00F54876" w:rsidRPr="00F54876">
        <w:t>dans la mise en œuvre de celui-ci</w:t>
      </w:r>
      <w:r w:rsidR="00616D03">
        <w:t>,</w:t>
      </w:r>
    </w:p>
    <w:p w14:paraId="4EF958F2" w14:textId="6442B685" w:rsidR="001651D6" w:rsidRPr="007E5D62" w:rsidRDefault="001651D6" w:rsidP="00C72F2E">
      <w:pPr>
        <w:pStyle w:val="Para1"/>
        <w:numPr>
          <w:ilvl w:val="0"/>
          <w:numId w:val="0"/>
        </w:numPr>
        <w:suppressLineNumbers/>
        <w:tabs>
          <w:tab w:val="clear" w:pos="1134"/>
        </w:tabs>
        <w:suppressAutoHyphens/>
        <w:kinsoku w:val="0"/>
        <w:overflowPunct w:val="0"/>
        <w:autoSpaceDE w:val="0"/>
        <w:autoSpaceDN w:val="0"/>
        <w:adjustRightInd w:val="0"/>
        <w:snapToGrid w:val="0"/>
        <w:ind w:left="540" w:firstLine="567"/>
      </w:pPr>
      <w:r>
        <w:rPr>
          <w:i/>
          <w:iCs/>
          <w:snapToGrid w:val="0"/>
        </w:rPr>
        <w:t xml:space="preserve">Reconnaissant </w:t>
      </w:r>
      <w:r>
        <w:rPr>
          <w:snapToGrid w:val="0"/>
        </w:rPr>
        <w:t>que l</w:t>
      </w:r>
      <w:r w:rsidR="002C0322">
        <w:rPr>
          <w:snapToGrid w:val="0"/>
        </w:rPr>
        <w:t>’</w:t>
      </w:r>
      <w:r>
        <w:rPr>
          <w:snapToGrid w:val="0"/>
        </w:rPr>
        <w:t xml:space="preserve">appauvrissement de la biodiversité, les changements climatiques, </w:t>
      </w:r>
      <w:r>
        <w:t>l</w:t>
      </w:r>
      <w:r w:rsidR="002C0322">
        <w:t>’</w:t>
      </w:r>
      <w:r>
        <w:t xml:space="preserve">acidification des océans, </w:t>
      </w:r>
      <w:r>
        <w:rPr>
          <w:snapToGrid w:val="0"/>
        </w:rPr>
        <w:t>la désertification</w:t>
      </w:r>
      <w:r>
        <w:t>,</w:t>
      </w:r>
      <w:r>
        <w:rPr>
          <w:snapToGrid w:val="0"/>
        </w:rPr>
        <w:t xml:space="preserve"> la dégradation des terres</w:t>
      </w:r>
      <w:r>
        <w:t>, les espèces exotiques envahissantes et la pollution, entre autres,</w:t>
      </w:r>
      <w:r>
        <w:rPr>
          <w:snapToGrid w:val="0"/>
        </w:rPr>
        <w:t xml:space="preserve"> sont </w:t>
      </w:r>
      <w:r w:rsidR="00157B09">
        <w:rPr>
          <w:snapToGrid w:val="0"/>
        </w:rPr>
        <w:t xml:space="preserve">des questions </w:t>
      </w:r>
      <w:r w:rsidR="00157B09">
        <w:t>interdépendantes</w:t>
      </w:r>
      <w:r>
        <w:rPr>
          <w:snapToGrid w:val="0"/>
        </w:rPr>
        <w:t xml:space="preserve"> </w:t>
      </w:r>
      <w:r w:rsidR="00F54876">
        <w:rPr>
          <w:snapToGrid w:val="0"/>
        </w:rPr>
        <w:t>et</w:t>
      </w:r>
      <w:r>
        <w:rPr>
          <w:snapToGrid w:val="0"/>
        </w:rPr>
        <w:t xml:space="preserve"> </w:t>
      </w:r>
      <w:r w:rsidR="00F54876">
        <w:rPr>
          <w:snapToGrid w:val="0"/>
        </w:rPr>
        <w:t xml:space="preserve">que celles-ci </w:t>
      </w:r>
      <w:r>
        <w:t xml:space="preserve">doivent être </w:t>
      </w:r>
      <w:r>
        <w:rPr>
          <w:snapToGrid w:val="0"/>
        </w:rPr>
        <w:t>traitées d</w:t>
      </w:r>
      <w:r w:rsidR="002C0322">
        <w:rPr>
          <w:snapToGrid w:val="0"/>
        </w:rPr>
        <w:t>’</w:t>
      </w:r>
      <w:r>
        <w:rPr>
          <w:snapToGrid w:val="0"/>
        </w:rPr>
        <w:t xml:space="preserve">urgence et de manière </w:t>
      </w:r>
      <w:r>
        <w:t>cohérente</w:t>
      </w:r>
      <w:r>
        <w:rPr>
          <w:snapToGrid w:val="0"/>
        </w:rPr>
        <w:t xml:space="preserve"> </w:t>
      </w:r>
      <w:r>
        <w:t xml:space="preserve">et équilibrée </w:t>
      </w:r>
      <w:r>
        <w:rPr>
          <w:snapToGrid w:val="0"/>
        </w:rPr>
        <w:t xml:space="preserve">pour atteindre les objectifs de la </w:t>
      </w:r>
      <w:r>
        <w:t xml:space="preserve">Convention et </w:t>
      </w:r>
      <w:r>
        <w:rPr>
          <w:snapToGrid w:val="0"/>
        </w:rPr>
        <w:t xml:space="preserve">les cibles et objectifs du </w:t>
      </w:r>
      <w:r>
        <w:t>Cadre</w:t>
      </w:r>
      <w:r w:rsidR="00F54876">
        <w:t>,</w:t>
      </w:r>
    </w:p>
    <w:p w14:paraId="4ED61EBE" w14:textId="34334AF9" w:rsidR="001651D6" w:rsidRPr="007E5D62" w:rsidRDefault="001651D6" w:rsidP="001651D6">
      <w:pPr>
        <w:pStyle w:val="Para1"/>
        <w:numPr>
          <w:ilvl w:val="0"/>
          <w:numId w:val="0"/>
        </w:numPr>
        <w:suppressLineNumbers/>
        <w:tabs>
          <w:tab w:val="clear" w:pos="1134"/>
        </w:tabs>
        <w:suppressAutoHyphens/>
        <w:kinsoku w:val="0"/>
        <w:overflowPunct w:val="0"/>
        <w:autoSpaceDE w:val="0"/>
        <w:autoSpaceDN w:val="0"/>
        <w:adjustRightInd w:val="0"/>
        <w:snapToGrid w:val="0"/>
        <w:ind w:left="567" w:firstLine="567"/>
      </w:pPr>
      <w:r>
        <w:t xml:space="preserve"> </w:t>
      </w:r>
      <w:r w:rsidR="00C253E5" w:rsidRPr="00B5646F">
        <w:rPr>
          <w:i/>
          <w:iCs/>
        </w:rPr>
        <w:t>Reconnaissant</w:t>
      </w:r>
      <w:r w:rsidR="00C253E5" w:rsidRPr="00C253E5">
        <w:t xml:space="preserve"> </w:t>
      </w:r>
      <w:r>
        <w:t xml:space="preserve">le droit </w:t>
      </w:r>
      <w:r w:rsidR="00420A9C">
        <w:t>humain</w:t>
      </w:r>
      <w:r>
        <w:t xml:space="preserve"> à un environnement propre, sain et durable</w:t>
      </w:r>
      <w:r w:rsidR="00157B09" w:rsidRPr="00C05CCC">
        <w:rPr>
          <w:rStyle w:val="Appelnotedebasdep"/>
        </w:rPr>
        <w:footnoteReference w:id="4"/>
      </w:r>
      <w:r w:rsidR="00157B09">
        <w:t>,</w:t>
      </w:r>
    </w:p>
    <w:p w14:paraId="07664F45" w14:textId="1CAE5100" w:rsidR="001651D6" w:rsidRPr="00F926B2" w:rsidRDefault="001651D6" w:rsidP="00BF2F38">
      <w:pPr>
        <w:spacing w:before="120" w:after="120"/>
        <w:ind w:left="567"/>
        <w:rPr>
          <w:rFonts w:asciiTheme="majorBidi" w:hAnsiTheme="majorBidi" w:cstheme="majorBidi"/>
        </w:rPr>
      </w:pPr>
      <w:r>
        <w:rPr>
          <w:rFonts w:asciiTheme="majorBidi" w:hAnsiTheme="majorBidi"/>
        </w:rPr>
        <w:tab/>
      </w:r>
      <w:r>
        <w:rPr>
          <w:rFonts w:asciiTheme="majorBidi" w:hAnsiTheme="majorBidi"/>
          <w:i/>
          <w:iCs/>
        </w:rPr>
        <w:t>Rappelant également</w:t>
      </w:r>
      <w:r>
        <w:rPr>
          <w:rFonts w:asciiTheme="majorBidi" w:hAnsiTheme="majorBidi"/>
        </w:rPr>
        <w:t xml:space="preserve"> la résolution 78/155 de l</w:t>
      </w:r>
      <w:r w:rsidR="002C0322">
        <w:rPr>
          <w:rFonts w:asciiTheme="majorBidi" w:hAnsiTheme="majorBidi"/>
        </w:rPr>
        <w:t>’</w:t>
      </w:r>
      <w:r>
        <w:rPr>
          <w:rFonts w:asciiTheme="majorBidi" w:hAnsiTheme="majorBidi"/>
        </w:rPr>
        <w:t>Assemblée générale du 19 décembre 2023, dans laquelle les Parties à la Convention ont été instamment priées de veiller à la cohérence et à la complémentarité du Cadre avec d</w:t>
      </w:r>
      <w:r w:rsidR="002C0322">
        <w:rPr>
          <w:rFonts w:asciiTheme="majorBidi" w:hAnsiTheme="majorBidi"/>
        </w:rPr>
        <w:t>’</w:t>
      </w:r>
      <w:r>
        <w:rPr>
          <w:rFonts w:asciiTheme="majorBidi" w:hAnsiTheme="majorBidi"/>
        </w:rPr>
        <w:t xml:space="preserve">autres processus internationaux existants ou à venir, en particulier </w:t>
      </w:r>
      <w:r w:rsidR="00157B09">
        <w:rPr>
          <w:rFonts w:asciiTheme="majorBidi" w:hAnsiTheme="majorBidi"/>
        </w:rPr>
        <w:t xml:space="preserve">le </w:t>
      </w:r>
      <w:r w:rsidR="00157B09" w:rsidRPr="00157B09">
        <w:rPr>
          <w:rFonts w:asciiTheme="majorBidi" w:hAnsiTheme="majorBidi"/>
        </w:rPr>
        <w:t>Programme de développement durable à l'horizon 2030</w:t>
      </w:r>
      <w:r w:rsidR="00157B09">
        <w:rPr>
          <w:rStyle w:val="Appelnotedebasdep"/>
          <w:rFonts w:asciiTheme="majorBidi" w:hAnsiTheme="majorBidi" w:cstheme="majorBidi"/>
        </w:rPr>
        <w:footnoteReference w:id="5"/>
      </w:r>
      <w:r w:rsidR="00C253E5">
        <w:rPr>
          <w:rFonts w:asciiTheme="majorBidi" w:hAnsiTheme="majorBidi"/>
        </w:rPr>
        <w:t xml:space="preserve">, </w:t>
      </w:r>
      <w:r>
        <w:rPr>
          <w:rFonts w:asciiTheme="majorBidi" w:hAnsiTheme="majorBidi"/>
        </w:rPr>
        <w:t>l</w:t>
      </w:r>
      <w:r w:rsidR="002C0322">
        <w:rPr>
          <w:rFonts w:asciiTheme="majorBidi" w:hAnsiTheme="majorBidi"/>
        </w:rPr>
        <w:t>’</w:t>
      </w:r>
      <w:r>
        <w:rPr>
          <w:rFonts w:asciiTheme="majorBidi" w:hAnsiTheme="majorBidi"/>
        </w:rPr>
        <w:t>Accord de Paris</w:t>
      </w:r>
      <w:r w:rsidR="00157B09" w:rsidRPr="00250152">
        <w:rPr>
          <w:rStyle w:val="Appelnotedebasdep"/>
          <w:rFonts w:asciiTheme="majorBidi" w:hAnsiTheme="majorBidi" w:cstheme="majorBidi"/>
        </w:rPr>
        <w:footnoteReference w:id="6"/>
      </w:r>
      <w:r w:rsidR="00157B09" w:rsidRPr="00250152">
        <w:rPr>
          <w:rFonts w:asciiTheme="majorBidi" w:hAnsiTheme="majorBidi" w:cstheme="majorBidi"/>
        </w:rPr>
        <w:t xml:space="preserve"> </w:t>
      </w:r>
      <w:r>
        <w:rPr>
          <w:rFonts w:asciiTheme="majorBidi" w:hAnsiTheme="majorBidi"/>
        </w:rPr>
        <w:t>et d</w:t>
      </w:r>
      <w:r w:rsidR="002C0322">
        <w:rPr>
          <w:rFonts w:asciiTheme="majorBidi" w:hAnsiTheme="majorBidi"/>
        </w:rPr>
        <w:t>’</w:t>
      </w:r>
      <w:r>
        <w:rPr>
          <w:rFonts w:asciiTheme="majorBidi" w:hAnsiTheme="majorBidi"/>
        </w:rPr>
        <w:t>autres processus, cadres et stratégies connexes,</w:t>
      </w:r>
    </w:p>
    <w:p w14:paraId="7AFBC149" w14:textId="2D58E57D" w:rsidR="001651D6" w:rsidRPr="00F926B2" w:rsidRDefault="001651D6" w:rsidP="00BF2F38">
      <w:pPr>
        <w:spacing w:before="120" w:after="120"/>
        <w:ind w:left="567"/>
        <w:rPr>
          <w:rFonts w:asciiTheme="majorBidi" w:hAnsiTheme="majorBidi" w:cstheme="majorBidi"/>
        </w:rPr>
      </w:pPr>
      <w:r>
        <w:rPr>
          <w:rFonts w:asciiTheme="majorBidi" w:hAnsiTheme="majorBidi"/>
        </w:rPr>
        <w:lastRenderedPageBreak/>
        <w:tab/>
      </w:r>
      <w:r>
        <w:rPr>
          <w:rFonts w:asciiTheme="majorBidi" w:hAnsiTheme="majorBidi"/>
          <w:i/>
          <w:iCs/>
        </w:rPr>
        <w:t xml:space="preserve">Prenant acte </w:t>
      </w:r>
      <w:r>
        <w:rPr>
          <w:rFonts w:asciiTheme="majorBidi" w:hAnsiTheme="majorBidi"/>
        </w:rPr>
        <w:t>de la déclaration commune sur le climat, la nature et les populations, publiée en marge de la vingt-huitième session de la Conférence des Parties à la Convention-cadre des Nations Unies sur les changements climatiques</w:t>
      </w:r>
      <w:r w:rsidR="00626E07">
        <w:rPr>
          <w:rStyle w:val="Appelnotedebasdep"/>
          <w:rFonts w:asciiTheme="majorBidi" w:hAnsiTheme="majorBidi" w:cstheme="majorBidi"/>
        </w:rPr>
        <w:footnoteReference w:id="7"/>
      </w:r>
      <w:r>
        <w:rPr>
          <w:rFonts w:asciiTheme="majorBidi" w:hAnsiTheme="majorBidi"/>
        </w:rPr>
        <w:t>, dans laquelle est préconisée une action accélérée et intégrée en faveur du climat, de la nature et du développement durable,</w:t>
      </w:r>
    </w:p>
    <w:p w14:paraId="273308B4" w14:textId="1A1FF916" w:rsidR="001651D6" w:rsidRPr="00F926B2" w:rsidRDefault="001651D6" w:rsidP="00BF2F38">
      <w:pPr>
        <w:spacing w:before="120" w:after="120"/>
        <w:ind w:left="567"/>
        <w:rPr>
          <w:snapToGrid w:val="0"/>
          <w:kern w:val="22"/>
        </w:rPr>
      </w:pPr>
      <w:r>
        <w:rPr>
          <w:rFonts w:asciiTheme="majorBidi" w:hAnsiTheme="majorBidi"/>
        </w:rPr>
        <w:tab/>
      </w:r>
      <w:r>
        <w:rPr>
          <w:rFonts w:asciiTheme="majorBidi" w:hAnsiTheme="majorBidi"/>
          <w:i/>
          <w:iCs/>
        </w:rPr>
        <w:t xml:space="preserve">Rappelant </w:t>
      </w:r>
      <w:r>
        <w:rPr>
          <w:rFonts w:asciiTheme="majorBidi" w:hAnsiTheme="majorBidi"/>
        </w:rPr>
        <w:t>la résolution 6/4 de l</w:t>
      </w:r>
      <w:r w:rsidR="002C0322">
        <w:rPr>
          <w:rFonts w:asciiTheme="majorBidi" w:hAnsiTheme="majorBidi"/>
        </w:rPr>
        <w:t>’</w:t>
      </w:r>
      <w:r>
        <w:rPr>
          <w:rFonts w:asciiTheme="majorBidi" w:hAnsiTheme="majorBidi"/>
        </w:rPr>
        <w:t>Assemblée des Nations Unies pour l</w:t>
      </w:r>
      <w:r w:rsidR="002C0322">
        <w:rPr>
          <w:rFonts w:asciiTheme="majorBidi" w:hAnsiTheme="majorBidi"/>
        </w:rPr>
        <w:t>’</w:t>
      </w:r>
      <w:r>
        <w:rPr>
          <w:rFonts w:asciiTheme="majorBidi" w:hAnsiTheme="majorBidi"/>
        </w:rPr>
        <w:t>environnement du 1</w:t>
      </w:r>
      <w:r>
        <w:rPr>
          <w:rFonts w:asciiTheme="majorBidi" w:hAnsiTheme="majorBidi"/>
          <w:vertAlign w:val="superscript"/>
        </w:rPr>
        <w:t>er</w:t>
      </w:r>
      <w:r>
        <w:rPr>
          <w:rFonts w:asciiTheme="majorBidi" w:hAnsiTheme="majorBidi"/>
        </w:rPr>
        <w:t xml:space="preserve"> mars 2024, intitulée « </w:t>
      </w:r>
      <w:r w:rsidR="00420A9C" w:rsidRPr="00420A9C">
        <w:rPr>
          <w:rFonts w:asciiTheme="majorBidi" w:hAnsiTheme="majorBidi"/>
        </w:rPr>
        <w:t>Promotion des synergies, de la coopération ou de la collaboration pour la mise en œuvre au niveau national des accords multilatéraux sur l’environnement et d’autres instruments relatifs à l’environnement</w:t>
      </w:r>
      <w:r w:rsidR="00420A9C">
        <w:rPr>
          <w:rFonts w:asciiTheme="majorBidi" w:hAnsiTheme="majorBidi"/>
        </w:rPr>
        <w:t xml:space="preserve"> </w:t>
      </w:r>
      <w:r>
        <w:rPr>
          <w:rFonts w:asciiTheme="majorBidi" w:hAnsiTheme="majorBidi"/>
        </w:rPr>
        <w:t>»,</w:t>
      </w:r>
    </w:p>
    <w:p w14:paraId="6BE1AC8B" w14:textId="1A16E4D7" w:rsidR="001651D6" w:rsidRPr="007E5D62" w:rsidRDefault="001651D6" w:rsidP="00BF2F38">
      <w:pPr>
        <w:pStyle w:val="Para1"/>
        <w:numPr>
          <w:ilvl w:val="0"/>
          <w:numId w:val="0"/>
        </w:numPr>
        <w:suppressLineNumbers/>
        <w:tabs>
          <w:tab w:val="clear" w:pos="1134"/>
        </w:tabs>
        <w:suppressAutoHyphens/>
        <w:kinsoku w:val="0"/>
        <w:overflowPunct w:val="0"/>
        <w:autoSpaceDE w:val="0"/>
        <w:autoSpaceDN w:val="0"/>
        <w:adjustRightInd w:val="0"/>
        <w:snapToGrid w:val="0"/>
        <w:ind w:left="567" w:firstLine="567"/>
        <w:rPr>
          <w:rFonts w:asciiTheme="majorBidi" w:hAnsiTheme="majorBidi" w:cstheme="majorBidi"/>
          <w:snapToGrid w:val="0"/>
          <w:kern w:val="22"/>
        </w:rPr>
      </w:pPr>
      <w:r>
        <w:rPr>
          <w:rFonts w:asciiTheme="majorBidi" w:hAnsiTheme="majorBidi"/>
          <w:i/>
          <w:iCs/>
          <w:snapToGrid w:val="0"/>
        </w:rPr>
        <w:t xml:space="preserve">Soulignant </w:t>
      </w:r>
      <w:r>
        <w:rPr>
          <w:rFonts w:asciiTheme="majorBidi" w:hAnsiTheme="majorBidi"/>
          <w:snapToGrid w:val="0"/>
        </w:rPr>
        <w:t xml:space="preserve">que la réalisation des objectifs </w:t>
      </w:r>
      <w:r w:rsidR="00ED6693" w:rsidRPr="00ED6693">
        <w:rPr>
          <w:rFonts w:asciiTheme="majorBidi" w:hAnsiTheme="majorBidi"/>
          <w:snapToGrid w:val="0"/>
        </w:rPr>
        <w:t xml:space="preserve">de la </w:t>
      </w:r>
      <w:r w:rsidR="00420A9C">
        <w:rPr>
          <w:rFonts w:asciiTheme="majorBidi" w:hAnsiTheme="majorBidi"/>
          <w:snapToGrid w:val="0"/>
        </w:rPr>
        <w:t>C</w:t>
      </w:r>
      <w:r w:rsidR="00ED6693" w:rsidRPr="00ED6693">
        <w:rPr>
          <w:rFonts w:asciiTheme="majorBidi" w:hAnsiTheme="majorBidi"/>
          <w:snapToGrid w:val="0"/>
        </w:rPr>
        <w:t xml:space="preserve">onvention-cadre des Nations </w:t>
      </w:r>
      <w:r w:rsidR="00420A9C">
        <w:rPr>
          <w:rFonts w:asciiTheme="majorBidi" w:hAnsiTheme="majorBidi"/>
          <w:snapToGrid w:val="0"/>
        </w:rPr>
        <w:t>U</w:t>
      </w:r>
      <w:r w:rsidR="00ED6693" w:rsidRPr="00ED6693">
        <w:rPr>
          <w:rFonts w:asciiTheme="majorBidi" w:hAnsiTheme="majorBidi"/>
          <w:snapToGrid w:val="0"/>
        </w:rPr>
        <w:t xml:space="preserve">nies sur les changements climatiques et des </w:t>
      </w:r>
      <w:r w:rsidR="00ED6693">
        <w:rPr>
          <w:rFonts w:asciiTheme="majorBidi" w:hAnsiTheme="majorBidi"/>
          <w:snapToGrid w:val="0"/>
        </w:rPr>
        <w:t xml:space="preserve">objectifs </w:t>
      </w:r>
      <w:r>
        <w:rPr>
          <w:rFonts w:asciiTheme="majorBidi" w:hAnsiTheme="majorBidi"/>
          <w:snapToGrid w:val="0"/>
        </w:rPr>
        <w:t>de l</w:t>
      </w:r>
      <w:r w:rsidR="002C0322">
        <w:rPr>
          <w:rFonts w:asciiTheme="majorBidi" w:hAnsiTheme="majorBidi"/>
          <w:snapToGrid w:val="0"/>
        </w:rPr>
        <w:t>’</w:t>
      </w:r>
      <w:r>
        <w:rPr>
          <w:rFonts w:asciiTheme="majorBidi" w:hAnsiTheme="majorBidi"/>
          <w:snapToGrid w:val="0"/>
        </w:rPr>
        <w:t>Accord de Paris</w:t>
      </w:r>
      <w:r w:rsidR="00626E07" w:rsidRPr="00250152">
        <w:rPr>
          <w:rFonts w:eastAsiaTheme="minorEastAsia"/>
          <w:snapToGrid w:val="0"/>
          <w:vertAlign w:val="superscript"/>
          <w:lang w:eastAsia="zh-CN"/>
        </w:rPr>
        <w:t>5</w:t>
      </w:r>
      <w:r>
        <w:rPr>
          <w:rFonts w:asciiTheme="majorBidi" w:hAnsiTheme="majorBidi"/>
          <w:snapToGrid w:val="0"/>
        </w:rPr>
        <w:t xml:space="preserve"> est éminemment cruciale pour faire cesser la perte de biodiversité et la dégradation des terres et des océans et pour concrétiser la vision 2050 d</w:t>
      </w:r>
      <w:r w:rsidR="002C0322">
        <w:rPr>
          <w:rFonts w:asciiTheme="majorBidi" w:hAnsiTheme="majorBidi"/>
          <w:snapToGrid w:val="0"/>
        </w:rPr>
        <w:t>’</w:t>
      </w:r>
      <w:r>
        <w:rPr>
          <w:rFonts w:asciiTheme="majorBidi" w:hAnsiTheme="majorBidi"/>
          <w:snapToGrid w:val="0"/>
        </w:rPr>
        <w:t>une vie en harmonie avec la nature, et qu</w:t>
      </w:r>
      <w:r w:rsidR="002C0322">
        <w:rPr>
          <w:rFonts w:asciiTheme="majorBidi" w:hAnsiTheme="majorBidi"/>
          <w:snapToGrid w:val="0"/>
        </w:rPr>
        <w:t>’</w:t>
      </w:r>
      <w:r>
        <w:rPr>
          <w:rFonts w:asciiTheme="majorBidi" w:hAnsiTheme="majorBidi"/>
          <w:snapToGrid w:val="0"/>
        </w:rPr>
        <w:t>elle passera par un changement transformateur,</w:t>
      </w:r>
    </w:p>
    <w:p w14:paraId="4BA53174" w14:textId="0F85E098" w:rsidR="001651D6" w:rsidRPr="008C367A" w:rsidRDefault="001651D6" w:rsidP="001651D6">
      <w:pPr>
        <w:pStyle w:val="Para1"/>
        <w:numPr>
          <w:ilvl w:val="0"/>
          <w:numId w:val="0"/>
        </w:numPr>
        <w:suppressLineNumbers/>
        <w:tabs>
          <w:tab w:val="clear" w:pos="1134"/>
        </w:tabs>
        <w:suppressAutoHyphens/>
        <w:kinsoku w:val="0"/>
        <w:overflowPunct w:val="0"/>
        <w:autoSpaceDE w:val="0"/>
        <w:autoSpaceDN w:val="0"/>
        <w:adjustRightInd w:val="0"/>
        <w:snapToGrid w:val="0"/>
        <w:ind w:left="567" w:firstLine="567"/>
        <w:rPr>
          <w:rFonts w:asciiTheme="majorBidi" w:hAnsiTheme="majorBidi"/>
          <w:snapToGrid w:val="0"/>
        </w:rPr>
      </w:pPr>
      <w:r>
        <w:rPr>
          <w:i/>
          <w:iCs/>
        </w:rPr>
        <w:t xml:space="preserve">Soulignant également </w:t>
      </w:r>
      <w:r>
        <w:t>que la réalisation du Cadre est étroitement liée à une action urgente et efficace contre les changements climatiques, conformément à l</w:t>
      </w:r>
      <w:r w:rsidR="002C0322">
        <w:t>’</w:t>
      </w:r>
      <w:r>
        <w:t>objectif de la Convention-cadre des Nations Unies sur les changements climatiques et aux objectifs de l</w:t>
      </w:r>
      <w:r w:rsidR="002C0322">
        <w:t>’</w:t>
      </w:r>
      <w:r>
        <w:t>Accord de Paris</w:t>
      </w:r>
      <w:r w:rsidR="00626E07" w:rsidRPr="00250152">
        <w:rPr>
          <w:vertAlign w:val="superscript"/>
        </w:rPr>
        <w:t>5</w:t>
      </w:r>
      <w:r>
        <w:t xml:space="preserve">, et vice versa, </w:t>
      </w:r>
      <w:r w:rsidR="00ED6693" w:rsidRPr="00C14820">
        <w:t>et en reconnaissant que maintenir les objectifs de température fixés par l'Accord de Paris</w:t>
      </w:r>
      <w:r w:rsidR="00626E07" w:rsidRPr="00250152">
        <w:rPr>
          <w:vertAlign w:val="superscript"/>
        </w:rPr>
        <w:t>5</w:t>
      </w:r>
      <w:r w:rsidR="00C14820" w:rsidRPr="00C14820">
        <w:rPr>
          <w:rFonts w:asciiTheme="majorBidi" w:hAnsiTheme="majorBidi" w:cstheme="majorBidi"/>
          <w:lang w:val="fr-FR"/>
        </w:rPr>
        <w:t xml:space="preserve"> </w:t>
      </w:r>
      <w:r w:rsidR="00ED6693" w:rsidRPr="00C14820">
        <w:t xml:space="preserve">à portée de main permet de réduire les risques et les impacts </w:t>
      </w:r>
      <w:r w:rsidR="00ED6693" w:rsidRPr="008C367A">
        <w:rPr>
          <w:rFonts w:asciiTheme="majorBidi" w:hAnsiTheme="majorBidi"/>
          <w:snapToGrid w:val="0"/>
        </w:rPr>
        <w:t>sur la biodiversité, lesquels seraient bien moins importants avec une hausse de température limitée à 1,5 ºC plutôt qu'à 2 ºC,</w:t>
      </w:r>
    </w:p>
    <w:p w14:paraId="1B670AC8" w14:textId="1F81A982" w:rsidR="001651D6" w:rsidRPr="007E5D62" w:rsidRDefault="001651D6" w:rsidP="001651D6">
      <w:pPr>
        <w:pStyle w:val="Para1"/>
        <w:numPr>
          <w:ilvl w:val="0"/>
          <w:numId w:val="0"/>
        </w:numPr>
        <w:suppressLineNumbers/>
        <w:tabs>
          <w:tab w:val="clear" w:pos="1134"/>
        </w:tabs>
        <w:suppressAutoHyphens/>
        <w:kinsoku w:val="0"/>
        <w:overflowPunct w:val="0"/>
        <w:autoSpaceDE w:val="0"/>
        <w:autoSpaceDN w:val="0"/>
        <w:adjustRightInd w:val="0"/>
        <w:snapToGrid w:val="0"/>
        <w:ind w:left="567" w:firstLine="567"/>
        <w:rPr>
          <w:rFonts w:asciiTheme="majorBidi" w:eastAsiaTheme="minorEastAsia" w:hAnsiTheme="majorBidi" w:cstheme="majorBidi"/>
          <w14:ligatures w14:val="standardContextual"/>
        </w:rPr>
      </w:pPr>
      <w:r>
        <w:rPr>
          <w:i/>
          <w:iCs/>
          <w:snapToGrid w:val="0"/>
        </w:rPr>
        <w:t xml:space="preserve">Rappelant </w:t>
      </w:r>
      <w:r>
        <w:rPr>
          <w:snapToGrid w:val="0"/>
        </w:rPr>
        <w:t>la décision </w:t>
      </w:r>
      <w:hyperlink r:id="rId26" w:history="1">
        <w:r w:rsidRPr="00626E07">
          <w:rPr>
            <w:rStyle w:val="Lienhypertexte"/>
            <w:snapToGrid w:val="0"/>
          </w:rPr>
          <w:t>15/13</w:t>
        </w:r>
      </w:hyperlink>
      <w:r>
        <w:rPr>
          <w:snapToGrid w:val="0"/>
        </w:rPr>
        <w:t xml:space="preserve"> du 19 décembre 2022, dans laquelle la Conférence des Parties prend note de la </w:t>
      </w:r>
      <w:r>
        <w:t>résolution 5/5 de l</w:t>
      </w:r>
      <w:r w:rsidR="002C0322">
        <w:t>’</w:t>
      </w:r>
      <w:r>
        <w:t>Assemblée des Nations Unies pour l</w:t>
      </w:r>
      <w:r w:rsidR="002C0322">
        <w:t>’</w:t>
      </w:r>
      <w:r>
        <w:t>environnement du 2 mars 2022 sur les solutions fondées sur la nature à l</w:t>
      </w:r>
      <w:r w:rsidR="002C0322">
        <w:t>’</w:t>
      </w:r>
      <w:r>
        <w:t>appui du développement durable, dans laquelle l</w:t>
      </w:r>
      <w:r w:rsidR="002C0322">
        <w:t>’</w:t>
      </w:r>
      <w:r>
        <w:t xml:space="preserve">Assemblée </w:t>
      </w:r>
      <w:r>
        <w:rPr>
          <w:snapToGrid w:val="0"/>
        </w:rPr>
        <w:t>reconnait que</w:t>
      </w:r>
      <w:r>
        <w:t xml:space="preserve"> les solutions basées sur la nature pourraient contribuer de façon considérable </w:t>
      </w:r>
      <w:r w:rsidR="00BF55F2">
        <w:t>à l’action climatique</w:t>
      </w:r>
      <w:r>
        <w:t>, tout en signalant la nécessité d</w:t>
      </w:r>
      <w:r w:rsidR="002C0322">
        <w:t>’</w:t>
      </w:r>
      <w:r>
        <w:t>analyser leurs effets, y compris à long terme, et en reconnaissant qu</w:t>
      </w:r>
      <w:r w:rsidR="002C0322">
        <w:t>’</w:t>
      </w:r>
      <w:r>
        <w:t xml:space="preserve">elles ne </w:t>
      </w:r>
      <w:r w:rsidR="00BF55F2" w:rsidRPr="00BF55F2">
        <w:t>sauraient se substituer</w:t>
      </w:r>
      <w:r w:rsidR="00BF55F2">
        <w:t xml:space="preserve"> à une</w:t>
      </w:r>
      <w:r>
        <w:t xml:space="preserve"> réduction rapide, profonde et soutenue des émissions gaz à effet de serre, </w:t>
      </w:r>
      <w:r w:rsidR="00BF55F2" w:rsidRPr="00BF55F2">
        <w:rPr>
          <w:snapToGrid w:val="0"/>
        </w:rPr>
        <w:t>mais pourraient favoriser les mesures d'adaptation et de résilience face aux changements climatiques ainsi que l'atténuation de ceux-ci et de leurs effets.</w:t>
      </w:r>
      <w:r>
        <w:rPr>
          <w:rFonts w:asciiTheme="majorBidi" w:hAnsiTheme="majorBidi"/>
        </w:rPr>
        <w:t>,</w:t>
      </w:r>
    </w:p>
    <w:p w14:paraId="5C3AD653" w14:textId="0D199179" w:rsidR="001651D6" w:rsidRPr="00F926B2" w:rsidRDefault="001651D6" w:rsidP="001651D6">
      <w:pPr>
        <w:suppressLineNumbers/>
        <w:suppressAutoHyphens/>
        <w:kinsoku w:val="0"/>
        <w:overflowPunct w:val="0"/>
        <w:autoSpaceDE w:val="0"/>
        <w:autoSpaceDN w:val="0"/>
        <w:adjustRightInd w:val="0"/>
        <w:snapToGrid w:val="0"/>
        <w:spacing w:before="120" w:after="120"/>
        <w:ind w:left="567" w:firstLine="567"/>
        <w:rPr>
          <w:rFonts w:asciiTheme="majorBidi" w:hAnsiTheme="majorBidi" w:cstheme="majorBidi"/>
          <w:snapToGrid w:val="0"/>
          <w:kern w:val="22"/>
        </w:rPr>
      </w:pPr>
      <w:r>
        <w:rPr>
          <w:rFonts w:asciiTheme="majorBidi" w:hAnsiTheme="majorBidi"/>
          <w:i/>
          <w:iCs/>
          <w:snapToGrid w:val="0"/>
        </w:rPr>
        <w:t>Soulignant</w:t>
      </w:r>
      <w:r>
        <w:rPr>
          <w:rFonts w:asciiTheme="majorBidi" w:hAnsiTheme="majorBidi"/>
          <w:snapToGrid w:val="0"/>
        </w:rPr>
        <w:t xml:space="preserve"> que la biodiversité et l</w:t>
      </w:r>
      <w:r w:rsidR="002C0322">
        <w:rPr>
          <w:rFonts w:asciiTheme="majorBidi" w:hAnsiTheme="majorBidi"/>
          <w:snapToGrid w:val="0"/>
        </w:rPr>
        <w:t>’</w:t>
      </w:r>
      <w:r>
        <w:rPr>
          <w:rFonts w:asciiTheme="majorBidi" w:hAnsiTheme="majorBidi"/>
          <w:snapToGrid w:val="0"/>
        </w:rPr>
        <w:t>intégrité des écosystèmes contribuent de manière importante à la lutte contre les changements climatiques et leurs effets et que la conservation et la restauration de la biodiversité et des écosystèmes, y compris des populations animales, sont des moyens efficaces d</w:t>
      </w:r>
      <w:r w:rsidR="002C0322">
        <w:rPr>
          <w:rFonts w:asciiTheme="majorBidi" w:hAnsiTheme="majorBidi"/>
          <w:snapToGrid w:val="0"/>
        </w:rPr>
        <w:t>’</w:t>
      </w:r>
      <w:r>
        <w:rPr>
          <w:rFonts w:asciiTheme="majorBidi" w:hAnsiTheme="majorBidi"/>
          <w:snapToGrid w:val="0"/>
        </w:rPr>
        <w:t xml:space="preserve">atténuer </w:t>
      </w:r>
      <w:r w:rsidR="00BF55F2">
        <w:rPr>
          <w:rFonts w:asciiTheme="majorBidi" w:hAnsiTheme="majorBidi"/>
          <w:snapToGrid w:val="0"/>
        </w:rPr>
        <w:t>c</w:t>
      </w:r>
      <w:r>
        <w:rPr>
          <w:rFonts w:asciiTheme="majorBidi" w:hAnsiTheme="majorBidi"/>
          <w:snapToGrid w:val="0"/>
        </w:rPr>
        <w:t>es effets, de s</w:t>
      </w:r>
      <w:r w:rsidR="002C0322">
        <w:rPr>
          <w:rFonts w:asciiTheme="majorBidi" w:hAnsiTheme="majorBidi"/>
          <w:snapToGrid w:val="0"/>
        </w:rPr>
        <w:t>’</w:t>
      </w:r>
      <w:r>
        <w:rPr>
          <w:rFonts w:asciiTheme="majorBidi" w:hAnsiTheme="majorBidi"/>
          <w:snapToGrid w:val="0"/>
        </w:rPr>
        <w:t xml:space="preserve">y adapter et de réduire les risques de catastrophe, et constituent des mesures visant à réduire au minimum les effets des changements climatiques, en particulier </w:t>
      </w:r>
      <w:r w:rsidR="00626E07">
        <w:rPr>
          <w:rFonts w:asciiTheme="majorBidi" w:hAnsiTheme="majorBidi"/>
          <w:snapToGrid w:val="0"/>
        </w:rPr>
        <w:t>lorsque</w:t>
      </w:r>
      <w:r>
        <w:rPr>
          <w:rFonts w:asciiTheme="majorBidi" w:hAnsiTheme="majorBidi"/>
          <w:snapToGrid w:val="0"/>
        </w:rPr>
        <w:t xml:space="preserve"> les pratiques des peuples autochtones et communautés locales en matière de connaissances, de gouvernance et </w:t>
      </w:r>
      <w:r w:rsidR="00BF55F2">
        <w:rPr>
          <w:rFonts w:asciiTheme="majorBidi" w:hAnsiTheme="majorBidi"/>
          <w:snapToGrid w:val="0"/>
        </w:rPr>
        <w:t>de sauvegarde</w:t>
      </w:r>
      <w:r>
        <w:rPr>
          <w:rFonts w:asciiTheme="majorBidi" w:hAnsiTheme="majorBidi"/>
          <w:snapToGrid w:val="0"/>
        </w:rPr>
        <w:t xml:space="preserve"> sont prises en compte,</w:t>
      </w:r>
    </w:p>
    <w:p w14:paraId="583D055E" w14:textId="51FF622E" w:rsidR="001651D6" w:rsidRPr="007E5D62" w:rsidRDefault="001651D6" w:rsidP="001651D6">
      <w:pPr>
        <w:pStyle w:val="Para1"/>
        <w:numPr>
          <w:ilvl w:val="0"/>
          <w:numId w:val="0"/>
        </w:numPr>
        <w:suppressLineNumbers/>
        <w:tabs>
          <w:tab w:val="clear" w:pos="1134"/>
        </w:tabs>
        <w:suppressAutoHyphens/>
        <w:kinsoku w:val="0"/>
        <w:overflowPunct w:val="0"/>
        <w:autoSpaceDE w:val="0"/>
        <w:autoSpaceDN w:val="0"/>
        <w:adjustRightInd w:val="0"/>
        <w:snapToGrid w:val="0"/>
        <w:ind w:left="567" w:firstLine="567"/>
        <w:rPr>
          <w:snapToGrid w:val="0"/>
          <w:kern w:val="22"/>
        </w:rPr>
      </w:pPr>
      <w:r>
        <w:rPr>
          <w:i/>
          <w:snapToGrid w:val="0"/>
        </w:rPr>
        <w:t xml:space="preserve">Profondément préoccupée </w:t>
      </w:r>
      <w:r>
        <w:rPr>
          <w:snapToGrid w:val="0"/>
        </w:rPr>
        <w:t>par l</w:t>
      </w:r>
      <w:r w:rsidR="002C0322">
        <w:rPr>
          <w:snapToGrid w:val="0"/>
        </w:rPr>
        <w:t>’</w:t>
      </w:r>
      <w:r>
        <w:rPr>
          <w:snapToGrid w:val="0"/>
        </w:rPr>
        <w:t>intensification rapide des effets des changements climatiques, qui accentuent la perte de biodiversité et affaiblissent la fourniture de fonctions et de services écosystémiques cruciaux, renforcent les menaces qui pèsent déjà sur les espèces et peuvent pousser les populations vulnérables au-delà des limites de leur survie, augmentant ainsi le risque d</w:t>
      </w:r>
      <w:r w:rsidR="002C0322">
        <w:rPr>
          <w:snapToGrid w:val="0"/>
        </w:rPr>
        <w:t>’</w:t>
      </w:r>
      <w:r>
        <w:rPr>
          <w:snapToGrid w:val="0"/>
        </w:rPr>
        <w:t>extinction de ces espèces,</w:t>
      </w:r>
    </w:p>
    <w:p w14:paraId="3803D179" w14:textId="3937ADE4" w:rsidR="001651D6" w:rsidRPr="007E5D62" w:rsidRDefault="001651D6" w:rsidP="001651D6">
      <w:pPr>
        <w:pStyle w:val="Para1"/>
        <w:numPr>
          <w:ilvl w:val="0"/>
          <w:numId w:val="0"/>
        </w:numPr>
        <w:suppressLineNumbers/>
        <w:tabs>
          <w:tab w:val="clear" w:pos="1134"/>
        </w:tabs>
        <w:suppressAutoHyphens/>
        <w:kinsoku w:val="0"/>
        <w:overflowPunct w:val="0"/>
        <w:autoSpaceDE w:val="0"/>
        <w:autoSpaceDN w:val="0"/>
        <w:adjustRightInd w:val="0"/>
        <w:snapToGrid w:val="0"/>
        <w:ind w:left="567" w:firstLine="567"/>
        <w:rPr>
          <w:snapToGrid w:val="0"/>
          <w:kern w:val="22"/>
        </w:rPr>
      </w:pPr>
      <w:r>
        <w:rPr>
          <w:rFonts w:asciiTheme="majorBidi" w:hAnsiTheme="majorBidi"/>
          <w:i/>
          <w:iCs/>
        </w:rPr>
        <w:t xml:space="preserve">Reconnaissant </w:t>
      </w:r>
      <w:r>
        <w:rPr>
          <w:rFonts w:asciiTheme="majorBidi" w:hAnsiTheme="majorBidi"/>
        </w:rPr>
        <w:t>la fonction essentielle de la biodiversité qui sous-tend l</w:t>
      </w:r>
      <w:r w:rsidR="002C0322">
        <w:rPr>
          <w:rFonts w:asciiTheme="majorBidi" w:hAnsiTheme="majorBidi"/>
        </w:rPr>
        <w:t>’</w:t>
      </w:r>
      <w:r>
        <w:rPr>
          <w:rFonts w:asciiTheme="majorBidi" w:hAnsiTheme="majorBidi"/>
        </w:rPr>
        <w:t>intégrité des écosystèmes et des services écosystémiques, et le fait que la protection et le rétablissement de l</w:t>
      </w:r>
      <w:r w:rsidR="002C0322">
        <w:rPr>
          <w:rFonts w:asciiTheme="majorBidi" w:hAnsiTheme="majorBidi"/>
        </w:rPr>
        <w:t>’</w:t>
      </w:r>
      <w:r>
        <w:rPr>
          <w:rFonts w:asciiTheme="majorBidi" w:hAnsiTheme="majorBidi"/>
        </w:rPr>
        <w:t>intégrité écologique contribuent à lutter à la fois contre les changements climatiques et l</w:t>
      </w:r>
      <w:r w:rsidR="002C0322">
        <w:rPr>
          <w:rFonts w:asciiTheme="majorBidi" w:hAnsiTheme="majorBidi"/>
        </w:rPr>
        <w:t>’</w:t>
      </w:r>
      <w:r>
        <w:rPr>
          <w:rFonts w:asciiTheme="majorBidi" w:hAnsiTheme="majorBidi"/>
        </w:rPr>
        <w:t>appauvrissement de la biodiversité,</w:t>
      </w:r>
    </w:p>
    <w:p w14:paraId="0587DF22" w14:textId="11428F49" w:rsidR="001651D6" w:rsidRPr="007E5D62" w:rsidRDefault="001651D6" w:rsidP="001651D6">
      <w:pPr>
        <w:pStyle w:val="Para1"/>
        <w:numPr>
          <w:ilvl w:val="0"/>
          <w:numId w:val="0"/>
        </w:numPr>
        <w:suppressLineNumbers/>
        <w:tabs>
          <w:tab w:val="clear" w:pos="1134"/>
        </w:tabs>
        <w:suppressAutoHyphens/>
        <w:kinsoku w:val="0"/>
        <w:overflowPunct w:val="0"/>
        <w:autoSpaceDE w:val="0"/>
        <w:autoSpaceDN w:val="0"/>
        <w:adjustRightInd w:val="0"/>
        <w:snapToGrid w:val="0"/>
        <w:ind w:left="567" w:firstLine="567"/>
        <w:rPr>
          <w:rFonts w:asciiTheme="majorBidi" w:eastAsiaTheme="minorHAnsi" w:hAnsiTheme="majorBidi" w:cstheme="majorBidi"/>
          <w14:ligatures w14:val="standardContextual"/>
        </w:rPr>
      </w:pPr>
      <w:r>
        <w:rPr>
          <w:rFonts w:asciiTheme="majorBidi" w:hAnsiTheme="majorBidi"/>
          <w:i/>
          <w:iCs/>
          <w:snapToGrid w:val="0"/>
        </w:rPr>
        <w:t>Soulignant</w:t>
      </w:r>
      <w:r>
        <w:rPr>
          <w:rFonts w:asciiTheme="majorBidi" w:hAnsiTheme="majorBidi"/>
          <w:i/>
          <w:iCs/>
        </w:rPr>
        <w:t xml:space="preserve"> </w:t>
      </w:r>
      <w:r>
        <w:rPr>
          <w:rFonts w:asciiTheme="majorBidi" w:hAnsiTheme="majorBidi"/>
        </w:rPr>
        <w:t xml:space="preserve">que la préservation des couloirs écologiques et le </w:t>
      </w:r>
      <w:r>
        <w:rPr>
          <w:rFonts w:asciiTheme="majorBidi" w:hAnsiTheme="majorBidi"/>
          <w:snapToGrid w:val="0"/>
        </w:rPr>
        <w:t>renforcement de la connectivité des paysages sont essentiels pour permettre aux espèces</w:t>
      </w:r>
      <w:r>
        <w:rPr>
          <w:rFonts w:asciiTheme="majorBidi" w:hAnsiTheme="majorBidi"/>
        </w:rPr>
        <w:t xml:space="preserve"> de migrer vers des lieux climatiques adéquats ou de </w:t>
      </w:r>
      <w:r>
        <w:rPr>
          <w:rFonts w:asciiTheme="majorBidi" w:hAnsiTheme="majorBidi"/>
          <w:snapToGrid w:val="0"/>
        </w:rPr>
        <w:t>s</w:t>
      </w:r>
      <w:r w:rsidR="002C0322">
        <w:rPr>
          <w:rFonts w:asciiTheme="majorBidi" w:hAnsiTheme="majorBidi"/>
          <w:snapToGrid w:val="0"/>
        </w:rPr>
        <w:t>’</w:t>
      </w:r>
      <w:r>
        <w:rPr>
          <w:rFonts w:asciiTheme="majorBidi" w:hAnsiTheme="majorBidi"/>
          <w:snapToGrid w:val="0"/>
        </w:rPr>
        <w:t>adapter à de nouvelles conditions, ce qui est particulièrement urgent</w:t>
      </w:r>
      <w:r>
        <w:rPr>
          <w:rFonts w:asciiTheme="majorBidi" w:hAnsiTheme="majorBidi"/>
        </w:rPr>
        <w:t xml:space="preserve"> dans le contexte des </w:t>
      </w:r>
      <w:r>
        <w:rPr>
          <w:rFonts w:asciiTheme="majorBidi" w:hAnsiTheme="majorBidi"/>
          <w:snapToGrid w:val="0"/>
        </w:rPr>
        <w:t>changements climatiques et de leurs effets sur les habitats</w:t>
      </w:r>
      <w:r>
        <w:rPr>
          <w:rFonts w:asciiTheme="majorBidi" w:hAnsiTheme="majorBidi"/>
        </w:rPr>
        <w:t>,</w:t>
      </w:r>
    </w:p>
    <w:p w14:paraId="4887DC77" w14:textId="7B4577BD" w:rsidR="001651D6" w:rsidRPr="007E5D62" w:rsidRDefault="001651D6" w:rsidP="001651D6">
      <w:pPr>
        <w:pStyle w:val="Para1"/>
        <w:numPr>
          <w:ilvl w:val="0"/>
          <w:numId w:val="0"/>
        </w:numPr>
        <w:suppressLineNumbers/>
        <w:tabs>
          <w:tab w:val="clear" w:pos="1134"/>
        </w:tabs>
        <w:suppressAutoHyphens/>
        <w:kinsoku w:val="0"/>
        <w:overflowPunct w:val="0"/>
        <w:autoSpaceDE w:val="0"/>
        <w:autoSpaceDN w:val="0"/>
        <w:adjustRightInd w:val="0"/>
        <w:snapToGrid w:val="0"/>
        <w:ind w:left="567" w:firstLine="567"/>
        <w:rPr>
          <w:rFonts w:asciiTheme="majorBidi" w:eastAsiaTheme="minorEastAsia" w:hAnsiTheme="majorBidi" w:cstheme="majorBidi"/>
          <w:snapToGrid w:val="0"/>
          <w:kern w:val="22"/>
        </w:rPr>
      </w:pPr>
      <w:r>
        <w:rPr>
          <w:rFonts w:asciiTheme="majorBidi" w:hAnsiTheme="majorBidi"/>
          <w:i/>
          <w:iCs/>
        </w:rPr>
        <w:lastRenderedPageBreak/>
        <w:t xml:space="preserve">Profondément préoccupée </w:t>
      </w:r>
      <w:r>
        <w:rPr>
          <w:rFonts w:asciiTheme="majorBidi" w:hAnsiTheme="majorBidi"/>
        </w:rPr>
        <w:t xml:space="preserve">par le fait que les émissions anthropiques croissantes de dioxyde de carbone, qui entraînent une augmentation des concentrations </w:t>
      </w:r>
      <w:r w:rsidR="00BF55F2">
        <w:rPr>
          <w:rFonts w:asciiTheme="majorBidi" w:hAnsiTheme="majorBidi"/>
        </w:rPr>
        <w:t>celui-ci</w:t>
      </w:r>
      <w:r>
        <w:rPr>
          <w:rFonts w:asciiTheme="majorBidi" w:hAnsiTheme="majorBidi"/>
        </w:rPr>
        <w:t xml:space="preserve"> dans l</w:t>
      </w:r>
      <w:r w:rsidR="002C0322">
        <w:rPr>
          <w:rFonts w:asciiTheme="majorBidi" w:hAnsiTheme="majorBidi"/>
        </w:rPr>
        <w:t>’</w:t>
      </w:r>
      <w:r>
        <w:rPr>
          <w:rFonts w:asciiTheme="majorBidi" w:hAnsiTheme="majorBidi"/>
        </w:rPr>
        <w:t xml:space="preserve">atmosphère, provoquent une acidification des océans et une </w:t>
      </w:r>
      <w:r w:rsidR="00BF55F2">
        <w:rPr>
          <w:rFonts w:asciiTheme="majorBidi" w:hAnsiTheme="majorBidi"/>
        </w:rPr>
        <w:t>augmentation</w:t>
      </w:r>
      <w:r>
        <w:rPr>
          <w:rFonts w:asciiTheme="majorBidi" w:hAnsiTheme="majorBidi"/>
        </w:rPr>
        <w:t xml:space="preserve"> des températures, y compris des vagues de chaleur marine et une désoxygénation, qui ont de graves conséquences pour la vie marine, en particulier les récifs coralliens et d</w:t>
      </w:r>
      <w:r w:rsidR="002C0322">
        <w:rPr>
          <w:rFonts w:asciiTheme="majorBidi" w:hAnsiTheme="majorBidi"/>
        </w:rPr>
        <w:t>’</w:t>
      </w:r>
      <w:r>
        <w:rPr>
          <w:rFonts w:asciiTheme="majorBidi" w:hAnsiTheme="majorBidi"/>
        </w:rPr>
        <w:t>autres écosystèmes marins sensibles, les espèces et les cycles de vie,</w:t>
      </w:r>
    </w:p>
    <w:p w14:paraId="1F219527" w14:textId="71F695AE" w:rsidR="001651D6" w:rsidRPr="00F926B2" w:rsidRDefault="001651D6" w:rsidP="001651D6">
      <w:pPr>
        <w:ind w:left="567" w:firstLine="567"/>
        <w:textAlignment w:val="baseline"/>
        <w:rPr>
          <w:rFonts w:asciiTheme="majorBidi" w:eastAsiaTheme="minorHAnsi" w:hAnsiTheme="majorBidi" w:cstheme="majorBidi"/>
          <w:snapToGrid w:val="0"/>
          <w:kern w:val="22"/>
        </w:rPr>
      </w:pPr>
      <w:r>
        <w:rPr>
          <w:rFonts w:asciiTheme="majorBidi" w:hAnsiTheme="majorBidi"/>
          <w:i/>
          <w:iCs/>
          <w:snapToGrid w:val="0"/>
        </w:rPr>
        <w:t xml:space="preserve">Reconnaissant </w:t>
      </w:r>
      <w:r>
        <w:rPr>
          <w:rFonts w:asciiTheme="majorBidi" w:hAnsiTheme="majorBidi"/>
          <w:snapToGrid w:val="0"/>
        </w:rPr>
        <w:t>le rôle crucial et la capacité de l</w:t>
      </w:r>
      <w:r w:rsidR="002C0322">
        <w:rPr>
          <w:rFonts w:asciiTheme="majorBidi" w:hAnsiTheme="majorBidi"/>
          <w:snapToGrid w:val="0"/>
        </w:rPr>
        <w:t>’</w:t>
      </w:r>
      <w:r>
        <w:rPr>
          <w:rFonts w:asciiTheme="majorBidi" w:hAnsiTheme="majorBidi"/>
          <w:snapToGrid w:val="0"/>
        </w:rPr>
        <w:t>océan en matière de régulation du climat, et notant les Dialogues sur les océans et le</w:t>
      </w:r>
      <w:r w:rsidR="00BF55F2">
        <w:rPr>
          <w:rFonts w:asciiTheme="majorBidi" w:hAnsiTheme="majorBidi"/>
          <w:snapToGrid w:val="0"/>
        </w:rPr>
        <w:t>s</w:t>
      </w:r>
      <w:r>
        <w:rPr>
          <w:rFonts w:asciiTheme="majorBidi" w:hAnsiTheme="majorBidi"/>
          <w:snapToGrid w:val="0"/>
        </w:rPr>
        <w:t xml:space="preserve"> changement</w:t>
      </w:r>
      <w:r w:rsidR="00BF55F2">
        <w:rPr>
          <w:rFonts w:asciiTheme="majorBidi" w:hAnsiTheme="majorBidi"/>
          <w:snapToGrid w:val="0"/>
        </w:rPr>
        <w:t>s</w:t>
      </w:r>
      <w:r>
        <w:rPr>
          <w:rFonts w:asciiTheme="majorBidi" w:hAnsiTheme="majorBidi"/>
          <w:snapToGrid w:val="0"/>
        </w:rPr>
        <w:t xml:space="preserve"> climatique</w:t>
      </w:r>
      <w:r w:rsidR="00BF55F2">
        <w:rPr>
          <w:rFonts w:asciiTheme="majorBidi" w:hAnsiTheme="majorBidi"/>
          <w:snapToGrid w:val="0"/>
        </w:rPr>
        <w:t>s</w:t>
      </w:r>
      <w:r>
        <w:rPr>
          <w:rFonts w:asciiTheme="majorBidi" w:hAnsiTheme="majorBidi"/>
          <w:snapToGrid w:val="0"/>
        </w:rPr>
        <w:t xml:space="preserve"> </w:t>
      </w:r>
      <w:r w:rsidR="008B4EAC">
        <w:rPr>
          <w:rFonts w:asciiTheme="majorBidi" w:hAnsiTheme="majorBidi"/>
          <w:snapToGrid w:val="0"/>
        </w:rPr>
        <w:t xml:space="preserve">de </w:t>
      </w:r>
      <w:r>
        <w:rPr>
          <w:rFonts w:asciiTheme="majorBidi" w:hAnsiTheme="majorBidi"/>
        </w:rPr>
        <w:t>2023 et 2024</w:t>
      </w:r>
      <w:r>
        <w:rPr>
          <w:rFonts w:asciiTheme="majorBidi" w:hAnsiTheme="majorBidi"/>
          <w:snapToGrid w:val="0"/>
        </w:rPr>
        <w:t xml:space="preserve"> au titre de la </w:t>
      </w:r>
      <w:r>
        <w:rPr>
          <w:rFonts w:asciiTheme="majorBidi" w:hAnsiTheme="majorBidi"/>
        </w:rPr>
        <w:t>Convention-cadre des Nations Unies</w:t>
      </w:r>
      <w:r>
        <w:rPr>
          <w:rFonts w:asciiTheme="majorBidi" w:hAnsiTheme="majorBidi"/>
          <w:snapToGrid w:val="0"/>
        </w:rPr>
        <w:t>, dans lesquels est soulignée la nécessité de renforcer les liens institutionnels entre divers mandats et processus, tels que le Cadre, pour renforcer l</w:t>
      </w:r>
      <w:r w:rsidR="002C0322">
        <w:rPr>
          <w:rFonts w:asciiTheme="majorBidi" w:hAnsiTheme="majorBidi"/>
          <w:snapToGrid w:val="0"/>
        </w:rPr>
        <w:t>’</w:t>
      </w:r>
      <w:r>
        <w:rPr>
          <w:rFonts w:asciiTheme="majorBidi" w:hAnsiTheme="majorBidi"/>
          <w:snapToGrid w:val="0"/>
        </w:rPr>
        <w:t>ambition et l</w:t>
      </w:r>
      <w:r w:rsidR="002C0322">
        <w:rPr>
          <w:rFonts w:asciiTheme="majorBidi" w:hAnsiTheme="majorBidi"/>
          <w:snapToGrid w:val="0"/>
        </w:rPr>
        <w:t>’</w:t>
      </w:r>
      <w:r>
        <w:rPr>
          <w:rFonts w:asciiTheme="majorBidi" w:hAnsiTheme="majorBidi"/>
          <w:snapToGrid w:val="0"/>
        </w:rPr>
        <w:t>action mondiales en faveur d</w:t>
      </w:r>
      <w:r w:rsidR="002C0322">
        <w:rPr>
          <w:rFonts w:asciiTheme="majorBidi" w:hAnsiTheme="majorBidi"/>
          <w:snapToGrid w:val="0"/>
        </w:rPr>
        <w:t>’</w:t>
      </w:r>
      <w:r>
        <w:rPr>
          <w:rFonts w:asciiTheme="majorBidi" w:hAnsiTheme="majorBidi"/>
          <w:snapToGrid w:val="0"/>
        </w:rPr>
        <w:t>un océan résilient face aux changements climatiques</w:t>
      </w:r>
      <w:r>
        <w:rPr>
          <w:rFonts w:asciiTheme="majorBidi" w:hAnsiTheme="majorBidi"/>
        </w:rPr>
        <w:t>,</w:t>
      </w:r>
    </w:p>
    <w:p w14:paraId="6663BD6D" w14:textId="68A81426" w:rsidR="001651D6" w:rsidRPr="00F926B2" w:rsidRDefault="00A14FB6" w:rsidP="001651D6">
      <w:pPr>
        <w:suppressLineNumbers/>
        <w:suppressAutoHyphens/>
        <w:kinsoku w:val="0"/>
        <w:overflowPunct w:val="0"/>
        <w:autoSpaceDE w:val="0"/>
        <w:autoSpaceDN w:val="0"/>
        <w:adjustRightInd w:val="0"/>
        <w:snapToGrid w:val="0"/>
        <w:spacing w:before="120" w:after="120"/>
        <w:ind w:left="567" w:firstLine="567"/>
        <w:rPr>
          <w:rFonts w:eastAsiaTheme="minorHAnsi"/>
          <w:snapToGrid w:val="0"/>
          <w:kern w:val="22"/>
          <w:u w:val="single"/>
        </w:rPr>
      </w:pPr>
      <w:r w:rsidRPr="00A14FB6">
        <w:rPr>
          <w:rFonts w:asciiTheme="majorBidi" w:hAnsiTheme="majorBidi"/>
          <w:i/>
          <w:iCs/>
        </w:rPr>
        <w:t xml:space="preserve">Reconnaissant également </w:t>
      </w:r>
      <w:r w:rsidRPr="00A14FB6">
        <w:rPr>
          <w:rFonts w:asciiTheme="majorBidi" w:hAnsiTheme="majorBidi"/>
        </w:rPr>
        <w:t xml:space="preserve">que la biodiversité </w:t>
      </w:r>
      <w:r w:rsidR="007F6A59">
        <w:rPr>
          <w:rFonts w:asciiTheme="majorBidi" w:hAnsiTheme="majorBidi"/>
        </w:rPr>
        <w:t xml:space="preserve">est appauvrie </w:t>
      </w:r>
      <w:r w:rsidRPr="00A14FB6">
        <w:rPr>
          <w:rFonts w:asciiTheme="majorBidi" w:hAnsiTheme="majorBidi"/>
        </w:rPr>
        <w:t xml:space="preserve">et la résilience des écosystèmes face aux changements climatiques </w:t>
      </w:r>
      <w:r w:rsidR="00D15418">
        <w:rPr>
          <w:rFonts w:asciiTheme="majorBidi" w:hAnsiTheme="majorBidi"/>
        </w:rPr>
        <w:t xml:space="preserve">est </w:t>
      </w:r>
      <w:r w:rsidRPr="00A14FB6">
        <w:rPr>
          <w:rFonts w:asciiTheme="majorBidi" w:hAnsiTheme="majorBidi"/>
        </w:rPr>
        <w:t xml:space="preserve">compromise </w:t>
      </w:r>
      <w:r w:rsidR="007F6A59">
        <w:rPr>
          <w:rFonts w:asciiTheme="majorBidi" w:hAnsiTheme="majorBidi"/>
        </w:rPr>
        <w:t>par</w:t>
      </w:r>
      <w:r w:rsidRPr="00A14FB6">
        <w:rPr>
          <w:rFonts w:asciiTheme="majorBidi" w:hAnsiTheme="majorBidi"/>
        </w:rPr>
        <w:t xml:space="preserve"> de</w:t>
      </w:r>
      <w:r w:rsidR="007F6A59">
        <w:rPr>
          <w:rFonts w:asciiTheme="majorBidi" w:hAnsiTheme="majorBidi"/>
        </w:rPr>
        <w:t>s</w:t>
      </w:r>
      <w:r w:rsidRPr="00A14FB6">
        <w:rPr>
          <w:rFonts w:asciiTheme="majorBidi" w:hAnsiTheme="majorBidi"/>
        </w:rPr>
        <w:t xml:space="preserve"> mesures </w:t>
      </w:r>
      <w:r w:rsidR="003826E0">
        <w:rPr>
          <w:rFonts w:asciiTheme="majorBidi" w:hAnsiTheme="majorBidi"/>
        </w:rPr>
        <w:t xml:space="preserve">pouvant </w:t>
      </w:r>
      <w:r w:rsidR="00E742AD">
        <w:rPr>
          <w:rFonts w:asciiTheme="majorBidi" w:hAnsiTheme="majorBidi"/>
        </w:rPr>
        <w:t>mener à</w:t>
      </w:r>
      <w:r w:rsidR="003826E0">
        <w:rPr>
          <w:rFonts w:asciiTheme="majorBidi" w:hAnsiTheme="majorBidi"/>
        </w:rPr>
        <w:t xml:space="preserve"> </w:t>
      </w:r>
      <w:r w:rsidRPr="00A14FB6">
        <w:rPr>
          <w:rFonts w:asciiTheme="majorBidi" w:hAnsiTheme="majorBidi"/>
        </w:rPr>
        <w:t>un risque accru d</w:t>
      </w:r>
      <w:r w:rsidR="007F6A59" w:rsidRPr="005F2AE4">
        <w:rPr>
          <w:rFonts w:asciiTheme="majorBidi" w:hAnsiTheme="majorBidi"/>
          <w:lang w:val="fr-FR"/>
        </w:rPr>
        <w:t>’</w:t>
      </w:r>
      <w:r w:rsidRPr="00A14FB6">
        <w:rPr>
          <w:rFonts w:asciiTheme="majorBidi" w:hAnsiTheme="majorBidi"/>
        </w:rPr>
        <w:t>effets négatifs sur le climat, lesquels peuvent à leur tour avoir des répercussions néfastes sur la biodiversité, la résilience des écosystèmes, les personnes en situation de vulnérabilité et celles qui dépendent le plus de la biodiversité, y compris les peuples autochtones et communautés locales, et saper l</w:t>
      </w:r>
      <w:r w:rsidR="007F6A59">
        <w:rPr>
          <w:rFonts w:asciiTheme="majorBidi" w:hAnsiTheme="majorBidi"/>
        </w:rPr>
        <w:t>’</w:t>
      </w:r>
      <w:r w:rsidRPr="00A14FB6">
        <w:rPr>
          <w:rFonts w:asciiTheme="majorBidi" w:hAnsiTheme="majorBidi"/>
        </w:rPr>
        <w:t>action climatique</w:t>
      </w:r>
      <w:r w:rsidR="001651D6">
        <w:rPr>
          <w:rFonts w:asciiTheme="majorBidi" w:hAnsiTheme="majorBidi"/>
        </w:rPr>
        <w:t>,</w:t>
      </w:r>
    </w:p>
    <w:p w14:paraId="6336E671" w14:textId="20450B9C" w:rsidR="00A73819" w:rsidRPr="00F926B2" w:rsidRDefault="00A73819" w:rsidP="001651D6">
      <w:pPr>
        <w:suppressLineNumbers/>
        <w:suppressAutoHyphens/>
        <w:kinsoku w:val="0"/>
        <w:overflowPunct w:val="0"/>
        <w:autoSpaceDE w:val="0"/>
        <w:autoSpaceDN w:val="0"/>
        <w:adjustRightInd w:val="0"/>
        <w:snapToGrid w:val="0"/>
        <w:spacing w:before="120" w:after="120"/>
        <w:ind w:left="567" w:firstLine="562"/>
        <w:rPr>
          <w:rFonts w:eastAsiaTheme="minorHAnsi"/>
          <w:kern w:val="22"/>
        </w:rPr>
      </w:pPr>
      <w:r w:rsidRPr="00A73819">
        <w:rPr>
          <w:rFonts w:eastAsiaTheme="minorHAnsi"/>
          <w:i/>
          <w:iCs/>
          <w:kern w:val="22"/>
        </w:rPr>
        <w:t>Soulignant</w:t>
      </w:r>
      <w:r w:rsidRPr="00A73819">
        <w:rPr>
          <w:rFonts w:eastAsiaTheme="minorHAnsi"/>
          <w:kern w:val="22"/>
        </w:rPr>
        <w:t xml:space="preserve"> la nécessité de renforcer la coopération internationale et les synergies entre les Parties, les peuples autochtones et communautés locales, ainsi qu</w:t>
      </w:r>
      <w:r w:rsidR="00185E2C">
        <w:rPr>
          <w:rFonts w:eastAsiaTheme="minorHAnsi"/>
          <w:kern w:val="22"/>
        </w:rPr>
        <w:t>’entre</w:t>
      </w:r>
      <w:r w:rsidRPr="00A73819">
        <w:rPr>
          <w:rFonts w:eastAsiaTheme="minorHAnsi"/>
          <w:kern w:val="22"/>
        </w:rPr>
        <w:t xml:space="preserve"> les organisations, partenariats, initiatives et coalitions existants pertinents, notamment grâce au renforcement et au développement des capacités, au transfert technique et scientifique, à la coopération, à l'accès aux technologies et </w:t>
      </w:r>
      <w:r w:rsidR="00185E2C">
        <w:rPr>
          <w:rFonts w:eastAsiaTheme="minorHAnsi"/>
          <w:kern w:val="22"/>
        </w:rPr>
        <w:t>au</w:t>
      </w:r>
      <w:r w:rsidRPr="00A73819">
        <w:rPr>
          <w:rFonts w:eastAsiaTheme="minorHAnsi"/>
          <w:kern w:val="22"/>
        </w:rPr>
        <w:t xml:space="preserve"> transfert</w:t>
      </w:r>
      <w:r w:rsidR="00185E2C">
        <w:rPr>
          <w:rFonts w:eastAsiaTheme="minorHAnsi"/>
          <w:kern w:val="22"/>
        </w:rPr>
        <w:t xml:space="preserve"> de celles-ci</w:t>
      </w:r>
      <w:r w:rsidRPr="00A73819">
        <w:rPr>
          <w:rFonts w:eastAsiaTheme="minorHAnsi"/>
          <w:kern w:val="22"/>
        </w:rPr>
        <w:t>, selon des modalités convenues d'un commun accord, afin de renforcer les capacités nationales à anticiper et surveiller les effets des changements climatiques sur la biodiversité, les écosystèmes et les communautés tributaires de la biodiversité</w:t>
      </w:r>
    </w:p>
    <w:p w14:paraId="1FC5B03F" w14:textId="451768CE" w:rsidR="001651D6" w:rsidRPr="00F926B2" w:rsidRDefault="001651D6" w:rsidP="001651D6">
      <w:pPr>
        <w:ind w:left="567" w:firstLine="567"/>
        <w:textAlignment w:val="baseline"/>
        <w:rPr>
          <w:rFonts w:asciiTheme="majorBidi" w:eastAsiaTheme="minorHAnsi" w:hAnsiTheme="majorBidi" w:cstheme="majorBidi"/>
          <w:snapToGrid w:val="0"/>
          <w:kern w:val="22"/>
        </w:rPr>
      </w:pPr>
      <w:r>
        <w:rPr>
          <w:rFonts w:asciiTheme="majorBidi" w:hAnsiTheme="majorBidi"/>
          <w:i/>
          <w:iCs/>
          <w:snapToGrid w:val="0"/>
        </w:rPr>
        <w:t xml:space="preserve">Rappelant </w:t>
      </w:r>
      <w:r>
        <w:rPr>
          <w:rFonts w:asciiTheme="majorBidi" w:hAnsiTheme="majorBidi"/>
          <w:snapToGrid w:val="0"/>
        </w:rPr>
        <w:t>la décision</w:t>
      </w:r>
      <w:r w:rsidR="009206BA">
        <w:rPr>
          <w:rFonts w:asciiTheme="majorBidi" w:hAnsiTheme="majorBidi"/>
          <w:snapToGrid w:val="0"/>
        </w:rPr>
        <w:t> </w:t>
      </w:r>
      <w:hyperlink r:id="rId27" w:history="1">
        <w:r w:rsidRPr="00A14FB6">
          <w:rPr>
            <w:rStyle w:val="Lienhypertexte"/>
            <w:rFonts w:asciiTheme="majorBidi" w:hAnsiTheme="majorBidi"/>
            <w:snapToGrid w:val="0"/>
          </w:rPr>
          <w:t>15/8</w:t>
        </w:r>
      </w:hyperlink>
      <w:r>
        <w:rPr>
          <w:rFonts w:asciiTheme="majorBidi" w:hAnsiTheme="majorBidi"/>
          <w:snapToGrid w:val="0"/>
        </w:rPr>
        <w:t xml:space="preserve"> du 19</w:t>
      </w:r>
      <w:r w:rsidR="009206BA">
        <w:rPr>
          <w:rFonts w:asciiTheme="majorBidi" w:hAnsiTheme="majorBidi"/>
          <w:snapToGrid w:val="0"/>
        </w:rPr>
        <w:t> </w:t>
      </w:r>
      <w:r>
        <w:rPr>
          <w:rFonts w:asciiTheme="majorBidi" w:hAnsiTheme="majorBidi"/>
          <w:snapToGrid w:val="0"/>
        </w:rPr>
        <w:t>décembre 2022, dans laquelle la Conférence des Parties a reconnu que de nombreuses Parties, en particulier les pays en développement Parties, pourraient ne pas encore disposer des capacités nécessaires pour mettre pleinement en œuvre le Cadre, et soulignant la nécessité d</w:t>
      </w:r>
      <w:r w:rsidR="002C0322">
        <w:rPr>
          <w:rFonts w:asciiTheme="majorBidi" w:hAnsiTheme="majorBidi"/>
          <w:snapToGrid w:val="0"/>
        </w:rPr>
        <w:t>’</w:t>
      </w:r>
      <w:r>
        <w:rPr>
          <w:rFonts w:asciiTheme="majorBidi" w:hAnsiTheme="majorBidi"/>
          <w:snapToGrid w:val="0"/>
        </w:rPr>
        <w:t>une coopération renforcée pour remédier à ces lacunes en matière de capacités,</w:t>
      </w:r>
    </w:p>
    <w:p w14:paraId="7E07170E" w14:textId="3E8D07D1" w:rsidR="001651D6" w:rsidRPr="00F926B2" w:rsidRDefault="001651D6" w:rsidP="001651D6">
      <w:pPr>
        <w:pStyle w:val="Para10"/>
        <w:numPr>
          <w:ilvl w:val="0"/>
          <w:numId w:val="41"/>
        </w:numPr>
        <w:suppressLineNumbers/>
        <w:tabs>
          <w:tab w:val="clear" w:pos="567"/>
          <w:tab w:val="clear" w:pos="1134"/>
          <w:tab w:val="clear" w:pos="2268"/>
        </w:tabs>
        <w:suppressAutoHyphens/>
        <w:kinsoku w:val="0"/>
        <w:overflowPunct w:val="0"/>
        <w:autoSpaceDE w:val="0"/>
        <w:autoSpaceDN w:val="0"/>
        <w:adjustRightInd w:val="0"/>
        <w:snapToGrid w:val="0"/>
        <w:ind w:left="567" w:firstLine="567"/>
        <w:rPr>
          <w:rStyle w:val="normaltextrun"/>
          <w:szCs w:val="24"/>
          <w:shd w:val="clear" w:color="auto" w:fill="FFFFFF"/>
        </w:rPr>
      </w:pPr>
      <w:r>
        <w:rPr>
          <w:i/>
        </w:rPr>
        <w:t>Accueille avec satisfaction</w:t>
      </w:r>
      <w:r>
        <w:t xml:space="preserve"> le </w:t>
      </w:r>
      <w:r>
        <w:rPr>
          <w:i/>
          <w:iCs/>
        </w:rPr>
        <w:t>Sixième rapport d</w:t>
      </w:r>
      <w:r w:rsidR="002C0322">
        <w:rPr>
          <w:i/>
          <w:iCs/>
        </w:rPr>
        <w:t>’</w:t>
      </w:r>
      <w:r>
        <w:rPr>
          <w:i/>
          <w:iCs/>
        </w:rPr>
        <w:t xml:space="preserve">évaluation </w:t>
      </w:r>
      <w:r>
        <w:t>du Groupe d</w:t>
      </w:r>
      <w:r w:rsidR="002C0322">
        <w:t>’</w:t>
      </w:r>
      <w:r>
        <w:t>experts intergouvernemental sur l</w:t>
      </w:r>
      <w:r w:rsidR="002C0322">
        <w:t>’</w:t>
      </w:r>
      <w:r>
        <w:t>évolution du climat</w:t>
      </w:r>
      <w:r w:rsidRPr="00F926B2">
        <w:rPr>
          <w:rStyle w:val="Appelnotedebasdep"/>
          <w:noProof/>
          <w:kern w:val="22"/>
          <w:lang w:val="en-GB"/>
        </w:rPr>
        <w:footnoteReference w:id="8"/>
      </w:r>
      <w:r>
        <w:t>, et prend note de ses conclusions</w:t>
      </w:r>
      <w:r w:rsidR="009206BA">
        <w:t> </w:t>
      </w:r>
      <w:r>
        <w:t>;</w:t>
      </w:r>
    </w:p>
    <w:p w14:paraId="710C80CC" w14:textId="44CA04AD" w:rsidR="001651D6" w:rsidRPr="00F926B2" w:rsidRDefault="001651D6" w:rsidP="001651D6">
      <w:pPr>
        <w:pStyle w:val="Para10"/>
        <w:suppressLineNumbers/>
        <w:suppressAutoHyphens/>
        <w:kinsoku w:val="0"/>
        <w:overflowPunct w:val="0"/>
        <w:autoSpaceDE w:val="0"/>
        <w:autoSpaceDN w:val="0"/>
        <w:adjustRightInd w:val="0"/>
        <w:ind w:left="567" w:firstLine="567"/>
        <w:rPr>
          <w:noProof/>
          <w:kern w:val="22"/>
        </w:rPr>
      </w:pPr>
      <w:r>
        <w:t>2.</w:t>
      </w:r>
      <w:r>
        <w:tab/>
      </w:r>
      <w:r>
        <w:rPr>
          <w:i/>
          <w:iCs/>
        </w:rPr>
        <w:t>Accueille également avec satisfaction</w:t>
      </w:r>
      <w:r>
        <w:t xml:space="preserve"> la décision</w:t>
      </w:r>
      <w:r w:rsidR="009206BA">
        <w:t> </w:t>
      </w:r>
      <w:r>
        <w:t>10/1 du 2</w:t>
      </w:r>
      <w:r w:rsidR="009206BA">
        <w:t> </w:t>
      </w:r>
      <w:r>
        <w:t xml:space="preserve">septembre 2023 de la Plénière de la Plateforme intergouvernementale scientifique et politique sur la biodiversité et les services écosystémiques, </w:t>
      </w:r>
      <w:r w:rsidR="00B63F62">
        <w:t>qui vise</w:t>
      </w:r>
      <w:r>
        <w:t xml:space="preserve"> à encourager la poursuite de la collaboration entre la Plateforme et le Groupe d</w:t>
      </w:r>
      <w:r w:rsidR="002C0322">
        <w:t>’</w:t>
      </w:r>
      <w:r>
        <w:t>experts intergouvernemental sur l</w:t>
      </w:r>
      <w:r w:rsidR="002C0322">
        <w:t>’</w:t>
      </w:r>
      <w:r>
        <w:t>évolution du climat</w:t>
      </w:r>
      <w:r w:rsidR="009206BA">
        <w:t> </w:t>
      </w:r>
      <w:r>
        <w:t>;</w:t>
      </w:r>
    </w:p>
    <w:p w14:paraId="07B6171C" w14:textId="00B447D1" w:rsidR="001651D6" w:rsidRPr="00F926B2" w:rsidRDefault="001651D6" w:rsidP="001651D6">
      <w:pPr>
        <w:pStyle w:val="Para10"/>
        <w:suppressLineNumbers/>
        <w:suppressAutoHyphens/>
        <w:kinsoku w:val="0"/>
        <w:overflowPunct w:val="0"/>
        <w:autoSpaceDE w:val="0"/>
        <w:autoSpaceDN w:val="0"/>
        <w:adjustRightInd w:val="0"/>
        <w:ind w:left="567" w:firstLine="567"/>
        <w:rPr>
          <w:kern w:val="22"/>
          <w:szCs w:val="22"/>
        </w:rPr>
      </w:pPr>
      <w:r>
        <w:t>3.</w:t>
      </w:r>
      <w:r>
        <w:tab/>
      </w:r>
      <w:r>
        <w:rPr>
          <w:i/>
          <w:iCs/>
          <w:szCs w:val="22"/>
        </w:rPr>
        <w:t xml:space="preserve">Prie instamment </w:t>
      </w:r>
      <w:r>
        <w:t>les Parties, lorsqu</w:t>
      </w:r>
      <w:r w:rsidR="002C0322">
        <w:t>’</w:t>
      </w:r>
      <w:r>
        <w:t>elles mènent des actions en vue de la réalisation des cibles</w:t>
      </w:r>
      <w:r w:rsidR="009206BA">
        <w:t> </w:t>
      </w:r>
      <w:r>
        <w:t>8 et 11, ainsi que des cibles connexes, du Cadre mondial de la biodiversité de Kunming-Montréal, en fonction de leur situation, de leurs priorités et de leurs capacités nationales, ainsi que de leurs obligations respectives au titre des accords multilatéraux sur l</w:t>
      </w:r>
      <w:r w:rsidR="002C0322">
        <w:t>’</w:t>
      </w:r>
      <w:r>
        <w:t xml:space="preserve">environnement, de mettre en place des garanties sociales et environnementales effectives </w:t>
      </w:r>
      <w:r w:rsidR="00B63F62">
        <w:t xml:space="preserve">et </w:t>
      </w:r>
      <w:r>
        <w:t>:</w:t>
      </w:r>
    </w:p>
    <w:p w14:paraId="6FA15088" w14:textId="515FBB32" w:rsidR="001651D6" w:rsidRPr="00F926B2" w:rsidRDefault="001651D6" w:rsidP="001651D6">
      <w:pPr>
        <w:pStyle w:val="Para10"/>
        <w:suppressLineNumbers/>
        <w:suppressAutoHyphens/>
        <w:kinsoku w:val="0"/>
        <w:overflowPunct w:val="0"/>
        <w:autoSpaceDE w:val="0"/>
        <w:autoSpaceDN w:val="0"/>
        <w:adjustRightInd w:val="0"/>
        <w:ind w:left="567" w:firstLine="567"/>
        <w:rPr>
          <w:kern w:val="22"/>
          <w:szCs w:val="22"/>
        </w:rPr>
      </w:pPr>
      <w:r>
        <w:t>a)</w:t>
      </w:r>
      <w:r>
        <w:tab/>
      </w:r>
      <w:r w:rsidR="00B63F62">
        <w:t>De s</w:t>
      </w:r>
      <w:r>
        <w:t>e conformer à la section C et à la cible</w:t>
      </w:r>
      <w:r w:rsidR="009206BA">
        <w:t> </w:t>
      </w:r>
      <w:r>
        <w:t>22 du Cadre</w:t>
      </w:r>
      <w:r w:rsidR="009206BA">
        <w:t> </w:t>
      </w:r>
      <w:r>
        <w:t>;</w:t>
      </w:r>
    </w:p>
    <w:p w14:paraId="1A9B5690" w14:textId="4F820AD4" w:rsidR="001651D6" w:rsidRPr="00F926B2" w:rsidRDefault="001651D6" w:rsidP="001651D6">
      <w:pPr>
        <w:pStyle w:val="Para3"/>
        <w:ind w:left="567" w:firstLine="567"/>
        <w:rPr>
          <w:kern w:val="22"/>
        </w:rPr>
      </w:pPr>
      <w:r>
        <w:t>b)</w:t>
      </w:r>
      <w:r>
        <w:tab/>
        <w:t>D</w:t>
      </w:r>
      <w:r w:rsidR="00B63F62">
        <w:t>e d</w:t>
      </w:r>
      <w:r>
        <w:t>éterminer et maximiser les synergies potentielles entre les actions en faveur de la biodiversité et du climat, notamment en donnant la priorité à la protection, à la restauration et à la gestion des écosystèmes et des espèces importants pour l</w:t>
      </w:r>
      <w:r w:rsidR="002C0322">
        <w:t>’</w:t>
      </w:r>
      <w:r>
        <w:t>ensemble du cycle du carbone et contribuant à l</w:t>
      </w:r>
      <w:r w:rsidR="002C0322">
        <w:t>’</w:t>
      </w:r>
      <w:r>
        <w:t>adaptation aux changements climatiques</w:t>
      </w:r>
      <w:r w:rsidR="009206BA">
        <w:t> </w:t>
      </w:r>
      <w:r>
        <w:t>;</w:t>
      </w:r>
    </w:p>
    <w:p w14:paraId="54548E2E" w14:textId="1C9DE604" w:rsidR="001651D6" w:rsidRPr="00F926B2" w:rsidRDefault="001651D6" w:rsidP="001651D6">
      <w:pPr>
        <w:pStyle w:val="Para3"/>
        <w:ind w:left="567" w:firstLine="567"/>
        <w:rPr>
          <w:kern w:val="22"/>
        </w:rPr>
      </w:pPr>
      <w:r>
        <w:lastRenderedPageBreak/>
        <w:t>c)</w:t>
      </w:r>
      <w:r>
        <w:tab/>
      </w:r>
      <w:r w:rsidR="00B63F62">
        <w:t>De p</w:t>
      </w:r>
      <w:r>
        <w:t>romouvoir les effets positifs, et éviter ou, si cela n</w:t>
      </w:r>
      <w:r w:rsidR="002C0322">
        <w:t>’</w:t>
      </w:r>
      <w:r>
        <w:t xml:space="preserve">est pas possible, minimiser les effets négatifs de </w:t>
      </w:r>
      <w:r w:rsidR="00A14FB6">
        <w:t>l’</w:t>
      </w:r>
      <w:r>
        <w:t>action climatique sur la biodiversité</w:t>
      </w:r>
      <w:r w:rsidR="00A14FB6">
        <w:t xml:space="preserve"> ainsi que sur</w:t>
      </w:r>
      <w:r>
        <w:t xml:space="preserve"> l</w:t>
      </w:r>
      <w:r w:rsidR="002C0322">
        <w:t>’</w:t>
      </w:r>
      <w:r>
        <w:t xml:space="preserve">intégrité, les fonctions et les services </w:t>
      </w:r>
      <w:r w:rsidR="00A14FB6">
        <w:t>écosystémiques</w:t>
      </w:r>
      <w:r>
        <w:t>, y compris sur les espèces vulnérables</w:t>
      </w:r>
      <w:r w:rsidR="00A14FB6">
        <w:t xml:space="preserve"> et</w:t>
      </w:r>
      <w:r>
        <w:t xml:space="preserve"> les écosystèmes importants pour l</w:t>
      </w:r>
      <w:r w:rsidR="002C0322">
        <w:t>’</w:t>
      </w:r>
      <w:r>
        <w:t>ensemble du cycle du carbone ou dont les dommages sont irréversibles, en particulier sur les peuples autochtones</w:t>
      </w:r>
      <w:r w:rsidR="006C0F91">
        <w:t xml:space="preserve"> et</w:t>
      </w:r>
      <w:r>
        <w:t xml:space="preserve"> communautés locales et les parties prenantes concernées qui dépendent directement de la biodiversité</w:t>
      </w:r>
      <w:r w:rsidR="009206BA">
        <w:t> </w:t>
      </w:r>
      <w:r>
        <w:t>;</w:t>
      </w:r>
    </w:p>
    <w:p w14:paraId="4ADF5992" w14:textId="2F165EFB" w:rsidR="001651D6" w:rsidRPr="00F926B2" w:rsidRDefault="001651D6" w:rsidP="001651D6">
      <w:pPr>
        <w:pStyle w:val="Para3"/>
        <w:ind w:left="567" w:firstLine="567"/>
        <w:rPr>
          <w:kern w:val="22"/>
        </w:rPr>
      </w:pPr>
      <w:r>
        <w:t>d)</w:t>
      </w:r>
      <w:r>
        <w:tab/>
      </w:r>
      <w:r w:rsidR="00B63F62">
        <w:t>D’e</w:t>
      </w:r>
      <w:r>
        <w:t>nvisager d</w:t>
      </w:r>
      <w:r w:rsidR="002C0322">
        <w:t>’</w:t>
      </w:r>
      <w:r>
        <w:t>intégrer</w:t>
      </w:r>
      <w:r w:rsidR="00494320" w:rsidRPr="00494320">
        <w:t xml:space="preserve"> </w:t>
      </w:r>
      <w:r w:rsidR="00494320">
        <w:t>dans leurs stratégies et plans d’action nationaux pour la biodiversité révisés et dans leurs cibles nationales pertinentes, le cas échéant,</w:t>
      </w:r>
      <w:r>
        <w:t xml:space="preserve"> et de promouvoir, le cas échéant, des solutions fondées sur la nature et/ou des approches écosystémiques, des approches non fondées sur le marché et des actions centrées sur la Terre nourricière, comme indiqué par certains pays, en vue de l</w:t>
      </w:r>
      <w:r w:rsidR="002C0322">
        <w:t>’</w:t>
      </w:r>
      <w:r>
        <w:t>adaptation aux changements climatiques et de l</w:t>
      </w:r>
      <w:r w:rsidR="002C0322">
        <w:t>’</w:t>
      </w:r>
      <w:r>
        <w:t>atténuation de leurs effets, ainsi que de la réduction des risques de catastrophe, et de promouvoir des synergies avec d</w:t>
      </w:r>
      <w:r w:rsidR="002C0322">
        <w:t>’</w:t>
      </w:r>
      <w:r>
        <w:t>autres processus de planification nationaux établis en vertu d</w:t>
      </w:r>
      <w:r w:rsidR="002C0322">
        <w:t>’</w:t>
      </w:r>
      <w:r>
        <w:t>accords multilatéraux sur l</w:t>
      </w:r>
      <w:r w:rsidR="002C0322">
        <w:t>’</w:t>
      </w:r>
      <w:r>
        <w:t>environnement liés à la biodiversité, ainsi qu</w:t>
      </w:r>
      <w:r w:rsidR="002C0322">
        <w:t>’</w:t>
      </w:r>
      <w:r>
        <w:t>en vertu de la Convention-cadre des Nations Unies sur les changements climatiques et de l</w:t>
      </w:r>
      <w:r w:rsidR="002C0322">
        <w:t>’</w:t>
      </w:r>
      <w:r>
        <w:t>Accord de Paris</w:t>
      </w:r>
      <w:r w:rsidR="00494320" w:rsidRPr="00250152">
        <w:rPr>
          <w:vertAlign w:val="superscript"/>
        </w:rPr>
        <w:t>5</w:t>
      </w:r>
      <w:r w:rsidR="00494320">
        <w:t xml:space="preserve">, </w:t>
      </w:r>
      <w:r>
        <w:t>en coordination avec les points focaux d</w:t>
      </w:r>
      <w:r w:rsidR="002C0322">
        <w:t>’</w:t>
      </w:r>
      <w:r>
        <w:t>autres accords multilatéraux sur l</w:t>
      </w:r>
      <w:r w:rsidR="002C0322">
        <w:t>’</w:t>
      </w:r>
      <w:r>
        <w:t>environnement, le cas échéant, y compris au moyen de processus nationaux de coordination, de planification, d</w:t>
      </w:r>
      <w:r w:rsidR="002C0322">
        <w:t>’</w:t>
      </w:r>
      <w:r>
        <w:t>examen et de compte rendu, selon le cas, de manière complémentaire et synergique</w:t>
      </w:r>
      <w:r w:rsidR="009206BA">
        <w:t> </w:t>
      </w:r>
      <w:r>
        <w:t>;</w:t>
      </w:r>
    </w:p>
    <w:p w14:paraId="757C0E3A" w14:textId="421CCC01" w:rsidR="001651D6" w:rsidRPr="00F926B2" w:rsidRDefault="001651D6" w:rsidP="001651D6">
      <w:pPr>
        <w:pStyle w:val="Para3"/>
        <w:ind w:left="567" w:firstLine="567"/>
        <w:rPr>
          <w:kern w:val="22"/>
        </w:rPr>
      </w:pPr>
      <w:r>
        <w:t>e)</w:t>
      </w:r>
      <w:r>
        <w:tab/>
        <w:t>De prendre en compte la diversité des valeurs, des visions du monde et des systèmes de connaissances, y compris les connaissances traditionnelles des peuples autochtones et communautés locales, ainsi que les approches intersectionnelles, afin de garantir des actions contextuellement pertinentes visant à respecter, protéger, promouvoir et réaliser les droits de l</w:t>
      </w:r>
      <w:r w:rsidR="002C0322">
        <w:t>’</w:t>
      </w:r>
      <w:r>
        <w:t>homme et à renforcer l</w:t>
      </w:r>
      <w:r w:rsidR="002C0322">
        <w:t>’</w:t>
      </w:r>
      <w:r>
        <w:t>autonomisation, l</w:t>
      </w:r>
      <w:r w:rsidR="002C0322">
        <w:t>’</w:t>
      </w:r>
      <w:r>
        <w:t>action et l</w:t>
      </w:r>
      <w:r w:rsidR="002C0322">
        <w:t>’</w:t>
      </w:r>
      <w:r>
        <w:t xml:space="preserve">équité intergénérationnelle, ainsi que la protection des droits des peuples autochtones et communautés locales sur leurs terres, territoires et ressources, et </w:t>
      </w:r>
      <w:r w:rsidR="001C66F6">
        <w:t xml:space="preserve">de veiller à ce </w:t>
      </w:r>
      <w:r>
        <w:t>que les synergies potentielles entre les actions en faveur de la biodiversité et du climat qui ont un impact direct ou indirect sur les droits fonciers ou les droits de l</w:t>
      </w:r>
      <w:r w:rsidR="002C0322">
        <w:t>’</w:t>
      </w:r>
      <w:r>
        <w:t>homme, ainsi que sur les droits des peuples autochtones et communautés locales, ne soient mises en œuvre qu</w:t>
      </w:r>
      <w:r w:rsidR="002C0322">
        <w:t>’</w:t>
      </w:r>
      <w:r>
        <w:t>avec leur consentement libre, préalable et éclairé</w:t>
      </w:r>
      <w:r w:rsidRPr="00F926B2">
        <w:rPr>
          <w:rStyle w:val="Appelnotedebasdep"/>
          <w:rFonts w:asciiTheme="majorBidi" w:hAnsiTheme="majorBidi" w:cstheme="majorBidi"/>
          <w:lang w:val="en-GB"/>
        </w:rPr>
        <w:footnoteReference w:id="9"/>
      </w:r>
      <w:r>
        <w:t>, dans le respect de la législation nationale et en conformité avec les instruments internationaux</w:t>
      </w:r>
      <w:r w:rsidR="009206BA">
        <w:t> </w:t>
      </w:r>
      <w:r>
        <w:rPr>
          <w:rFonts w:asciiTheme="majorBidi" w:hAnsiTheme="majorBidi"/>
        </w:rPr>
        <w:t>;</w:t>
      </w:r>
    </w:p>
    <w:p w14:paraId="3D97F778" w14:textId="37060C22" w:rsidR="00D2344F" w:rsidRPr="00F926B2" w:rsidRDefault="000A2E2B" w:rsidP="001651D6">
      <w:pPr>
        <w:pStyle w:val="Para10"/>
        <w:suppressLineNumbers/>
        <w:suppressAutoHyphens/>
        <w:kinsoku w:val="0"/>
        <w:overflowPunct w:val="0"/>
        <w:autoSpaceDE w:val="0"/>
        <w:autoSpaceDN w:val="0"/>
        <w:adjustRightInd w:val="0"/>
        <w:ind w:left="567" w:firstLine="562"/>
        <w:rPr>
          <w:kern w:val="22"/>
        </w:rPr>
      </w:pPr>
      <w:r>
        <w:t>4.</w:t>
      </w:r>
      <w:r>
        <w:tab/>
      </w:r>
      <w:r>
        <w:rPr>
          <w:i/>
          <w:iCs/>
        </w:rPr>
        <w:t xml:space="preserve">Encourage </w:t>
      </w:r>
      <w:r>
        <w:t xml:space="preserve">les Parties à utiliser les outils et les informations disponibles au titre de la Convention sur la diversité biologique, y compris les </w:t>
      </w:r>
      <w:r w:rsidR="001C66F6">
        <w:t>L</w:t>
      </w:r>
      <w:r w:rsidR="001C66F6" w:rsidRPr="001C66F6">
        <w:t>ignes directrices facultatives pour la conception et l’application effective des approches écosystémiques d’adaptation aux changements climatiques et de réduction des risques de catastrophe</w:t>
      </w:r>
      <w:r w:rsidR="001651D6" w:rsidRPr="00F926B2">
        <w:rPr>
          <w:rStyle w:val="Appelnotedebasdep"/>
          <w:kern w:val="22"/>
          <w:lang w:val="en-GB"/>
        </w:rPr>
        <w:footnoteReference w:id="10"/>
      </w:r>
      <w:r>
        <w:t xml:space="preserve">, ou leurs versions actualisées, </w:t>
      </w:r>
      <w:r w:rsidR="00494320">
        <w:t>conformément aux décisions de la Conférence des</w:t>
      </w:r>
      <w:r>
        <w:t xml:space="preserve"> Parties, ainsi que les outils et orientations pertinents élaborés dans le cadre d</w:t>
      </w:r>
      <w:r w:rsidR="002C0322">
        <w:t>’</w:t>
      </w:r>
      <w:r>
        <w:t>autres conventions relatives à la biodiversité</w:t>
      </w:r>
      <w:r w:rsidR="001651D6" w:rsidRPr="00F926B2">
        <w:rPr>
          <w:rStyle w:val="Appelnotedebasdep"/>
          <w:kern w:val="22"/>
          <w:lang w:val="en-GB"/>
        </w:rPr>
        <w:footnoteReference w:id="11"/>
      </w:r>
      <w:r w:rsidR="009206BA">
        <w:t> </w:t>
      </w:r>
      <w:r>
        <w:t>;</w:t>
      </w:r>
    </w:p>
    <w:p w14:paraId="333ABF42" w14:textId="314B47EE" w:rsidR="001651D6" w:rsidRPr="00F926B2" w:rsidRDefault="000A2E2B" w:rsidP="001651D6">
      <w:pPr>
        <w:pStyle w:val="Para10"/>
        <w:suppressLineNumbers/>
        <w:suppressAutoHyphens/>
        <w:kinsoku w:val="0"/>
        <w:overflowPunct w:val="0"/>
        <w:autoSpaceDE w:val="0"/>
        <w:autoSpaceDN w:val="0"/>
        <w:adjustRightInd w:val="0"/>
        <w:ind w:left="567" w:firstLine="562"/>
      </w:pPr>
      <w:r>
        <w:t>5.</w:t>
      </w:r>
      <w:r>
        <w:rPr>
          <w:i/>
          <w:iCs/>
          <w:szCs w:val="22"/>
        </w:rPr>
        <w:tab/>
      </w:r>
      <w:r>
        <w:rPr>
          <w:i/>
          <w:iCs/>
        </w:rPr>
        <w:t xml:space="preserve">Encourage </w:t>
      </w:r>
      <w:r>
        <w:t xml:space="preserve">les Parties, les autres gouvernements à tous les </w:t>
      </w:r>
      <w:r w:rsidR="001C66F6">
        <w:t>niveaux</w:t>
      </w:r>
      <w:r>
        <w:t xml:space="preserve"> et les organisations compétentes, avec la participation pleine et effective des peuples autochtones et communautés locales, des femmes et des jeunes, à tenir compte des incidences existantes et prévues des changements climatiques et des politiques </w:t>
      </w:r>
      <w:r w:rsidR="001C66F6">
        <w:t>relatives</w:t>
      </w:r>
      <w:r>
        <w:t xml:space="preserve"> au climat sur la biodiversité </w:t>
      </w:r>
      <w:r w:rsidR="001C66F6">
        <w:t>dans le contexte</w:t>
      </w:r>
      <w:r>
        <w:t xml:space="preserve"> de la mise en œuvre du Cadre</w:t>
      </w:r>
      <w:r w:rsidR="009206BA">
        <w:t> </w:t>
      </w:r>
      <w:r>
        <w:t>;</w:t>
      </w:r>
    </w:p>
    <w:p w14:paraId="67E56E88" w14:textId="3E87678C" w:rsidR="001651D6" w:rsidRPr="00F926B2" w:rsidRDefault="001651D6" w:rsidP="00505036">
      <w:pPr>
        <w:ind w:left="567"/>
        <w:rPr>
          <w:kern w:val="22"/>
        </w:rPr>
      </w:pPr>
      <w:r>
        <w:rPr>
          <w:rFonts w:asciiTheme="majorBidi" w:hAnsiTheme="majorBidi"/>
        </w:rPr>
        <w:tab/>
        <w:t>6.</w:t>
      </w:r>
      <w:r>
        <w:rPr>
          <w:rFonts w:asciiTheme="majorBidi" w:hAnsiTheme="majorBidi"/>
        </w:rPr>
        <w:tab/>
      </w:r>
      <w:r>
        <w:rPr>
          <w:rFonts w:asciiTheme="majorBidi" w:hAnsiTheme="majorBidi"/>
          <w:i/>
          <w:iCs/>
        </w:rPr>
        <w:t xml:space="preserve">Réaffirme </w:t>
      </w:r>
      <w:r>
        <w:rPr>
          <w:rFonts w:asciiTheme="majorBidi" w:hAnsiTheme="majorBidi"/>
        </w:rPr>
        <w:t>la décision</w:t>
      </w:r>
      <w:r w:rsidR="009206BA">
        <w:rPr>
          <w:rFonts w:asciiTheme="majorBidi" w:hAnsiTheme="majorBidi"/>
        </w:rPr>
        <w:t> </w:t>
      </w:r>
      <w:hyperlink r:id="rId28" w:history="1">
        <w:r w:rsidRPr="00494320">
          <w:rPr>
            <w:rStyle w:val="Lienhypertexte"/>
            <w:rFonts w:asciiTheme="majorBidi" w:hAnsiTheme="majorBidi"/>
          </w:rPr>
          <w:t>IX/16 C</w:t>
        </w:r>
      </w:hyperlink>
      <w:r>
        <w:rPr>
          <w:rFonts w:asciiTheme="majorBidi" w:hAnsiTheme="majorBidi"/>
        </w:rPr>
        <w:t xml:space="preserve"> sur la fertilisation des océans, le paragraphe</w:t>
      </w:r>
      <w:r w:rsidR="009206BA">
        <w:rPr>
          <w:rFonts w:asciiTheme="majorBidi" w:hAnsiTheme="majorBidi"/>
        </w:rPr>
        <w:t> </w:t>
      </w:r>
      <w:r>
        <w:rPr>
          <w:rFonts w:asciiTheme="majorBidi" w:hAnsiTheme="majorBidi"/>
        </w:rPr>
        <w:t>8 w) de la décision</w:t>
      </w:r>
      <w:r w:rsidR="009206BA">
        <w:rPr>
          <w:rFonts w:asciiTheme="majorBidi" w:hAnsiTheme="majorBidi"/>
        </w:rPr>
        <w:t> </w:t>
      </w:r>
      <w:hyperlink r:id="rId29" w:history="1">
        <w:r w:rsidRPr="00494320">
          <w:rPr>
            <w:rStyle w:val="Lienhypertexte"/>
            <w:rFonts w:asciiTheme="majorBidi" w:hAnsiTheme="majorBidi"/>
          </w:rPr>
          <w:t>X/33</w:t>
        </w:r>
      </w:hyperlink>
      <w:r w:rsidR="00494320">
        <w:rPr>
          <w:rFonts w:asciiTheme="majorBidi" w:hAnsiTheme="majorBidi"/>
        </w:rPr>
        <w:t xml:space="preserve"> sur la diversité biologique et les changements climatiques</w:t>
      </w:r>
      <w:r>
        <w:rPr>
          <w:rFonts w:asciiTheme="majorBidi" w:hAnsiTheme="majorBidi"/>
        </w:rPr>
        <w:t>, et les décisions</w:t>
      </w:r>
      <w:r w:rsidR="009206BA">
        <w:rPr>
          <w:rFonts w:asciiTheme="majorBidi" w:hAnsiTheme="majorBidi"/>
        </w:rPr>
        <w:t> </w:t>
      </w:r>
      <w:hyperlink r:id="rId30" w:history="1">
        <w:r w:rsidRPr="00494320">
          <w:rPr>
            <w:rStyle w:val="Lienhypertexte"/>
            <w:rFonts w:asciiTheme="majorBidi" w:hAnsiTheme="majorBidi"/>
          </w:rPr>
          <w:t>XI/20</w:t>
        </w:r>
      </w:hyperlink>
      <w:r>
        <w:rPr>
          <w:rFonts w:asciiTheme="majorBidi" w:hAnsiTheme="majorBidi"/>
        </w:rPr>
        <w:t xml:space="preserve"> et </w:t>
      </w:r>
      <w:hyperlink r:id="rId31" w:history="1">
        <w:r w:rsidRPr="00494320">
          <w:rPr>
            <w:rStyle w:val="Lienhypertexte"/>
            <w:rFonts w:asciiTheme="majorBidi" w:hAnsiTheme="majorBidi"/>
          </w:rPr>
          <w:t>XIII/14</w:t>
        </w:r>
      </w:hyperlink>
      <w:r>
        <w:rPr>
          <w:rFonts w:asciiTheme="majorBidi" w:hAnsiTheme="majorBidi"/>
        </w:rPr>
        <w:t xml:space="preserve"> du 9</w:t>
      </w:r>
      <w:r w:rsidR="009206BA">
        <w:rPr>
          <w:rFonts w:asciiTheme="majorBidi" w:hAnsiTheme="majorBidi"/>
        </w:rPr>
        <w:t> </w:t>
      </w:r>
      <w:r>
        <w:rPr>
          <w:rFonts w:asciiTheme="majorBidi" w:hAnsiTheme="majorBidi"/>
        </w:rPr>
        <w:t>décembre 2016 sur la géo</w:t>
      </w:r>
      <w:r w:rsidR="009206BA">
        <w:rPr>
          <w:rFonts w:asciiTheme="majorBidi" w:hAnsiTheme="majorBidi"/>
        </w:rPr>
        <w:t>-</w:t>
      </w:r>
      <w:r>
        <w:rPr>
          <w:rFonts w:asciiTheme="majorBidi" w:hAnsiTheme="majorBidi"/>
        </w:rPr>
        <w:t xml:space="preserve">ingénierie </w:t>
      </w:r>
      <w:r w:rsidR="00494320">
        <w:rPr>
          <w:rFonts w:asciiTheme="majorBidi" w:hAnsiTheme="majorBidi"/>
        </w:rPr>
        <w:t>climatique</w:t>
      </w:r>
      <w:r>
        <w:rPr>
          <w:rFonts w:asciiTheme="majorBidi" w:hAnsiTheme="majorBidi"/>
        </w:rPr>
        <w:t>, et prie instamment les Parties et encourage les autres gouvernements à veiller à leur application</w:t>
      </w:r>
      <w:r w:rsidR="009206BA">
        <w:rPr>
          <w:rFonts w:asciiTheme="majorBidi" w:hAnsiTheme="majorBidi"/>
        </w:rPr>
        <w:t> </w:t>
      </w:r>
      <w:r>
        <w:rPr>
          <w:rFonts w:asciiTheme="majorBidi" w:hAnsiTheme="majorBidi"/>
        </w:rPr>
        <w:t>;</w:t>
      </w:r>
    </w:p>
    <w:p w14:paraId="67CE4A6B" w14:textId="20188A9C" w:rsidR="001651D6" w:rsidRPr="00F926B2" w:rsidRDefault="001651D6" w:rsidP="001651D6">
      <w:pPr>
        <w:pStyle w:val="Para10"/>
        <w:suppressLineNumbers/>
        <w:tabs>
          <w:tab w:val="left" w:pos="1170"/>
        </w:tabs>
        <w:suppressAutoHyphens/>
        <w:kinsoku w:val="0"/>
        <w:overflowPunct w:val="0"/>
        <w:autoSpaceDE w:val="0"/>
        <w:autoSpaceDN w:val="0"/>
        <w:adjustRightInd w:val="0"/>
        <w:ind w:left="567" w:firstLine="567"/>
        <w:rPr>
          <w:kern w:val="22"/>
          <w:szCs w:val="22"/>
        </w:rPr>
      </w:pPr>
      <w:r>
        <w:t>7.</w:t>
      </w:r>
      <w:r>
        <w:tab/>
      </w:r>
      <w:r>
        <w:rPr>
          <w:i/>
          <w:iCs/>
          <w:szCs w:val="22"/>
        </w:rPr>
        <w:t xml:space="preserve">Prie instamment </w:t>
      </w:r>
      <w:r>
        <w:t>les Parties, et invite les autres gouvernements et les parties prenantes concernées, lorsqu</w:t>
      </w:r>
      <w:r w:rsidR="002C0322">
        <w:t>’</w:t>
      </w:r>
      <w:r>
        <w:t>ils prennent des mesures en vue de réaliser les cibles</w:t>
      </w:r>
      <w:r w:rsidR="009206BA">
        <w:t> </w:t>
      </w:r>
      <w:r>
        <w:t xml:space="preserve">8 et 11 ainsi que </w:t>
      </w:r>
      <w:r w:rsidR="001C66F6">
        <w:t>l</w:t>
      </w:r>
      <w:r>
        <w:t xml:space="preserve">es cibles </w:t>
      </w:r>
      <w:r>
        <w:lastRenderedPageBreak/>
        <w:t>connexes du Cadre, conformément aux circonstances, aux priorités et aux capacités nationales, d</w:t>
      </w:r>
      <w:r w:rsidR="002C0322">
        <w:t>’</w:t>
      </w:r>
      <w:r>
        <w:t>agir conformément à l</w:t>
      </w:r>
      <w:r w:rsidR="002C0322">
        <w:t>’</w:t>
      </w:r>
      <w:r>
        <w:t>article</w:t>
      </w:r>
      <w:r w:rsidR="009206BA">
        <w:t> </w:t>
      </w:r>
      <w:r>
        <w:t>20 de la Convention et en accord avec la cible</w:t>
      </w:r>
      <w:r w:rsidR="009206BA">
        <w:t> </w:t>
      </w:r>
      <w:r>
        <w:t>19 du Cadre, et conformément à la décision</w:t>
      </w:r>
      <w:r w:rsidR="009206BA">
        <w:t> </w:t>
      </w:r>
      <w:r>
        <w:t>16/</w:t>
      </w:r>
      <w:r w:rsidR="00E15123">
        <w:rPr>
          <w:lang w:eastAsia="zh-CN"/>
        </w:rPr>
        <w:t>34 du 27 février 2025</w:t>
      </w:r>
      <w:r>
        <w:t xml:space="preserve"> sur la mobilisation des ressources, </w:t>
      </w:r>
      <w:r w:rsidR="000966D5" w:rsidRPr="000966D5">
        <w:t>en vue de renforcer le suivi des diverses sources de financement pour améliorer la compréhension et la transparence</w:t>
      </w:r>
      <w:r w:rsidR="000966D5">
        <w:t xml:space="preserve"> ;</w:t>
      </w:r>
    </w:p>
    <w:p w14:paraId="7009E41A" w14:textId="686389CC" w:rsidR="001651D6" w:rsidRPr="00F926B2" w:rsidRDefault="00737665" w:rsidP="001651D6">
      <w:pPr>
        <w:pStyle w:val="Para10"/>
        <w:suppressLineNumbers/>
        <w:tabs>
          <w:tab w:val="left" w:pos="1170"/>
        </w:tabs>
        <w:suppressAutoHyphens/>
        <w:kinsoku w:val="0"/>
        <w:overflowPunct w:val="0"/>
        <w:autoSpaceDE w:val="0"/>
        <w:autoSpaceDN w:val="0"/>
        <w:adjustRightInd w:val="0"/>
        <w:ind w:left="567" w:firstLine="567"/>
        <w:rPr>
          <w:noProof/>
          <w:kern w:val="22"/>
        </w:rPr>
      </w:pPr>
      <w:r>
        <w:t>8.</w:t>
      </w:r>
      <w:r>
        <w:tab/>
      </w:r>
      <w:r>
        <w:rPr>
          <w:i/>
          <w:iCs/>
        </w:rPr>
        <w:t xml:space="preserve">Encourage </w:t>
      </w:r>
      <w:r>
        <w:t>les Parties, les autres gouvernements et les organisations compétentes à évaluer, gérer et éviter ou réduire au minimum les effets négatifs potentiels sur la biodiversité et sur l</w:t>
      </w:r>
      <w:r w:rsidR="002C0322">
        <w:t>’</w:t>
      </w:r>
      <w:r>
        <w:t xml:space="preserve">intégrité des écosystèmes qui pourraient résulter des transitions économiques et sectorielles entreprises en réponse </w:t>
      </w:r>
      <w:r w:rsidR="00F8315A">
        <w:t>aux</w:t>
      </w:r>
      <w:r>
        <w:t xml:space="preserve"> changements climatiques</w:t>
      </w:r>
      <w:r w:rsidR="009206BA">
        <w:t> </w:t>
      </w:r>
      <w:r>
        <w:t>;</w:t>
      </w:r>
    </w:p>
    <w:p w14:paraId="4680B59A" w14:textId="0391C882" w:rsidR="001651D6" w:rsidRPr="00F926B2" w:rsidRDefault="00737665" w:rsidP="001651D6">
      <w:pPr>
        <w:pStyle w:val="Para10"/>
        <w:suppressLineNumbers/>
        <w:suppressAutoHyphens/>
        <w:kinsoku w:val="0"/>
        <w:overflowPunct w:val="0"/>
        <w:autoSpaceDE w:val="0"/>
        <w:autoSpaceDN w:val="0"/>
        <w:adjustRightInd w:val="0"/>
        <w:ind w:left="567" w:firstLine="567"/>
        <w:rPr>
          <w:kern w:val="22"/>
          <w:szCs w:val="22"/>
        </w:rPr>
      </w:pPr>
      <w:r>
        <w:t>9.</w:t>
      </w:r>
      <w:r>
        <w:tab/>
      </w:r>
      <w:r>
        <w:rPr>
          <w:i/>
          <w:iCs/>
          <w:szCs w:val="22"/>
        </w:rPr>
        <w:t xml:space="preserve">Prend note </w:t>
      </w:r>
      <w:r>
        <w:t xml:space="preserve">des consultations intergouvernementales </w:t>
      </w:r>
      <w:r w:rsidR="001C66F6">
        <w:t>concernant</w:t>
      </w:r>
      <w:r>
        <w:t xml:space="preserve"> les solutions fondées sur la nature entreprises par le Programme des Nations Unies pour l</w:t>
      </w:r>
      <w:r w:rsidR="002C0322">
        <w:t>’</w:t>
      </w:r>
      <w:r>
        <w:t>environnement, en application de la résolution</w:t>
      </w:r>
      <w:r w:rsidR="009206BA">
        <w:t> </w:t>
      </w:r>
      <w:r>
        <w:t>5/5 de l</w:t>
      </w:r>
      <w:r w:rsidR="002C0322">
        <w:t>’</w:t>
      </w:r>
      <w:r>
        <w:t>Assemblée des Nations Unies pour l</w:t>
      </w:r>
      <w:r w:rsidR="002C0322">
        <w:t>’</w:t>
      </w:r>
      <w:r>
        <w:t>environnement</w:t>
      </w:r>
      <w:r w:rsidR="009206BA">
        <w:t> </w:t>
      </w:r>
      <w:r>
        <w:t>;</w:t>
      </w:r>
    </w:p>
    <w:p w14:paraId="52C3AE09" w14:textId="46A29231" w:rsidR="001651D6" w:rsidRPr="00F926B2" w:rsidRDefault="001651D6" w:rsidP="001651D6">
      <w:pPr>
        <w:ind w:left="567"/>
        <w:rPr>
          <w:rFonts w:asciiTheme="majorBidi" w:hAnsiTheme="majorBidi" w:cstheme="majorBidi"/>
        </w:rPr>
      </w:pPr>
      <w:r>
        <w:rPr>
          <w:rFonts w:asciiTheme="majorBidi" w:hAnsiTheme="majorBidi"/>
        </w:rPr>
        <w:tab/>
        <w:t>10.</w:t>
      </w:r>
      <w:r>
        <w:rPr>
          <w:rFonts w:asciiTheme="majorBidi" w:hAnsiTheme="majorBidi"/>
        </w:rPr>
        <w:tab/>
      </w:r>
      <w:r>
        <w:rPr>
          <w:rFonts w:asciiTheme="majorBidi" w:hAnsiTheme="majorBidi"/>
          <w:i/>
          <w:iCs/>
        </w:rPr>
        <w:t>Se félicite</w:t>
      </w:r>
      <w:r>
        <w:rPr>
          <w:rFonts w:asciiTheme="majorBidi" w:hAnsiTheme="majorBidi"/>
        </w:rPr>
        <w:t xml:space="preserve"> de la décision 1/CMA.5 du 13</w:t>
      </w:r>
      <w:r w:rsidR="009206BA">
        <w:rPr>
          <w:rFonts w:asciiTheme="majorBidi" w:hAnsiTheme="majorBidi"/>
        </w:rPr>
        <w:t> </w:t>
      </w:r>
      <w:r>
        <w:rPr>
          <w:rFonts w:asciiTheme="majorBidi" w:hAnsiTheme="majorBidi"/>
        </w:rPr>
        <w:t>décembre 2023 de la Conférence des Parties siégeant en tant que réunion des Parties à l</w:t>
      </w:r>
      <w:r w:rsidR="002C0322">
        <w:rPr>
          <w:rFonts w:asciiTheme="majorBidi" w:hAnsiTheme="majorBidi"/>
        </w:rPr>
        <w:t>’</w:t>
      </w:r>
      <w:r>
        <w:rPr>
          <w:rFonts w:asciiTheme="majorBidi" w:hAnsiTheme="majorBidi"/>
        </w:rPr>
        <w:t>Accord de Paris</w:t>
      </w:r>
      <w:r w:rsidR="00F8315A" w:rsidRPr="00250152">
        <w:rPr>
          <w:rFonts w:asciiTheme="majorBidi" w:hAnsiTheme="majorBidi" w:cstheme="majorBidi"/>
          <w:vertAlign w:val="superscript"/>
        </w:rPr>
        <w:t>5</w:t>
      </w:r>
      <w:r w:rsidR="00C14820" w:rsidRPr="00C14820">
        <w:rPr>
          <w:rFonts w:asciiTheme="majorBidi" w:hAnsiTheme="majorBidi" w:cstheme="majorBidi"/>
          <w:lang w:val="fr-FR"/>
        </w:rPr>
        <w:t>,</w:t>
      </w:r>
      <w:r>
        <w:rPr>
          <w:rFonts w:asciiTheme="majorBidi" w:hAnsiTheme="majorBidi"/>
        </w:rPr>
        <w:t xml:space="preserve"> en particulier de ses paragraphes</w:t>
      </w:r>
      <w:r w:rsidR="009206BA">
        <w:rPr>
          <w:rFonts w:asciiTheme="majorBidi" w:hAnsiTheme="majorBidi"/>
        </w:rPr>
        <w:t> </w:t>
      </w:r>
      <w:r>
        <w:rPr>
          <w:rFonts w:asciiTheme="majorBidi" w:hAnsiTheme="majorBidi"/>
        </w:rPr>
        <w:t>33, 34, 55, 63</w:t>
      </w:r>
      <w:r w:rsidR="009206BA">
        <w:rPr>
          <w:rFonts w:asciiTheme="majorBidi" w:hAnsiTheme="majorBidi"/>
        </w:rPr>
        <w:t> </w:t>
      </w:r>
      <w:r>
        <w:rPr>
          <w:rFonts w:asciiTheme="majorBidi" w:hAnsiTheme="majorBidi"/>
        </w:rPr>
        <w:t>d) et 163</w:t>
      </w:r>
      <w:r w:rsidR="009206BA">
        <w:rPr>
          <w:rFonts w:asciiTheme="majorBidi" w:hAnsiTheme="majorBidi"/>
        </w:rPr>
        <w:t> </w:t>
      </w:r>
      <w:r>
        <w:rPr>
          <w:rFonts w:asciiTheme="majorBidi" w:hAnsiTheme="majorBidi"/>
        </w:rPr>
        <w:t>;</w:t>
      </w:r>
    </w:p>
    <w:p w14:paraId="4FBA0AC8" w14:textId="1AC208B6" w:rsidR="001651D6" w:rsidRPr="00F926B2" w:rsidRDefault="00785CD2" w:rsidP="009E0912">
      <w:pPr>
        <w:pStyle w:val="Para10"/>
        <w:suppressLineNumbers/>
        <w:suppressAutoHyphens/>
        <w:kinsoku w:val="0"/>
        <w:overflowPunct w:val="0"/>
        <w:autoSpaceDE w:val="0"/>
        <w:autoSpaceDN w:val="0"/>
        <w:adjustRightInd w:val="0"/>
        <w:ind w:left="567" w:firstLine="567"/>
        <w:rPr>
          <w:kern w:val="22"/>
        </w:rPr>
      </w:pPr>
      <w:r>
        <w:rPr>
          <w:rFonts w:asciiTheme="majorBidi" w:hAnsiTheme="majorBidi"/>
        </w:rPr>
        <w:t>11.</w:t>
      </w:r>
      <w:r>
        <w:rPr>
          <w:rFonts w:asciiTheme="majorBidi" w:hAnsiTheme="majorBidi"/>
        </w:rPr>
        <w:tab/>
      </w:r>
      <w:r>
        <w:rPr>
          <w:rFonts w:asciiTheme="majorBidi" w:hAnsiTheme="majorBidi"/>
          <w:i/>
          <w:iCs/>
        </w:rPr>
        <w:t>Souligne</w:t>
      </w:r>
      <w:r>
        <w:rPr>
          <w:rFonts w:asciiTheme="majorBidi" w:hAnsiTheme="majorBidi"/>
        </w:rPr>
        <w:t xml:space="preserve"> qu</w:t>
      </w:r>
      <w:r w:rsidR="002C0322">
        <w:rPr>
          <w:rFonts w:asciiTheme="majorBidi" w:hAnsiTheme="majorBidi"/>
        </w:rPr>
        <w:t>’</w:t>
      </w:r>
      <w:r>
        <w:rPr>
          <w:rFonts w:asciiTheme="majorBidi" w:hAnsiTheme="majorBidi"/>
        </w:rPr>
        <w:t>il importe que les correspondants nationaux de la Convention sur la diversité biologique collaborent avec leurs homologues de la Convention-cadre des Nations Unies sur les changements climatiques</w:t>
      </w:r>
      <w:r w:rsidR="00F8315A">
        <w:rPr>
          <w:rFonts w:asciiTheme="majorBidi" w:hAnsiTheme="majorBidi" w:cstheme="majorBidi"/>
          <w:lang w:val="fr-FR"/>
        </w:rPr>
        <w:t xml:space="preserve"> et des conventions </w:t>
      </w:r>
      <w:r w:rsidR="00F8315A" w:rsidRPr="00F8315A">
        <w:rPr>
          <w:rFonts w:asciiTheme="majorBidi" w:hAnsiTheme="majorBidi" w:cstheme="majorBidi"/>
          <w:lang w:val="fr-FR"/>
        </w:rPr>
        <w:t>ayant trait à la biodiversité</w:t>
      </w:r>
      <w:r>
        <w:rPr>
          <w:rFonts w:asciiTheme="majorBidi" w:hAnsiTheme="majorBidi"/>
        </w:rPr>
        <w:t>, et qu</w:t>
      </w:r>
      <w:r w:rsidR="002C0322">
        <w:rPr>
          <w:rFonts w:asciiTheme="majorBidi" w:hAnsiTheme="majorBidi"/>
        </w:rPr>
        <w:t>’</w:t>
      </w:r>
      <w:r>
        <w:rPr>
          <w:rFonts w:asciiTheme="majorBidi" w:hAnsiTheme="majorBidi"/>
        </w:rPr>
        <w:t>ils renforcent la collaboration entre les Parties à ces conventions, afin de sensibiliser aux liens pertinents entre la biodiversité et les changements climatiques, de manière à soutenir les processus de planification nationaux pertinents, conformément aux engagements</w:t>
      </w:r>
      <w:r w:rsidR="001C66F6">
        <w:rPr>
          <w:rFonts w:asciiTheme="majorBidi" w:hAnsiTheme="majorBidi"/>
        </w:rPr>
        <w:t xml:space="preserve"> nationaux ainsi qu’</w:t>
      </w:r>
      <w:r>
        <w:rPr>
          <w:rFonts w:asciiTheme="majorBidi" w:hAnsiTheme="majorBidi"/>
        </w:rPr>
        <w:t>aux circonstances et aux priorités nationales, selon qu</w:t>
      </w:r>
      <w:r w:rsidR="002C0322">
        <w:rPr>
          <w:rFonts w:asciiTheme="majorBidi" w:hAnsiTheme="majorBidi"/>
        </w:rPr>
        <w:t>’</w:t>
      </w:r>
      <w:r>
        <w:rPr>
          <w:rFonts w:asciiTheme="majorBidi" w:hAnsiTheme="majorBidi"/>
        </w:rPr>
        <w:t>il convient</w:t>
      </w:r>
      <w:r w:rsidR="009206BA">
        <w:rPr>
          <w:rFonts w:asciiTheme="majorBidi" w:hAnsiTheme="majorBidi"/>
        </w:rPr>
        <w:t> </w:t>
      </w:r>
      <w:r>
        <w:rPr>
          <w:rFonts w:asciiTheme="majorBidi" w:hAnsiTheme="majorBidi"/>
        </w:rPr>
        <w:t>;</w:t>
      </w:r>
    </w:p>
    <w:p w14:paraId="2F3C8B80" w14:textId="7573A58F" w:rsidR="001651D6" w:rsidRPr="00F926B2" w:rsidRDefault="00785CD2" w:rsidP="001651D6">
      <w:pPr>
        <w:pStyle w:val="Para10"/>
        <w:suppressLineNumbers/>
        <w:suppressAutoHyphens/>
        <w:kinsoku w:val="0"/>
        <w:overflowPunct w:val="0"/>
        <w:autoSpaceDE w:val="0"/>
        <w:autoSpaceDN w:val="0"/>
        <w:adjustRightInd w:val="0"/>
        <w:ind w:left="567" w:firstLine="567"/>
        <w:rPr>
          <w:noProof/>
          <w:kern w:val="22"/>
        </w:rPr>
      </w:pPr>
      <w:r>
        <w:t>12.</w:t>
      </w:r>
      <w:r>
        <w:tab/>
      </w:r>
      <w:r>
        <w:rPr>
          <w:i/>
          <w:iCs/>
        </w:rPr>
        <w:t>Invite</w:t>
      </w:r>
      <w:r>
        <w:t xml:space="preserve"> les organes respectifs de la Convention-cadre des Nations Unies sur les changements climatiques</w:t>
      </w:r>
      <w:r w:rsidR="001C66F6">
        <w:t xml:space="preserve"> </w:t>
      </w:r>
      <w:r>
        <w:t>et ses Parties</w:t>
      </w:r>
      <w:r w:rsidR="001C66F6">
        <w:t xml:space="preserve"> </w:t>
      </w:r>
      <w:r>
        <w:t>à envisager d</w:t>
      </w:r>
      <w:r w:rsidR="002C0322">
        <w:t>’</w:t>
      </w:r>
      <w:r>
        <w:t xml:space="preserve">utiliser les </w:t>
      </w:r>
      <w:r w:rsidR="001C66F6">
        <w:t>L</w:t>
      </w:r>
      <w:r w:rsidR="001C66F6" w:rsidRPr="001C66F6">
        <w:t>ignes directrices facultatives pour la conception et l’application effective des approches écosystémiques d’adaptation aux changements climatiques et de réduction des risques de catastrophe</w:t>
      </w:r>
      <w:r>
        <w:t xml:space="preserve">, </w:t>
      </w:r>
      <w:r w:rsidR="001C66F6">
        <w:t>afin</w:t>
      </w:r>
      <w:r>
        <w:t xml:space="preserve"> que les Parties intègrent la biodiversité et les garanties sociales dans les mesures d</w:t>
      </w:r>
      <w:r w:rsidR="002C0322">
        <w:t>’</w:t>
      </w:r>
      <w:r>
        <w:t>atténuation et d</w:t>
      </w:r>
      <w:r w:rsidR="002C0322">
        <w:t>’</w:t>
      </w:r>
      <w:r>
        <w:t>adaptation</w:t>
      </w:r>
      <w:r w:rsidR="009206BA">
        <w:t> </w:t>
      </w:r>
      <w:r>
        <w:t xml:space="preserve">; </w:t>
      </w:r>
    </w:p>
    <w:p w14:paraId="40C0761B" w14:textId="3CA6BA58" w:rsidR="001651D6" w:rsidRPr="00F926B2" w:rsidRDefault="00785CD2" w:rsidP="001651D6">
      <w:pPr>
        <w:pStyle w:val="Para10"/>
        <w:suppressLineNumbers/>
        <w:suppressAutoHyphens/>
        <w:kinsoku w:val="0"/>
        <w:overflowPunct w:val="0"/>
        <w:autoSpaceDE w:val="0"/>
        <w:autoSpaceDN w:val="0"/>
        <w:adjustRightInd w:val="0"/>
        <w:ind w:left="720" w:firstLine="414"/>
        <w:rPr>
          <w:noProof/>
          <w:kern w:val="22"/>
        </w:rPr>
      </w:pPr>
      <w:r>
        <w:rPr>
          <w:rFonts w:asciiTheme="majorBidi" w:hAnsiTheme="majorBidi"/>
          <w:szCs w:val="22"/>
        </w:rPr>
        <w:t>13.</w:t>
      </w:r>
      <w:r>
        <w:rPr>
          <w:rFonts w:asciiTheme="majorBidi" w:hAnsiTheme="majorBidi"/>
          <w:szCs w:val="22"/>
        </w:rPr>
        <w:tab/>
      </w:r>
      <w:r>
        <w:rPr>
          <w:rFonts w:asciiTheme="majorBidi" w:hAnsiTheme="majorBidi"/>
          <w:i/>
          <w:iCs/>
          <w:szCs w:val="22"/>
        </w:rPr>
        <w:t>Demande</w:t>
      </w:r>
      <w:r>
        <w:rPr>
          <w:rFonts w:asciiTheme="majorBidi" w:hAnsiTheme="majorBidi"/>
          <w:szCs w:val="22"/>
        </w:rPr>
        <w:t xml:space="preserve"> à la Présidente de la seizième réunion de la Conférence des Parties à la Convention d</w:t>
      </w:r>
      <w:r w:rsidR="002C0322">
        <w:rPr>
          <w:rFonts w:asciiTheme="majorBidi" w:hAnsiTheme="majorBidi"/>
          <w:szCs w:val="22"/>
        </w:rPr>
        <w:t>’</w:t>
      </w:r>
      <w:r>
        <w:rPr>
          <w:rFonts w:asciiTheme="majorBidi" w:hAnsiTheme="majorBidi"/>
          <w:szCs w:val="22"/>
        </w:rPr>
        <w:t xml:space="preserve">inviter les </w:t>
      </w:r>
      <w:r w:rsidR="001C66F6">
        <w:rPr>
          <w:rFonts w:asciiTheme="majorBidi" w:hAnsiTheme="majorBidi"/>
          <w:szCs w:val="22"/>
        </w:rPr>
        <w:t>p</w:t>
      </w:r>
      <w:r>
        <w:rPr>
          <w:rFonts w:asciiTheme="majorBidi" w:hAnsiTheme="majorBidi"/>
          <w:szCs w:val="22"/>
        </w:rPr>
        <w:t xml:space="preserve">résidents des vingt-neuvième et </w:t>
      </w:r>
      <w:proofErr w:type="gramStart"/>
      <w:r w:rsidR="00F8315A">
        <w:rPr>
          <w:rFonts w:asciiTheme="majorBidi" w:hAnsiTheme="majorBidi"/>
          <w:szCs w:val="22"/>
        </w:rPr>
        <w:t>trentième sessions</w:t>
      </w:r>
      <w:proofErr w:type="gramEnd"/>
      <w:r>
        <w:rPr>
          <w:rFonts w:asciiTheme="majorBidi" w:hAnsiTheme="majorBidi"/>
          <w:szCs w:val="22"/>
        </w:rPr>
        <w:t xml:space="preserve"> de la Conférence des Parties à </w:t>
      </w:r>
      <w:r>
        <w:rPr>
          <w:rFonts w:asciiTheme="majorBidi" w:hAnsiTheme="majorBidi"/>
        </w:rPr>
        <w:t>la Convention-cadre des Nations Unies sur les changements climatiques, respectivement,</w:t>
      </w:r>
      <w:r>
        <w:rPr>
          <w:rFonts w:asciiTheme="majorBidi" w:hAnsiTheme="majorBidi"/>
          <w:szCs w:val="22"/>
        </w:rPr>
        <w:t xml:space="preserve"> à examiner les possibilités de renforcer la coordination multilatérale sur les changements climatiques et la perte de biodiversité</w:t>
      </w:r>
      <w:r w:rsidR="009206BA">
        <w:rPr>
          <w:rFonts w:asciiTheme="majorBidi" w:hAnsiTheme="majorBidi"/>
          <w:szCs w:val="22"/>
        </w:rPr>
        <w:t> </w:t>
      </w:r>
      <w:r>
        <w:rPr>
          <w:rFonts w:asciiTheme="majorBidi" w:hAnsiTheme="majorBidi"/>
          <w:szCs w:val="22"/>
        </w:rPr>
        <w:t>;</w:t>
      </w:r>
    </w:p>
    <w:p w14:paraId="327FC406" w14:textId="21ED31D6" w:rsidR="001651D6" w:rsidRPr="00F926B2" w:rsidRDefault="00785CD2" w:rsidP="001651D6">
      <w:pPr>
        <w:pStyle w:val="Para10"/>
        <w:suppressLineNumbers/>
        <w:suppressAutoHyphens/>
        <w:kinsoku w:val="0"/>
        <w:overflowPunct w:val="0"/>
        <w:autoSpaceDE w:val="0"/>
        <w:autoSpaceDN w:val="0"/>
        <w:adjustRightInd w:val="0"/>
        <w:ind w:left="567" w:firstLine="567"/>
        <w:rPr>
          <w:noProof/>
          <w:kern w:val="22"/>
        </w:rPr>
      </w:pPr>
      <w:r>
        <w:t>14.</w:t>
      </w:r>
      <w:r>
        <w:tab/>
      </w:r>
      <w:r>
        <w:rPr>
          <w:i/>
          <w:iCs/>
        </w:rPr>
        <w:t>Prie</w:t>
      </w:r>
      <w:r>
        <w:t xml:space="preserve"> la Secrétaire exécutive, notamment lorsqu</w:t>
      </w:r>
      <w:r w:rsidR="002C0322">
        <w:t>’</w:t>
      </w:r>
      <w:r>
        <w:t xml:space="preserve">elle </w:t>
      </w:r>
      <w:r w:rsidR="001C66F6">
        <w:t>appuie</w:t>
      </w:r>
      <w:r>
        <w:t xml:space="preserve"> des activités entreprises dans le cadre de la Décennie des Nations Unies pour la restauration des écosystèmes, de promouvoir les synergies et une coopération plus étroite avec les accords multilatéraux sur l</w:t>
      </w:r>
      <w:r w:rsidR="002C0322">
        <w:t>’</w:t>
      </w:r>
      <w:r>
        <w:t xml:space="preserve">environnement, les organisations et les processus </w:t>
      </w:r>
      <w:r w:rsidR="001C66F6">
        <w:t>relatifs à</w:t>
      </w:r>
      <w:r>
        <w:t xml:space="preserve"> la diversité biologique, </w:t>
      </w:r>
      <w:r w:rsidR="001C66F6">
        <w:t>ainsi que</w:t>
      </w:r>
      <w:r>
        <w:t xml:space="preserve"> des approches intégrées </w:t>
      </w:r>
      <w:r w:rsidR="001C66F6">
        <w:t>de lutte</w:t>
      </w:r>
      <w:r>
        <w:t xml:space="preserve"> contre la perte de biodiversité, les changements climatiques et la dégradation des terres et des océans</w:t>
      </w:r>
      <w:r w:rsidR="009206BA">
        <w:t> </w:t>
      </w:r>
      <w:r>
        <w:t>;</w:t>
      </w:r>
    </w:p>
    <w:p w14:paraId="6A8FE854" w14:textId="7FEDF780" w:rsidR="001651D6" w:rsidRPr="00F926B2" w:rsidRDefault="001651D6" w:rsidP="001651D6">
      <w:pPr>
        <w:pStyle w:val="Para10"/>
        <w:ind w:left="567" w:firstLine="567"/>
        <w:rPr>
          <w:color w:val="000000"/>
          <w:kern w:val="22"/>
          <w:szCs w:val="22"/>
        </w:rPr>
      </w:pPr>
      <w:r>
        <w:rPr>
          <w:color w:val="000000"/>
          <w:szCs w:val="22"/>
        </w:rPr>
        <w:t>15.</w:t>
      </w:r>
      <w:r>
        <w:rPr>
          <w:color w:val="000000"/>
          <w:szCs w:val="22"/>
        </w:rPr>
        <w:tab/>
      </w:r>
      <w:r>
        <w:rPr>
          <w:i/>
          <w:iCs/>
          <w:color w:val="000000"/>
          <w:szCs w:val="22"/>
        </w:rPr>
        <w:t xml:space="preserve">Prie également </w:t>
      </w:r>
      <w:r>
        <w:rPr>
          <w:color w:val="000000"/>
          <w:szCs w:val="22"/>
        </w:rPr>
        <w:t>la Secrétaire exécutive, dans la limite des ressources disponibles, d</w:t>
      </w:r>
      <w:r w:rsidR="002C0322">
        <w:rPr>
          <w:color w:val="000000"/>
          <w:szCs w:val="22"/>
        </w:rPr>
        <w:t>’</w:t>
      </w:r>
      <w:r>
        <w:rPr>
          <w:color w:val="000000"/>
          <w:szCs w:val="22"/>
        </w:rPr>
        <w:t>éviter les doubles emplois et de renforcer les synergies, selon qu</w:t>
      </w:r>
      <w:r w:rsidR="002C0322">
        <w:rPr>
          <w:color w:val="000000"/>
          <w:szCs w:val="22"/>
        </w:rPr>
        <w:t>’</w:t>
      </w:r>
      <w:r>
        <w:rPr>
          <w:color w:val="000000"/>
          <w:szCs w:val="22"/>
        </w:rPr>
        <w:t>il convient, en s</w:t>
      </w:r>
      <w:r w:rsidR="002C0322">
        <w:rPr>
          <w:color w:val="000000"/>
          <w:szCs w:val="22"/>
        </w:rPr>
        <w:t>’</w:t>
      </w:r>
      <w:r>
        <w:rPr>
          <w:color w:val="000000"/>
          <w:szCs w:val="22"/>
        </w:rPr>
        <w:t>inspirant du cadre stratégique à long terme pour le renforcement et le développement des capacités</w:t>
      </w:r>
      <w:r w:rsidR="00DB26CA" w:rsidRPr="00F926B2">
        <w:rPr>
          <w:rStyle w:val="Appelnotedebasdep"/>
          <w:color w:val="000000"/>
          <w:kern w:val="22"/>
          <w:szCs w:val="22"/>
          <w:lang w:val="en-GB" w:eastAsia="zh-CN"/>
        </w:rPr>
        <w:footnoteReference w:id="12"/>
      </w:r>
      <w:r>
        <w:rPr>
          <w:color w:val="000000"/>
          <w:szCs w:val="22"/>
        </w:rPr>
        <w:t>, de faciliter la collaboration entre les Parties, les peuples autochtones et communautés locales, les organisations, les partenariats, les initiatives et les coalitions pertinents existants pour réaliser les activités de renforcement des capacités, notamment dans les pays en développement, et en particulier les pays les moins avancés et les petits États insulaires en développement, et de mieux faire connaître et comprendre les liens entre la biodiversité et les changements climatiques, notamment les effets des changements climatiques et de l</w:t>
      </w:r>
      <w:r w:rsidR="002C0322">
        <w:rPr>
          <w:color w:val="000000"/>
          <w:szCs w:val="22"/>
        </w:rPr>
        <w:t>’</w:t>
      </w:r>
      <w:r>
        <w:rPr>
          <w:color w:val="000000"/>
          <w:szCs w:val="22"/>
        </w:rPr>
        <w:t xml:space="preserve">action climatique sur la biodiversité, et le rôle de la biodiversité et </w:t>
      </w:r>
      <w:r>
        <w:rPr>
          <w:color w:val="000000"/>
          <w:szCs w:val="22"/>
        </w:rPr>
        <w:lastRenderedPageBreak/>
        <w:t>des fonctions et services écosystémiques dans l</w:t>
      </w:r>
      <w:r w:rsidR="002C0322">
        <w:rPr>
          <w:color w:val="000000"/>
          <w:szCs w:val="22"/>
        </w:rPr>
        <w:t>’</w:t>
      </w:r>
      <w:r>
        <w:rPr>
          <w:color w:val="000000"/>
          <w:szCs w:val="22"/>
        </w:rPr>
        <w:t>atténuation des changements climatiques et l</w:t>
      </w:r>
      <w:r w:rsidR="002C0322">
        <w:rPr>
          <w:color w:val="000000"/>
          <w:szCs w:val="22"/>
        </w:rPr>
        <w:t>’</w:t>
      </w:r>
      <w:r>
        <w:rPr>
          <w:color w:val="000000"/>
          <w:szCs w:val="22"/>
        </w:rPr>
        <w:t>adaptation à ceux-ci</w:t>
      </w:r>
      <w:r w:rsidR="009206BA">
        <w:rPr>
          <w:color w:val="000000"/>
          <w:szCs w:val="22"/>
        </w:rPr>
        <w:t> </w:t>
      </w:r>
      <w:r>
        <w:rPr>
          <w:color w:val="000000"/>
          <w:szCs w:val="22"/>
        </w:rPr>
        <w:t>;</w:t>
      </w:r>
    </w:p>
    <w:p w14:paraId="2DD0C9AA" w14:textId="45F710B4" w:rsidR="001651D6" w:rsidRPr="00F926B2" w:rsidRDefault="001651D6" w:rsidP="001651D6">
      <w:pPr>
        <w:pStyle w:val="Para10"/>
        <w:ind w:left="567" w:firstLine="567"/>
      </w:pPr>
      <w:r>
        <w:t>16.</w:t>
      </w:r>
      <w:r>
        <w:tab/>
      </w:r>
      <w:r>
        <w:rPr>
          <w:i/>
          <w:iCs/>
          <w:szCs w:val="22"/>
        </w:rPr>
        <w:t xml:space="preserve">Prie en outre </w:t>
      </w:r>
      <w:r>
        <w:t xml:space="preserve">la Secrétaire exécutive, en collaboration avec les secrétariats de la Convention-cadre des Nations Unies sur les changements climatiques et </w:t>
      </w:r>
      <w:r w:rsidR="00F8315A" w:rsidRPr="00F8315A">
        <w:t xml:space="preserve">la Commission océanographique intergouvernementale de l'Organisation des Nations Unies pour l'éducation, la science et la culture, en tant que </w:t>
      </w:r>
      <w:r w:rsidR="00440F48" w:rsidRPr="00F8315A">
        <w:t>coordonnateur</w:t>
      </w:r>
      <w:r w:rsidR="00F8315A" w:rsidRPr="00F8315A">
        <w:t xml:space="preserve"> de </w:t>
      </w:r>
      <w:r>
        <w:t>de la Décennie des Nations Unies pour les sciences de la mer au service du développement durable, et la Division des affaires maritimes et du droit de la mer du Secrétariat de l</w:t>
      </w:r>
      <w:r w:rsidR="002C0322">
        <w:t>’</w:t>
      </w:r>
      <w:r>
        <w:t>Organisation des Nations Unies, d</w:t>
      </w:r>
      <w:r w:rsidR="002C0322">
        <w:t>’</w:t>
      </w:r>
      <w:r>
        <w:t>étudier les possibilités d</w:t>
      </w:r>
      <w:r w:rsidR="002C0322">
        <w:t>’</w:t>
      </w:r>
      <w:r>
        <w:t>aborder le lien entre océan, climat et biodiversité de manière intégrée en vue d</w:t>
      </w:r>
      <w:r w:rsidR="002C0322">
        <w:t>’</w:t>
      </w:r>
      <w:r>
        <w:t>atteindre les objectifs du Cadre</w:t>
      </w:r>
      <w:r w:rsidR="009206BA">
        <w:t> </w:t>
      </w:r>
      <w:r>
        <w:t>;</w:t>
      </w:r>
    </w:p>
    <w:p w14:paraId="3DD54EDB" w14:textId="6521E349" w:rsidR="001651D6" w:rsidRPr="00F926B2" w:rsidRDefault="001651D6" w:rsidP="001651D6">
      <w:pPr>
        <w:pStyle w:val="Para10"/>
        <w:suppressLineNumbers/>
        <w:suppressAutoHyphens/>
        <w:kinsoku w:val="0"/>
        <w:overflowPunct w:val="0"/>
        <w:autoSpaceDE w:val="0"/>
        <w:autoSpaceDN w:val="0"/>
        <w:adjustRightInd w:val="0"/>
        <w:ind w:left="567" w:firstLine="567"/>
        <w:rPr>
          <w:noProof/>
          <w:kern w:val="22"/>
        </w:rPr>
      </w:pPr>
      <w:r>
        <w:t>17.</w:t>
      </w:r>
      <w:r>
        <w:tab/>
      </w:r>
      <w:r>
        <w:rPr>
          <w:i/>
          <w:iCs/>
        </w:rPr>
        <w:t xml:space="preserve">Prie </w:t>
      </w:r>
      <w:r>
        <w:t>la Secrétaire exécutive, dans la limite des ressources disponibles et en évitant les doubles emplois, d</w:t>
      </w:r>
      <w:r w:rsidR="002C0322">
        <w:t>’</w:t>
      </w:r>
      <w:r>
        <w:t xml:space="preserve">élaborer un supplément aux </w:t>
      </w:r>
      <w:r w:rsidR="00440F48">
        <w:t>L</w:t>
      </w:r>
      <w:r w:rsidR="00440F48" w:rsidRPr="001C66F6">
        <w:t>ignes directrices facultatives pour la conception et l’application effective des approches écosystémiques d’adaptation aux changements climatiques et de réduction des risques de catastrophe</w:t>
      </w:r>
      <w:r>
        <w:t xml:space="preserve">, </w:t>
      </w:r>
      <w:r w:rsidR="00440F48">
        <w:t xml:space="preserve">en </w:t>
      </w:r>
      <w:r>
        <w:t>fournissant des orientations et des outils facultatifs fondés sur les bonnes pratiques pour la conception, la mise en œuvre effective et l</w:t>
      </w:r>
      <w:r w:rsidR="002C0322">
        <w:t>’</w:t>
      </w:r>
      <w:r>
        <w:t>élargissement, selon qu</w:t>
      </w:r>
      <w:r w:rsidR="002C0322">
        <w:t>’</w:t>
      </w:r>
      <w:r>
        <w:t>il convient, de solutions fondées sur la nature et/ou d</w:t>
      </w:r>
      <w:r w:rsidR="002C0322">
        <w:t>’</w:t>
      </w:r>
      <w:r>
        <w:t>approches écosystémiques de l</w:t>
      </w:r>
      <w:r w:rsidR="002C0322">
        <w:t>’</w:t>
      </w:r>
      <w:r>
        <w:t>atténuation des changements climatiques et de l</w:t>
      </w:r>
      <w:r w:rsidR="002C0322">
        <w:t>’</w:t>
      </w:r>
      <w:r>
        <w:t>adaptation à ceux-ci, afin d</w:t>
      </w:r>
      <w:r w:rsidR="002C0322">
        <w:t>’</w:t>
      </w:r>
      <w:r>
        <w:t>appuyer la mise en œuvre des cibles</w:t>
      </w:r>
      <w:r w:rsidR="009206BA">
        <w:t> </w:t>
      </w:r>
      <w:r>
        <w:t>8 et 11 ainsi que des cibles connexes du Cadre, selon qu</w:t>
      </w:r>
      <w:r w:rsidR="002C0322">
        <w:t>’</w:t>
      </w:r>
      <w:r>
        <w:t xml:space="preserve">il convient, conformément à la </w:t>
      </w:r>
      <w:r>
        <w:rPr>
          <w:rFonts w:asciiTheme="majorBidi" w:hAnsiTheme="majorBidi"/>
        </w:rPr>
        <w:t>résolution</w:t>
      </w:r>
      <w:r w:rsidR="009206BA">
        <w:rPr>
          <w:rFonts w:asciiTheme="majorBidi" w:hAnsiTheme="majorBidi"/>
        </w:rPr>
        <w:t> </w:t>
      </w:r>
      <w:r>
        <w:rPr>
          <w:rFonts w:asciiTheme="majorBidi" w:hAnsiTheme="majorBidi"/>
        </w:rPr>
        <w:t>5/5 de l</w:t>
      </w:r>
      <w:r w:rsidR="002C0322">
        <w:t>’</w:t>
      </w:r>
      <w:r>
        <w:t>Assemblée des Nations Unies pour l</w:t>
      </w:r>
      <w:r w:rsidR="002C0322">
        <w:t>’</w:t>
      </w:r>
      <w:r>
        <w:t>environnement, en prenant note des actions positives et centrées sur la Terre nourricière</w:t>
      </w:r>
      <w:r w:rsidR="00F8315A">
        <w:t>,</w:t>
      </w:r>
      <w:r>
        <w:t xml:space="preserve"> telles que reconnues par certains pays, conformément aux différentes circonstances, priorités et capacités nationales, y compris une mise à jour des orientations pour des garanties sociales et environnementales adaptées à l</w:t>
      </w:r>
      <w:r w:rsidR="002C0322">
        <w:t>’</w:t>
      </w:r>
      <w:r>
        <w:t>objectif, sur la base des garanties existantes, aux fins d</w:t>
      </w:r>
      <w:r w:rsidR="002C0322">
        <w:t>’</w:t>
      </w:r>
      <w:r>
        <w:t>examen par l</w:t>
      </w:r>
      <w:r w:rsidR="002C0322">
        <w:t>’</w:t>
      </w:r>
      <w:r>
        <w:t>Organe subsidiaire chargé de fournir des avis scientifiques, techniques et technologiques avant la dix-septième réunion de la Conférence des Parties</w:t>
      </w:r>
      <w:r w:rsidR="009206BA">
        <w:t> </w:t>
      </w:r>
      <w:r>
        <w:t>;</w:t>
      </w:r>
    </w:p>
    <w:p w14:paraId="59CC7B02" w14:textId="0853B993" w:rsidR="00CE282B" w:rsidRDefault="001651D6" w:rsidP="00CE282B">
      <w:pPr>
        <w:pStyle w:val="Para10"/>
        <w:suppressLineNumbers/>
        <w:suppressAutoHyphens/>
        <w:kinsoku w:val="0"/>
        <w:overflowPunct w:val="0"/>
        <w:autoSpaceDE w:val="0"/>
        <w:autoSpaceDN w:val="0"/>
        <w:adjustRightInd w:val="0"/>
        <w:ind w:left="567" w:firstLine="567"/>
        <w:rPr>
          <w:rFonts w:asciiTheme="majorBidi" w:hAnsiTheme="majorBidi"/>
          <w:szCs w:val="22"/>
        </w:rPr>
      </w:pPr>
      <w:r>
        <w:rPr>
          <w:rFonts w:asciiTheme="majorBidi" w:hAnsiTheme="majorBidi"/>
          <w:szCs w:val="22"/>
        </w:rPr>
        <w:t>18.</w:t>
      </w:r>
      <w:r>
        <w:rPr>
          <w:rFonts w:asciiTheme="majorBidi" w:hAnsiTheme="majorBidi"/>
          <w:i/>
          <w:iCs/>
          <w:szCs w:val="22"/>
        </w:rPr>
        <w:tab/>
        <w:t xml:space="preserve">Prie également </w:t>
      </w:r>
      <w:r>
        <w:rPr>
          <w:rFonts w:asciiTheme="majorBidi" w:hAnsiTheme="majorBidi"/>
          <w:szCs w:val="22"/>
        </w:rPr>
        <w:t>la Secrétaire exécutive, dans la limite des ressources disponibles et en évitant les doubles emplois, d</w:t>
      </w:r>
      <w:r w:rsidR="002C0322">
        <w:rPr>
          <w:rFonts w:asciiTheme="majorBidi" w:hAnsiTheme="majorBidi"/>
          <w:szCs w:val="22"/>
        </w:rPr>
        <w:t>’</w:t>
      </w:r>
      <w:r>
        <w:rPr>
          <w:rFonts w:asciiTheme="majorBidi" w:hAnsiTheme="majorBidi"/>
          <w:szCs w:val="22"/>
        </w:rPr>
        <w:t xml:space="preserve">élaborer des lignes directrices et des outils </w:t>
      </w:r>
      <w:r w:rsidR="00440F48">
        <w:rPr>
          <w:rFonts w:asciiTheme="majorBidi" w:hAnsiTheme="majorBidi"/>
          <w:szCs w:val="22"/>
        </w:rPr>
        <w:t>visant à</w:t>
      </w:r>
      <w:r>
        <w:rPr>
          <w:rFonts w:asciiTheme="majorBidi" w:hAnsiTheme="majorBidi"/>
          <w:szCs w:val="22"/>
        </w:rPr>
        <w:t xml:space="preserve"> assurer la conservation et la restauration de la biodiversité dans </w:t>
      </w:r>
      <w:r w:rsidR="00440F48">
        <w:rPr>
          <w:rFonts w:asciiTheme="majorBidi" w:hAnsiTheme="majorBidi"/>
          <w:szCs w:val="22"/>
        </w:rPr>
        <w:t>le contexte des changements climatiques</w:t>
      </w:r>
      <w:r w:rsidR="009206BA">
        <w:rPr>
          <w:rFonts w:asciiTheme="majorBidi" w:hAnsiTheme="majorBidi"/>
          <w:szCs w:val="22"/>
        </w:rPr>
        <w:t> </w:t>
      </w:r>
      <w:r>
        <w:rPr>
          <w:rFonts w:asciiTheme="majorBidi" w:hAnsiTheme="majorBidi"/>
          <w:szCs w:val="22"/>
        </w:rPr>
        <w:t>;</w:t>
      </w:r>
    </w:p>
    <w:p w14:paraId="7C254C37" w14:textId="7A223C6A" w:rsidR="001651D6" w:rsidRPr="00CE282B" w:rsidRDefault="00C14820" w:rsidP="00CE282B">
      <w:pPr>
        <w:pStyle w:val="Para10"/>
        <w:suppressLineNumbers/>
        <w:suppressAutoHyphens/>
        <w:kinsoku w:val="0"/>
        <w:overflowPunct w:val="0"/>
        <w:autoSpaceDE w:val="0"/>
        <w:autoSpaceDN w:val="0"/>
        <w:adjustRightInd w:val="0"/>
        <w:ind w:left="567" w:firstLine="567"/>
        <w:rPr>
          <w:rFonts w:asciiTheme="majorBidi" w:hAnsiTheme="majorBidi"/>
          <w:szCs w:val="22"/>
        </w:rPr>
      </w:pPr>
      <w:r w:rsidRPr="00A65615">
        <w:rPr>
          <w:rFonts w:asciiTheme="majorBidi" w:hAnsiTheme="majorBidi" w:cstheme="majorBidi"/>
        </w:rPr>
        <w:t>19</w:t>
      </w:r>
      <w:r w:rsidRPr="00A65615">
        <w:t>.</w:t>
      </w:r>
      <w:r w:rsidR="001651D6">
        <w:tab/>
      </w:r>
      <w:r w:rsidR="00F8315A">
        <w:rPr>
          <w:i/>
          <w:iCs/>
        </w:rPr>
        <w:t>Prie</w:t>
      </w:r>
      <w:r w:rsidR="00E115ED">
        <w:rPr>
          <w:i/>
          <w:iCs/>
        </w:rPr>
        <w:t xml:space="preserve"> </w:t>
      </w:r>
      <w:r w:rsidR="00F8315A">
        <w:rPr>
          <w:i/>
          <w:iCs/>
        </w:rPr>
        <w:t xml:space="preserve">en outre </w:t>
      </w:r>
      <w:r w:rsidR="00D458E5">
        <w:t>la</w:t>
      </w:r>
      <w:r w:rsidR="00D458E5" w:rsidRPr="00D458E5">
        <w:t xml:space="preserve"> Secrétaire exécuti</w:t>
      </w:r>
      <w:r w:rsidR="00D458E5">
        <w:t xml:space="preserve">ve </w:t>
      </w:r>
      <w:r w:rsidR="00F8315A">
        <w:t>d</w:t>
      </w:r>
      <w:r w:rsidR="00D458E5" w:rsidRPr="00D458E5">
        <w:t xml:space="preserve">'inviter les </w:t>
      </w:r>
      <w:r w:rsidR="00D458E5">
        <w:t>P</w:t>
      </w:r>
      <w:r w:rsidR="00D458E5" w:rsidRPr="00D458E5">
        <w:t xml:space="preserve">arties, </w:t>
      </w:r>
      <w:r w:rsidR="00440F48">
        <w:t xml:space="preserve">les </w:t>
      </w:r>
      <w:r w:rsidR="00D458E5" w:rsidRPr="00D458E5">
        <w:t xml:space="preserve">observateurs et </w:t>
      </w:r>
      <w:r w:rsidR="00440F48">
        <w:t xml:space="preserve">les </w:t>
      </w:r>
      <w:r w:rsidR="00D458E5" w:rsidRPr="00D458E5">
        <w:t>autres parties prenantes à soumettre, avant mai 2025, leurs avis sur les moyens de renforcer la cohérence des politiques, y compris la possibilité d'un programme de travail conjoint entre les conventions de Rio. Ces contributions seront compilées par l</w:t>
      </w:r>
      <w:r w:rsidR="00D458E5">
        <w:t>a</w:t>
      </w:r>
      <w:r w:rsidR="00D458E5" w:rsidRPr="00D458E5">
        <w:t xml:space="preserve"> Secrétaire exécuti</w:t>
      </w:r>
      <w:r w:rsidR="00D458E5">
        <w:t>ve</w:t>
      </w:r>
      <w:r w:rsidR="00D458E5" w:rsidRPr="00D458E5">
        <w:t xml:space="preserve"> pour</w:t>
      </w:r>
      <w:r w:rsidR="00F8315A">
        <w:t xml:space="preserve"> être communiquées au</w:t>
      </w:r>
      <w:r w:rsidR="00D458E5" w:rsidRPr="00D458E5">
        <w:t xml:space="preserve"> </w:t>
      </w:r>
      <w:r w:rsidR="00F8315A">
        <w:t>G</w:t>
      </w:r>
      <w:r w:rsidR="00D458E5" w:rsidRPr="00D458E5">
        <w:t xml:space="preserve">roupe </w:t>
      </w:r>
      <w:r w:rsidR="00F8315A">
        <w:t xml:space="preserve">mixte </w:t>
      </w:r>
      <w:r w:rsidR="00D458E5" w:rsidRPr="00D458E5">
        <w:t>de liaison des conventions de Rio, puis soumises à l'examen de l'</w:t>
      </w:r>
      <w:r w:rsidR="00D458E5">
        <w:t>O</w:t>
      </w:r>
      <w:r w:rsidR="00D458E5" w:rsidRPr="00D458E5">
        <w:t>rgane subsidiaire chargé d</w:t>
      </w:r>
      <w:r w:rsidR="00D458E5">
        <w:t>e fournir des</w:t>
      </w:r>
      <w:r w:rsidR="00D458E5" w:rsidRPr="00D458E5">
        <w:t xml:space="preserve"> avis scientifiques, techniques et technologiques </w:t>
      </w:r>
      <w:r w:rsidR="00F8315A">
        <w:t>à</w:t>
      </w:r>
      <w:r w:rsidR="00D458E5" w:rsidRPr="00D458E5">
        <w:t xml:space="preserve"> une réunion </w:t>
      </w:r>
      <w:r w:rsidR="00F8315A">
        <w:t>devant se tenir</w:t>
      </w:r>
      <w:r w:rsidR="00D458E5" w:rsidRPr="00D458E5">
        <w:t xml:space="preserve"> avant la dix-septième session de la Conférence des Parties. De plus, l</w:t>
      </w:r>
      <w:r w:rsidR="00D458E5">
        <w:t xml:space="preserve">a </w:t>
      </w:r>
      <w:r w:rsidR="00D458E5" w:rsidRPr="00D458E5">
        <w:t>Secrétaire exécuti</w:t>
      </w:r>
      <w:r w:rsidR="00D458E5">
        <w:t>ve</w:t>
      </w:r>
      <w:r w:rsidR="00D458E5" w:rsidRPr="00D458E5">
        <w:t xml:space="preserve"> est prié</w:t>
      </w:r>
      <w:r w:rsidR="00D458E5">
        <w:t>e</w:t>
      </w:r>
      <w:r w:rsidR="00D458E5" w:rsidRPr="00D458E5">
        <w:t xml:space="preserve"> d'inviter les secrétaires exécutifs des autres conventions de Rio à collaborer pour organiser un échange technique en 2025 afin d'explorer </w:t>
      </w:r>
      <w:r w:rsidR="00440F48">
        <w:t>plus avant</w:t>
      </w:r>
      <w:r w:rsidR="00D458E5" w:rsidRPr="00D458E5">
        <w:t xml:space="preserve"> les possibilités </w:t>
      </w:r>
      <w:r w:rsidR="00440F48">
        <w:t>concernant la</w:t>
      </w:r>
      <w:r w:rsidR="00D458E5" w:rsidRPr="00D458E5">
        <w:t xml:space="preserve"> coopération et </w:t>
      </w:r>
      <w:r w:rsidR="00440F48">
        <w:t>la</w:t>
      </w:r>
      <w:r w:rsidR="00D458E5" w:rsidRPr="00D458E5">
        <w:t xml:space="preserve"> cohérence des politiques </w:t>
      </w:r>
      <w:r w:rsidR="00440F48">
        <w:t>en vue d’appuyer</w:t>
      </w:r>
      <w:r w:rsidR="00D458E5" w:rsidRPr="00D458E5">
        <w:t xml:space="preserve"> la mise en œuvre de la Convention sur la diversité biologique</w:t>
      </w:r>
      <w:r w:rsidR="00BE46D4">
        <w:t xml:space="preserve"> et</w:t>
      </w:r>
      <w:r w:rsidR="00D458E5" w:rsidRPr="00D458E5">
        <w:t xml:space="preserve"> du Cadre mondial </w:t>
      </w:r>
      <w:r w:rsidR="00D458E5">
        <w:t xml:space="preserve">de </w:t>
      </w:r>
      <w:r w:rsidR="00D458E5" w:rsidRPr="00D458E5">
        <w:t xml:space="preserve">la </w:t>
      </w:r>
      <w:r w:rsidR="00D458E5">
        <w:t>biodiversité</w:t>
      </w:r>
      <w:r w:rsidR="00D458E5" w:rsidRPr="00D458E5">
        <w:t xml:space="preserve"> de Kunming-Montréal</w:t>
      </w:r>
      <w:r w:rsidR="00BE46D4">
        <w:t xml:space="preserve">, ainsi que </w:t>
      </w:r>
      <w:r w:rsidR="00D458E5" w:rsidRPr="00D458E5">
        <w:t>de la Convention-cadre des Nations Unies sur les changements climatiques et de</w:t>
      </w:r>
      <w:r>
        <w:t xml:space="preserve"> </w:t>
      </w:r>
      <w:r w:rsidR="00BE46D4">
        <w:t>l’</w:t>
      </w:r>
      <w:r w:rsidR="00D458E5" w:rsidRPr="00D458E5">
        <w:t>Accord de Paris</w:t>
      </w:r>
      <w:r w:rsidR="00BE46D4" w:rsidRPr="00250152">
        <w:rPr>
          <w:rFonts w:asciiTheme="majorBidi" w:hAnsiTheme="majorBidi" w:cstheme="majorBidi"/>
          <w:vertAlign w:val="superscript"/>
        </w:rPr>
        <w:t>5</w:t>
      </w:r>
      <w:r w:rsidR="002B08B8" w:rsidRPr="00C14820">
        <w:rPr>
          <w:rFonts w:asciiTheme="majorBidi" w:hAnsiTheme="majorBidi" w:cstheme="majorBidi"/>
        </w:rPr>
        <w:t>;</w:t>
      </w:r>
    </w:p>
    <w:p w14:paraId="708CBA56" w14:textId="3A5FA87B" w:rsidR="00537248" w:rsidRPr="007E5D62" w:rsidRDefault="00FE700A" w:rsidP="00ED7153">
      <w:pPr>
        <w:pStyle w:val="Para1"/>
        <w:numPr>
          <w:ilvl w:val="0"/>
          <w:numId w:val="0"/>
        </w:numPr>
        <w:suppressLineNumbers/>
        <w:tabs>
          <w:tab w:val="clear" w:pos="1134"/>
        </w:tabs>
        <w:suppressAutoHyphens/>
        <w:kinsoku w:val="0"/>
        <w:overflowPunct w:val="0"/>
        <w:autoSpaceDE w:val="0"/>
        <w:autoSpaceDN w:val="0"/>
        <w:adjustRightInd w:val="0"/>
        <w:snapToGrid w:val="0"/>
        <w:ind w:left="567" w:firstLine="567"/>
      </w:pPr>
      <w:r>
        <w:rPr>
          <w:rFonts w:asciiTheme="majorBidi" w:hAnsiTheme="majorBidi"/>
        </w:rPr>
        <w:t>2</w:t>
      </w:r>
      <w:r w:rsidR="002B08B8">
        <w:rPr>
          <w:rFonts w:asciiTheme="majorBidi" w:hAnsiTheme="majorBidi"/>
        </w:rPr>
        <w:t>0</w:t>
      </w:r>
      <w:r>
        <w:rPr>
          <w:rFonts w:asciiTheme="majorBidi" w:hAnsiTheme="majorBidi"/>
        </w:rPr>
        <w:t>.</w:t>
      </w:r>
      <w:r>
        <w:rPr>
          <w:rFonts w:asciiTheme="majorBidi" w:hAnsiTheme="majorBidi"/>
        </w:rPr>
        <w:tab/>
      </w:r>
      <w:r>
        <w:rPr>
          <w:rFonts w:asciiTheme="majorBidi" w:hAnsiTheme="majorBidi"/>
          <w:i/>
          <w:iCs/>
        </w:rPr>
        <w:t>Invite</w:t>
      </w:r>
      <w:r>
        <w:rPr>
          <w:rFonts w:asciiTheme="majorBidi" w:hAnsiTheme="majorBidi"/>
        </w:rPr>
        <w:t xml:space="preserve"> les Partie</w:t>
      </w:r>
      <w:r w:rsidR="008B4EAC">
        <w:rPr>
          <w:rFonts w:asciiTheme="majorBidi" w:hAnsiTheme="majorBidi"/>
        </w:rPr>
        <w:t xml:space="preserve">s, </w:t>
      </w:r>
      <w:r>
        <w:rPr>
          <w:rFonts w:asciiTheme="majorBidi" w:hAnsiTheme="majorBidi"/>
        </w:rPr>
        <w:t>les autres gouvernements, les observateurs et les organisations compétentes, conformément au paragraphe</w:t>
      </w:r>
      <w:r w:rsidR="009206BA">
        <w:rPr>
          <w:rFonts w:asciiTheme="majorBidi" w:hAnsiTheme="majorBidi"/>
        </w:rPr>
        <w:t> </w:t>
      </w:r>
      <w:r>
        <w:rPr>
          <w:rFonts w:asciiTheme="majorBidi" w:hAnsiTheme="majorBidi"/>
        </w:rPr>
        <w:t>9 de la décision</w:t>
      </w:r>
      <w:r w:rsidR="009206BA">
        <w:rPr>
          <w:rFonts w:asciiTheme="majorBidi" w:hAnsiTheme="majorBidi"/>
        </w:rPr>
        <w:t> </w:t>
      </w:r>
      <w:hyperlink r:id="rId32" w:history="1">
        <w:r w:rsidRPr="00BE46D4">
          <w:rPr>
            <w:rStyle w:val="Lienhypertexte"/>
            <w:rFonts w:asciiTheme="majorBidi" w:hAnsiTheme="majorBidi"/>
          </w:rPr>
          <w:t>XI/20</w:t>
        </w:r>
      </w:hyperlink>
      <w:r>
        <w:rPr>
          <w:rFonts w:asciiTheme="majorBidi" w:hAnsiTheme="majorBidi"/>
        </w:rPr>
        <w:t>, à fournir des informations sur les mesures prises au niveau national ou à un autre niveau, selon qu</w:t>
      </w:r>
      <w:r w:rsidR="002C0322">
        <w:rPr>
          <w:rFonts w:asciiTheme="majorBidi" w:hAnsiTheme="majorBidi"/>
        </w:rPr>
        <w:t>’</w:t>
      </w:r>
      <w:r>
        <w:rPr>
          <w:rFonts w:asciiTheme="majorBidi" w:hAnsiTheme="majorBidi"/>
        </w:rPr>
        <w:t>il convient, en application du paragraphe</w:t>
      </w:r>
      <w:r w:rsidR="009206BA">
        <w:rPr>
          <w:rFonts w:asciiTheme="majorBidi" w:hAnsiTheme="majorBidi"/>
        </w:rPr>
        <w:t> </w:t>
      </w:r>
      <w:r>
        <w:rPr>
          <w:rFonts w:asciiTheme="majorBidi" w:hAnsiTheme="majorBidi"/>
        </w:rPr>
        <w:t>8 w) de la décision</w:t>
      </w:r>
      <w:r w:rsidR="009206BA">
        <w:rPr>
          <w:rFonts w:asciiTheme="majorBidi" w:hAnsiTheme="majorBidi"/>
        </w:rPr>
        <w:t> </w:t>
      </w:r>
      <w:hyperlink r:id="rId33" w:history="1">
        <w:r w:rsidRPr="00BE46D4">
          <w:rPr>
            <w:rStyle w:val="Lienhypertexte"/>
            <w:rFonts w:asciiTheme="majorBidi" w:hAnsiTheme="majorBidi"/>
          </w:rPr>
          <w:t>X/33</w:t>
        </w:r>
      </w:hyperlink>
      <w:r>
        <w:rPr>
          <w:rFonts w:asciiTheme="majorBidi" w:hAnsiTheme="majorBidi"/>
        </w:rPr>
        <w:t xml:space="preserve"> ou de la décision</w:t>
      </w:r>
      <w:r w:rsidR="009206BA">
        <w:rPr>
          <w:rFonts w:asciiTheme="majorBidi" w:hAnsiTheme="majorBidi"/>
        </w:rPr>
        <w:t> </w:t>
      </w:r>
      <w:hyperlink r:id="rId34" w:history="1">
        <w:r w:rsidRPr="00BE46D4">
          <w:rPr>
            <w:rStyle w:val="Lienhypertexte"/>
            <w:rFonts w:asciiTheme="majorBidi" w:hAnsiTheme="majorBidi"/>
          </w:rPr>
          <w:t>IX/16 C</w:t>
        </w:r>
      </w:hyperlink>
      <w:r>
        <w:rPr>
          <w:rFonts w:asciiTheme="majorBidi" w:hAnsiTheme="majorBidi"/>
        </w:rPr>
        <w:t xml:space="preserve">, et prie la Secrétaire exécutive de </w:t>
      </w:r>
      <w:r w:rsidR="00BE46D4">
        <w:rPr>
          <w:rFonts w:asciiTheme="majorBidi" w:hAnsiTheme="majorBidi"/>
        </w:rPr>
        <w:t>réunir</w:t>
      </w:r>
      <w:r>
        <w:rPr>
          <w:rFonts w:asciiTheme="majorBidi" w:hAnsiTheme="majorBidi"/>
        </w:rPr>
        <w:t xml:space="preserve"> les informations communiquées et de les </w:t>
      </w:r>
      <w:r w:rsidR="00BE46D4">
        <w:rPr>
          <w:rFonts w:asciiTheme="majorBidi" w:hAnsiTheme="majorBidi"/>
        </w:rPr>
        <w:t>publier sur le C</w:t>
      </w:r>
      <w:r>
        <w:rPr>
          <w:rFonts w:asciiTheme="majorBidi" w:hAnsiTheme="majorBidi"/>
        </w:rPr>
        <w:t>entre d</w:t>
      </w:r>
      <w:r w:rsidR="002C0322">
        <w:rPr>
          <w:rFonts w:asciiTheme="majorBidi" w:hAnsiTheme="majorBidi"/>
        </w:rPr>
        <w:t>’</w:t>
      </w:r>
      <w:r>
        <w:rPr>
          <w:rFonts w:asciiTheme="majorBidi" w:hAnsiTheme="majorBidi"/>
        </w:rPr>
        <w:t>échange.</w:t>
      </w:r>
      <w:r w:rsidR="00D566CB">
        <w:rPr>
          <w:rFonts w:asciiTheme="majorBidi" w:hAnsiTheme="majorBidi"/>
        </w:rPr>
        <w:t xml:space="preserve"> </w:t>
      </w:r>
    </w:p>
    <w:p w14:paraId="61D564E2" w14:textId="77777777" w:rsidR="002B559C" w:rsidRPr="00F926B2" w:rsidRDefault="00ED3849" w:rsidP="00192D20">
      <w:pPr>
        <w:pStyle w:val="Para1"/>
        <w:numPr>
          <w:ilvl w:val="0"/>
          <w:numId w:val="0"/>
        </w:numPr>
        <w:tabs>
          <w:tab w:val="clear" w:pos="567"/>
        </w:tabs>
        <w:jc w:val="center"/>
      </w:pPr>
      <w:r>
        <w:t>__________</w:t>
      </w:r>
    </w:p>
    <w:sectPr w:rsidR="002B559C" w:rsidRPr="00F926B2" w:rsidSect="001662BF">
      <w:headerReference w:type="even" r:id="rId35"/>
      <w:headerReference w:type="default" r:id="rId36"/>
      <w:footerReference w:type="even" r:id="rId37"/>
      <w:footerReference w:type="default" r:id="rId38"/>
      <w:headerReference w:type="first" r:id="rId3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83829" w14:textId="77777777" w:rsidR="001450DC" w:rsidRDefault="001450DC" w:rsidP="00A96B21">
      <w:r>
        <w:separator/>
      </w:r>
    </w:p>
  </w:endnote>
  <w:endnote w:type="continuationSeparator" w:id="0">
    <w:p w14:paraId="3E0AA07F" w14:textId="77777777" w:rsidR="001450DC" w:rsidRDefault="001450DC" w:rsidP="00A96B21">
      <w:r>
        <w:continuationSeparator/>
      </w:r>
    </w:p>
  </w:endnote>
  <w:endnote w:type="continuationNotice" w:id="1">
    <w:p w14:paraId="1E31D62D" w14:textId="77777777" w:rsidR="001450DC" w:rsidRDefault="00145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2CA5F5C" w14:textId="77777777" w:rsidR="002B559C" w:rsidRDefault="002B559C">
            <w:pPr>
              <w:pStyle w:val="Pieddepage"/>
            </w:pPr>
            <w:r w:rsidRPr="002B559C">
              <w:rPr>
                <w:szCs w:val="20"/>
              </w:rPr>
              <w:fldChar w:fldCharType="begin"/>
            </w:r>
            <w:r w:rsidRPr="002B559C">
              <w:rPr>
                <w:szCs w:val="20"/>
              </w:rPr>
              <w:instrText xml:space="preserve"> PAGE </w:instrText>
            </w:r>
            <w:r w:rsidRPr="002B559C">
              <w:rPr>
                <w:szCs w:val="20"/>
              </w:rPr>
              <w:fldChar w:fldCharType="separate"/>
            </w:r>
            <w:r w:rsidRPr="002B559C">
              <w:rPr>
                <w:szCs w:val="20"/>
              </w:rPr>
              <w:t>2</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Pr="002B559C">
              <w:rPr>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31A3D35" w14:textId="77777777" w:rsidR="002B559C" w:rsidRDefault="002B559C" w:rsidP="002B559C">
            <w:pPr>
              <w:pStyle w:val="Pieddepage"/>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szCs w:val="20"/>
              </w:rPr>
              <w:t>2</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Pr="002B559C">
              <w:rPr>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B654" w14:textId="77777777" w:rsidR="001450DC" w:rsidRDefault="001450DC" w:rsidP="00A96B21">
      <w:r>
        <w:separator/>
      </w:r>
    </w:p>
  </w:footnote>
  <w:footnote w:type="continuationSeparator" w:id="0">
    <w:p w14:paraId="7ADBFE5E" w14:textId="77777777" w:rsidR="001450DC" w:rsidRDefault="001450DC" w:rsidP="00A96B21">
      <w:r>
        <w:continuationSeparator/>
      </w:r>
    </w:p>
  </w:footnote>
  <w:footnote w:type="continuationNotice" w:id="1">
    <w:p w14:paraId="5D4790ED" w14:textId="77777777" w:rsidR="001450DC" w:rsidRDefault="001450DC"/>
  </w:footnote>
  <w:footnote w:id="2">
    <w:p w14:paraId="5D253EE3" w14:textId="7F87A93B" w:rsidR="001651D6" w:rsidRPr="00CF7CA2" w:rsidRDefault="001651D6" w:rsidP="001651D6">
      <w:pPr>
        <w:pStyle w:val="Notedebasdepage"/>
        <w:rPr>
          <w:szCs w:val="18"/>
          <w:lang w:val="fr-FR"/>
        </w:rPr>
      </w:pPr>
      <w:r w:rsidRPr="00CF7CA2">
        <w:rPr>
          <w:rStyle w:val="Appelnotedebasdep"/>
          <w:szCs w:val="18"/>
          <w:lang w:val="fr-FR"/>
        </w:rPr>
        <w:footnoteRef/>
      </w:r>
      <w:r w:rsidRPr="00CF7CA2">
        <w:rPr>
          <w:lang w:val="fr-FR"/>
        </w:rPr>
        <w:t xml:space="preserve"> Nations Unies, </w:t>
      </w:r>
      <w:r w:rsidRPr="00CF7CA2">
        <w:rPr>
          <w:i/>
          <w:iCs/>
          <w:szCs w:val="18"/>
          <w:lang w:val="fr-FR"/>
        </w:rPr>
        <w:t>Recueil des Traités</w:t>
      </w:r>
      <w:r w:rsidRPr="00CF7CA2">
        <w:rPr>
          <w:lang w:val="fr-FR"/>
        </w:rPr>
        <w:t>, vol.</w:t>
      </w:r>
      <w:r w:rsidR="009206BA" w:rsidRPr="00CF7CA2">
        <w:rPr>
          <w:lang w:val="fr-FR"/>
        </w:rPr>
        <w:t> </w:t>
      </w:r>
      <w:r w:rsidRPr="00CF7CA2">
        <w:rPr>
          <w:lang w:val="fr-FR"/>
        </w:rPr>
        <w:t>1760, n</w:t>
      </w:r>
      <w:r w:rsidRPr="00CF7CA2">
        <w:rPr>
          <w:vertAlign w:val="superscript"/>
          <w:lang w:val="fr-FR"/>
        </w:rPr>
        <w:t>o</w:t>
      </w:r>
      <w:r w:rsidR="009206BA" w:rsidRPr="00CF7CA2">
        <w:rPr>
          <w:lang w:val="fr-FR"/>
        </w:rPr>
        <w:t> </w:t>
      </w:r>
      <w:r w:rsidRPr="00CF7CA2">
        <w:rPr>
          <w:lang w:val="fr-FR"/>
        </w:rPr>
        <w:t>30619.</w:t>
      </w:r>
    </w:p>
  </w:footnote>
  <w:footnote w:id="3">
    <w:p w14:paraId="78EA795B" w14:textId="11EAB815" w:rsidR="001651D6" w:rsidRPr="00CF7CA2" w:rsidRDefault="001651D6" w:rsidP="001651D6">
      <w:pPr>
        <w:pStyle w:val="Notedebasdepage"/>
        <w:rPr>
          <w:lang w:val="fr-FR"/>
        </w:rPr>
      </w:pPr>
      <w:r w:rsidRPr="00CF7CA2">
        <w:rPr>
          <w:rStyle w:val="Appelnotedebasdep"/>
          <w:szCs w:val="18"/>
          <w:lang w:val="fr-FR"/>
        </w:rPr>
        <w:footnoteRef/>
      </w:r>
      <w:r w:rsidRPr="00CF7CA2">
        <w:rPr>
          <w:lang w:val="fr-FR"/>
        </w:rPr>
        <w:t xml:space="preserve"> Décision</w:t>
      </w:r>
      <w:r w:rsidR="009206BA" w:rsidRPr="00CF7CA2">
        <w:rPr>
          <w:lang w:val="fr-FR"/>
        </w:rPr>
        <w:t> </w:t>
      </w:r>
      <w:r w:rsidRPr="00CF7CA2">
        <w:rPr>
          <w:lang w:val="fr-FR"/>
        </w:rPr>
        <w:t>15/4, annexe.</w:t>
      </w:r>
    </w:p>
  </w:footnote>
  <w:footnote w:id="4">
    <w:p w14:paraId="07474C26" w14:textId="5C3DD4E9" w:rsidR="00157B09" w:rsidRPr="00CF7CA2" w:rsidRDefault="00157B09" w:rsidP="00157B09">
      <w:pPr>
        <w:pStyle w:val="Notedebasdepage"/>
        <w:rPr>
          <w:lang w:val="fr-FR"/>
        </w:rPr>
      </w:pPr>
      <w:r w:rsidRPr="00CF7CA2">
        <w:rPr>
          <w:rStyle w:val="Appelnotedebasdep"/>
          <w:lang w:val="fr-FR"/>
        </w:rPr>
        <w:footnoteRef/>
      </w:r>
      <w:r w:rsidRPr="00CF7CA2">
        <w:rPr>
          <w:lang w:val="fr-FR"/>
        </w:rPr>
        <w:t xml:space="preserve"> Voir la </w:t>
      </w:r>
      <w:r w:rsidR="00420A9C">
        <w:rPr>
          <w:lang w:val="fr-FR"/>
        </w:rPr>
        <w:t>r</w:t>
      </w:r>
      <w:r w:rsidRPr="00CF7CA2">
        <w:rPr>
          <w:lang w:val="fr-FR"/>
        </w:rPr>
        <w:t>ésolution 76/300 de l’Assemblée générale.</w:t>
      </w:r>
    </w:p>
  </w:footnote>
  <w:footnote w:id="5">
    <w:p w14:paraId="7C7AAB2A" w14:textId="62B0C6BF" w:rsidR="00157B09" w:rsidRPr="00CF7CA2" w:rsidRDefault="00157B09" w:rsidP="00157B09">
      <w:pPr>
        <w:pStyle w:val="Notedebasdepage"/>
        <w:rPr>
          <w:lang w:val="fr-FR"/>
        </w:rPr>
      </w:pPr>
      <w:r w:rsidRPr="00CF7CA2">
        <w:rPr>
          <w:rStyle w:val="Appelnotedebasdep"/>
          <w:lang w:val="fr-FR"/>
        </w:rPr>
        <w:footnoteRef/>
      </w:r>
      <w:r w:rsidRPr="00CF7CA2">
        <w:rPr>
          <w:lang w:val="fr-FR"/>
        </w:rPr>
        <w:t xml:space="preserve"> </w:t>
      </w:r>
      <w:r w:rsidR="00420A9C">
        <w:rPr>
          <w:lang w:val="fr-FR"/>
        </w:rPr>
        <w:t>Voir la r</w:t>
      </w:r>
      <w:r w:rsidRPr="00CF7CA2">
        <w:rPr>
          <w:lang w:val="fr-FR"/>
        </w:rPr>
        <w:t>ésolution 70/1 de l'Assemblée générale.</w:t>
      </w:r>
    </w:p>
  </w:footnote>
  <w:footnote w:id="6">
    <w:p w14:paraId="60FA9214" w14:textId="23504635" w:rsidR="00157B09" w:rsidRPr="00CF7CA2" w:rsidRDefault="00157B09" w:rsidP="00157B09">
      <w:pPr>
        <w:pStyle w:val="Notedebasdepage"/>
        <w:rPr>
          <w:lang w:val="fr-FR"/>
        </w:rPr>
      </w:pPr>
      <w:r w:rsidRPr="00CF7CA2">
        <w:rPr>
          <w:rStyle w:val="Appelnotedebasdep"/>
          <w:lang w:val="fr-FR"/>
        </w:rPr>
        <w:footnoteRef/>
      </w:r>
      <w:r w:rsidRPr="00CF7CA2">
        <w:rPr>
          <w:lang w:val="fr-FR"/>
        </w:rPr>
        <w:t xml:space="preserve"> </w:t>
      </w:r>
      <w:r w:rsidRPr="00CF7CA2">
        <w:rPr>
          <w:kern w:val="18"/>
          <w:szCs w:val="18"/>
          <w:lang w:val="fr-FR"/>
        </w:rPr>
        <w:t>Adoptée au titre de la Convention-cadre des Nations Unies sur les changements climatiques (voir FCCC/CP/2015/10/Add.1, décision 1/CP.21, annexe).</w:t>
      </w:r>
    </w:p>
  </w:footnote>
  <w:footnote w:id="7">
    <w:p w14:paraId="4668BF81" w14:textId="46101692" w:rsidR="00626E07" w:rsidRPr="00CF7CA2" w:rsidRDefault="00626E07" w:rsidP="00626E07">
      <w:pPr>
        <w:pStyle w:val="Notedebasdepage"/>
        <w:rPr>
          <w:lang w:val="fr-FR"/>
        </w:rPr>
      </w:pPr>
      <w:r w:rsidRPr="00CF7CA2">
        <w:rPr>
          <w:rStyle w:val="Appelnotedebasdep"/>
          <w:lang w:val="fr-FR"/>
        </w:rPr>
        <w:footnoteRef/>
      </w:r>
      <w:r w:rsidRPr="00CF7CA2">
        <w:rPr>
          <w:lang w:val="fr-FR"/>
        </w:rPr>
        <w:t xml:space="preserve"> Nations Unies, </w:t>
      </w:r>
      <w:r w:rsidRPr="00CF7CA2">
        <w:rPr>
          <w:i/>
          <w:iCs/>
          <w:lang w:val="fr-FR"/>
        </w:rPr>
        <w:t>Recueil des Traités</w:t>
      </w:r>
      <w:r w:rsidRPr="00CF7CA2">
        <w:rPr>
          <w:lang w:val="fr-FR"/>
        </w:rPr>
        <w:t>, vol. 1771, n° 30822.</w:t>
      </w:r>
    </w:p>
  </w:footnote>
  <w:footnote w:id="8">
    <w:p w14:paraId="4840A6D3" w14:textId="189C48BA" w:rsidR="001651D6" w:rsidRPr="00CF7CA2" w:rsidRDefault="001651D6" w:rsidP="001651D6">
      <w:pPr>
        <w:pStyle w:val="Notedebasdepage"/>
        <w:rPr>
          <w:highlight w:val="yellow"/>
          <w:lang w:val="fr-FR"/>
        </w:rPr>
      </w:pPr>
      <w:r w:rsidRPr="00CF7CA2">
        <w:rPr>
          <w:rStyle w:val="Appelnotedebasdep"/>
          <w:szCs w:val="18"/>
          <w:lang w:val="fr-FR"/>
        </w:rPr>
        <w:footnoteRef/>
      </w:r>
      <w:r w:rsidRPr="00CF7CA2">
        <w:rPr>
          <w:lang w:val="fr-FR"/>
        </w:rPr>
        <w:t xml:space="preserve"> </w:t>
      </w:r>
      <w:proofErr w:type="spellStart"/>
      <w:r w:rsidRPr="00CF7CA2">
        <w:rPr>
          <w:lang w:val="fr-FR"/>
        </w:rPr>
        <w:t>Hoesung</w:t>
      </w:r>
      <w:proofErr w:type="spellEnd"/>
      <w:r w:rsidRPr="00CF7CA2">
        <w:rPr>
          <w:lang w:val="fr-FR"/>
        </w:rPr>
        <w:t xml:space="preserve"> Lee et autres, </w:t>
      </w:r>
      <w:proofErr w:type="spellStart"/>
      <w:r w:rsidR="009206BA" w:rsidRPr="00CF7CA2">
        <w:rPr>
          <w:lang w:val="fr-FR"/>
        </w:rPr>
        <w:t>réd</w:t>
      </w:r>
      <w:proofErr w:type="spellEnd"/>
      <w:r w:rsidR="009206BA" w:rsidRPr="00CF7CA2">
        <w:rPr>
          <w:lang w:val="fr-FR"/>
        </w:rPr>
        <w:t>.</w:t>
      </w:r>
      <w:r w:rsidRPr="00CF7CA2">
        <w:rPr>
          <w:lang w:val="fr-FR"/>
        </w:rPr>
        <w:t>, Changements climatiques</w:t>
      </w:r>
      <w:r w:rsidR="009206BA" w:rsidRPr="00CF7CA2">
        <w:rPr>
          <w:lang w:val="fr-FR"/>
        </w:rPr>
        <w:t> </w:t>
      </w:r>
      <w:r w:rsidRPr="00CF7CA2">
        <w:rPr>
          <w:lang w:val="fr-FR"/>
        </w:rPr>
        <w:t>2023</w:t>
      </w:r>
      <w:r w:rsidR="009206BA" w:rsidRPr="00CF7CA2">
        <w:rPr>
          <w:lang w:val="fr-FR"/>
        </w:rPr>
        <w:t> </w:t>
      </w:r>
      <w:r w:rsidRPr="00CF7CA2">
        <w:rPr>
          <w:lang w:val="fr-FR"/>
        </w:rPr>
        <w:t>:</w:t>
      </w:r>
      <w:r w:rsidRPr="00CF7CA2">
        <w:rPr>
          <w:i/>
          <w:iCs/>
          <w:szCs w:val="18"/>
          <w:lang w:val="fr-FR"/>
        </w:rPr>
        <w:t xml:space="preserve"> </w:t>
      </w:r>
      <w:r w:rsidRPr="00CF7CA2">
        <w:rPr>
          <w:i/>
          <w:iCs/>
          <w:lang w:val="fr-FR"/>
        </w:rPr>
        <w:t>Rapport de synthèse - Contribution des groupes de travail</w:t>
      </w:r>
      <w:r w:rsidR="009206BA" w:rsidRPr="00CF7CA2">
        <w:rPr>
          <w:i/>
          <w:iCs/>
          <w:lang w:val="fr-FR"/>
        </w:rPr>
        <w:t> </w:t>
      </w:r>
      <w:r w:rsidRPr="00CF7CA2">
        <w:rPr>
          <w:i/>
          <w:iCs/>
          <w:lang w:val="fr-FR"/>
        </w:rPr>
        <w:t>I, II et III au sixième rapport d</w:t>
      </w:r>
      <w:r w:rsidR="009206BA" w:rsidRPr="00CF7CA2">
        <w:rPr>
          <w:i/>
          <w:iCs/>
          <w:lang w:val="fr-FR"/>
        </w:rPr>
        <w:t>’</w:t>
      </w:r>
      <w:r w:rsidRPr="00CF7CA2">
        <w:rPr>
          <w:i/>
          <w:iCs/>
          <w:lang w:val="fr-FR"/>
        </w:rPr>
        <w:t>évaluation du Groupe d</w:t>
      </w:r>
      <w:r w:rsidR="009206BA" w:rsidRPr="00CF7CA2">
        <w:rPr>
          <w:i/>
          <w:iCs/>
          <w:lang w:val="fr-FR"/>
        </w:rPr>
        <w:t>’</w:t>
      </w:r>
      <w:r w:rsidRPr="00CF7CA2">
        <w:rPr>
          <w:i/>
          <w:iCs/>
          <w:lang w:val="fr-FR"/>
        </w:rPr>
        <w:t>experts intergouvernemental sur l</w:t>
      </w:r>
      <w:r w:rsidR="009206BA" w:rsidRPr="00CF7CA2">
        <w:rPr>
          <w:i/>
          <w:iCs/>
          <w:lang w:val="fr-FR"/>
        </w:rPr>
        <w:t>’</w:t>
      </w:r>
      <w:r w:rsidRPr="00CF7CA2">
        <w:rPr>
          <w:i/>
          <w:iCs/>
          <w:lang w:val="fr-FR"/>
        </w:rPr>
        <w:t xml:space="preserve">évolution du climat </w:t>
      </w:r>
      <w:r w:rsidRPr="00CF7CA2">
        <w:rPr>
          <w:lang w:val="fr-FR"/>
        </w:rPr>
        <w:t>(Genève, Groupe d</w:t>
      </w:r>
      <w:r w:rsidR="009206BA" w:rsidRPr="00CF7CA2">
        <w:rPr>
          <w:lang w:val="fr-FR"/>
        </w:rPr>
        <w:t>’</w:t>
      </w:r>
      <w:r w:rsidRPr="00CF7CA2">
        <w:rPr>
          <w:lang w:val="fr-FR"/>
        </w:rPr>
        <w:t>experts intergouvernemental sur l</w:t>
      </w:r>
      <w:r w:rsidR="009206BA" w:rsidRPr="00CF7CA2">
        <w:rPr>
          <w:lang w:val="fr-FR"/>
        </w:rPr>
        <w:t>’</w:t>
      </w:r>
      <w:r w:rsidRPr="00CF7CA2">
        <w:rPr>
          <w:lang w:val="fr-FR"/>
        </w:rPr>
        <w:t>évolution du climat, 2023).</w:t>
      </w:r>
      <w:r w:rsidRPr="00CF7CA2">
        <w:rPr>
          <w:rFonts w:asciiTheme="majorBidi" w:hAnsiTheme="majorBidi"/>
          <w:lang w:val="fr-FR"/>
        </w:rPr>
        <w:t xml:space="preserve"> </w:t>
      </w:r>
    </w:p>
  </w:footnote>
  <w:footnote w:id="9">
    <w:p w14:paraId="734CBD59" w14:textId="744BD913" w:rsidR="001651D6" w:rsidRPr="00CF7CA2" w:rsidRDefault="001651D6" w:rsidP="001651D6">
      <w:pPr>
        <w:pStyle w:val="Notedebasdepage"/>
        <w:rPr>
          <w:lang w:val="fr-FR"/>
        </w:rPr>
      </w:pPr>
      <w:r w:rsidRPr="00CF7CA2">
        <w:rPr>
          <w:rStyle w:val="Appelnotedebasdep"/>
          <w:lang w:val="fr-FR"/>
        </w:rPr>
        <w:footnoteRef/>
      </w:r>
      <w:r w:rsidRPr="00CF7CA2">
        <w:rPr>
          <w:lang w:val="fr-FR"/>
        </w:rPr>
        <w:t xml:space="preserve"> L’expression «</w:t>
      </w:r>
      <w:r w:rsidR="009206BA" w:rsidRPr="00CF7CA2">
        <w:rPr>
          <w:lang w:val="fr-FR"/>
        </w:rPr>
        <w:t> </w:t>
      </w:r>
      <w:r w:rsidRPr="00CF7CA2">
        <w:rPr>
          <w:lang w:val="fr-FR"/>
        </w:rPr>
        <w:t>consentement préalable, libre et éclairé</w:t>
      </w:r>
      <w:r w:rsidR="009206BA" w:rsidRPr="00CF7CA2">
        <w:rPr>
          <w:lang w:val="fr-FR"/>
        </w:rPr>
        <w:t> </w:t>
      </w:r>
      <w:r w:rsidRPr="00CF7CA2">
        <w:rPr>
          <w:lang w:val="fr-FR"/>
        </w:rPr>
        <w:t>» fait référence à la terminologie tripartite de «</w:t>
      </w:r>
      <w:r w:rsidR="009206BA" w:rsidRPr="00CF7CA2">
        <w:rPr>
          <w:lang w:val="fr-FR"/>
        </w:rPr>
        <w:t> </w:t>
      </w:r>
      <w:r w:rsidRPr="00CF7CA2">
        <w:rPr>
          <w:lang w:val="fr-FR"/>
        </w:rPr>
        <w:t>consentement préalable et éclairé</w:t>
      </w:r>
      <w:r w:rsidR="009206BA" w:rsidRPr="00CF7CA2">
        <w:rPr>
          <w:lang w:val="fr-FR"/>
        </w:rPr>
        <w:t> </w:t>
      </w:r>
      <w:r w:rsidRPr="00CF7CA2">
        <w:rPr>
          <w:lang w:val="fr-FR"/>
        </w:rPr>
        <w:t>», «</w:t>
      </w:r>
      <w:r w:rsidR="009206BA" w:rsidRPr="00CF7CA2">
        <w:rPr>
          <w:lang w:val="fr-FR"/>
        </w:rPr>
        <w:t> </w:t>
      </w:r>
      <w:r w:rsidRPr="00CF7CA2">
        <w:rPr>
          <w:lang w:val="fr-FR"/>
        </w:rPr>
        <w:t>consentement libre, préalable et éclairé</w:t>
      </w:r>
      <w:r w:rsidR="009206BA" w:rsidRPr="00CF7CA2">
        <w:rPr>
          <w:lang w:val="fr-FR"/>
        </w:rPr>
        <w:t> </w:t>
      </w:r>
      <w:r w:rsidRPr="00CF7CA2">
        <w:rPr>
          <w:lang w:val="fr-FR"/>
        </w:rPr>
        <w:t>» et «</w:t>
      </w:r>
      <w:r w:rsidR="009206BA" w:rsidRPr="00CF7CA2">
        <w:rPr>
          <w:lang w:val="fr-FR"/>
        </w:rPr>
        <w:t> </w:t>
      </w:r>
      <w:r w:rsidRPr="00CF7CA2">
        <w:rPr>
          <w:lang w:val="fr-FR"/>
        </w:rPr>
        <w:t>approbation et participation</w:t>
      </w:r>
      <w:r w:rsidR="009206BA" w:rsidRPr="00CF7CA2">
        <w:rPr>
          <w:lang w:val="fr-FR"/>
        </w:rPr>
        <w:t> </w:t>
      </w:r>
      <w:r w:rsidRPr="00CF7CA2">
        <w:rPr>
          <w:lang w:val="fr-FR"/>
        </w:rPr>
        <w:t>».</w:t>
      </w:r>
    </w:p>
  </w:footnote>
  <w:footnote w:id="10">
    <w:p w14:paraId="6208F139" w14:textId="34DFA03D" w:rsidR="001651D6" w:rsidRPr="00CF7CA2" w:rsidRDefault="001651D6" w:rsidP="001651D6">
      <w:pPr>
        <w:pStyle w:val="Notedebasdepage"/>
        <w:suppressLineNumbers/>
        <w:suppressAutoHyphens/>
        <w:rPr>
          <w:kern w:val="18"/>
          <w:szCs w:val="18"/>
          <w:lang w:val="fr-FR"/>
        </w:rPr>
      </w:pPr>
      <w:r w:rsidRPr="00CF7CA2">
        <w:rPr>
          <w:rStyle w:val="Appelnotedebasdep"/>
          <w:szCs w:val="18"/>
          <w:lang w:val="fr-FR"/>
        </w:rPr>
        <w:footnoteRef/>
      </w:r>
      <w:r w:rsidRPr="00CF7CA2">
        <w:rPr>
          <w:lang w:val="fr-FR"/>
        </w:rPr>
        <w:t xml:space="preserve"> Décision</w:t>
      </w:r>
      <w:r w:rsidR="009206BA" w:rsidRPr="00CF7CA2">
        <w:rPr>
          <w:lang w:val="fr-FR"/>
        </w:rPr>
        <w:t> </w:t>
      </w:r>
      <w:r w:rsidRPr="00CF7CA2">
        <w:rPr>
          <w:lang w:val="fr-FR"/>
        </w:rPr>
        <w:t>14/5, annexe</w:t>
      </w:r>
      <w:r w:rsidR="009206BA" w:rsidRPr="00CF7CA2">
        <w:rPr>
          <w:lang w:val="fr-FR"/>
        </w:rPr>
        <w:t> </w:t>
      </w:r>
      <w:r w:rsidRPr="00CF7CA2">
        <w:rPr>
          <w:lang w:val="fr-FR"/>
        </w:rPr>
        <w:t xml:space="preserve">; voir également la </w:t>
      </w:r>
      <w:hyperlink r:id="rId1" w:history="1">
        <w:r w:rsidRPr="00CF7CA2">
          <w:rPr>
            <w:rStyle w:val="Lienhypertexte"/>
            <w:lang w:val="fr-FR"/>
          </w:rPr>
          <w:t>Série technique n°</w:t>
        </w:r>
        <w:r w:rsidR="009206BA" w:rsidRPr="00CF7CA2">
          <w:rPr>
            <w:rStyle w:val="Lienhypertexte"/>
            <w:lang w:val="fr-FR"/>
          </w:rPr>
          <w:t> </w:t>
        </w:r>
        <w:r w:rsidRPr="00CF7CA2">
          <w:rPr>
            <w:rStyle w:val="Lienhypertexte"/>
            <w:lang w:val="fr-FR"/>
          </w:rPr>
          <w:t>93</w:t>
        </w:r>
      </w:hyperlink>
      <w:r w:rsidRPr="00CF7CA2">
        <w:rPr>
          <w:color w:val="000000" w:themeColor="text1"/>
          <w:szCs w:val="18"/>
          <w:u w:val="single"/>
          <w:lang w:val="fr-FR"/>
        </w:rPr>
        <w:t xml:space="preserve"> </w:t>
      </w:r>
      <w:r w:rsidRPr="00CF7CA2">
        <w:rPr>
          <w:rStyle w:val="Lienhypertexte"/>
          <w:iCs/>
          <w:color w:val="000000" w:themeColor="text1"/>
          <w:szCs w:val="18"/>
          <w:u w:val="none"/>
          <w:lang w:val="fr-FR"/>
        </w:rPr>
        <w:t>de la CDB pour des informations complémentaires</w:t>
      </w:r>
      <w:r w:rsidRPr="00CF7CA2">
        <w:rPr>
          <w:color w:val="000000" w:themeColor="text1"/>
          <w:szCs w:val="18"/>
          <w:lang w:val="fr-FR"/>
        </w:rPr>
        <w:t>.</w:t>
      </w:r>
    </w:p>
  </w:footnote>
  <w:footnote w:id="11">
    <w:p w14:paraId="0C1AF525" w14:textId="2E445AD6" w:rsidR="001651D6" w:rsidRPr="00CF7CA2" w:rsidRDefault="001651D6" w:rsidP="001651D6">
      <w:pPr>
        <w:pStyle w:val="Notedebasdepage"/>
        <w:rPr>
          <w:szCs w:val="18"/>
          <w:lang w:val="fr-FR"/>
        </w:rPr>
      </w:pPr>
      <w:r w:rsidRPr="00CF7CA2">
        <w:rPr>
          <w:rStyle w:val="Appelnotedebasdep"/>
          <w:szCs w:val="18"/>
          <w:lang w:val="fr-FR"/>
        </w:rPr>
        <w:footnoteRef/>
      </w:r>
      <w:r w:rsidRPr="00CF7CA2">
        <w:rPr>
          <w:lang w:val="fr-FR"/>
        </w:rPr>
        <w:t xml:space="preserve"> Nations Unies, </w:t>
      </w:r>
      <w:r w:rsidRPr="00CF7CA2">
        <w:rPr>
          <w:i/>
          <w:iCs/>
          <w:szCs w:val="18"/>
          <w:lang w:val="fr-FR"/>
        </w:rPr>
        <w:t>Recueil des Traités</w:t>
      </w:r>
      <w:r w:rsidRPr="00CF7CA2">
        <w:rPr>
          <w:lang w:val="fr-FR"/>
        </w:rPr>
        <w:t>, vol.</w:t>
      </w:r>
      <w:r w:rsidR="009206BA" w:rsidRPr="00CF7CA2">
        <w:rPr>
          <w:lang w:val="fr-FR"/>
        </w:rPr>
        <w:t> </w:t>
      </w:r>
      <w:r w:rsidRPr="00CF7CA2">
        <w:rPr>
          <w:lang w:val="fr-FR"/>
        </w:rPr>
        <w:t>996, n</w:t>
      </w:r>
      <w:r w:rsidRPr="00CF7CA2">
        <w:rPr>
          <w:vertAlign w:val="superscript"/>
          <w:lang w:val="fr-FR"/>
        </w:rPr>
        <w:t>o</w:t>
      </w:r>
      <w:r w:rsidR="009206BA" w:rsidRPr="00CF7CA2">
        <w:rPr>
          <w:lang w:val="fr-FR"/>
        </w:rPr>
        <w:t> </w:t>
      </w:r>
      <w:r w:rsidRPr="00CF7CA2">
        <w:rPr>
          <w:lang w:val="fr-FR"/>
        </w:rPr>
        <w:t>14583.</w:t>
      </w:r>
    </w:p>
  </w:footnote>
  <w:footnote w:id="12">
    <w:p w14:paraId="080401F8" w14:textId="11EC976A" w:rsidR="00DB26CA" w:rsidRPr="00CF7CA2" w:rsidRDefault="00DB26CA">
      <w:pPr>
        <w:pStyle w:val="Notedebasdepage"/>
        <w:rPr>
          <w:lang w:val="fr-FR"/>
        </w:rPr>
      </w:pPr>
      <w:r w:rsidRPr="00CF7CA2">
        <w:rPr>
          <w:rStyle w:val="Appelnotedebasdep"/>
          <w:lang w:val="fr-FR"/>
        </w:rPr>
        <w:footnoteRef/>
      </w:r>
      <w:r w:rsidRPr="00CF7CA2">
        <w:rPr>
          <w:lang w:val="fr-FR"/>
        </w:rPr>
        <w:t xml:space="preserve"> Décision</w:t>
      </w:r>
      <w:r w:rsidR="009206BA" w:rsidRPr="00CF7CA2">
        <w:rPr>
          <w:lang w:val="fr-FR"/>
        </w:rPr>
        <w:t> </w:t>
      </w:r>
      <w:r w:rsidRPr="00CF7CA2">
        <w:rPr>
          <w:lang w:val="fr-FR"/>
        </w:rPr>
        <w:t>15/8, annexe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518D3E9D" w14:textId="7DD8F7B4" w:rsidR="00A00234" w:rsidRPr="00192D20" w:rsidRDefault="00000000" w:rsidP="00192D20">
    <w:pPr>
      <w:pStyle w:val="En-tte"/>
      <w:spacing w:after="240"/>
      <w:rPr>
        <w:szCs w:val="20"/>
      </w:rPr>
    </w:pPr>
    <w:sdt>
      <w:sdtPr>
        <w:rPr>
          <w:szCs w:val="20"/>
          <w:lang w:val="en-CA"/>
        </w:rPr>
        <w:alias w:val="Objet"/>
        <w:tag w:val=""/>
        <w:id w:val="967328729"/>
        <w:dataBinding w:prefixMappings="xmlns:ns0='http://purl.org/dc/elements/1.1/' xmlns:ns1='http://schemas.openxmlformats.org/package/2006/metadata/core-properties' " w:xpath="/ns1:coreProperties[1]/ns0:subject[1]" w:storeItemID="{6C3C8BC8-F283-45AE-878A-BAB7291924A1}"/>
        <w:text/>
      </w:sdtPr>
      <w:sdtContent>
        <w:r w:rsidR="00624217" w:rsidRPr="00624217">
          <w:rPr>
            <w:szCs w:val="20"/>
            <w:lang w:val="en-CA"/>
          </w:rPr>
          <w:t>CBD/COP/DEC/16/22</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Obje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6F45460D" w14:textId="1A3701E8" w:rsidR="002B559C" w:rsidRPr="00192D20" w:rsidRDefault="00624217" w:rsidP="002B559C">
        <w:pPr>
          <w:pStyle w:val="En-tte"/>
          <w:spacing w:after="240"/>
          <w:jc w:val="right"/>
          <w:rPr>
            <w:szCs w:val="20"/>
            <w:lang w:val="en-CA"/>
          </w:rPr>
        </w:pPr>
        <w:r>
          <w:rPr>
            <w:szCs w:val="20"/>
          </w:rPr>
          <w:t>CBD/COP/DEC/16/22</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Default="001662BF" w:rsidP="001662BF">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3E044FC6"/>
    <w:multiLevelType w:val="hybridMultilevel"/>
    <w:tmpl w:val="0908DBB6"/>
    <w:lvl w:ilvl="0" w:tplc="72EEA72A">
      <w:start w:val="1"/>
      <w:numFmt w:val="decimal"/>
      <w:lvlText w:val="%1."/>
      <w:lvlJc w:val="left"/>
      <w:pPr>
        <w:ind w:left="2421" w:hanging="360"/>
      </w:pPr>
      <w:rPr>
        <w:rFonts w:hint="default"/>
        <w:i w:val="0"/>
        <w:iCs/>
        <w:color w:val="auto"/>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5"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7" w15:restartNumberingAfterBreak="0">
    <w:nsid w:val="51E62B15"/>
    <w:multiLevelType w:val="hybridMultilevel"/>
    <w:tmpl w:val="7AFC90A8"/>
    <w:lvl w:ilvl="0" w:tplc="01E4E93E">
      <w:start w:val="19"/>
      <w:numFmt w:val="decimal"/>
      <w:lvlText w:val="%1."/>
      <w:lvlJc w:val="left"/>
      <w:pPr>
        <w:ind w:left="927" w:hanging="360"/>
      </w:pPr>
      <w:rPr>
        <w:rFonts w:asciiTheme="majorBidi" w:hAnsiTheme="majorBidi" w:cstheme="majorBidi"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9"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2"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3"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7"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8"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5"/>
  </w:num>
  <w:num w:numId="2" w16cid:durableId="2069499237">
    <w:abstractNumId w:val="14"/>
  </w:num>
  <w:num w:numId="3" w16cid:durableId="158270868">
    <w:abstractNumId w:val="17"/>
  </w:num>
  <w:num w:numId="4" w16cid:durableId="159275565">
    <w:abstractNumId w:val="0"/>
  </w:num>
  <w:num w:numId="5" w16cid:durableId="271714945">
    <w:abstractNumId w:val="1"/>
  </w:num>
  <w:num w:numId="6" w16cid:durableId="1351487209">
    <w:abstractNumId w:val="1"/>
  </w:num>
  <w:num w:numId="7" w16cid:durableId="1612737127">
    <w:abstractNumId w:val="3"/>
  </w:num>
  <w:num w:numId="8" w16cid:durableId="1334139419">
    <w:abstractNumId w:val="9"/>
  </w:num>
  <w:num w:numId="9" w16cid:durableId="935023265">
    <w:abstractNumId w:val="13"/>
  </w:num>
  <w:num w:numId="10" w16cid:durableId="268247158">
    <w:abstractNumId w:val="12"/>
  </w:num>
  <w:num w:numId="11" w16cid:durableId="143207059">
    <w:abstractNumId w:val="8"/>
  </w:num>
  <w:num w:numId="12" w16cid:durableId="445121453">
    <w:abstractNumId w:val="2"/>
  </w:num>
  <w:num w:numId="13" w16cid:durableId="1263953771">
    <w:abstractNumId w:val="2"/>
    <w:lvlOverride w:ilvl="0">
      <w:startOverride w:val="1"/>
    </w:lvlOverride>
  </w:num>
  <w:num w:numId="14" w16cid:durableId="199586161">
    <w:abstractNumId w:val="11"/>
  </w:num>
  <w:num w:numId="15" w16cid:durableId="584072443">
    <w:abstractNumId w:val="11"/>
    <w:lvlOverride w:ilvl="0">
      <w:startOverride w:val="1"/>
    </w:lvlOverride>
  </w:num>
  <w:num w:numId="16" w16cid:durableId="1638680439">
    <w:abstractNumId w:val="14"/>
    <w:lvlOverride w:ilvl="0">
      <w:startOverride w:val="1"/>
    </w:lvlOverride>
  </w:num>
  <w:num w:numId="17" w16cid:durableId="1376001245">
    <w:abstractNumId w:val="11"/>
    <w:lvlOverride w:ilvl="0">
      <w:startOverride w:val="1"/>
    </w:lvlOverride>
  </w:num>
  <w:num w:numId="18" w16cid:durableId="1480611021">
    <w:abstractNumId w:val="18"/>
  </w:num>
  <w:num w:numId="19" w16cid:durableId="1967006738">
    <w:abstractNumId w:val="14"/>
    <w:lvlOverride w:ilvl="0">
      <w:startOverride w:val="1"/>
    </w:lvlOverride>
  </w:num>
  <w:num w:numId="20" w16cid:durableId="323556548">
    <w:abstractNumId w:val="14"/>
    <w:lvlOverride w:ilvl="0">
      <w:startOverride w:val="1"/>
    </w:lvlOverride>
  </w:num>
  <w:num w:numId="21" w16cid:durableId="1944222708">
    <w:abstractNumId w:val="10"/>
  </w:num>
  <w:num w:numId="22" w16cid:durableId="359664821">
    <w:abstractNumId w:val="6"/>
  </w:num>
  <w:num w:numId="23" w16cid:durableId="1308514536">
    <w:abstractNumId w:val="15"/>
  </w:num>
  <w:num w:numId="24" w16cid:durableId="180435497">
    <w:abstractNumId w:val="15"/>
  </w:num>
  <w:num w:numId="25" w16cid:durableId="1967853968">
    <w:abstractNumId w:val="15"/>
  </w:num>
  <w:num w:numId="26" w16cid:durableId="1822891204">
    <w:abstractNumId w:val="15"/>
  </w:num>
  <w:num w:numId="27" w16cid:durableId="1205404748">
    <w:abstractNumId w:val="15"/>
  </w:num>
  <w:num w:numId="28" w16cid:durableId="361631941">
    <w:abstractNumId w:val="15"/>
  </w:num>
  <w:num w:numId="29" w16cid:durableId="35277319">
    <w:abstractNumId w:val="16"/>
  </w:num>
  <w:num w:numId="30" w16cid:durableId="713772114">
    <w:abstractNumId w:val="16"/>
  </w:num>
  <w:num w:numId="31" w16cid:durableId="643236880">
    <w:abstractNumId w:val="16"/>
  </w:num>
  <w:num w:numId="32" w16cid:durableId="70390401">
    <w:abstractNumId w:val="16"/>
  </w:num>
  <w:num w:numId="33" w16cid:durableId="749541829">
    <w:abstractNumId w:val="6"/>
  </w:num>
  <w:num w:numId="34" w16cid:durableId="805970581">
    <w:abstractNumId w:val="6"/>
  </w:num>
  <w:num w:numId="35" w16cid:durableId="42140038">
    <w:abstractNumId w:val="6"/>
  </w:num>
  <w:num w:numId="36" w16cid:durableId="521938712">
    <w:abstractNumId w:val="6"/>
  </w:num>
  <w:num w:numId="37" w16cid:durableId="170996569">
    <w:abstractNumId w:val="6"/>
  </w:num>
  <w:num w:numId="38" w16cid:durableId="1062606319">
    <w:abstractNumId w:val="6"/>
  </w:num>
  <w:num w:numId="39" w16cid:durableId="1552187389">
    <w:abstractNumId w:val="6"/>
  </w:num>
  <w:num w:numId="40" w16cid:durableId="472648398">
    <w:abstractNumId w:val="6"/>
  </w:num>
  <w:num w:numId="41" w16cid:durableId="1281063911">
    <w:abstractNumId w:val="4"/>
  </w:num>
  <w:num w:numId="42" w16cid:durableId="16690146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05D9"/>
    <w:rsid w:val="00013BE6"/>
    <w:rsid w:val="000158AF"/>
    <w:rsid w:val="00022A7B"/>
    <w:rsid w:val="00025287"/>
    <w:rsid w:val="00026617"/>
    <w:rsid w:val="00032240"/>
    <w:rsid w:val="00033FA7"/>
    <w:rsid w:val="00040598"/>
    <w:rsid w:val="000415A3"/>
    <w:rsid w:val="00051594"/>
    <w:rsid w:val="000540DC"/>
    <w:rsid w:val="0006764E"/>
    <w:rsid w:val="000726F0"/>
    <w:rsid w:val="00075B79"/>
    <w:rsid w:val="0007714D"/>
    <w:rsid w:val="0008178A"/>
    <w:rsid w:val="00083A87"/>
    <w:rsid w:val="00083BDB"/>
    <w:rsid w:val="000911A5"/>
    <w:rsid w:val="000966D5"/>
    <w:rsid w:val="000A047B"/>
    <w:rsid w:val="000A2E2B"/>
    <w:rsid w:val="000A6631"/>
    <w:rsid w:val="000B1E29"/>
    <w:rsid w:val="000B431F"/>
    <w:rsid w:val="000C5A2D"/>
    <w:rsid w:val="000C5AFD"/>
    <w:rsid w:val="000F0D29"/>
    <w:rsid w:val="000F66FD"/>
    <w:rsid w:val="00101799"/>
    <w:rsid w:val="00102F44"/>
    <w:rsid w:val="00107FE8"/>
    <w:rsid w:val="0011462B"/>
    <w:rsid w:val="00115970"/>
    <w:rsid w:val="00116148"/>
    <w:rsid w:val="00121C8C"/>
    <w:rsid w:val="00124D79"/>
    <w:rsid w:val="00131A5A"/>
    <w:rsid w:val="00132581"/>
    <w:rsid w:val="0013276C"/>
    <w:rsid w:val="0014333C"/>
    <w:rsid w:val="001450DC"/>
    <w:rsid w:val="001454DA"/>
    <w:rsid w:val="00155BA4"/>
    <w:rsid w:val="00157B09"/>
    <w:rsid w:val="001639C3"/>
    <w:rsid w:val="001651D6"/>
    <w:rsid w:val="001662BF"/>
    <w:rsid w:val="00174543"/>
    <w:rsid w:val="00175825"/>
    <w:rsid w:val="001812DE"/>
    <w:rsid w:val="00184909"/>
    <w:rsid w:val="00185E2C"/>
    <w:rsid w:val="00192D20"/>
    <w:rsid w:val="00196341"/>
    <w:rsid w:val="001A2527"/>
    <w:rsid w:val="001A3918"/>
    <w:rsid w:val="001A3EF8"/>
    <w:rsid w:val="001A54A4"/>
    <w:rsid w:val="001A7597"/>
    <w:rsid w:val="001B49F8"/>
    <w:rsid w:val="001C2CD6"/>
    <w:rsid w:val="001C66F6"/>
    <w:rsid w:val="001D07B7"/>
    <w:rsid w:val="001D7501"/>
    <w:rsid w:val="001E4E16"/>
    <w:rsid w:val="001F291E"/>
    <w:rsid w:val="001F457E"/>
    <w:rsid w:val="001F46B1"/>
    <w:rsid w:val="001F6115"/>
    <w:rsid w:val="002216B4"/>
    <w:rsid w:val="002264B0"/>
    <w:rsid w:val="00231D6A"/>
    <w:rsid w:val="002358FF"/>
    <w:rsid w:val="00240BDD"/>
    <w:rsid w:val="00247E10"/>
    <w:rsid w:val="00250285"/>
    <w:rsid w:val="0025245F"/>
    <w:rsid w:val="00265AFC"/>
    <w:rsid w:val="0029297B"/>
    <w:rsid w:val="00296CD8"/>
    <w:rsid w:val="002A56E7"/>
    <w:rsid w:val="002A6BD8"/>
    <w:rsid w:val="002A715B"/>
    <w:rsid w:val="002B00CA"/>
    <w:rsid w:val="002B08B8"/>
    <w:rsid w:val="002B0C06"/>
    <w:rsid w:val="002B0C90"/>
    <w:rsid w:val="002B559C"/>
    <w:rsid w:val="002C0322"/>
    <w:rsid w:val="002C151C"/>
    <w:rsid w:val="002D1C48"/>
    <w:rsid w:val="002E1428"/>
    <w:rsid w:val="002E2E1E"/>
    <w:rsid w:val="002F1B90"/>
    <w:rsid w:val="0030223A"/>
    <w:rsid w:val="00303F0B"/>
    <w:rsid w:val="00310608"/>
    <w:rsid w:val="0031157A"/>
    <w:rsid w:val="00313441"/>
    <w:rsid w:val="00323F22"/>
    <w:rsid w:val="00343369"/>
    <w:rsid w:val="00345111"/>
    <w:rsid w:val="003476A9"/>
    <w:rsid w:val="00352970"/>
    <w:rsid w:val="003612A4"/>
    <w:rsid w:val="003617FA"/>
    <w:rsid w:val="003730E4"/>
    <w:rsid w:val="003826E0"/>
    <w:rsid w:val="003A198E"/>
    <w:rsid w:val="003C3310"/>
    <w:rsid w:val="003C6F10"/>
    <w:rsid w:val="003D54ED"/>
    <w:rsid w:val="003F2472"/>
    <w:rsid w:val="003F441D"/>
    <w:rsid w:val="00404F68"/>
    <w:rsid w:val="00405EEC"/>
    <w:rsid w:val="00420A9C"/>
    <w:rsid w:val="00422BAB"/>
    <w:rsid w:val="00427B31"/>
    <w:rsid w:val="00432FAD"/>
    <w:rsid w:val="004367D0"/>
    <w:rsid w:val="00440A17"/>
    <w:rsid w:val="00440AF2"/>
    <w:rsid w:val="00440F48"/>
    <w:rsid w:val="00441121"/>
    <w:rsid w:val="00441498"/>
    <w:rsid w:val="004431E8"/>
    <w:rsid w:val="00447A15"/>
    <w:rsid w:val="004555B1"/>
    <w:rsid w:val="00461E09"/>
    <w:rsid w:val="0046353B"/>
    <w:rsid w:val="00463649"/>
    <w:rsid w:val="00464341"/>
    <w:rsid w:val="00464B58"/>
    <w:rsid w:val="00465E50"/>
    <w:rsid w:val="0046743F"/>
    <w:rsid w:val="004701EE"/>
    <w:rsid w:val="0047222E"/>
    <w:rsid w:val="00473894"/>
    <w:rsid w:val="00473C21"/>
    <w:rsid w:val="00480A8D"/>
    <w:rsid w:val="00481575"/>
    <w:rsid w:val="00483743"/>
    <w:rsid w:val="00491E79"/>
    <w:rsid w:val="00494320"/>
    <w:rsid w:val="00497800"/>
    <w:rsid w:val="004A2A2D"/>
    <w:rsid w:val="004B51D1"/>
    <w:rsid w:val="004B6CA1"/>
    <w:rsid w:val="004C0342"/>
    <w:rsid w:val="004C0B75"/>
    <w:rsid w:val="004C3156"/>
    <w:rsid w:val="004C6544"/>
    <w:rsid w:val="004D2697"/>
    <w:rsid w:val="004D615A"/>
    <w:rsid w:val="004D7A8D"/>
    <w:rsid w:val="004E6ABF"/>
    <w:rsid w:val="004E7BA2"/>
    <w:rsid w:val="004F2F5D"/>
    <w:rsid w:val="004F44BC"/>
    <w:rsid w:val="00501CFA"/>
    <w:rsid w:val="00505036"/>
    <w:rsid w:val="0051198F"/>
    <w:rsid w:val="00515982"/>
    <w:rsid w:val="00515BF9"/>
    <w:rsid w:val="00515EB5"/>
    <w:rsid w:val="00537248"/>
    <w:rsid w:val="00540194"/>
    <w:rsid w:val="00560065"/>
    <w:rsid w:val="00583C2C"/>
    <w:rsid w:val="00595A79"/>
    <w:rsid w:val="00596E79"/>
    <w:rsid w:val="005A1547"/>
    <w:rsid w:val="005A206E"/>
    <w:rsid w:val="005A58FD"/>
    <w:rsid w:val="005B08CC"/>
    <w:rsid w:val="005C0058"/>
    <w:rsid w:val="005C1428"/>
    <w:rsid w:val="005C7879"/>
    <w:rsid w:val="005D631F"/>
    <w:rsid w:val="005E2605"/>
    <w:rsid w:val="005E6BE1"/>
    <w:rsid w:val="005F0297"/>
    <w:rsid w:val="005F2AE4"/>
    <w:rsid w:val="005F3CE7"/>
    <w:rsid w:val="0060218A"/>
    <w:rsid w:val="00616D03"/>
    <w:rsid w:val="00624217"/>
    <w:rsid w:val="00626E07"/>
    <w:rsid w:val="00633E62"/>
    <w:rsid w:val="006453A2"/>
    <w:rsid w:val="00657ED6"/>
    <w:rsid w:val="00663FB2"/>
    <w:rsid w:val="00667C40"/>
    <w:rsid w:val="00674F33"/>
    <w:rsid w:val="00675462"/>
    <w:rsid w:val="00676CA5"/>
    <w:rsid w:val="00696D62"/>
    <w:rsid w:val="00696DA2"/>
    <w:rsid w:val="006A56BF"/>
    <w:rsid w:val="006B293D"/>
    <w:rsid w:val="006B2F6A"/>
    <w:rsid w:val="006B77DA"/>
    <w:rsid w:val="006C0F91"/>
    <w:rsid w:val="006C246D"/>
    <w:rsid w:val="006C4CB6"/>
    <w:rsid w:val="006C6370"/>
    <w:rsid w:val="006D20B8"/>
    <w:rsid w:val="006D3572"/>
    <w:rsid w:val="006F0030"/>
    <w:rsid w:val="006F0E58"/>
    <w:rsid w:val="006F1D24"/>
    <w:rsid w:val="006F2151"/>
    <w:rsid w:val="006F64C8"/>
    <w:rsid w:val="007077E8"/>
    <w:rsid w:val="00707FFB"/>
    <w:rsid w:val="007110B9"/>
    <w:rsid w:val="00725DED"/>
    <w:rsid w:val="00725E69"/>
    <w:rsid w:val="00727EEC"/>
    <w:rsid w:val="00736568"/>
    <w:rsid w:val="00737665"/>
    <w:rsid w:val="0075018F"/>
    <w:rsid w:val="0075624C"/>
    <w:rsid w:val="0076622F"/>
    <w:rsid w:val="007703FD"/>
    <w:rsid w:val="007724F9"/>
    <w:rsid w:val="00773B6E"/>
    <w:rsid w:val="00774D4A"/>
    <w:rsid w:val="00776605"/>
    <w:rsid w:val="0077757B"/>
    <w:rsid w:val="00783CB8"/>
    <w:rsid w:val="00784DB8"/>
    <w:rsid w:val="00785CD2"/>
    <w:rsid w:val="00796180"/>
    <w:rsid w:val="007B4AFA"/>
    <w:rsid w:val="007B5F9C"/>
    <w:rsid w:val="007C77BC"/>
    <w:rsid w:val="007E25AD"/>
    <w:rsid w:val="007E5D62"/>
    <w:rsid w:val="007F1088"/>
    <w:rsid w:val="007F548F"/>
    <w:rsid w:val="007F6A59"/>
    <w:rsid w:val="00820275"/>
    <w:rsid w:val="00826ADD"/>
    <w:rsid w:val="0083420F"/>
    <w:rsid w:val="00835BA0"/>
    <w:rsid w:val="0084778D"/>
    <w:rsid w:val="00851C72"/>
    <w:rsid w:val="008555CC"/>
    <w:rsid w:val="00857971"/>
    <w:rsid w:val="008579A9"/>
    <w:rsid w:val="008608C6"/>
    <w:rsid w:val="00874541"/>
    <w:rsid w:val="0087582D"/>
    <w:rsid w:val="008767DA"/>
    <w:rsid w:val="00880330"/>
    <w:rsid w:val="0088445B"/>
    <w:rsid w:val="00895C7E"/>
    <w:rsid w:val="008B4EAC"/>
    <w:rsid w:val="008B5292"/>
    <w:rsid w:val="008C367A"/>
    <w:rsid w:val="008C6B02"/>
    <w:rsid w:val="008E0581"/>
    <w:rsid w:val="008E178E"/>
    <w:rsid w:val="0090386C"/>
    <w:rsid w:val="00904E58"/>
    <w:rsid w:val="00905044"/>
    <w:rsid w:val="009132E2"/>
    <w:rsid w:val="00915341"/>
    <w:rsid w:val="009206BA"/>
    <w:rsid w:val="009261B5"/>
    <w:rsid w:val="00926C63"/>
    <w:rsid w:val="00927147"/>
    <w:rsid w:val="00931BCF"/>
    <w:rsid w:val="00932F3A"/>
    <w:rsid w:val="00935461"/>
    <w:rsid w:val="009459E3"/>
    <w:rsid w:val="00951859"/>
    <w:rsid w:val="00960F96"/>
    <w:rsid w:val="0096178D"/>
    <w:rsid w:val="00961C77"/>
    <w:rsid w:val="00964DDA"/>
    <w:rsid w:val="0096684E"/>
    <w:rsid w:val="0097452E"/>
    <w:rsid w:val="00980E94"/>
    <w:rsid w:val="0098711C"/>
    <w:rsid w:val="00993730"/>
    <w:rsid w:val="00993BF8"/>
    <w:rsid w:val="00995DDC"/>
    <w:rsid w:val="009A5C91"/>
    <w:rsid w:val="009C1114"/>
    <w:rsid w:val="009D3237"/>
    <w:rsid w:val="009D4762"/>
    <w:rsid w:val="009E0912"/>
    <w:rsid w:val="009E3A94"/>
    <w:rsid w:val="009E558C"/>
    <w:rsid w:val="009E7933"/>
    <w:rsid w:val="009F2684"/>
    <w:rsid w:val="00A00234"/>
    <w:rsid w:val="00A04924"/>
    <w:rsid w:val="00A14FB6"/>
    <w:rsid w:val="00A15CD9"/>
    <w:rsid w:val="00A349E1"/>
    <w:rsid w:val="00A401B1"/>
    <w:rsid w:val="00A46803"/>
    <w:rsid w:val="00A54FA0"/>
    <w:rsid w:val="00A5592B"/>
    <w:rsid w:val="00A56DFF"/>
    <w:rsid w:val="00A62B5B"/>
    <w:rsid w:val="00A65615"/>
    <w:rsid w:val="00A73819"/>
    <w:rsid w:val="00A828BE"/>
    <w:rsid w:val="00A963F0"/>
    <w:rsid w:val="00A96B21"/>
    <w:rsid w:val="00AA2A1A"/>
    <w:rsid w:val="00AA6B9F"/>
    <w:rsid w:val="00AB493E"/>
    <w:rsid w:val="00AB67C1"/>
    <w:rsid w:val="00AB756D"/>
    <w:rsid w:val="00AC0B7F"/>
    <w:rsid w:val="00AC3FF1"/>
    <w:rsid w:val="00AC55A2"/>
    <w:rsid w:val="00AD34DD"/>
    <w:rsid w:val="00AD3DA5"/>
    <w:rsid w:val="00AE1A95"/>
    <w:rsid w:val="00AF4117"/>
    <w:rsid w:val="00AF47D7"/>
    <w:rsid w:val="00B01482"/>
    <w:rsid w:val="00B03E84"/>
    <w:rsid w:val="00B05B8F"/>
    <w:rsid w:val="00B06286"/>
    <w:rsid w:val="00B07AB1"/>
    <w:rsid w:val="00B1142B"/>
    <w:rsid w:val="00B2400E"/>
    <w:rsid w:val="00B2519A"/>
    <w:rsid w:val="00B32313"/>
    <w:rsid w:val="00B35A5A"/>
    <w:rsid w:val="00B36EA9"/>
    <w:rsid w:val="00B41BF6"/>
    <w:rsid w:val="00B459EE"/>
    <w:rsid w:val="00B47BB1"/>
    <w:rsid w:val="00B53B2E"/>
    <w:rsid w:val="00B551AF"/>
    <w:rsid w:val="00B5646F"/>
    <w:rsid w:val="00B61A30"/>
    <w:rsid w:val="00B63F62"/>
    <w:rsid w:val="00B659EB"/>
    <w:rsid w:val="00B67289"/>
    <w:rsid w:val="00B93533"/>
    <w:rsid w:val="00BB01F6"/>
    <w:rsid w:val="00BB2AFE"/>
    <w:rsid w:val="00BB60F0"/>
    <w:rsid w:val="00BB7916"/>
    <w:rsid w:val="00BC27DF"/>
    <w:rsid w:val="00BC4812"/>
    <w:rsid w:val="00BD4A73"/>
    <w:rsid w:val="00BE46D4"/>
    <w:rsid w:val="00BE68BD"/>
    <w:rsid w:val="00BE7368"/>
    <w:rsid w:val="00BE7FE8"/>
    <w:rsid w:val="00BF2F38"/>
    <w:rsid w:val="00BF55F2"/>
    <w:rsid w:val="00C03FD9"/>
    <w:rsid w:val="00C05460"/>
    <w:rsid w:val="00C071FD"/>
    <w:rsid w:val="00C118A1"/>
    <w:rsid w:val="00C14820"/>
    <w:rsid w:val="00C176AF"/>
    <w:rsid w:val="00C21370"/>
    <w:rsid w:val="00C2151A"/>
    <w:rsid w:val="00C21842"/>
    <w:rsid w:val="00C2354A"/>
    <w:rsid w:val="00C23552"/>
    <w:rsid w:val="00C24C70"/>
    <w:rsid w:val="00C253E5"/>
    <w:rsid w:val="00C2761B"/>
    <w:rsid w:val="00C4221B"/>
    <w:rsid w:val="00C42DC1"/>
    <w:rsid w:val="00C61CFE"/>
    <w:rsid w:val="00C63145"/>
    <w:rsid w:val="00C72F2E"/>
    <w:rsid w:val="00C96422"/>
    <w:rsid w:val="00CA73E0"/>
    <w:rsid w:val="00CB0D9D"/>
    <w:rsid w:val="00CB20DD"/>
    <w:rsid w:val="00CB7E71"/>
    <w:rsid w:val="00CC0B59"/>
    <w:rsid w:val="00CD38E4"/>
    <w:rsid w:val="00CE0400"/>
    <w:rsid w:val="00CE253A"/>
    <w:rsid w:val="00CE282B"/>
    <w:rsid w:val="00CE5AAB"/>
    <w:rsid w:val="00CF70AB"/>
    <w:rsid w:val="00CF7870"/>
    <w:rsid w:val="00CF7CA2"/>
    <w:rsid w:val="00D07FC2"/>
    <w:rsid w:val="00D1061F"/>
    <w:rsid w:val="00D15418"/>
    <w:rsid w:val="00D179DF"/>
    <w:rsid w:val="00D20DF1"/>
    <w:rsid w:val="00D2344F"/>
    <w:rsid w:val="00D3059B"/>
    <w:rsid w:val="00D458E5"/>
    <w:rsid w:val="00D45B55"/>
    <w:rsid w:val="00D50E29"/>
    <w:rsid w:val="00D566CB"/>
    <w:rsid w:val="00D60046"/>
    <w:rsid w:val="00D62F26"/>
    <w:rsid w:val="00D64F28"/>
    <w:rsid w:val="00D67F9D"/>
    <w:rsid w:val="00D71FFB"/>
    <w:rsid w:val="00D757ED"/>
    <w:rsid w:val="00D83BB6"/>
    <w:rsid w:val="00D97B05"/>
    <w:rsid w:val="00DA3EC2"/>
    <w:rsid w:val="00DA6D45"/>
    <w:rsid w:val="00DB26CA"/>
    <w:rsid w:val="00DB4148"/>
    <w:rsid w:val="00DC2B62"/>
    <w:rsid w:val="00DC35C8"/>
    <w:rsid w:val="00DC4EDE"/>
    <w:rsid w:val="00DD2597"/>
    <w:rsid w:val="00DD60D4"/>
    <w:rsid w:val="00DE29B2"/>
    <w:rsid w:val="00DE2A46"/>
    <w:rsid w:val="00DE53ED"/>
    <w:rsid w:val="00DE5BBC"/>
    <w:rsid w:val="00DE70D2"/>
    <w:rsid w:val="00DF6948"/>
    <w:rsid w:val="00E01B8C"/>
    <w:rsid w:val="00E115ED"/>
    <w:rsid w:val="00E128B6"/>
    <w:rsid w:val="00E15123"/>
    <w:rsid w:val="00E1597C"/>
    <w:rsid w:val="00E307DC"/>
    <w:rsid w:val="00E323FA"/>
    <w:rsid w:val="00E354D3"/>
    <w:rsid w:val="00E44A51"/>
    <w:rsid w:val="00E46CFC"/>
    <w:rsid w:val="00E534C7"/>
    <w:rsid w:val="00E660E0"/>
    <w:rsid w:val="00E740AC"/>
    <w:rsid w:val="00E742AD"/>
    <w:rsid w:val="00E83D2F"/>
    <w:rsid w:val="00E8664D"/>
    <w:rsid w:val="00E92D8E"/>
    <w:rsid w:val="00E969C5"/>
    <w:rsid w:val="00EA096A"/>
    <w:rsid w:val="00EA4574"/>
    <w:rsid w:val="00EC09AA"/>
    <w:rsid w:val="00EC32C8"/>
    <w:rsid w:val="00EC43EE"/>
    <w:rsid w:val="00ED3849"/>
    <w:rsid w:val="00ED6693"/>
    <w:rsid w:val="00ED6C53"/>
    <w:rsid w:val="00ED7153"/>
    <w:rsid w:val="00EF05B8"/>
    <w:rsid w:val="00EF079A"/>
    <w:rsid w:val="00F0122F"/>
    <w:rsid w:val="00F06946"/>
    <w:rsid w:val="00F2118B"/>
    <w:rsid w:val="00F23DBB"/>
    <w:rsid w:val="00F24A64"/>
    <w:rsid w:val="00F258FB"/>
    <w:rsid w:val="00F318E2"/>
    <w:rsid w:val="00F40CC9"/>
    <w:rsid w:val="00F43DEC"/>
    <w:rsid w:val="00F476D5"/>
    <w:rsid w:val="00F47783"/>
    <w:rsid w:val="00F54876"/>
    <w:rsid w:val="00F65345"/>
    <w:rsid w:val="00F75F90"/>
    <w:rsid w:val="00F82ED3"/>
    <w:rsid w:val="00F8315A"/>
    <w:rsid w:val="00F87322"/>
    <w:rsid w:val="00F926B2"/>
    <w:rsid w:val="00F95EFD"/>
    <w:rsid w:val="00FA18C9"/>
    <w:rsid w:val="00FA43BB"/>
    <w:rsid w:val="00FA494D"/>
    <w:rsid w:val="00FA4B3E"/>
    <w:rsid w:val="00FA59D1"/>
    <w:rsid w:val="00FB6DE8"/>
    <w:rsid w:val="00FC23A9"/>
    <w:rsid w:val="00FD2AA6"/>
    <w:rsid w:val="00FD3662"/>
    <w:rsid w:val="00FD7AF3"/>
    <w:rsid w:val="00FD7EA2"/>
    <w:rsid w:val="00FE0B22"/>
    <w:rsid w:val="00FE5132"/>
    <w:rsid w:val="00FE700A"/>
    <w:rsid w:val="00FF49D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itre1">
    <w:name w:val="heading 1"/>
    <w:basedOn w:val="Normal"/>
    <w:next w:val="Titre2"/>
    <w:link w:val="Titre1C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B93533"/>
    <w:pPr>
      <w:keepNext/>
      <w:numPr>
        <w:ilvl w:val="4"/>
        <w:numId w:val="28"/>
      </w:numPr>
      <w:spacing w:before="120" w:after="120"/>
      <w:jc w:val="left"/>
      <w:outlineLvl w:val="4"/>
    </w:pPr>
    <w:rPr>
      <w:rFonts w:eastAsiaTheme="majorEastAsia"/>
      <w:i/>
      <w:iCs/>
    </w:rPr>
  </w:style>
  <w:style w:type="paragraph" w:styleId="Titre6">
    <w:name w:val="heading 6"/>
    <w:basedOn w:val="Normal"/>
    <w:next w:val="Normal"/>
    <w:link w:val="Titre6C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B93533"/>
    <w:pPr>
      <w:keepNext/>
      <w:widowControl w:val="0"/>
      <w:numPr>
        <w:ilvl w:val="8"/>
        <w:numId w:val="32"/>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rPr>
  </w:style>
  <w:style w:type="paragraph" w:styleId="Corpsdetexte">
    <w:name w:val="Body Text"/>
    <w:basedOn w:val="Normal"/>
    <w:link w:val="CorpsdetexteCar"/>
    <w:uiPriority w:val="99"/>
    <w:semiHidden/>
    <w:unhideWhenUsed/>
    <w:rsid w:val="00B93533"/>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B93533"/>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Titre1Car">
    <w:name w:val="Titre 1 Car"/>
    <w:basedOn w:val="Policepardfaut"/>
    <w:link w:val="Titre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B9353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B93533"/>
    <w:rPr>
      <w:rFonts w:ascii="Times New Roman" w:eastAsia="SimSun" w:hAnsi="Times New Roman" w:cs="Times New Roman"/>
      <w:kern w:val="0"/>
      <w:sz w:val="18"/>
      <w:szCs w:val="20"/>
      <w:lang w:val="fr-CA"/>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B93533"/>
    <w:rPr>
      <w:vertAlign w:val="superscript"/>
    </w:rPr>
  </w:style>
  <w:style w:type="paragraph" w:customStyle="1" w:styleId="Footnote">
    <w:name w:val="Footnote"/>
    <w:basedOn w:val="Notedebasdepage"/>
    <w:qFormat/>
    <w:rsid w:val="00B93533"/>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fr-CA"/>
      <w14:ligatures w14:val="none"/>
    </w:rPr>
  </w:style>
  <w:style w:type="paragraph" w:customStyle="1" w:styleId="Para1">
    <w:name w:val="Para 1"/>
    <w:basedOn w:val="Normal"/>
    <w:qFormat/>
    <w:rsid w:val="00480A8D"/>
    <w:pPr>
      <w:numPr>
        <w:numId w:val="2"/>
      </w:numPr>
      <w:spacing w:before="120" w:after="120"/>
      <w:ind w:left="567" w:firstLine="0"/>
    </w:pPr>
  </w:style>
  <w:style w:type="character" w:customStyle="1" w:styleId="Titre2Car">
    <w:name w:val="Titre 2 Car"/>
    <w:basedOn w:val="Policepardfaut"/>
    <w:link w:val="Titre2"/>
    <w:uiPriority w:val="9"/>
    <w:rsid w:val="00B93533"/>
    <w:rPr>
      <w:rFonts w:ascii="Times New Roman Bold" w:eastAsiaTheme="majorEastAsia" w:hAnsi="Times New Roman Bold" w:cstheme="majorBidi"/>
      <w:b/>
      <w:kern w:val="0"/>
      <w:sz w:val="24"/>
      <w:szCs w:val="26"/>
      <w:lang w:val="fr-CA"/>
      <w14:ligatures w14:val="none"/>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rsid w:val="00B9353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B93533"/>
    <w:rPr>
      <w:rFonts w:ascii="Times New Roman" w:eastAsia="SimSun" w:hAnsi="Times New Roman" w:cs="Times New Roman"/>
      <w:kern w:val="0"/>
      <w:sz w:val="20"/>
      <w:lang w:val="fr-CA"/>
      <w14:ligatures w14:val="none"/>
    </w:rPr>
  </w:style>
  <w:style w:type="paragraph" w:styleId="Pieddepage">
    <w:name w:val="footer"/>
    <w:basedOn w:val="Normal"/>
    <w:link w:val="PieddepageCar"/>
    <w:uiPriority w:val="99"/>
    <w:rsid w:val="00B93533"/>
    <w:pPr>
      <w:tabs>
        <w:tab w:val="center" w:pos="4680"/>
        <w:tab w:val="right" w:pos="9360"/>
      </w:tabs>
    </w:pPr>
    <w:rPr>
      <w:sz w:val="20"/>
    </w:rPr>
  </w:style>
  <w:style w:type="character" w:customStyle="1" w:styleId="PieddepageCar">
    <w:name w:val="Pied de page Car"/>
    <w:basedOn w:val="Policepardfaut"/>
    <w:link w:val="Pieddepage"/>
    <w:uiPriority w:val="99"/>
    <w:rsid w:val="00B93533"/>
    <w:rPr>
      <w:rFonts w:ascii="Times New Roman" w:eastAsia="SimSun" w:hAnsi="Times New Roman" w:cs="Times New Roman"/>
      <w:kern w:val="0"/>
      <w:sz w:val="20"/>
      <w:lang w:val="fr-CA"/>
      <w14:ligatures w14:val="none"/>
    </w:rPr>
  </w:style>
  <w:style w:type="character" w:customStyle="1" w:styleId="Titre3Car">
    <w:name w:val="Titre 3 Car"/>
    <w:basedOn w:val="Policepardfaut"/>
    <w:link w:val="Titre3"/>
    <w:uiPriority w:val="9"/>
    <w:rsid w:val="00B93533"/>
    <w:rPr>
      <w:rFonts w:ascii="Times New Roman" w:eastAsiaTheme="majorEastAsia" w:hAnsi="Times New Roman" w:cs="Times New Roman"/>
      <w:b/>
      <w:bCs/>
      <w:kern w:val="0"/>
      <w:lang w:val="fr-CA"/>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B93533"/>
    <w:rPr>
      <w:rFonts w:ascii="Times New Roman" w:eastAsiaTheme="majorEastAsia" w:hAnsi="Times New Roman" w:cs="Times New Roman"/>
      <w:b/>
      <w:bCs/>
      <w:kern w:val="0"/>
      <w:lang w:val="fr-CA"/>
      <w14:ligatures w14:val="none"/>
    </w:rPr>
  </w:style>
  <w:style w:type="character" w:customStyle="1" w:styleId="Titre5Car">
    <w:name w:val="Titre 5 Car"/>
    <w:basedOn w:val="Policepardfaut"/>
    <w:link w:val="Titre5"/>
    <w:uiPriority w:val="9"/>
    <w:rsid w:val="00B93533"/>
    <w:rPr>
      <w:rFonts w:ascii="Times New Roman" w:eastAsiaTheme="majorEastAsia" w:hAnsi="Times New Roman" w:cs="Times New Roman"/>
      <w:i/>
      <w:iCs/>
      <w:kern w:val="0"/>
      <w:lang w:val="fr-CA"/>
      <w14:ligatures w14:val="none"/>
    </w:rPr>
  </w:style>
  <w:style w:type="character" w:styleId="Marquedecommentaire">
    <w:name w:val="annotation reference"/>
    <w:basedOn w:val="Policepardfaut"/>
    <w:uiPriority w:val="99"/>
    <w:semiHidden/>
    <w:unhideWhenUsed/>
    <w:rsid w:val="00B93533"/>
    <w:rPr>
      <w:sz w:val="16"/>
      <w:szCs w:val="16"/>
    </w:rPr>
  </w:style>
  <w:style w:type="paragraph" w:styleId="Commentaire">
    <w:name w:val="annotation text"/>
    <w:basedOn w:val="Normal"/>
    <w:link w:val="CommentaireCar"/>
    <w:uiPriority w:val="99"/>
    <w:rsid w:val="00B93533"/>
    <w:rPr>
      <w:sz w:val="20"/>
      <w:szCs w:val="20"/>
    </w:rPr>
  </w:style>
  <w:style w:type="character" w:customStyle="1" w:styleId="CommentaireCar">
    <w:name w:val="Commentaire Car"/>
    <w:basedOn w:val="Policepardfaut"/>
    <w:link w:val="Commentaire"/>
    <w:uiPriority w:val="99"/>
    <w:rsid w:val="00B93533"/>
    <w:rPr>
      <w:rFonts w:ascii="Times New Roman" w:eastAsia="SimSun" w:hAnsi="Times New Roman" w:cs="Times New Roman"/>
      <w:kern w:val="0"/>
      <w:sz w:val="20"/>
      <w:szCs w:val="20"/>
      <w:lang w:val="fr-CA"/>
      <w14:ligatures w14:val="none"/>
    </w:rPr>
  </w:style>
  <w:style w:type="paragraph" w:styleId="Objetducommentaire">
    <w:name w:val="annotation subject"/>
    <w:basedOn w:val="Commentaire"/>
    <w:next w:val="Commentaire"/>
    <w:link w:val="ObjetducommentaireCar"/>
    <w:uiPriority w:val="99"/>
    <w:semiHidden/>
    <w:unhideWhenUsed/>
    <w:rsid w:val="00B93533"/>
    <w:rPr>
      <w:b/>
      <w:bCs/>
    </w:rPr>
  </w:style>
  <w:style w:type="character" w:customStyle="1" w:styleId="ObjetducommentaireCar">
    <w:name w:val="Objet du commentaire Car"/>
    <w:basedOn w:val="CommentaireCar"/>
    <w:link w:val="Objetducommentaire"/>
    <w:uiPriority w:val="99"/>
    <w:semiHidden/>
    <w:rsid w:val="00B93533"/>
    <w:rPr>
      <w:rFonts w:ascii="Times New Roman" w:eastAsia="SimSun" w:hAnsi="Times New Roman" w:cs="Times New Roman"/>
      <w:b/>
      <w:bCs/>
      <w:kern w:val="0"/>
      <w:sz w:val="20"/>
      <w:szCs w:val="20"/>
      <w:lang w:val="fr-CA"/>
      <w14:ligatures w14:val="none"/>
    </w:rPr>
  </w:style>
  <w:style w:type="paragraph" w:customStyle="1" w:styleId="AEDistrNormal">
    <w:name w:val="AE_DistrNormal"/>
    <w:basedOn w:val="Normal"/>
    <w:unhideWhenUsed/>
    <w:rsid w:val="00B93533"/>
    <w:pPr>
      <w:jc w:val="left"/>
    </w:p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Normal"/>
    <w:qFormat/>
    <w:rsid w:val="00B93533"/>
    <w:pPr>
      <w:keepNext/>
      <w:keepLines/>
      <w:spacing w:after="240"/>
      <w:jc w:val="left"/>
    </w:pPr>
    <w:rPr>
      <w:b/>
      <w:sz w:val="28"/>
      <w:lang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rPr>
  </w:style>
  <w:style w:type="paragraph" w:customStyle="1" w:styleId="CBDNormalNumber">
    <w:name w:val="CBD_Normal_Number"/>
    <w:basedOn w:val="CBDNormal"/>
    <w:qFormat/>
    <w:rsid w:val="00B93533"/>
    <w:pPr>
      <w:numPr>
        <w:numId w:val="22"/>
      </w:numPr>
      <w:tabs>
        <w:tab w:val="left" w:pos="3969"/>
      </w:tabs>
      <w:spacing w:after="120"/>
    </w:p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rPr>
  </w:style>
  <w:style w:type="character" w:customStyle="1" w:styleId="Titre6Car">
    <w:name w:val="Titre 6 Car"/>
    <w:basedOn w:val="Policepardfaut"/>
    <w:link w:val="Titre6"/>
    <w:semiHidden/>
    <w:rsid w:val="00B93533"/>
    <w:rPr>
      <w:rFonts w:ascii="Times New Roman" w:eastAsia="SimSun" w:hAnsi="Times New Roman" w:cs="Times New Roman"/>
      <w:bCs/>
      <w:kern w:val="0"/>
      <w:sz w:val="24"/>
      <w:lang w:val="fr-CA"/>
      <w14:ligatures w14:val="none"/>
    </w:rPr>
  </w:style>
  <w:style w:type="character" w:customStyle="1" w:styleId="Titre7Car">
    <w:name w:val="Titre 7 Car"/>
    <w:basedOn w:val="Policepardfaut"/>
    <w:link w:val="Titre7"/>
    <w:semiHidden/>
    <w:rsid w:val="00B93533"/>
    <w:rPr>
      <w:rFonts w:ascii="Times New Roman" w:eastAsia="SimSun" w:hAnsi="Times New Roman" w:cs="Times New Roman"/>
      <w:b/>
      <w:snapToGrid w:val="0"/>
      <w:kern w:val="0"/>
      <w:u w:val="single"/>
      <w:lang w:val="fr-CA"/>
      <w14:ligatures w14:val="none"/>
    </w:rPr>
  </w:style>
  <w:style w:type="character" w:customStyle="1" w:styleId="Titre8Car">
    <w:name w:val="Titre 8 Car"/>
    <w:basedOn w:val="Policepardfaut"/>
    <w:link w:val="Titre8"/>
    <w:semiHidden/>
    <w:rsid w:val="00B93533"/>
    <w:rPr>
      <w:rFonts w:ascii="Times New Roman" w:eastAsia="SimSun" w:hAnsi="Times New Roman" w:cs="Times New Roman"/>
      <w:b/>
      <w:snapToGrid w:val="0"/>
      <w:kern w:val="0"/>
      <w:u w:val="single"/>
      <w:lang w:val="fr-CA"/>
      <w14:ligatures w14:val="none"/>
    </w:rPr>
  </w:style>
  <w:style w:type="character" w:customStyle="1" w:styleId="Titre9Car">
    <w:name w:val="Titre 9 Car"/>
    <w:basedOn w:val="Policepardfaut"/>
    <w:link w:val="Titre9"/>
    <w:semiHidden/>
    <w:rsid w:val="00B93533"/>
    <w:rPr>
      <w:rFonts w:ascii="Times New Roman" w:eastAsia="SimSun" w:hAnsi="Times New Roman" w:cs="Times New Roman"/>
      <w:snapToGrid w:val="0"/>
      <w:kern w:val="0"/>
      <w:u w:val="single"/>
      <w:lang w:val="fr-CA"/>
      <w14:ligatures w14:val="none"/>
    </w:rPr>
  </w:style>
  <w:style w:type="character" w:styleId="Lienhypertexte">
    <w:name w:val="Hyperlink"/>
    <w:basedOn w:val="Policepardfaut"/>
    <w:uiPriority w:val="99"/>
    <w:unhideWhenUsed/>
    <w:rsid w:val="00B93533"/>
    <w:rPr>
      <w:rFonts w:ascii="Times New Roman" w:hAnsi="Times New Roman"/>
      <w:color w:val="0563C1" w:themeColor="hyperlink"/>
      <w:u w:val="single"/>
    </w:rPr>
  </w:style>
  <w:style w:type="paragraph" w:styleId="Liste">
    <w:name w:val="List"/>
    <w:basedOn w:val="Normal"/>
    <w:semiHidden/>
    <w:rsid w:val="00B93533"/>
    <w:pPr>
      <w:contextualSpacing/>
    </w:pPr>
  </w:style>
  <w:style w:type="paragraph" w:styleId="Paragraphedeliste">
    <w:name w:val="List Paragraph"/>
    <w:basedOn w:val="Normal"/>
    <w:uiPriority w:val="34"/>
    <w:qFormat/>
    <w:rsid w:val="00B93533"/>
    <w:pPr>
      <w:ind w:left="720"/>
      <w:contextualSpacing/>
    </w:pPr>
  </w:style>
  <w:style w:type="paragraph" w:customStyle="1" w:styleId="Para10">
    <w:name w:val="Para1"/>
    <w:basedOn w:val="Normal"/>
    <w:link w:val="Para1Char"/>
    <w:qFormat/>
    <w:rsid w:val="00192D20"/>
    <w:pPr>
      <w:spacing w:before="120" w:after="120"/>
    </w:pPr>
    <w:rPr>
      <w:snapToGrid w:val="0"/>
      <w:szCs w:val="18"/>
    </w:rPr>
  </w:style>
  <w:style w:type="character" w:customStyle="1" w:styleId="Para1Char">
    <w:name w:val="Para1 Char"/>
    <w:link w:val="Para10"/>
    <w:qFormat/>
    <w:locked/>
    <w:rsid w:val="00192D20"/>
    <w:rPr>
      <w:rFonts w:ascii="Times New Roman" w:eastAsia="SimSun" w:hAnsi="Times New Roman" w:cs="Times New Roman"/>
      <w:snapToGrid w:val="0"/>
      <w:kern w:val="0"/>
      <w:szCs w:val="18"/>
      <w:lang w:val="fr-CA"/>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192D20"/>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normaltextrun">
    <w:name w:val="normaltextrun"/>
    <w:basedOn w:val="Policepardfaut"/>
    <w:rsid w:val="00192D20"/>
  </w:style>
  <w:style w:type="numbering" w:customStyle="1" w:styleId="CurrentList21">
    <w:name w:val="Current List21"/>
    <w:uiPriority w:val="99"/>
    <w:rsid w:val="00192D20"/>
  </w:style>
  <w:style w:type="paragraph" w:styleId="Rvision">
    <w:name w:val="Revision"/>
    <w:hidden/>
    <w:uiPriority w:val="99"/>
    <w:semiHidden/>
    <w:rsid w:val="00BF2F38"/>
    <w:pPr>
      <w:spacing w:after="0" w:line="240" w:lineRule="auto"/>
    </w:pPr>
    <w:rPr>
      <w:rFonts w:ascii="Times New Roman" w:eastAsia="SimSun" w:hAnsi="Times New Roman" w:cs="Times New Roman"/>
      <w:kern w:val="0"/>
      <w14:ligatures w14:val="none"/>
    </w:rPr>
  </w:style>
  <w:style w:type="character" w:styleId="Mentionnonrsolue">
    <w:name w:val="Unresolved Mention"/>
    <w:basedOn w:val="Policepardfaut"/>
    <w:uiPriority w:val="99"/>
    <w:semiHidden/>
    <w:unhideWhenUsed/>
    <w:rsid w:val="001A54A4"/>
    <w:rPr>
      <w:color w:val="605E5C"/>
      <w:shd w:val="clear" w:color="auto" w:fill="E1DFDD"/>
    </w:rPr>
  </w:style>
  <w:style w:type="paragraph" w:styleId="NormalWeb">
    <w:name w:val="Normal (Web)"/>
    <w:basedOn w:val="Normal"/>
    <w:uiPriority w:val="99"/>
    <w:semiHidden/>
    <w:unhideWhenUsed/>
    <w:rsid w:val="00C14820"/>
    <w:rPr>
      <w:sz w:val="24"/>
      <w:szCs w:val="24"/>
    </w:rPr>
  </w:style>
  <w:style w:type="character" w:styleId="Lienhypertextesuivivisit">
    <w:name w:val="FollowedHyperlink"/>
    <w:basedOn w:val="Policepardfaut"/>
    <w:uiPriority w:val="99"/>
    <w:semiHidden/>
    <w:unhideWhenUsed/>
    <w:rsid w:val="004943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928589">
      <w:bodyDiv w:val="1"/>
      <w:marLeft w:val="0"/>
      <w:marRight w:val="0"/>
      <w:marTop w:val="0"/>
      <w:marBottom w:val="0"/>
      <w:divBdr>
        <w:top w:val="none" w:sz="0" w:space="0" w:color="auto"/>
        <w:left w:val="none" w:sz="0" w:space="0" w:color="auto"/>
        <w:bottom w:val="none" w:sz="0" w:space="0" w:color="auto"/>
        <w:right w:val="none" w:sz="0" w:space="0" w:color="auto"/>
      </w:divBdr>
    </w:div>
    <w:div w:id="785274522">
      <w:bodyDiv w:val="1"/>
      <w:marLeft w:val="0"/>
      <w:marRight w:val="0"/>
      <w:marTop w:val="0"/>
      <w:marBottom w:val="0"/>
      <w:divBdr>
        <w:top w:val="none" w:sz="0" w:space="0" w:color="auto"/>
        <w:left w:val="none" w:sz="0" w:space="0" w:color="auto"/>
        <w:bottom w:val="none" w:sz="0" w:space="0" w:color="auto"/>
        <w:right w:val="none" w:sz="0" w:space="0" w:color="auto"/>
      </w:divBdr>
    </w:div>
    <w:div w:id="872613373">
      <w:bodyDiv w:val="1"/>
      <w:marLeft w:val="0"/>
      <w:marRight w:val="0"/>
      <w:marTop w:val="0"/>
      <w:marBottom w:val="0"/>
      <w:divBdr>
        <w:top w:val="none" w:sz="0" w:space="0" w:color="auto"/>
        <w:left w:val="none" w:sz="0" w:space="0" w:color="auto"/>
        <w:bottom w:val="none" w:sz="0" w:space="0" w:color="auto"/>
        <w:right w:val="none" w:sz="0" w:space="0" w:color="auto"/>
      </w:divBdr>
    </w:div>
    <w:div w:id="1731998913">
      <w:bodyDiv w:val="1"/>
      <w:marLeft w:val="0"/>
      <w:marRight w:val="0"/>
      <w:marTop w:val="0"/>
      <w:marBottom w:val="0"/>
      <w:divBdr>
        <w:top w:val="none" w:sz="0" w:space="0" w:color="auto"/>
        <w:left w:val="none" w:sz="0" w:space="0" w:color="auto"/>
        <w:bottom w:val="none" w:sz="0" w:space="0" w:color="auto"/>
        <w:right w:val="none" w:sz="0" w:space="0" w:color="auto"/>
      </w:divBdr>
    </w:div>
    <w:div w:id="198635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bd.int/doc/decisions/cop-11/cop-11-dec-19-fr.pdf" TargetMode="External"/><Relationship Id="rId26" Type="http://schemas.openxmlformats.org/officeDocument/2006/relationships/hyperlink" Target="https://www.cbd.int/doc/decisions/cop-15/cop-15-dec-13-fr.pdf" TargetMode="External"/><Relationship Id="rId39" Type="http://schemas.openxmlformats.org/officeDocument/2006/relationships/header" Target="header3.xml"/><Relationship Id="rId21" Type="http://schemas.openxmlformats.org/officeDocument/2006/relationships/hyperlink" Target="https://www.cbd.int/doc/decisions/cop-12/cop-12-dec-20-fr.pdf" TargetMode="External"/><Relationship Id="rId34" Type="http://schemas.openxmlformats.org/officeDocument/2006/relationships/hyperlink" Target="https://www.cbd.int/doc/decisions/cop-09/cop-09-dec-16-fr.pdf"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bd.int/doc/decisions/cop-09/cop-09-dec-16-fr.pdf" TargetMode="External"/><Relationship Id="rId20" Type="http://schemas.openxmlformats.org/officeDocument/2006/relationships/hyperlink" Target="https://www.cbd.int/doc/decisions/cop-11/cop-11-dec-21-fr.pdf" TargetMode="External"/><Relationship Id="rId29" Type="http://schemas.openxmlformats.org/officeDocument/2006/relationships/hyperlink" Target="https://www.cbd.int/doc/decisions/cop-10/cop-10-dec-33-fr.pdf"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decisions/cop-15/cop-15-dec-24-fr.pdf" TargetMode="External"/><Relationship Id="rId32" Type="http://schemas.openxmlformats.org/officeDocument/2006/relationships/hyperlink" Target="https://www.cbd.int/doc/decisions/cop-11/cop-11-dec-20-fr.pdf"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bd.int/doc/decisions/cop-07/cop-07-dec-15-en.pdf" TargetMode="External"/><Relationship Id="rId23" Type="http://schemas.openxmlformats.org/officeDocument/2006/relationships/hyperlink" Target="https://www.cbd.int/doc/decisions/cop-14/cop-14-dec-05-fr.pdf" TargetMode="External"/><Relationship Id="rId28" Type="http://schemas.openxmlformats.org/officeDocument/2006/relationships/hyperlink" Target="https://www.cbd.int/doc/decisions/cop-09/cop-09-dec-16-fr.pdf"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cbd.int/doc/decisions/cop-11/cop-11-dec-20-fr.pdf" TargetMode="External"/><Relationship Id="rId31" Type="http://schemas.openxmlformats.org/officeDocument/2006/relationships/hyperlink" Target="https://www.cbd.int/doc/decisions/cop-13/cop-13-dec-14-f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3/cop-13-dec-04-fr.pdf" TargetMode="External"/><Relationship Id="rId27" Type="http://schemas.openxmlformats.org/officeDocument/2006/relationships/hyperlink" Target="https://www.cbd.int/doc/decisions/cop-15/cop-15-dec-08-fr.pdf" TargetMode="External"/><Relationship Id="rId30" Type="http://schemas.openxmlformats.org/officeDocument/2006/relationships/hyperlink" Target="https://www.cbd.int/doc/decisions/cop-11/cop-11-dec-20-fr.pdf"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www.cbd.int/doc/decisions/cop-10/cop-10-dec-33-fr.pdf" TargetMode="External"/><Relationship Id="rId25" Type="http://schemas.openxmlformats.org/officeDocument/2006/relationships/hyperlink" Target="https://www.cbd.int/doc/decisions/cop-15/cop-15-dec-30-fr.pdf" TargetMode="External"/><Relationship Id="rId33" Type="http://schemas.openxmlformats.org/officeDocument/2006/relationships/hyperlink" Target="https://www.cbd.int/doc/decisions/cop-10/cop-10-dec-33-fr.pdf"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bd.int/doc/publications/cbd-ts-93-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stan.tyrrell\AppData\Local\Microsoft\Windows\INetCache\Content.Outlook\AC4AF35H\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3380D"/>
    <w:rsid w:val="00207092"/>
    <w:rsid w:val="00281161"/>
    <w:rsid w:val="002D1F36"/>
    <w:rsid w:val="002F3393"/>
    <w:rsid w:val="00303F0B"/>
    <w:rsid w:val="003F441D"/>
    <w:rsid w:val="00404F68"/>
    <w:rsid w:val="00427B31"/>
    <w:rsid w:val="0046353B"/>
    <w:rsid w:val="00497800"/>
    <w:rsid w:val="004E203A"/>
    <w:rsid w:val="004F61C1"/>
    <w:rsid w:val="0050689B"/>
    <w:rsid w:val="00543B05"/>
    <w:rsid w:val="0059659E"/>
    <w:rsid w:val="00666328"/>
    <w:rsid w:val="00682934"/>
    <w:rsid w:val="006C1F96"/>
    <w:rsid w:val="00725DED"/>
    <w:rsid w:val="00764DF4"/>
    <w:rsid w:val="00811444"/>
    <w:rsid w:val="008302BB"/>
    <w:rsid w:val="0089150A"/>
    <w:rsid w:val="00895C7E"/>
    <w:rsid w:val="00905044"/>
    <w:rsid w:val="00932F3A"/>
    <w:rsid w:val="0098711C"/>
    <w:rsid w:val="009B4453"/>
    <w:rsid w:val="009F2684"/>
    <w:rsid w:val="00A633EC"/>
    <w:rsid w:val="00A70AF0"/>
    <w:rsid w:val="00B21EB2"/>
    <w:rsid w:val="00B2400E"/>
    <w:rsid w:val="00B35A5A"/>
    <w:rsid w:val="00B41BF6"/>
    <w:rsid w:val="00BB01F6"/>
    <w:rsid w:val="00BB3442"/>
    <w:rsid w:val="00C66330"/>
    <w:rsid w:val="00CD4825"/>
    <w:rsid w:val="00CE253A"/>
    <w:rsid w:val="00D04B43"/>
    <w:rsid w:val="00E323FA"/>
    <w:rsid w:val="00E350E5"/>
    <w:rsid w:val="00E44A51"/>
    <w:rsid w:val="00E66B42"/>
    <w:rsid w:val="00EC09AA"/>
    <w:rsid w:val="00F40CC9"/>
    <w:rsid w:val="00FB6D4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CE78D6453E1E4F89A1372586409BE006">
    <w:name w:val="CE78D6453E1E4F89A1372586409BE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5767D4C3-4D5B-4F63-983A-6EF23DDC9C30}">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566B52FD-6223-4CBA-BDCA-0BECD7C2B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C:\Users\tristan.tyrrell\AppData\Local\Microsoft\Windows\INetCache\Content.Outlook\AC4AF35H\template-cop-16-en.dotm</Template>
  <TotalTime>7</TotalTime>
  <Pages>6</Pages>
  <Words>3718</Words>
  <Characters>20450</Characters>
  <Application>Microsoft Office Word</Application>
  <DocSecurity>0</DocSecurity>
  <Lines>170</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Décision adoptée par la Conférence des Parties sur la Convention sur la diversité biologique le 1er novembre 2024</vt:lpstr>
      <vt:lpstr>Biodiversité et changements climatiques</vt:lpstr>
    </vt:vector>
  </TitlesOfParts>
  <Company/>
  <LinksUpToDate>false</LinksUpToDate>
  <CharactersWithSpaces>24120</CharactersWithSpaces>
  <SharedDoc>false</SharedDoc>
  <HLinks>
    <vt:vector size="72" baseType="variant">
      <vt:variant>
        <vt:i4>917576</vt:i4>
      </vt:variant>
      <vt:variant>
        <vt:i4>30</vt:i4>
      </vt:variant>
      <vt:variant>
        <vt:i4>0</vt:i4>
      </vt:variant>
      <vt:variant>
        <vt:i4>5</vt:i4>
      </vt:variant>
      <vt:variant>
        <vt:lpwstr>https://www.cbd.int/doc/decisions/cop-15/cop-15-dec-30-en.pdf</vt:lpwstr>
      </vt:variant>
      <vt:variant>
        <vt:lpwstr/>
      </vt:variant>
      <vt:variant>
        <vt:i4>655433</vt:i4>
      </vt:variant>
      <vt:variant>
        <vt:i4>27</vt:i4>
      </vt:variant>
      <vt:variant>
        <vt:i4>0</vt:i4>
      </vt:variant>
      <vt:variant>
        <vt:i4>5</vt:i4>
      </vt:variant>
      <vt:variant>
        <vt:lpwstr>https://www.cbd.int/doc/decisions/cop-15/cop-15-dec-24-en.pdf</vt:lpwstr>
      </vt:variant>
      <vt:variant>
        <vt:lpwstr/>
      </vt:variant>
      <vt:variant>
        <vt:i4>655434</vt:i4>
      </vt:variant>
      <vt:variant>
        <vt:i4>24</vt:i4>
      </vt:variant>
      <vt:variant>
        <vt:i4>0</vt:i4>
      </vt:variant>
      <vt:variant>
        <vt:i4>5</vt:i4>
      </vt:variant>
      <vt:variant>
        <vt:lpwstr>https://www.cbd.int/doc/decisions/cop-14/cop-14-dec-05-en.pdf</vt:lpwstr>
      </vt:variant>
      <vt:variant>
        <vt:lpwstr/>
      </vt:variant>
      <vt:variant>
        <vt:i4>786509</vt:i4>
      </vt:variant>
      <vt:variant>
        <vt:i4>21</vt:i4>
      </vt:variant>
      <vt:variant>
        <vt:i4>0</vt:i4>
      </vt:variant>
      <vt:variant>
        <vt:i4>5</vt:i4>
      </vt:variant>
      <vt:variant>
        <vt:lpwstr>https://www.cbd.int/doc/decisions/cop-13/cop-13-dec-04-en.pdf</vt:lpwstr>
      </vt:variant>
      <vt:variant>
        <vt:lpwstr/>
      </vt:variant>
      <vt:variant>
        <vt:i4>589902</vt:i4>
      </vt:variant>
      <vt:variant>
        <vt:i4>18</vt:i4>
      </vt:variant>
      <vt:variant>
        <vt:i4>0</vt:i4>
      </vt:variant>
      <vt:variant>
        <vt:i4>5</vt:i4>
      </vt:variant>
      <vt:variant>
        <vt:lpwstr>https://www.cbd.int/doc/decisions/cop-12/cop-12-dec-20-en.pdf</vt:lpwstr>
      </vt:variant>
      <vt:variant>
        <vt:lpwstr/>
      </vt:variant>
      <vt:variant>
        <vt:i4>720973</vt:i4>
      </vt:variant>
      <vt:variant>
        <vt:i4>15</vt:i4>
      </vt:variant>
      <vt:variant>
        <vt:i4>0</vt:i4>
      </vt:variant>
      <vt:variant>
        <vt:i4>5</vt:i4>
      </vt:variant>
      <vt:variant>
        <vt:lpwstr>https://www.cbd.int/doc/decisions/cop-11/cop-11-dec-21-en.pdf</vt:lpwstr>
      </vt:variant>
      <vt:variant>
        <vt:lpwstr/>
      </vt:variant>
      <vt:variant>
        <vt:i4>655437</vt:i4>
      </vt:variant>
      <vt:variant>
        <vt:i4>12</vt:i4>
      </vt:variant>
      <vt:variant>
        <vt:i4>0</vt:i4>
      </vt:variant>
      <vt:variant>
        <vt:i4>5</vt:i4>
      </vt:variant>
      <vt:variant>
        <vt:lpwstr>https://www.cbd.int/doc/decisions/cop-11/cop-11-dec-20-en.pdf</vt:lpwstr>
      </vt:variant>
      <vt:variant>
        <vt:lpwstr/>
      </vt:variant>
      <vt:variant>
        <vt:i4>196686</vt:i4>
      </vt:variant>
      <vt:variant>
        <vt:i4>9</vt:i4>
      </vt:variant>
      <vt:variant>
        <vt:i4>0</vt:i4>
      </vt:variant>
      <vt:variant>
        <vt:i4>5</vt:i4>
      </vt:variant>
      <vt:variant>
        <vt:lpwstr>https://www.cbd.int/doc/decisions/cop-11/cop-11-dec-19-en.pdf</vt:lpwstr>
      </vt:variant>
      <vt:variant>
        <vt:lpwstr/>
      </vt:variant>
      <vt:variant>
        <vt:i4>524365</vt:i4>
      </vt:variant>
      <vt:variant>
        <vt:i4>6</vt:i4>
      </vt:variant>
      <vt:variant>
        <vt:i4>0</vt:i4>
      </vt:variant>
      <vt:variant>
        <vt:i4>5</vt:i4>
      </vt:variant>
      <vt:variant>
        <vt:lpwstr>https://www.cbd.int/doc/decisions/cop-10/cop-10-dec-33-en.pdf</vt:lpwstr>
      </vt:variant>
      <vt:variant>
        <vt:lpwstr/>
      </vt:variant>
      <vt:variant>
        <vt:i4>327751</vt:i4>
      </vt:variant>
      <vt:variant>
        <vt:i4>3</vt:i4>
      </vt:variant>
      <vt:variant>
        <vt:i4>0</vt:i4>
      </vt:variant>
      <vt:variant>
        <vt:i4>5</vt:i4>
      </vt:variant>
      <vt:variant>
        <vt:lpwstr>https://www.cbd.int/doc/decisions/cop-09/cop-09-dec-16-en.pdf</vt:lpwstr>
      </vt:variant>
      <vt:variant>
        <vt:lpwstr/>
      </vt:variant>
      <vt:variant>
        <vt:i4>524361</vt:i4>
      </vt:variant>
      <vt:variant>
        <vt:i4>0</vt:i4>
      </vt:variant>
      <vt:variant>
        <vt:i4>0</vt:i4>
      </vt:variant>
      <vt:variant>
        <vt:i4>5</vt:i4>
      </vt:variant>
      <vt:variant>
        <vt:lpwstr>https://www.cbd.int/doc/decisions/cop-07/cop-07-dec-15-en.pdf</vt:lpwstr>
      </vt:variant>
      <vt:variant>
        <vt:lpwstr/>
      </vt:variant>
      <vt:variant>
        <vt:i4>5505101</vt:i4>
      </vt:variant>
      <vt:variant>
        <vt:i4>0</vt:i4>
      </vt:variant>
      <vt:variant>
        <vt:i4>0</vt:i4>
      </vt:variant>
      <vt:variant>
        <vt:i4>5</vt:i4>
      </vt:variant>
      <vt:variant>
        <vt:lpwstr>http://www.cbd.int/doc/publications/cbd-ts-93-en.pdf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le 1er novembre 2024</dc:title>
  <dc:subject>CBD/COP/DEC/16/22</dc:subject>
  <dc:creator>Secretariat of the Convention on Biological Diversity</dc:creator>
  <cp:keywords>Conference of the Parties to the Convention on Biological Diversity</cp:keywords>
  <dc:description/>
  <cp:lastModifiedBy>Reviewer</cp:lastModifiedBy>
  <cp:revision>7</cp:revision>
  <dcterms:created xsi:type="dcterms:W3CDTF">2024-11-27T01:35:00Z</dcterms:created>
  <dcterms:modified xsi:type="dcterms:W3CDTF">2025-04-03T12:25:00Z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