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38DB5F8A" w14:textId="77777777" w:rsidTr="00282BBE">
        <w:trPr>
          <w:cantSplit/>
          <w:trHeight w:val="900"/>
        </w:trPr>
        <w:tc>
          <w:tcPr>
            <w:tcW w:w="6588" w:type="dxa"/>
            <w:gridSpan w:val="2"/>
            <w:tcBorders>
              <w:top w:val="nil"/>
              <w:left w:val="nil"/>
              <w:bottom w:val="single" w:sz="12" w:space="0" w:color="auto"/>
              <w:right w:val="nil"/>
            </w:tcBorders>
          </w:tcPr>
          <w:p w14:paraId="3AAE2F91" w14:textId="1457BEFB" w:rsidR="001E3423" w:rsidRPr="009E3DD0" w:rsidRDefault="009E3DD0" w:rsidP="00FF361F">
            <w:pPr>
              <w:pStyle w:val="Heading2"/>
              <w:tabs>
                <w:tab w:val="left" w:pos="4194"/>
              </w:tabs>
              <w:bidi w:val="0"/>
              <w:spacing w:before="240" w:after="0"/>
              <w:jc w:val="left"/>
              <w:rPr>
                <w:rFonts w:ascii="Times New Roman" w:hAnsi="Times New Roman"/>
                <w:bCs w:val="0"/>
                <w:sz w:val="32"/>
                <w:szCs w:val="32"/>
                <w:lang w:val="en-US"/>
              </w:rPr>
            </w:pPr>
            <w:bookmarkStart w:id="0" w:name="_Hlk178666952"/>
            <w:r w:rsidRPr="00FE3580">
              <w:rPr>
                <w:rFonts w:ascii="Times New Roman" w:hAnsi="Times New Roman"/>
                <w:sz w:val="40"/>
                <w:szCs w:val="40"/>
                <w:lang w:val="en-US"/>
              </w:rPr>
              <w:t>CBD</w:t>
            </w:r>
            <w:r w:rsidRPr="00FE3580">
              <w:rPr>
                <w:rFonts w:ascii="Times New Roman" w:hAnsi="Times New Roman"/>
                <w:b w:val="0"/>
                <w:bCs w:val="0"/>
                <w:sz w:val="22"/>
                <w:szCs w:val="22"/>
                <w:lang w:val="en-US"/>
              </w:rPr>
              <w:t>/</w:t>
            </w:r>
            <w:r w:rsidR="00FF361F" w:rsidRPr="00FE3580">
              <w:rPr>
                <w:rFonts w:ascii="Times New Roman" w:hAnsi="Times New Roman"/>
                <w:b w:val="0"/>
                <w:bCs w:val="0"/>
                <w:sz w:val="22"/>
                <w:szCs w:val="22"/>
                <w:lang w:val="en-US"/>
              </w:rPr>
              <w:t>COP/</w:t>
            </w:r>
            <w:r w:rsidR="004B4019">
              <w:rPr>
                <w:rFonts w:ascii="Times New Roman" w:hAnsi="Times New Roman"/>
                <w:b w:val="0"/>
                <w:bCs w:val="0"/>
                <w:sz w:val="22"/>
                <w:szCs w:val="22"/>
                <w:lang w:val="en-US"/>
              </w:rPr>
              <w:t>DEC/</w:t>
            </w:r>
            <w:r w:rsidR="00FF361F" w:rsidRPr="00FE3580">
              <w:rPr>
                <w:rFonts w:ascii="Times New Roman" w:hAnsi="Times New Roman"/>
                <w:b w:val="0"/>
                <w:bCs w:val="0"/>
                <w:sz w:val="22"/>
                <w:szCs w:val="22"/>
                <w:lang w:val="en-US"/>
              </w:rPr>
              <w:t>16/</w:t>
            </w:r>
            <w:r w:rsidR="004B4019">
              <w:rPr>
                <w:rFonts w:ascii="Times New Roman" w:hAnsi="Times New Roman"/>
                <w:b w:val="0"/>
                <w:bCs w:val="0"/>
                <w:sz w:val="22"/>
                <w:szCs w:val="22"/>
                <w:lang w:val="en-US"/>
              </w:rPr>
              <w:t>23</w:t>
            </w:r>
            <w:r w:rsidR="00FF361F" w:rsidRPr="00FE3580">
              <w:rPr>
                <w:rFonts w:ascii="Times New Roman" w:hAnsi="Times New Roman"/>
                <w:b w:val="0"/>
                <w:bCs w:val="0"/>
                <w:sz w:val="22"/>
                <w:szCs w:val="22"/>
                <w:lang w:val="en-US"/>
              </w:rPr>
              <w:tab/>
            </w:r>
          </w:p>
        </w:tc>
        <w:tc>
          <w:tcPr>
            <w:tcW w:w="1440" w:type="dxa"/>
            <w:tcBorders>
              <w:top w:val="nil"/>
              <w:left w:val="nil"/>
              <w:bottom w:val="single" w:sz="12" w:space="0" w:color="auto"/>
              <w:right w:val="nil"/>
            </w:tcBorders>
          </w:tcPr>
          <w:p w14:paraId="4763A0FF"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3872" behindDoc="0" locked="0" layoutInCell="1" allowOverlap="1" wp14:anchorId="1C10BDF5" wp14:editId="495433D9">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54242FE0" w14:textId="77777777"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14:anchorId="3E55EF7D" wp14:editId="01D15838">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B4D8B08" w14:textId="77777777" w:rsidR="001E3423" w:rsidRPr="005136A5" w:rsidRDefault="001E3423" w:rsidP="00AE1D64">
            <w:pPr>
              <w:tabs>
                <w:tab w:val="left" w:pos="-720"/>
              </w:tabs>
              <w:suppressAutoHyphens/>
              <w:spacing w:line="120" w:lineRule="auto"/>
              <w:rPr>
                <w:lang w:val="en-US"/>
              </w:rPr>
            </w:pPr>
          </w:p>
        </w:tc>
      </w:tr>
      <w:tr w:rsidR="001E3423" w:rsidRPr="00F9708A" w14:paraId="3F371128" w14:textId="77777777" w:rsidTr="00282BBE">
        <w:trPr>
          <w:cantSplit/>
          <w:trHeight w:val="1770"/>
        </w:trPr>
        <w:tc>
          <w:tcPr>
            <w:tcW w:w="4428" w:type="dxa"/>
            <w:tcBorders>
              <w:top w:val="single" w:sz="12" w:space="0" w:color="auto"/>
              <w:left w:val="nil"/>
              <w:bottom w:val="single" w:sz="12" w:space="0" w:color="auto"/>
              <w:right w:val="nil"/>
            </w:tcBorders>
          </w:tcPr>
          <w:p w14:paraId="52ECFC5C" w14:textId="0FC13C8B" w:rsidR="009E3DD0" w:rsidRPr="00744CE4" w:rsidRDefault="009E3DD0" w:rsidP="004B4019">
            <w:pPr>
              <w:ind w:firstLine="907"/>
              <w:rPr>
                <w:sz w:val="22"/>
                <w:szCs w:val="22"/>
              </w:rPr>
            </w:pPr>
            <w:r w:rsidRPr="00FC32BA">
              <w:rPr>
                <w:sz w:val="22"/>
                <w:szCs w:val="22"/>
              </w:rPr>
              <w:t>Distr.</w:t>
            </w:r>
            <w:r>
              <w:rPr>
                <w:sz w:val="22"/>
                <w:szCs w:val="22"/>
              </w:rPr>
              <w:t xml:space="preserve">: </w:t>
            </w:r>
            <w:r w:rsidR="004B4019">
              <w:rPr>
                <w:sz w:val="22"/>
                <w:szCs w:val="22"/>
              </w:rPr>
              <w:t>General</w:t>
            </w:r>
          </w:p>
          <w:p w14:paraId="689A3D58" w14:textId="52F80CAB" w:rsidR="009E3DD0" w:rsidRDefault="00FE3580" w:rsidP="004B4019">
            <w:pPr>
              <w:ind w:firstLine="907"/>
              <w:rPr>
                <w:sz w:val="22"/>
                <w:szCs w:val="22"/>
              </w:rPr>
            </w:pPr>
            <w:r>
              <w:rPr>
                <w:sz w:val="22"/>
                <w:szCs w:val="22"/>
              </w:rPr>
              <w:t>1 November</w:t>
            </w:r>
            <w:r w:rsidR="002448CA">
              <w:rPr>
                <w:sz w:val="22"/>
                <w:szCs w:val="22"/>
              </w:rPr>
              <w:t xml:space="preserve"> </w:t>
            </w:r>
            <w:r w:rsidR="00CD5596">
              <w:rPr>
                <w:sz w:val="22"/>
                <w:szCs w:val="22"/>
              </w:rPr>
              <w:t>2024</w:t>
            </w:r>
          </w:p>
          <w:p w14:paraId="003056B4" w14:textId="77777777" w:rsidR="009E3DD0" w:rsidRPr="00B8088B" w:rsidRDefault="009E3DD0" w:rsidP="004B4019">
            <w:pPr>
              <w:pStyle w:val="Heading5"/>
              <w:tabs>
                <w:tab w:val="left" w:pos="-720"/>
              </w:tabs>
              <w:suppressAutoHyphens/>
              <w:bidi w:val="0"/>
              <w:spacing w:before="0" w:after="0"/>
              <w:ind w:firstLine="907"/>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597AE2EC" w14:textId="77777777" w:rsidR="001E3423" w:rsidRPr="00FC32BA" w:rsidRDefault="009E3DD0" w:rsidP="004B4019">
            <w:pPr>
              <w:tabs>
                <w:tab w:val="left" w:pos="-720"/>
              </w:tabs>
              <w:suppressAutoHyphens/>
              <w:ind w:firstLine="907"/>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5A606607" w14:textId="77777777"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57320C99" wp14:editId="361A2286">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5668BF6" w14:textId="77777777" w:rsidR="00FF361F" w:rsidRPr="004B4019" w:rsidRDefault="00A27159" w:rsidP="009D6C3B">
      <w:pPr>
        <w:bidi/>
        <w:spacing w:line="216" w:lineRule="auto"/>
        <w:rPr>
          <w:rFonts w:ascii="Simplified Arabic" w:hAnsi="Simplified Arabic" w:cs="Simplified Arabic"/>
          <w:b/>
          <w:bCs/>
          <w:sz w:val="28"/>
          <w:szCs w:val="28"/>
          <w:rtl/>
        </w:rPr>
      </w:pPr>
      <w:bookmarkStart w:id="1" w:name="_Hlk176366935"/>
      <w:r w:rsidRPr="004B4019">
        <w:rPr>
          <w:rFonts w:ascii="Simplified Arabic" w:hAnsi="Simplified Arabic" w:cs="Simplified Arabic" w:hint="cs"/>
          <w:b/>
          <w:bCs/>
          <w:sz w:val="28"/>
          <w:szCs w:val="28"/>
          <w:rtl/>
        </w:rPr>
        <w:t xml:space="preserve">مؤتمر الأطراف في </w:t>
      </w:r>
      <w:r w:rsidR="00E550D7" w:rsidRPr="004B4019">
        <w:rPr>
          <w:rFonts w:ascii="Simplified Arabic" w:hAnsi="Simplified Arabic" w:cs="Simplified Arabic" w:hint="cs"/>
          <w:b/>
          <w:bCs/>
          <w:sz w:val="28"/>
          <w:szCs w:val="28"/>
          <w:rtl/>
        </w:rPr>
        <w:t xml:space="preserve">الاتفاقية </w:t>
      </w:r>
    </w:p>
    <w:p w14:paraId="3E99F39D" w14:textId="02A9C13A" w:rsidR="001E3423" w:rsidRPr="004B4019" w:rsidRDefault="00E550D7" w:rsidP="009D6C3B">
      <w:pPr>
        <w:bidi/>
        <w:spacing w:line="216" w:lineRule="auto"/>
        <w:rPr>
          <w:rFonts w:ascii="Simplified Arabic" w:hAnsi="Simplified Arabic" w:cs="Simplified Arabic"/>
          <w:b/>
          <w:bCs/>
          <w:sz w:val="28"/>
          <w:szCs w:val="28"/>
        </w:rPr>
      </w:pPr>
      <w:r w:rsidRPr="004B4019">
        <w:rPr>
          <w:rFonts w:ascii="Simplified Arabic" w:hAnsi="Simplified Arabic" w:cs="Simplified Arabic" w:hint="cs"/>
          <w:b/>
          <w:bCs/>
          <w:sz w:val="28"/>
          <w:szCs w:val="28"/>
          <w:rtl/>
        </w:rPr>
        <w:t>المتعلقة بالتنوع البيولوجي</w:t>
      </w:r>
    </w:p>
    <w:p w14:paraId="54B487E1" w14:textId="50AC724C" w:rsidR="001E3423" w:rsidRPr="004B4019" w:rsidRDefault="001E3423" w:rsidP="009D6C3B">
      <w:pPr>
        <w:bidi/>
        <w:spacing w:line="216" w:lineRule="auto"/>
        <w:rPr>
          <w:rFonts w:ascii="Simplified Arabic" w:hAnsi="Simplified Arabic" w:cs="Simplified Arabic"/>
          <w:b/>
          <w:bCs/>
          <w:rtl/>
        </w:rPr>
      </w:pPr>
      <w:r w:rsidRPr="004B4019">
        <w:rPr>
          <w:rFonts w:ascii="Simplified Arabic" w:hAnsi="Simplified Arabic" w:cs="Simplified Arabic"/>
          <w:b/>
          <w:bCs/>
          <w:rtl/>
        </w:rPr>
        <w:t xml:space="preserve">الاجتماع </w:t>
      </w:r>
      <w:r w:rsidR="00FF361F" w:rsidRPr="004B4019">
        <w:rPr>
          <w:rFonts w:ascii="Simplified Arabic" w:hAnsi="Simplified Arabic" w:cs="Simplified Arabic" w:hint="cs"/>
          <w:b/>
          <w:bCs/>
          <w:rtl/>
        </w:rPr>
        <w:t>السادس عشر</w:t>
      </w:r>
    </w:p>
    <w:p w14:paraId="2CCDA100" w14:textId="54EA8CF2" w:rsidR="00F15332" w:rsidRPr="004B4019" w:rsidRDefault="009E3DD0" w:rsidP="009D6C3B">
      <w:pPr>
        <w:bidi/>
        <w:spacing w:line="216" w:lineRule="auto"/>
        <w:rPr>
          <w:rFonts w:ascii="Simplified Arabic" w:hAnsi="Simplified Arabic" w:cs="Simplified Arabic"/>
          <w:rtl/>
          <w:lang w:bidi="ar-EG"/>
        </w:rPr>
      </w:pPr>
      <w:r w:rsidRPr="004B4019">
        <w:rPr>
          <w:rFonts w:ascii="Simplified Arabic" w:hAnsi="Simplified Arabic" w:cs="Simplified Arabic" w:hint="cs"/>
          <w:rtl/>
        </w:rPr>
        <w:t>كالي، كولومبيا</w:t>
      </w:r>
      <w:r w:rsidRPr="004B4019">
        <w:rPr>
          <w:rFonts w:ascii="Simplified Arabic" w:hAnsi="Simplified Arabic" w:cs="Simplified Arabic"/>
          <w:rtl/>
        </w:rPr>
        <w:t>،</w:t>
      </w:r>
      <w:r w:rsidRPr="004B4019">
        <w:rPr>
          <w:rFonts w:ascii="Simplified Arabic" w:hAnsi="Simplified Arabic" w:cs="Simplified Arabic" w:hint="cs"/>
          <w:rtl/>
        </w:rPr>
        <w:t xml:space="preserve"> 21</w:t>
      </w:r>
      <w:r w:rsidRPr="004B4019">
        <w:rPr>
          <w:rFonts w:ascii="Simplified Arabic" w:hAnsi="Simplified Arabic" w:cs="Simplified Arabic" w:hint="cs"/>
          <w:rtl/>
          <w:lang w:bidi="ar-EG"/>
        </w:rPr>
        <w:t xml:space="preserve"> أكتوبر/تشرين الأول </w:t>
      </w:r>
      <w:r w:rsidRPr="004B4019">
        <w:rPr>
          <w:rFonts w:ascii="Simplified Arabic" w:hAnsi="Simplified Arabic" w:cs="Simplified Arabic"/>
          <w:rtl/>
          <w:lang w:bidi="ar-EG"/>
        </w:rPr>
        <w:t>–</w:t>
      </w:r>
      <w:r w:rsidRPr="004B4019">
        <w:rPr>
          <w:rFonts w:ascii="Simplified Arabic" w:hAnsi="Simplified Arabic" w:cs="Simplified Arabic" w:hint="cs"/>
          <w:rtl/>
          <w:lang w:bidi="ar-EG"/>
        </w:rPr>
        <w:t xml:space="preserve"> 1 نوفمبر/تشرين الثاني </w:t>
      </w:r>
      <w:r w:rsidR="00383933" w:rsidRPr="004B4019">
        <w:rPr>
          <w:rFonts w:ascii="Simplified Arabic" w:hAnsi="Simplified Arabic" w:cs="Simplified Arabic" w:hint="cs"/>
          <w:rtl/>
          <w:lang w:bidi="ar-EG"/>
        </w:rPr>
        <w:t>2024</w:t>
      </w:r>
    </w:p>
    <w:p w14:paraId="0F5D5817" w14:textId="1FA4F09F" w:rsidR="00383933" w:rsidRPr="004B4019" w:rsidRDefault="00587D62" w:rsidP="009D6C3B">
      <w:pPr>
        <w:bidi/>
        <w:spacing w:line="216" w:lineRule="auto"/>
        <w:rPr>
          <w:rFonts w:ascii="Simplified Arabic" w:hAnsi="Simplified Arabic" w:cs="Simplified Arabic"/>
          <w:lang w:bidi="ar-EG"/>
        </w:rPr>
      </w:pPr>
      <w:r w:rsidRPr="004B4019">
        <w:rPr>
          <w:rFonts w:ascii="Simplified Arabic" w:hAnsi="Simplified Arabic" w:cs="Simplified Arabic" w:hint="cs"/>
          <w:rtl/>
          <w:lang w:bidi="ar-EG"/>
        </w:rPr>
        <w:t xml:space="preserve">البند </w:t>
      </w:r>
      <w:r w:rsidR="00FF361F" w:rsidRPr="004B4019">
        <w:rPr>
          <w:rFonts w:ascii="Simplified Arabic" w:hAnsi="Simplified Arabic" w:cs="Simplified Arabic" w:hint="cs"/>
          <w:rtl/>
          <w:lang w:bidi="ar-EG"/>
        </w:rPr>
        <w:t>26</w:t>
      </w:r>
      <w:r w:rsidR="0055276A" w:rsidRPr="004B4019">
        <w:rPr>
          <w:rFonts w:ascii="Simplified Arabic" w:hAnsi="Simplified Arabic" w:cs="Simplified Arabic" w:hint="cs"/>
          <w:rtl/>
          <w:lang w:bidi="ar-EG"/>
        </w:rPr>
        <w:t xml:space="preserve"> من جدول الأعمال</w:t>
      </w:r>
    </w:p>
    <w:p w14:paraId="4C684B59" w14:textId="43E77CAD" w:rsidR="00587D62" w:rsidRPr="004B4019" w:rsidRDefault="00FF361F" w:rsidP="009D6C3B">
      <w:pPr>
        <w:bidi/>
        <w:spacing w:line="216" w:lineRule="auto"/>
        <w:rPr>
          <w:rFonts w:ascii="Simplified Arabic" w:hAnsi="Simplified Arabic" w:cs="Simplified Arabic"/>
          <w:b/>
          <w:bCs/>
          <w:rtl/>
          <w:lang w:bidi="ar-EG"/>
        </w:rPr>
      </w:pPr>
      <w:bookmarkStart w:id="2" w:name="_Hlk180523668"/>
      <w:r w:rsidRPr="004B4019">
        <w:rPr>
          <w:rFonts w:ascii="Simplified Arabic" w:hAnsi="Simplified Arabic" w:cs="Simplified Arabic"/>
          <w:b/>
          <w:bCs/>
          <w:rtl/>
          <w:lang w:bidi="ar-EG"/>
        </w:rPr>
        <w:t>المسؤولية والجبر التعويضي (المادة 14، الفقرة 2)</w:t>
      </w:r>
      <w:bookmarkEnd w:id="2"/>
    </w:p>
    <w:p w14:paraId="1893A242" w14:textId="7CA1C166" w:rsidR="00E9021A" w:rsidRDefault="00E9021A" w:rsidP="00E9021A">
      <w:pPr>
        <w:bidi/>
        <w:spacing w:line="204" w:lineRule="auto"/>
        <w:rPr>
          <w:rFonts w:ascii="Simplified Arabic" w:hAnsi="Simplified Arabic" w:cs="Simplified Arabic"/>
          <w:b/>
          <w:bCs/>
        </w:rPr>
      </w:pPr>
    </w:p>
    <w:bookmarkEnd w:id="1"/>
    <w:p w14:paraId="1B0F2692" w14:textId="77777777" w:rsidR="004B4019" w:rsidRDefault="004B4019" w:rsidP="004B4019">
      <w:pPr>
        <w:bidi/>
        <w:spacing w:after="120" w:line="216" w:lineRule="auto"/>
        <w:ind w:left="567"/>
        <w:rPr>
          <w:rFonts w:cs="Simplified Arabic"/>
          <w:b/>
          <w:bCs/>
          <w:szCs w:val="28"/>
          <w:rtl/>
          <w:lang w:bidi="ar-EG"/>
        </w:rPr>
      </w:pPr>
      <w:r>
        <w:rPr>
          <w:rFonts w:cs="Simplified Arabic" w:hint="cs"/>
          <w:b/>
          <w:bCs/>
          <w:szCs w:val="28"/>
          <w:rtl/>
          <w:lang w:bidi="ar-EG"/>
        </w:rPr>
        <w:t>مقرر اعتمده مؤتمر الأطراف في اتفاقية التنوع البيولوجي في 1 نوفمبر/تشرين الثاني 2024</w:t>
      </w:r>
    </w:p>
    <w:p w14:paraId="163A5DB6" w14:textId="0BFA903A" w:rsidR="000C75D6" w:rsidRPr="004B4019" w:rsidRDefault="004B4019" w:rsidP="004B4019">
      <w:pPr>
        <w:bidi/>
        <w:spacing w:after="120" w:line="216" w:lineRule="auto"/>
        <w:ind w:left="567"/>
        <w:rPr>
          <w:rFonts w:cs="Simplified Arabic"/>
          <w:b/>
          <w:bCs/>
          <w:sz w:val="22"/>
          <w:rtl/>
        </w:rPr>
      </w:pPr>
      <w:r w:rsidRPr="004B4019">
        <w:rPr>
          <w:rFonts w:cs="Simplified Arabic" w:hint="cs"/>
          <w:b/>
          <w:bCs/>
          <w:sz w:val="22"/>
          <w:rtl/>
          <w:lang w:bidi="ar-EG"/>
        </w:rPr>
        <w:t>16/23-</w:t>
      </w:r>
      <w:r w:rsidRPr="004B4019">
        <w:rPr>
          <w:rFonts w:cs="Simplified Arabic"/>
          <w:b/>
          <w:bCs/>
          <w:sz w:val="22"/>
          <w:rtl/>
          <w:lang w:bidi="ar-EG"/>
        </w:rPr>
        <w:tab/>
      </w:r>
      <w:r w:rsidR="00FF361F" w:rsidRPr="004B4019">
        <w:rPr>
          <w:rFonts w:cs="Simplified Arabic"/>
          <w:b/>
          <w:bCs/>
          <w:sz w:val="22"/>
          <w:rtl/>
        </w:rPr>
        <w:t>المسؤولية والجبر التعويضي (المادة 14، الفقرة 2)</w:t>
      </w:r>
    </w:p>
    <w:p w14:paraId="25FA1912" w14:textId="77777777" w:rsidR="00FF361F" w:rsidRDefault="00FF361F" w:rsidP="00FA7558">
      <w:pPr>
        <w:pStyle w:val="ListParagraph"/>
        <w:bidi/>
        <w:spacing w:after="120" w:line="216" w:lineRule="auto"/>
        <w:ind w:left="567" w:firstLine="720"/>
        <w:contextualSpacing w:val="0"/>
        <w:jc w:val="both"/>
        <w:rPr>
          <w:rFonts w:cs="Simplified Arabic"/>
          <w:i/>
          <w:iCs/>
          <w:rtl/>
          <w:lang w:val="en-US"/>
        </w:rPr>
      </w:pPr>
      <w:r>
        <w:rPr>
          <w:rFonts w:cs="Simplified Arabic" w:hint="cs"/>
          <w:i/>
          <w:iCs/>
          <w:rtl/>
          <w:lang w:val="en-US"/>
        </w:rPr>
        <w:t>إن مؤتمر الأطراف،</w:t>
      </w:r>
    </w:p>
    <w:p w14:paraId="06A08C8D" w14:textId="32D40F25" w:rsidR="00FF361F" w:rsidRDefault="00FF361F" w:rsidP="00FA7558">
      <w:pPr>
        <w:pStyle w:val="ListParagraph"/>
        <w:bidi/>
        <w:spacing w:after="120" w:line="216" w:lineRule="auto"/>
        <w:ind w:left="567" w:firstLine="720"/>
        <w:contextualSpacing w:val="0"/>
        <w:jc w:val="both"/>
        <w:rPr>
          <w:rFonts w:cs="Simplified Arabic"/>
          <w:rtl/>
          <w:lang w:val="en-US"/>
        </w:rPr>
      </w:pPr>
      <w:r>
        <w:rPr>
          <w:rFonts w:cs="Simplified Arabic" w:hint="cs"/>
          <w:i/>
          <w:iCs/>
          <w:rtl/>
          <w:lang w:val="en-US"/>
        </w:rPr>
        <w:t xml:space="preserve">إذ يشير </w:t>
      </w:r>
      <w:r>
        <w:rPr>
          <w:rFonts w:cs="Simplified Arabic" w:hint="cs"/>
          <w:rtl/>
          <w:lang w:val="en-US"/>
        </w:rPr>
        <w:t xml:space="preserve">إلى مقرره </w:t>
      </w:r>
      <w:hyperlink r:id="rId11" w:history="1">
        <w:r w:rsidRPr="004B4019">
          <w:rPr>
            <w:rStyle w:val="Hyperlink"/>
            <w:rFonts w:cs="Simplified Arabic" w:hint="cs"/>
            <w:rtl/>
            <w:lang w:val="en-US"/>
          </w:rPr>
          <w:t>14/21</w:t>
        </w:r>
      </w:hyperlink>
      <w:r>
        <w:rPr>
          <w:rFonts w:cs="Simplified Arabic" w:hint="cs"/>
          <w:rtl/>
          <w:lang w:val="en-US"/>
        </w:rPr>
        <w:t xml:space="preserve"> المؤرخ </w:t>
      </w:r>
      <w:r w:rsidR="004B4019">
        <w:rPr>
          <w:rFonts w:cs="Simplified Arabic" w:hint="cs"/>
          <w:rtl/>
          <w:lang w:val="en-US"/>
        </w:rPr>
        <w:t xml:space="preserve">29 </w:t>
      </w:r>
      <w:r>
        <w:rPr>
          <w:rFonts w:cs="Simplified Arabic" w:hint="cs"/>
          <w:rtl/>
          <w:lang w:val="en-US"/>
        </w:rPr>
        <w:t>نوفمبر/تشرين الثاني 2018،</w:t>
      </w:r>
    </w:p>
    <w:p w14:paraId="583CBBDD" w14:textId="00F18541" w:rsidR="00FF361F" w:rsidRDefault="00FF361F" w:rsidP="00FA7558">
      <w:pPr>
        <w:pStyle w:val="ListParagraph"/>
        <w:bidi/>
        <w:spacing w:after="120" w:line="216" w:lineRule="auto"/>
        <w:ind w:left="567" w:firstLine="720"/>
        <w:contextualSpacing w:val="0"/>
        <w:jc w:val="both"/>
        <w:rPr>
          <w:rFonts w:cs="Simplified Arabic"/>
          <w:rtl/>
          <w:lang w:val="en-US"/>
        </w:rPr>
      </w:pPr>
      <w:r>
        <w:rPr>
          <w:rFonts w:cs="Simplified Arabic" w:hint="cs"/>
          <w:i/>
          <w:iCs/>
          <w:rtl/>
          <w:lang w:val="en-US"/>
        </w:rPr>
        <w:t xml:space="preserve">وإذ يشير أيضا </w:t>
      </w:r>
      <w:r>
        <w:rPr>
          <w:rFonts w:cs="Simplified Arabic" w:hint="cs"/>
          <w:rtl/>
          <w:lang w:val="en-US"/>
        </w:rPr>
        <w:t>إلى إطار كونمينغ</w:t>
      </w:r>
      <w:r>
        <w:rPr>
          <w:rFonts w:cs="Simplified Arabic"/>
          <w:rtl/>
          <w:lang w:val="en-US"/>
        </w:rPr>
        <w:noBreakHyphen/>
      </w:r>
      <w:r>
        <w:rPr>
          <w:rFonts w:cs="Simplified Arabic" w:hint="cs"/>
          <w:rtl/>
          <w:lang w:val="en-US"/>
        </w:rPr>
        <w:t>مونتريال العالمي للتنوع البيولوجي،</w:t>
      </w:r>
      <w:r>
        <w:rPr>
          <w:rStyle w:val="FootnoteReference"/>
          <w:rFonts w:cs="Simplified Arabic"/>
          <w:rtl/>
          <w:lang w:val="en-US"/>
        </w:rPr>
        <w:footnoteReference w:id="1"/>
      </w:r>
      <w:r>
        <w:rPr>
          <w:rFonts w:cs="Simplified Arabic" w:hint="cs"/>
          <w:rtl/>
          <w:lang w:val="en-US"/>
        </w:rPr>
        <w:t xml:space="preserve"> </w:t>
      </w:r>
      <w:r w:rsidRPr="002C3919">
        <w:rPr>
          <w:rFonts w:cs="Simplified Arabic"/>
          <w:rtl/>
          <w:lang w:val="en-US"/>
        </w:rPr>
        <w:t>الذي حدد</w:t>
      </w:r>
      <w:r>
        <w:rPr>
          <w:rFonts w:cs="Simplified Arabic" w:hint="cs"/>
          <w:rtl/>
          <w:lang w:val="en-US"/>
        </w:rPr>
        <w:t xml:space="preserve"> فيه </w:t>
      </w:r>
      <w:r w:rsidRPr="002C3919">
        <w:rPr>
          <w:rFonts w:cs="Simplified Arabic"/>
          <w:rtl/>
          <w:lang w:val="en-US"/>
        </w:rPr>
        <w:t xml:space="preserve">مهمة الإطار </w:t>
      </w:r>
      <w:r>
        <w:rPr>
          <w:rFonts w:cs="Simplified Arabic" w:hint="cs"/>
          <w:rtl/>
          <w:lang w:val="en-US"/>
        </w:rPr>
        <w:t>المتمثلة،</w:t>
      </w:r>
      <w:r w:rsidRPr="001A311C">
        <w:rPr>
          <w:rFonts w:cs="Simplified Arabic"/>
          <w:rtl/>
          <w:lang w:val="en-US"/>
        </w:rPr>
        <w:t xml:space="preserve"> </w:t>
      </w:r>
      <w:r w:rsidRPr="002C3919">
        <w:rPr>
          <w:rFonts w:cs="Simplified Arabic"/>
          <w:rtl/>
          <w:lang w:val="en-US"/>
        </w:rPr>
        <w:t>من بين أمور أخرى،</w:t>
      </w:r>
      <w:r>
        <w:rPr>
          <w:rFonts w:cs="Simplified Arabic" w:hint="cs"/>
          <w:rtl/>
          <w:lang w:val="en-US"/>
        </w:rPr>
        <w:t xml:space="preserve"> </w:t>
      </w:r>
      <w:r w:rsidRPr="002C3919">
        <w:rPr>
          <w:rFonts w:cs="Simplified Arabic"/>
          <w:rtl/>
          <w:lang w:val="en-US"/>
        </w:rPr>
        <w:t>في اتخاذ إجراءات عاجلة لوقف فقدان التنوع البيولوجي وعكس اتجاهه</w:t>
      </w:r>
      <w:r>
        <w:rPr>
          <w:rFonts w:cs="Simplified Arabic" w:hint="cs"/>
          <w:rtl/>
          <w:lang w:val="en-US"/>
        </w:rPr>
        <w:t>،</w:t>
      </w:r>
    </w:p>
    <w:p w14:paraId="2CFFE16E" w14:textId="77777777" w:rsidR="00FF361F" w:rsidRDefault="00FF361F" w:rsidP="00FA7558">
      <w:pPr>
        <w:pStyle w:val="ListParagraph"/>
        <w:bidi/>
        <w:spacing w:after="120" w:line="216" w:lineRule="auto"/>
        <w:ind w:left="567" w:firstLine="720"/>
        <w:contextualSpacing w:val="0"/>
        <w:jc w:val="both"/>
        <w:rPr>
          <w:rFonts w:cs="Simplified Arabic"/>
          <w:rtl/>
          <w:lang w:val="en-US"/>
        </w:rPr>
      </w:pPr>
      <w:r w:rsidRPr="00657AD5">
        <w:rPr>
          <w:rFonts w:cs="Simplified Arabic"/>
          <w:i/>
          <w:iCs/>
          <w:rtl/>
          <w:lang w:val="en-US"/>
        </w:rPr>
        <w:t>وإذ يلاحظ</w:t>
      </w:r>
      <w:r w:rsidRPr="009C4387">
        <w:rPr>
          <w:rFonts w:cs="Simplified Arabic"/>
          <w:rtl/>
          <w:lang w:val="en-US"/>
        </w:rPr>
        <w:t xml:space="preserve"> أن تجميع </w:t>
      </w:r>
      <w:r>
        <w:rPr>
          <w:rFonts w:cs="Simplified Arabic" w:hint="cs"/>
          <w:rtl/>
          <w:lang w:val="en-US"/>
        </w:rPr>
        <w:t>التقارير</w:t>
      </w:r>
      <w:r w:rsidRPr="009C4387">
        <w:rPr>
          <w:rFonts w:cs="Simplified Arabic"/>
          <w:rtl/>
          <w:lang w:val="en-US"/>
        </w:rPr>
        <w:t xml:space="preserve"> المقدمة والمعلومات عن التطورات الأخيرة في مجال المسؤولية والجبر التعويضي عن الأضرار التي تلحق بالبيئة بوجه عام وبالتنوع البيولوجي بوجه خاص، المقدمة في الاجتماع السادس</w:t>
      </w:r>
      <w:r>
        <w:rPr>
          <w:rFonts w:cs="Simplified Arabic" w:hint="cs"/>
          <w:rtl/>
          <w:lang w:val="en-US"/>
        </w:rPr>
        <w:t> </w:t>
      </w:r>
      <w:r w:rsidRPr="009C4387">
        <w:rPr>
          <w:rFonts w:cs="Simplified Arabic"/>
          <w:rtl/>
          <w:lang w:val="en-US"/>
        </w:rPr>
        <w:t>عشر لمؤتمر الأطراف،</w:t>
      </w:r>
      <w:r>
        <w:rPr>
          <w:rStyle w:val="FootnoteReference"/>
          <w:rFonts w:cs="Simplified Arabic"/>
          <w:rtl/>
          <w:lang w:val="en-US"/>
        </w:rPr>
        <w:footnoteReference w:id="2"/>
      </w:r>
      <w:r w:rsidRPr="009C4387">
        <w:rPr>
          <w:rFonts w:cs="Simplified Arabic"/>
          <w:rtl/>
          <w:lang w:val="en-US"/>
        </w:rPr>
        <w:t xml:space="preserve"> كشفت عن زيادة الوعي بين الأطراف بالحاجة إلى اعتماد وتنفيذ تدابير سياساتية وقانونية أو إدارية مناسبة لتجنب هذا الضرر</w:t>
      </w:r>
      <w:r w:rsidRPr="000C3971">
        <w:rPr>
          <w:rFonts w:cs="Simplified Arabic"/>
          <w:rtl/>
          <w:lang w:val="en-US"/>
        </w:rPr>
        <w:t xml:space="preserve"> </w:t>
      </w:r>
      <w:r w:rsidRPr="009C4387">
        <w:rPr>
          <w:rFonts w:cs="Simplified Arabic"/>
          <w:rtl/>
          <w:lang w:val="en-US"/>
        </w:rPr>
        <w:t>أو تخفيف</w:t>
      </w:r>
      <w:r>
        <w:rPr>
          <w:rFonts w:cs="Simplified Arabic" w:hint="cs"/>
          <w:rtl/>
          <w:lang w:val="en-US"/>
        </w:rPr>
        <w:t>ه</w:t>
      </w:r>
      <w:r w:rsidRPr="009C4387">
        <w:rPr>
          <w:rFonts w:cs="Simplified Arabic"/>
          <w:rtl/>
          <w:lang w:val="en-US"/>
        </w:rPr>
        <w:t>،</w:t>
      </w:r>
    </w:p>
    <w:p w14:paraId="6F78121F" w14:textId="68CA0DDD" w:rsidR="00FF361F" w:rsidRDefault="00FF361F" w:rsidP="00FA7558">
      <w:pPr>
        <w:pStyle w:val="ListParagraph"/>
        <w:numPr>
          <w:ilvl w:val="0"/>
          <w:numId w:val="48"/>
        </w:numPr>
        <w:bidi/>
        <w:spacing w:after="120" w:line="216" w:lineRule="auto"/>
        <w:ind w:left="567" w:firstLine="720"/>
        <w:contextualSpacing w:val="0"/>
        <w:jc w:val="both"/>
        <w:rPr>
          <w:rFonts w:cs="Simplified Arabic"/>
          <w:lang w:val="en-US"/>
        </w:rPr>
      </w:pPr>
      <w:r w:rsidRPr="00657AD5">
        <w:rPr>
          <w:rFonts w:cs="Simplified Arabic"/>
          <w:i/>
          <w:iCs/>
          <w:rtl/>
          <w:lang w:val="en-US"/>
        </w:rPr>
        <w:t>يدعو</w:t>
      </w:r>
      <w:r w:rsidRPr="00657AD5">
        <w:rPr>
          <w:rFonts w:cs="Simplified Arabic"/>
          <w:rtl/>
          <w:lang w:val="en-US"/>
        </w:rPr>
        <w:t xml:space="preserve"> الأطراف إلى مواصلة اتخاذ التدابير المناسبة لمعالجة الأضرار التي تلحق بالتنوع البيولوجي، بما في ذلك تدابير الاستجابة</w:t>
      </w:r>
      <w:r w:rsidR="00E105B4">
        <w:rPr>
          <w:rFonts w:cs="Simplified Arabic" w:hint="cs"/>
          <w:rtl/>
          <w:lang w:val="en-US" w:bidi="ar-EG"/>
        </w:rPr>
        <w:t>، وفقا للالتزامات الدولية ذات الصلة</w:t>
      </w:r>
      <w:r w:rsidRPr="00657AD5">
        <w:rPr>
          <w:rFonts w:cs="Simplified Arabic"/>
          <w:rtl/>
          <w:lang w:val="en-US"/>
        </w:rPr>
        <w:t>؛</w:t>
      </w:r>
    </w:p>
    <w:p w14:paraId="6C5C354E" w14:textId="21DA4E2F" w:rsidR="00FF361F" w:rsidRDefault="00FF361F" w:rsidP="00FA7558">
      <w:pPr>
        <w:pStyle w:val="ListParagraph"/>
        <w:numPr>
          <w:ilvl w:val="0"/>
          <w:numId w:val="48"/>
        </w:numPr>
        <w:bidi/>
        <w:spacing w:after="120" w:line="216" w:lineRule="auto"/>
        <w:ind w:left="567" w:firstLine="720"/>
        <w:contextualSpacing w:val="0"/>
        <w:jc w:val="both"/>
        <w:rPr>
          <w:rFonts w:cs="Simplified Arabic"/>
          <w:lang w:val="en-US"/>
        </w:rPr>
      </w:pPr>
      <w:r w:rsidRPr="00310E13">
        <w:rPr>
          <w:rFonts w:cs="Simplified Arabic"/>
          <w:i/>
          <w:iCs/>
          <w:rtl/>
          <w:lang w:val="en-US"/>
        </w:rPr>
        <w:t>يقرر</w:t>
      </w:r>
      <w:r w:rsidRPr="00657AD5">
        <w:rPr>
          <w:rFonts w:cs="Simplified Arabic"/>
          <w:rtl/>
          <w:lang w:val="en-US"/>
        </w:rPr>
        <w:t xml:space="preserve"> أن يستعرض</w:t>
      </w:r>
      <w:r w:rsidRPr="000C3971">
        <w:rPr>
          <w:rFonts w:cs="Simplified Arabic"/>
          <w:rtl/>
          <w:lang w:val="en-US"/>
        </w:rPr>
        <w:t xml:space="preserve"> </w:t>
      </w:r>
      <w:r w:rsidRPr="00657AD5">
        <w:rPr>
          <w:rFonts w:cs="Simplified Arabic"/>
          <w:rtl/>
          <w:lang w:val="en-US"/>
        </w:rPr>
        <w:t>في اجتماعه الثامن عشر موضوع المسؤولية والجبر التعويضي في سياق الفقرة</w:t>
      </w:r>
      <w:r>
        <w:rPr>
          <w:rFonts w:cs="Simplified Arabic" w:hint="cs"/>
          <w:rtl/>
          <w:lang w:val="en-US"/>
        </w:rPr>
        <w:t> </w:t>
      </w:r>
      <w:r w:rsidRPr="00657AD5">
        <w:rPr>
          <w:rFonts w:cs="Simplified Arabic"/>
          <w:rtl/>
          <w:lang w:val="en-US"/>
        </w:rPr>
        <w:t>2 من المادة 14 من اتفاقية التنوع البيولوجي</w:t>
      </w:r>
      <w:r>
        <w:rPr>
          <w:rFonts w:cs="Simplified Arabic" w:hint="cs"/>
          <w:rtl/>
          <w:lang w:val="en-US"/>
        </w:rPr>
        <w:t>،</w:t>
      </w:r>
      <w:r>
        <w:rPr>
          <w:rStyle w:val="FootnoteReference"/>
          <w:rFonts w:cs="Simplified Arabic"/>
          <w:rtl/>
          <w:lang w:val="en-US"/>
        </w:rPr>
        <w:footnoteReference w:id="3"/>
      </w:r>
      <w:r w:rsidRPr="00657AD5">
        <w:rPr>
          <w:rFonts w:cs="Simplified Arabic"/>
          <w:rtl/>
          <w:lang w:val="en-US"/>
        </w:rPr>
        <w:t xml:space="preserve"> مع مراعاة المعلومات المتعلقة بالتطورات ذات الصلة، بما في ذلك التقدم المحرز في تنفيذ إطار كونمينغ-مونتريال العالمي للتنوع البيولوجي.</w:t>
      </w:r>
      <w:r>
        <w:rPr>
          <w:rFonts w:cs="Simplified Arabic" w:hint="cs"/>
          <w:rtl/>
          <w:lang w:val="en-US"/>
        </w:rPr>
        <w:t xml:space="preserve"> </w:t>
      </w:r>
    </w:p>
    <w:bookmarkEnd w:id="0"/>
    <w:p w14:paraId="697C41FE" w14:textId="4309FB3A" w:rsidR="00CC76B1" w:rsidRDefault="00087C8B" w:rsidP="00087C8B">
      <w:pPr>
        <w:bidi/>
        <w:spacing w:before="120" w:after="120" w:line="216" w:lineRule="auto"/>
        <w:jc w:val="center"/>
        <w:rPr>
          <w:rFonts w:ascii="Simplified Arabic" w:hAnsi="Simplified Arabic" w:cs="Simplified Arabic"/>
          <w:b/>
          <w:bCs/>
          <w:rtl/>
          <w:lang w:bidi="ar-EG"/>
        </w:rPr>
      </w:pPr>
      <w:r w:rsidRPr="00AB7244">
        <w:t>__________</w:t>
      </w:r>
    </w:p>
    <w:p w14:paraId="18CE343B" w14:textId="77777777" w:rsidR="00CC76B1" w:rsidRPr="00B24FA4" w:rsidRDefault="00CC76B1" w:rsidP="00CC76B1">
      <w:pPr>
        <w:bidi/>
        <w:rPr>
          <w:rFonts w:ascii="Simplified Arabic" w:hAnsi="Simplified Arabic" w:cs="Simplified Arabic"/>
          <w:rtl/>
          <w:lang w:bidi="ar-EG"/>
        </w:rPr>
      </w:pPr>
    </w:p>
    <w:sectPr w:rsidR="00CC76B1" w:rsidRPr="00B24FA4" w:rsidSect="00FF361F">
      <w:headerReference w:type="even" r:id="rId12"/>
      <w:footnotePr>
        <w:numRestart w:val="eachSect"/>
      </w:footnotePr>
      <w:pgSz w:w="12240" w:h="15840" w:code="1"/>
      <w:pgMar w:top="1151" w:right="1440" w:bottom="11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98D36" w14:textId="77777777" w:rsidR="000F5F41" w:rsidRDefault="000F5F41" w:rsidP="00C005BD">
      <w:r>
        <w:separator/>
      </w:r>
    </w:p>
  </w:endnote>
  <w:endnote w:type="continuationSeparator" w:id="0">
    <w:p w14:paraId="0A87631B" w14:textId="77777777" w:rsidR="000F5F41" w:rsidRDefault="000F5F41"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6A9AE" w14:textId="77777777" w:rsidR="000F5F41" w:rsidRDefault="000F5F41" w:rsidP="00A319AA">
      <w:pPr>
        <w:bidi/>
      </w:pPr>
      <w:r>
        <w:separator/>
      </w:r>
    </w:p>
  </w:footnote>
  <w:footnote w:type="continuationSeparator" w:id="0">
    <w:p w14:paraId="7921C336" w14:textId="77777777" w:rsidR="000F5F41" w:rsidRDefault="000F5F41" w:rsidP="00C005BD">
      <w:r>
        <w:continuationSeparator/>
      </w:r>
    </w:p>
  </w:footnote>
  <w:footnote w:id="1">
    <w:p w14:paraId="2875EFE4" w14:textId="77777777" w:rsidR="00FF361F" w:rsidRPr="00163DD4" w:rsidRDefault="00FF361F" w:rsidP="00FF361F">
      <w:pPr>
        <w:pStyle w:val="FootnoteText"/>
        <w:kinsoku w:val="0"/>
        <w:overflowPunct w:val="0"/>
        <w:autoSpaceDE w:val="0"/>
        <w:autoSpaceDN w:val="0"/>
        <w:bidi/>
        <w:adjustRightInd w:val="0"/>
        <w:snapToGrid w:val="0"/>
        <w:rPr>
          <w:rFonts w:cs="Simplified Arabic"/>
          <w:snapToGrid w:val="0"/>
          <w:kern w:val="22"/>
          <w:sz w:val="18"/>
          <w:rtl/>
          <w:lang w:bidi="ar-EG"/>
        </w:rPr>
      </w:pPr>
      <w:r w:rsidRPr="00163DD4">
        <w:rPr>
          <w:rFonts w:cs="Simplified Arabic"/>
          <w:snapToGrid w:val="0"/>
          <w:kern w:val="22"/>
          <w:sz w:val="18"/>
          <w:vertAlign w:val="superscript"/>
          <w:lang w:bidi="ar-EG"/>
        </w:rPr>
        <w:footnoteRef/>
      </w:r>
      <w:r w:rsidRPr="00163DD4">
        <w:rPr>
          <w:rFonts w:cs="Simplified Arabic" w:hint="cs"/>
          <w:snapToGrid w:val="0"/>
          <w:kern w:val="22"/>
          <w:sz w:val="18"/>
          <w:rtl/>
          <w:lang w:bidi="ar-EG"/>
        </w:rPr>
        <w:t xml:space="preserve"> </w:t>
      </w:r>
      <w:r w:rsidRPr="00163DD4">
        <w:rPr>
          <w:rFonts w:cs="Simplified Arabic" w:hint="cs"/>
          <w:sz w:val="18"/>
          <w:rtl/>
        </w:rPr>
        <w:t>المقرر 15/4، المرفق</w:t>
      </w:r>
      <w:r w:rsidRPr="00163DD4">
        <w:rPr>
          <w:rFonts w:cs="Simplified Arabic" w:hint="cs"/>
          <w:snapToGrid w:val="0"/>
          <w:kern w:val="22"/>
          <w:sz w:val="18"/>
          <w:rtl/>
          <w:lang w:bidi="ar-EG"/>
        </w:rPr>
        <w:t>.</w:t>
      </w:r>
    </w:p>
  </w:footnote>
  <w:footnote w:id="2">
    <w:p w14:paraId="4F80CFB9" w14:textId="5CDDA209" w:rsidR="00FF361F" w:rsidRPr="004B4019" w:rsidRDefault="00FF361F" w:rsidP="00FF361F">
      <w:pPr>
        <w:pStyle w:val="FootnoteText"/>
        <w:kinsoku w:val="0"/>
        <w:overflowPunct w:val="0"/>
        <w:autoSpaceDE w:val="0"/>
        <w:autoSpaceDN w:val="0"/>
        <w:bidi/>
        <w:adjustRightInd w:val="0"/>
        <w:snapToGrid w:val="0"/>
        <w:rPr>
          <w:rFonts w:cs="Simplified Arabic"/>
          <w:snapToGrid w:val="0"/>
          <w:kern w:val="22"/>
          <w:sz w:val="18"/>
          <w:rtl/>
          <w:lang w:val="en-US" w:bidi="ar-EG"/>
        </w:rPr>
      </w:pPr>
      <w:r w:rsidRPr="00163DD4">
        <w:rPr>
          <w:rFonts w:cs="Simplified Arabic"/>
          <w:snapToGrid w:val="0"/>
          <w:kern w:val="22"/>
          <w:sz w:val="18"/>
          <w:vertAlign w:val="superscript"/>
          <w:lang w:bidi="ar-EG"/>
        </w:rPr>
        <w:footnoteRef/>
      </w:r>
      <w:r w:rsidRPr="00163DD4">
        <w:rPr>
          <w:rFonts w:cs="Simplified Arabic" w:hint="cs"/>
          <w:snapToGrid w:val="0"/>
          <w:kern w:val="22"/>
          <w:sz w:val="18"/>
          <w:rtl/>
          <w:lang w:bidi="ar-EG"/>
        </w:rPr>
        <w:t xml:space="preserve"> </w:t>
      </w:r>
      <w:r w:rsidR="004B4019">
        <w:rPr>
          <w:rFonts w:cs="Simplified Arabic" w:hint="cs"/>
          <w:snapToGrid w:val="0"/>
          <w:kern w:val="22"/>
          <w:sz w:val="18"/>
          <w:rtl/>
          <w:lang w:bidi="ar-EG"/>
        </w:rPr>
        <w:t xml:space="preserve">انظر </w:t>
      </w:r>
      <w:r w:rsidRPr="00163DD4">
        <w:rPr>
          <w:rFonts w:cs="Simplified Arabic"/>
          <w:sz w:val="18"/>
        </w:rPr>
        <w:t>CBD/COP/16/INF/10</w:t>
      </w:r>
      <w:r w:rsidR="004B4019">
        <w:rPr>
          <w:rFonts w:cs="Simplified Arabic" w:hint="cs"/>
          <w:snapToGrid w:val="0"/>
          <w:kern w:val="22"/>
          <w:sz w:val="18"/>
          <w:rtl/>
          <w:lang w:bidi="ar-EG"/>
        </w:rPr>
        <w:t xml:space="preserve"> و</w:t>
      </w:r>
      <w:r w:rsidR="004B4019">
        <w:rPr>
          <w:rFonts w:cs="Simplified Arabic"/>
          <w:snapToGrid w:val="0"/>
          <w:kern w:val="22"/>
          <w:sz w:val="18"/>
          <w:lang w:bidi="ar-EG"/>
        </w:rPr>
        <w:t>CBD/COP/16/12</w:t>
      </w:r>
      <w:r w:rsidR="004B4019">
        <w:rPr>
          <w:rFonts w:cs="Simplified Arabic" w:hint="cs"/>
          <w:snapToGrid w:val="0"/>
          <w:kern w:val="22"/>
          <w:sz w:val="18"/>
          <w:rtl/>
          <w:lang w:val="en-US" w:bidi="ar-EG"/>
        </w:rPr>
        <w:t>، على التوالي.</w:t>
      </w:r>
    </w:p>
  </w:footnote>
  <w:footnote w:id="3">
    <w:p w14:paraId="1BADDA81" w14:textId="77777777" w:rsidR="00FF361F" w:rsidRPr="00163DD4" w:rsidRDefault="00FF361F" w:rsidP="00FF361F">
      <w:pPr>
        <w:pStyle w:val="FootnoteText"/>
        <w:kinsoku w:val="0"/>
        <w:overflowPunct w:val="0"/>
        <w:autoSpaceDE w:val="0"/>
        <w:autoSpaceDN w:val="0"/>
        <w:bidi/>
        <w:adjustRightInd w:val="0"/>
        <w:snapToGrid w:val="0"/>
        <w:rPr>
          <w:rFonts w:cs="Simplified Arabic"/>
          <w:snapToGrid w:val="0"/>
          <w:kern w:val="22"/>
          <w:sz w:val="18"/>
          <w:rtl/>
          <w:lang w:bidi="ar-EG"/>
        </w:rPr>
      </w:pPr>
      <w:r w:rsidRPr="00163DD4">
        <w:rPr>
          <w:rFonts w:cs="Simplified Arabic"/>
          <w:snapToGrid w:val="0"/>
          <w:kern w:val="22"/>
          <w:sz w:val="18"/>
          <w:vertAlign w:val="superscript"/>
          <w:lang w:bidi="ar-EG"/>
        </w:rPr>
        <w:footnoteRef/>
      </w:r>
      <w:r w:rsidRPr="00163DD4">
        <w:rPr>
          <w:rFonts w:cs="Simplified Arabic" w:hint="cs"/>
          <w:snapToGrid w:val="0"/>
          <w:kern w:val="22"/>
          <w:sz w:val="18"/>
          <w:rtl/>
          <w:lang w:bidi="ar-EG"/>
        </w:rPr>
        <w:t xml:space="preserve"> </w:t>
      </w:r>
      <w:r w:rsidRPr="00163DD4">
        <w:rPr>
          <w:rFonts w:cs="Simplified Arabic" w:hint="cs"/>
          <w:sz w:val="18"/>
          <w:rtl/>
        </w:rPr>
        <w:t xml:space="preserve">الأمم المتحدة، </w:t>
      </w:r>
      <w:r w:rsidRPr="00163DD4">
        <w:rPr>
          <w:rFonts w:cs="Simplified Arabic" w:hint="cs"/>
          <w:i/>
          <w:iCs/>
          <w:sz w:val="18"/>
          <w:rtl/>
        </w:rPr>
        <w:t>مجموعة المعاهدات</w:t>
      </w:r>
      <w:r w:rsidRPr="00163DD4">
        <w:rPr>
          <w:rFonts w:cs="Simplified Arabic" w:hint="cs"/>
          <w:sz w:val="18"/>
          <w:rtl/>
        </w:rPr>
        <w:t>، المجلد 1760، الرقم 30619</w:t>
      </w:r>
      <w:r w:rsidRPr="00163DD4">
        <w:rPr>
          <w:rFonts w:cs="Simplified Arabic" w:hint="cs"/>
          <w:snapToGrid w:val="0"/>
          <w:kern w:val="22"/>
          <w:sz w:val="18"/>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73FCD" w14:textId="039F2FEB" w:rsidR="00FF361F" w:rsidRPr="00FE3580" w:rsidRDefault="003D0B61" w:rsidP="00FF361F">
    <w:pPr>
      <w:pBdr>
        <w:bottom w:val="single" w:sz="4" w:space="1" w:color="auto"/>
      </w:pBdr>
      <w:rPr>
        <w:rFonts w:eastAsia="SimSun"/>
        <w:sz w:val="20"/>
        <w:szCs w:val="20"/>
        <w:lang w:val="en-US" w:eastAsia="en-US"/>
      </w:rPr>
    </w:pPr>
    <w:sdt>
      <w:sdtPr>
        <w:rPr>
          <w:rFonts w:eastAsia="SimSun"/>
          <w:sz w:val="20"/>
          <w:szCs w:val="20"/>
          <w:lang w:val="en-US"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EndPr/>
      <w:sdtContent>
        <w:r w:rsidR="00FF361F" w:rsidRPr="00FE3580">
          <w:rPr>
            <w:rFonts w:eastAsia="SimSun"/>
            <w:sz w:val="20"/>
            <w:szCs w:val="20"/>
            <w:lang w:val="en-US" w:eastAsia="en-US"/>
          </w:rPr>
          <w:t>CBD/COP/16/WG.I/CRP.2</w:t>
        </w:r>
      </w:sdtContent>
    </w:sdt>
    <w:r w:rsidR="00FF361F">
      <w:rPr>
        <w:rFonts w:hint="cs"/>
        <w:sz w:val="22"/>
        <w:szCs w:val="22"/>
        <w:rtl/>
      </w:rPr>
      <w:t xml:space="preserve"> </w:t>
    </w:r>
  </w:p>
  <w:p w14:paraId="4E821533" w14:textId="77777777" w:rsidR="00FF361F" w:rsidRDefault="00FF3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2"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7"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69499237">
    <w:abstractNumId w:val="42"/>
  </w:num>
  <w:num w:numId="2" w16cid:durableId="2125145993">
    <w:abstractNumId w:val="21"/>
  </w:num>
  <w:num w:numId="3" w16cid:durableId="724136839">
    <w:abstractNumId w:val="39"/>
  </w:num>
  <w:num w:numId="4" w16cid:durableId="1577326863">
    <w:abstractNumId w:val="51"/>
  </w:num>
  <w:num w:numId="5" w16cid:durableId="369494526">
    <w:abstractNumId w:val="37"/>
  </w:num>
  <w:num w:numId="6" w16cid:durableId="857082655">
    <w:abstractNumId w:val="18"/>
  </w:num>
  <w:num w:numId="7" w16cid:durableId="71047960">
    <w:abstractNumId w:val="23"/>
  </w:num>
  <w:num w:numId="8" w16cid:durableId="731806993">
    <w:abstractNumId w:val="49"/>
  </w:num>
  <w:num w:numId="9" w16cid:durableId="283390768">
    <w:abstractNumId w:val="26"/>
  </w:num>
  <w:num w:numId="10" w16cid:durableId="672534296">
    <w:abstractNumId w:val="45"/>
  </w:num>
  <w:num w:numId="11" w16cid:durableId="16279842">
    <w:abstractNumId w:val="19"/>
  </w:num>
  <w:num w:numId="12" w16cid:durableId="623534849">
    <w:abstractNumId w:val="27"/>
  </w:num>
  <w:num w:numId="13" w16cid:durableId="51127667">
    <w:abstractNumId w:val="34"/>
  </w:num>
  <w:num w:numId="14" w16cid:durableId="747118760">
    <w:abstractNumId w:val="11"/>
  </w:num>
  <w:num w:numId="15" w16cid:durableId="13307160">
    <w:abstractNumId w:val="30"/>
  </w:num>
  <w:num w:numId="16" w16cid:durableId="2039119610">
    <w:abstractNumId w:val="29"/>
  </w:num>
  <w:num w:numId="17" w16cid:durableId="1174414072">
    <w:abstractNumId w:val="4"/>
  </w:num>
  <w:num w:numId="18" w16cid:durableId="1528060245">
    <w:abstractNumId w:val="5"/>
  </w:num>
  <w:num w:numId="19" w16cid:durableId="512182695">
    <w:abstractNumId w:val="2"/>
  </w:num>
  <w:num w:numId="20" w16cid:durableId="954407705">
    <w:abstractNumId w:val="14"/>
  </w:num>
  <w:num w:numId="21" w16cid:durableId="466510869">
    <w:abstractNumId w:val="40"/>
  </w:num>
  <w:num w:numId="22" w16cid:durableId="76557253">
    <w:abstractNumId w:val="12"/>
  </w:num>
  <w:num w:numId="23" w16cid:durableId="2107769625">
    <w:abstractNumId w:val="46"/>
  </w:num>
  <w:num w:numId="24" w16cid:durableId="1227452043">
    <w:abstractNumId w:val="9"/>
  </w:num>
  <w:num w:numId="25" w16cid:durableId="895435939">
    <w:abstractNumId w:val="22"/>
  </w:num>
  <w:num w:numId="26" w16cid:durableId="1208033846">
    <w:abstractNumId w:val="44"/>
  </w:num>
  <w:num w:numId="27" w16cid:durableId="1867593183">
    <w:abstractNumId w:val="16"/>
  </w:num>
  <w:num w:numId="28" w16cid:durableId="1379818613">
    <w:abstractNumId w:val="7"/>
  </w:num>
  <w:num w:numId="29" w16cid:durableId="1200512935">
    <w:abstractNumId w:val="38"/>
  </w:num>
  <w:num w:numId="30" w16cid:durableId="1272082482">
    <w:abstractNumId w:val="6"/>
  </w:num>
  <w:num w:numId="31" w16cid:durableId="129787196">
    <w:abstractNumId w:val="15"/>
  </w:num>
  <w:num w:numId="32" w16cid:durableId="607741289">
    <w:abstractNumId w:val="13"/>
  </w:num>
  <w:num w:numId="33" w16cid:durableId="1919754931">
    <w:abstractNumId w:val="0"/>
  </w:num>
  <w:num w:numId="34" w16cid:durableId="1979147323">
    <w:abstractNumId w:val="25"/>
  </w:num>
  <w:num w:numId="35" w16cid:durableId="923684860">
    <w:abstractNumId w:val="41"/>
  </w:num>
  <w:num w:numId="36" w16cid:durableId="2069648884">
    <w:abstractNumId w:val="8"/>
  </w:num>
  <w:num w:numId="37" w16cid:durableId="929851595">
    <w:abstractNumId w:val="31"/>
  </w:num>
  <w:num w:numId="38" w16cid:durableId="616444858">
    <w:abstractNumId w:val="43"/>
  </w:num>
  <w:num w:numId="39" w16cid:durableId="116339442">
    <w:abstractNumId w:val="48"/>
  </w:num>
  <w:num w:numId="40" w16cid:durableId="50883838">
    <w:abstractNumId w:val="3"/>
  </w:num>
  <w:num w:numId="41" w16cid:durableId="1489858311">
    <w:abstractNumId w:val="35"/>
  </w:num>
  <w:num w:numId="42" w16cid:durableId="735784671">
    <w:abstractNumId w:val="20"/>
  </w:num>
  <w:num w:numId="43" w16cid:durableId="1253393360">
    <w:abstractNumId w:val="1"/>
  </w:num>
  <w:num w:numId="44" w16cid:durableId="1645742719">
    <w:abstractNumId w:val="17"/>
  </w:num>
  <w:num w:numId="45" w16cid:durableId="2112628620">
    <w:abstractNumId w:val="28"/>
  </w:num>
  <w:num w:numId="46" w16cid:durableId="830800688">
    <w:abstractNumId w:val="50"/>
  </w:num>
  <w:num w:numId="47" w16cid:durableId="890265141">
    <w:abstractNumId w:val="32"/>
  </w:num>
  <w:num w:numId="48" w16cid:durableId="1342971475">
    <w:abstractNumId w:val="10"/>
  </w:num>
  <w:num w:numId="49" w16cid:durableId="1673727249">
    <w:abstractNumId w:val="36"/>
  </w:num>
  <w:num w:numId="50" w16cid:durableId="515458601">
    <w:abstractNumId w:val="47"/>
  </w:num>
  <w:num w:numId="51" w16cid:durableId="612445741">
    <w:abstractNumId w:val="33"/>
  </w:num>
  <w:num w:numId="52" w16cid:durableId="1898319367">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CE4"/>
    <w:rsid w:val="00004421"/>
    <w:rsid w:val="00004DD2"/>
    <w:rsid w:val="0000518D"/>
    <w:rsid w:val="00005A8D"/>
    <w:rsid w:val="000070CC"/>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C8B"/>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3905"/>
    <w:rsid w:val="000F3A16"/>
    <w:rsid w:val="000F4451"/>
    <w:rsid w:val="000F5F4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3C2"/>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0E13"/>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0B61"/>
    <w:rsid w:val="003D1B59"/>
    <w:rsid w:val="003D22BC"/>
    <w:rsid w:val="003D343F"/>
    <w:rsid w:val="003D46F4"/>
    <w:rsid w:val="003D5990"/>
    <w:rsid w:val="003D5E49"/>
    <w:rsid w:val="003D754B"/>
    <w:rsid w:val="003E00AC"/>
    <w:rsid w:val="003E0848"/>
    <w:rsid w:val="003E093A"/>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4019"/>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C3"/>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897"/>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177F"/>
    <w:rsid w:val="006031B6"/>
    <w:rsid w:val="00603268"/>
    <w:rsid w:val="00603B5B"/>
    <w:rsid w:val="00604C91"/>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27E4A"/>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6F53BD"/>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40A1"/>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6C3B"/>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110"/>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6F6"/>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6B6F"/>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0FA2"/>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7BC"/>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05B4"/>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22E8"/>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407"/>
    <w:rsid w:val="00FA3962"/>
    <w:rsid w:val="00FA3BD0"/>
    <w:rsid w:val="00FA4868"/>
    <w:rsid w:val="00FA5EBF"/>
    <w:rsid w:val="00FA64C1"/>
    <w:rsid w:val="00FA672B"/>
    <w:rsid w:val="00FA7558"/>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580"/>
    <w:rsid w:val="00FE3700"/>
    <w:rsid w:val="00FE3F4E"/>
    <w:rsid w:val="00FE4AC5"/>
    <w:rsid w:val="00FE4EC8"/>
    <w:rsid w:val="00FE63AA"/>
    <w:rsid w:val="00FF3214"/>
    <w:rsid w:val="00FF361F"/>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B9E2D"/>
  <w15:docId w15:val="{303B202A-A19C-4A2A-A85E-2133D281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styleId="UnresolvedMention">
    <w:name w:val="Unresolved Mention"/>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styleId="Mention">
    <w:name w:val="Mention"/>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21-ar.pdf"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FA0C3-4908-483D-B151-B145480A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CBD/COP/16/WG.I/CRP.2</dc:subject>
  <dc:creator>SCBD</dc:creator>
  <cp:lastModifiedBy>Mohamed El Sehemawi</cp:lastModifiedBy>
  <cp:revision>5</cp:revision>
  <cp:lastPrinted>2024-11-25T12:20:00Z</cp:lastPrinted>
  <dcterms:created xsi:type="dcterms:W3CDTF">2024-11-25T12:19:00Z</dcterms:created>
  <dcterms:modified xsi:type="dcterms:W3CDTF">2024-11-25T12:39:00Z</dcterms:modified>
</cp:coreProperties>
</file>