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933"/>
        <w:gridCol w:w="5627"/>
      </w:tblGrid>
      <w:tr w:rsidR="00A96B21" w:rsidRPr="00D878F6" w14:paraId="6FBA1655" w14:textId="77777777" w:rsidTr="00B60E5F">
        <w:trPr>
          <w:trHeight w:val="851"/>
        </w:trPr>
        <w:tc>
          <w:tcPr>
            <w:tcW w:w="465" w:type="pct"/>
            <w:tcBorders>
              <w:bottom w:val="single" w:sz="8" w:space="0" w:color="auto"/>
            </w:tcBorders>
            <w:vAlign w:val="bottom"/>
          </w:tcPr>
          <w:p w14:paraId="050F0FC7" w14:textId="77777777" w:rsidR="00A96B21" w:rsidRPr="00550DCE" w:rsidRDefault="00A96B21" w:rsidP="00B60E5F">
            <w:pPr>
              <w:spacing w:after="120"/>
              <w:jc w:val="left"/>
            </w:pPr>
            <w:bookmarkStart w:id="0" w:name="_Hlk137651738"/>
            <w:r>
              <w:rPr>
                <w:noProof/>
                <w:lang w:val="fr-FR" w:eastAsia="fr-FR"/>
              </w:rPr>
              <w:drawing>
                <wp:inline distT="0" distB="0" distL="0" distR="0" wp14:anchorId="528C24D1" wp14:editId="656D4349">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2DDD0283" w14:textId="21BE0D8B" w:rsidR="00A96B21" w:rsidRPr="00550DCE" w:rsidRDefault="00D878F6" w:rsidP="00B60E5F">
            <w:pPr>
              <w:spacing w:after="120"/>
              <w:jc w:val="left"/>
            </w:pPr>
            <w:r w:rsidRPr="00D878F6">
              <w:rPr>
                <w:noProof/>
                <w:lang w:val="fr-FR" w:eastAsia="fr-FR"/>
              </w:rPr>
              <w:drawing>
                <wp:inline distT="0" distB="0" distL="0" distR="0" wp14:anchorId="131A6491" wp14:editId="7690C4B2">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703" w:type="pct"/>
            <w:tcBorders>
              <w:bottom w:val="single" w:sz="8" w:space="0" w:color="auto"/>
            </w:tcBorders>
            <w:vAlign w:val="bottom"/>
          </w:tcPr>
          <w:p w14:paraId="12B61E6E" w14:textId="437B9720" w:rsidR="00A96B21" w:rsidRPr="00D878F6" w:rsidRDefault="00A57CC0" w:rsidP="00D9583A">
            <w:pPr>
              <w:spacing w:after="120"/>
              <w:ind w:left="2021"/>
              <w:jc w:val="right"/>
              <w:rPr>
                <w:szCs w:val="22"/>
                <w:lang w:val="en-CA"/>
              </w:rPr>
            </w:pPr>
            <w:r w:rsidRPr="00AB7244">
              <w:fldChar w:fldCharType="begin"/>
            </w:r>
            <w:r w:rsidRPr="00AB7244">
              <w:rPr>
                <w:sz w:val="22"/>
                <w:szCs w:val="22"/>
              </w:rPr>
              <w:instrText xml:space="preserve"> DOCPROPERTY Subject \* MERGEFORMAT </w:instrText>
            </w:r>
            <w:r w:rsidRPr="00AB7244">
              <w:fldChar w:fldCharType="separate"/>
            </w:r>
            <w:r w:rsidRPr="00AB7244">
              <w:rPr>
                <w:sz w:val="40"/>
                <w:szCs w:val="40"/>
              </w:rPr>
              <w:t>CBD</w:t>
            </w:r>
            <w:r w:rsidRPr="00AB7244">
              <w:rPr>
                <w:sz w:val="22"/>
                <w:szCs w:val="22"/>
              </w:rPr>
              <w:t>/COP/DEC/16/23</w:t>
            </w:r>
            <w:r w:rsidRPr="00AB7244">
              <w:fldChar w:fldCharType="end"/>
            </w:r>
          </w:p>
        </w:tc>
      </w:tr>
      <w:tr w:rsidR="00A96B21" w:rsidRPr="00EA442C" w14:paraId="1CA08A60" w14:textId="77777777" w:rsidTr="00B60E5F">
        <w:tc>
          <w:tcPr>
            <w:tcW w:w="2297" w:type="pct"/>
            <w:gridSpan w:val="2"/>
            <w:tcBorders>
              <w:top w:val="single" w:sz="8" w:space="0" w:color="auto"/>
              <w:bottom w:val="single" w:sz="12" w:space="0" w:color="auto"/>
            </w:tcBorders>
          </w:tcPr>
          <w:p w14:paraId="50F7B9CF" w14:textId="21BE510E" w:rsidR="00A96B21" w:rsidRPr="00550DCE" w:rsidRDefault="00D878F6" w:rsidP="00B60E5F">
            <w:pPr>
              <w:pStyle w:val="Cornernotation"/>
              <w:suppressLineNumbers/>
              <w:suppressAutoHyphens/>
              <w:spacing w:before="120" w:after="120"/>
              <w:ind w:left="0" w:right="0" w:firstLine="0"/>
            </w:pPr>
            <w:r w:rsidRPr="0049796C">
              <w:rPr>
                <w:noProof/>
                <w:lang w:val="fr-FR" w:eastAsia="fr-FR"/>
              </w:rPr>
              <w:drawing>
                <wp:inline distT="0" distB="0" distL="0" distR="0" wp14:anchorId="1D385C55" wp14:editId="163ADEFB">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4AA008A6" w14:textId="597027D2" w:rsidR="00A96B21" w:rsidRPr="003C6F10" w:rsidRDefault="00A96B21" w:rsidP="003C6F10">
            <w:pPr>
              <w:ind w:left="2584"/>
              <w:rPr>
                <w:sz w:val="22"/>
                <w:szCs w:val="22"/>
              </w:rPr>
            </w:pPr>
            <w:r>
              <w:rPr>
                <w:sz w:val="22"/>
                <w:szCs w:val="22"/>
              </w:rPr>
              <w:t>Distr.</w:t>
            </w:r>
            <w:r w:rsidR="00D878F6">
              <w:rPr>
                <w:sz w:val="22"/>
                <w:szCs w:val="22"/>
              </w:rPr>
              <w:t> </w:t>
            </w:r>
            <w:r>
              <w:rPr>
                <w:sz w:val="22"/>
                <w:szCs w:val="22"/>
              </w:rPr>
              <w:t xml:space="preserve">: </w:t>
            </w:r>
            <w:r w:rsidR="002B0C08" w:rsidRPr="002B0C08">
              <w:rPr>
                <w:sz w:val="22"/>
                <w:szCs w:val="22"/>
              </w:rPr>
              <w:t>Générale</w:t>
            </w:r>
          </w:p>
          <w:p w14:paraId="7878A8F6" w14:textId="545ACDB9" w:rsidR="00A96B21" w:rsidRPr="003C6F10" w:rsidRDefault="00D9583A" w:rsidP="003C6F10">
            <w:pPr>
              <w:ind w:left="2584"/>
              <w:rPr>
                <w:sz w:val="22"/>
                <w:szCs w:val="22"/>
              </w:rPr>
            </w:pPr>
            <w:r>
              <w:rPr>
                <w:sz w:val="22"/>
                <w:szCs w:val="22"/>
              </w:rPr>
              <w:t>1</w:t>
            </w:r>
            <w:r w:rsidRPr="00D9583A">
              <w:rPr>
                <w:sz w:val="22"/>
                <w:szCs w:val="22"/>
                <w:vertAlign w:val="superscript"/>
              </w:rPr>
              <w:t>er</w:t>
            </w:r>
            <w:r>
              <w:rPr>
                <w:sz w:val="22"/>
                <w:szCs w:val="22"/>
              </w:rPr>
              <w:t> novembre</w:t>
            </w:r>
            <w:r w:rsidR="00BB60F0">
              <w:rPr>
                <w:sz w:val="22"/>
                <w:szCs w:val="22"/>
              </w:rPr>
              <w:t xml:space="preserve"> 2024</w:t>
            </w:r>
          </w:p>
          <w:p w14:paraId="47F6CB58" w14:textId="26D8C83A" w:rsidR="00A96B21" w:rsidRPr="003C6F10" w:rsidRDefault="00D878F6" w:rsidP="003C6F10">
            <w:pPr>
              <w:ind w:left="2584"/>
              <w:rPr>
                <w:sz w:val="22"/>
                <w:szCs w:val="22"/>
              </w:rPr>
            </w:pPr>
            <w:r>
              <w:rPr>
                <w:sz w:val="22"/>
                <w:szCs w:val="22"/>
              </w:rPr>
              <w:t>Français</w:t>
            </w:r>
          </w:p>
          <w:p w14:paraId="61E3D10C" w14:textId="639BFD05" w:rsidR="00A96B21" w:rsidRPr="003C6F10" w:rsidRDefault="00A96B21" w:rsidP="003C6F10">
            <w:pPr>
              <w:ind w:left="2584"/>
              <w:rPr>
                <w:sz w:val="22"/>
                <w:szCs w:val="22"/>
              </w:rPr>
            </w:pPr>
            <w:r>
              <w:rPr>
                <w:sz w:val="22"/>
                <w:szCs w:val="22"/>
              </w:rPr>
              <w:t xml:space="preserve">Original : </w:t>
            </w:r>
            <w:r w:rsidR="00D878F6">
              <w:rPr>
                <w:sz w:val="22"/>
                <w:szCs w:val="22"/>
              </w:rPr>
              <w:t>a</w:t>
            </w:r>
            <w:r>
              <w:rPr>
                <w:sz w:val="22"/>
                <w:szCs w:val="22"/>
              </w:rPr>
              <w:t>nglais</w:t>
            </w:r>
          </w:p>
          <w:p w14:paraId="7BD7B0A4" w14:textId="77777777" w:rsidR="00A96B21" w:rsidRPr="00550DCE" w:rsidRDefault="00A96B21" w:rsidP="00B60E5F"/>
        </w:tc>
      </w:tr>
    </w:tbl>
    <w:p w14:paraId="55E95605" w14:textId="77777777" w:rsidR="00874541" w:rsidRDefault="00A00234" w:rsidP="00A00234">
      <w:pPr>
        <w:pStyle w:val="Cornernotation"/>
        <w:ind w:left="0" w:right="5249" w:firstLine="0"/>
        <w:rPr>
          <w:bCs/>
        </w:rPr>
      </w:pPr>
      <w:r>
        <w:t>Conférence des Parties à la Convention sur la diversité biologique</w:t>
      </w:r>
    </w:p>
    <w:p w14:paraId="7395F327" w14:textId="77777777" w:rsidR="00A96B21" w:rsidRDefault="00A00234" w:rsidP="00A96B21">
      <w:pPr>
        <w:pStyle w:val="Cornernotation"/>
        <w:rPr>
          <w:bCs/>
          <w:sz w:val="22"/>
        </w:rPr>
      </w:pPr>
      <w:r>
        <w:rPr>
          <w:bCs/>
          <w:sz w:val="22"/>
        </w:rPr>
        <w:t xml:space="preserve">Seizième réunion </w:t>
      </w:r>
    </w:p>
    <w:p w14:paraId="5A9E0A3D" w14:textId="3BC9910E" w:rsidR="00A96B21" w:rsidRPr="00935461" w:rsidRDefault="00A00234" w:rsidP="00A96B21">
      <w:pPr>
        <w:pStyle w:val="Venuedate"/>
      </w:pPr>
      <w:r>
        <w:t>Cali (Colombie), 21</w:t>
      </w:r>
      <w:r w:rsidR="00D878F6">
        <w:t> </w:t>
      </w:r>
      <w:r>
        <w:t>octobre au 1</w:t>
      </w:r>
      <w:r>
        <w:rPr>
          <w:vertAlign w:val="superscript"/>
        </w:rPr>
        <w:t>er</w:t>
      </w:r>
      <w:r w:rsidR="00D878F6">
        <w:rPr>
          <w:vertAlign w:val="superscript"/>
        </w:rPr>
        <w:t> </w:t>
      </w:r>
      <w:r>
        <w:t>novembre 2024</w:t>
      </w:r>
    </w:p>
    <w:p w14:paraId="7BFBB5BA" w14:textId="26BCCE9B" w:rsidR="00A96B21" w:rsidRDefault="00FE0B22" w:rsidP="00A96B21">
      <w:pPr>
        <w:pStyle w:val="Cornernotation-Item"/>
        <w:rPr>
          <w:b w:val="0"/>
          <w:bCs w:val="0"/>
        </w:rPr>
      </w:pPr>
      <w:r>
        <w:rPr>
          <w:b w:val="0"/>
          <w:bCs w:val="0"/>
        </w:rPr>
        <w:t>Point</w:t>
      </w:r>
      <w:r w:rsidR="00D878F6">
        <w:rPr>
          <w:b w:val="0"/>
          <w:bCs w:val="0"/>
        </w:rPr>
        <w:t> </w:t>
      </w:r>
      <w:r>
        <w:rPr>
          <w:b w:val="0"/>
          <w:bCs w:val="0"/>
        </w:rPr>
        <w:t>26 de l’ordre du jour</w:t>
      </w:r>
    </w:p>
    <w:p w14:paraId="02778C2C" w14:textId="1C754EDA" w:rsidR="00A96B21" w:rsidRPr="00D9583A" w:rsidRDefault="00F735C4" w:rsidP="00D9583A">
      <w:pPr>
        <w:pStyle w:val="Cornernotation-Item"/>
      </w:pPr>
      <w:r>
        <w:t>Responsabilité et réparation (paragraphe</w:t>
      </w:r>
      <w:r w:rsidR="00D878F6">
        <w:t> </w:t>
      </w:r>
      <w:r>
        <w:t>2 de l’article</w:t>
      </w:r>
      <w:r w:rsidR="00D878F6">
        <w:t> </w:t>
      </w:r>
      <w:r>
        <w:t>14)</w:t>
      </w:r>
    </w:p>
    <w:bookmarkEnd w:id="0"/>
    <w:p w14:paraId="738A3667" w14:textId="003372A5" w:rsidR="00A96B21" w:rsidRDefault="00A57CC0" w:rsidP="001454DA">
      <w:pPr>
        <w:pStyle w:val="CBDSubTitle"/>
      </w:pPr>
      <w:r w:rsidRPr="00A57CC0">
        <w:rPr>
          <w:sz w:val="28"/>
          <w:szCs w:val="28"/>
        </w:rPr>
        <w:t>Décision adoptée par la Conférence des Parties à la Convention sur la diversité biologique le 1</w:t>
      </w:r>
      <w:r w:rsidRPr="00A57CC0">
        <w:rPr>
          <w:sz w:val="28"/>
          <w:szCs w:val="28"/>
          <w:vertAlign w:val="superscript"/>
        </w:rPr>
        <w:t xml:space="preserve">er </w:t>
      </w:r>
      <w:r w:rsidRPr="00A57CC0">
        <w:rPr>
          <w:sz w:val="28"/>
          <w:szCs w:val="28"/>
        </w:rPr>
        <w:t xml:space="preserve">novembre 2024 </w:t>
      </w:r>
    </w:p>
    <w:p w14:paraId="58EDAF2A" w14:textId="303833C1" w:rsidR="00A57CC0" w:rsidRDefault="00A57CC0" w:rsidP="00A57CC0">
      <w:pPr>
        <w:pStyle w:val="CBDH2"/>
      </w:pPr>
      <w:r>
        <w:tab/>
      </w:r>
      <w:r w:rsidRPr="00AB7244">
        <w:t>16/23.</w:t>
      </w:r>
      <w:r>
        <w:tab/>
      </w:r>
      <w:r w:rsidRPr="00A57CC0">
        <w:t>Responsabilité et réparation (article 14, paragraphe 2)</w:t>
      </w:r>
    </w:p>
    <w:p w14:paraId="232CBD6D" w14:textId="77777777" w:rsidR="00B10D0D" w:rsidRPr="00BF1901" w:rsidRDefault="00B10D0D" w:rsidP="00B10D0D">
      <w:pPr>
        <w:pStyle w:val="Para1"/>
        <w:numPr>
          <w:ilvl w:val="0"/>
          <w:numId w:val="0"/>
        </w:numPr>
        <w:ind w:left="567" w:firstLine="567"/>
        <w:rPr>
          <w:i/>
          <w:iCs/>
        </w:rPr>
      </w:pPr>
      <w:r>
        <w:rPr>
          <w:i/>
          <w:iCs/>
        </w:rPr>
        <w:t>La Conférence des Parties,</w:t>
      </w:r>
    </w:p>
    <w:p w14:paraId="066BC3AF" w14:textId="195E2750" w:rsidR="00B10D0D" w:rsidRPr="00F070CE" w:rsidRDefault="00B10D0D" w:rsidP="00B10D0D">
      <w:pPr>
        <w:pStyle w:val="Para1"/>
        <w:numPr>
          <w:ilvl w:val="0"/>
          <w:numId w:val="0"/>
        </w:numPr>
        <w:tabs>
          <w:tab w:val="clear" w:pos="1134"/>
        </w:tabs>
        <w:ind w:left="567" w:firstLine="567"/>
      </w:pPr>
      <w:r>
        <w:rPr>
          <w:i/>
          <w:iCs/>
        </w:rPr>
        <w:t xml:space="preserve">Rappelant </w:t>
      </w:r>
      <w:r>
        <w:t>sa décision 14/21 du 29</w:t>
      </w:r>
      <w:r w:rsidR="00D878F6">
        <w:t> </w:t>
      </w:r>
      <w:r>
        <w:t>novembre 2018,</w:t>
      </w:r>
    </w:p>
    <w:p w14:paraId="6F3ED62E" w14:textId="47F5C11C" w:rsidR="00B10D0D" w:rsidRPr="00F070CE" w:rsidRDefault="00B10D0D" w:rsidP="00B10D0D">
      <w:pPr>
        <w:pStyle w:val="Para1"/>
        <w:numPr>
          <w:ilvl w:val="0"/>
          <w:numId w:val="0"/>
        </w:numPr>
        <w:tabs>
          <w:tab w:val="clear" w:pos="1134"/>
        </w:tabs>
        <w:ind w:left="567" w:firstLine="567"/>
      </w:pPr>
      <w:r>
        <w:rPr>
          <w:i/>
          <w:iCs/>
        </w:rPr>
        <w:t xml:space="preserve">Rappelant également </w:t>
      </w:r>
      <w:r>
        <w:t>le Cadre mondial de la biodiversité de Kunming-Montréal</w:t>
      </w:r>
      <w:r>
        <w:rPr>
          <w:rStyle w:val="FootnoteReference"/>
        </w:rPr>
        <w:footnoteReference w:id="1"/>
      </w:r>
      <w:r>
        <w:t xml:space="preserve">, </w:t>
      </w:r>
      <w:r w:rsidR="005F2705" w:rsidRPr="005F2705">
        <w:t>qui prévoyait notamment de prendre d'urgence des mesures visant à mettre un terme à la perte de biodiversité et à en inverser la tendance</w:t>
      </w:r>
      <w:r w:rsidR="00D9583A">
        <w:t>,</w:t>
      </w:r>
    </w:p>
    <w:p w14:paraId="58AB9919" w14:textId="51BB8E58" w:rsidR="00B10D0D" w:rsidRPr="00F070CE" w:rsidRDefault="00B10D0D" w:rsidP="00B10D0D">
      <w:pPr>
        <w:pStyle w:val="Para1"/>
        <w:numPr>
          <w:ilvl w:val="0"/>
          <w:numId w:val="0"/>
        </w:numPr>
        <w:tabs>
          <w:tab w:val="clear" w:pos="1134"/>
        </w:tabs>
        <w:ind w:left="567" w:firstLine="567"/>
      </w:pPr>
      <w:r>
        <w:rPr>
          <w:i/>
          <w:iCs/>
        </w:rPr>
        <w:t xml:space="preserve">Notant </w:t>
      </w:r>
      <w:r>
        <w:t>qu’il ressort de la synthèse des communications et des informations sur les évolutions récentes relatives à la responsabilité et à la réparation des dommages causés à l’environnement en général et à la biodiversité en particulier, présentée à la seizième réunion de la Conférence des Parties</w:t>
      </w:r>
      <w:r>
        <w:rPr>
          <w:rStyle w:val="FootnoteReference"/>
        </w:rPr>
        <w:footnoteReference w:id="2"/>
      </w:r>
      <w:r>
        <w:t>, que les Parties sont de plus en plus conscientes de la nécessité d’adopter et de mettre en œuvre des politiques et des mesures juridiques ou administratives appropriées pour éviter ou atténuer de tels dommages,</w:t>
      </w:r>
    </w:p>
    <w:p w14:paraId="4A1D2D9F" w14:textId="611851AC" w:rsidR="00B10D0D" w:rsidRPr="00F070CE" w:rsidRDefault="00B10D0D" w:rsidP="00B10D0D">
      <w:pPr>
        <w:pStyle w:val="Para1"/>
        <w:numPr>
          <w:ilvl w:val="0"/>
          <w:numId w:val="0"/>
        </w:numPr>
        <w:tabs>
          <w:tab w:val="clear" w:pos="1134"/>
        </w:tabs>
        <w:ind w:left="567" w:firstLine="567"/>
      </w:pPr>
      <w:r>
        <w:t>1.</w:t>
      </w:r>
      <w:r>
        <w:rPr>
          <w:i/>
          <w:iCs/>
        </w:rPr>
        <w:tab/>
        <w:t xml:space="preserve">Invite </w:t>
      </w:r>
      <w:r>
        <w:t xml:space="preserve">les Parties à continuer </w:t>
      </w:r>
      <w:r w:rsidR="00A57CC0">
        <w:t>de</w:t>
      </w:r>
      <w:r>
        <w:t xml:space="preserve"> prendre des mesures appropriées pour remédier aux dommages causés à la biodiversité, y compris des mesures d’intervention</w:t>
      </w:r>
      <w:r w:rsidR="00D9583A">
        <w:t>,</w:t>
      </w:r>
      <w:r w:rsidR="00D9583A" w:rsidRPr="00D9583A">
        <w:t xml:space="preserve"> conformément aux obligations internationales pertinentes</w:t>
      </w:r>
      <w:r w:rsidR="00D9583A">
        <w:t> </w:t>
      </w:r>
      <w:r>
        <w:t>;</w:t>
      </w:r>
    </w:p>
    <w:p w14:paraId="5C6C08EC" w14:textId="38D1844C" w:rsidR="00B10D0D" w:rsidRPr="00F070CE" w:rsidRDefault="00B10D0D" w:rsidP="00B10D0D">
      <w:pPr>
        <w:pStyle w:val="Para1"/>
        <w:numPr>
          <w:ilvl w:val="0"/>
          <w:numId w:val="0"/>
        </w:numPr>
        <w:tabs>
          <w:tab w:val="clear" w:pos="1134"/>
        </w:tabs>
        <w:ind w:left="567" w:firstLine="567"/>
        <w:rPr>
          <w:i/>
          <w:iCs/>
        </w:rPr>
      </w:pPr>
      <w:r>
        <w:t>2.</w:t>
      </w:r>
      <w:r>
        <w:rPr>
          <w:i/>
          <w:iCs/>
        </w:rPr>
        <w:tab/>
        <w:t xml:space="preserve">Décide </w:t>
      </w:r>
      <w:r>
        <w:t>d’examiner la question de la responsabilité et de la réparation dans le contexte du paragraphe 2 de l’article</w:t>
      </w:r>
      <w:r w:rsidR="00D878F6">
        <w:t> </w:t>
      </w:r>
      <w:r>
        <w:t>14 de la Convention sur la diversité biologique</w:t>
      </w:r>
      <w:r>
        <w:rPr>
          <w:rStyle w:val="FootnoteReference"/>
        </w:rPr>
        <w:footnoteReference w:id="3"/>
      </w:r>
      <w:r>
        <w:t xml:space="preserve"> à sa dix-huitième réunion, en tenant compte des informations sur les faits nouveaux pertinents, y compris les progrès réalisés dans la mise en œuvre du Cadre mondial de la diversité biologique de Kunming-Montréal.</w:t>
      </w:r>
    </w:p>
    <w:p w14:paraId="708CBA56" w14:textId="77777777" w:rsidR="00537248" w:rsidRPr="00537248" w:rsidRDefault="00537248" w:rsidP="00D974DB">
      <w:pPr>
        <w:pStyle w:val="Para2"/>
        <w:ind w:left="0"/>
      </w:pPr>
    </w:p>
    <w:p w14:paraId="61D564E2" w14:textId="77777777" w:rsidR="002B559C" w:rsidRPr="004701EE" w:rsidRDefault="00ED3849" w:rsidP="00491057">
      <w:pPr>
        <w:pStyle w:val="Para1"/>
        <w:numPr>
          <w:ilvl w:val="0"/>
          <w:numId w:val="0"/>
        </w:numPr>
        <w:ind w:left="567"/>
        <w:jc w:val="center"/>
      </w:pPr>
      <w:r>
        <w:t>__________</w:t>
      </w:r>
    </w:p>
    <w:sectPr w:rsidR="002B559C" w:rsidRPr="004701EE" w:rsidSect="001662BF">
      <w:headerReference w:type="even" r:id="rId13"/>
      <w:headerReference w:type="default" r:id="rId14"/>
      <w:footerReference w:type="even" r:id="rId15"/>
      <w:footerReference w:type="default" r:id="rId16"/>
      <w:headerReference w:type="first" r:id="rId1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F3608" w14:textId="77777777" w:rsidR="006F5EC0" w:rsidRDefault="006F5EC0" w:rsidP="00A96B21">
      <w:r>
        <w:separator/>
      </w:r>
    </w:p>
  </w:endnote>
  <w:endnote w:type="continuationSeparator" w:id="0">
    <w:p w14:paraId="03D8C345" w14:textId="77777777" w:rsidR="006F5EC0" w:rsidRDefault="006F5EC0" w:rsidP="00A9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2CA5F5C" w14:textId="77777777" w:rsidR="002B559C" w:rsidRDefault="002B559C">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szCs w:val="20"/>
              </w:rPr>
              <w:t>2</w:t>
            </w:r>
            <w:r w:rsidRPr="002B559C">
              <w:rPr>
                <w:szCs w:val="20"/>
              </w:rPr>
              <w:fldChar w:fldCharType="end"/>
            </w:r>
            <w:r>
              <w:t>/</w:t>
            </w:r>
            <w:r w:rsidRPr="002B559C">
              <w:rPr>
                <w:szCs w:val="20"/>
              </w:rPr>
              <w:fldChar w:fldCharType="begin"/>
            </w:r>
            <w:r w:rsidRPr="002B559C">
              <w:rPr>
                <w:szCs w:val="20"/>
              </w:rPr>
              <w:instrText xml:space="preserve"> NUMPAGES  </w:instrText>
            </w:r>
            <w:r w:rsidRPr="002B559C">
              <w:rPr>
                <w:szCs w:val="20"/>
              </w:rPr>
              <w:fldChar w:fldCharType="separate"/>
            </w:r>
            <w:r w:rsidRPr="002B559C">
              <w:rPr>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431A3D35" w14:textId="77777777" w:rsidR="002B559C" w:rsidRDefault="002B559C"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szCs w:val="20"/>
              </w:rPr>
              <w:t>2</w:t>
            </w:r>
            <w:r w:rsidRPr="002B559C">
              <w:rPr>
                <w:szCs w:val="20"/>
              </w:rPr>
              <w:fldChar w:fldCharType="end"/>
            </w:r>
            <w:r>
              <w:t>/</w:t>
            </w:r>
            <w:r w:rsidRPr="002B559C">
              <w:rPr>
                <w:szCs w:val="20"/>
              </w:rPr>
              <w:fldChar w:fldCharType="begin"/>
            </w:r>
            <w:r w:rsidRPr="002B559C">
              <w:rPr>
                <w:szCs w:val="20"/>
              </w:rPr>
              <w:instrText xml:space="preserve"> NUMPAGES  </w:instrText>
            </w:r>
            <w:r w:rsidRPr="002B559C">
              <w:rPr>
                <w:szCs w:val="20"/>
              </w:rPr>
              <w:fldChar w:fldCharType="separate"/>
            </w:r>
            <w:r w:rsidRPr="002B559C">
              <w:rPr>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D5E73" w14:textId="77777777" w:rsidR="006F5EC0" w:rsidRDefault="006F5EC0" w:rsidP="00A96B21">
      <w:r>
        <w:separator/>
      </w:r>
    </w:p>
  </w:footnote>
  <w:footnote w:type="continuationSeparator" w:id="0">
    <w:p w14:paraId="26016C77" w14:textId="77777777" w:rsidR="006F5EC0" w:rsidRDefault="006F5EC0" w:rsidP="00A96B21">
      <w:r>
        <w:continuationSeparator/>
      </w:r>
    </w:p>
  </w:footnote>
  <w:footnote w:id="1">
    <w:p w14:paraId="379F2F9C" w14:textId="515F4C6D" w:rsidR="00B10D0D" w:rsidRPr="00BA19C5" w:rsidRDefault="00B10D0D" w:rsidP="00B10D0D">
      <w:pPr>
        <w:pStyle w:val="FootnoteText"/>
      </w:pPr>
      <w:r>
        <w:rPr>
          <w:rStyle w:val="FootnoteReference"/>
        </w:rPr>
        <w:footnoteRef/>
      </w:r>
      <w:r>
        <w:t xml:space="preserve"> Décision</w:t>
      </w:r>
      <w:r w:rsidR="00D878F6">
        <w:t> </w:t>
      </w:r>
      <w:r>
        <w:t>15/4, annexe.</w:t>
      </w:r>
    </w:p>
  </w:footnote>
  <w:footnote w:id="2">
    <w:p w14:paraId="70F24065" w14:textId="7BA04726" w:rsidR="00B10D0D" w:rsidRPr="00BA19C5" w:rsidRDefault="00B10D0D" w:rsidP="00B10D0D">
      <w:pPr>
        <w:pStyle w:val="FootnoteText"/>
      </w:pPr>
      <w:r>
        <w:rPr>
          <w:rStyle w:val="FootnoteReference"/>
        </w:rPr>
        <w:footnoteRef/>
      </w:r>
      <w:r>
        <w:t xml:space="preserve"> </w:t>
      </w:r>
      <w:r w:rsidR="00A57CC0">
        <w:t xml:space="preserve">Voir </w:t>
      </w:r>
      <w:r>
        <w:t>CBD/COP/16/INF/10</w:t>
      </w:r>
      <w:r w:rsidR="00A57CC0">
        <w:t xml:space="preserve"> </w:t>
      </w:r>
      <w:r w:rsidR="00A57CC0" w:rsidRPr="00A57CC0">
        <w:t>et CBD/COP/16/12, respectivement</w:t>
      </w:r>
      <w:r w:rsidR="000D361B">
        <w:t>.</w:t>
      </w:r>
    </w:p>
  </w:footnote>
  <w:footnote w:id="3">
    <w:p w14:paraId="189D62E5" w14:textId="4346DC79" w:rsidR="00B10D0D" w:rsidRPr="00BA19C5" w:rsidRDefault="00B10D0D" w:rsidP="00B10D0D">
      <w:pPr>
        <w:pStyle w:val="FootnoteText"/>
      </w:pPr>
      <w:r>
        <w:rPr>
          <w:rStyle w:val="FootnoteReference"/>
        </w:rPr>
        <w:footnoteRef/>
      </w:r>
      <w:r>
        <w:t xml:space="preserve"> Nations Unies, </w:t>
      </w:r>
      <w:r>
        <w:rPr>
          <w:i/>
          <w:iCs/>
        </w:rPr>
        <w:t>Recueil des Traités</w:t>
      </w:r>
      <w:r>
        <w:t>, vol.</w:t>
      </w:r>
      <w:r w:rsidR="00D878F6">
        <w:t> </w:t>
      </w:r>
      <w:r>
        <w:t>1760, n</w:t>
      </w:r>
      <w:r>
        <w:rPr>
          <w:vertAlign w:val="superscript"/>
        </w:rPr>
        <w:t>o</w:t>
      </w:r>
      <w:r w:rsidR="00D878F6">
        <w:t> </w:t>
      </w:r>
      <w:r>
        <w:t>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37802784"/>
  <w:bookmarkStart w:id="2" w:name="_Hlk137802785"/>
  <w:p w14:paraId="69ADF497" w14:textId="77777777" w:rsidR="002B559C" w:rsidRPr="002B559C" w:rsidRDefault="002B0C08" w:rsidP="002B559C">
    <w:pPr>
      <w:pStyle w:val="Header"/>
      <w:spacing w:after="240"/>
      <w:rPr>
        <w:szCs w:val="20"/>
      </w:rPr>
    </w:pPr>
    <w:sdt>
      <w:sdtPr>
        <w:rPr>
          <w:szCs w:val="20"/>
        </w:rPr>
        <w:alias w:val="Obje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A00234" w:rsidRPr="00A00234">
          <w:rPr>
            <w:szCs w:val="20"/>
            <w:lang w:val="fr-FR"/>
          </w:rPr>
          <w:t>CBD</w:t>
        </w:r>
        <w:r w:rsidR="00A00234">
          <w:rPr>
            <w:szCs w:val="20"/>
            <w:lang w:val="fr-FR"/>
          </w:rPr>
          <w:t>/</w:t>
        </w:r>
        <w:r w:rsidR="00A00234" w:rsidRPr="00A00234">
          <w:rPr>
            <w:szCs w:val="20"/>
            <w:lang w:val="fr-FR"/>
          </w:rPr>
          <w:t>COP/16/---</w:t>
        </w:r>
      </w:sdtContent>
    </w:sdt>
    <w:bookmarkEnd w:id="1"/>
    <w:bookmarkEnd w:id="2"/>
  </w:p>
  <w:p w14:paraId="518D3E9D" w14:textId="77777777" w:rsidR="00A00234" w:rsidRDefault="00A002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Obje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6F45460D" w14:textId="77777777" w:rsidR="002B559C" w:rsidRPr="002B559C" w:rsidRDefault="00A00234" w:rsidP="002B559C">
        <w:pPr>
          <w:pStyle w:val="Header"/>
          <w:spacing w:after="240"/>
          <w:jc w:val="right"/>
          <w:rPr>
            <w:szCs w:val="20"/>
            <w:lang w:val="fr-FR"/>
          </w:rPr>
        </w:pPr>
        <w:r>
          <w:rPr>
            <w:szCs w:val="20"/>
            <w:lang w:val="fr-FR"/>
          </w:rPr>
          <w:t>CBD/COP/16/---</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77777777" w:rsidR="001662BF" w:rsidRDefault="001662BF" w:rsidP="001662B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8480218">
    <w:abstractNumId w:val="4"/>
  </w:num>
  <w:num w:numId="2" w16cid:durableId="1210872164">
    <w:abstractNumId w:val="12"/>
  </w:num>
  <w:num w:numId="3" w16cid:durableId="1838958511">
    <w:abstractNumId w:val="15"/>
  </w:num>
  <w:num w:numId="4" w16cid:durableId="1752699077">
    <w:abstractNumId w:val="0"/>
  </w:num>
  <w:num w:numId="5" w16cid:durableId="633950608">
    <w:abstractNumId w:val="1"/>
  </w:num>
  <w:num w:numId="6" w16cid:durableId="577373393">
    <w:abstractNumId w:val="1"/>
  </w:num>
  <w:num w:numId="7" w16cid:durableId="1010255469">
    <w:abstractNumId w:val="3"/>
  </w:num>
  <w:num w:numId="8" w16cid:durableId="2119064885">
    <w:abstractNumId w:val="7"/>
  </w:num>
  <w:num w:numId="9" w16cid:durableId="1892031548">
    <w:abstractNumId w:val="11"/>
  </w:num>
  <w:num w:numId="10" w16cid:durableId="212741516">
    <w:abstractNumId w:val="10"/>
  </w:num>
  <w:num w:numId="11" w16cid:durableId="1201016006">
    <w:abstractNumId w:val="6"/>
  </w:num>
  <w:num w:numId="12" w16cid:durableId="1692682807">
    <w:abstractNumId w:val="2"/>
  </w:num>
  <w:num w:numId="13" w16cid:durableId="1243225630">
    <w:abstractNumId w:val="2"/>
    <w:lvlOverride w:ilvl="0">
      <w:startOverride w:val="1"/>
    </w:lvlOverride>
  </w:num>
  <w:num w:numId="14" w16cid:durableId="1024016681">
    <w:abstractNumId w:val="9"/>
  </w:num>
  <w:num w:numId="15" w16cid:durableId="1732382447">
    <w:abstractNumId w:val="9"/>
    <w:lvlOverride w:ilvl="0">
      <w:startOverride w:val="1"/>
    </w:lvlOverride>
  </w:num>
  <w:num w:numId="16" w16cid:durableId="1867716297">
    <w:abstractNumId w:val="12"/>
    <w:lvlOverride w:ilvl="0">
      <w:startOverride w:val="1"/>
    </w:lvlOverride>
  </w:num>
  <w:num w:numId="17" w16cid:durableId="999309008">
    <w:abstractNumId w:val="9"/>
    <w:lvlOverride w:ilvl="0">
      <w:startOverride w:val="1"/>
    </w:lvlOverride>
  </w:num>
  <w:num w:numId="18" w16cid:durableId="2028407105">
    <w:abstractNumId w:val="16"/>
  </w:num>
  <w:num w:numId="19" w16cid:durableId="628166420">
    <w:abstractNumId w:val="12"/>
    <w:lvlOverride w:ilvl="0">
      <w:startOverride w:val="1"/>
    </w:lvlOverride>
  </w:num>
  <w:num w:numId="20" w16cid:durableId="452946616">
    <w:abstractNumId w:val="12"/>
    <w:lvlOverride w:ilvl="0">
      <w:startOverride w:val="1"/>
    </w:lvlOverride>
  </w:num>
  <w:num w:numId="21" w16cid:durableId="1040738393">
    <w:abstractNumId w:val="8"/>
  </w:num>
  <w:num w:numId="22" w16cid:durableId="434861529">
    <w:abstractNumId w:val="5"/>
  </w:num>
  <w:num w:numId="23" w16cid:durableId="1120758548">
    <w:abstractNumId w:val="13"/>
  </w:num>
  <w:num w:numId="24" w16cid:durableId="1625039162">
    <w:abstractNumId w:val="13"/>
  </w:num>
  <w:num w:numId="25" w16cid:durableId="178081524">
    <w:abstractNumId w:val="13"/>
  </w:num>
  <w:num w:numId="26" w16cid:durableId="454717676">
    <w:abstractNumId w:val="13"/>
  </w:num>
  <w:num w:numId="27" w16cid:durableId="1401562056">
    <w:abstractNumId w:val="13"/>
  </w:num>
  <w:num w:numId="28" w16cid:durableId="1585608081">
    <w:abstractNumId w:val="13"/>
  </w:num>
  <w:num w:numId="29" w16cid:durableId="1050424454">
    <w:abstractNumId w:val="14"/>
  </w:num>
  <w:num w:numId="30" w16cid:durableId="170604246">
    <w:abstractNumId w:val="14"/>
  </w:num>
  <w:num w:numId="31" w16cid:durableId="1984195557">
    <w:abstractNumId w:val="14"/>
  </w:num>
  <w:num w:numId="32" w16cid:durableId="1590499710">
    <w:abstractNumId w:val="14"/>
  </w:num>
  <w:num w:numId="33" w16cid:durableId="692999604">
    <w:abstractNumId w:val="5"/>
  </w:num>
  <w:num w:numId="34" w16cid:durableId="657344289">
    <w:abstractNumId w:val="5"/>
  </w:num>
  <w:num w:numId="35" w16cid:durableId="1525051024">
    <w:abstractNumId w:val="5"/>
  </w:num>
  <w:num w:numId="36" w16cid:durableId="1233002862">
    <w:abstractNumId w:val="5"/>
  </w:num>
  <w:num w:numId="37" w16cid:durableId="1743138920">
    <w:abstractNumId w:val="5"/>
  </w:num>
  <w:num w:numId="38" w16cid:durableId="1603294300">
    <w:abstractNumId w:val="5"/>
  </w:num>
  <w:num w:numId="39" w16cid:durableId="1842620611">
    <w:abstractNumId w:val="5"/>
  </w:num>
  <w:num w:numId="40" w16cid:durableId="9903315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40598"/>
    <w:rsid w:val="00046E97"/>
    <w:rsid w:val="0006764E"/>
    <w:rsid w:val="000B1E29"/>
    <w:rsid w:val="000D361B"/>
    <w:rsid w:val="000F66FD"/>
    <w:rsid w:val="00132581"/>
    <w:rsid w:val="001454DA"/>
    <w:rsid w:val="00145739"/>
    <w:rsid w:val="001662BF"/>
    <w:rsid w:val="00184909"/>
    <w:rsid w:val="001A2527"/>
    <w:rsid w:val="001D7501"/>
    <w:rsid w:val="001E4E16"/>
    <w:rsid w:val="0020601B"/>
    <w:rsid w:val="00220EF9"/>
    <w:rsid w:val="00260501"/>
    <w:rsid w:val="00292CCD"/>
    <w:rsid w:val="002A34A1"/>
    <w:rsid w:val="002B00CA"/>
    <w:rsid w:val="002B0C08"/>
    <w:rsid w:val="002B559C"/>
    <w:rsid w:val="002D3562"/>
    <w:rsid w:val="00303F0B"/>
    <w:rsid w:val="00310608"/>
    <w:rsid w:val="00323F22"/>
    <w:rsid w:val="00337E28"/>
    <w:rsid w:val="003476A9"/>
    <w:rsid w:val="0039695D"/>
    <w:rsid w:val="003C3310"/>
    <w:rsid w:val="003C6F10"/>
    <w:rsid w:val="00441498"/>
    <w:rsid w:val="00445AE3"/>
    <w:rsid w:val="004701EE"/>
    <w:rsid w:val="00480A8D"/>
    <w:rsid w:val="00491057"/>
    <w:rsid w:val="004A2A2D"/>
    <w:rsid w:val="004B468C"/>
    <w:rsid w:val="004C6544"/>
    <w:rsid w:val="004E7BA2"/>
    <w:rsid w:val="00537248"/>
    <w:rsid w:val="00560105"/>
    <w:rsid w:val="00595A79"/>
    <w:rsid w:val="005A206E"/>
    <w:rsid w:val="005C0058"/>
    <w:rsid w:val="005E2605"/>
    <w:rsid w:val="005F2705"/>
    <w:rsid w:val="005F39E2"/>
    <w:rsid w:val="00621D2F"/>
    <w:rsid w:val="00657ED6"/>
    <w:rsid w:val="006A5D0A"/>
    <w:rsid w:val="006B293D"/>
    <w:rsid w:val="006D0788"/>
    <w:rsid w:val="006F5EC0"/>
    <w:rsid w:val="0075018F"/>
    <w:rsid w:val="0076622F"/>
    <w:rsid w:val="00767FDF"/>
    <w:rsid w:val="00783CB8"/>
    <w:rsid w:val="007C77BC"/>
    <w:rsid w:val="008100CC"/>
    <w:rsid w:val="00874541"/>
    <w:rsid w:val="0087582D"/>
    <w:rsid w:val="00880330"/>
    <w:rsid w:val="008E0581"/>
    <w:rsid w:val="00935461"/>
    <w:rsid w:val="009459E3"/>
    <w:rsid w:val="00964890"/>
    <w:rsid w:val="00995DDC"/>
    <w:rsid w:val="009C1114"/>
    <w:rsid w:val="009F14DD"/>
    <w:rsid w:val="00A00234"/>
    <w:rsid w:val="00A349E1"/>
    <w:rsid w:val="00A35E2B"/>
    <w:rsid w:val="00A54FA0"/>
    <w:rsid w:val="00A57CC0"/>
    <w:rsid w:val="00A96B21"/>
    <w:rsid w:val="00AC3366"/>
    <w:rsid w:val="00AE1A95"/>
    <w:rsid w:val="00B10D0D"/>
    <w:rsid w:val="00B36EA9"/>
    <w:rsid w:val="00B41BF6"/>
    <w:rsid w:val="00B47BB1"/>
    <w:rsid w:val="00B93533"/>
    <w:rsid w:val="00BB60F0"/>
    <w:rsid w:val="00BF4FED"/>
    <w:rsid w:val="00C2354A"/>
    <w:rsid w:val="00C879AE"/>
    <w:rsid w:val="00C90A11"/>
    <w:rsid w:val="00CB0D9D"/>
    <w:rsid w:val="00CB650B"/>
    <w:rsid w:val="00CF70AB"/>
    <w:rsid w:val="00D25AE9"/>
    <w:rsid w:val="00D3059B"/>
    <w:rsid w:val="00D60046"/>
    <w:rsid w:val="00D64F28"/>
    <w:rsid w:val="00D71B2C"/>
    <w:rsid w:val="00D71FFB"/>
    <w:rsid w:val="00D878F6"/>
    <w:rsid w:val="00D9583A"/>
    <w:rsid w:val="00D974DB"/>
    <w:rsid w:val="00DD3CA0"/>
    <w:rsid w:val="00E02A7E"/>
    <w:rsid w:val="00E060B4"/>
    <w:rsid w:val="00E1597C"/>
    <w:rsid w:val="00E1693E"/>
    <w:rsid w:val="00E740AC"/>
    <w:rsid w:val="00EA2B8A"/>
    <w:rsid w:val="00ED3849"/>
    <w:rsid w:val="00EE57FC"/>
    <w:rsid w:val="00F0122F"/>
    <w:rsid w:val="00F258FB"/>
    <w:rsid w:val="00F735C4"/>
    <w:rsid w:val="00F75F90"/>
    <w:rsid w:val="00F85984"/>
    <w:rsid w:val="00FA18C9"/>
    <w:rsid w:val="00FA494D"/>
    <w:rsid w:val="00FA7E91"/>
    <w:rsid w:val="00FE0B2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docId w15:val="{6F7368D4-8326-D84B-8194-77EFED5C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Heading1">
    <w:name w:val="heading 1"/>
    <w:basedOn w:val="Normal"/>
    <w:next w:val="Heading2"/>
    <w:link w:val="Heading1Ch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B93533"/>
    <w:pPr>
      <w:keepNext/>
      <w:numPr>
        <w:ilvl w:val="4"/>
        <w:numId w:val="28"/>
      </w:numPr>
      <w:spacing w:before="120" w:after="120"/>
      <w:jc w:val="left"/>
      <w:outlineLvl w:val="4"/>
    </w:pPr>
    <w:rPr>
      <w:rFonts w:eastAsiaTheme="majorEastAsia"/>
      <w:i/>
      <w:iCs/>
    </w:rPr>
  </w:style>
  <w:style w:type="paragraph" w:styleId="Heading6">
    <w:name w:val="heading 6"/>
    <w:basedOn w:val="Normal"/>
    <w:next w:val="Normal"/>
    <w:link w:val="Heading6Ch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B93533"/>
    <w:pPr>
      <w:keepNext/>
      <w:widowControl w:val="0"/>
      <w:numPr>
        <w:ilvl w:val="8"/>
        <w:numId w:val="32"/>
      </w:numPr>
      <w:suppressAutoHyphens/>
      <w:jc w:val="left"/>
      <w:outlineLvl w:val="8"/>
    </w:pPr>
    <w:rPr>
      <w:snapToGrid w:val="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B93533"/>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B93533"/>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fr-CA"/>
    </w:rPr>
  </w:style>
  <w:style w:type="character" w:customStyle="1" w:styleId="Heading1Char">
    <w:name w:val="Heading 1 Char"/>
    <w:basedOn w:val="DefaultParagraphFont"/>
    <w:link w:val="Heading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B93533"/>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B93533"/>
    <w:rPr>
      <w:rFonts w:ascii="Times New Roman" w:eastAsia="SimSun" w:hAnsi="Times New Roman" w:cs="Times New Roman"/>
      <w:kern w:val="0"/>
      <w:sz w:val="18"/>
      <w:szCs w:val="20"/>
      <w:lang w:val="fr-CA"/>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B93533"/>
    <w:rPr>
      <w:vertAlign w:val="superscript"/>
    </w:rPr>
  </w:style>
  <w:style w:type="paragraph" w:customStyle="1" w:styleId="Footnote">
    <w:name w:val="Footnote"/>
    <w:basedOn w:val="FootnoteText"/>
    <w:qFormat/>
    <w:rsid w:val="00B93533"/>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fr-CA"/>
      <w14:ligatures w14:val="none"/>
    </w:rPr>
  </w:style>
  <w:style w:type="paragraph" w:customStyle="1" w:styleId="Para1">
    <w:name w:val="Para 1"/>
    <w:basedOn w:val="Normal"/>
    <w:qFormat/>
    <w:rsid w:val="00480A8D"/>
    <w:pPr>
      <w:numPr>
        <w:numId w:val="2"/>
      </w:numPr>
      <w:spacing w:before="120" w:after="120"/>
      <w:ind w:left="567" w:firstLine="0"/>
    </w:pPr>
  </w:style>
  <w:style w:type="character" w:customStyle="1" w:styleId="Heading2Char">
    <w:name w:val="Heading 2 Char"/>
    <w:basedOn w:val="DefaultParagraphFont"/>
    <w:link w:val="Heading2"/>
    <w:uiPriority w:val="9"/>
    <w:rsid w:val="00B93533"/>
    <w:rPr>
      <w:rFonts w:ascii="Times New Roman Bold" w:eastAsiaTheme="majorEastAsia" w:hAnsi="Times New Roman Bold" w:cstheme="majorBidi"/>
      <w:b/>
      <w:kern w:val="0"/>
      <w:sz w:val="24"/>
      <w:szCs w:val="26"/>
      <w:lang w:val="fr-CA"/>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B9353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B93533"/>
    <w:rPr>
      <w:rFonts w:ascii="Times New Roman" w:eastAsia="SimSun" w:hAnsi="Times New Roman" w:cs="Times New Roman"/>
      <w:kern w:val="0"/>
      <w:sz w:val="20"/>
      <w:lang w:val="fr-CA"/>
      <w14:ligatures w14:val="none"/>
    </w:rPr>
  </w:style>
  <w:style w:type="paragraph" w:styleId="Footer">
    <w:name w:val="footer"/>
    <w:basedOn w:val="Normal"/>
    <w:link w:val="FooterChar"/>
    <w:uiPriority w:val="99"/>
    <w:rsid w:val="00B93533"/>
    <w:pPr>
      <w:tabs>
        <w:tab w:val="center" w:pos="4680"/>
        <w:tab w:val="right" w:pos="9360"/>
      </w:tabs>
    </w:pPr>
    <w:rPr>
      <w:sz w:val="20"/>
    </w:rPr>
  </w:style>
  <w:style w:type="character" w:customStyle="1" w:styleId="FooterChar">
    <w:name w:val="Footer Char"/>
    <w:basedOn w:val="DefaultParagraphFont"/>
    <w:link w:val="Footer"/>
    <w:uiPriority w:val="99"/>
    <w:rsid w:val="00B93533"/>
    <w:rPr>
      <w:rFonts w:ascii="Times New Roman" w:eastAsia="SimSun" w:hAnsi="Times New Roman" w:cs="Times New Roman"/>
      <w:kern w:val="0"/>
      <w:sz w:val="20"/>
      <w:lang w:val="fr-CA"/>
      <w14:ligatures w14:val="none"/>
    </w:rPr>
  </w:style>
  <w:style w:type="character" w:customStyle="1" w:styleId="Heading3Char">
    <w:name w:val="Heading 3 Char"/>
    <w:basedOn w:val="DefaultParagraphFont"/>
    <w:link w:val="Heading3"/>
    <w:uiPriority w:val="9"/>
    <w:rsid w:val="00B93533"/>
    <w:rPr>
      <w:rFonts w:ascii="Times New Roman" w:eastAsiaTheme="majorEastAsia" w:hAnsi="Times New Roman" w:cs="Times New Roman"/>
      <w:b/>
      <w:bCs/>
      <w:kern w:val="0"/>
      <w:lang w:val="fr-CA"/>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B93533"/>
    <w:rPr>
      <w:rFonts w:ascii="Times New Roman" w:eastAsiaTheme="majorEastAsia" w:hAnsi="Times New Roman" w:cs="Times New Roman"/>
      <w:b/>
      <w:bCs/>
      <w:kern w:val="0"/>
      <w:lang w:val="fr-CA"/>
      <w14:ligatures w14:val="none"/>
    </w:rPr>
  </w:style>
  <w:style w:type="character" w:customStyle="1" w:styleId="Heading5Char">
    <w:name w:val="Heading 5 Char"/>
    <w:basedOn w:val="DefaultParagraphFont"/>
    <w:link w:val="Heading5"/>
    <w:uiPriority w:val="9"/>
    <w:rsid w:val="00B93533"/>
    <w:rPr>
      <w:rFonts w:ascii="Times New Roman" w:eastAsiaTheme="majorEastAsia" w:hAnsi="Times New Roman" w:cs="Times New Roman"/>
      <w:i/>
      <w:iCs/>
      <w:kern w:val="0"/>
      <w:lang w:val="fr-CA"/>
      <w14:ligatures w14:val="none"/>
    </w:rPr>
  </w:style>
  <w:style w:type="character" w:styleId="CommentReference">
    <w:name w:val="annotation reference"/>
    <w:basedOn w:val="DefaultParagraphFont"/>
    <w:uiPriority w:val="99"/>
    <w:semiHidden/>
    <w:unhideWhenUsed/>
    <w:rsid w:val="00B93533"/>
    <w:rPr>
      <w:sz w:val="16"/>
      <w:szCs w:val="16"/>
    </w:rPr>
  </w:style>
  <w:style w:type="paragraph" w:styleId="CommentText">
    <w:name w:val="annotation text"/>
    <w:basedOn w:val="Normal"/>
    <w:link w:val="CommentTextChar"/>
    <w:uiPriority w:val="99"/>
    <w:rsid w:val="00B93533"/>
    <w:rPr>
      <w:sz w:val="20"/>
      <w:szCs w:val="20"/>
    </w:rPr>
  </w:style>
  <w:style w:type="character" w:customStyle="1" w:styleId="CommentTextChar">
    <w:name w:val="Comment Text Char"/>
    <w:basedOn w:val="DefaultParagraphFont"/>
    <w:link w:val="CommentText"/>
    <w:uiPriority w:val="99"/>
    <w:rsid w:val="00B93533"/>
    <w:rPr>
      <w:rFonts w:ascii="Times New Roman" w:eastAsia="SimSun" w:hAnsi="Times New Roman" w:cs="Times New Roman"/>
      <w:kern w:val="0"/>
      <w:sz w:val="20"/>
      <w:szCs w:val="20"/>
      <w:lang w:val="fr-CA"/>
      <w14:ligatures w14:val="none"/>
    </w:rPr>
  </w:style>
  <w:style w:type="paragraph" w:styleId="CommentSubject">
    <w:name w:val="annotation subject"/>
    <w:basedOn w:val="CommentText"/>
    <w:next w:val="CommentText"/>
    <w:link w:val="CommentSubjectChar"/>
    <w:uiPriority w:val="99"/>
    <w:semiHidden/>
    <w:unhideWhenUsed/>
    <w:rsid w:val="00B93533"/>
    <w:rPr>
      <w:b/>
      <w:bCs/>
    </w:rPr>
  </w:style>
  <w:style w:type="character" w:customStyle="1" w:styleId="CommentSubjectChar">
    <w:name w:val="Comment Subject Char"/>
    <w:basedOn w:val="CommentTextChar"/>
    <w:link w:val="CommentSubject"/>
    <w:uiPriority w:val="99"/>
    <w:semiHidden/>
    <w:rsid w:val="00B93533"/>
    <w:rPr>
      <w:rFonts w:ascii="Times New Roman" w:eastAsia="SimSun" w:hAnsi="Times New Roman" w:cs="Times New Roman"/>
      <w:b/>
      <w:bCs/>
      <w:kern w:val="0"/>
      <w:sz w:val="20"/>
      <w:szCs w:val="20"/>
      <w:lang w:val="fr-CA"/>
      <w14:ligatures w14:val="none"/>
    </w:rPr>
  </w:style>
  <w:style w:type="paragraph" w:customStyle="1" w:styleId="AEDistrNormal">
    <w:name w:val="AE_DistrNormal"/>
    <w:basedOn w:val="Normal"/>
    <w:unhideWhenUsed/>
    <w:rsid w:val="00B93533"/>
    <w:pPr>
      <w:jc w:val="left"/>
    </w:p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Normal"/>
    <w:qFormat/>
    <w:rsid w:val="00B93533"/>
    <w:pPr>
      <w:keepNext/>
      <w:keepLines/>
      <w:spacing w:after="240"/>
      <w:jc w:val="left"/>
    </w:pPr>
    <w:rPr>
      <w:b/>
      <w:sz w:val="28"/>
      <w:lang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rPr>
  </w:style>
  <w:style w:type="paragraph" w:customStyle="1" w:styleId="CBDNormalNumber">
    <w:name w:val="CBD_Normal_Number"/>
    <w:basedOn w:val="CBDNormal"/>
    <w:qFormat/>
    <w:rsid w:val="00B93533"/>
    <w:pPr>
      <w:numPr>
        <w:numId w:val="22"/>
      </w:numPr>
      <w:tabs>
        <w:tab w:val="left" w:pos="3969"/>
      </w:tabs>
      <w:spacing w:after="120"/>
    </w:p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rPr>
  </w:style>
  <w:style w:type="character" w:customStyle="1" w:styleId="Heading6Char">
    <w:name w:val="Heading 6 Char"/>
    <w:basedOn w:val="DefaultParagraphFont"/>
    <w:link w:val="Heading6"/>
    <w:semiHidden/>
    <w:rsid w:val="00B93533"/>
    <w:rPr>
      <w:rFonts w:ascii="Times New Roman" w:eastAsia="SimSun" w:hAnsi="Times New Roman" w:cs="Times New Roman"/>
      <w:bCs/>
      <w:kern w:val="0"/>
      <w:sz w:val="24"/>
      <w:lang w:val="fr-CA"/>
      <w14:ligatures w14:val="none"/>
    </w:rPr>
  </w:style>
  <w:style w:type="character" w:customStyle="1" w:styleId="Heading7Char">
    <w:name w:val="Heading 7 Char"/>
    <w:basedOn w:val="DefaultParagraphFont"/>
    <w:link w:val="Heading7"/>
    <w:semiHidden/>
    <w:rsid w:val="00B93533"/>
    <w:rPr>
      <w:rFonts w:ascii="Times New Roman" w:eastAsia="SimSun" w:hAnsi="Times New Roman" w:cs="Times New Roman"/>
      <w:b/>
      <w:snapToGrid w:val="0"/>
      <w:kern w:val="0"/>
      <w:u w:val="single"/>
      <w:lang w:val="fr-CA"/>
      <w14:ligatures w14:val="none"/>
    </w:rPr>
  </w:style>
  <w:style w:type="character" w:customStyle="1" w:styleId="Heading8Char">
    <w:name w:val="Heading 8 Char"/>
    <w:basedOn w:val="DefaultParagraphFont"/>
    <w:link w:val="Heading8"/>
    <w:semiHidden/>
    <w:rsid w:val="00B93533"/>
    <w:rPr>
      <w:rFonts w:ascii="Times New Roman" w:eastAsia="SimSun" w:hAnsi="Times New Roman" w:cs="Times New Roman"/>
      <w:b/>
      <w:snapToGrid w:val="0"/>
      <w:kern w:val="0"/>
      <w:u w:val="single"/>
      <w:lang w:val="fr-CA"/>
      <w14:ligatures w14:val="none"/>
    </w:rPr>
  </w:style>
  <w:style w:type="character" w:customStyle="1" w:styleId="Heading9Char">
    <w:name w:val="Heading 9 Char"/>
    <w:basedOn w:val="DefaultParagraphFont"/>
    <w:link w:val="Heading9"/>
    <w:semiHidden/>
    <w:rsid w:val="00B93533"/>
    <w:rPr>
      <w:rFonts w:ascii="Times New Roman" w:eastAsia="SimSun" w:hAnsi="Times New Roman" w:cs="Times New Roman"/>
      <w:snapToGrid w:val="0"/>
      <w:kern w:val="0"/>
      <w:u w:val="single"/>
      <w:lang w:val="fr-CA"/>
      <w14:ligatures w14:val="none"/>
    </w:rPr>
  </w:style>
  <w:style w:type="character" w:styleId="Hyperlink">
    <w:name w:val="Hyperlink"/>
    <w:basedOn w:val="DefaultParagraphFont"/>
    <w:uiPriority w:val="99"/>
    <w:unhideWhenUsed/>
    <w:rsid w:val="00B93533"/>
    <w:rPr>
      <w:rFonts w:ascii="Times New Roman" w:hAnsi="Times New Roman"/>
      <w:color w:val="0563C1" w:themeColor="hyperlink"/>
      <w:u w:val="single"/>
    </w:rPr>
  </w:style>
  <w:style w:type="paragraph" w:styleId="List">
    <w:name w:val="List"/>
    <w:basedOn w:val="Normal"/>
    <w:semiHidden/>
    <w:rsid w:val="00B93533"/>
    <w:pPr>
      <w:contextualSpacing/>
    </w:pPr>
  </w:style>
  <w:style w:type="paragraph" w:styleId="ListParagraph">
    <w:name w:val="List Paragraph"/>
    <w:basedOn w:val="Normal"/>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B10D0D"/>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paragraph" w:styleId="Revision">
    <w:name w:val="Revision"/>
    <w:hidden/>
    <w:uiPriority w:val="99"/>
    <w:semiHidden/>
    <w:rsid w:val="00046E97"/>
    <w:pPr>
      <w:spacing w:after="0" w:line="240" w:lineRule="auto"/>
    </w:pPr>
    <w:rPr>
      <w:rFonts w:ascii="Times New Roman" w:eastAsia="SimSun" w:hAnsi="Times New Roman" w:cs="Times New Roman"/>
      <w:kern w:val="0"/>
      <w14:ligatures w14:val="none"/>
    </w:rPr>
  </w:style>
  <w:style w:type="paragraph" w:styleId="BalloonText">
    <w:name w:val="Balloon Text"/>
    <w:basedOn w:val="Normal"/>
    <w:link w:val="BalloonTextChar"/>
    <w:uiPriority w:val="99"/>
    <w:semiHidden/>
    <w:unhideWhenUsed/>
    <w:rsid w:val="00220EF9"/>
    <w:rPr>
      <w:rFonts w:ascii="Tahoma" w:hAnsi="Tahoma" w:cs="Tahoma"/>
      <w:sz w:val="16"/>
      <w:szCs w:val="16"/>
    </w:rPr>
  </w:style>
  <w:style w:type="character" w:customStyle="1" w:styleId="BalloonTextChar">
    <w:name w:val="Balloon Text Char"/>
    <w:basedOn w:val="DefaultParagraphFont"/>
    <w:link w:val="BalloonText"/>
    <w:uiPriority w:val="99"/>
    <w:semiHidden/>
    <w:rsid w:val="00220EF9"/>
    <w:rPr>
      <w:rFonts w:ascii="Tahoma" w:eastAsia="SimSu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70E2B8-2160-46CF-89BA-7FC9EB4F1664}">
  <ds:schemaRefs>
    <ds:schemaRef ds:uri="http://schemas.openxmlformats.org/officeDocument/2006/bibliography"/>
  </ds:schemaRefs>
</ds:datastoreItem>
</file>

<file path=customXml/itemProps2.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1</TotalTime>
  <Pages>1</Pages>
  <Words>290</Words>
  <Characters>1658</Characters>
  <Application>Microsoft Office Word</Application>
  <DocSecurity>0</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Responsabilité et réparation (paragraphe 2 de l’article 14)</vt:lpstr>
      <vt:lpstr>Title of the document</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Responsabilité et réparation (paragraphe 2 de l’article 14)</dc:title>
  <dc:subject>CBD/COP/16/---</dc:subject>
  <dc:creator>Secretariat of the Convention on Biological Diversity</dc:creator>
  <cp:keywords>Conference of the Parties to the Convention on Biological Diversity</cp:keywords>
  <cp:lastModifiedBy>Tatiana Zavarzina</cp:lastModifiedBy>
  <cp:revision>3</cp:revision>
  <dcterms:created xsi:type="dcterms:W3CDTF">2024-11-22T20:41:00Z</dcterms:created>
  <dcterms:modified xsi:type="dcterms:W3CDTF">2025-03-12T18:22:00Z</dcterms:modified>
</cp:coreProperties>
</file>