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977"/>
        <w:gridCol w:w="717"/>
        <w:gridCol w:w="5945"/>
      </w:tblGrid>
      <w:tr w:rsidR="00436C75" w:rsidRPr="001C7EF3" w14:paraId="3CDCAABD" w14:textId="77777777" w:rsidTr="00D11E33">
        <w:tc>
          <w:tcPr>
            <w:tcW w:w="851" w:type="dxa"/>
            <w:tcBorders>
              <w:bottom w:val="single" w:sz="8" w:space="0" w:color="auto"/>
            </w:tcBorders>
            <w:vAlign w:val="bottom"/>
          </w:tcPr>
          <w:p w14:paraId="1C3675C5" w14:textId="77777777" w:rsidR="00436C75" w:rsidRPr="001C7EF3" w:rsidRDefault="00436C75" w:rsidP="00D11E33">
            <w:pPr>
              <w:spacing w:after="120"/>
              <w:jc w:val="left"/>
            </w:pPr>
            <w:bookmarkStart w:id="0" w:name="_Toc522023191"/>
            <w:bookmarkStart w:id="1" w:name="_Hlk137651738"/>
            <w:r w:rsidRPr="001C7EF3">
              <w:rPr>
                <w:noProof/>
              </w:rPr>
              <w:drawing>
                <wp:inline distT="0" distB="0" distL="0" distR="0" wp14:anchorId="20826506" wp14:editId="456A6B7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977" w:type="dxa"/>
            <w:tcBorders>
              <w:bottom w:val="single" w:sz="8" w:space="0" w:color="auto"/>
            </w:tcBorders>
            <w:shd w:val="clear" w:color="auto" w:fill="auto"/>
            <w:tcFitText/>
            <w:vAlign w:val="bottom"/>
          </w:tcPr>
          <w:p w14:paraId="7050CE7F" w14:textId="39DD6230" w:rsidR="00436C75" w:rsidRPr="001C7EF3" w:rsidRDefault="002E1C06" w:rsidP="00D11E33">
            <w:pPr>
              <w:spacing w:after="120"/>
              <w:jc w:val="left"/>
            </w:pPr>
            <w:r w:rsidRPr="001C7EF3">
              <w:rPr>
                <w:noProof/>
                <w:lang w:eastAsia="fr-FR"/>
              </w:rPr>
              <w:drawing>
                <wp:inline distT="0" distB="0" distL="0" distR="0" wp14:anchorId="7D0C95B0" wp14:editId="66D7815D">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6662" w:type="dxa"/>
            <w:gridSpan w:val="2"/>
            <w:tcBorders>
              <w:bottom w:val="single" w:sz="8" w:space="0" w:color="auto"/>
            </w:tcBorders>
            <w:vAlign w:val="bottom"/>
          </w:tcPr>
          <w:p w14:paraId="670EC65C" w14:textId="3BF46ACA" w:rsidR="00436C75" w:rsidRPr="00435FC7" w:rsidRDefault="00436C75" w:rsidP="00D11E33">
            <w:pPr>
              <w:tabs>
                <w:tab w:val="clear" w:pos="567"/>
                <w:tab w:val="clear" w:pos="1134"/>
                <w:tab w:val="clear" w:pos="1701"/>
                <w:tab w:val="clear" w:pos="2268"/>
              </w:tabs>
              <w:spacing w:after="120"/>
              <w:ind w:left="36"/>
              <w:jc w:val="right"/>
              <w:rPr>
                <w:szCs w:val="22"/>
                <w:highlight w:val="yellow"/>
              </w:rPr>
            </w:pPr>
            <w:r w:rsidRPr="00435FC7">
              <w:rPr>
                <w:sz w:val="40"/>
                <w:szCs w:val="40"/>
              </w:rPr>
              <w:t>CBD</w:t>
            </w:r>
            <w:r w:rsidRPr="00435FC7">
              <w:rPr>
                <w:sz w:val="22"/>
                <w:szCs w:val="22"/>
              </w:rPr>
              <w:t>/</w:t>
            </w:r>
            <w:r w:rsidR="00C2676B" w:rsidRPr="00435FC7">
              <w:rPr>
                <w:sz w:val="22"/>
                <w:szCs w:val="22"/>
              </w:rPr>
              <w:t>COP/</w:t>
            </w:r>
            <w:r w:rsidR="00311E19" w:rsidRPr="00435FC7">
              <w:rPr>
                <w:sz w:val="22"/>
                <w:szCs w:val="22"/>
              </w:rPr>
              <w:t>DEC/</w:t>
            </w:r>
            <w:r w:rsidR="00C2676B" w:rsidRPr="00435FC7">
              <w:rPr>
                <w:sz w:val="22"/>
                <w:szCs w:val="22"/>
              </w:rPr>
              <w:t>16/</w:t>
            </w:r>
            <w:r w:rsidR="00311E19" w:rsidRPr="00435FC7">
              <w:rPr>
                <w:sz w:val="22"/>
                <w:szCs w:val="22"/>
              </w:rPr>
              <w:t>24</w:t>
            </w:r>
          </w:p>
        </w:tc>
      </w:tr>
      <w:tr w:rsidR="00436C75" w:rsidRPr="001C7EF3" w14:paraId="7CD125FE" w14:textId="77777777" w:rsidTr="00D11E33">
        <w:tc>
          <w:tcPr>
            <w:tcW w:w="4545" w:type="dxa"/>
            <w:gridSpan w:val="3"/>
            <w:tcBorders>
              <w:top w:val="single" w:sz="8" w:space="0" w:color="auto"/>
              <w:bottom w:val="single" w:sz="12" w:space="0" w:color="auto"/>
            </w:tcBorders>
          </w:tcPr>
          <w:p w14:paraId="788EDD0A" w14:textId="115F6330" w:rsidR="00436C75" w:rsidRPr="001C7EF3" w:rsidRDefault="002E1C06" w:rsidP="00D11E33">
            <w:pPr>
              <w:pStyle w:val="Cornernotation"/>
              <w:suppressLineNumbers/>
              <w:suppressAutoHyphens/>
              <w:ind w:left="0" w:right="0" w:firstLine="0"/>
            </w:pPr>
            <w:r w:rsidRPr="001C7EF3">
              <w:rPr>
                <w:noProof/>
                <w:lang w:eastAsia="fr-FR"/>
              </w:rPr>
              <w:drawing>
                <wp:inline distT="0" distB="0" distL="0" distR="0" wp14:anchorId="136CE26F" wp14:editId="41412FC4">
                  <wp:extent cx="2735580" cy="1030402"/>
                  <wp:effectExtent l="0" t="0" r="7620" b="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095" cy="1032103"/>
                          </a:xfrm>
                          <a:prstGeom prst="rect">
                            <a:avLst/>
                          </a:prstGeom>
                          <a:noFill/>
                          <a:ln>
                            <a:noFill/>
                          </a:ln>
                        </pic:spPr>
                      </pic:pic>
                    </a:graphicData>
                  </a:graphic>
                </wp:inline>
              </w:drawing>
            </w:r>
          </w:p>
        </w:tc>
        <w:tc>
          <w:tcPr>
            <w:tcW w:w="5945" w:type="dxa"/>
            <w:tcBorders>
              <w:top w:val="single" w:sz="8" w:space="0" w:color="auto"/>
              <w:bottom w:val="single" w:sz="12" w:space="0" w:color="auto"/>
            </w:tcBorders>
          </w:tcPr>
          <w:p w14:paraId="1BC2B44F" w14:textId="465A8201" w:rsidR="00436C75" w:rsidRPr="001C7EF3" w:rsidRDefault="00436C75" w:rsidP="00D11E33">
            <w:pPr>
              <w:ind w:left="3143"/>
              <w:rPr>
                <w:sz w:val="22"/>
                <w:szCs w:val="22"/>
              </w:rPr>
            </w:pPr>
            <w:r w:rsidRPr="001C7EF3">
              <w:rPr>
                <w:sz w:val="22"/>
                <w:szCs w:val="22"/>
              </w:rPr>
              <w:t>Distr.</w:t>
            </w:r>
            <w:r w:rsidR="00311E19" w:rsidRPr="001C7EF3">
              <w:rPr>
                <w:sz w:val="22"/>
                <w:szCs w:val="22"/>
              </w:rPr>
              <w:t> : générale</w:t>
            </w:r>
          </w:p>
          <w:p w14:paraId="178BEEED" w14:textId="2D038D48" w:rsidR="00436C75" w:rsidRPr="001C7EF3" w:rsidRDefault="00C2676B" w:rsidP="00D11E33">
            <w:pPr>
              <w:ind w:left="3143"/>
              <w:rPr>
                <w:sz w:val="22"/>
                <w:szCs w:val="22"/>
              </w:rPr>
            </w:pPr>
            <w:r w:rsidRPr="001C7EF3">
              <w:rPr>
                <w:sz w:val="22"/>
                <w:szCs w:val="22"/>
              </w:rPr>
              <w:t>1</w:t>
            </w:r>
            <w:r w:rsidRPr="001C7EF3">
              <w:rPr>
                <w:sz w:val="22"/>
                <w:szCs w:val="22"/>
                <w:vertAlign w:val="superscript"/>
              </w:rPr>
              <w:t>er</w:t>
            </w:r>
            <w:r w:rsidRPr="001C7EF3">
              <w:rPr>
                <w:sz w:val="22"/>
                <w:szCs w:val="22"/>
              </w:rPr>
              <w:t> novembre</w:t>
            </w:r>
            <w:r w:rsidR="00D454C8" w:rsidRPr="001C7EF3">
              <w:rPr>
                <w:sz w:val="22"/>
                <w:szCs w:val="22"/>
              </w:rPr>
              <w:t> 2024</w:t>
            </w:r>
          </w:p>
          <w:p w14:paraId="6E59C4B9" w14:textId="3610AC2B" w:rsidR="00436C75" w:rsidRPr="001C7EF3" w:rsidRDefault="002E1C06" w:rsidP="00D11E33">
            <w:pPr>
              <w:ind w:left="3143"/>
              <w:rPr>
                <w:sz w:val="22"/>
                <w:szCs w:val="22"/>
              </w:rPr>
            </w:pPr>
            <w:r w:rsidRPr="001C7EF3">
              <w:rPr>
                <w:sz w:val="22"/>
                <w:szCs w:val="22"/>
              </w:rPr>
              <w:t>Français</w:t>
            </w:r>
          </w:p>
          <w:p w14:paraId="04DCEA1E" w14:textId="61EA575F" w:rsidR="00436C75" w:rsidRPr="001C7EF3" w:rsidRDefault="00436C75" w:rsidP="00D11E33">
            <w:pPr>
              <w:ind w:left="3143"/>
              <w:rPr>
                <w:sz w:val="22"/>
                <w:szCs w:val="22"/>
              </w:rPr>
            </w:pPr>
            <w:r w:rsidRPr="001C7EF3">
              <w:rPr>
                <w:sz w:val="22"/>
                <w:szCs w:val="22"/>
              </w:rPr>
              <w:t xml:space="preserve">Original : </w:t>
            </w:r>
            <w:r w:rsidR="002E1C06" w:rsidRPr="001C7EF3">
              <w:rPr>
                <w:sz w:val="22"/>
                <w:szCs w:val="22"/>
              </w:rPr>
              <w:t>a</w:t>
            </w:r>
            <w:r w:rsidRPr="001C7EF3">
              <w:rPr>
                <w:sz w:val="22"/>
                <w:szCs w:val="22"/>
              </w:rPr>
              <w:t>nglais</w:t>
            </w:r>
          </w:p>
          <w:p w14:paraId="2A0E2C95" w14:textId="77777777" w:rsidR="00436C75" w:rsidRPr="001C7EF3" w:rsidRDefault="00436C75" w:rsidP="00D11E33"/>
        </w:tc>
      </w:tr>
    </w:tbl>
    <w:bookmarkEnd w:id="0"/>
    <w:p w14:paraId="033DB8E6" w14:textId="77777777" w:rsidR="00C2676B" w:rsidRPr="001C7EF3" w:rsidRDefault="00C2676B" w:rsidP="00C2676B">
      <w:pPr>
        <w:pStyle w:val="AFCorNot12Bold"/>
        <w:rPr>
          <w:snapToGrid w:val="0"/>
        </w:rPr>
      </w:pPr>
      <w:r w:rsidRPr="001C7EF3">
        <w:rPr>
          <w:snapToGrid w:val="0"/>
        </w:rPr>
        <w:t xml:space="preserve">Conférence des Parties </w:t>
      </w:r>
      <w:r w:rsidRPr="001C7EF3">
        <w:rPr>
          <w:snapToGrid w:val="0"/>
        </w:rPr>
        <w:br/>
        <w:t>à la Convention sur la diversité biologique</w:t>
      </w:r>
    </w:p>
    <w:p w14:paraId="71EAFEFB" w14:textId="77777777" w:rsidR="00C2676B" w:rsidRPr="001C7EF3" w:rsidRDefault="00C2676B" w:rsidP="00C2676B">
      <w:pPr>
        <w:pStyle w:val="AFCorNotBold"/>
        <w:rPr>
          <w:snapToGrid w:val="0"/>
        </w:rPr>
      </w:pPr>
      <w:r w:rsidRPr="001C7EF3">
        <w:rPr>
          <w:snapToGrid w:val="0"/>
        </w:rPr>
        <w:t xml:space="preserve">Seizième réunion </w:t>
      </w:r>
    </w:p>
    <w:p w14:paraId="5F44E290" w14:textId="77777777" w:rsidR="00C2676B" w:rsidRPr="001C7EF3" w:rsidRDefault="00C2676B" w:rsidP="00C2676B">
      <w:pPr>
        <w:suppressLineNumbers/>
        <w:tabs>
          <w:tab w:val="left" w:pos="1814"/>
          <w:tab w:val="left" w:pos="2948"/>
          <w:tab w:val="left" w:pos="3515"/>
          <w:tab w:val="left" w:pos="4014"/>
        </w:tabs>
        <w:suppressAutoHyphens/>
        <w:ind w:right="176" w:firstLine="9"/>
        <w:jc w:val="left"/>
      </w:pPr>
      <w:r w:rsidRPr="001C7EF3">
        <w:t>Cali (Colombie), 21 octobre–1</w:t>
      </w:r>
      <w:r w:rsidRPr="001C7EF3">
        <w:rPr>
          <w:vertAlign w:val="superscript"/>
        </w:rPr>
        <w:t>er </w:t>
      </w:r>
      <w:r w:rsidRPr="001C7EF3">
        <w:t>novembre 2024</w:t>
      </w:r>
    </w:p>
    <w:p w14:paraId="70B49722" w14:textId="77777777" w:rsidR="00C2676B" w:rsidRPr="001C7EF3" w:rsidRDefault="00C2676B" w:rsidP="00C2676B">
      <w:pPr>
        <w:pStyle w:val="CBDNormal"/>
        <w:rPr>
          <w:snapToGrid w:val="0"/>
          <w:lang w:val="fr-FR"/>
        </w:rPr>
      </w:pPr>
      <w:r w:rsidRPr="001C7EF3">
        <w:rPr>
          <w:snapToGrid w:val="0"/>
          <w:lang w:val="fr-FR"/>
        </w:rPr>
        <w:t>Point 27 de l’ordre du jour</w:t>
      </w:r>
    </w:p>
    <w:p w14:paraId="5560CB53" w14:textId="77777777" w:rsidR="00C2676B" w:rsidRPr="001C7EF3" w:rsidRDefault="00575B64" w:rsidP="00575B64">
      <w:pPr>
        <w:pStyle w:val="Cornernotation-Item"/>
        <w:ind w:left="0" w:firstLine="0"/>
      </w:pPr>
      <w:r w:rsidRPr="001C7EF3">
        <w:t xml:space="preserve">Examen de l’efficacité des processus </w:t>
      </w:r>
    </w:p>
    <w:p w14:paraId="1BE36EDB" w14:textId="7814E9F8" w:rsidR="00575B64" w:rsidRPr="001C7EF3" w:rsidRDefault="00575B64" w:rsidP="00575B64">
      <w:pPr>
        <w:pStyle w:val="Cornernotation-Item"/>
        <w:ind w:left="0" w:firstLine="0"/>
      </w:pPr>
      <w:r w:rsidRPr="001C7EF3">
        <w:t>de la Convention et ses Protocoles</w:t>
      </w:r>
    </w:p>
    <w:bookmarkEnd w:id="1"/>
    <w:p w14:paraId="3F49212B" w14:textId="63524708" w:rsidR="00A96B21" w:rsidRPr="001C7EF3" w:rsidRDefault="00FC12F6" w:rsidP="001454DA">
      <w:pPr>
        <w:pStyle w:val="CBDTitle"/>
        <w:rPr>
          <w:szCs w:val="28"/>
          <w:lang w:val="fr-FR"/>
        </w:rPr>
      </w:pPr>
      <w:sdt>
        <w:sdtPr>
          <w:rPr>
            <w:rFonts w:eastAsiaTheme="majorEastAsia" w:cstheme="majorBidi"/>
            <w:szCs w:val="28"/>
            <w:lang w:val="fr-FR"/>
          </w:rPr>
          <w:alias w:val="Titr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D64BA8" w:rsidRPr="001C7EF3">
            <w:rPr>
              <w:rFonts w:eastAsiaTheme="majorEastAsia" w:cstheme="majorBidi"/>
              <w:szCs w:val="28"/>
              <w:lang w:val="fr-FR"/>
            </w:rPr>
            <w:t>Décision adoptée par la Conférence des Parties à la Convention sur la diversité biologique le 1er novembre 2024</w:t>
          </w:r>
        </w:sdtContent>
      </w:sdt>
    </w:p>
    <w:p w14:paraId="24AF09E8" w14:textId="006FDC0C" w:rsidR="00342C89" w:rsidRPr="001C7EF3" w:rsidRDefault="00D64BA8" w:rsidP="006852AB">
      <w:pPr>
        <w:pStyle w:val="CBDSubTitle"/>
        <w:rPr>
          <w:sz w:val="24"/>
          <w:szCs w:val="24"/>
          <w:lang w:val="fr-FR"/>
        </w:rPr>
      </w:pPr>
      <w:r w:rsidRPr="001C7EF3">
        <w:rPr>
          <w:sz w:val="24"/>
          <w:szCs w:val="24"/>
          <w:lang w:val="fr-FR"/>
        </w:rPr>
        <w:t>16/24.</w:t>
      </w:r>
      <w:r w:rsidRPr="001C7EF3">
        <w:rPr>
          <w:sz w:val="24"/>
          <w:szCs w:val="24"/>
          <w:lang w:val="fr-FR"/>
        </w:rPr>
        <w:tab/>
        <w:t>Procédures relatives à la tenue de réunions en ligne et hybrides</w:t>
      </w:r>
    </w:p>
    <w:p w14:paraId="49C29AFF" w14:textId="77777777" w:rsidR="00342C89" w:rsidRPr="001C7EF3" w:rsidRDefault="00342C89" w:rsidP="00711BA3">
      <w:pPr>
        <w:pStyle w:val="ListParagraph"/>
        <w:keepNext/>
        <w:spacing w:before="120" w:after="120"/>
        <w:ind w:left="567" w:firstLine="567"/>
        <w:contextualSpacing w:val="0"/>
        <w:rPr>
          <w:iCs/>
          <w:kern w:val="22"/>
        </w:rPr>
      </w:pPr>
      <w:r w:rsidRPr="001C7EF3">
        <w:rPr>
          <w:i/>
          <w:iCs/>
        </w:rPr>
        <w:t>La Conférence des Parties,</w:t>
      </w:r>
      <w:r w:rsidRPr="001C7EF3">
        <w:t xml:space="preserve"> </w:t>
      </w:r>
    </w:p>
    <w:p w14:paraId="0ACCBA04" w14:textId="059DDEE9" w:rsidR="00627789" w:rsidRPr="001C7EF3" w:rsidRDefault="00627789" w:rsidP="006852AB">
      <w:pPr>
        <w:pStyle w:val="CBDNormal"/>
        <w:spacing w:before="120" w:after="120"/>
        <w:ind w:left="567" w:firstLine="567"/>
        <w:rPr>
          <w:rFonts w:eastAsia="Times New Roman"/>
          <w:szCs w:val="24"/>
          <w:lang w:val="fr-FR"/>
        </w:rPr>
      </w:pPr>
      <w:r w:rsidRPr="001C7EF3">
        <w:rPr>
          <w:i/>
          <w:iCs/>
          <w:szCs w:val="24"/>
          <w:lang w:val="fr-FR"/>
        </w:rPr>
        <w:t>Réaffirmant</w:t>
      </w:r>
      <w:r w:rsidRPr="001C7EF3">
        <w:rPr>
          <w:lang w:val="fr-FR"/>
        </w:rPr>
        <w:t xml:space="preserve"> que toutes </w:t>
      </w:r>
      <w:r w:rsidR="00875005" w:rsidRPr="001C7EF3">
        <w:rPr>
          <w:lang w:val="fr-FR"/>
        </w:rPr>
        <w:t>ses</w:t>
      </w:r>
      <w:r w:rsidRPr="001C7EF3">
        <w:rPr>
          <w:lang w:val="fr-FR"/>
        </w:rPr>
        <w:t xml:space="preserve"> réunions, ainsi que les réunions des organes subsidiaires intergouvernementaux de la Convention</w:t>
      </w:r>
      <w:r w:rsidR="00875005" w:rsidRPr="001C7EF3">
        <w:rPr>
          <w:lang w:val="fr-FR"/>
        </w:rPr>
        <w:t xml:space="preserve"> à la diversité biologique</w:t>
      </w:r>
      <w:r w:rsidR="00875005" w:rsidRPr="001C7EF3">
        <w:rPr>
          <w:rFonts w:eastAsia="Times New Roman"/>
          <w:szCs w:val="24"/>
          <w:vertAlign w:val="superscript"/>
          <w:lang w:val="fr-FR"/>
        </w:rPr>
        <w:footnoteReference w:id="2"/>
      </w:r>
      <w:r w:rsidRPr="001C7EF3">
        <w:rPr>
          <w:lang w:val="fr-FR"/>
        </w:rPr>
        <w:t>, doivent respecter leur règlement intérieur respectif,</w:t>
      </w:r>
    </w:p>
    <w:p w14:paraId="6B08D962" w14:textId="411B9428" w:rsidR="00627789" w:rsidRPr="001C7EF3" w:rsidRDefault="00627789" w:rsidP="006852AB">
      <w:pPr>
        <w:pStyle w:val="CBDNormal"/>
        <w:spacing w:before="120" w:after="120"/>
        <w:ind w:left="567" w:firstLine="567"/>
        <w:rPr>
          <w:rFonts w:eastAsia="Times New Roman"/>
          <w:szCs w:val="24"/>
          <w:lang w:val="fr-FR"/>
        </w:rPr>
      </w:pPr>
      <w:r w:rsidRPr="001C7EF3">
        <w:rPr>
          <w:lang w:val="fr-FR"/>
        </w:rPr>
        <w:t>1.</w:t>
      </w:r>
      <w:r w:rsidRPr="001C7EF3">
        <w:rPr>
          <w:lang w:val="fr-FR"/>
        </w:rPr>
        <w:tab/>
      </w:r>
      <w:r w:rsidRPr="001C7EF3">
        <w:rPr>
          <w:i/>
          <w:iCs/>
          <w:szCs w:val="24"/>
          <w:lang w:val="fr-FR"/>
        </w:rPr>
        <w:t>Affirme</w:t>
      </w:r>
      <w:r w:rsidRPr="001C7EF3">
        <w:rPr>
          <w:lang w:val="fr-FR"/>
        </w:rPr>
        <w:t xml:space="preserve"> que </w:t>
      </w:r>
      <w:r w:rsidR="00875005" w:rsidRPr="001C7EF3">
        <w:rPr>
          <w:lang w:val="fr-FR"/>
        </w:rPr>
        <w:t>ses</w:t>
      </w:r>
      <w:r w:rsidRPr="001C7EF3">
        <w:rPr>
          <w:lang w:val="fr-FR"/>
        </w:rPr>
        <w:t xml:space="preserve"> réunions, ainsi que les réunions des organes subsidiaires intergouvernementaux de la Convention</w:t>
      </w:r>
      <w:r w:rsidR="00875005" w:rsidRPr="001C7EF3">
        <w:rPr>
          <w:lang w:val="fr-FR"/>
        </w:rPr>
        <w:t xml:space="preserve"> sur la diversité biologique</w:t>
      </w:r>
      <w:r w:rsidRPr="001C7EF3">
        <w:rPr>
          <w:lang w:val="fr-FR"/>
        </w:rPr>
        <w:t>, devraient se tenir en présentiel à</w:t>
      </w:r>
      <w:r w:rsidR="00F541C2" w:rsidRPr="001C7EF3">
        <w:rPr>
          <w:lang w:val="fr-FR"/>
        </w:rPr>
        <w:t> </w:t>
      </w:r>
      <w:r w:rsidRPr="001C7EF3">
        <w:rPr>
          <w:lang w:val="fr-FR"/>
        </w:rPr>
        <w:t>moins que des circonstances extraordinaires, comme indiqué au paragraphe 2 ci-dessous, ne rendent peu pratique la tenue de réunions en présentiel pendant une période prolongée</w:t>
      </w:r>
      <w:r w:rsidR="00875005" w:rsidRPr="001C7EF3">
        <w:rPr>
          <w:lang w:val="fr-FR"/>
        </w:rPr>
        <w:t> </w:t>
      </w:r>
      <w:r w:rsidRPr="001C7EF3">
        <w:rPr>
          <w:lang w:val="fr-FR"/>
        </w:rPr>
        <w:t xml:space="preserve">; </w:t>
      </w:r>
    </w:p>
    <w:p w14:paraId="4D886BB4" w14:textId="64DCF29B" w:rsidR="00627789" w:rsidRPr="001C7EF3" w:rsidRDefault="00627789" w:rsidP="006852AB">
      <w:pPr>
        <w:pStyle w:val="CBDNormal"/>
        <w:spacing w:before="120" w:after="120"/>
        <w:ind w:left="567" w:firstLine="567"/>
        <w:rPr>
          <w:rFonts w:eastAsia="Times New Roman"/>
          <w:szCs w:val="24"/>
          <w:lang w:val="fr-FR"/>
        </w:rPr>
      </w:pPr>
      <w:r w:rsidRPr="001C7EF3">
        <w:rPr>
          <w:lang w:val="fr-FR"/>
        </w:rPr>
        <w:t>2.</w:t>
      </w:r>
      <w:r w:rsidRPr="001C7EF3">
        <w:rPr>
          <w:lang w:val="fr-FR"/>
        </w:rPr>
        <w:tab/>
      </w:r>
      <w:r w:rsidRPr="001C7EF3">
        <w:rPr>
          <w:i/>
          <w:iCs/>
          <w:szCs w:val="24"/>
          <w:lang w:val="fr-FR"/>
        </w:rPr>
        <w:t>Réaffirme</w:t>
      </w:r>
      <w:r w:rsidRPr="001C7EF3">
        <w:rPr>
          <w:lang w:val="fr-FR"/>
        </w:rPr>
        <w:t xml:space="preserve"> qu’en cas de circonstances extraordinaires qui rendent peu pratique </w:t>
      </w:r>
      <w:r w:rsidR="00F541C2" w:rsidRPr="001C7EF3">
        <w:rPr>
          <w:lang w:val="fr-FR"/>
        </w:rPr>
        <w:t xml:space="preserve">la tenue de </w:t>
      </w:r>
      <w:r w:rsidRPr="001C7EF3">
        <w:rPr>
          <w:lang w:val="fr-FR"/>
        </w:rPr>
        <w:t xml:space="preserve">réunions en présentiel, les sessions des réunions mentionnées au paragraphe 1 ci-dessus pourraient se tenir en ligne selon des modalités qui permettent une participation en ligne interactive, si elles font suite à une consultation des Parties et à une décision du Bureau de la Conférence des Parties, tant qu’aucune décision de fond n’est prise en ligne, à l’exception de décisions sur des questions budgétaires et des questions de procédure permettant au Secrétariat </w:t>
      </w:r>
      <w:r w:rsidR="00121CFB" w:rsidRPr="001C7EF3">
        <w:rPr>
          <w:lang w:val="fr-FR"/>
        </w:rPr>
        <w:t xml:space="preserve">de la Convention </w:t>
      </w:r>
      <w:r w:rsidRPr="001C7EF3">
        <w:rPr>
          <w:lang w:val="fr-FR"/>
        </w:rPr>
        <w:t>de fonctionner</w:t>
      </w:r>
      <w:r w:rsidR="00F541C2" w:rsidRPr="001C7EF3">
        <w:rPr>
          <w:lang w:val="fr-FR"/>
        </w:rPr>
        <w:t> </w:t>
      </w:r>
      <w:r w:rsidRPr="001C7EF3">
        <w:rPr>
          <w:lang w:val="fr-FR"/>
        </w:rPr>
        <w:t>;</w:t>
      </w:r>
    </w:p>
    <w:p w14:paraId="0598AFD6" w14:textId="11EAFBE7" w:rsidR="00627789" w:rsidRPr="001C7EF3" w:rsidRDefault="00627789" w:rsidP="006852AB">
      <w:pPr>
        <w:pStyle w:val="CBDNormal"/>
        <w:spacing w:before="120" w:after="120"/>
        <w:ind w:left="567" w:firstLine="567"/>
        <w:rPr>
          <w:rFonts w:eastAsia="Times New Roman"/>
          <w:szCs w:val="24"/>
          <w:lang w:val="fr-FR"/>
        </w:rPr>
      </w:pPr>
      <w:r w:rsidRPr="001C7EF3">
        <w:rPr>
          <w:lang w:val="fr-FR"/>
        </w:rPr>
        <w:t>3.</w:t>
      </w:r>
      <w:r w:rsidRPr="001C7EF3">
        <w:rPr>
          <w:lang w:val="fr-FR"/>
        </w:rPr>
        <w:tab/>
      </w:r>
      <w:r w:rsidRPr="001C7EF3">
        <w:rPr>
          <w:i/>
          <w:iCs/>
          <w:szCs w:val="24"/>
          <w:lang w:val="fr-FR"/>
        </w:rPr>
        <w:t>Note</w:t>
      </w:r>
      <w:r w:rsidRPr="001C7EF3">
        <w:rPr>
          <w:lang w:val="fr-FR"/>
        </w:rPr>
        <w:t xml:space="preserve"> qu’en cas de circonstances extraordinaires qui rendraient peu</w:t>
      </w:r>
      <w:r w:rsidR="005B1BB8" w:rsidRPr="001C7EF3">
        <w:rPr>
          <w:lang w:val="fr-FR"/>
        </w:rPr>
        <w:t xml:space="preserve"> </w:t>
      </w:r>
      <w:r w:rsidRPr="001C7EF3">
        <w:rPr>
          <w:lang w:val="fr-FR"/>
        </w:rPr>
        <w:t>pratique la tenue de réunion</w:t>
      </w:r>
      <w:r w:rsidR="00F541C2" w:rsidRPr="001C7EF3">
        <w:rPr>
          <w:lang w:val="fr-FR"/>
        </w:rPr>
        <w:t>s</w:t>
      </w:r>
      <w:r w:rsidRPr="001C7EF3">
        <w:rPr>
          <w:lang w:val="fr-FR"/>
        </w:rPr>
        <w:t xml:space="preserve"> en présentiel, des décisions urgentes, telles que celles </w:t>
      </w:r>
      <w:r w:rsidR="00F541C2" w:rsidRPr="001C7EF3">
        <w:rPr>
          <w:lang w:val="fr-FR"/>
        </w:rPr>
        <w:t xml:space="preserve">portant </w:t>
      </w:r>
      <w:r w:rsidRPr="001C7EF3">
        <w:rPr>
          <w:lang w:val="fr-FR"/>
        </w:rPr>
        <w:t xml:space="preserve">sur des questions budgétaires, peuvent être prises par la </w:t>
      </w:r>
      <w:r w:rsidRPr="007B6B27">
        <w:rPr>
          <w:lang w:val="fr-FR"/>
        </w:rPr>
        <w:t>Conférence des Parties</w:t>
      </w:r>
      <w:r w:rsidRPr="001C7EF3">
        <w:rPr>
          <w:lang w:val="fr-FR"/>
        </w:rPr>
        <w:t xml:space="preserve"> en vertu d’une procédure d’approbation tacite, conformément à la pratique de</w:t>
      </w:r>
      <w:r w:rsidR="00A462D3">
        <w:rPr>
          <w:lang w:val="fr-FR"/>
        </w:rPr>
        <w:t xml:space="preserve"> l’Organisation de</w:t>
      </w:r>
      <w:r w:rsidRPr="001C7EF3">
        <w:rPr>
          <w:lang w:val="fr-FR"/>
        </w:rPr>
        <w:t>s Nations Unies</w:t>
      </w:r>
      <w:r w:rsidR="0033577D" w:rsidRPr="001C7EF3">
        <w:rPr>
          <w:rStyle w:val="FootnoteReference"/>
          <w:rFonts w:eastAsia="Times New Roman"/>
          <w:szCs w:val="24"/>
          <w:lang w:val="fr-FR"/>
        </w:rPr>
        <w:footnoteReference w:id="3"/>
      </w:r>
      <w:r w:rsidRPr="001C7EF3">
        <w:rPr>
          <w:lang w:val="fr-FR"/>
        </w:rPr>
        <w:t>, et à une décision du Bureau de la Conférence des Parties, à la suite de consultations des membres du Bureau avec leurs régions respectives et en application des procédures établies dans le règlement intérieur régissant la tenue d’une réunion extraordinaire</w:t>
      </w:r>
      <w:r w:rsidR="00F541C2" w:rsidRPr="001C7EF3">
        <w:rPr>
          <w:lang w:val="fr-FR"/>
        </w:rPr>
        <w:t> </w:t>
      </w:r>
      <w:r w:rsidRPr="001C7EF3">
        <w:rPr>
          <w:lang w:val="fr-FR"/>
        </w:rPr>
        <w:t>;</w:t>
      </w:r>
    </w:p>
    <w:p w14:paraId="4D9E573E" w14:textId="5824210C" w:rsidR="00627789" w:rsidRPr="001C7EF3" w:rsidRDefault="00627789" w:rsidP="006852AB">
      <w:pPr>
        <w:pStyle w:val="CBDNormal"/>
        <w:spacing w:before="120" w:after="120"/>
        <w:ind w:left="567" w:firstLine="567"/>
        <w:rPr>
          <w:rFonts w:eastAsia="Times New Roman"/>
          <w:szCs w:val="24"/>
          <w:lang w:val="fr-FR"/>
        </w:rPr>
      </w:pPr>
      <w:r w:rsidRPr="001C7EF3">
        <w:rPr>
          <w:lang w:val="fr-FR"/>
        </w:rPr>
        <w:t>4.</w:t>
      </w:r>
      <w:r w:rsidRPr="001C7EF3">
        <w:rPr>
          <w:lang w:val="fr-FR"/>
        </w:rPr>
        <w:tab/>
      </w:r>
      <w:r w:rsidRPr="001C7EF3">
        <w:rPr>
          <w:i/>
          <w:iCs/>
          <w:szCs w:val="24"/>
          <w:lang w:val="fr-FR"/>
        </w:rPr>
        <w:t xml:space="preserve">Demande </w:t>
      </w:r>
      <w:r w:rsidRPr="001C7EF3">
        <w:rPr>
          <w:lang w:val="fr-FR"/>
        </w:rPr>
        <w:t>à la Secrétaire exécutive de veiller à ce que l’organisation des réunions visées au paragraphe 1 ci-dessus comprenne toujours une disposition permettant de diffuser les débats en ligne afin que tous les délégués dûment inscrits puissent suivre les débats en temps réel</w:t>
      </w:r>
      <w:r w:rsidR="00F541C2" w:rsidRPr="001C7EF3">
        <w:rPr>
          <w:lang w:val="fr-FR"/>
        </w:rPr>
        <w:t> </w:t>
      </w:r>
      <w:r w:rsidRPr="001C7EF3">
        <w:rPr>
          <w:lang w:val="fr-FR"/>
        </w:rPr>
        <w:t>;</w:t>
      </w:r>
    </w:p>
    <w:p w14:paraId="4E85CFB2" w14:textId="3C5E2A44" w:rsidR="00627789" w:rsidRPr="001C7EF3" w:rsidRDefault="00627789" w:rsidP="006852AB">
      <w:pPr>
        <w:pStyle w:val="CBDNormal"/>
        <w:spacing w:before="120" w:after="120"/>
        <w:ind w:left="567" w:firstLine="567"/>
        <w:rPr>
          <w:rFonts w:eastAsia="Times New Roman"/>
          <w:szCs w:val="24"/>
          <w:lang w:val="fr-FR"/>
        </w:rPr>
      </w:pPr>
      <w:r w:rsidRPr="001C7EF3">
        <w:rPr>
          <w:lang w:val="fr-FR"/>
        </w:rPr>
        <w:lastRenderedPageBreak/>
        <w:t>5.</w:t>
      </w:r>
      <w:r w:rsidRPr="001C7EF3">
        <w:rPr>
          <w:lang w:val="fr-FR"/>
        </w:rPr>
        <w:tab/>
      </w:r>
      <w:r w:rsidRPr="001C7EF3">
        <w:rPr>
          <w:i/>
          <w:iCs/>
          <w:szCs w:val="24"/>
          <w:lang w:val="fr-FR"/>
        </w:rPr>
        <w:t>Note</w:t>
      </w:r>
      <w:r w:rsidRPr="001C7EF3">
        <w:rPr>
          <w:lang w:val="fr-FR"/>
        </w:rPr>
        <w:t xml:space="preserve"> que les groupes d’experts, les groupes consultatifs et d’autres groupes comptant un nombre de membres limité peuvent se réunir en présentiel, en ligne ou en format hybride, conformément à leur mission respective et, le cas échéant, leur règlement intérieur </w:t>
      </w:r>
      <w:r w:rsidR="00561A8D" w:rsidRPr="001C7EF3">
        <w:rPr>
          <w:lang w:val="fr-FR"/>
        </w:rPr>
        <w:t>respectif ;</w:t>
      </w:r>
      <w:r w:rsidRPr="001C7EF3">
        <w:rPr>
          <w:lang w:val="fr-FR"/>
        </w:rPr>
        <w:t xml:space="preserve"> </w:t>
      </w:r>
    </w:p>
    <w:p w14:paraId="7E7DC843" w14:textId="133C3AB9" w:rsidR="00627789" w:rsidRPr="001C7EF3" w:rsidRDefault="00627789" w:rsidP="006852AB">
      <w:pPr>
        <w:pStyle w:val="CBDNormal"/>
        <w:spacing w:before="120" w:after="120"/>
        <w:ind w:left="567" w:firstLine="567"/>
        <w:rPr>
          <w:rFonts w:eastAsia="Times New Roman"/>
          <w:szCs w:val="24"/>
          <w:lang w:val="fr-FR"/>
        </w:rPr>
      </w:pPr>
      <w:r w:rsidRPr="001C7EF3">
        <w:rPr>
          <w:lang w:val="fr-FR"/>
        </w:rPr>
        <w:t>6.</w:t>
      </w:r>
      <w:r w:rsidRPr="001C7EF3">
        <w:rPr>
          <w:lang w:val="fr-FR"/>
        </w:rPr>
        <w:tab/>
      </w:r>
      <w:r w:rsidRPr="001C7EF3">
        <w:rPr>
          <w:i/>
          <w:iCs/>
          <w:szCs w:val="24"/>
          <w:lang w:val="fr-FR"/>
        </w:rPr>
        <w:t>Note également</w:t>
      </w:r>
      <w:r w:rsidRPr="001C7EF3">
        <w:rPr>
          <w:lang w:val="fr-FR"/>
        </w:rPr>
        <w:t xml:space="preserve"> que pendant la période intersessions, les Bureaux peuvent se réunir </w:t>
      </w:r>
      <w:r w:rsidR="002E1C06" w:rsidRPr="001C7EF3">
        <w:rPr>
          <w:lang w:val="fr-FR"/>
        </w:rPr>
        <w:t>en ligne</w:t>
      </w:r>
      <w:r w:rsidRPr="001C7EF3">
        <w:rPr>
          <w:lang w:val="fr-FR"/>
        </w:rPr>
        <w:t xml:space="preserve"> pour donner des orientations continues au Secrétariat en ce qui concerne la préparation</w:t>
      </w:r>
      <w:r w:rsidR="005B1BB8" w:rsidRPr="001C7EF3">
        <w:rPr>
          <w:lang w:val="fr-FR"/>
        </w:rPr>
        <w:t xml:space="preserve"> et la tenue</w:t>
      </w:r>
      <w:r w:rsidRPr="001C7EF3">
        <w:rPr>
          <w:lang w:val="fr-FR"/>
        </w:rPr>
        <w:t xml:space="preserve"> des réunions de la Conférence des Parties et des organes subsidiaires compétents</w:t>
      </w:r>
      <w:r w:rsidR="00F30379" w:rsidRPr="001C7EF3">
        <w:rPr>
          <w:lang w:val="fr-FR"/>
        </w:rPr>
        <w:t> </w:t>
      </w:r>
      <w:r w:rsidRPr="001C7EF3">
        <w:rPr>
          <w:lang w:val="fr-FR"/>
        </w:rPr>
        <w:t xml:space="preserve">; </w:t>
      </w:r>
    </w:p>
    <w:p w14:paraId="3A78A20F" w14:textId="77777777" w:rsidR="00627789" w:rsidRPr="001C7EF3" w:rsidRDefault="00627789" w:rsidP="006852AB">
      <w:pPr>
        <w:pStyle w:val="CBDNormal"/>
        <w:spacing w:before="120" w:after="120"/>
        <w:ind w:left="567" w:firstLine="567"/>
        <w:rPr>
          <w:rFonts w:eastAsia="Times New Roman"/>
          <w:szCs w:val="24"/>
          <w:lang w:val="fr-FR"/>
        </w:rPr>
      </w:pPr>
      <w:r w:rsidRPr="001C7EF3">
        <w:rPr>
          <w:lang w:val="fr-FR"/>
        </w:rPr>
        <w:t>7.</w:t>
      </w:r>
      <w:r w:rsidRPr="001C7EF3">
        <w:rPr>
          <w:lang w:val="fr-FR"/>
        </w:rPr>
        <w:tab/>
      </w:r>
      <w:r w:rsidRPr="001C7EF3">
        <w:rPr>
          <w:i/>
          <w:iCs/>
          <w:szCs w:val="24"/>
          <w:lang w:val="fr-FR"/>
        </w:rPr>
        <w:t>Décide</w:t>
      </w:r>
      <w:r w:rsidRPr="001C7EF3">
        <w:rPr>
          <w:lang w:val="fr-FR"/>
        </w:rPr>
        <w:t xml:space="preserve"> que :</w:t>
      </w:r>
    </w:p>
    <w:p w14:paraId="40EDECB2" w14:textId="53D6A4C2" w:rsidR="00627789" w:rsidRPr="001C7EF3" w:rsidRDefault="00627789" w:rsidP="006852AB">
      <w:pPr>
        <w:pStyle w:val="CBDNormal"/>
        <w:spacing w:before="120" w:after="120"/>
        <w:ind w:left="567" w:firstLine="567"/>
        <w:rPr>
          <w:rFonts w:eastAsia="Times New Roman"/>
          <w:szCs w:val="24"/>
          <w:lang w:val="fr-FR"/>
        </w:rPr>
      </w:pPr>
      <w:r w:rsidRPr="001C7EF3">
        <w:rPr>
          <w:lang w:val="fr-FR"/>
        </w:rPr>
        <w:t>a)</w:t>
      </w:r>
      <w:r w:rsidRPr="001C7EF3">
        <w:rPr>
          <w:lang w:val="fr-FR"/>
        </w:rPr>
        <w:tab/>
        <w:t>Les modalités de fonctionnement de toute réunion qui se tient en ligne devraient être clairement énoncées dans une note de scénario préparée par le Secrétariat en consultation avec le Bureau concerné et mise à disposition de toutes les Parties avant l’ouverture de la réunion</w:t>
      </w:r>
      <w:r w:rsidR="00F30379" w:rsidRPr="001C7EF3">
        <w:rPr>
          <w:lang w:val="fr-FR"/>
        </w:rPr>
        <w:t> </w:t>
      </w:r>
      <w:r w:rsidRPr="001C7EF3">
        <w:rPr>
          <w:lang w:val="fr-FR"/>
        </w:rPr>
        <w:t>;</w:t>
      </w:r>
    </w:p>
    <w:p w14:paraId="029E3AF0" w14:textId="2BE36548" w:rsidR="00627789" w:rsidRPr="001C7EF3" w:rsidRDefault="00627789" w:rsidP="006852AB">
      <w:pPr>
        <w:pStyle w:val="CBDNormal"/>
        <w:spacing w:before="120" w:after="120"/>
        <w:ind w:left="567" w:firstLine="567"/>
        <w:rPr>
          <w:rFonts w:eastAsia="Times New Roman"/>
          <w:szCs w:val="24"/>
          <w:lang w:val="fr-FR"/>
        </w:rPr>
      </w:pPr>
      <w:r w:rsidRPr="001C7EF3">
        <w:rPr>
          <w:lang w:val="fr-FR"/>
        </w:rPr>
        <w:t xml:space="preserve">b) </w:t>
      </w:r>
      <w:r w:rsidRPr="001C7EF3">
        <w:rPr>
          <w:lang w:val="fr-FR"/>
        </w:rPr>
        <w:tab/>
        <w:t xml:space="preserve">Lors de la programmation de sessions de réunions en ligne, le Secrétariat doit tenir compte des difficultés importantes pour la santé et le bien-être des </w:t>
      </w:r>
      <w:r w:rsidR="00FE3A95" w:rsidRPr="001C7EF3">
        <w:rPr>
          <w:lang w:val="fr-FR"/>
        </w:rPr>
        <w:t>participants</w:t>
      </w:r>
      <w:r w:rsidRPr="001C7EF3">
        <w:rPr>
          <w:lang w:val="fr-FR"/>
        </w:rPr>
        <w:t xml:space="preserve"> résultant des différences de fuseaux horaires et viser à permettre une participation </w:t>
      </w:r>
      <w:r w:rsidR="00AC2A46">
        <w:rPr>
          <w:lang w:val="fr-FR"/>
        </w:rPr>
        <w:t>équitable</w:t>
      </w:r>
      <w:r w:rsidRPr="001C7EF3">
        <w:rPr>
          <w:lang w:val="fr-FR"/>
        </w:rPr>
        <w:t xml:space="preserve"> des Parties de toutes les régions, y compris par la rotation des horaires</w:t>
      </w:r>
      <w:r w:rsidR="00F30379" w:rsidRPr="001C7EF3">
        <w:rPr>
          <w:lang w:val="fr-FR"/>
        </w:rPr>
        <w:t> </w:t>
      </w:r>
      <w:r w:rsidRPr="001C7EF3">
        <w:rPr>
          <w:lang w:val="fr-FR"/>
        </w:rPr>
        <w:t>;</w:t>
      </w:r>
    </w:p>
    <w:p w14:paraId="0B47CD9A" w14:textId="1735CED2" w:rsidR="00627789" w:rsidRPr="001C7EF3" w:rsidRDefault="00627789" w:rsidP="006852AB">
      <w:pPr>
        <w:pStyle w:val="CBDNormal"/>
        <w:spacing w:before="120" w:after="120"/>
        <w:ind w:left="567" w:firstLine="567"/>
        <w:rPr>
          <w:rFonts w:eastAsia="Times New Roman"/>
          <w:szCs w:val="24"/>
          <w:lang w:val="fr-FR"/>
        </w:rPr>
      </w:pPr>
      <w:r w:rsidRPr="001C7EF3">
        <w:rPr>
          <w:lang w:val="fr-FR"/>
        </w:rPr>
        <w:t>c)</w:t>
      </w:r>
      <w:r w:rsidRPr="001C7EF3">
        <w:rPr>
          <w:lang w:val="fr-FR"/>
        </w:rPr>
        <w:tab/>
        <w:t xml:space="preserve">La durée des sessions en ligne devrait être limitée </w:t>
      </w:r>
      <w:r w:rsidR="00F30379" w:rsidRPr="001C7EF3">
        <w:rPr>
          <w:lang w:val="fr-FR"/>
        </w:rPr>
        <w:t xml:space="preserve">de préférence </w:t>
      </w:r>
      <w:r w:rsidRPr="001C7EF3">
        <w:rPr>
          <w:lang w:val="fr-FR"/>
        </w:rPr>
        <w:t>à deux heures consécutives par jour</w:t>
      </w:r>
      <w:r w:rsidR="001C7EF3" w:rsidRPr="001C7EF3">
        <w:rPr>
          <w:lang w:val="fr-FR"/>
        </w:rPr>
        <w:t> </w:t>
      </w:r>
      <w:r w:rsidRPr="001C7EF3">
        <w:rPr>
          <w:lang w:val="fr-FR"/>
        </w:rPr>
        <w:t xml:space="preserve">; </w:t>
      </w:r>
    </w:p>
    <w:p w14:paraId="708CBA56" w14:textId="38E9FF4A" w:rsidR="00537248" w:rsidRPr="001C7EF3" w:rsidRDefault="00627789" w:rsidP="00561A8D">
      <w:pPr>
        <w:pStyle w:val="CBDNormal"/>
        <w:spacing w:before="120" w:after="120"/>
        <w:ind w:left="567" w:firstLine="567"/>
        <w:rPr>
          <w:lang w:val="fr-FR"/>
        </w:rPr>
      </w:pPr>
      <w:r w:rsidRPr="001C7EF3">
        <w:rPr>
          <w:lang w:val="fr-FR"/>
        </w:rPr>
        <w:t>d)</w:t>
      </w:r>
      <w:r w:rsidRPr="001C7EF3">
        <w:rPr>
          <w:lang w:val="fr-FR"/>
        </w:rPr>
        <w:tab/>
        <w:t>Le Secrétariat devrait mettre en œuvre des mesures visant à faciliter la participation en ligne effective de tous les participants aux sessions en ligne et hybrides des réunions, et en particulier aider les Parties à surmonter leurs difficultés en matière de réseau et de connectivité, y compris en proposant des formations préalables et des tests, qui conviennent à tous les fuseaux horaires, en facilitant l’accès aux salles de réunions du bureau de pays des Nations Unies concerné, lorsque cela est possible, en prenant des dispositions préalables sur demande de la Partie concernée et en proposant toutes les mesures raisonnables pour aider les Parties qui rencontrent des difficultés de connectivité et d’utilisation de la plateforme interactive.</w:t>
      </w:r>
    </w:p>
    <w:p w14:paraId="61D564E2" w14:textId="77777777" w:rsidR="002B559C" w:rsidRPr="004701EE" w:rsidRDefault="00ED3849" w:rsidP="006852AB">
      <w:pPr>
        <w:pStyle w:val="Para1"/>
        <w:numPr>
          <w:ilvl w:val="0"/>
          <w:numId w:val="0"/>
        </w:numPr>
        <w:ind w:left="567"/>
        <w:jc w:val="center"/>
      </w:pPr>
      <w:r w:rsidRPr="001C7EF3">
        <w:t>__________</w:t>
      </w:r>
    </w:p>
    <w:sectPr w:rsidR="002B559C" w:rsidRPr="004701EE" w:rsidSect="001662BF">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826AC" w14:textId="77777777" w:rsidR="00CD6238" w:rsidRPr="001C7EF3" w:rsidRDefault="00CD6238" w:rsidP="00A96B21">
      <w:r w:rsidRPr="001C7EF3">
        <w:separator/>
      </w:r>
    </w:p>
  </w:endnote>
  <w:endnote w:type="continuationSeparator" w:id="0">
    <w:p w14:paraId="25E9421E" w14:textId="77777777" w:rsidR="00CD6238" w:rsidRPr="001C7EF3" w:rsidRDefault="00CD6238" w:rsidP="00A96B21">
      <w:r w:rsidRPr="001C7EF3">
        <w:continuationSeparator/>
      </w:r>
    </w:p>
  </w:endnote>
  <w:endnote w:type="continuationNotice" w:id="1">
    <w:p w14:paraId="364EC8EB" w14:textId="77777777" w:rsidR="00CD6238" w:rsidRPr="001C7EF3" w:rsidRDefault="00CD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1C7EF3" w:rsidRDefault="002B559C">
            <w:pPr>
              <w:pStyle w:val="Footer"/>
            </w:pPr>
            <w:r w:rsidRPr="001C7EF3">
              <w:rPr>
                <w:szCs w:val="20"/>
              </w:rPr>
              <w:fldChar w:fldCharType="begin"/>
            </w:r>
            <w:r w:rsidRPr="001C7EF3">
              <w:rPr>
                <w:szCs w:val="20"/>
              </w:rPr>
              <w:instrText xml:space="preserve"> PAGE </w:instrText>
            </w:r>
            <w:r w:rsidRPr="001C7EF3">
              <w:rPr>
                <w:szCs w:val="20"/>
              </w:rPr>
              <w:fldChar w:fldCharType="separate"/>
            </w:r>
            <w:r w:rsidRPr="001C7EF3">
              <w:rPr>
                <w:szCs w:val="20"/>
              </w:rPr>
              <w:t>2</w:t>
            </w:r>
            <w:r w:rsidRPr="001C7EF3">
              <w:rPr>
                <w:szCs w:val="20"/>
              </w:rPr>
              <w:fldChar w:fldCharType="end"/>
            </w:r>
            <w:r w:rsidRPr="001C7EF3">
              <w:t>/</w:t>
            </w:r>
            <w:r w:rsidRPr="001C7EF3">
              <w:rPr>
                <w:szCs w:val="20"/>
              </w:rPr>
              <w:fldChar w:fldCharType="begin"/>
            </w:r>
            <w:r w:rsidRPr="001C7EF3">
              <w:rPr>
                <w:szCs w:val="20"/>
              </w:rPr>
              <w:instrText xml:space="preserve"> NUMPAGES  </w:instrText>
            </w:r>
            <w:r w:rsidRPr="001C7EF3">
              <w:rPr>
                <w:szCs w:val="20"/>
              </w:rPr>
              <w:fldChar w:fldCharType="separate"/>
            </w:r>
            <w:r w:rsidRPr="001C7EF3">
              <w:rPr>
                <w:szCs w:val="20"/>
              </w:rPr>
              <w:t>2</w:t>
            </w:r>
            <w:r w:rsidRPr="001C7EF3">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1C7EF3" w:rsidRDefault="002B559C" w:rsidP="002B559C">
            <w:pPr>
              <w:pStyle w:val="Footer"/>
              <w:jc w:val="right"/>
            </w:pPr>
            <w:r w:rsidRPr="001C7EF3">
              <w:rPr>
                <w:szCs w:val="20"/>
              </w:rPr>
              <w:fldChar w:fldCharType="begin"/>
            </w:r>
            <w:r w:rsidRPr="001C7EF3">
              <w:rPr>
                <w:szCs w:val="20"/>
              </w:rPr>
              <w:instrText xml:space="preserve"> PAGE </w:instrText>
            </w:r>
            <w:r w:rsidRPr="001C7EF3">
              <w:rPr>
                <w:szCs w:val="20"/>
              </w:rPr>
              <w:fldChar w:fldCharType="separate"/>
            </w:r>
            <w:r w:rsidRPr="001C7EF3">
              <w:rPr>
                <w:szCs w:val="20"/>
              </w:rPr>
              <w:t>2</w:t>
            </w:r>
            <w:r w:rsidRPr="001C7EF3">
              <w:rPr>
                <w:szCs w:val="20"/>
              </w:rPr>
              <w:fldChar w:fldCharType="end"/>
            </w:r>
            <w:r w:rsidRPr="001C7EF3">
              <w:t>/</w:t>
            </w:r>
            <w:r w:rsidRPr="001C7EF3">
              <w:rPr>
                <w:szCs w:val="20"/>
              </w:rPr>
              <w:fldChar w:fldCharType="begin"/>
            </w:r>
            <w:r w:rsidRPr="001C7EF3">
              <w:rPr>
                <w:szCs w:val="20"/>
              </w:rPr>
              <w:instrText xml:space="preserve"> NUMPAGES  </w:instrText>
            </w:r>
            <w:r w:rsidRPr="001C7EF3">
              <w:rPr>
                <w:szCs w:val="20"/>
              </w:rPr>
              <w:fldChar w:fldCharType="separate"/>
            </w:r>
            <w:r w:rsidRPr="001C7EF3">
              <w:rPr>
                <w:szCs w:val="20"/>
              </w:rPr>
              <w:t>2</w:t>
            </w:r>
            <w:r w:rsidRPr="001C7EF3">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9A5CA" w14:textId="3C68E145" w:rsidR="00C27472" w:rsidRPr="001C7EF3" w:rsidRDefault="00C27472" w:rsidP="006852AB">
    <w:pPr>
      <w:pStyle w:val="Footer"/>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73560" w14:textId="77777777" w:rsidR="00CD6238" w:rsidRPr="001C7EF3" w:rsidRDefault="00CD6238" w:rsidP="00A96B21">
      <w:r w:rsidRPr="001C7EF3">
        <w:separator/>
      </w:r>
    </w:p>
  </w:footnote>
  <w:footnote w:type="continuationSeparator" w:id="0">
    <w:p w14:paraId="4DA53424" w14:textId="77777777" w:rsidR="00CD6238" w:rsidRPr="001C7EF3" w:rsidRDefault="00CD6238" w:rsidP="00A96B21">
      <w:r w:rsidRPr="001C7EF3">
        <w:continuationSeparator/>
      </w:r>
    </w:p>
  </w:footnote>
  <w:footnote w:type="continuationNotice" w:id="1">
    <w:p w14:paraId="6140B5FB" w14:textId="77777777" w:rsidR="00CD6238" w:rsidRPr="001C7EF3" w:rsidRDefault="00CD6238"/>
  </w:footnote>
  <w:footnote w:id="2">
    <w:p w14:paraId="147D39B5" w14:textId="77777777" w:rsidR="00875005" w:rsidRPr="001C7EF3" w:rsidRDefault="00875005" w:rsidP="00875005">
      <w:pPr>
        <w:pStyle w:val="FootnoteText"/>
        <w:rPr>
          <w:szCs w:val="18"/>
        </w:rPr>
      </w:pPr>
      <w:r w:rsidRPr="001C7EF3">
        <w:rPr>
          <w:rStyle w:val="FootnoteReference"/>
          <w:szCs w:val="18"/>
        </w:rPr>
        <w:footnoteRef/>
      </w:r>
      <w:r w:rsidRPr="001C7EF3">
        <w:t xml:space="preserve"> Nations Unies, </w:t>
      </w:r>
      <w:r w:rsidRPr="001C7EF3">
        <w:rPr>
          <w:i/>
        </w:rPr>
        <w:t>Recueil des Traités</w:t>
      </w:r>
      <w:r w:rsidRPr="001C7EF3">
        <w:t>, vol. 1760, n</w:t>
      </w:r>
      <w:r w:rsidRPr="001C7EF3">
        <w:rPr>
          <w:vertAlign w:val="superscript"/>
        </w:rPr>
        <w:t>o</w:t>
      </w:r>
      <w:r w:rsidRPr="001C7EF3">
        <w:t> 30619.</w:t>
      </w:r>
    </w:p>
  </w:footnote>
  <w:footnote w:id="3">
    <w:p w14:paraId="31177F5F" w14:textId="300D33BD" w:rsidR="0033577D" w:rsidRPr="0012107C" w:rsidRDefault="0033577D" w:rsidP="0033577D">
      <w:pPr>
        <w:pStyle w:val="FootnoteText"/>
        <w:rPr>
          <w:lang w:val="fr-CA"/>
        </w:rPr>
      </w:pPr>
      <w:r w:rsidRPr="001C7EF3">
        <w:rPr>
          <w:rStyle w:val="FootnoteReference"/>
        </w:rPr>
        <w:footnoteRef/>
      </w:r>
      <w:r w:rsidRPr="001C7EF3">
        <w:t xml:space="preserve"> </w:t>
      </w:r>
      <w:r w:rsidR="00F73979" w:rsidRPr="001C7EF3">
        <w:t xml:space="preserve">Les procédures d’approbation </w:t>
      </w:r>
      <w:r w:rsidR="0012107C">
        <w:t xml:space="preserve">tacite </w:t>
      </w:r>
      <w:r w:rsidR="00F73979" w:rsidRPr="001C7EF3">
        <w:t>de</w:t>
      </w:r>
      <w:r w:rsidR="00FC12F6">
        <w:t xml:space="preserve"> l’Organisation de</w:t>
      </w:r>
      <w:r w:rsidR="00F73979" w:rsidRPr="001C7EF3">
        <w:t>s Nations Unies sont des procédures écrites.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518D3E9D" w14:textId="7BC937A7" w:rsidR="00A00234" w:rsidRPr="001C7EF3" w:rsidRDefault="00FC12F6" w:rsidP="003E4F38">
    <w:pPr>
      <w:pStyle w:val="Header"/>
      <w:spacing w:after="240"/>
    </w:pPr>
    <w:sdt>
      <w:sdtPr>
        <w:rPr>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A50E1" w:rsidRPr="001C7EF3">
          <w:rPr>
            <w:szCs w:val="20"/>
          </w:rPr>
          <w:t>CBD/COP/</w:t>
        </w:r>
        <w:r w:rsidR="00F541C2" w:rsidRPr="001C7EF3">
          <w:rPr>
            <w:szCs w:val="20"/>
          </w:rPr>
          <w:t>DEC/</w:t>
        </w:r>
        <w:r w:rsidR="007A50E1" w:rsidRPr="001C7EF3">
          <w:rPr>
            <w:szCs w:val="20"/>
          </w:rPr>
          <w:t>16/</w:t>
        </w:r>
        <w:r w:rsidR="00F541C2" w:rsidRPr="001C7EF3">
          <w:rPr>
            <w:szCs w:val="20"/>
          </w:rPr>
          <w:t>24</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6E1F1B86" w:rsidR="002B559C" w:rsidRPr="001C7EF3" w:rsidRDefault="00F541C2" w:rsidP="002B559C">
        <w:pPr>
          <w:pStyle w:val="Header"/>
          <w:spacing w:after="240"/>
          <w:jc w:val="right"/>
          <w:rPr>
            <w:szCs w:val="20"/>
          </w:rPr>
        </w:pPr>
        <w:r w:rsidRPr="001C7EF3">
          <w:rPr>
            <w:szCs w:val="20"/>
          </w:rPr>
          <w:t>CBD/COP/DEC/16/24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0B83150" w:rsidR="001662BF" w:rsidRPr="001C7EF3" w:rsidRDefault="001662BF" w:rsidP="00436C7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1134"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134" w:firstLine="567"/>
      </w:pPr>
      <w:rPr>
        <w:rFonts w:ascii="Times New Roman" w:hAnsi="Times New Roman" w:hint="default"/>
        <w:b w:val="0"/>
        <w:i w:val="0"/>
        <w:sz w:val="22"/>
      </w:rPr>
    </w:lvl>
    <w:lvl w:ilvl="2">
      <w:start w:val="1"/>
      <w:numFmt w:val="lowerRoman"/>
      <w:lvlText w:val="(%3)"/>
      <w:lvlJc w:val="left"/>
      <w:pPr>
        <w:ind w:left="2835" w:hanging="567"/>
      </w:pPr>
      <w:rPr>
        <w:rFonts w:ascii="Times New Roman" w:hAnsi="Times New Roman" w:hint="default"/>
        <w:sz w:val="22"/>
      </w:rPr>
    </w:lvl>
    <w:lvl w:ilvl="3">
      <w:start w:val="1"/>
      <w:numFmt w:val="decimal"/>
      <w:lvlText w:val="(%4)"/>
      <w:lvlJc w:val="left"/>
      <w:pPr>
        <w:ind w:left="3402" w:hanging="567"/>
      </w:pPr>
      <w:rPr>
        <w:rFonts w:ascii="Times New Roman" w:hAnsi="Times New Roman" w:hint="default"/>
        <w:sz w:val="22"/>
      </w:rPr>
    </w:lvl>
    <w:lvl w:ilvl="4">
      <w:start w:val="1"/>
      <w:numFmt w:val="lowerLetter"/>
      <w:lvlText w:val="(%5)"/>
      <w:lvlJc w:val="left"/>
      <w:pPr>
        <w:ind w:left="3969" w:hanging="567"/>
      </w:pPr>
      <w:rPr>
        <w:rFonts w:hint="default"/>
      </w:rPr>
    </w:lvl>
    <w:lvl w:ilvl="5">
      <w:start w:val="1"/>
      <w:numFmt w:val="lowerRoman"/>
      <w:lvlText w:val="(%6)"/>
      <w:lvlJc w:val="left"/>
      <w:pPr>
        <w:ind w:left="3393" w:hanging="360"/>
      </w:pPr>
      <w:rPr>
        <w:rFonts w:hint="default"/>
      </w:rPr>
    </w:lvl>
    <w:lvl w:ilvl="6">
      <w:start w:val="1"/>
      <w:numFmt w:val="decimal"/>
      <w:lvlText w:val="%7."/>
      <w:lvlJc w:val="left"/>
      <w:pPr>
        <w:ind w:left="3753" w:hanging="360"/>
      </w:pPr>
      <w:rPr>
        <w:rFonts w:hint="default"/>
      </w:rPr>
    </w:lvl>
    <w:lvl w:ilvl="7">
      <w:start w:val="1"/>
      <w:numFmt w:val="lowerLetter"/>
      <w:lvlText w:val="%8."/>
      <w:lvlJc w:val="left"/>
      <w:pPr>
        <w:ind w:left="4113" w:hanging="360"/>
      </w:pPr>
      <w:rPr>
        <w:rFonts w:hint="default"/>
      </w:rPr>
    </w:lvl>
    <w:lvl w:ilvl="8">
      <w:start w:val="1"/>
      <w:numFmt w:val="lowerRoman"/>
      <w:lvlText w:val="%9."/>
      <w:lvlJc w:val="left"/>
      <w:pPr>
        <w:ind w:left="4473"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25E2A"/>
    <w:rsid w:val="00040598"/>
    <w:rsid w:val="00041074"/>
    <w:rsid w:val="00062176"/>
    <w:rsid w:val="0006764E"/>
    <w:rsid w:val="0007619F"/>
    <w:rsid w:val="000A494B"/>
    <w:rsid w:val="000B1E29"/>
    <w:rsid w:val="000B4523"/>
    <w:rsid w:val="000F66FD"/>
    <w:rsid w:val="00110AF0"/>
    <w:rsid w:val="0012107C"/>
    <w:rsid w:val="00121CFB"/>
    <w:rsid w:val="00132581"/>
    <w:rsid w:val="001454DA"/>
    <w:rsid w:val="001644B4"/>
    <w:rsid w:val="001662BF"/>
    <w:rsid w:val="00184909"/>
    <w:rsid w:val="00191BB0"/>
    <w:rsid w:val="001A2527"/>
    <w:rsid w:val="001C1127"/>
    <w:rsid w:val="001C11EA"/>
    <w:rsid w:val="001C7EF3"/>
    <w:rsid w:val="001D7501"/>
    <w:rsid w:val="001E452A"/>
    <w:rsid w:val="001E4E16"/>
    <w:rsid w:val="00232773"/>
    <w:rsid w:val="00272422"/>
    <w:rsid w:val="00284331"/>
    <w:rsid w:val="002A741B"/>
    <w:rsid w:val="002B00CA"/>
    <w:rsid w:val="002B559C"/>
    <w:rsid w:val="002E1C06"/>
    <w:rsid w:val="00303F0B"/>
    <w:rsid w:val="00310608"/>
    <w:rsid w:val="00311E19"/>
    <w:rsid w:val="00323F22"/>
    <w:rsid w:val="003313B9"/>
    <w:rsid w:val="0033577D"/>
    <w:rsid w:val="00342C89"/>
    <w:rsid w:val="003432EB"/>
    <w:rsid w:val="003476A9"/>
    <w:rsid w:val="003572F0"/>
    <w:rsid w:val="003758FA"/>
    <w:rsid w:val="0039635E"/>
    <w:rsid w:val="003A157D"/>
    <w:rsid w:val="003C25A2"/>
    <w:rsid w:val="003C3310"/>
    <w:rsid w:val="003C6F10"/>
    <w:rsid w:val="003D419B"/>
    <w:rsid w:val="003D6731"/>
    <w:rsid w:val="003E4F38"/>
    <w:rsid w:val="003F30C5"/>
    <w:rsid w:val="0040038D"/>
    <w:rsid w:val="00435FC7"/>
    <w:rsid w:val="00436C75"/>
    <w:rsid w:val="00441498"/>
    <w:rsid w:val="004701EE"/>
    <w:rsid w:val="00480A8D"/>
    <w:rsid w:val="0048237F"/>
    <w:rsid w:val="004A2A2D"/>
    <w:rsid w:val="004B1107"/>
    <w:rsid w:val="004C6544"/>
    <w:rsid w:val="004D0FE7"/>
    <w:rsid w:val="004E7BA2"/>
    <w:rsid w:val="005365DE"/>
    <w:rsid w:val="00537248"/>
    <w:rsid w:val="00561A8D"/>
    <w:rsid w:val="00575B64"/>
    <w:rsid w:val="005819E3"/>
    <w:rsid w:val="00591575"/>
    <w:rsid w:val="00595A79"/>
    <w:rsid w:val="00597DE5"/>
    <w:rsid w:val="005A206E"/>
    <w:rsid w:val="005A2423"/>
    <w:rsid w:val="005B1BB8"/>
    <w:rsid w:val="005C0058"/>
    <w:rsid w:val="005D0EAC"/>
    <w:rsid w:val="005E2605"/>
    <w:rsid w:val="0060024D"/>
    <w:rsid w:val="00606736"/>
    <w:rsid w:val="0061227E"/>
    <w:rsid w:val="00613595"/>
    <w:rsid w:val="00627789"/>
    <w:rsid w:val="006342C5"/>
    <w:rsid w:val="00650D46"/>
    <w:rsid w:val="006531D1"/>
    <w:rsid w:val="00657ED6"/>
    <w:rsid w:val="006820AB"/>
    <w:rsid w:val="006852AB"/>
    <w:rsid w:val="0069332B"/>
    <w:rsid w:val="006A45B5"/>
    <w:rsid w:val="006B293D"/>
    <w:rsid w:val="006B3231"/>
    <w:rsid w:val="006B4FD7"/>
    <w:rsid w:val="006C41B3"/>
    <w:rsid w:val="006D719D"/>
    <w:rsid w:val="006E0DB5"/>
    <w:rsid w:val="006F799E"/>
    <w:rsid w:val="0070763A"/>
    <w:rsid w:val="00711BA3"/>
    <w:rsid w:val="00712FE5"/>
    <w:rsid w:val="0075018F"/>
    <w:rsid w:val="0076622F"/>
    <w:rsid w:val="00783CB8"/>
    <w:rsid w:val="007925D6"/>
    <w:rsid w:val="007A50E1"/>
    <w:rsid w:val="007B6B27"/>
    <w:rsid w:val="007C6746"/>
    <w:rsid w:val="007C7103"/>
    <w:rsid w:val="007C77BC"/>
    <w:rsid w:val="008001AF"/>
    <w:rsid w:val="00814AA3"/>
    <w:rsid w:val="008727D0"/>
    <w:rsid w:val="00874541"/>
    <w:rsid w:val="00875005"/>
    <w:rsid w:val="00875801"/>
    <w:rsid w:val="0087582D"/>
    <w:rsid w:val="00880330"/>
    <w:rsid w:val="00893D52"/>
    <w:rsid w:val="008A02D3"/>
    <w:rsid w:val="008D2345"/>
    <w:rsid w:val="008E0581"/>
    <w:rsid w:val="008F2E47"/>
    <w:rsid w:val="00901591"/>
    <w:rsid w:val="0091253C"/>
    <w:rsid w:val="009348BE"/>
    <w:rsid w:val="00935461"/>
    <w:rsid w:val="009459E3"/>
    <w:rsid w:val="009535B7"/>
    <w:rsid w:val="009632E9"/>
    <w:rsid w:val="00972D41"/>
    <w:rsid w:val="00992F33"/>
    <w:rsid w:val="00995DDC"/>
    <w:rsid w:val="009C1114"/>
    <w:rsid w:val="00A00234"/>
    <w:rsid w:val="00A24B67"/>
    <w:rsid w:val="00A349E1"/>
    <w:rsid w:val="00A44F50"/>
    <w:rsid w:val="00A462D3"/>
    <w:rsid w:val="00A54FA0"/>
    <w:rsid w:val="00A61A74"/>
    <w:rsid w:val="00A749F9"/>
    <w:rsid w:val="00A77E53"/>
    <w:rsid w:val="00A911F5"/>
    <w:rsid w:val="00A96B21"/>
    <w:rsid w:val="00AC2A46"/>
    <w:rsid w:val="00AD12C6"/>
    <w:rsid w:val="00AE1A95"/>
    <w:rsid w:val="00AF291E"/>
    <w:rsid w:val="00AF387A"/>
    <w:rsid w:val="00AF3B43"/>
    <w:rsid w:val="00B1017C"/>
    <w:rsid w:val="00B36EA9"/>
    <w:rsid w:val="00B41BF6"/>
    <w:rsid w:val="00B47BB1"/>
    <w:rsid w:val="00B50CC4"/>
    <w:rsid w:val="00B52381"/>
    <w:rsid w:val="00B66B6B"/>
    <w:rsid w:val="00B77AAF"/>
    <w:rsid w:val="00B93533"/>
    <w:rsid w:val="00BB60F0"/>
    <w:rsid w:val="00BE3FF0"/>
    <w:rsid w:val="00C2354A"/>
    <w:rsid w:val="00C2676B"/>
    <w:rsid w:val="00C27472"/>
    <w:rsid w:val="00C556F0"/>
    <w:rsid w:val="00C727E5"/>
    <w:rsid w:val="00CB0D9D"/>
    <w:rsid w:val="00CB29E5"/>
    <w:rsid w:val="00CD6238"/>
    <w:rsid w:val="00CE3D31"/>
    <w:rsid w:val="00CF70AB"/>
    <w:rsid w:val="00D011C5"/>
    <w:rsid w:val="00D3059B"/>
    <w:rsid w:val="00D3386F"/>
    <w:rsid w:val="00D36609"/>
    <w:rsid w:val="00D42384"/>
    <w:rsid w:val="00D454C8"/>
    <w:rsid w:val="00D45C20"/>
    <w:rsid w:val="00D51712"/>
    <w:rsid w:val="00D60046"/>
    <w:rsid w:val="00D64BA8"/>
    <w:rsid w:val="00D64F28"/>
    <w:rsid w:val="00D71FFB"/>
    <w:rsid w:val="00D86802"/>
    <w:rsid w:val="00DB34D7"/>
    <w:rsid w:val="00DD1C1B"/>
    <w:rsid w:val="00DD7343"/>
    <w:rsid w:val="00DE0FF5"/>
    <w:rsid w:val="00DE35E9"/>
    <w:rsid w:val="00DF0352"/>
    <w:rsid w:val="00DF6E2A"/>
    <w:rsid w:val="00E01B79"/>
    <w:rsid w:val="00E045C9"/>
    <w:rsid w:val="00E1597C"/>
    <w:rsid w:val="00E2433D"/>
    <w:rsid w:val="00E44A51"/>
    <w:rsid w:val="00E44D7E"/>
    <w:rsid w:val="00E740AC"/>
    <w:rsid w:val="00E851DB"/>
    <w:rsid w:val="00E8771A"/>
    <w:rsid w:val="00EB09C7"/>
    <w:rsid w:val="00EB437C"/>
    <w:rsid w:val="00EC554C"/>
    <w:rsid w:val="00ED3849"/>
    <w:rsid w:val="00ED5C96"/>
    <w:rsid w:val="00ED6050"/>
    <w:rsid w:val="00EE49FA"/>
    <w:rsid w:val="00EE5C23"/>
    <w:rsid w:val="00EE6409"/>
    <w:rsid w:val="00F0122F"/>
    <w:rsid w:val="00F258FB"/>
    <w:rsid w:val="00F30379"/>
    <w:rsid w:val="00F541C2"/>
    <w:rsid w:val="00F56AE3"/>
    <w:rsid w:val="00F65CB0"/>
    <w:rsid w:val="00F73979"/>
    <w:rsid w:val="00F75F90"/>
    <w:rsid w:val="00F86190"/>
    <w:rsid w:val="00F91295"/>
    <w:rsid w:val="00FA18C9"/>
    <w:rsid w:val="00FA494D"/>
    <w:rsid w:val="00FC12F6"/>
    <w:rsid w:val="00FD1E8F"/>
    <w:rsid w:val="00FE0B22"/>
    <w:rsid w:val="00FE3A95"/>
    <w:rsid w:val="00FE403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fr-FR"/>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fr-CA"/>
      <w14:ligatures w14:val="none"/>
    </w:rPr>
  </w:style>
  <w:style w:type="character" w:customStyle="1" w:styleId="Heading5Char">
    <w:name w:val="Heading 5 Char"/>
    <w:aliases w:val="Heading 5 - GTI Char"/>
    <w:basedOn w:val="DefaultParagraphFont"/>
    <w:link w:val="Heading5"/>
    <w:uiPriority w:val="9"/>
    <w:rsid w:val="00B93533"/>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fr-CA"/>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fr-CA"/>
      <w14:ligatures w14:val="none"/>
    </w:rPr>
  </w:style>
  <w:style w:type="paragraph" w:styleId="Revision">
    <w:name w:val="Revision"/>
    <w:hidden/>
    <w:uiPriority w:val="99"/>
    <w:semiHidden/>
    <w:rsid w:val="00EB437C"/>
    <w:pPr>
      <w:spacing w:after="0" w:line="240" w:lineRule="auto"/>
    </w:pPr>
    <w:rPr>
      <w:rFonts w:ascii="Times New Roman" w:eastAsia="SimSun" w:hAnsi="Times New Roman" w:cs="Times New Roman"/>
      <w:kern w:val="0"/>
      <w14:ligatures w14:val="none"/>
    </w:rPr>
  </w:style>
  <w:style w:type="character" w:styleId="UnresolvedMention">
    <w:name w:val="Unresolved Mention"/>
    <w:basedOn w:val="DefaultParagraphFont"/>
    <w:uiPriority w:val="99"/>
    <w:semiHidden/>
    <w:unhideWhenUsed/>
    <w:rsid w:val="00DD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AppData\Local\Microsoft\Windows\INetCache\Content.Outlook\PX35WSF6\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36A4E"/>
    <w:rsid w:val="00083B6D"/>
    <w:rsid w:val="001627D0"/>
    <w:rsid w:val="001644B4"/>
    <w:rsid w:val="001C11EA"/>
    <w:rsid w:val="002D1F36"/>
    <w:rsid w:val="00303F0B"/>
    <w:rsid w:val="003432EB"/>
    <w:rsid w:val="003A157D"/>
    <w:rsid w:val="003D6731"/>
    <w:rsid w:val="005A2423"/>
    <w:rsid w:val="00690FA8"/>
    <w:rsid w:val="006F799E"/>
    <w:rsid w:val="00764DF4"/>
    <w:rsid w:val="007E63E9"/>
    <w:rsid w:val="00811444"/>
    <w:rsid w:val="008231BD"/>
    <w:rsid w:val="008D2345"/>
    <w:rsid w:val="0091253C"/>
    <w:rsid w:val="00B41BF6"/>
    <w:rsid w:val="00B77AAF"/>
    <w:rsid w:val="00B85C85"/>
    <w:rsid w:val="00C745DC"/>
    <w:rsid w:val="00CF2E80"/>
    <w:rsid w:val="00D277CB"/>
    <w:rsid w:val="00D54593"/>
    <w:rsid w:val="00DB34D7"/>
    <w:rsid w:val="00E44A51"/>
    <w:rsid w:val="00EC53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TotalTime>
  <Pages>2</Pages>
  <Words>696</Words>
  <Characters>3969</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Procédures relatives à la tenue de réunions en ligne et hybrides</vt:lpstr>
      <vt:lpstr>Title of the document</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CBD/COP/DEC/16/24</dc:subject>
  <dc:creator>Secretariat of the Convention on Biological Diversity</dc:creator>
  <cp:keywords>Conference of the Parties to the Convention on Biological Diversity</cp:keywords>
  <dc:description/>
  <cp:lastModifiedBy>Mariko Nishi</cp:lastModifiedBy>
  <cp:revision>25</cp:revision>
  <dcterms:created xsi:type="dcterms:W3CDTF">2024-12-15T20:39:00Z</dcterms:created>
  <dcterms:modified xsi:type="dcterms:W3CDTF">2024-12-17T16:52:00Z</dcterms:modified>
</cp:coreProperties>
</file>