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960"/>
        <w:gridCol w:w="615"/>
        <w:gridCol w:w="4067"/>
      </w:tblGrid>
      <w:tr w:rsidR="00A96B21" w:rsidRPr="00D1707B" w14:paraId="69728923" w14:textId="77777777" w:rsidTr="00B55C48">
        <w:trPr>
          <w:trHeight w:val="851"/>
        </w:trPr>
        <w:tc>
          <w:tcPr>
            <w:tcW w:w="406" w:type="pct"/>
            <w:tcBorders>
              <w:bottom w:val="single" w:sz="8" w:space="0" w:color="auto"/>
            </w:tcBorders>
            <w:vAlign w:val="bottom"/>
          </w:tcPr>
          <w:p w14:paraId="621F38AF" w14:textId="77777777" w:rsidR="00A96B21" w:rsidRPr="00D1707B" w:rsidRDefault="00A96B21" w:rsidP="00332657">
            <w:pPr>
              <w:spacing w:after="120"/>
              <w:jc w:val="left"/>
            </w:pPr>
            <w:bookmarkStart w:id="0" w:name="_Hlk137651738"/>
            <w:r>
              <w:rPr>
                <w:noProof/>
              </w:rPr>
              <w:drawing>
                <wp:inline distT="0" distB="0" distL="0" distR="0" wp14:anchorId="22D32F8F" wp14:editId="1AD440A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2656" w:type="pct"/>
            <w:gridSpan w:val="2"/>
            <w:tcBorders>
              <w:bottom w:val="single" w:sz="8" w:space="0" w:color="auto"/>
            </w:tcBorders>
            <w:shd w:val="clear" w:color="auto" w:fill="auto"/>
            <w:tcFitText/>
            <w:vAlign w:val="bottom"/>
          </w:tcPr>
          <w:p w14:paraId="62CE765A" w14:textId="77777777" w:rsidR="00A96B21" w:rsidRPr="00D1707B" w:rsidRDefault="00A96B21" w:rsidP="00332657">
            <w:pPr>
              <w:spacing w:after="120"/>
              <w:jc w:val="left"/>
            </w:pPr>
            <w:r>
              <w:rPr>
                <w:noProof/>
              </w:rPr>
              <w:drawing>
                <wp:inline distT="0" distB="0" distL="0" distR="0" wp14:anchorId="5BC09630" wp14:editId="1DEF6AB1">
                  <wp:extent cx="500870" cy="286211"/>
                  <wp:effectExtent l="0" t="0" r="0" b="0"/>
                  <wp:docPr id="185862919" name="Picture 18586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00870" cy="286211"/>
                          </a:xfrm>
                          <a:prstGeom prst="rect">
                            <a:avLst/>
                          </a:prstGeom>
                          <a:noFill/>
                          <a:ln>
                            <a:noFill/>
                          </a:ln>
                        </pic:spPr>
                      </pic:pic>
                    </a:graphicData>
                  </a:graphic>
                </wp:inline>
              </w:drawing>
            </w:r>
          </w:p>
        </w:tc>
        <w:tc>
          <w:tcPr>
            <w:tcW w:w="1937" w:type="pct"/>
            <w:tcBorders>
              <w:bottom w:val="single" w:sz="8" w:space="0" w:color="auto"/>
            </w:tcBorders>
            <w:vAlign w:val="bottom"/>
          </w:tcPr>
          <w:p w14:paraId="259F404D" w14:textId="7D748D7D" w:rsidR="00A96B21" w:rsidRPr="00D1707B" w:rsidRDefault="00A96B21" w:rsidP="00184909">
            <w:pPr>
              <w:spacing w:after="120"/>
              <w:ind w:left="1119"/>
              <w:jc w:val="right"/>
              <w:rPr>
                <w:szCs w:val="22"/>
              </w:rPr>
            </w:pPr>
            <w:r>
              <w:rPr>
                <w:sz w:val="40"/>
              </w:rPr>
              <w:t>CBD</w:t>
            </w:r>
            <w:r>
              <w:t>/COP/DEC/16/28</w:t>
            </w:r>
          </w:p>
        </w:tc>
      </w:tr>
      <w:tr w:rsidR="00A96B21" w:rsidRPr="00D1707B" w14:paraId="37186059" w14:textId="77777777" w:rsidTr="00B55C48">
        <w:tc>
          <w:tcPr>
            <w:tcW w:w="2769" w:type="pct"/>
            <w:gridSpan w:val="2"/>
            <w:tcBorders>
              <w:top w:val="single" w:sz="8" w:space="0" w:color="auto"/>
              <w:bottom w:val="single" w:sz="12" w:space="0" w:color="auto"/>
            </w:tcBorders>
          </w:tcPr>
          <w:p w14:paraId="6A03E246" w14:textId="77777777" w:rsidR="00A96B21" w:rsidRPr="00D1707B" w:rsidRDefault="00A96B21" w:rsidP="00332657">
            <w:pPr>
              <w:pStyle w:val="Cornernotation"/>
              <w:suppressLineNumbers/>
              <w:suppressAutoHyphens/>
              <w:spacing w:before="120" w:after="120"/>
              <w:ind w:left="0" w:right="0" w:firstLine="0"/>
            </w:pPr>
            <w:r>
              <w:rPr>
                <w:b w:val="0"/>
                <w:noProof/>
              </w:rPr>
              <w:drawing>
                <wp:inline distT="0" distB="0" distL="0" distR="0" wp14:anchorId="10B57AC8" wp14:editId="23E0788C">
                  <wp:extent cx="2791383" cy="1026243"/>
                  <wp:effectExtent l="0" t="0" r="9525" b="2540"/>
                  <wp:docPr id="414008662" name="Picture 414008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791383" cy="1026243"/>
                          </a:xfrm>
                          <a:prstGeom prst="rect">
                            <a:avLst/>
                          </a:prstGeom>
                          <a:noFill/>
                        </pic:spPr>
                      </pic:pic>
                    </a:graphicData>
                  </a:graphic>
                </wp:inline>
              </w:drawing>
            </w:r>
          </w:p>
        </w:tc>
        <w:tc>
          <w:tcPr>
            <w:tcW w:w="2231" w:type="pct"/>
            <w:gridSpan w:val="2"/>
            <w:tcBorders>
              <w:top w:val="single" w:sz="8" w:space="0" w:color="auto"/>
              <w:bottom w:val="single" w:sz="12" w:space="0" w:color="auto"/>
            </w:tcBorders>
          </w:tcPr>
          <w:p w14:paraId="320C7A1D" w14:textId="7B64DFB4" w:rsidR="00A96B21" w:rsidRPr="00D1707B" w:rsidRDefault="00A96B21" w:rsidP="0027544B">
            <w:pPr>
              <w:ind w:left="2305"/>
              <w:rPr>
                <w:sz w:val="22"/>
                <w:szCs w:val="22"/>
              </w:rPr>
            </w:pPr>
            <w:r>
              <w:rPr>
                <w:sz w:val="22"/>
              </w:rPr>
              <w:t>Distr. general</w:t>
            </w:r>
          </w:p>
          <w:p w14:paraId="23B5667B" w14:textId="7F7F21F6" w:rsidR="00A96B21" w:rsidRPr="00D1707B" w:rsidRDefault="009D4E48" w:rsidP="0027544B">
            <w:pPr>
              <w:ind w:left="2305"/>
              <w:rPr>
                <w:sz w:val="22"/>
                <w:szCs w:val="22"/>
              </w:rPr>
            </w:pPr>
            <w:r>
              <w:rPr>
                <w:sz w:val="22"/>
              </w:rPr>
              <w:t>6 de diciembre de 2024</w:t>
            </w:r>
          </w:p>
          <w:p w14:paraId="0B4B724A" w14:textId="6E0EBD02" w:rsidR="009D4E48" w:rsidRPr="00D1707B" w:rsidRDefault="00A96B21" w:rsidP="0027544B">
            <w:pPr>
              <w:ind w:left="2305"/>
              <w:rPr>
                <w:sz w:val="22"/>
                <w:szCs w:val="22"/>
              </w:rPr>
            </w:pPr>
            <w:r>
              <w:rPr>
                <w:sz w:val="22"/>
              </w:rPr>
              <w:t>Español</w:t>
            </w:r>
            <w:r>
              <w:rPr>
                <w:sz w:val="22"/>
              </w:rPr>
              <w:br/>
              <w:t>Original: inglés</w:t>
            </w:r>
          </w:p>
          <w:p w14:paraId="4F52D092" w14:textId="77777777" w:rsidR="00A96B21" w:rsidRPr="00D1707B" w:rsidRDefault="00A96B21" w:rsidP="00332657"/>
        </w:tc>
      </w:tr>
    </w:tbl>
    <w:p w14:paraId="3D34F652" w14:textId="7059657D" w:rsidR="00874541" w:rsidRPr="00D1707B" w:rsidRDefault="004A4E28" w:rsidP="000F4F48">
      <w:pPr>
        <w:pStyle w:val="Cornernotation"/>
        <w:ind w:left="0" w:right="5107" w:firstLine="0"/>
        <w:rPr>
          <w:bCs/>
        </w:rPr>
      </w:pPr>
      <w:r>
        <w:t>Conferencia de las Partes en el Convenio sobre la Diversidad Biológica</w:t>
      </w:r>
    </w:p>
    <w:p w14:paraId="33DA8646" w14:textId="757D65CD" w:rsidR="00A96B21" w:rsidRPr="00D1707B" w:rsidRDefault="000F4F48" w:rsidP="00A96B21">
      <w:pPr>
        <w:pStyle w:val="Cornernotation"/>
        <w:rPr>
          <w:bCs/>
          <w:sz w:val="22"/>
        </w:rPr>
      </w:pPr>
      <w:r>
        <w:rPr>
          <w:sz w:val="22"/>
        </w:rPr>
        <w:t>16ª reunión, primera continuación</w:t>
      </w:r>
    </w:p>
    <w:p w14:paraId="615E0724" w14:textId="0550FBB6" w:rsidR="00A96B21" w:rsidRPr="00D1707B" w:rsidRDefault="00A526B1" w:rsidP="00A96B21">
      <w:pPr>
        <w:pStyle w:val="Venuedate"/>
      </w:pPr>
      <w:r>
        <w:t>En línea, 3 a 6 de diciembre de 2024</w:t>
      </w:r>
    </w:p>
    <w:p w14:paraId="6F44D681" w14:textId="7D7761F0" w:rsidR="00A96B21" w:rsidRPr="00D1707B" w:rsidRDefault="00A84D6B" w:rsidP="00A96B21">
      <w:pPr>
        <w:pStyle w:val="Cornernotation-Item"/>
        <w:rPr>
          <w:b w:val="0"/>
          <w:bCs w:val="0"/>
        </w:rPr>
      </w:pPr>
      <w:r>
        <w:rPr>
          <w:b w:val="0"/>
        </w:rPr>
        <w:t>Tema 7 del programa</w:t>
      </w:r>
    </w:p>
    <w:p w14:paraId="3EE5F851" w14:textId="66B76C98" w:rsidR="00A96B21" w:rsidRPr="00D1707B" w:rsidRDefault="00F61DBB" w:rsidP="00504319">
      <w:pPr>
        <w:pStyle w:val="Cornernotation-Item"/>
        <w:spacing w:after="60"/>
        <w:ind w:left="0" w:right="4115" w:firstLine="0"/>
      </w:pPr>
      <w:r>
        <w:t>Administración del Convenio</w:t>
      </w:r>
      <w:r>
        <w:br/>
        <w:t>y presupuesto para los fondos fiduciarios</w:t>
      </w:r>
    </w:p>
    <w:p w14:paraId="0ED6E962" w14:textId="64C9A7A0" w:rsidR="00F717CA" w:rsidRPr="00D1707B" w:rsidRDefault="004F2025" w:rsidP="00F717CA">
      <w:pPr>
        <w:pStyle w:val="CBDTitle"/>
      </w:pPr>
      <w:r>
        <w:t>Decisión adoptada por la Conferencia de las Partes en el Convenio sobre la Diversidad Biológica el 6 de noviembre de 2024</w:t>
      </w:r>
      <w:bookmarkEnd w:id="0"/>
    </w:p>
    <w:p w14:paraId="1774132B" w14:textId="0E5C92B7" w:rsidR="00A96B21" w:rsidRPr="00D1707B" w:rsidRDefault="00831F7B" w:rsidP="00D96C1F">
      <w:pPr>
        <w:pStyle w:val="CBDSubTitle"/>
      </w:pPr>
      <w:r>
        <w:t>16/28.</w:t>
      </w:r>
      <w:r>
        <w:tab/>
      </w:r>
      <w:r>
        <w:tab/>
        <w:t>Administración del Convenio y presupuesto para los fondos fiduciarios</w:t>
      </w:r>
    </w:p>
    <w:p w14:paraId="465C1176" w14:textId="1CCE61C4" w:rsidR="006932AD" w:rsidRPr="00D1707B" w:rsidRDefault="006932AD" w:rsidP="006932AD">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i/>
          <w:iCs/>
          <w:color w:val="000000"/>
        </w:rPr>
      </w:pPr>
      <w:bookmarkStart w:id="1" w:name="_Toc180233562"/>
      <w:r>
        <w:rPr>
          <w:i/>
          <w:color w:val="000000"/>
        </w:rPr>
        <w:t>La Conferencia de las Partes</w:t>
      </w:r>
      <w:r>
        <w:rPr>
          <w:color w:val="000000"/>
        </w:rPr>
        <w:t>,</w:t>
      </w:r>
    </w:p>
    <w:p w14:paraId="173A820C" w14:textId="728E24FB" w:rsidR="00EE022E" w:rsidRPr="00D1707B" w:rsidRDefault="00EE022E" w:rsidP="00EE022E">
      <w:pPr>
        <w:pStyle w:val="CBDDesicionText"/>
      </w:pPr>
      <w:r>
        <w:rPr>
          <w:i/>
        </w:rPr>
        <w:t>Recordando</w:t>
      </w:r>
      <w:r>
        <w:t xml:space="preserve"> la decisión </w:t>
      </w:r>
      <w:hyperlink r:id="rId14" w:history="1">
        <w:r>
          <w:rPr>
            <w:rStyle w:val="Hipervnculo"/>
          </w:rPr>
          <w:t>15</w:t>
        </w:r>
        <w:r>
          <w:rPr>
            <w:rStyle w:val="Hipervnculo"/>
          </w:rPr>
          <w:t>/34</w:t>
        </w:r>
      </w:hyperlink>
      <w:r>
        <w:t>, de 19 de diciembre de 2022,</w:t>
      </w:r>
    </w:p>
    <w:p w14:paraId="5516C1EB" w14:textId="0ED52680" w:rsidR="006932AD" w:rsidRPr="00D1707B" w:rsidRDefault="006932AD" w:rsidP="008460CB">
      <w:pPr>
        <w:pStyle w:val="CBDDesicionText"/>
      </w:pPr>
      <w:r>
        <w:rPr>
          <w:i/>
        </w:rPr>
        <w:t>Reconociendo</w:t>
      </w:r>
      <w:r>
        <w:t xml:space="preserve"> el aumento acumulativo en la magnitud del programa de trabajo de la Secretaría del Convenio sobre la Diversidad Biológica</w:t>
      </w:r>
      <w:r w:rsidRPr="00D1707B">
        <w:rPr>
          <w:rStyle w:val="Refdenotaalpie"/>
          <w:color w:val="000000"/>
        </w:rPr>
        <w:footnoteReference w:id="2"/>
      </w:r>
      <w:r>
        <w:t xml:space="preserve"> a lo largo de muchos bienios, y observando que el presupuesto del Convenio no ha acompañado el ritmo de ese aumento,</w:t>
      </w:r>
    </w:p>
    <w:p w14:paraId="2023EF83" w14:textId="4578FE38" w:rsidR="00770FD4" w:rsidRPr="00D1707B" w:rsidRDefault="00770FD4" w:rsidP="008460CB">
      <w:pPr>
        <w:pStyle w:val="CBDDesicionText"/>
      </w:pPr>
      <w:r>
        <w:rPr>
          <w:i/>
        </w:rPr>
        <w:t>Reconociendo también</w:t>
      </w:r>
      <w:r>
        <w:t>, en particular, el reciente aumento en el número, la frecuencia y el tamaño de las reuniones celebradas entre períodos de sesiones y el incremento de la presión ejercida sobre los servicios de secretaría, incluido en cuanto a provisión de instalaciones de conferencias, inscripción de participantes, viajes y otras tareas administrativas, labor editorial y traducción, así como funciones de supervisión y gestión,</w:t>
      </w:r>
    </w:p>
    <w:p w14:paraId="1595F168" w14:textId="2232A484" w:rsidR="004F2B9B" w:rsidRPr="00D1707B" w:rsidRDefault="004F2B9B" w:rsidP="008460CB">
      <w:pPr>
        <w:pStyle w:val="CBDDesicionText"/>
      </w:pPr>
      <w:r>
        <w:rPr>
          <w:i/>
        </w:rPr>
        <w:t>Reconociendo</w:t>
      </w:r>
      <w:r>
        <w:t xml:space="preserve"> el cambio en el alcance de la labor que supuso la adopción del Marco Mundial de Biodiversidad de Kunming-Montreal</w:t>
      </w:r>
      <w:r w:rsidR="00922451" w:rsidRPr="00D1707B">
        <w:rPr>
          <w:rStyle w:val="Refdenotaalpie"/>
        </w:rPr>
        <w:footnoteReference w:id="3"/>
      </w:r>
      <w:r>
        <w:t>, que ha llevado a que las Partes aumenten sus requerimientos a la Secretaría,</w:t>
      </w:r>
    </w:p>
    <w:p w14:paraId="1A1D7079" w14:textId="60FD00E4" w:rsidR="00DD5A83" w:rsidRPr="00D1707B" w:rsidRDefault="00DD5A83" w:rsidP="008460CB">
      <w:pPr>
        <w:pStyle w:val="CBDDesicionText"/>
      </w:pPr>
      <w:r>
        <w:rPr>
          <w:i/>
        </w:rPr>
        <w:t>Habiendo considerado</w:t>
      </w:r>
      <w:r>
        <w:t xml:space="preserve"> la información que figura en los documentos preparados por la Secretaría en relación con el tema del programa referido a la administración del Convenio y el presupuesto para el fondo fiduciario</w:t>
      </w:r>
      <w:r w:rsidR="0081332A" w:rsidRPr="00D1707B">
        <w:rPr>
          <w:rStyle w:val="Refdenotaalpie"/>
        </w:rPr>
        <w:footnoteReference w:id="4"/>
      </w:r>
      <w:r>
        <w:t>,</w:t>
      </w:r>
    </w:p>
    <w:p w14:paraId="576DD177" w14:textId="3980083D" w:rsidR="00DD5A83" w:rsidRPr="00D1707B" w:rsidRDefault="008E6CD0" w:rsidP="008460CB">
      <w:pPr>
        <w:pStyle w:val="CBDDesicionText"/>
      </w:pPr>
      <w:r>
        <w:rPr>
          <w:i/>
        </w:rPr>
        <w:t>Observando con preocupación</w:t>
      </w:r>
      <w:r>
        <w:t xml:space="preserve"> que la revisión funcional externa de la estructura de la Secretaría, solicitada en la decisión </w:t>
      </w:r>
      <w:hyperlink r:id="rId15" w:history="1">
        <w:r>
          <w:rPr>
            <w:rStyle w:val="Hipervnculo"/>
          </w:rPr>
          <w:t>15/34</w:t>
        </w:r>
      </w:hyperlink>
      <w:r>
        <w:t>, que estaba planificada y presupuestada para 2023, aún no se ha llevado a cabo,</w:t>
      </w:r>
    </w:p>
    <w:p w14:paraId="09CB3EFC" w14:textId="0FB70FE1" w:rsidR="009F4708" w:rsidRPr="00D1707B" w:rsidRDefault="009F4708" w:rsidP="008460CB">
      <w:pPr>
        <w:pStyle w:val="CBDDesicionText"/>
      </w:pPr>
      <w:r>
        <w:rPr>
          <w:i/>
        </w:rPr>
        <w:t>Acogiendo con agradecimiento</w:t>
      </w:r>
      <w:r>
        <w:t xml:space="preserve"> las contribuciones financieras de las Partes que son países desarrollados a los fondos fiduciarios voluntarios del Convenio sobre la Diversidad Biológica y sus </w:t>
      </w:r>
      <w:r>
        <w:lastRenderedPageBreak/>
        <w:t>Protocolos para facilitar la participación de las Partes que son países en desarrollo y de los pueblos indígenas y las comunidades locales en los procesos del Convenio y sus Protocolos,</w:t>
      </w:r>
    </w:p>
    <w:p w14:paraId="52F3230D" w14:textId="7CE8D778" w:rsidR="001D2B06" w:rsidRPr="00D1707B" w:rsidRDefault="001D2B06" w:rsidP="008460CB">
      <w:pPr>
        <w:pStyle w:val="CBDDesicionText"/>
      </w:pPr>
      <w:r>
        <w:rPr>
          <w:i/>
        </w:rPr>
        <w:t>Reconociendo</w:t>
      </w:r>
      <w:r>
        <w:t xml:space="preserve"> las limitaciones fiscales que afectan a las Partes, </w:t>
      </w:r>
    </w:p>
    <w:p w14:paraId="0A279C0E" w14:textId="62274A51" w:rsidR="005E1656" w:rsidRPr="00D1707B" w:rsidRDefault="00613F76" w:rsidP="008460CB">
      <w:pPr>
        <w:pStyle w:val="CBDDesicionText"/>
      </w:pPr>
      <w:r>
        <w:rPr>
          <w:i/>
        </w:rPr>
        <w:t>Observando</w:t>
      </w:r>
      <w:r>
        <w:t xml:space="preserve"> </w:t>
      </w:r>
      <w:r>
        <w:rPr>
          <w:i/>
        </w:rPr>
        <w:t>con preocupación</w:t>
      </w:r>
      <w:r>
        <w:t xml:space="preserve"> que la participación de las Partes que son países en desarrollo, en particular los países menos adelantados y los pequeños Estados insulares en desarrollo, y las Partes con economías en transición, en las reuniones celebradas en el contexto del Convenio y sus Protocolos, se ha visto afectada adversamente por la falta de financiación previsible y sostenible,</w:t>
      </w:r>
    </w:p>
    <w:p w14:paraId="7F71BF05" w14:textId="3E065A5C" w:rsidR="00BF78AA" w:rsidRPr="00D1707B" w:rsidRDefault="006932AD" w:rsidP="008460CB">
      <w:pPr>
        <w:pStyle w:val="CBDDesicionText"/>
      </w:pPr>
      <w:r>
        <w:t>1.</w:t>
      </w:r>
      <w:r>
        <w:rPr>
          <w:i/>
        </w:rPr>
        <w:tab/>
        <w:t xml:space="preserve">Decide </w:t>
      </w:r>
      <w:r>
        <w:t>adoptar un programa de trabajo y un presupuesto integrados para el Convenio sobre la Diversidad Biológica, el Protocolo de Cartagena sobre Seguridad de la Biotecnología</w:t>
      </w:r>
      <w:r w:rsidRPr="00D1707B">
        <w:rPr>
          <w:rStyle w:val="Refdenotaalpie"/>
        </w:rPr>
        <w:footnoteReference w:id="5"/>
      </w:r>
      <w:r>
        <w:t xml:space="preserve"> y el Protocolo de Nagoya sobre Acceso a los Recursos Genéticos y Participación Justa y Equitativa en los Beneficios que se Deriven de su Utilización</w:t>
      </w:r>
      <w:r w:rsidRPr="00D1707B">
        <w:rPr>
          <w:rStyle w:val="Refdenotaalpie"/>
        </w:rPr>
        <w:footnoteReference w:id="6"/>
      </w:r>
      <w:r>
        <w:t>;</w:t>
      </w:r>
    </w:p>
    <w:p w14:paraId="02C834FA" w14:textId="4286876E" w:rsidR="00BF78AA" w:rsidRPr="00D1707B" w:rsidRDefault="006932AD" w:rsidP="008460CB">
      <w:pPr>
        <w:pStyle w:val="CBDDesicionText"/>
        <w:rPr>
          <w:rFonts w:asciiTheme="majorBidi" w:hAnsiTheme="majorBidi" w:cstheme="majorBidi"/>
        </w:rPr>
      </w:pPr>
      <w:r>
        <w:rPr>
          <w:rFonts w:asciiTheme="majorBidi" w:hAnsiTheme="majorBidi"/>
        </w:rPr>
        <w:t>2.</w:t>
      </w:r>
      <w:r>
        <w:rPr>
          <w:rFonts w:asciiTheme="majorBidi" w:hAnsiTheme="majorBidi"/>
          <w:i/>
        </w:rPr>
        <w:tab/>
      </w:r>
      <w:r>
        <w:rPr>
          <w:i/>
        </w:rPr>
        <w:t>Decide también</w:t>
      </w:r>
      <w:r>
        <w:t xml:space="preserve"> distribuir todos los gastos de los servicios de secretaría entre el Convenio, el Protocolo de Cartagena y el Protocolo de Nagoya a razón de 72 %, 15 % y 13 % para el bienio 2025-2026;</w:t>
      </w:r>
    </w:p>
    <w:p w14:paraId="22FD7E32" w14:textId="589D7487" w:rsidR="006932AD" w:rsidRPr="00D1707B" w:rsidRDefault="006932AD" w:rsidP="008460CB">
      <w:pPr>
        <w:pStyle w:val="CBDDesicionText"/>
        <w:rPr>
          <w:rFonts w:asciiTheme="majorBidi" w:hAnsiTheme="majorBidi" w:cstheme="majorBidi"/>
        </w:rPr>
      </w:pPr>
      <w:r>
        <w:rPr>
          <w:rFonts w:asciiTheme="majorBidi" w:hAnsiTheme="majorBidi"/>
        </w:rPr>
        <w:t>3.</w:t>
      </w:r>
      <w:r>
        <w:rPr>
          <w:rFonts w:asciiTheme="majorBidi" w:hAnsiTheme="majorBidi"/>
          <w:i/>
        </w:rPr>
        <w:tab/>
      </w:r>
      <w:r>
        <w:rPr>
          <w:i/>
        </w:rPr>
        <w:t>Aprueba</w:t>
      </w:r>
      <w:r>
        <w:t xml:space="preserve"> un presupuesto básico por programas para el Convenio (Fondo Fiduciario General para el Convenio) de 15.611.078 dólares de los Estados Unidos para 2025 y 16.382.433 dólares para 2026, lo que representa el 72 % del presupuesto integrado de 21.682.052 dólares para el año 2025 y 22.753.379 dólares para el año 2026 para el Convenio y sus Protocolos, para los fines indicados en los cuadros 1 y 2 de la presente decisión;</w:t>
      </w:r>
    </w:p>
    <w:p w14:paraId="2A4432E0" w14:textId="5855B901" w:rsidR="00194E9E" w:rsidRPr="00D1707B" w:rsidRDefault="00194E9E" w:rsidP="008460CB">
      <w:pPr>
        <w:pStyle w:val="CBDDesicionText"/>
        <w:rPr>
          <w:rFonts w:asciiTheme="majorBidi" w:hAnsiTheme="majorBidi" w:cstheme="majorBidi"/>
        </w:rPr>
      </w:pPr>
      <w:r>
        <w:rPr>
          <w:rFonts w:asciiTheme="majorBidi" w:hAnsiTheme="majorBidi"/>
        </w:rPr>
        <w:t>4.</w:t>
      </w:r>
      <w:r>
        <w:rPr>
          <w:rFonts w:asciiTheme="majorBidi" w:hAnsiTheme="majorBidi"/>
        </w:rPr>
        <w:tab/>
      </w:r>
      <w:r>
        <w:rPr>
          <w:rFonts w:asciiTheme="majorBidi" w:hAnsiTheme="majorBidi"/>
          <w:i/>
        </w:rPr>
        <w:t>Aprueba también</w:t>
      </w:r>
      <w:r>
        <w:rPr>
          <w:rFonts w:asciiTheme="majorBidi" w:hAnsiTheme="majorBidi"/>
        </w:rPr>
        <w:t>, para la eventualidad de que la sede de la Organización de Aviación Civil Internacional no estuviera disponible para la celebración de las reuniones de los órganos subsidiarios durante el bienio 2025-2026, un presupuesto por programas adicional de no más de 139.081 dólares para 2025 y 139.081 dólares para 2026, lo que representa el 72 % del presupuesto integrado adicional de 193.168 dólares para 2025 y 193.168 dólares para 2026 para el Convenio y sus Protocolos, tomándose dicho presupuesto por programas adicional del saldo no utilizado del Fondo Fiduciario General para el Convenio;</w:t>
      </w:r>
    </w:p>
    <w:p w14:paraId="3BA032AF" w14:textId="787114EB" w:rsidR="00BF78AA" w:rsidRPr="00D1707B" w:rsidRDefault="00194E9E" w:rsidP="008460CB">
      <w:pPr>
        <w:pStyle w:val="CBDDesicionText"/>
        <w:rPr>
          <w:rFonts w:asciiTheme="majorBidi" w:hAnsiTheme="majorBidi" w:cstheme="majorBidi"/>
        </w:rPr>
      </w:pPr>
      <w:r>
        <w:rPr>
          <w:rFonts w:asciiTheme="majorBidi" w:hAnsiTheme="majorBidi"/>
        </w:rPr>
        <w:t>5.</w:t>
      </w:r>
      <w:r>
        <w:rPr>
          <w:rFonts w:asciiTheme="majorBidi" w:hAnsiTheme="majorBidi"/>
          <w:i/>
        </w:rPr>
        <w:tab/>
      </w:r>
      <w:r>
        <w:rPr>
          <w:i/>
        </w:rPr>
        <w:t>Aprueba además</w:t>
      </w:r>
      <w:r>
        <w:t xml:space="preserve"> el uso del saldo no utilizado del Fondo Fiduciario General para el Convenio, el Fondo Fiduciario General para el Presupuesto Básico por Programas del Protocolo de Cartagena y el Fondo Fiduciario General para el Presupuesto Básico por Programas del Protocolo de Nagoya (los fondos fiduciarios del presupuesto básico) para el bienio 2023-2024 de 668.836 dólares para compensar las contribuciones de las Partes en el Convenio, las Partes en el Protocolo de Cartagena y las Partes en el Protocolo de Nagoya para el bienio 2025-2026;</w:t>
      </w:r>
    </w:p>
    <w:p w14:paraId="6990F75E" w14:textId="01CA21FD" w:rsidR="00516A78" w:rsidRPr="00D1707B" w:rsidRDefault="00194E9E" w:rsidP="008460CB">
      <w:pPr>
        <w:pStyle w:val="CBDDesicionText"/>
        <w:rPr>
          <w:rFonts w:asciiTheme="majorBidi" w:hAnsiTheme="majorBidi" w:cstheme="majorBidi"/>
        </w:rPr>
      </w:pPr>
      <w:r>
        <w:rPr>
          <w:rFonts w:asciiTheme="majorBidi" w:hAnsiTheme="majorBidi"/>
        </w:rPr>
        <w:t>6.</w:t>
      </w:r>
      <w:r>
        <w:rPr>
          <w:rFonts w:asciiTheme="majorBidi" w:hAnsiTheme="majorBidi"/>
          <w:i/>
        </w:rPr>
        <w:tab/>
      </w:r>
      <w:r>
        <w:rPr>
          <w:i/>
        </w:rPr>
        <w:t>Expresa su agradecimiento</w:t>
      </w:r>
      <w:r>
        <w:t xml:space="preserve"> al Canadá, como país anfitrión de la Secretaría del Convenio, por su renovado apoyo a la Secretaría, y acoge con satisfacción la contribución de 2.234.451 dólares canadienses para 2025 y de 2.255.959 dólares canadienses para 2026 del país anfitrión y de la provincia de Quebec para sufragar el alquiler y los gastos relacionados de la Secretaría, que se asignarán a razón de 72 %, 15 % y 13 % para compensar las contribuciones de las Partes en el Convenio, las Partes en el Protocolo de Cartagena y las Partes en el Protocolo de Nagoya, respectivamente, para el bienio 2025-2026;</w:t>
      </w:r>
    </w:p>
    <w:p w14:paraId="28450385" w14:textId="33AC7E7B" w:rsidR="00BF78AA" w:rsidRPr="00D1707B" w:rsidRDefault="00194E9E" w:rsidP="008460CB">
      <w:pPr>
        <w:pStyle w:val="CBDDesicionText"/>
        <w:rPr>
          <w:rFonts w:asciiTheme="majorBidi" w:hAnsiTheme="majorBidi" w:cstheme="majorBidi"/>
        </w:rPr>
      </w:pPr>
      <w:r>
        <w:rPr>
          <w:rFonts w:asciiTheme="majorBidi" w:hAnsiTheme="majorBidi"/>
        </w:rPr>
        <w:t>7.</w:t>
      </w:r>
      <w:r>
        <w:rPr>
          <w:rFonts w:asciiTheme="majorBidi" w:hAnsiTheme="majorBidi"/>
        </w:rPr>
        <w:tab/>
      </w:r>
      <w:r>
        <w:rPr>
          <w:rFonts w:asciiTheme="majorBidi" w:hAnsiTheme="majorBidi"/>
          <w:i/>
        </w:rPr>
        <w:t>Pide</w:t>
      </w:r>
      <w:r>
        <w:rPr>
          <w:rFonts w:asciiTheme="majorBidi" w:hAnsiTheme="majorBidi"/>
        </w:rPr>
        <w:t xml:space="preserve"> a la Secretaria Ejecutiva que mantenga a un mínimo los gastos de conferencias reservando instalaciones de conferencias para todas las reuniones de los órganos subsidiarios que se celebren en Montreal (Canadá), durante el bienio 2025-2026 y en adelante, a través del acuerdo preferencial para el uso de locales suscrito con la Organización de Aviación Civil Internacional, o en Nairobi, o en otras instalaciones de las Naciones Unidas que estuvieran disponibles teniendo en cuenta su capacidad para la celebración de tales reuniones, y tomando también en consideración las consecuencias presupuestarias y el ahorro en gastos de viajes y dietas para la participación de las </w:t>
      </w:r>
      <w:r>
        <w:rPr>
          <w:rFonts w:asciiTheme="majorBidi" w:hAnsiTheme="majorBidi"/>
        </w:rPr>
        <w:lastRenderedPageBreak/>
        <w:t xml:space="preserve">Partes, y todo otro servicio en cualquier fecha disponible que convenga a las Partes, y autoriza el uso de los saldos no utilizados para los gastos adicionales de alquiler de espacio de conferencias y gastos relacionados de la opción alternativa más económica de espacio de conferencias por </w:t>
      </w:r>
      <w:r>
        <w:t xml:space="preserve">un importe máximo de </w:t>
      </w:r>
      <w:r>
        <w:rPr>
          <w:rFonts w:asciiTheme="majorBidi" w:hAnsiTheme="majorBidi"/>
        </w:rPr>
        <w:t>386.336 dólares</w:t>
      </w:r>
      <w:r>
        <w:t xml:space="preserve"> </w:t>
      </w:r>
      <w:r>
        <w:rPr>
          <w:rFonts w:asciiTheme="majorBidi" w:hAnsiTheme="majorBidi"/>
        </w:rPr>
        <w:t>en la eventualidad excepcional de que no hubiera disponibilidad en los lugares antes mencionados;</w:t>
      </w:r>
    </w:p>
    <w:p w14:paraId="720F2E7A" w14:textId="06472C01" w:rsidR="006A12A7" w:rsidRPr="00D1707B" w:rsidRDefault="00194E9E" w:rsidP="00705AD8">
      <w:pPr>
        <w:pStyle w:val="CBDDesicionText"/>
      </w:pPr>
      <w:r>
        <w:t>8.</w:t>
      </w:r>
      <w:r>
        <w:rPr>
          <w:i/>
        </w:rPr>
        <w:tab/>
        <w:t>Adopta</w:t>
      </w:r>
      <w:r>
        <w:t xml:space="preserve"> la escala de cuotas para el prorrateo de los gastos para 2025 y 2026 que figura en el anexo de la presente decisión, de conformidad con la escala de cuotas para el prorrateo de los gastos de las Naciones Unidas</w:t>
      </w:r>
      <w:r w:rsidR="006932AD" w:rsidRPr="00D1707B">
        <w:rPr>
          <w:rStyle w:val="Refdenotaalpie"/>
          <w:rFonts w:asciiTheme="majorBidi" w:hAnsiTheme="majorBidi" w:cstheme="majorBidi"/>
        </w:rPr>
        <w:footnoteReference w:id="7"/>
      </w:r>
      <w:r>
        <w:t>;</w:t>
      </w:r>
    </w:p>
    <w:p w14:paraId="4246610C" w14:textId="245A2B8E" w:rsidR="00BF78AA" w:rsidRPr="00D1707B" w:rsidRDefault="00194E9E" w:rsidP="00705AD8">
      <w:pPr>
        <w:pStyle w:val="CBDDesicionText"/>
      </w:pPr>
      <w:r>
        <w:t>9.</w:t>
      </w:r>
      <w:r>
        <w:rPr>
          <w:i/>
        </w:rPr>
        <w:tab/>
        <w:t>Aprueba también</w:t>
      </w:r>
      <w:r>
        <w:t xml:space="preserve"> la plantilla de la Secretaría para el bienio 2025-2026 que figura en el cuadro 3 de la presente decisión, a los efectos del cálculo de costos a fin de establecer el presupuesto general;</w:t>
      </w:r>
    </w:p>
    <w:p w14:paraId="1BD8FEFB" w14:textId="1CCC607A" w:rsidR="00496A52" w:rsidRPr="00D1707B" w:rsidRDefault="00194E9E" w:rsidP="00705AD8">
      <w:pPr>
        <w:pStyle w:val="CBDDesicionText"/>
      </w:pPr>
      <w:r>
        <w:t>10.</w:t>
      </w:r>
      <w:r>
        <w:rPr>
          <w:i/>
        </w:rPr>
        <w:tab/>
        <w:t>Recuerda</w:t>
      </w:r>
      <w:r>
        <w:t xml:space="preserve"> que la dotación de personal de la Secretaría debe determinarse de manera tal que se asegure el cumplimiento de las obligaciones jurídicas contraídas en virtud del Convenio y sus Protocolos;</w:t>
      </w:r>
    </w:p>
    <w:p w14:paraId="4F74F6C2" w14:textId="584F09A1" w:rsidR="009A2991" w:rsidRPr="00D1707B" w:rsidRDefault="00194E9E" w:rsidP="00705AD8">
      <w:pPr>
        <w:pStyle w:val="CBDDesicionText"/>
      </w:pPr>
      <w:r>
        <w:t>11.</w:t>
      </w:r>
      <w:r>
        <w:rPr>
          <w:i/>
        </w:rPr>
        <w:tab/>
        <w:t xml:space="preserve">Insta </w:t>
      </w:r>
      <w:r>
        <w:t>a la Secretaria Ejecutiva a completar la revisión funcional solicitada en la decisión </w:t>
      </w:r>
      <w:hyperlink r:id="rId16" w:history="1">
        <w:r>
          <w:rPr>
            <w:rStyle w:val="Hipervnculo"/>
          </w:rPr>
          <w:t>15/34</w:t>
        </w:r>
      </w:hyperlink>
      <w:r>
        <w:t>, tomando en consideración el informe de análisis inicial que figura en el documento CBD/COP/16/4/Add.2-CBD/CP/MOP/11/5/Add.2-CBD/NP/MOP/5/5/Add.2, y a presentar los resultados para su examen en la 6ª reunión del Órgano Subsidiario sobre la Aplicación y su consideración en la 17ª reunión de la Conferencia de las Partes en el Convenio, la 12ª reunión de la Conferencia de las Partes que actúa como reunión de las Partes en el Protocolo de Cartagena y la 6ª reunión de la Conferencia de las Partes que actúa como reunión de las Partes en el Protocolo de Nagoya, señalando que la revisión funcional debe centrarse en evaluar si la Secretaría está debidamente estructurada y dotada de recursos suficientes para cumplir eficazmente sus funciones</w:t>
      </w:r>
      <w:r w:rsidR="00C20BE4" w:rsidRPr="00D1707B">
        <w:rPr>
          <w:rStyle w:val="Refdenotaalpie"/>
          <w:rFonts w:asciiTheme="majorBidi" w:hAnsiTheme="majorBidi" w:cstheme="majorBidi"/>
        </w:rPr>
        <w:footnoteReference w:id="8"/>
      </w:r>
      <w:r>
        <w:t>, en particular para prestar servicios a las reuniones celebradas en el contexto del Convenio y sus Protocolos y para apoyar la implementación del Marco Mundial de Biodiversidad de Kunming-Montreal, y, en caso de que no lo estuviera, indicar los cambios que se requieren a tales efectos;</w:t>
      </w:r>
    </w:p>
    <w:p w14:paraId="1AD9017B" w14:textId="5CD879DB" w:rsidR="008E7878" w:rsidRPr="00D1707B" w:rsidRDefault="00194E9E" w:rsidP="00705AD8">
      <w:pPr>
        <w:pStyle w:val="CBDDesicionText"/>
      </w:pPr>
      <w:r>
        <w:t>12.</w:t>
      </w:r>
      <w:r>
        <w:tab/>
      </w:r>
      <w:r>
        <w:rPr>
          <w:i/>
        </w:rPr>
        <w:t>Autoriza</w:t>
      </w:r>
      <w:r>
        <w:t xml:space="preserve"> a la Secretaria Ejecutiva, con carácter excepcional, a recurrir a los saldos no utilizados disponibles de los fondos fiduciarios generales de ejercicios financieros anteriores para completar la revisión funcional solicitada en la decisión </w:t>
      </w:r>
      <w:hyperlink r:id="rId17" w:history="1">
        <w:r>
          <w:rPr>
            <w:rStyle w:val="Hipervnculo"/>
          </w:rPr>
          <w:t>15/34</w:t>
        </w:r>
      </w:hyperlink>
      <w:r>
        <w:t>, por un importe máximo de 250.000 dólares;</w:t>
      </w:r>
    </w:p>
    <w:p w14:paraId="51ACABCA" w14:textId="3E8678C5" w:rsidR="00E8034F" w:rsidRPr="00D1707B" w:rsidRDefault="00194E9E" w:rsidP="00705AD8">
      <w:pPr>
        <w:pStyle w:val="CBDDesicionText"/>
      </w:pPr>
      <w:r>
        <w:t>13.</w:t>
      </w:r>
      <w:r>
        <w:tab/>
      </w:r>
      <w:r>
        <w:rPr>
          <w:i/>
        </w:rPr>
        <w:t>Pide</w:t>
      </w:r>
      <w:r>
        <w:t xml:space="preserve"> a la Secretaria Ejecutiva que concluya la aplicación de las recomendaciones de auditoría pendientes con prontitud, y que presente un informe al respecto en la 6ª reunión del Órgano Subsidiario sobre la Aplicación y en la 17ª reunión de la Conferencia de las Partes en el Convenio;</w:t>
      </w:r>
    </w:p>
    <w:p w14:paraId="11410A48" w14:textId="2AE0D5C8" w:rsidR="004F6373" w:rsidRPr="00D1707B" w:rsidRDefault="00194E9E" w:rsidP="00705AD8">
      <w:pPr>
        <w:pStyle w:val="CBDDesicionText"/>
        <w:rPr>
          <w:strike/>
        </w:rPr>
      </w:pPr>
      <w:r>
        <w:t>14.</w:t>
      </w:r>
      <w:r>
        <w:tab/>
      </w:r>
      <w:r>
        <w:rPr>
          <w:i/>
        </w:rPr>
        <w:t>Reitera</w:t>
      </w:r>
      <w:r>
        <w:t xml:space="preserve"> su pedido a la Secretaria Ejecutiva de que, como forma de aumentar aún más la transparencia y la rendición de cuentas, mantenga la sección del sitio web del Convenio que proporciona enlaces a información actualizada pertinente para la gobernanza del Convenio, incluidos los informes de auditoría finalizados y aceptados, las recomendaciones de las auditorías y las respuestas a las auditorías, el reglamento y la reglamentación financieros aplicables y cualquier otra información presupuestaria y financiera pertinente, a fin de facilitar la diligencia debida y las decisiones de financiación de las Partes y otros posibles donantes;</w:t>
      </w:r>
    </w:p>
    <w:p w14:paraId="3F101238" w14:textId="0E761ED2" w:rsidR="008E7878" w:rsidRPr="00D1707B" w:rsidRDefault="00194E9E" w:rsidP="00705AD8">
      <w:pPr>
        <w:pStyle w:val="CBDDesicionText"/>
      </w:pPr>
      <w:r>
        <w:t>15.</w:t>
      </w:r>
      <w:r>
        <w:rPr>
          <w:i/>
        </w:rPr>
        <w:tab/>
        <w:t>Pide</w:t>
      </w:r>
      <w:r>
        <w:t xml:space="preserve"> a la Secretaria Ejecutiva que informe a la Mesa y le proporcione toda la información necesaria, incluido en lo que respecta a la aplicación de los arreglos administrativos entre el Programa de las Naciones Unidas para el Medio Ambiente y la Secretaría, a fin de garantizar que la Mesa pueda cumplir una función de orientación con respecto a los preparativos y la celebración </w:t>
      </w:r>
      <w:r>
        <w:lastRenderedPageBreak/>
        <w:t>de las reuniones de la Conferencia de las Partes y de la Conferencia de las Partes que actúa como reuniones de las Partes en los Protocolos;</w:t>
      </w:r>
    </w:p>
    <w:p w14:paraId="7BAC870F" w14:textId="64890480" w:rsidR="006932AD" w:rsidRPr="00D1707B" w:rsidRDefault="00194E9E" w:rsidP="00705AD8">
      <w:pPr>
        <w:pStyle w:val="CBDDesicionText"/>
      </w:pPr>
      <w:r>
        <w:t>16.</w:t>
      </w:r>
      <w:r>
        <w:rPr>
          <w:i/>
        </w:rPr>
        <w:tab/>
        <w:t xml:space="preserve">Autoriza </w:t>
      </w:r>
      <w:r>
        <w:t>a la Secretaria Ejecutiva a concertar compromisos, dentro de los niveles del presupuesto aprobado, recurriendo a los recursos disponibles en efectivo, incluidas las reservas dentro de los umbrales autorizados o permitidos, a saber contribuciones de ejercicios financieros anteriores e ingresos varios, de conformidad con las decisiones de la Conferencia de las Partes y con el Reglamento Financiero y la Reglamentación Financiera Detallada de las Naciones Unidas</w:t>
      </w:r>
      <w:r w:rsidR="007F2B56" w:rsidRPr="00D1707B">
        <w:rPr>
          <w:rStyle w:val="Refdenotaalpie"/>
        </w:rPr>
        <w:footnoteReference w:id="9"/>
      </w:r>
      <w:r>
        <w:t>, y pide a la Secretaria Ejecutiva que dé a conocer oportunamente esos compromisos;</w:t>
      </w:r>
    </w:p>
    <w:p w14:paraId="0DF5653D" w14:textId="4E1DFD1E" w:rsidR="008E7878" w:rsidRPr="00D1707B" w:rsidRDefault="00194E9E" w:rsidP="00705AD8">
      <w:pPr>
        <w:pStyle w:val="CBDDesicionText"/>
      </w:pPr>
      <w:r>
        <w:t>17.</w:t>
      </w:r>
      <w:r>
        <w:rPr>
          <w:i/>
        </w:rPr>
        <w:tab/>
        <w:t xml:space="preserve">Autoriza también </w:t>
      </w:r>
      <w:r>
        <w:t>a la Secretaria Ejecutiva a transferir recursos de un programa a otro, entre los sectores de consignaciones principales indicados en el cuadro 2 de la presente decisión, hasta un límite global del 15 % del total del presupuesto por programas, siempre que se aplique una limitación adicional de hasta un máximo del 25 % de cada uno de estos sectores de consignaciones;</w:t>
      </w:r>
    </w:p>
    <w:p w14:paraId="5248E174" w14:textId="4EFDEB57" w:rsidR="00FA2ED2" w:rsidRPr="00D1707B" w:rsidRDefault="00194E9E" w:rsidP="00705AD8">
      <w:pPr>
        <w:pStyle w:val="CBDDesicionText"/>
      </w:pPr>
      <w:r>
        <w:t>18.</w:t>
      </w:r>
      <w:r>
        <w:rPr>
          <w:i/>
        </w:rPr>
        <w:tab/>
        <w:t>Insta</w:t>
      </w:r>
      <w:r>
        <w:t xml:space="preserve"> a la Secretaria Ejecutiva a que siga reduciendo el impacto ambiental de las operaciones de la Secretaría y a que informe a la Conferencia de las Partes sobre las medidas adoptadas al respecto;</w:t>
      </w:r>
    </w:p>
    <w:p w14:paraId="5CEB5D50" w14:textId="55BFB7D5" w:rsidR="00FA2F10" w:rsidRPr="00D1707B" w:rsidRDefault="00194E9E" w:rsidP="00705AD8">
      <w:pPr>
        <w:pStyle w:val="CBDDesicionText"/>
      </w:pPr>
      <w:r>
        <w:t>19.</w:t>
      </w:r>
      <w:r>
        <w:rPr>
          <w:i/>
        </w:rPr>
        <w:tab/>
        <w:t>Recuerda</w:t>
      </w:r>
      <w:r>
        <w:t xml:space="preserve"> a todas las Partes en el Convenio y en sus Protocolos que las contribuciones a los fondos fiduciarios del presupuesto básico son pagaderas al 1 de enero del año para el que fueron presupuestadas, insta a todas las Partes a pagarlas sin demora y pide que la Secretaria Ejecutiva notifique a las Partes el importe de sus contribuciones tan pronto como sea posible durante el año anterior al año en que se vencen las contribuciones;</w:t>
      </w:r>
    </w:p>
    <w:p w14:paraId="51EBA719" w14:textId="68E5733A" w:rsidR="00FA2F10" w:rsidRPr="00D1707B" w:rsidRDefault="00194E9E" w:rsidP="00705AD8">
      <w:pPr>
        <w:pStyle w:val="CBDDesicionText"/>
      </w:pPr>
      <w:r>
        <w:t>20.</w:t>
      </w:r>
      <w:r>
        <w:tab/>
      </w:r>
      <w:r>
        <w:rPr>
          <w:i/>
        </w:rPr>
        <w:t>Reconoce</w:t>
      </w:r>
      <w:r>
        <w:t xml:space="preserve"> </w:t>
      </w:r>
      <w:r>
        <w:rPr>
          <w:i/>
        </w:rPr>
        <w:t>con preocupación</w:t>
      </w:r>
      <w:r>
        <w:t xml:space="preserve"> que algunas Partes no pueden pagar sus contribuciones al Convenio y sus Protocolos, a pesar de su intención de hacerlo, debido a problemas técnicos, incluidas cuestiones que tienen que ver con la tecnología de la información relacionadas con la presentación de facturas, y pide a la Secretaria Ejecutiva que, en consulta con el Programa de las Naciones Unidas para el Medio Ambiente, colabore con aquellas Partes que han planteado tales dificultades técnicas a fin de estudiar otras opciones para el pago de sus contribuciones; </w:t>
      </w:r>
    </w:p>
    <w:p w14:paraId="15034176" w14:textId="6841842B" w:rsidR="00B02A2D" w:rsidRPr="00D1707B" w:rsidRDefault="00194E9E" w:rsidP="00705AD8">
      <w:pPr>
        <w:pStyle w:val="CBDDesicionText"/>
      </w:pPr>
      <w:r>
        <w:t>21.</w:t>
      </w:r>
      <w:r>
        <w:rPr>
          <w:i/>
        </w:rPr>
        <w:tab/>
        <w:t xml:space="preserve">Observa con preocupación </w:t>
      </w:r>
      <w:r>
        <w:t>que varias Partes en el Convenio y en sus Protocolos no han pagado sus contribuciones a los fondos fiduciarios del presupuesto básico correspondientes a 2023 y a años anteriores, que algunas Partes no han pagado nunca sus contribuciones y que, de conformidad con las Normas Internacionales de Contabilidad del Sector Público adoptadas por las Naciones Unidas</w:t>
      </w:r>
      <w:r w:rsidR="006932AD" w:rsidRPr="00D1707B">
        <w:rPr>
          <w:rStyle w:val="Refdenotaalpie"/>
          <w:rFonts w:asciiTheme="majorBidi" w:hAnsiTheme="majorBidi" w:cstheme="majorBidi"/>
        </w:rPr>
        <w:footnoteReference w:id="10"/>
      </w:r>
      <w:r>
        <w:t xml:space="preserve">, a finales de 2023 se estimaron provisiones para pérdidas crediticias de 2.741.256 dólares para el Convenio, 583.172 dólares para el Protocolo de Cartagena y 337.966 dólares para el Protocolo de Nagoya, que se dedujeron del saldo del fondo, por lo que no pueden utilizarse en beneficio de todas las Partes respectivas, y pide al Programa de las Naciones Unidas para el Medio Ambiente que acepte oportunamente las contribuciones de todas las Partes en el Convenio y en sus Protocolos; </w:t>
      </w:r>
    </w:p>
    <w:p w14:paraId="62447701" w14:textId="486D3C21" w:rsidR="008E7878" w:rsidRPr="00D1707B" w:rsidRDefault="00194E9E" w:rsidP="00705AD8">
      <w:pPr>
        <w:pStyle w:val="CBDDesicionText"/>
      </w:pPr>
      <w:r>
        <w:t>22.</w:t>
      </w:r>
      <w:r>
        <w:rPr>
          <w:i/>
        </w:rPr>
        <w:tab/>
        <w:t>Insta</w:t>
      </w:r>
      <w:r>
        <w:t xml:space="preserve"> a las Partes en el Convenio y en sus Protocolos que aún no hayan abonado sus contribuciones a los fondos fiduciarios del presupuesto básico correspondientes a 2023 y a años anteriores a que lo hagan sin demora ni condicionalidades, y pide a la Secretaria Ejecutiva que publique y mantenga actualizada la información sobre el estado de las contribuciones a los fondos fiduciarios del Convenio y sus Protocolos (los tres fondos fiduciarios del presupuesto básico, el Fondo Fiduciario Voluntario Especial para Actividades Aprobadas Adicionales del Convenio y sus Protocolos, el Fondo Fiduciario Voluntario Especial para Facilitar la Participación de las Partes en el Proceso del Convenio y el Fondo Fiduciario Voluntario Especial para Facilitar la Participación de los Pueblos Indígenas y las Comunidades Locales) y que mantenga a los miembros de las Mesas del Convenio y de sus Protocolos periódicamente informados para que puedan brindar información a las respectivas regiones sobre las contribuciones pendientes de pago y sus consecuencias, como se indica en el párrafo 24;</w:t>
      </w:r>
    </w:p>
    <w:p w14:paraId="0B00BBED" w14:textId="0C3E6AE1" w:rsidR="008E7878" w:rsidRPr="00D1707B" w:rsidRDefault="00194E9E" w:rsidP="00705AD8">
      <w:pPr>
        <w:pStyle w:val="CBDDesicionText"/>
      </w:pPr>
      <w:r>
        <w:lastRenderedPageBreak/>
        <w:t>23.</w:t>
      </w:r>
      <w:r>
        <w:rPr>
          <w:i/>
        </w:rPr>
        <w:tab/>
        <w:t>Pide</w:t>
      </w:r>
      <w:r>
        <w:t xml:space="preserve"> al Programa de las Naciones Unidas para el Medio Ambiente que, en su calidad de fideicomisario, utilice todos los canales diplomáticos disponibles para comunicar a las Partes pertinentes los atrasos en sus contribuciones a los fondos fiduciarios del presupuesto básico correspondientes a 2024 y años anteriores, con miras a que abonen íntegramente esos pagos atrasados en beneficio de todas las Partes en el Convenio y en sus Protocolos, y pide a la Secretaria Ejecutiva que informe a la Mesa y a la Conferencia de las Partes en su 17ª reunión sobre la situación de esos pagos atrasados;</w:t>
      </w:r>
    </w:p>
    <w:p w14:paraId="3544EE0F" w14:textId="5196EFB0" w:rsidR="00BB5F2D" w:rsidRPr="00D1707B" w:rsidRDefault="00194E9E" w:rsidP="00705AD8">
      <w:pPr>
        <w:pStyle w:val="CBDDesicionText"/>
      </w:pPr>
      <w:r>
        <w:t>24.</w:t>
      </w:r>
      <w:r>
        <w:rPr>
          <w:i/>
        </w:rPr>
        <w:tab/>
        <w:t>Confirma</w:t>
      </w:r>
      <w:r>
        <w:t xml:space="preserve"> que, con respecto a las contribuciones pagaderas a partir del 1 de enero de 2005 en adelante, las Partes con contribuciones pendientes durante dos años o más no podrán ser miembros de las Mesas de la Conferencia de las Partes en el Convenio, la Conferencia de las Partes que actúa como reuniones de las Partes en sus Protocolos o el Órgano Subsidiario de Asesoramiento Científico, Técnico y Tecnológico ni nombrar miembros de un comité de cumplimiento, y decide que esta limitación se aplica únicamente en el caso de las Partes que no sean países menos adelantados o pequeños Estados insulares en desarrollo;</w:t>
      </w:r>
    </w:p>
    <w:p w14:paraId="1D8EB4F0" w14:textId="40C4E68C" w:rsidR="00BB2470" w:rsidRPr="00D1707B" w:rsidRDefault="00194E9E" w:rsidP="00705AD8">
      <w:pPr>
        <w:pStyle w:val="CBDDesicionText"/>
      </w:pPr>
      <w:r>
        <w:t>25.</w:t>
      </w:r>
      <w:r>
        <w:rPr>
          <w:i/>
        </w:rPr>
        <w:tab/>
        <w:t>Autoriza</w:t>
      </w:r>
      <w:r>
        <w:t xml:space="preserve"> a la Secretaria Ejecutiva a concertar acuerdos con las Partes que tengan contribuciones pendientes desde hace dos años o más, comprometiéndose dichas Partes a cumplir un calendario de pagos para liquidar todos los atrasos pendientes en un plazo de seis años, en función de sus circunstancias financieras, y a pagar las contribuciones futuras en las fechas previstas, y pide que informe sobre el cumplimiento de tales acuerdos a la Mesa correspondiente en su siguiente reunión y a la Conferencia de las Partes en su 17ª reunión;</w:t>
      </w:r>
    </w:p>
    <w:p w14:paraId="42A26B17" w14:textId="4A2CBD5D" w:rsidR="003901EC" w:rsidRPr="00D1707B" w:rsidRDefault="00194E9E" w:rsidP="00705AD8">
      <w:pPr>
        <w:pStyle w:val="CBDDesicionText"/>
      </w:pPr>
      <w:r>
        <w:t>26.</w:t>
      </w:r>
      <w:r>
        <w:rPr>
          <w:i/>
        </w:rPr>
        <w:tab/>
        <w:t>Decide</w:t>
      </w:r>
      <w:r>
        <w:t xml:space="preserve"> que las Partes que hayan concertado acuerdos convenidos de conformidad con el párrafo 25 anterior y que observen plenamente las disposiciones de ese acuerdo no estarán sujetas a las disposiciones del párrafo 24;</w:t>
      </w:r>
    </w:p>
    <w:p w14:paraId="7662C146" w14:textId="26760463" w:rsidR="00BB2470" w:rsidRPr="00D1707B" w:rsidRDefault="00194E9E" w:rsidP="00705AD8">
      <w:pPr>
        <w:pStyle w:val="CBDDesicionText"/>
      </w:pPr>
      <w:r>
        <w:t>27.</w:t>
      </w:r>
      <w:r>
        <w:rPr>
          <w:i/>
        </w:rPr>
        <w:tab/>
        <w:t xml:space="preserve">Pide </w:t>
      </w:r>
      <w:r>
        <w:t>a la Secretaria Ejecutiva, e invita a la Presidencia de la Conferencia de las Partes, a que, por conducto de una carta firmada conjuntamente, notifiquen a las Partes con contribuciones pendientes de pago que están en mora y las invite a adoptar oportunamente medidas para remediar la situación, y que agradezcan a las Partes que han respondido positivamente pagando sus contribuciones pendientes;</w:t>
      </w:r>
    </w:p>
    <w:p w14:paraId="459D9F0E" w14:textId="7C1F6D93" w:rsidR="00BB2470" w:rsidRPr="00D1707B" w:rsidRDefault="00194E9E" w:rsidP="00705AD8">
      <w:pPr>
        <w:pStyle w:val="CBDDesicionText"/>
      </w:pPr>
      <w:r>
        <w:t>28.</w:t>
      </w:r>
      <w:r>
        <w:rPr>
          <w:i/>
        </w:rPr>
        <w:tab/>
        <w:t>Observa</w:t>
      </w:r>
      <w:r>
        <w:t xml:space="preserve"> que la prórroga de los fondos fiduciarios es una cuestión administrativa que está dentro de la delegación de autoridad de la Directora Ejecutiva del Programa de las Naciones Unidas para el Medio Ambiente, que, a partir del séptimo período de sesiones de la Asamblea de las Naciones Unidas sobre el Medio Ambiente, ya no requerirá una decisión de los Estados Miembros y que, para facilitar la transición entre los períodos de sesiones sexto y séptimo de la Asamblea sobre el Medio Ambiente, todos los fondos fiduciarios existentes en el marco del Programa de las Naciones Unidas para el Medio Ambiente, incluidos aquellos gestionados por la Secretaría para el Convenio y sus Protocolos, fueron prorrogados hasta el 31 de diciembre de 2030, a menos que la Conferencia de las Partes solicite otra cosa;</w:t>
      </w:r>
    </w:p>
    <w:p w14:paraId="4C4898B4" w14:textId="0DDB4BED" w:rsidR="006932AD" w:rsidRPr="00D1707B" w:rsidRDefault="00194E9E" w:rsidP="00705AD8">
      <w:pPr>
        <w:pStyle w:val="CBDDesicionText"/>
      </w:pPr>
      <w:r>
        <w:t>29.</w:t>
      </w:r>
      <w:r>
        <w:rPr>
          <w:i/>
        </w:rPr>
        <w:tab/>
        <w:t xml:space="preserve">Reconoce </w:t>
      </w:r>
      <w:r>
        <w:t>las estimaciones de financiación para lo siguiente:</w:t>
      </w:r>
    </w:p>
    <w:p w14:paraId="181702C4" w14:textId="5DC99B2F" w:rsidR="006932AD" w:rsidRPr="00D1707B" w:rsidRDefault="006932AD" w:rsidP="00705AD8">
      <w:pPr>
        <w:pStyle w:val="CBDDesicionText"/>
      </w:pPr>
      <w:r>
        <w:t>a)</w:t>
      </w:r>
      <w:r>
        <w:tab/>
        <w:t>El Fondo Fiduciario Voluntario Especial para Actividades Aprobadas Adicionales del Convenio y sus Protocolos para el período 2025-2026 (véanse los cuadros 4 y 5);</w:t>
      </w:r>
    </w:p>
    <w:p w14:paraId="45D1D6B8" w14:textId="1A533F4E" w:rsidR="006932AD" w:rsidRPr="00D1707B" w:rsidRDefault="006932AD" w:rsidP="00705AD8">
      <w:pPr>
        <w:pStyle w:val="CBDDesicionText"/>
      </w:pPr>
      <w:r>
        <w:t>b)</w:t>
      </w:r>
      <w:r>
        <w:tab/>
        <w:t>El Fondo Fiduciario Voluntario Especial para Facilitar la Participación de las Partes en el Proceso del Convenio para el período 2025-2026 (véase el cuadro 6);</w:t>
      </w:r>
    </w:p>
    <w:p w14:paraId="7DB92081" w14:textId="06B05607" w:rsidR="00BB2470" w:rsidRPr="00D1707B" w:rsidRDefault="006932AD" w:rsidP="00582303">
      <w:pPr>
        <w:pStyle w:val="CBDDesicionText"/>
      </w:pPr>
      <w:r>
        <w:t>c)</w:t>
      </w:r>
      <w:r>
        <w:tab/>
        <w:t>El Fondo Fiduciario Voluntario Especial para Facilitar la Participación de los Pueblos Indígenas y las Comunidades Locales para el período 2025-2026 (véase el cuadro 7);</w:t>
      </w:r>
    </w:p>
    <w:p w14:paraId="396687F5" w14:textId="2D32B912" w:rsidR="003901EC" w:rsidRPr="00D1707B" w:rsidRDefault="00194E9E" w:rsidP="00705AD8">
      <w:pPr>
        <w:pStyle w:val="CBDDesicionText"/>
      </w:pPr>
      <w:r>
        <w:t>30.</w:t>
      </w:r>
      <w:r>
        <w:rPr>
          <w:i/>
        </w:rPr>
        <w:tab/>
        <w:t>Recuerda</w:t>
      </w:r>
      <w:r>
        <w:t xml:space="preserve"> el artículo 30 del Reglamento para las reuniones de la Conferencia de las Partes</w:t>
      </w:r>
      <w:r w:rsidR="006932AD" w:rsidRPr="00D1707B">
        <w:rPr>
          <w:rStyle w:val="Refdenotaalpie"/>
          <w:rFonts w:asciiTheme="majorBidi" w:hAnsiTheme="majorBidi" w:cstheme="majorBidi"/>
        </w:rPr>
        <w:footnoteReference w:id="11"/>
      </w:r>
      <w:r>
        <w:t xml:space="preserve"> y subraya la necesidad de que un amplio abanico de Partes asista a las reuniones de la </w:t>
      </w:r>
      <w:r>
        <w:lastRenderedPageBreak/>
        <w:t xml:space="preserve">Conferencia de las Partes en el Convenio y de la Conferencia de las Partes que actúa como reuniones de las Partes en los Protocolos, en particular para alcanzar el nivel de dos tercios de Partes presentes necesario para conformar el </w:t>
      </w:r>
      <w:r>
        <w:rPr>
          <w:i/>
          <w:iCs/>
        </w:rPr>
        <w:t>quorum</w:t>
      </w:r>
      <w:r>
        <w:t xml:space="preserve"> requerido para la adopción de decisiones;</w:t>
      </w:r>
    </w:p>
    <w:p w14:paraId="308A262C" w14:textId="1F79FBA2" w:rsidR="006932AD" w:rsidRPr="00D1707B" w:rsidRDefault="00194E9E" w:rsidP="00705AD8">
      <w:pPr>
        <w:pStyle w:val="CBDDesicionText"/>
      </w:pPr>
      <w:r>
        <w:t>31.</w:t>
      </w:r>
      <w:r>
        <w:rPr>
          <w:i/>
        </w:rPr>
        <w:tab/>
        <w:t>Reafirma</w:t>
      </w:r>
      <w:r>
        <w:t xml:space="preserve"> la importancia de la participación plena y efectiva de las Partes que son países en desarrollo, en particular los países menos adelantados y los pequeños Estados insulares en desarrollo, y las Partes con economías en transición, en las reuniones de la Conferencia de las Partes en el Convenio y de la Conferencia de las Partes que actúa como reuniones de las Partes en los Protocolos, y a este respecto pide a la Secretaria Ejecutiva que tome en consideración las decisiones pertinentes de la Conferencia de las Partes en el Convenio y de la Conferencia de las Partes que actúa como reuniones de las Partes en los Protocolos referidas a la celebración de reuniones concurrentes y la mejora de la eficiencia de las estructuras y los procesos del Convenio y sus Protocolos;</w:t>
      </w:r>
    </w:p>
    <w:p w14:paraId="6AB6155D" w14:textId="2AF478CF" w:rsidR="00BE7CEC" w:rsidRPr="00D1707B" w:rsidRDefault="00194E9E" w:rsidP="00854C5E">
      <w:pPr>
        <w:pStyle w:val="CBDDesicionText"/>
        <w:rPr>
          <w:rFonts w:asciiTheme="majorBidi" w:hAnsiTheme="majorBidi" w:cstheme="majorBidi"/>
          <w:strike/>
        </w:rPr>
      </w:pPr>
      <w:r>
        <w:t>32.</w:t>
      </w:r>
      <w:r>
        <w:rPr>
          <w:i/>
        </w:rPr>
        <w:tab/>
        <w:t>Autoriza</w:t>
      </w:r>
      <w:r>
        <w:t xml:space="preserve"> a la Secretaria Ejecutiva, en consulta con el Programa de las Naciones Unidas para el Medio Ambiente y de conformidad con el Reglamento Financiero y la Reglamentación Financiera Detallada de las Naciones Unidas, a utilizar los intereses devengados en el Fondo Fiduciario Voluntario Especial para Facilitar la Participación de las Partes en el Proceso del Convenio y el Fondo Fiduciario Voluntario Especial para Facilitar la Participación de los Pueblos Indígenas y las Comunidades Locales en caso de déficit de financiación y de retrasos en la recepción de contribuciones de los donantes;</w:t>
      </w:r>
    </w:p>
    <w:p w14:paraId="10C95011" w14:textId="1189ADFE" w:rsidR="00C37C2F" w:rsidRPr="00D1707B" w:rsidRDefault="001A0C52" w:rsidP="00854C5E">
      <w:pPr>
        <w:pStyle w:val="CBDDesicionText"/>
        <w:rPr>
          <w:rFonts w:asciiTheme="majorBidi" w:hAnsiTheme="majorBidi" w:cstheme="majorBidi"/>
        </w:rPr>
      </w:pPr>
      <w:r>
        <w:rPr>
          <w:rFonts w:asciiTheme="majorBidi" w:hAnsiTheme="majorBidi"/>
        </w:rPr>
        <w:t>33.</w:t>
      </w:r>
      <w:r>
        <w:rPr>
          <w:rFonts w:asciiTheme="majorBidi" w:hAnsiTheme="majorBidi"/>
        </w:rPr>
        <w:tab/>
      </w:r>
      <w:r>
        <w:rPr>
          <w:rFonts w:asciiTheme="majorBidi" w:hAnsiTheme="majorBidi"/>
          <w:i/>
        </w:rPr>
        <w:t>Reafirma</w:t>
      </w:r>
      <w:r>
        <w:rPr>
          <w:rFonts w:asciiTheme="majorBidi" w:hAnsiTheme="majorBidi"/>
        </w:rPr>
        <w:t xml:space="preserve"> la importancia de la participación plena y efectiva de al menos dos delegados de las Partes que son países en desarrollo, en particular los países menos adelantados y los pequeños Estados insulares en desarrollo, y las Partes con economías en transición, en las reuniones de la Conferencia de las Partes en el Convenio y de la Conferencia de las Partes que actúa como reunión de las Partes en los Protocolos, así como en las reuniones de los órganos subsidiarios, que se han de financiar con cargo al </w:t>
      </w:r>
      <w:r>
        <w:t xml:space="preserve">Fondo Fiduciario Voluntario Especial para Facilitar la Participación de las Partes en el Proceso del Convenio, </w:t>
      </w:r>
      <w:r>
        <w:rPr>
          <w:rFonts w:asciiTheme="majorBidi" w:hAnsiTheme="majorBidi"/>
        </w:rPr>
        <w:t xml:space="preserve">invita a las Partes que son países desarrollados y a otras Partes que estén en condiciones de hacerlo, incluido en el contexto de la cooperación Sur-Sur, a hacer contribuciones a ese Fondo en forma oportuna y en un nivel que permita la participación plena y efectiva y en circunstancias excepcionales y de conformidad con el Reglamento Financiero y la Reglamentación Financiera Detallada de las Naciones Unidas, y autoriza a la Secretaria Ejecutiva a retirar, en consulta con la Mesa, un importe total de hasta 500.000 dólares en todo el bienio de las reservas disponibles en los tres fondos fiduciarios del presupuesto básico, para destinarlo a cubrir déficits temporales en el </w:t>
      </w:r>
      <w:r>
        <w:t xml:space="preserve">Fondo Fiduciario Voluntario Especial para Facilitar la Participación de las Partes en el Proceso del Convenio, </w:t>
      </w:r>
      <w:r>
        <w:rPr>
          <w:rFonts w:asciiTheme="majorBidi" w:hAnsiTheme="majorBidi"/>
        </w:rPr>
        <w:t xml:space="preserve">para el cual se han realizado promesas por escrito pero no se han recibido recursos aún, a fin de apoyar la participación de delegados de las Partes que son países en desarrollo, en particular los países menos adelantados y los pequeños Estados insulares en desarrollo, y las Partes con economías en transición, en la 17ª reunión de la Conferencia de la Partes, </w:t>
      </w:r>
      <w:r>
        <w:t>la 12ª reunión de la Conferencia de la Partes que actúa como reunión de las Partes en el Protocolo de Cartagena y la 6ª reunión de la Conferencia de la Partes que actúa como reunión de las Partes en el Protocolo de Nagoya</w:t>
      </w:r>
      <w:r>
        <w:rPr>
          <w:rFonts w:asciiTheme="majorBidi" w:hAnsiTheme="majorBidi"/>
        </w:rPr>
        <w:t>, siempre y cuando se reembolse a los tres fondos fiduciarios del presupuesto básico en cuanto se materialicen las contribuciones prometidas;</w:t>
      </w:r>
    </w:p>
    <w:p w14:paraId="195CD9BB" w14:textId="5F2530AF" w:rsidR="00BB2470" w:rsidRPr="00D1707B" w:rsidRDefault="00194E9E" w:rsidP="00854C5E">
      <w:pPr>
        <w:pStyle w:val="CBDDesicionText"/>
        <w:rPr>
          <w:rFonts w:asciiTheme="majorBidi" w:hAnsiTheme="majorBidi" w:cstheme="majorBidi"/>
        </w:rPr>
      </w:pPr>
      <w:r>
        <w:rPr>
          <w:rFonts w:asciiTheme="majorBidi" w:hAnsiTheme="majorBidi"/>
        </w:rPr>
        <w:t>34.</w:t>
      </w:r>
      <w:r>
        <w:rPr>
          <w:rFonts w:asciiTheme="majorBidi" w:hAnsiTheme="majorBidi"/>
          <w:i/>
        </w:rPr>
        <w:tab/>
      </w:r>
      <w:r>
        <w:rPr>
          <w:i/>
        </w:rPr>
        <w:t>Recuerda</w:t>
      </w:r>
      <w:r>
        <w:t xml:space="preserve"> el párrafo 31 de la decisión </w:t>
      </w:r>
      <w:hyperlink r:id="rId18" w:history="1">
        <w:r>
          <w:rPr>
            <w:rStyle w:val="Hipervnculo"/>
            <w:rFonts w:asciiTheme="majorBidi" w:hAnsiTheme="majorBidi"/>
          </w:rPr>
          <w:t>IX/34</w:t>
        </w:r>
      </w:hyperlink>
      <w:r>
        <w:t>, de 23 de mayo de 2008, y pide a la Secretaria Ejecutiva que, al asignar financiación del Fondo Fiduciario Voluntario Especial para Facilitar la Participación de las Partes en el Proceso del Convenio, siga otorgando la máxima prioridad a los países menos adelantados y a los pequeños Estados insulares en desarrollo;</w:t>
      </w:r>
    </w:p>
    <w:p w14:paraId="04B72EC2" w14:textId="4BA752A7" w:rsidR="00DC6141" w:rsidRPr="00D1707B" w:rsidRDefault="00194E9E" w:rsidP="00854C5E">
      <w:pPr>
        <w:pStyle w:val="CBDDesicionText"/>
        <w:rPr>
          <w:rFonts w:asciiTheme="majorBidi" w:hAnsiTheme="majorBidi" w:cstheme="majorBidi"/>
        </w:rPr>
      </w:pPr>
      <w:r>
        <w:rPr>
          <w:rFonts w:asciiTheme="majorBidi" w:hAnsiTheme="majorBidi"/>
        </w:rPr>
        <w:t>35.</w:t>
      </w:r>
      <w:r>
        <w:rPr>
          <w:rFonts w:asciiTheme="majorBidi" w:hAnsiTheme="majorBidi"/>
          <w:i/>
        </w:rPr>
        <w:tab/>
      </w:r>
      <w:r>
        <w:rPr>
          <w:i/>
        </w:rPr>
        <w:t>Alienta</w:t>
      </w:r>
      <w:r>
        <w:t xml:space="preserve"> a las Partes que son países desarrollados y a otras Partes que estén en condiciones de hacerlo a que faciliten el contacto de la Secretaría con posibles donantes alternativos para el Fondo Fiduciario Voluntario Especial para Facilitar la Participación de las Partes en el Proceso del Convenio, incluidas entidades privadas y filantrópicas, para ayudar a financiar la participación de los países que reúnan las condiciones en las reuniones de la Conferencia de las Partes en el Convenio, la Conferencia de las Partes que actúa como reuniones de las Partes en los Protocolos y los órganos subsidiarios;</w:t>
      </w:r>
    </w:p>
    <w:p w14:paraId="4B4F00E8" w14:textId="582582D7" w:rsidR="005C32F7" w:rsidRPr="00D1707B" w:rsidRDefault="00194E9E" w:rsidP="00854C5E">
      <w:pPr>
        <w:pStyle w:val="CBDDesicionText"/>
        <w:rPr>
          <w:rFonts w:asciiTheme="majorBidi" w:hAnsiTheme="majorBidi" w:cstheme="majorBidi"/>
        </w:rPr>
      </w:pPr>
      <w:r>
        <w:rPr>
          <w:rFonts w:asciiTheme="majorBidi" w:hAnsiTheme="majorBidi"/>
        </w:rPr>
        <w:lastRenderedPageBreak/>
        <w:t>36.</w:t>
      </w:r>
      <w:r>
        <w:rPr>
          <w:rFonts w:asciiTheme="majorBidi" w:hAnsiTheme="majorBidi"/>
          <w:i/>
        </w:rPr>
        <w:tab/>
      </w:r>
      <w:r>
        <w:rPr>
          <w:i/>
        </w:rPr>
        <w:t xml:space="preserve">Pide </w:t>
      </w:r>
      <w:r>
        <w:t>a la Secretaria Ejecutiva que recuerde a las Partes en enero de cada año la necesidad de contribuir al Fondo Fiduciario Voluntario Especial para Facilitar la Participación de las Partes en el Proceso del Convenio, al menos seis meses antes de las reuniones ordinarias de la Conferencia de las Partes en el Convenio y de la Conferencia de las Partes que actúa como reuniones de las Partes en los Protocolos, que emita solicitudes en diciembre de cada año para cubrir las necesidades de todas las reuniones pertinentes del año siguiente y que curse invitaciones anticipadas a otros donantes para que hagan contribuciones;</w:t>
      </w:r>
    </w:p>
    <w:p w14:paraId="519A1B38" w14:textId="32E0F0D7" w:rsidR="00BB2470" w:rsidRPr="00D1707B" w:rsidRDefault="00194E9E" w:rsidP="00854C5E">
      <w:pPr>
        <w:pStyle w:val="CBDDesicionText"/>
        <w:rPr>
          <w:rFonts w:asciiTheme="majorBidi" w:hAnsiTheme="majorBidi" w:cstheme="majorBidi"/>
        </w:rPr>
      </w:pPr>
      <w:r>
        <w:rPr>
          <w:rFonts w:asciiTheme="majorBidi" w:hAnsiTheme="majorBidi"/>
        </w:rPr>
        <w:t>37.</w:t>
      </w:r>
      <w:r>
        <w:rPr>
          <w:rFonts w:asciiTheme="majorBidi" w:hAnsiTheme="majorBidi"/>
          <w:i/>
        </w:rPr>
        <w:tab/>
      </w:r>
      <w:r>
        <w:rPr>
          <w:i/>
        </w:rPr>
        <w:t>Pide también</w:t>
      </w:r>
      <w:r>
        <w:t xml:space="preserve"> a la Secretaria Ejecutiva que, en consulta con la Mesa, continúe haciendo un seguimiento de la disponibilidad de contribuciones voluntarias al Fondo Fiduciario Voluntario Especial para Facilitar la Participación de las Partes en el Proceso del Convenio, con miras a que los miembros de la Mesa puedan llevar cualquier déficit de contribuciones a la atención de las Partes y, según proceda, de posibles donantes de sus regiones;</w:t>
      </w:r>
    </w:p>
    <w:p w14:paraId="02D86987" w14:textId="02FE201B" w:rsidR="00E17D39" w:rsidRPr="00D1707B" w:rsidRDefault="00194E9E" w:rsidP="00854C5E">
      <w:pPr>
        <w:pStyle w:val="CBDDesicionText"/>
        <w:rPr>
          <w:rFonts w:asciiTheme="majorBidi" w:hAnsiTheme="majorBidi" w:cstheme="majorBidi"/>
        </w:rPr>
      </w:pPr>
      <w:r>
        <w:rPr>
          <w:rFonts w:asciiTheme="majorBidi" w:hAnsiTheme="majorBidi"/>
        </w:rPr>
        <w:t>38.</w:t>
      </w:r>
      <w:r>
        <w:rPr>
          <w:rFonts w:asciiTheme="majorBidi" w:hAnsiTheme="majorBidi"/>
        </w:rPr>
        <w:tab/>
      </w:r>
      <w:r>
        <w:rPr>
          <w:rFonts w:asciiTheme="majorBidi" w:hAnsiTheme="majorBidi"/>
          <w:i/>
        </w:rPr>
        <w:t>Pide además</w:t>
      </w:r>
      <w:r>
        <w:rPr>
          <w:rFonts w:asciiTheme="majorBidi" w:hAnsiTheme="majorBidi"/>
        </w:rPr>
        <w:t xml:space="preserve"> a la Secretaria Ejecutiva que, en preparación para las reuniones de la Conferencia de las Partes en el Convenio y de la Conferencia de las Partes que actúa como reuniones de las Partes en los Protocolos, compile y distribuya a las Partes una lista de los trabajos solicitados a la Secretaria Ejecutiva, incluidas las consecuencias administrativas y financieras de cada proyecto de decisión, según proceda, que requieran financiación de los presupuestos básicos o voluntarios, según lo indicado en los proyectos de recomendación y de decisión, a fin de informar a las Partes, sin perjuicio de las decisiones de la Conferencia de las Partes y de la Conferencia de las Partes que actúa como reuniones de las Partes en los Protocolos, y que brinde información sobre las consecuencias administrativas y financieras de cada proyecto de decisión, según proceda, en los temas correspondientes del programa;</w:t>
      </w:r>
    </w:p>
    <w:p w14:paraId="1329FF08" w14:textId="421D1AC6" w:rsidR="006932AD" w:rsidRPr="00D1707B" w:rsidRDefault="00194E9E" w:rsidP="00854C5E">
      <w:pPr>
        <w:pStyle w:val="CBDDesicionText"/>
        <w:rPr>
          <w:rFonts w:asciiTheme="majorBidi" w:hAnsiTheme="majorBidi" w:cstheme="majorBidi"/>
        </w:rPr>
      </w:pPr>
      <w:r>
        <w:rPr>
          <w:rFonts w:asciiTheme="majorBidi" w:hAnsiTheme="majorBidi"/>
        </w:rPr>
        <w:t>39.</w:t>
      </w:r>
      <w:r>
        <w:rPr>
          <w:rFonts w:asciiTheme="majorBidi" w:hAnsiTheme="majorBidi"/>
          <w:i/>
        </w:rPr>
        <w:tab/>
        <w:t>Pide</w:t>
      </w:r>
      <w:r>
        <w:rPr>
          <w:rFonts w:asciiTheme="majorBidi" w:hAnsiTheme="majorBidi"/>
        </w:rPr>
        <w:t xml:space="preserve"> a la Secretaria Ejecutiva que prepare y presente un programa de trabajo actualizado, detallado e integrado para el período 2027-2028 en el que se establezcan los objetivos, las tareas que ha de realizar la Secretaría y los resultados previstos con respecto a cada partida presupuestaria, para el Convenio y sus Protocolos, a fin de que lo examine el Órgano Subsidiario sobre la Aplicación con antelación a la 17ª reunión de la Conferencia de las Partes en el Convenio, la 12ª reunión de la Conferencia de las Partes que actúa como reunión de las Partes en el Protocolo de Cartagena y la 6ª reunión de la Conferencia de las Partes que actúa como reunión de las Partes en el Protocolo de Nagoya, y un presupuesto por programas correspondiente, siguiendo el formato del proyecto de presupuesto por programas del Programa de las Naciones Unidas para el Medio Ambiente, incluida la declaración de información complementaria, para el bienio con los tres escenarios siguientes, teniendo en cuenta la lista mencionada en el párrafo 38:</w:t>
      </w:r>
    </w:p>
    <w:p w14:paraId="4D298303" w14:textId="7F0339AC" w:rsidR="006932AD" w:rsidRPr="00D1707B" w:rsidRDefault="006932AD" w:rsidP="00854C5E">
      <w:pPr>
        <w:pStyle w:val="CBDDesicionText"/>
        <w:rPr>
          <w:rFonts w:asciiTheme="majorBidi" w:hAnsiTheme="majorBidi" w:cstheme="majorBidi"/>
        </w:rPr>
      </w:pPr>
      <w:r>
        <w:rPr>
          <w:rFonts w:asciiTheme="majorBidi" w:hAnsiTheme="majorBidi"/>
        </w:rPr>
        <w:t>a)</w:t>
      </w:r>
      <w:r>
        <w:rPr>
          <w:rFonts w:asciiTheme="majorBidi" w:hAnsiTheme="majorBidi"/>
        </w:rPr>
        <w:tab/>
        <w:t>El presupuesto por programas (de los tres fondos fiduciarios del presupuesto básico) necesario para ejecutar el programa de trabajo del Convenio y sus Protocolos, a la luz de la revisión funcional de la Secretaría, menos el importe de los saldos no utilizados para el bienio 2025-2026;</w:t>
      </w:r>
    </w:p>
    <w:p w14:paraId="4C93F144" w14:textId="3B826EC7" w:rsidR="006932AD" w:rsidRPr="00D1707B" w:rsidRDefault="006932AD" w:rsidP="00854C5E">
      <w:pPr>
        <w:pStyle w:val="CBDDesicionText"/>
        <w:rPr>
          <w:rFonts w:asciiTheme="majorBidi" w:hAnsiTheme="majorBidi" w:cstheme="majorBidi"/>
        </w:rPr>
      </w:pPr>
      <w:r>
        <w:rPr>
          <w:rFonts w:asciiTheme="majorBidi" w:hAnsiTheme="majorBidi"/>
        </w:rPr>
        <w:t>b)</w:t>
      </w:r>
      <w:r>
        <w:rPr>
          <w:rFonts w:asciiTheme="majorBidi" w:hAnsiTheme="majorBidi"/>
        </w:rPr>
        <w:tab/>
        <w:t>El presupuesto por programas (de los tres fondos fiduciarios del presupuesto básico) establecido con el nivel total de 2025-2026 en términos reales menos el importe de los saldos no utilizados empleados para el bienio 2025-2026;</w:t>
      </w:r>
    </w:p>
    <w:p w14:paraId="629B9C1C" w14:textId="5D51B49F" w:rsidR="006932AD" w:rsidRPr="00D1707B" w:rsidRDefault="006932AD" w:rsidP="00854C5E">
      <w:pPr>
        <w:pStyle w:val="CBDDesicionText"/>
        <w:rPr>
          <w:rFonts w:asciiTheme="majorBidi" w:hAnsiTheme="majorBidi" w:cstheme="majorBidi"/>
        </w:rPr>
      </w:pPr>
      <w:r>
        <w:rPr>
          <w:rFonts w:asciiTheme="majorBidi" w:hAnsiTheme="majorBidi"/>
        </w:rPr>
        <w:t>c)</w:t>
      </w:r>
      <w:r>
        <w:rPr>
          <w:rFonts w:asciiTheme="majorBidi" w:hAnsiTheme="majorBidi"/>
        </w:rPr>
        <w:tab/>
        <w:t>El presupuesto por programas (de los tres fondos fiduciarios del presupuesto básico) establecido con el nivel total de 2025-2026 en términos nominales menos el importe de los saldos no utilizados empleados para el bienio 2025-2026;</w:t>
      </w:r>
    </w:p>
    <w:p w14:paraId="653CB72A" w14:textId="38D39AE3" w:rsidR="001D7AF0" w:rsidRPr="00D1707B" w:rsidRDefault="00194E9E" w:rsidP="00854C5E">
      <w:pPr>
        <w:pStyle w:val="CBDDesicionText"/>
        <w:rPr>
          <w:shd w:val="clear" w:color="auto" w:fill="FFFFFF"/>
        </w:rPr>
      </w:pPr>
      <w:r>
        <w:rPr>
          <w:shd w:val="clear" w:color="auto" w:fill="FFFFFF"/>
        </w:rPr>
        <w:t>40.</w:t>
      </w:r>
      <w:r>
        <w:rPr>
          <w:i/>
          <w:shd w:val="clear" w:color="auto" w:fill="FFFFFF"/>
        </w:rPr>
        <w:tab/>
      </w:r>
      <w:r>
        <w:rPr>
          <w:i/>
        </w:rPr>
        <w:t>Pide también</w:t>
      </w:r>
      <w:r>
        <w:t xml:space="preserve"> a la Secretaria Ejecutiva que aplique todas las medidas posibles para mejorar la eficacia y la eficiencia de la Secretaría, teniendo en cuenta la decisión 16/25, de 1 de noviembre de 2024, sobre opciones para seguir mejorando la eficacia de los procesos del Convenio y sus Protocolos y en su labor subsiguiente en el período entre reuniones con antelación a la 17ª reunión de la Conferencia de las Partes, y que contemple esas medidas en los tres escenarios anteriores;</w:t>
      </w:r>
      <w:r>
        <w:rPr>
          <w:shd w:val="clear" w:color="auto" w:fill="FFFFFF"/>
        </w:rPr>
        <w:t xml:space="preserve"> </w:t>
      </w:r>
    </w:p>
    <w:p w14:paraId="654BB560" w14:textId="0632CEF8" w:rsidR="001D7AF0" w:rsidRPr="00D1707B" w:rsidRDefault="00194E9E" w:rsidP="00854C5E">
      <w:pPr>
        <w:pStyle w:val="CBDDesicionText"/>
        <w:rPr>
          <w:rFonts w:asciiTheme="majorBidi" w:hAnsiTheme="majorBidi" w:cstheme="majorBidi"/>
        </w:rPr>
      </w:pPr>
      <w:r>
        <w:rPr>
          <w:rFonts w:asciiTheme="majorBidi" w:hAnsiTheme="majorBidi"/>
        </w:rPr>
        <w:lastRenderedPageBreak/>
        <w:t>41.</w:t>
      </w:r>
      <w:r>
        <w:rPr>
          <w:rFonts w:asciiTheme="majorBidi" w:hAnsiTheme="majorBidi"/>
          <w:i/>
        </w:rPr>
        <w:tab/>
        <w:t>Pide además</w:t>
      </w:r>
      <w:r>
        <w:rPr>
          <w:rFonts w:asciiTheme="majorBidi" w:hAnsiTheme="majorBidi"/>
        </w:rPr>
        <w:t xml:space="preserve"> a la Secretaria Ejecutiva que informe al Órgano Subsidiario sobre la Aplicación con antelación a la 17ª reunión de la Conferencia de las Partes en el Convenio, la 12ª reunión de la Conferencia de las Partes que actúa como reunión de las Partes en el Protocolo de Cartagena y la 6ª reunión de la Conferencia de las Partes que actúa como reunión de las Partes en el Protocolo de Nagoya, sobre los ingresos y la ejecución del presupuesto, los saldos no utilizados y la situación del superávit y los saldos arrastrados, así como sobre cualquier ajuste realizado en el presupuesto para el bienio 2025-2026;</w:t>
      </w:r>
    </w:p>
    <w:p w14:paraId="2EFEDDAD" w14:textId="0D944A2C" w:rsidR="001D7AF0" w:rsidRPr="00D1707B" w:rsidRDefault="00194E9E" w:rsidP="00854C5E">
      <w:pPr>
        <w:pStyle w:val="CBDDesicionText"/>
        <w:rPr>
          <w:rFonts w:asciiTheme="majorBidi" w:hAnsiTheme="majorBidi" w:cstheme="majorBidi"/>
        </w:rPr>
      </w:pPr>
      <w:r>
        <w:rPr>
          <w:rFonts w:asciiTheme="majorBidi" w:hAnsiTheme="majorBidi"/>
        </w:rPr>
        <w:t>42.</w:t>
      </w:r>
      <w:r>
        <w:rPr>
          <w:rFonts w:asciiTheme="majorBidi" w:hAnsiTheme="majorBidi"/>
        </w:rPr>
        <w:tab/>
      </w:r>
      <w:r>
        <w:rPr>
          <w:i/>
        </w:rPr>
        <w:t>Observa con preocupación</w:t>
      </w:r>
      <w:r>
        <w:t xml:space="preserve"> la demora en la presentación de los documentos presupuestarios con antelación a la 16ª reunión de la Conferencia de las Partes en el Convenio, la 11ª reunión de la Conferencia de las Partes que actúa como reunión de las Partes en el Protocolo de Cartagena y la 5ª reunión de la Conferencia de las Partes que actúa como reunión de las Partes en el Protocolo de Nagoya, e insta a la Secretaria Ejecutiva a tomar las medidas necesarias para garantizar que los documentos presupuestarios para la 17ª reunión de la Conferencia de las Partes en el Convenio, la 12ª reunión de la Conferencia de las Partes que actúa como reunión de las Partes en el Protocolo de Cartagena y la 6ª reunión de la Conferencia de las Partes que actúa como reunión de las Partes en el Protocolo de Nagoya se distribuyan respetando plenamente el plazo de 90 días establecido en el párrafo 7 a) del anexo I de la decisión </w:t>
      </w:r>
      <w:hyperlink r:id="rId19" w:history="1">
        <w:r>
          <w:rPr>
            <w:rStyle w:val="Hipervnculo"/>
            <w:rFonts w:asciiTheme="majorBidi" w:hAnsiTheme="majorBidi"/>
          </w:rPr>
          <w:t>I/</w:t>
        </w:r>
        <w:r>
          <w:rPr>
            <w:rStyle w:val="Hipervnculo"/>
            <w:rFonts w:asciiTheme="majorBidi" w:hAnsiTheme="majorBidi"/>
          </w:rPr>
          <w:t>6</w:t>
        </w:r>
      </w:hyperlink>
      <w:r>
        <w:t>, de 9 de diciembre de 1994, y que mantenga a la Mesa informada acerca de los progresos realizados en la preparación del presupuesto;</w:t>
      </w:r>
    </w:p>
    <w:p w14:paraId="40711A60" w14:textId="11C72F62" w:rsidR="00635AC4" w:rsidRPr="00D1707B" w:rsidRDefault="00194E9E" w:rsidP="00582303">
      <w:pPr>
        <w:pStyle w:val="CBDDesicionText"/>
      </w:pPr>
      <w:r>
        <w:t>43.</w:t>
      </w:r>
      <w:r>
        <w:tab/>
      </w:r>
      <w:r>
        <w:rPr>
          <w:i/>
        </w:rPr>
        <w:t>Toma nota</w:t>
      </w:r>
      <w:r>
        <w:t xml:space="preserve"> de la información proporcionada por la Secretaria Ejecutiva sobre la administración del Convenio y sus Protocolos para el bienio 2023-2024</w:t>
      </w:r>
      <w:r w:rsidR="00816EFE" w:rsidRPr="00D1707B">
        <w:rPr>
          <w:rStyle w:val="Refdenotaalpie"/>
          <w:rFonts w:asciiTheme="majorBidi" w:hAnsiTheme="majorBidi" w:cstheme="majorBidi"/>
        </w:rPr>
        <w:footnoteReference w:id="12"/>
      </w:r>
      <w:r>
        <w:t xml:space="preserve">, en particular la ejecución del presupuesto integrado para 2023-2024, y pide a la Secretaria Ejecutiva que presente en todas las reuniones futuras de la Conferencia de las Partes información sobre la ejecución de los presupuestos de los fondos fiduciarios tanto del presupuesto básico como voluntarios, a fin de que las Partes cuenten con un informe completo sobre los gastos incurridos en el Convenio. </w:t>
      </w:r>
      <w:bookmarkEnd w:id="1"/>
    </w:p>
    <w:p w14:paraId="2CE62153" w14:textId="1C1E5415" w:rsidR="00446ACA" w:rsidRPr="00D1707B" w:rsidRDefault="00446ACA" w:rsidP="00582303">
      <w:pPr>
        <w:pStyle w:val="CBDTableTitle"/>
        <w:ind w:left="562"/>
      </w:pPr>
      <w:r>
        <w:rPr>
          <w:b w:val="0"/>
        </w:rPr>
        <w:t>Cuadro 1</w:t>
      </w:r>
      <w:r>
        <w:br/>
        <w:t xml:space="preserve">Presupuesto bienal integrado para los fondos fiduciarios del presupuesto básico del Convenio y sus Protocolos, 2025-2026 (por objeto de gasto) </w:t>
      </w:r>
    </w:p>
    <w:p w14:paraId="7C46EA58" w14:textId="40F34BC8" w:rsidR="008C7CF6" w:rsidRPr="00D1707B" w:rsidRDefault="006E5A78" w:rsidP="00582303">
      <w:pPr>
        <w:keepNext/>
        <w:spacing w:after="80"/>
        <w:ind w:left="562"/>
        <w:rPr>
          <w:sz w:val="18"/>
          <w:szCs w:val="18"/>
        </w:rPr>
      </w:pPr>
      <w:r>
        <w:rPr>
          <w:sz w:val="18"/>
        </w:rPr>
        <w:t>(En miles de dólares de los EE.UU.)</w:t>
      </w:r>
    </w:p>
    <w:tbl>
      <w:tblPr>
        <w:tblW w:w="4343" w:type="pct"/>
        <w:jc w:val="center"/>
        <w:tblLayout w:type="fixed"/>
        <w:tblCellMar>
          <w:left w:w="0" w:type="dxa"/>
          <w:right w:w="0" w:type="dxa"/>
        </w:tblCellMar>
        <w:tblLook w:val="01E0" w:firstRow="1" w:lastRow="1" w:firstColumn="1" w:lastColumn="1" w:noHBand="0" w:noVBand="0"/>
      </w:tblPr>
      <w:tblGrid>
        <w:gridCol w:w="4320"/>
        <w:gridCol w:w="1350"/>
        <w:gridCol w:w="1081"/>
        <w:gridCol w:w="1379"/>
      </w:tblGrid>
      <w:tr w:rsidR="008D72B7" w:rsidRPr="00D1707B" w14:paraId="2C5D2EEC" w14:textId="77777777" w:rsidTr="00D1707B">
        <w:trPr>
          <w:tblHeader/>
          <w:jc w:val="center"/>
        </w:trPr>
        <w:tc>
          <w:tcPr>
            <w:tcW w:w="2657" w:type="pct"/>
            <w:tcBorders>
              <w:top w:val="single" w:sz="4" w:space="0" w:color="auto"/>
              <w:bottom w:val="single" w:sz="4" w:space="0" w:color="auto"/>
            </w:tcBorders>
            <w:vAlign w:val="bottom"/>
          </w:tcPr>
          <w:p w14:paraId="5B65D0E2" w14:textId="7F943C86" w:rsidR="008C7CF6" w:rsidRPr="00D1707B" w:rsidRDefault="008C7CF6" w:rsidP="00D1707B">
            <w:pPr>
              <w:keepNext/>
              <w:keepLines/>
              <w:tabs>
                <w:tab w:val="clear" w:pos="567"/>
                <w:tab w:val="clear" w:pos="1134"/>
                <w:tab w:val="clear" w:pos="1701"/>
                <w:tab w:val="clear" w:pos="2268"/>
              </w:tabs>
              <w:spacing w:before="20" w:after="20"/>
              <w:ind w:left="40" w:right="40"/>
              <w:jc w:val="left"/>
              <w:rPr>
                <w:i/>
                <w:color w:val="000000"/>
                <w:sz w:val="20"/>
              </w:rPr>
            </w:pPr>
            <w:bookmarkStart w:id="2" w:name="_Hlk181426995"/>
            <w:r>
              <w:rPr>
                <w:i/>
                <w:color w:val="000000"/>
                <w:sz w:val="20"/>
              </w:rPr>
              <w:t>Objeto de gasto</w:t>
            </w:r>
          </w:p>
        </w:tc>
        <w:tc>
          <w:tcPr>
            <w:tcW w:w="830" w:type="pct"/>
            <w:tcBorders>
              <w:top w:val="single" w:sz="4" w:space="0" w:color="auto"/>
              <w:bottom w:val="single" w:sz="4" w:space="0" w:color="auto"/>
            </w:tcBorders>
            <w:vAlign w:val="bottom"/>
          </w:tcPr>
          <w:p w14:paraId="6C0B66E2" w14:textId="77777777" w:rsidR="008C7CF6" w:rsidRPr="00D1707B" w:rsidRDefault="008C7CF6" w:rsidP="00D1707B">
            <w:pPr>
              <w:keepNext/>
              <w:keepLines/>
              <w:tabs>
                <w:tab w:val="clear" w:pos="567"/>
                <w:tab w:val="clear" w:pos="1134"/>
                <w:tab w:val="clear" w:pos="1701"/>
                <w:tab w:val="clear" w:pos="2268"/>
              </w:tabs>
              <w:spacing w:before="20" w:after="20"/>
              <w:ind w:left="40" w:right="40"/>
              <w:jc w:val="right"/>
              <w:rPr>
                <w:i/>
                <w:color w:val="000000"/>
                <w:sz w:val="20"/>
              </w:rPr>
            </w:pPr>
            <w:r>
              <w:rPr>
                <w:i/>
                <w:color w:val="000000"/>
                <w:sz w:val="20"/>
              </w:rPr>
              <w:t>2025</w:t>
            </w:r>
          </w:p>
        </w:tc>
        <w:tc>
          <w:tcPr>
            <w:tcW w:w="665" w:type="pct"/>
            <w:tcBorders>
              <w:top w:val="single" w:sz="4" w:space="0" w:color="auto"/>
              <w:bottom w:val="single" w:sz="4" w:space="0" w:color="auto"/>
            </w:tcBorders>
            <w:vAlign w:val="bottom"/>
          </w:tcPr>
          <w:p w14:paraId="0C76E4D1" w14:textId="77777777" w:rsidR="008C7CF6" w:rsidRPr="00D1707B" w:rsidRDefault="008C7CF6" w:rsidP="00D1707B">
            <w:pPr>
              <w:keepNext/>
              <w:keepLines/>
              <w:tabs>
                <w:tab w:val="clear" w:pos="567"/>
                <w:tab w:val="clear" w:pos="1134"/>
                <w:tab w:val="clear" w:pos="1701"/>
                <w:tab w:val="clear" w:pos="2268"/>
              </w:tabs>
              <w:spacing w:before="20" w:after="20"/>
              <w:ind w:left="40" w:right="40"/>
              <w:jc w:val="right"/>
              <w:rPr>
                <w:i/>
                <w:color w:val="000000"/>
                <w:sz w:val="20"/>
              </w:rPr>
            </w:pPr>
            <w:r>
              <w:rPr>
                <w:i/>
                <w:color w:val="000000"/>
                <w:sz w:val="20"/>
              </w:rPr>
              <w:t>2026</w:t>
            </w:r>
          </w:p>
        </w:tc>
        <w:tc>
          <w:tcPr>
            <w:tcW w:w="848" w:type="pct"/>
            <w:tcBorders>
              <w:top w:val="single" w:sz="4" w:space="0" w:color="auto"/>
              <w:bottom w:val="single" w:sz="4" w:space="0" w:color="auto"/>
            </w:tcBorders>
            <w:vAlign w:val="bottom"/>
          </w:tcPr>
          <w:p w14:paraId="4834CB04" w14:textId="3BB813DB" w:rsidR="008C7CF6" w:rsidRPr="00D1707B" w:rsidRDefault="008C7CF6" w:rsidP="00D1707B">
            <w:pPr>
              <w:keepNext/>
              <w:keepLines/>
              <w:tabs>
                <w:tab w:val="clear" w:pos="567"/>
                <w:tab w:val="clear" w:pos="1134"/>
                <w:tab w:val="clear" w:pos="1701"/>
                <w:tab w:val="clear" w:pos="2268"/>
              </w:tabs>
              <w:spacing w:before="20" w:after="20"/>
              <w:ind w:left="40" w:right="40"/>
              <w:jc w:val="right"/>
              <w:rPr>
                <w:i/>
                <w:color w:val="000000"/>
                <w:sz w:val="20"/>
              </w:rPr>
            </w:pPr>
            <w:r>
              <w:rPr>
                <w:i/>
                <w:color w:val="000000"/>
                <w:sz w:val="20"/>
              </w:rPr>
              <w:t>2025-2026</w:t>
            </w:r>
          </w:p>
        </w:tc>
      </w:tr>
      <w:tr w:rsidR="008D72B7" w:rsidRPr="00D1707B" w14:paraId="6092D5A6" w14:textId="77777777" w:rsidTr="00D1707B">
        <w:trPr>
          <w:jc w:val="center"/>
        </w:trPr>
        <w:tc>
          <w:tcPr>
            <w:tcW w:w="2657" w:type="pct"/>
            <w:tcBorders>
              <w:top w:val="single" w:sz="4" w:space="0" w:color="auto"/>
            </w:tcBorders>
          </w:tcPr>
          <w:p w14:paraId="0DDDDEBE" w14:textId="77777777" w:rsidR="008C7CF6" w:rsidRPr="00D1707B" w:rsidRDefault="008C7CF6" w:rsidP="00D1707B">
            <w:pPr>
              <w:spacing w:before="20" w:after="20"/>
              <w:ind w:left="40" w:right="40"/>
              <w:rPr>
                <w:sz w:val="20"/>
              </w:rPr>
            </w:pPr>
            <w:r>
              <w:rPr>
                <w:sz w:val="20"/>
              </w:rPr>
              <w:t>Gastos de personal</w:t>
            </w:r>
          </w:p>
        </w:tc>
        <w:tc>
          <w:tcPr>
            <w:tcW w:w="830" w:type="pct"/>
            <w:tcBorders>
              <w:top w:val="single" w:sz="4" w:space="0" w:color="auto"/>
            </w:tcBorders>
          </w:tcPr>
          <w:p w14:paraId="13B6CBAF" w14:textId="583F8B22" w:rsidR="008C7CF6" w:rsidRPr="00D1707B" w:rsidRDefault="008C7CF6" w:rsidP="00D1707B">
            <w:pPr>
              <w:spacing w:before="20" w:after="20"/>
              <w:ind w:left="40" w:right="40"/>
              <w:jc w:val="right"/>
              <w:rPr>
                <w:sz w:val="20"/>
              </w:rPr>
            </w:pPr>
            <w:r>
              <w:rPr>
                <w:sz w:val="20"/>
              </w:rPr>
              <w:t>13 301,0</w:t>
            </w:r>
          </w:p>
        </w:tc>
        <w:tc>
          <w:tcPr>
            <w:tcW w:w="665" w:type="pct"/>
            <w:tcBorders>
              <w:top w:val="single" w:sz="4" w:space="0" w:color="auto"/>
            </w:tcBorders>
          </w:tcPr>
          <w:p w14:paraId="66B0B5F0" w14:textId="0305569B" w:rsidR="008C7CF6" w:rsidRPr="00D1707B" w:rsidRDefault="008C7CF6" w:rsidP="00D1707B">
            <w:pPr>
              <w:spacing w:before="20" w:after="20"/>
              <w:ind w:left="40" w:right="40"/>
              <w:jc w:val="right"/>
              <w:rPr>
                <w:sz w:val="20"/>
              </w:rPr>
            </w:pPr>
            <w:r>
              <w:rPr>
                <w:sz w:val="20"/>
              </w:rPr>
              <w:t>13 862,7</w:t>
            </w:r>
          </w:p>
        </w:tc>
        <w:tc>
          <w:tcPr>
            <w:tcW w:w="848" w:type="pct"/>
            <w:tcBorders>
              <w:top w:val="single" w:sz="4" w:space="0" w:color="auto"/>
            </w:tcBorders>
          </w:tcPr>
          <w:p w14:paraId="2440AF53" w14:textId="5A53F0C2" w:rsidR="008C7CF6" w:rsidRPr="00D1707B" w:rsidRDefault="008C7CF6" w:rsidP="00D1707B">
            <w:pPr>
              <w:spacing w:before="20" w:after="20"/>
              <w:ind w:left="40" w:right="40"/>
              <w:jc w:val="right"/>
              <w:rPr>
                <w:sz w:val="20"/>
              </w:rPr>
            </w:pPr>
            <w:r>
              <w:rPr>
                <w:sz w:val="20"/>
              </w:rPr>
              <w:t>27 163,7</w:t>
            </w:r>
          </w:p>
        </w:tc>
      </w:tr>
      <w:tr w:rsidR="008D72B7" w:rsidRPr="00D1707B" w14:paraId="0961E137" w14:textId="77777777" w:rsidTr="00D1707B">
        <w:trPr>
          <w:jc w:val="center"/>
        </w:trPr>
        <w:tc>
          <w:tcPr>
            <w:tcW w:w="2657" w:type="pct"/>
          </w:tcPr>
          <w:p w14:paraId="7C1B1A9E" w14:textId="77777777" w:rsidR="008C7CF6" w:rsidRPr="00D1707B" w:rsidRDefault="008C7CF6" w:rsidP="00D1707B">
            <w:pPr>
              <w:spacing w:before="20" w:after="20"/>
              <w:ind w:left="40" w:right="40"/>
              <w:rPr>
                <w:sz w:val="20"/>
              </w:rPr>
            </w:pPr>
            <w:r>
              <w:rPr>
                <w:sz w:val="20"/>
              </w:rPr>
              <w:t>Personal temporario general</w:t>
            </w:r>
          </w:p>
        </w:tc>
        <w:tc>
          <w:tcPr>
            <w:tcW w:w="830" w:type="pct"/>
          </w:tcPr>
          <w:p w14:paraId="36D90D05" w14:textId="77777777" w:rsidR="008C7CF6" w:rsidRPr="00D1707B" w:rsidRDefault="008C7CF6" w:rsidP="00D1707B">
            <w:pPr>
              <w:spacing w:before="20" w:after="20"/>
              <w:ind w:left="40" w:right="40"/>
              <w:jc w:val="right"/>
              <w:rPr>
                <w:sz w:val="20"/>
              </w:rPr>
            </w:pPr>
            <w:r>
              <w:rPr>
                <w:sz w:val="20"/>
              </w:rPr>
              <w:t>100,0</w:t>
            </w:r>
          </w:p>
        </w:tc>
        <w:tc>
          <w:tcPr>
            <w:tcW w:w="665" w:type="pct"/>
          </w:tcPr>
          <w:p w14:paraId="3FD548C4" w14:textId="77777777" w:rsidR="008C7CF6" w:rsidRPr="00D1707B" w:rsidRDefault="008C7CF6" w:rsidP="00D1707B">
            <w:pPr>
              <w:spacing w:before="20" w:after="20"/>
              <w:ind w:left="40" w:right="40"/>
              <w:jc w:val="right"/>
              <w:rPr>
                <w:sz w:val="20"/>
              </w:rPr>
            </w:pPr>
            <w:r>
              <w:rPr>
                <w:sz w:val="20"/>
              </w:rPr>
              <w:t>100,0</w:t>
            </w:r>
          </w:p>
        </w:tc>
        <w:tc>
          <w:tcPr>
            <w:tcW w:w="848" w:type="pct"/>
          </w:tcPr>
          <w:p w14:paraId="745559C5" w14:textId="77777777" w:rsidR="008C7CF6" w:rsidRPr="00D1707B" w:rsidRDefault="008C7CF6" w:rsidP="00D1707B">
            <w:pPr>
              <w:spacing w:before="20" w:after="20"/>
              <w:ind w:left="40" w:right="40"/>
              <w:jc w:val="right"/>
              <w:rPr>
                <w:sz w:val="20"/>
              </w:rPr>
            </w:pPr>
            <w:r>
              <w:rPr>
                <w:sz w:val="20"/>
              </w:rPr>
              <w:t>200,0</w:t>
            </w:r>
          </w:p>
        </w:tc>
      </w:tr>
      <w:tr w:rsidR="008D72B7" w:rsidRPr="00D1707B" w14:paraId="797D7AB4" w14:textId="77777777" w:rsidTr="00D1707B">
        <w:trPr>
          <w:jc w:val="center"/>
        </w:trPr>
        <w:tc>
          <w:tcPr>
            <w:tcW w:w="2657" w:type="pct"/>
          </w:tcPr>
          <w:p w14:paraId="0B09BE32" w14:textId="75471D5F" w:rsidR="008C7CF6" w:rsidRPr="00D1707B" w:rsidRDefault="004728EF" w:rsidP="00D1707B">
            <w:pPr>
              <w:spacing w:before="20" w:after="20"/>
              <w:ind w:left="40" w:right="40"/>
              <w:rPr>
                <w:sz w:val="20"/>
              </w:rPr>
            </w:pPr>
            <w:r>
              <w:rPr>
                <w:sz w:val="20"/>
              </w:rPr>
              <w:t>Reuniones de las Mesas</w:t>
            </w:r>
          </w:p>
        </w:tc>
        <w:tc>
          <w:tcPr>
            <w:tcW w:w="830" w:type="pct"/>
          </w:tcPr>
          <w:p w14:paraId="0FD23505" w14:textId="1FDE90E7" w:rsidR="008C7CF6" w:rsidRPr="00D1707B" w:rsidRDefault="008C7CF6" w:rsidP="00D1707B">
            <w:pPr>
              <w:spacing w:before="20" w:after="20"/>
              <w:ind w:left="40" w:right="40"/>
              <w:jc w:val="right"/>
              <w:rPr>
                <w:sz w:val="20"/>
              </w:rPr>
            </w:pPr>
            <w:r>
              <w:rPr>
                <w:sz w:val="20"/>
              </w:rPr>
              <w:t>161,5</w:t>
            </w:r>
          </w:p>
        </w:tc>
        <w:tc>
          <w:tcPr>
            <w:tcW w:w="665" w:type="pct"/>
          </w:tcPr>
          <w:p w14:paraId="0E48C4C8" w14:textId="77777777" w:rsidR="008C7CF6" w:rsidRPr="00D1707B" w:rsidRDefault="008C7CF6" w:rsidP="00D1707B">
            <w:pPr>
              <w:spacing w:before="20" w:after="20"/>
              <w:ind w:left="40" w:right="40"/>
              <w:jc w:val="right"/>
              <w:rPr>
                <w:sz w:val="20"/>
              </w:rPr>
            </w:pPr>
            <w:r>
              <w:rPr>
                <w:sz w:val="20"/>
              </w:rPr>
              <w:t>176,8</w:t>
            </w:r>
          </w:p>
        </w:tc>
        <w:tc>
          <w:tcPr>
            <w:tcW w:w="848" w:type="pct"/>
          </w:tcPr>
          <w:p w14:paraId="18B1D678" w14:textId="77777777" w:rsidR="008C7CF6" w:rsidRPr="00D1707B" w:rsidRDefault="008C7CF6" w:rsidP="00D1707B">
            <w:pPr>
              <w:spacing w:before="20" w:after="20"/>
              <w:ind w:left="40" w:right="40"/>
              <w:jc w:val="right"/>
              <w:rPr>
                <w:sz w:val="20"/>
              </w:rPr>
            </w:pPr>
            <w:r>
              <w:rPr>
                <w:sz w:val="20"/>
              </w:rPr>
              <w:t>338,3</w:t>
            </w:r>
          </w:p>
        </w:tc>
      </w:tr>
      <w:tr w:rsidR="008D72B7" w:rsidRPr="00D1707B" w14:paraId="1F887762" w14:textId="77777777" w:rsidTr="00D1707B">
        <w:trPr>
          <w:jc w:val="center"/>
        </w:trPr>
        <w:tc>
          <w:tcPr>
            <w:tcW w:w="2657" w:type="pct"/>
          </w:tcPr>
          <w:p w14:paraId="5DD945AC" w14:textId="69668FEF" w:rsidR="008C7CF6" w:rsidRPr="00D1707B" w:rsidRDefault="008C7CF6" w:rsidP="00D1707B">
            <w:pPr>
              <w:spacing w:before="20" w:after="20"/>
              <w:ind w:left="40" w:right="40"/>
              <w:rPr>
                <w:sz w:val="20"/>
              </w:rPr>
            </w:pPr>
            <w:r>
              <w:rPr>
                <w:sz w:val="20"/>
              </w:rPr>
              <w:t>Reuniones de expertos</w:t>
            </w:r>
          </w:p>
        </w:tc>
        <w:tc>
          <w:tcPr>
            <w:tcW w:w="830" w:type="pct"/>
          </w:tcPr>
          <w:p w14:paraId="7352C21B" w14:textId="3869A750" w:rsidR="008C7CF6" w:rsidRPr="00D1707B" w:rsidRDefault="008C7CF6" w:rsidP="00D1707B">
            <w:pPr>
              <w:spacing w:before="20" w:after="20"/>
              <w:ind w:left="40" w:right="40"/>
              <w:jc w:val="right"/>
              <w:rPr>
                <w:sz w:val="20"/>
              </w:rPr>
            </w:pPr>
            <w:r>
              <w:rPr>
                <w:sz w:val="20"/>
              </w:rPr>
              <w:t xml:space="preserve"> 175,0</w:t>
            </w:r>
          </w:p>
        </w:tc>
        <w:tc>
          <w:tcPr>
            <w:tcW w:w="665" w:type="pct"/>
          </w:tcPr>
          <w:p w14:paraId="48ED71DB" w14:textId="77777777" w:rsidR="008C7CF6" w:rsidRPr="00D1707B" w:rsidRDefault="008C7CF6" w:rsidP="00D1707B">
            <w:pPr>
              <w:spacing w:before="20" w:after="20"/>
              <w:ind w:left="40" w:right="40"/>
              <w:jc w:val="right"/>
              <w:rPr>
                <w:sz w:val="20"/>
              </w:rPr>
            </w:pPr>
            <w:r>
              <w:rPr>
                <w:sz w:val="20"/>
              </w:rPr>
              <w:t>205,0</w:t>
            </w:r>
          </w:p>
        </w:tc>
        <w:tc>
          <w:tcPr>
            <w:tcW w:w="848" w:type="pct"/>
          </w:tcPr>
          <w:p w14:paraId="5835B5B3" w14:textId="77777777" w:rsidR="008C7CF6" w:rsidRPr="00D1707B" w:rsidRDefault="008C7CF6" w:rsidP="00D1707B">
            <w:pPr>
              <w:spacing w:before="20" w:after="20"/>
              <w:ind w:left="40" w:right="40"/>
              <w:jc w:val="right"/>
              <w:rPr>
                <w:sz w:val="20"/>
              </w:rPr>
            </w:pPr>
            <w:r>
              <w:rPr>
                <w:sz w:val="20"/>
              </w:rPr>
              <w:t>380,0</w:t>
            </w:r>
          </w:p>
        </w:tc>
      </w:tr>
      <w:tr w:rsidR="008D72B7" w:rsidRPr="00D1707B" w14:paraId="34F7E4A6" w14:textId="77777777" w:rsidTr="00D1707B">
        <w:trPr>
          <w:jc w:val="center"/>
        </w:trPr>
        <w:tc>
          <w:tcPr>
            <w:tcW w:w="2657" w:type="pct"/>
          </w:tcPr>
          <w:p w14:paraId="5158BEE5" w14:textId="42AC12EF" w:rsidR="008C7CF6" w:rsidRPr="00D1707B" w:rsidRDefault="008C7CF6" w:rsidP="00D1707B">
            <w:pPr>
              <w:spacing w:before="20" w:after="20"/>
              <w:ind w:left="40" w:right="40"/>
              <w:rPr>
                <w:sz w:val="20"/>
              </w:rPr>
            </w:pPr>
            <w:r>
              <w:rPr>
                <w:sz w:val="20"/>
              </w:rPr>
              <w:t xml:space="preserve">Reuniones de órganos </w:t>
            </w:r>
            <w:proofErr w:type="spellStart"/>
            <w:r>
              <w:rPr>
                <w:sz w:val="20"/>
              </w:rPr>
              <w:t>intergubernamentales</w:t>
            </w:r>
            <w:r>
              <w:rPr>
                <w:i/>
                <w:sz w:val="20"/>
                <w:vertAlign w:val="superscript"/>
              </w:rPr>
              <w:t>a</w:t>
            </w:r>
            <w:proofErr w:type="spellEnd"/>
          </w:p>
        </w:tc>
        <w:tc>
          <w:tcPr>
            <w:tcW w:w="830" w:type="pct"/>
          </w:tcPr>
          <w:p w14:paraId="54A03E4B" w14:textId="77777777" w:rsidR="008C7CF6" w:rsidRPr="00D1707B" w:rsidRDefault="008C7CF6" w:rsidP="00D1707B">
            <w:pPr>
              <w:spacing w:before="20" w:after="20"/>
              <w:ind w:left="40" w:right="40"/>
              <w:jc w:val="right"/>
              <w:rPr>
                <w:sz w:val="20"/>
              </w:rPr>
            </w:pPr>
            <w:r>
              <w:rPr>
                <w:sz w:val="20"/>
              </w:rPr>
              <w:t>2 274,6</w:t>
            </w:r>
          </w:p>
        </w:tc>
        <w:tc>
          <w:tcPr>
            <w:tcW w:w="665" w:type="pct"/>
          </w:tcPr>
          <w:p w14:paraId="22829AB1" w14:textId="77777777" w:rsidR="008C7CF6" w:rsidRPr="00D1707B" w:rsidRDefault="008C7CF6" w:rsidP="00D1707B">
            <w:pPr>
              <w:spacing w:before="20" w:after="20"/>
              <w:ind w:left="40" w:right="40"/>
              <w:jc w:val="right"/>
              <w:rPr>
                <w:sz w:val="20"/>
              </w:rPr>
            </w:pPr>
            <w:r>
              <w:rPr>
                <w:sz w:val="20"/>
              </w:rPr>
              <w:t>2 700,9</w:t>
            </w:r>
          </w:p>
        </w:tc>
        <w:tc>
          <w:tcPr>
            <w:tcW w:w="848" w:type="pct"/>
          </w:tcPr>
          <w:p w14:paraId="07752ACE" w14:textId="77777777" w:rsidR="008C7CF6" w:rsidRPr="00D1707B" w:rsidRDefault="008C7CF6" w:rsidP="00D1707B">
            <w:pPr>
              <w:spacing w:before="20" w:after="20"/>
              <w:ind w:left="40" w:right="40"/>
              <w:jc w:val="right"/>
              <w:rPr>
                <w:sz w:val="20"/>
              </w:rPr>
            </w:pPr>
            <w:r>
              <w:rPr>
                <w:sz w:val="20"/>
              </w:rPr>
              <w:t>4 975,5</w:t>
            </w:r>
          </w:p>
        </w:tc>
      </w:tr>
      <w:tr w:rsidR="008D72B7" w:rsidRPr="00D1707B" w14:paraId="2C2B3CAC" w14:textId="77777777" w:rsidTr="00D1707B">
        <w:trPr>
          <w:jc w:val="center"/>
        </w:trPr>
        <w:tc>
          <w:tcPr>
            <w:tcW w:w="2657" w:type="pct"/>
          </w:tcPr>
          <w:p w14:paraId="250B768B" w14:textId="77777777" w:rsidR="008C7CF6" w:rsidRPr="00D1707B" w:rsidRDefault="008C7CF6" w:rsidP="00D1707B">
            <w:pPr>
              <w:spacing w:before="20" w:after="20"/>
              <w:ind w:left="40" w:right="40"/>
              <w:rPr>
                <w:sz w:val="20"/>
              </w:rPr>
            </w:pPr>
            <w:r>
              <w:rPr>
                <w:sz w:val="20"/>
              </w:rPr>
              <w:t>Consultores</w:t>
            </w:r>
          </w:p>
        </w:tc>
        <w:tc>
          <w:tcPr>
            <w:tcW w:w="830" w:type="pct"/>
          </w:tcPr>
          <w:p w14:paraId="43CF7BDA" w14:textId="77777777" w:rsidR="008C7CF6" w:rsidRPr="00D1707B" w:rsidRDefault="008C7CF6" w:rsidP="00D1707B">
            <w:pPr>
              <w:spacing w:before="20" w:after="20"/>
              <w:ind w:left="40" w:right="40"/>
              <w:jc w:val="right"/>
              <w:rPr>
                <w:sz w:val="20"/>
              </w:rPr>
            </w:pPr>
            <w:r>
              <w:rPr>
                <w:sz w:val="20"/>
              </w:rPr>
              <w:t>75,0</w:t>
            </w:r>
          </w:p>
        </w:tc>
        <w:tc>
          <w:tcPr>
            <w:tcW w:w="665" w:type="pct"/>
          </w:tcPr>
          <w:p w14:paraId="09CF2D5F" w14:textId="77777777" w:rsidR="008C7CF6" w:rsidRPr="00D1707B" w:rsidRDefault="008C7CF6" w:rsidP="00D1707B">
            <w:pPr>
              <w:spacing w:before="20" w:after="20"/>
              <w:ind w:left="40" w:right="40"/>
              <w:jc w:val="right"/>
              <w:rPr>
                <w:sz w:val="20"/>
              </w:rPr>
            </w:pPr>
            <w:r>
              <w:rPr>
                <w:sz w:val="20"/>
              </w:rPr>
              <w:t>75,0</w:t>
            </w:r>
          </w:p>
        </w:tc>
        <w:tc>
          <w:tcPr>
            <w:tcW w:w="848" w:type="pct"/>
          </w:tcPr>
          <w:p w14:paraId="6C0C3A73" w14:textId="77777777" w:rsidR="008C7CF6" w:rsidRPr="00D1707B" w:rsidRDefault="008C7CF6" w:rsidP="00D1707B">
            <w:pPr>
              <w:spacing w:before="20" w:after="20"/>
              <w:ind w:left="40" w:right="40"/>
              <w:jc w:val="right"/>
              <w:rPr>
                <w:sz w:val="20"/>
              </w:rPr>
            </w:pPr>
            <w:r>
              <w:rPr>
                <w:sz w:val="20"/>
              </w:rPr>
              <w:t>150,0</w:t>
            </w:r>
          </w:p>
        </w:tc>
      </w:tr>
      <w:tr w:rsidR="008D72B7" w:rsidRPr="00D1707B" w14:paraId="760B1AFC" w14:textId="77777777" w:rsidTr="00D1707B">
        <w:trPr>
          <w:jc w:val="center"/>
        </w:trPr>
        <w:tc>
          <w:tcPr>
            <w:tcW w:w="2657" w:type="pct"/>
          </w:tcPr>
          <w:p w14:paraId="11C365BC" w14:textId="48448725" w:rsidR="008C7CF6" w:rsidRPr="00D1707B" w:rsidRDefault="00D52126" w:rsidP="00D1707B">
            <w:pPr>
              <w:spacing w:before="20" w:after="20"/>
              <w:ind w:left="40" w:right="40"/>
              <w:rPr>
                <w:sz w:val="20"/>
              </w:rPr>
            </w:pPr>
            <w:r>
              <w:rPr>
                <w:sz w:val="20"/>
              </w:rPr>
              <w:t>Revisión funcional</w:t>
            </w:r>
          </w:p>
        </w:tc>
        <w:tc>
          <w:tcPr>
            <w:tcW w:w="830" w:type="pct"/>
          </w:tcPr>
          <w:p w14:paraId="10228935" w14:textId="77777777" w:rsidR="008C7CF6" w:rsidRPr="00D1707B" w:rsidRDefault="008C7CF6" w:rsidP="00D1707B">
            <w:pPr>
              <w:spacing w:before="20" w:after="20"/>
              <w:ind w:left="40" w:right="40"/>
              <w:jc w:val="right"/>
              <w:rPr>
                <w:sz w:val="20"/>
              </w:rPr>
            </w:pPr>
            <w:r>
              <w:rPr>
                <w:sz w:val="20"/>
              </w:rPr>
              <w:t>250,0</w:t>
            </w:r>
          </w:p>
        </w:tc>
        <w:tc>
          <w:tcPr>
            <w:tcW w:w="665" w:type="pct"/>
          </w:tcPr>
          <w:p w14:paraId="17F67AAB" w14:textId="0801838A" w:rsidR="008C7CF6" w:rsidRPr="00D1707B" w:rsidRDefault="008D72B7" w:rsidP="00D1707B">
            <w:pPr>
              <w:spacing w:before="20" w:after="20"/>
              <w:ind w:left="40" w:right="40"/>
              <w:jc w:val="right"/>
              <w:rPr>
                <w:sz w:val="20"/>
              </w:rPr>
            </w:pPr>
            <w:r>
              <w:rPr>
                <w:sz w:val="20"/>
              </w:rPr>
              <w:t>-</w:t>
            </w:r>
          </w:p>
        </w:tc>
        <w:tc>
          <w:tcPr>
            <w:tcW w:w="848" w:type="pct"/>
          </w:tcPr>
          <w:p w14:paraId="65CC9F60" w14:textId="77777777" w:rsidR="008C7CF6" w:rsidRPr="00D1707B" w:rsidRDefault="008C7CF6" w:rsidP="00D1707B">
            <w:pPr>
              <w:spacing w:before="20" w:after="20"/>
              <w:ind w:left="40" w:right="40"/>
              <w:jc w:val="right"/>
              <w:rPr>
                <w:sz w:val="20"/>
              </w:rPr>
            </w:pPr>
            <w:r>
              <w:rPr>
                <w:sz w:val="20"/>
              </w:rPr>
              <w:t>250,0</w:t>
            </w:r>
          </w:p>
        </w:tc>
      </w:tr>
      <w:tr w:rsidR="008D72B7" w:rsidRPr="00D1707B" w14:paraId="76B6D7C5" w14:textId="77777777" w:rsidTr="00D1707B">
        <w:trPr>
          <w:jc w:val="center"/>
        </w:trPr>
        <w:tc>
          <w:tcPr>
            <w:tcW w:w="2657" w:type="pct"/>
          </w:tcPr>
          <w:p w14:paraId="23173214" w14:textId="77777777" w:rsidR="008C7CF6" w:rsidRPr="00D1707B" w:rsidRDefault="008C7CF6" w:rsidP="00D1707B">
            <w:pPr>
              <w:spacing w:before="20" w:after="20"/>
              <w:ind w:left="40" w:right="40"/>
              <w:rPr>
                <w:sz w:val="20"/>
              </w:rPr>
            </w:pPr>
            <w:r>
              <w:rPr>
                <w:sz w:val="20"/>
              </w:rPr>
              <w:t>Viajes oficiales</w:t>
            </w:r>
          </w:p>
        </w:tc>
        <w:tc>
          <w:tcPr>
            <w:tcW w:w="830" w:type="pct"/>
          </w:tcPr>
          <w:p w14:paraId="4BE8FEE9" w14:textId="77777777" w:rsidR="008C7CF6" w:rsidRPr="00D1707B" w:rsidRDefault="008C7CF6" w:rsidP="00D1707B">
            <w:pPr>
              <w:spacing w:before="20" w:after="20"/>
              <w:ind w:left="40" w:right="40"/>
              <w:jc w:val="right"/>
              <w:rPr>
                <w:sz w:val="20"/>
              </w:rPr>
            </w:pPr>
            <w:r>
              <w:rPr>
                <w:sz w:val="20"/>
              </w:rPr>
              <w:t>400,0</w:t>
            </w:r>
          </w:p>
        </w:tc>
        <w:tc>
          <w:tcPr>
            <w:tcW w:w="665" w:type="pct"/>
          </w:tcPr>
          <w:p w14:paraId="4487FBB9" w14:textId="77777777" w:rsidR="008C7CF6" w:rsidRPr="00D1707B" w:rsidRDefault="008C7CF6" w:rsidP="00D1707B">
            <w:pPr>
              <w:spacing w:before="20" w:after="20"/>
              <w:ind w:left="40" w:right="40"/>
              <w:jc w:val="right"/>
              <w:rPr>
                <w:sz w:val="20"/>
              </w:rPr>
            </w:pPr>
            <w:r>
              <w:rPr>
                <w:sz w:val="20"/>
              </w:rPr>
              <w:t>450,0</w:t>
            </w:r>
          </w:p>
        </w:tc>
        <w:tc>
          <w:tcPr>
            <w:tcW w:w="848" w:type="pct"/>
          </w:tcPr>
          <w:p w14:paraId="2FD0C232" w14:textId="77777777" w:rsidR="008C7CF6" w:rsidRPr="00D1707B" w:rsidRDefault="008C7CF6" w:rsidP="00D1707B">
            <w:pPr>
              <w:spacing w:before="20" w:after="20"/>
              <w:ind w:left="40" w:right="40"/>
              <w:jc w:val="right"/>
              <w:rPr>
                <w:sz w:val="20"/>
              </w:rPr>
            </w:pPr>
            <w:r>
              <w:rPr>
                <w:sz w:val="20"/>
              </w:rPr>
              <w:t>850,0</w:t>
            </w:r>
          </w:p>
        </w:tc>
      </w:tr>
      <w:tr w:rsidR="008D72B7" w:rsidRPr="00D1707B" w14:paraId="4E918BEE" w14:textId="77777777" w:rsidTr="00D1707B">
        <w:trPr>
          <w:jc w:val="center"/>
        </w:trPr>
        <w:tc>
          <w:tcPr>
            <w:tcW w:w="2657" w:type="pct"/>
          </w:tcPr>
          <w:p w14:paraId="5F809813" w14:textId="77777777" w:rsidR="008C7CF6" w:rsidRPr="00D1707B" w:rsidRDefault="008C7CF6" w:rsidP="00D1707B">
            <w:pPr>
              <w:spacing w:before="20" w:after="20"/>
              <w:ind w:left="40" w:right="40"/>
              <w:rPr>
                <w:sz w:val="20"/>
              </w:rPr>
            </w:pPr>
            <w:r>
              <w:rPr>
                <w:sz w:val="20"/>
              </w:rPr>
              <w:t>Alquiler y gastos relacionados</w:t>
            </w:r>
          </w:p>
        </w:tc>
        <w:tc>
          <w:tcPr>
            <w:tcW w:w="830" w:type="pct"/>
          </w:tcPr>
          <w:p w14:paraId="63570650" w14:textId="77777777" w:rsidR="008C7CF6" w:rsidRPr="00D1707B" w:rsidRDefault="008C7CF6" w:rsidP="00D1707B">
            <w:pPr>
              <w:spacing w:before="20" w:after="20"/>
              <w:ind w:left="40" w:right="40"/>
              <w:jc w:val="right"/>
              <w:rPr>
                <w:sz w:val="20"/>
              </w:rPr>
            </w:pPr>
            <w:r>
              <w:rPr>
                <w:sz w:val="20"/>
              </w:rPr>
              <w:t>1 462,6</w:t>
            </w:r>
          </w:p>
        </w:tc>
        <w:tc>
          <w:tcPr>
            <w:tcW w:w="665" w:type="pct"/>
          </w:tcPr>
          <w:p w14:paraId="1C9A1D1B" w14:textId="77777777" w:rsidR="008C7CF6" w:rsidRPr="00D1707B" w:rsidRDefault="008C7CF6" w:rsidP="00D1707B">
            <w:pPr>
              <w:spacing w:before="20" w:after="20"/>
              <w:ind w:left="40" w:right="40"/>
              <w:jc w:val="right"/>
              <w:rPr>
                <w:sz w:val="20"/>
              </w:rPr>
            </w:pPr>
            <w:r>
              <w:rPr>
                <w:sz w:val="20"/>
              </w:rPr>
              <w:t>1 476,6</w:t>
            </w:r>
          </w:p>
        </w:tc>
        <w:tc>
          <w:tcPr>
            <w:tcW w:w="848" w:type="pct"/>
          </w:tcPr>
          <w:p w14:paraId="5F5B59D1" w14:textId="77777777" w:rsidR="008C7CF6" w:rsidRPr="00D1707B" w:rsidRDefault="008C7CF6" w:rsidP="00D1707B">
            <w:pPr>
              <w:spacing w:before="20" w:after="20"/>
              <w:ind w:left="40" w:right="40"/>
              <w:jc w:val="right"/>
              <w:rPr>
                <w:sz w:val="20"/>
              </w:rPr>
            </w:pPr>
            <w:r>
              <w:rPr>
                <w:sz w:val="20"/>
              </w:rPr>
              <w:t>2 939,2</w:t>
            </w:r>
          </w:p>
        </w:tc>
      </w:tr>
      <w:tr w:rsidR="008D72B7" w:rsidRPr="00D1707B" w14:paraId="615D0B84" w14:textId="77777777" w:rsidTr="00D1707B">
        <w:trPr>
          <w:jc w:val="center"/>
        </w:trPr>
        <w:tc>
          <w:tcPr>
            <w:tcW w:w="2657" w:type="pct"/>
          </w:tcPr>
          <w:p w14:paraId="40B1FD9B" w14:textId="77777777" w:rsidR="008C7CF6" w:rsidRPr="00D1707B" w:rsidRDefault="008C7CF6" w:rsidP="00D1707B">
            <w:pPr>
              <w:spacing w:before="20" w:after="20"/>
              <w:ind w:left="40" w:right="40"/>
              <w:rPr>
                <w:sz w:val="20"/>
              </w:rPr>
            </w:pPr>
            <w:r>
              <w:rPr>
                <w:sz w:val="20"/>
              </w:rPr>
              <w:t>Capacitación</w:t>
            </w:r>
          </w:p>
        </w:tc>
        <w:tc>
          <w:tcPr>
            <w:tcW w:w="830" w:type="pct"/>
          </w:tcPr>
          <w:p w14:paraId="075AFC7A" w14:textId="77777777" w:rsidR="008C7CF6" w:rsidRPr="00D1707B" w:rsidRDefault="008C7CF6" w:rsidP="00D1707B">
            <w:pPr>
              <w:spacing w:before="20" w:after="20"/>
              <w:ind w:left="40" w:right="40"/>
              <w:jc w:val="right"/>
              <w:rPr>
                <w:sz w:val="20"/>
              </w:rPr>
            </w:pPr>
            <w:r>
              <w:rPr>
                <w:sz w:val="20"/>
              </w:rPr>
              <w:t>5,0</w:t>
            </w:r>
          </w:p>
        </w:tc>
        <w:tc>
          <w:tcPr>
            <w:tcW w:w="665" w:type="pct"/>
          </w:tcPr>
          <w:p w14:paraId="48948DA4" w14:textId="77777777" w:rsidR="008C7CF6" w:rsidRPr="00D1707B" w:rsidRDefault="008C7CF6" w:rsidP="00D1707B">
            <w:pPr>
              <w:spacing w:before="20" w:after="20"/>
              <w:ind w:left="40" w:right="40"/>
              <w:jc w:val="right"/>
              <w:rPr>
                <w:sz w:val="20"/>
              </w:rPr>
            </w:pPr>
            <w:r>
              <w:rPr>
                <w:sz w:val="20"/>
              </w:rPr>
              <w:t>5,0</w:t>
            </w:r>
          </w:p>
        </w:tc>
        <w:tc>
          <w:tcPr>
            <w:tcW w:w="848" w:type="pct"/>
          </w:tcPr>
          <w:p w14:paraId="060AA4B3" w14:textId="77777777" w:rsidR="008C7CF6" w:rsidRPr="00D1707B" w:rsidRDefault="008C7CF6" w:rsidP="00D1707B">
            <w:pPr>
              <w:spacing w:before="20" w:after="20"/>
              <w:ind w:left="40" w:right="40"/>
              <w:jc w:val="right"/>
              <w:rPr>
                <w:sz w:val="20"/>
              </w:rPr>
            </w:pPr>
            <w:r>
              <w:rPr>
                <w:sz w:val="20"/>
              </w:rPr>
              <w:t>10,0</w:t>
            </w:r>
          </w:p>
        </w:tc>
      </w:tr>
      <w:tr w:rsidR="008D72B7" w:rsidRPr="00D1707B" w14:paraId="14CDF525" w14:textId="77777777" w:rsidTr="00D1707B">
        <w:trPr>
          <w:jc w:val="center"/>
        </w:trPr>
        <w:tc>
          <w:tcPr>
            <w:tcW w:w="2657" w:type="pct"/>
          </w:tcPr>
          <w:p w14:paraId="498FB266" w14:textId="77777777" w:rsidR="008C7CF6" w:rsidRPr="00D1707B" w:rsidRDefault="008C7CF6" w:rsidP="00D1707B">
            <w:pPr>
              <w:spacing w:before="20" w:after="20"/>
              <w:ind w:left="40" w:right="40"/>
              <w:rPr>
                <w:sz w:val="20"/>
              </w:rPr>
            </w:pPr>
            <w:r>
              <w:rPr>
                <w:sz w:val="20"/>
              </w:rPr>
              <w:t>Tecnología de la información</w:t>
            </w:r>
          </w:p>
        </w:tc>
        <w:tc>
          <w:tcPr>
            <w:tcW w:w="830" w:type="pct"/>
          </w:tcPr>
          <w:p w14:paraId="28BBDF07" w14:textId="77777777" w:rsidR="008C7CF6" w:rsidRPr="00D1707B" w:rsidRDefault="008C7CF6" w:rsidP="00D1707B">
            <w:pPr>
              <w:spacing w:before="20" w:after="20"/>
              <w:ind w:left="40" w:right="40"/>
              <w:jc w:val="right"/>
              <w:rPr>
                <w:sz w:val="20"/>
              </w:rPr>
            </w:pPr>
            <w:r>
              <w:rPr>
                <w:sz w:val="20"/>
              </w:rPr>
              <w:t>65,0</w:t>
            </w:r>
          </w:p>
        </w:tc>
        <w:tc>
          <w:tcPr>
            <w:tcW w:w="665" w:type="pct"/>
          </w:tcPr>
          <w:p w14:paraId="4A67DF91" w14:textId="77777777" w:rsidR="008C7CF6" w:rsidRPr="00D1707B" w:rsidRDefault="008C7CF6" w:rsidP="00D1707B">
            <w:pPr>
              <w:spacing w:before="20" w:after="20"/>
              <w:ind w:left="40" w:right="40"/>
              <w:jc w:val="right"/>
              <w:rPr>
                <w:sz w:val="20"/>
              </w:rPr>
            </w:pPr>
            <w:r>
              <w:rPr>
                <w:sz w:val="20"/>
              </w:rPr>
              <w:t>65,0</w:t>
            </w:r>
          </w:p>
        </w:tc>
        <w:tc>
          <w:tcPr>
            <w:tcW w:w="848" w:type="pct"/>
          </w:tcPr>
          <w:p w14:paraId="0DF89738" w14:textId="77777777" w:rsidR="008C7CF6" w:rsidRPr="00D1707B" w:rsidRDefault="008C7CF6" w:rsidP="00D1707B">
            <w:pPr>
              <w:spacing w:before="20" w:after="20"/>
              <w:ind w:left="40" w:right="40"/>
              <w:jc w:val="right"/>
              <w:rPr>
                <w:sz w:val="20"/>
              </w:rPr>
            </w:pPr>
            <w:r>
              <w:rPr>
                <w:sz w:val="20"/>
              </w:rPr>
              <w:t>130,0</w:t>
            </w:r>
          </w:p>
        </w:tc>
      </w:tr>
      <w:tr w:rsidR="008D72B7" w:rsidRPr="00D1707B" w14:paraId="7F761384" w14:textId="77777777" w:rsidTr="00D1707B">
        <w:trPr>
          <w:jc w:val="center"/>
        </w:trPr>
        <w:tc>
          <w:tcPr>
            <w:tcW w:w="2657" w:type="pct"/>
          </w:tcPr>
          <w:p w14:paraId="3C424FF4" w14:textId="77777777" w:rsidR="008C7CF6" w:rsidRPr="00D1707B" w:rsidRDefault="008C7CF6" w:rsidP="00D1707B">
            <w:pPr>
              <w:spacing w:before="20" w:after="20"/>
              <w:ind w:left="40" w:right="40"/>
              <w:rPr>
                <w:sz w:val="20"/>
              </w:rPr>
            </w:pPr>
            <w:r>
              <w:rPr>
                <w:sz w:val="20"/>
              </w:rPr>
              <w:t>Gastos generales de funcionamiento</w:t>
            </w:r>
          </w:p>
        </w:tc>
        <w:tc>
          <w:tcPr>
            <w:tcW w:w="830" w:type="pct"/>
          </w:tcPr>
          <w:p w14:paraId="5702105E" w14:textId="77777777" w:rsidR="008C7CF6" w:rsidRPr="00D1707B" w:rsidRDefault="008C7CF6" w:rsidP="00D1707B">
            <w:pPr>
              <w:spacing w:before="20" w:after="20"/>
              <w:ind w:left="40" w:right="40"/>
              <w:jc w:val="right"/>
              <w:rPr>
                <w:sz w:val="20"/>
              </w:rPr>
            </w:pPr>
            <w:r>
              <w:rPr>
                <w:sz w:val="20"/>
              </w:rPr>
              <w:t>726,6</w:t>
            </w:r>
          </w:p>
        </w:tc>
        <w:tc>
          <w:tcPr>
            <w:tcW w:w="665" w:type="pct"/>
          </w:tcPr>
          <w:p w14:paraId="053ABFFE" w14:textId="77777777" w:rsidR="008C7CF6" w:rsidRPr="00D1707B" w:rsidRDefault="008C7CF6" w:rsidP="00D1707B">
            <w:pPr>
              <w:spacing w:before="20" w:after="20"/>
              <w:ind w:left="40" w:right="40"/>
              <w:jc w:val="right"/>
              <w:rPr>
                <w:sz w:val="20"/>
              </w:rPr>
            </w:pPr>
            <w:r>
              <w:rPr>
                <w:sz w:val="20"/>
              </w:rPr>
              <w:t>726,6</w:t>
            </w:r>
          </w:p>
        </w:tc>
        <w:tc>
          <w:tcPr>
            <w:tcW w:w="848" w:type="pct"/>
          </w:tcPr>
          <w:p w14:paraId="39E41E95" w14:textId="77777777" w:rsidR="008C7CF6" w:rsidRPr="00D1707B" w:rsidRDefault="008C7CF6" w:rsidP="00D1707B">
            <w:pPr>
              <w:spacing w:before="20" w:after="20"/>
              <w:ind w:left="40" w:right="40"/>
              <w:jc w:val="right"/>
              <w:rPr>
                <w:sz w:val="20"/>
              </w:rPr>
            </w:pPr>
            <w:r>
              <w:rPr>
                <w:sz w:val="20"/>
              </w:rPr>
              <w:t>1 453,2</w:t>
            </w:r>
          </w:p>
        </w:tc>
      </w:tr>
      <w:tr w:rsidR="008D72B7" w:rsidRPr="00D1707B" w14:paraId="5AC76A0D" w14:textId="77777777" w:rsidTr="00D1707B">
        <w:trPr>
          <w:jc w:val="center"/>
        </w:trPr>
        <w:tc>
          <w:tcPr>
            <w:tcW w:w="2657" w:type="pct"/>
          </w:tcPr>
          <w:p w14:paraId="6FD7A38A" w14:textId="77777777" w:rsidR="008C7CF6" w:rsidRPr="00D1707B" w:rsidRDefault="008C7CF6" w:rsidP="00D1707B">
            <w:pPr>
              <w:spacing w:before="20" w:after="20"/>
              <w:ind w:left="40" w:right="40"/>
              <w:rPr>
                <w:sz w:val="20"/>
              </w:rPr>
            </w:pPr>
            <w:r>
              <w:rPr>
                <w:sz w:val="20"/>
              </w:rPr>
              <w:t>Material de concienciación del público</w:t>
            </w:r>
          </w:p>
        </w:tc>
        <w:tc>
          <w:tcPr>
            <w:tcW w:w="830" w:type="pct"/>
          </w:tcPr>
          <w:p w14:paraId="3EA9D740" w14:textId="77777777" w:rsidR="008C7CF6" w:rsidRPr="00D1707B" w:rsidRDefault="008C7CF6" w:rsidP="00D1707B">
            <w:pPr>
              <w:spacing w:before="20" w:after="20"/>
              <w:ind w:left="40" w:right="40"/>
              <w:jc w:val="right"/>
              <w:rPr>
                <w:sz w:val="20"/>
              </w:rPr>
            </w:pPr>
            <w:r>
              <w:rPr>
                <w:sz w:val="20"/>
              </w:rPr>
              <w:t>100,0</w:t>
            </w:r>
          </w:p>
        </w:tc>
        <w:tc>
          <w:tcPr>
            <w:tcW w:w="665" w:type="pct"/>
          </w:tcPr>
          <w:p w14:paraId="14B37E4E" w14:textId="77777777" w:rsidR="008C7CF6" w:rsidRPr="00D1707B" w:rsidRDefault="008C7CF6" w:rsidP="00D1707B">
            <w:pPr>
              <w:spacing w:before="20" w:after="20"/>
              <w:ind w:left="40" w:right="40"/>
              <w:jc w:val="right"/>
              <w:rPr>
                <w:sz w:val="20"/>
              </w:rPr>
            </w:pPr>
            <w:r>
              <w:rPr>
                <w:sz w:val="20"/>
              </w:rPr>
              <w:t>100,0</w:t>
            </w:r>
          </w:p>
        </w:tc>
        <w:tc>
          <w:tcPr>
            <w:tcW w:w="848" w:type="pct"/>
          </w:tcPr>
          <w:p w14:paraId="450137D3" w14:textId="77777777" w:rsidR="008C7CF6" w:rsidRPr="00D1707B" w:rsidRDefault="008C7CF6" w:rsidP="00D1707B">
            <w:pPr>
              <w:spacing w:before="20" w:after="20"/>
              <w:ind w:left="40" w:right="40"/>
              <w:jc w:val="right"/>
              <w:rPr>
                <w:sz w:val="20"/>
              </w:rPr>
            </w:pPr>
            <w:r>
              <w:rPr>
                <w:sz w:val="20"/>
              </w:rPr>
              <w:t>200,0</w:t>
            </w:r>
          </w:p>
        </w:tc>
      </w:tr>
      <w:tr w:rsidR="008D72B7" w:rsidRPr="00D1707B" w14:paraId="3C217A71" w14:textId="77777777" w:rsidTr="00D1707B">
        <w:trPr>
          <w:jc w:val="center"/>
        </w:trPr>
        <w:tc>
          <w:tcPr>
            <w:tcW w:w="2657" w:type="pct"/>
          </w:tcPr>
          <w:p w14:paraId="2F3C4ABE" w14:textId="3D200A98" w:rsidR="008C7CF6" w:rsidRPr="00D1707B" w:rsidRDefault="008C7CF6" w:rsidP="00D1707B">
            <w:pPr>
              <w:spacing w:before="20" w:after="20"/>
              <w:ind w:left="40" w:right="40"/>
              <w:rPr>
                <w:sz w:val="20"/>
              </w:rPr>
            </w:pPr>
            <w:r>
              <w:rPr>
                <w:sz w:val="20"/>
              </w:rPr>
              <w:t>Traducción de los sitios web del mecanismo de facilitación</w:t>
            </w:r>
          </w:p>
        </w:tc>
        <w:tc>
          <w:tcPr>
            <w:tcW w:w="830" w:type="pct"/>
          </w:tcPr>
          <w:p w14:paraId="370C2295" w14:textId="58E1311E" w:rsidR="008C7CF6" w:rsidRPr="00D1707B" w:rsidRDefault="008C7CF6" w:rsidP="00D1707B">
            <w:pPr>
              <w:spacing w:before="20" w:after="20"/>
              <w:ind w:left="40" w:right="40"/>
              <w:jc w:val="right"/>
              <w:rPr>
                <w:sz w:val="20"/>
              </w:rPr>
            </w:pPr>
            <w:r>
              <w:rPr>
                <w:sz w:val="20"/>
              </w:rPr>
              <w:t>65,0</w:t>
            </w:r>
          </w:p>
        </w:tc>
        <w:tc>
          <w:tcPr>
            <w:tcW w:w="665" w:type="pct"/>
          </w:tcPr>
          <w:p w14:paraId="67977383" w14:textId="5226274F" w:rsidR="008C7CF6" w:rsidRPr="00D1707B" w:rsidRDefault="008C7CF6" w:rsidP="00D1707B">
            <w:pPr>
              <w:spacing w:before="20" w:after="20"/>
              <w:ind w:left="40" w:right="40"/>
              <w:jc w:val="right"/>
              <w:rPr>
                <w:sz w:val="20"/>
              </w:rPr>
            </w:pPr>
            <w:r>
              <w:rPr>
                <w:sz w:val="20"/>
              </w:rPr>
              <w:t>65,0</w:t>
            </w:r>
          </w:p>
        </w:tc>
        <w:tc>
          <w:tcPr>
            <w:tcW w:w="848" w:type="pct"/>
          </w:tcPr>
          <w:p w14:paraId="38374A13" w14:textId="77777777" w:rsidR="008C7CF6" w:rsidRPr="00D1707B" w:rsidRDefault="008C7CF6" w:rsidP="00D1707B">
            <w:pPr>
              <w:spacing w:before="20" w:after="20"/>
              <w:ind w:left="40" w:right="40"/>
              <w:jc w:val="right"/>
              <w:rPr>
                <w:sz w:val="20"/>
              </w:rPr>
            </w:pPr>
            <w:r>
              <w:rPr>
                <w:sz w:val="20"/>
              </w:rPr>
              <w:t>130,0</w:t>
            </w:r>
          </w:p>
        </w:tc>
      </w:tr>
      <w:tr w:rsidR="008D72B7" w:rsidRPr="00D1707B" w14:paraId="21294887" w14:textId="77777777" w:rsidTr="00D1707B">
        <w:trPr>
          <w:jc w:val="center"/>
        </w:trPr>
        <w:tc>
          <w:tcPr>
            <w:tcW w:w="2657" w:type="pct"/>
          </w:tcPr>
          <w:p w14:paraId="6B631C16" w14:textId="510FFCBB" w:rsidR="008C7CF6" w:rsidRPr="00D1707B" w:rsidRDefault="008C7CF6" w:rsidP="00D1707B">
            <w:pPr>
              <w:tabs>
                <w:tab w:val="clear" w:pos="567"/>
                <w:tab w:val="clear" w:pos="1134"/>
                <w:tab w:val="clear" w:pos="1701"/>
                <w:tab w:val="clear" w:pos="2268"/>
              </w:tabs>
              <w:spacing w:before="20" w:after="20"/>
              <w:ind w:left="319"/>
              <w:jc w:val="left"/>
              <w:rPr>
                <w:b/>
                <w:sz w:val="20"/>
              </w:rPr>
            </w:pPr>
            <w:r>
              <w:rPr>
                <w:b/>
                <w:color w:val="000000"/>
                <w:sz w:val="20"/>
              </w:rPr>
              <w:t>Subtotal</w:t>
            </w:r>
          </w:p>
        </w:tc>
        <w:tc>
          <w:tcPr>
            <w:tcW w:w="830" w:type="pct"/>
          </w:tcPr>
          <w:p w14:paraId="54396C6E" w14:textId="275916C1" w:rsidR="008C7CF6" w:rsidRPr="00D1707B" w:rsidRDefault="008C7CF6" w:rsidP="00D1707B">
            <w:pPr>
              <w:spacing w:before="20" w:after="20"/>
              <w:ind w:left="40" w:right="40"/>
              <w:jc w:val="right"/>
              <w:rPr>
                <w:b/>
                <w:sz w:val="20"/>
              </w:rPr>
            </w:pPr>
            <w:r>
              <w:rPr>
                <w:b/>
                <w:sz w:val="20"/>
              </w:rPr>
              <w:t>19 161,3</w:t>
            </w:r>
          </w:p>
        </w:tc>
        <w:tc>
          <w:tcPr>
            <w:tcW w:w="665" w:type="pct"/>
          </w:tcPr>
          <w:p w14:paraId="3A019C4A" w14:textId="51EC9082" w:rsidR="008C7CF6" w:rsidRPr="00D1707B" w:rsidRDefault="008C7CF6" w:rsidP="00D1707B">
            <w:pPr>
              <w:spacing w:before="20" w:after="20"/>
              <w:ind w:left="40" w:right="40"/>
              <w:jc w:val="right"/>
              <w:rPr>
                <w:b/>
                <w:sz w:val="20"/>
              </w:rPr>
            </w:pPr>
            <w:r>
              <w:rPr>
                <w:b/>
                <w:sz w:val="20"/>
              </w:rPr>
              <w:t>20 008,6</w:t>
            </w:r>
          </w:p>
        </w:tc>
        <w:tc>
          <w:tcPr>
            <w:tcW w:w="848" w:type="pct"/>
          </w:tcPr>
          <w:p w14:paraId="6AD5A509" w14:textId="7A71348C" w:rsidR="008C7CF6" w:rsidRPr="00D1707B" w:rsidRDefault="008C7CF6" w:rsidP="00D1707B">
            <w:pPr>
              <w:pStyle w:val="Prrafodelista"/>
              <w:tabs>
                <w:tab w:val="clear" w:pos="567"/>
              </w:tabs>
              <w:spacing w:before="20" w:after="20"/>
              <w:ind w:left="40" w:right="40"/>
              <w:jc w:val="right"/>
              <w:rPr>
                <w:b/>
                <w:sz w:val="20"/>
              </w:rPr>
            </w:pPr>
            <w:r>
              <w:rPr>
                <w:b/>
                <w:sz w:val="20"/>
              </w:rPr>
              <w:t>39 169,9</w:t>
            </w:r>
          </w:p>
        </w:tc>
      </w:tr>
      <w:tr w:rsidR="008D72B7" w:rsidRPr="00D1707B" w14:paraId="66C2CED3" w14:textId="77777777" w:rsidTr="00D1707B">
        <w:trPr>
          <w:jc w:val="center"/>
        </w:trPr>
        <w:tc>
          <w:tcPr>
            <w:tcW w:w="2657" w:type="pct"/>
          </w:tcPr>
          <w:p w14:paraId="47D01911" w14:textId="63F9D3BF" w:rsidR="008C7CF6" w:rsidRPr="00D1707B" w:rsidRDefault="008C7CF6" w:rsidP="00D1707B">
            <w:pPr>
              <w:tabs>
                <w:tab w:val="clear" w:pos="1134"/>
              </w:tabs>
              <w:spacing w:before="20" w:after="20"/>
              <w:ind w:left="40" w:right="40"/>
              <w:jc w:val="left"/>
              <w:rPr>
                <w:sz w:val="20"/>
              </w:rPr>
            </w:pPr>
            <w:r>
              <w:rPr>
                <w:sz w:val="20"/>
              </w:rPr>
              <w:t>Gastos de apoyo a los programas (13 %)</w:t>
            </w:r>
          </w:p>
        </w:tc>
        <w:tc>
          <w:tcPr>
            <w:tcW w:w="830" w:type="pct"/>
          </w:tcPr>
          <w:p w14:paraId="155E7998" w14:textId="4B76F10D" w:rsidR="008C7CF6" w:rsidRPr="00D1707B" w:rsidRDefault="008C7CF6" w:rsidP="00D1707B">
            <w:pPr>
              <w:spacing w:before="20" w:after="20"/>
              <w:ind w:left="40" w:right="40"/>
              <w:jc w:val="right"/>
              <w:rPr>
                <w:sz w:val="20"/>
              </w:rPr>
            </w:pPr>
            <w:r>
              <w:rPr>
                <w:sz w:val="20"/>
              </w:rPr>
              <w:t>2 491,0</w:t>
            </w:r>
          </w:p>
        </w:tc>
        <w:tc>
          <w:tcPr>
            <w:tcW w:w="665" w:type="pct"/>
          </w:tcPr>
          <w:p w14:paraId="646B7C95" w14:textId="55DE89F7" w:rsidR="008C7CF6" w:rsidRPr="00D1707B" w:rsidRDefault="008C7CF6" w:rsidP="00D1707B">
            <w:pPr>
              <w:spacing w:before="20" w:after="20"/>
              <w:ind w:left="40" w:right="40"/>
              <w:jc w:val="right"/>
              <w:rPr>
                <w:sz w:val="20"/>
              </w:rPr>
            </w:pPr>
            <w:r>
              <w:rPr>
                <w:sz w:val="20"/>
              </w:rPr>
              <w:t>2 601,1</w:t>
            </w:r>
          </w:p>
        </w:tc>
        <w:tc>
          <w:tcPr>
            <w:tcW w:w="848" w:type="pct"/>
          </w:tcPr>
          <w:p w14:paraId="0A973B18" w14:textId="7A0D00C7" w:rsidR="008C7CF6" w:rsidRPr="00D1707B" w:rsidRDefault="008C7CF6" w:rsidP="00D1707B">
            <w:pPr>
              <w:spacing w:before="20" w:after="20"/>
              <w:ind w:left="40" w:right="40"/>
              <w:jc w:val="right"/>
              <w:rPr>
                <w:sz w:val="20"/>
              </w:rPr>
            </w:pPr>
            <w:r>
              <w:rPr>
                <w:sz w:val="20"/>
              </w:rPr>
              <w:t>5 092,1</w:t>
            </w:r>
          </w:p>
        </w:tc>
      </w:tr>
      <w:tr w:rsidR="008D72B7" w:rsidRPr="00D1707B" w14:paraId="07C073DC" w14:textId="77777777" w:rsidTr="00D1707B">
        <w:trPr>
          <w:jc w:val="center"/>
        </w:trPr>
        <w:tc>
          <w:tcPr>
            <w:tcW w:w="2657" w:type="pct"/>
          </w:tcPr>
          <w:p w14:paraId="5A855CF4" w14:textId="7D2A460E" w:rsidR="008C7CF6" w:rsidRPr="00D1707B" w:rsidRDefault="008C7CF6" w:rsidP="00D1707B">
            <w:pPr>
              <w:tabs>
                <w:tab w:val="clear" w:pos="567"/>
                <w:tab w:val="clear" w:pos="1134"/>
                <w:tab w:val="clear" w:pos="1701"/>
                <w:tab w:val="clear" w:pos="2268"/>
              </w:tabs>
              <w:spacing w:before="20" w:after="20"/>
              <w:ind w:left="319"/>
              <w:jc w:val="left"/>
              <w:rPr>
                <w:b/>
                <w:sz w:val="20"/>
              </w:rPr>
            </w:pPr>
            <w:r>
              <w:rPr>
                <w:b/>
                <w:color w:val="000000"/>
                <w:sz w:val="20"/>
              </w:rPr>
              <w:t>Subtotal</w:t>
            </w:r>
          </w:p>
        </w:tc>
        <w:tc>
          <w:tcPr>
            <w:tcW w:w="830" w:type="pct"/>
          </w:tcPr>
          <w:p w14:paraId="494BD07C" w14:textId="214E9D98" w:rsidR="008C7CF6" w:rsidRPr="00D1707B" w:rsidRDefault="008C7CF6" w:rsidP="00D1707B">
            <w:pPr>
              <w:spacing w:before="20" w:after="20"/>
              <w:ind w:left="40" w:right="40"/>
              <w:jc w:val="right"/>
              <w:rPr>
                <w:b/>
                <w:sz w:val="20"/>
              </w:rPr>
            </w:pPr>
            <w:r>
              <w:rPr>
                <w:b/>
                <w:sz w:val="20"/>
              </w:rPr>
              <w:t>21 652,3</w:t>
            </w:r>
          </w:p>
        </w:tc>
        <w:tc>
          <w:tcPr>
            <w:tcW w:w="665" w:type="pct"/>
          </w:tcPr>
          <w:p w14:paraId="7C8A08B3" w14:textId="6763936B" w:rsidR="008C7CF6" w:rsidRPr="00D1707B" w:rsidRDefault="008C7CF6" w:rsidP="00D1707B">
            <w:pPr>
              <w:spacing w:before="20" w:after="20"/>
              <w:ind w:left="40" w:right="40"/>
              <w:jc w:val="right"/>
              <w:rPr>
                <w:b/>
                <w:sz w:val="20"/>
              </w:rPr>
            </w:pPr>
            <w:r>
              <w:rPr>
                <w:b/>
                <w:sz w:val="20"/>
              </w:rPr>
              <w:t>22 609,8</w:t>
            </w:r>
          </w:p>
        </w:tc>
        <w:tc>
          <w:tcPr>
            <w:tcW w:w="848" w:type="pct"/>
          </w:tcPr>
          <w:p w14:paraId="567CAB32" w14:textId="287FC84D" w:rsidR="008C7CF6" w:rsidRPr="00D1707B" w:rsidRDefault="008C7CF6" w:rsidP="00D1707B">
            <w:pPr>
              <w:pStyle w:val="Prrafodelista"/>
              <w:spacing w:before="20" w:after="20"/>
              <w:ind w:left="40" w:right="40"/>
              <w:jc w:val="right"/>
              <w:rPr>
                <w:b/>
                <w:sz w:val="20"/>
              </w:rPr>
            </w:pPr>
            <w:r>
              <w:rPr>
                <w:b/>
                <w:sz w:val="20"/>
              </w:rPr>
              <w:t>44 262,1</w:t>
            </w:r>
          </w:p>
        </w:tc>
      </w:tr>
      <w:tr w:rsidR="008D72B7" w:rsidRPr="00D1707B" w14:paraId="131C4CE7" w14:textId="77777777" w:rsidTr="00D1707B">
        <w:trPr>
          <w:jc w:val="center"/>
        </w:trPr>
        <w:tc>
          <w:tcPr>
            <w:tcW w:w="2657" w:type="pct"/>
          </w:tcPr>
          <w:p w14:paraId="7D297877" w14:textId="404E5E07" w:rsidR="008C7CF6" w:rsidRPr="00D1707B" w:rsidRDefault="008C7CF6" w:rsidP="00D1707B">
            <w:pPr>
              <w:tabs>
                <w:tab w:val="clear" w:pos="1134"/>
              </w:tabs>
              <w:spacing w:before="20" w:after="20"/>
              <w:ind w:left="40" w:right="40"/>
              <w:jc w:val="left"/>
              <w:rPr>
                <w:sz w:val="20"/>
              </w:rPr>
            </w:pPr>
            <w:r>
              <w:rPr>
                <w:sz w:val="20"/>
              </w:rPr>
              <w:t>Reserva operacional</w:t>
            </w:r>
          </w:p>
        </w:tc>
        <w:tc>
          <w:tcPr>
            <w:tcW w:w="830" w:type="pct"/>
          </w:tcPr>
          <w:p w14:paraId="3AFF5A40" w14:textId="4933E90A" w:rsidR="008C7CF6" w:rsidRPr="00D1707B" w:rsidRDefault="008C7CF6" w:rsidP="00D1707B">
            <w:pPr>
              <w:spacing w:before="20" w:after="20"/>
              <w:ind w:left="40" w:right="40"/>
              <w:jc w:val="right"/>
              <w:rPr>
                <w:sz w:val="20"/>
              </w:rPr>
            </w:pPr>
            <w:r>
              <w:rPr>
                <w:sz w:val="20"/>
              </w:rPr>
              <w:t>29,8</w:t>
            </w:r>
          </w:p>
        </w:tc>
        <w:tc>
          <w:tcPr>
            <w:tcW w:w="665" w:type="pct"/>
          </w:tcPr>
          <w:p w14:paraId="71362E2D" w14:textId="6780019E" w:rsidR="008C7CF6" w:rsidRPr="00D1707B" w:rsidRDefault="008C7CF6" w:rsidP="00D1707B">
            <w:pPr>
              <w:spacing w:before="20" w:after="20"/>
              <w:ind w:left="40" w:right="40"/>
              <w:jc w:val="right"/>
              <w:rPr>
                <w:sz w:val="20"/>
              </w:rPr>
            </w:pPr>
            <w:r>
              <w:rPr>
                <w:sz w:val="20"/>
              </w:rPr>
              <w:t>143,6</w:t>
            </w:r>
          </w:p>
        </w:tc>
        <w:tc>
          <w:tcPr>
            <w:tcW w:w="848" w:type="pct"/>
          </w:tcPr>
          <w:p w14:paraId="469667E3" w14:textId="34CAF433" w:rsidR="008C7CF6" w:rsidRPr="00D1707B" w:rsidRDefault="008C7CF6" w:rsidP="00D1707B">
            <w:pPr>
              <w:spacing w:before="20" w:after="20"/>
              <w:ind w:left="40" w:right="40"/>
              <w:jc w:val="right"/>
              <w:rPr>
                <w:sz w:val="20"/>
              </w:rPr>
            </w:pPr>
            <w:r>
              <w:rPr>
                <w:sz w:val="20"/>
              </w:rPr>
              <w:t>173,4</w:t>
            </w:r>
          </w:p>
        </w:tc>
      </w:tr>
      <w:tr w:rsidR="008D72B7" w:rsidRPr="00D1707B" w14:paraId="0891A5BB" w14:textId="77777777" w:rsidTr="00D1707B">
        <w:trPr>
          <w:jc w:val="center"/>
        </w:trPr>
        <w:tc>
          <w:tcPr>
            <w:tcW w:w="2657" w:type="pct"/>
          </w:tcPr>
          <w:p w14:paraId="3FBF00CD" w14:textId="5BC6027A" w:rsidR="008C7CF6" w:rsidRPr="00D1707B" w:rsidRDefault="00E3792E" w:rsidP="00D1707B">
            <w:pPr>
              <w:tabs>
                <w:tab w:val="clear" w:pos="567"/>
                <w:tab w:val="clear" w:pos="1134"/>
                <w:tab w:val="clear" w:pos="1701"/>
                <w:tab w:val="clear" w:pos="2268"/>
              </w:tabs>
              <w:spacing w:before="20" w:after="20"/>
              <w:ind w:left="319"/>
              <w:jc w:val="left"/>
              <w:rPr>
                <w:b/>
                <w:sz w:val="20"/>
              </w:rPr>
            </w:pPr>
            <w:r>
              <w:rPr>
                <w:b/>
                <w:color w:val="000000"/>
                <w:sz w:val="20"/>
              </w:rPr>
              <w:lastRenderedPageBreak/>
              <w:t>Total</w:t>
            </w:r>
          </w:p>
        </w:tc>
        <w:tc>
          <w:tcPr>
            <w:tcW w:w="830" w:type="pct"/>
          </w:tcPr>
          <w:p w14:paraId="1D8E8BDF" w14:textId="4509C31A" w:rsidR="008C7CF6" w:rsidRPr="00D1707B" w:rsidRDefault="008C7CF6" w:rsidP="00D1707B">
            <w:pPr>
              <w:spacing w:before="20" w:after="20"/>
              <w:ind w:left="40" w:right="40"/>
              <w:jc w:val="right"/>
              <w:rPr>
                <w:b/>
                <w:sz w:val="20"/>
              </w:rPr>
            </w:pPr>
            <w:r>
              <w:rPr>
                <w:b/>
                <w:sz w:val="20"/>
              </w:rPr>
              <w:t>21 682,1</w:t>
            </w:r>
          </w:p>
        </w:tc>
        <w:tc>
          <w:tcPr>
            <w:tcW w:w="665" w:type="pct"/>
          </w:tcPr>
          <w:p w14:paraId="0098A3DC" w14:textId="0630FDA2" w:rsidR="008C7CF6" w:rsidRPr="00D1707B" w:rsidRDefault="008C7CF6" w:rsidP="00D1707B">
            <w:pPr>
              <w:spacing w:before="20" w:after="20"/>
              <w:ind w:left="40" w:right="40"/>
              <w:jc w:val="right"/>
              <w:rPr>
                <w:b/>
                <w:sz w:val="20"/>
              </w:rPr>
            </w:pPr>
            <w:r>
              <w:rPr>
                <w:b/>
                <w:sz w:val="20"/>
              </w:rPr>
              <w:t>22 753,4</w:t>
            </w:r>
          </w:p>
        </w:tc>
        <w:tc>
          <w:tcPr>
            <w:tcW w:w="848" w:type="pct"/>
          </w:tcPr>
          <w:p w14:paraId="7AD2EB16" w14:textId="53B7F9B9" w:rsidR="008C7CF6" w:rsidRPr="00D1707B" w:rsidRDefault="008C7CF6" w:rsidP="00D1707B">
            <w:pPr>
              <w:spacing w:before="20" w:after="20"/>
              <w:ind w:left="40" w:right="40"/>
              <w:jc w:val="right"/>
              <w:rPr>
                <w:b/>
                <w:sz w:val="20"/>
              </w:rPr>
            </w:pPr>
            <w:r>
              <w:rPr>
                <w:b/>
                <w:sz w:val="20"/>
              </w:rPr>
              <w:t>44 435,5</w:t>
            </w:r>
          </w:p>
        </w:tc>
      </w:tr>
      <w:tr w:rsidR="008D72B7" w:rsidRPr="00D1707B" w14:paraId="2B84A4F3" w14:textId="77777777" w:rsidTr="00D1707B">
        <w:trPr>
          <w:jc w:val="center"/>
        </w:trPr>
        <w:tc>
          <w:tcPr>
            <w:tcW w:w="2657" w:type="pct"/>
          </w:tcPr>
          <w:p w14:paraId="568FA3D1" w14:textId="53F41FB9" w:rsidR="008C7CF6" w:rsidRPr="00D1707B" w:rsidRDefault="001C1CB7" w:rsidP="00D1707B">
            <w:pPr>
              <w:spacing w:before="20" w:after="20"/>
              <w:ind w:left="40" w:right="40"/>
              <w:jc w:val="left"/>
              <w:rPr>
                <w:sz w:val="20"/>
              </w:rPr>
            </w:pPr>
            <w:r>
              <w:rPr>
                <w:sz w:val="20"/>
              </w:rPr>
              <w:t>Porcentaje del presupuesto integrado que corresponde al Convenio (72 %)</w:t>
            </w:r>
          </w:p>
        </w:tc>
        <w:tc>
          <w:tcPr>
            <w:tcW w:w="830" w:type="pct"/>
          </w:tcPr>
          <w:p w14:paraId="5F8C5B32" w14:textId="3F090D5F" w:rsidR="008C7CF6" w:rsidRPr="00D1707B" w:rsidRDefault="001C1CB7" w:rsidP="00D1707B">
            <w:pPr>
              <w:spacing w:before="20" w:after="20"/>
              <w:ind w:left="40" w:right="40"/>
              <w:jc w:val="right"/>
              <w:rPr>
                <w:sz w:val="20"/>
              </w:rPr>
            </w:pPr>
            <w:r>
              <w:rPr>
                <w:sz w:val="20"/>
              </w:rPr>
              <w:t>15 611,1</w:t>
            </w:r>
          </w:p>
        </w:tc>
        <w:tc>
          <w:tcPr>
            <w:tcW w:w="665" w:type="pct"/>
          </w:tcPr>
          <w:p w14:paraId="269377F0" w14:textId="761831A0" w:rsidR="008C7CF6" w:rsidRPr="00D1707B" w:rsidRDefault="001C1CB7" w:rsidP="00D1707B">
            <w:pPr>
              <w:spacing w:before="20" w:after="20"/>
              <w:ind w:left="40" w:right="40"/>
              <w:jc w:val="right"/>
              <w:rPr>
                <w:sz w:val="20"/>
              </w:rPr>
            </w:pPr>
            <w:r>
              <w:rPr>
                <w:sz w:val="20"/>
              </w:rPr>
              <w:t>16 382,4</w:t>
            </w:r>
          </w:p>
        </w:tc>
        <w:tc>
          <w:tcPr>
            <w:tcW w:w="848" w:type="pct"/>
          </w:tcPr>
          <w:p w14:paraId="026D05D0" w14:textId="5906828A" w:rsidR="008C7CF6" w:rsidRPr="00D1707B" w:rsidRDefault="001C1CB7" w:rsidP="00D1707B">
            <w:pPr>
              <w:spacing w:before="20" w:after="20"/>
              <w:ind w:left="40" w:right="40"/>
              <w:jc w:val="right"/>
              <w:rPr>
                <w:sz w:val="20"/>
              </w:rPr>
            </w:pPr>
            <w:r>
              <w:rPr>
                <w:sz w:val="20"/>
              </w:rPr>
              <w:t>31 993,5</w:t>
            </w:r>
          </w:p>
        </w:tc>
      </w:tr>
      <w:tr w:rsidR="008D72B7" w:rsidRPr="00D1707B" w14:paraId="62ABC65B" w14:textId="77777777" w:rsidTr="00D1707B">
        <w:trPr>
          <w:jc w:val="center"/>
        </w:trPr>
        <w:tc>
          <w:tcPr>
            <w:tcW w:w="2657" w:type="pct"/>
          </w:tcPr>
          <w:p w14:paraId="1AB8D473" w14:textId="5771DD2A" w:rsidR="008C7CF6" w:rsidRPr="00D1707B" w:rsidRDefault="0002204C" w:rsidP="00D1707B">
            <w:pPr>
              <w:spacing w:before="20" w:after="20"/>
              <w:ind w:left="40" w:right="40"/>
              <w:jc w:val="left"/>
              <w:rPr>
                <w:sz w:val="20"/>
              </w:rPr>
            </w:pPr>
            <w:r>
              <w:rPr>
                <w:sz w:val="20"/>
              </w:rPr>
              <w:t>Menos las contribuciones del país anfitrión</w:t>
            </w:r>
          </w:p>
        </w:tc>
        <w:tc>
          <w:tcPr>
            <w:tcW w:w="830" w:type="pct"/>
          </w:tcPr>
          <w:p w14:paraId="3FBB05E9" w14:textId="52F836CA" w:rsidR="008C7CF6" w:rsidRPr="00D1707B" w:rsidRDefault="008C7CF6" w:rsidP="00D1707B">
            <w:pPr>
              <w:spacing w:before="20" w:after="20"/>
              <w:ind w:left="40" w:right="40"/>
              <w:jc w:val="right"/>
              <w:rPr>
                <w:sz w:val="20"/>
              </w:rPr>
            </w:pPr>
            <w:r>
              <w:rPr>
                <w:sz w:val="20"/>
              </w:rPr>
              <w:t>(1 189,9)</w:t>
            </w:r>
          </w:p>
        </w:tc>
        <w:tc>
          <w:tcPr>
            <w:tcW w:w="665" w:type="pct"/>
          </w:tcPr>
          <w:p w14:paraId="04DE9616" w14:textId="3FD3AA16" w:rsidR="008C7CF6" w:rsidRPr="00D1707B" w:rsidRDefault="008C7CF6" w:rsidP="00D1707B">
            <w:pPr>
              <w:spacing w:before="20" w:after="20"/>
              <w:ind w:left="40" w:right="40"/>
              <w:jc w:val="right"/>
              <w:rPr>
                <w:sz w:val="20"/>
              </w:rPr>
            </w:pPr>
            <w:r>
              <w:rPr>
                <w:sz w:val="20"/>
              </w:rPr>
              <w:t>(1 201,4)</w:t>
            </w:r>
          </w:p>
        </w:tc>
        <w:tc>
          <w:tcPr>
            <w:tcW w:w="848" w:type="pct"/>
          </w:tcPr>
          <w:p w14:paraId="6A3086AF" w14:textId="004C270C" w:rsidR="008C7CF6" w:rsidRPr="00D1707B" w:rsidRDefault="008C7CF6" w:rsidP="00D1707B">
            <w:pPr>
              <w:spacing w:before="20" w:after="20"/>
              <w:ind w:left="40" w:right="40"/>
              <w:jc w:val="right"/>
              <w:rPr>
                <w:sz w:val="20"/>
              </w:rPr>
            </w:pPr>
            <w:r>
              <w:rPr>
                <w:sz w:val="20"/>
              </w:rPr>
              <w:t>(2 391,3)</w:t>
            </w:r>
          </w:p>
        </w:tc>
      </w:tr>
      <w:tr w:rsidR="008D72B7" w:rsidRPr="00D1707B" w14:paraId="511785DA" w14:textId="77777777" w:rsidTr="00D1707B">
        <w:trPr>
          <w:jc w:val="center"/>
        </w:trPr>
        <w:tc>
          <w:tcPr>
            <w:tcW w:w="2657" w:type="pct"/>
          </w:tcPr>
          <w:p w14:paraId="72E588A4" w14:textId="463E6FBF" w:rsidR="008C7CF6" w:rsidRPr="00D1707B" w:rsidRDefault="0002204C" w:rsidP="00D1707B">
            <w:pPr>
              <w:spacing w:before="20" w:after="20"/>
              <w:ind w:left="40" w:right="40"/>
              <w:jc w:val="left"/>
              <w:rPr>
                <w:sz w:val="20"/>
              </w:rPr>
            </w:pPr>
            <w:r>
              <w:rPr>
                <w:sz w:val="20"/>
              </w:rPr>
              <w:t>Uso de reservas</w:t>
            </w:r>
          </w:p>
        </w:tc>
        <w:tc>
          <w:tcPr>
            <w:tcW w:w="830" w:type="pct"/>
          </w:tcPr>
          <w:p w14:paraId="6AB7F7E2" w14:textId="77DBDC02" w:rsidR="008C7CF6" w:rsidRPr="00D1707B" w:rsidRDefault="00747782" w:rsidP="00D1707B">
            <w:pPr>
              <w:spacing w:before="20" w:after="20"/>
              <w:ind w:left="40" w:right="40"/>
              <w:jc w:val="right"/>
              <w:rPr>
                <w:sz w:val="20"/>
              </w:rPr>
            </w:pPr>
            <w:r>
              <w:rPr>
                <w:sz w:val="20"/>
              </w:rPr>
              <w:t>(342,5)</w:t>
            </w:r>
          </w:p>
        </w:tc>
        <w:tc>
          <w:tcPr>
            <w:tcW w:w="665" w:type="pct"/>
          </w:tcPr>
          <w:p w14:paraId="2EAD8021" w14:textId="0D7069C2" w:rsidR="008C7CF6" w:rsidRPr="00D1707B" w:rsidRDefault="00747782" w:rsidP="00D1707B">
            <w:pPr>
              <w:spacing w:before="20" w:after="20"/>
              <w:ind w:left="40" w:right="40"/>
              <w:jc w:val="right"/>
              <w:rPr>
                <w:sz w:val="20"/>
              </w:rPr>
            </w:pPr>
            <w:r>
              <w:rPr>
                <w:sz w:val="20"/>
              </w:rPr>
              <w:t>(139,1)</w:t>
            </w:r>
          </w:p>
        </w:tc>
        <w:tc>
          <w:tcPr>
            <w:tcW w:w="848" w:type="pct"/>
          </w:tcPr>
          <w:p w14:paraId="51194276" w14:textId="4754CBC6" w:rsidR="008C7CF6" w:rsidRPr="00D1707B" w:rsidRDefault="00747782" w:rsidP="00D1707B">
            <w:pPr>
              <w:spacing w:before="20" w:after="20"/>
              <w:ind w:left="40" w:right="40"/>
              <w:jc w:val="right"/>
              <w:rPr>
                <w:sz w:val="20"/>
              </w:rPr>
            </w:pPr>
            <w:r>
              <w:rPr>
                <w:sz w:val="20"/>
              </w:rPr>
              <w:t>(481,6)</w:t>
            </w:r>
          </w:p>
        </w:tc>
      </w:tr>
      <w:tr w:rsidR="008D72B7" w:rsidRPr="00D1707B" w14:paraId="60E9F3A2" w14:textId="77777777" w:rsidTr="00D1707B">
        <w:trPr>
          <w:jc w:val="center"/>
        </w:trPr>
        <w:tc>
          <w:tcPr>
            <w:tcW w:w="2657" w:type="pct"/>
          </w:tcPr>
          <w:p w14:paraId="0E76E5FF" w14:textId="32B7195C" w:rsidR="008C7CF6" w:rsidRPr="00D1707B" w:rsidRDefault="008C7CF6" w:rsidP="00D1707B">
            <w:pPr>
              <w:tabs>
                <w:tab w:val="clear" w:pos="567"/>
                <w:tab w:val="clear" w:pos="1134"/>
                <w:tab w:val="clear" w:pos="1701"/>
                <w:tab w:val="clear" w:pos="2268"/>
              </w:tabs>
              <w:spacing w:before="20" w:after="20"/>
              <w:ind w:left="319"/>
              <w:jc w:val="left"/>
              <w:rPr>
                <w:b/>
                <w:sz w:val="20"/>
              </w:rPr>
            </w:pPr>
            <w:r>
              <w:rPr>
                <w:b/>
                <w:sz w:val="20"/>
              </w:rPr>
              <w:t>Total neto a dividir entre las Partes</w:t>
            </w:r>
          </w:p>
        </w:tc>
        <w:tc>
          <w:tcPr>
            <w:tcW w:w="830" w:type="pct"/>
          </w:tcPr>
          <w:p w14:paraId="02622D66" w14:textId="22F1746D" w:rsidR="008C7CF6" w:rsidRPr="00D1707B" w:rsidRDefault="00747782" w:rsidP="00D1707B">
            <w:pPr>
              <w:spacing w:before="20" w:after="20"/>
              <w:ind w:left="40" w:right="40"/>
              <w:jc w:val="right"/>
              <w:rPr>
                <w:b/>
                <w:sz w:val="20"/>
              </w:rPr>
            </w:pPr>
            <w:r>
              <w:rPr>
                <w:b/>
                <w:sz w:val="20"/>
              </w:rPr>
              <w:t>14 078,7</w:t>
            </w:r>
          </w:p>
        </w:tc>
        <w:tc>
          <w:tcPr>
            <w:tcW w:w="665" w:type="pct"/>
          </w:tcPr>
          <w:p w14:paraId="0B7459A8" w14:textId="09D74C5A" w:rsidR="008C7CF6" w:rsidRPr="00D1707B" w:rsidRDefault="0076136B" w:rsidP="00D1707B">
            <w:pPr>
              <w:spacing w:before="20" w:after="20"/>
              <w:ind w:left="40" w:right="40"/>
              <w:jc w:val="right"/>
              <w:rPr>
                <w:b/>
                <w:sz w:val="20"/>
              </w:rPr>
            </w:pPr>
            <w:r>
              <w:rPr>
                <w:b/>
                <w:sz w:val="20"/>
              </w:rPr>
              <w:t>15 042,0</w:t>
            </w:r>
          </w:p>
        </w:tc>
        <w:tc>
          <w:tcPr>
            <w:tcW w:w="848" w:type="pct"/>
          </w:tcPr>
          <w:p w14:paraId="09A02CF9" w14:textId="71F361BE" w:rsidR="008C7CF6" w:rsidRPr="00D1707B" w:rsidRDefault="0076136B" w:rsidP="00D1707B">
            <w:pPr>
              <w:spacing w:before="20" w:after="20"/>
              <w:ind w:left="40" w:right="40"/>
              <w:jc w:val="right"/>
              <w:rPr>
                <w:b/>
                <w:sz w:val="20"/>
              </w:rPr>
            </w:pPr>
            <w:r>
              <w:rPr>
                <w:b/>
                <w:sz w:val="20"/>
              </w:rPr>
              <w:t>29 120,6</w:t>
            </w:r>
          </w:p>
        </w:tc>
      </w:tr>
    </w:tbl>
    <w:bookmarkEnd w:id="2"/>
    <w:p w14:paraId="7D95986B" w14:textId="402FC4CC" w:rsidR="00635AC4" w:rsidRPr="00D1707B" w:rsidRDefault="002A4A1D" w:rsidP="00D1707B">
      <w:pPr>
        <w:tabs>
          <w:tab w:val="clear" w:pos="1134"/>
          <w:tab w:val="left" w:pos="810"/>
          <w:tab w:val="left" w:pos="993"/>
        </w:tabs>
        <w:spacing w:before="120"/>
        <w:ind w:left="567" w:firstLine="284"/>
        <w:rPr>
          <w:sz w:val="18"/>
          <w:szCs w:val="18"/>
        </w:rPr>
      </w:pPr>
      <w:r>
        <w:rPr>
          <w:i/>
          <w:sz w:val="18"/>
          <w:vertAlign w:val="superscript"/>
        </w:rPr>
        <w:t>a</w:t>
      </w:r>
      <w:r>
        <w:rPr>
          <w:i/>
          <w:sz w:val="18"/>
          <w:vertAlign w:val="superscript"/>
        </w:rPr>
        <w:tab/>
      </w:r>
      <w:r>
        <w:rPr>
          <w:sz w:val="18"/>
        </w:rPr>
        <w:t xml:space="preserve"> 1ª reunión del Órgano Subsidiario sobre el Artículo 8 j) y Otras Disposiciones del Convenio sobre la Diversidad Biológica Relativas a los Pueblos Indígenas y las Comunidades Locales; 27ª reunión del Órgano Subsidiario de Asesoramiento Científico, Técnico y Tecnológico; 6ª reunión del Órgano Subsidiario sobre la Aplicación; y 17ª reunión de la Conferencia de las Partes en el Convenio, 12ª reunión de la Conferencia de las Partes que actúa como reunión de las Partes en el Protocolo de Cartagena y 6ª reunión de la Conferencia de las Partes que actúa como reunión de las Partes en el Protocolo de Nagoya, celebradas concurrentemente.</w:t>
      </w:r>
    </w:p>
    <w:p w14:paraId="2F76E515" w14:textId="5C797312" w:rsidR="00201D78" w:rsidRPr="00D1707B" w:rsidRDefault="00201D78" w:rsidP="00EB45D6">
      <w:pPr>
        <w:pStyle w:val="CBDTableTitle"/>
      </w:pPr>
      <w:r>
        <w:rPr>
          <w:b w:val="0"/>
        </w:rPr>
        <w:t>Cuadro 2</w:t>
      </w:r>
      <w:r>
        <w:br/>
        <w:t>Presupuesto bienal integrado para los fondos fiduciarios del presupuesto básico del Convenio y sus Protocolos, 2025-2026 (por componente)</w:t>
      </w:r>
    </w:p>
    <w:p w14:paraId="165496A1" w14:textId="2BF8B393" w:rsidR="001239B2" w:rsidRPr="00D1707B" w:rsidRDefault="001239B2" w:rsidP="00582303">
      <w:pPr>
        <w:pStyle w:val="CBDTableTitle"/>
        <w:spacing w:before="0"/>
        <w:rPr>
          <w:b w:val="0"/>
          <w:bCs/>
          <w:sz w:val="18"/>
          <w:szCs w:val="18"/>
        </w:rPr>
      </w:pPr>
      <w:r>
        <w:rPr>
          <w:b w:val="0"/>
          <w:color w:val="000000" w:themeColor="text1"/>
          <w:sz w:val="18"/>
        </w:rPr>
        <w:t>(En miles de dólares de los EE.UU.)</w:t>
      </w:r>
    </w:p>
    <w:tbl>
      <w:tblPr>
        <w:tblW w:w="0" w:type="auto"/>
        <w:jc w:val="center"/>
        <w:tblLook w:val="04A0" w:firstRow="1" w:lastRow="0" w:firstColumn="1" w:lastColumn="0" w:noHBand="0" w:noVBand="1"/>
      </w:tblPr>
      <w:tblGrid>
        <w:gridCol w:w="5103"/>
        <w:gridCol w:w="992"/>
        <w:gridCol w:w="992"/>
        <w:gridCol w:w="1045"/>
      </w:tblGrid>
      <w:tr w:rsidR="00716AC3" w:rsidRPr="00D1707B" w14:paraId="3AE541CA" w14:textId="77777777" w:rsidTr="00D1707B">
        <w:trPr>
          <w:trHeight w:val="227"/>
          <w:tblHeader/>
          <w:jc w:val="center"/>
        </w:trPr>
        <w:tc>
          <w:tcPr>
            <w:tcW w:w="5103" w:type="dxa"/>
            <w:tcBorders>
              <w:top w:val="nil"/>
              <w:left w:val="nil"/>
              <w:bottom w:val="nil"/>
              <w:right w:val="nil"/>
            </w:tcBorders>
            <w:shd w:val="clear" w:color="auto" w:fill="auto"/>
            <w:vAlign w:val="center"/>
          </w:tcPr>
          <w:p w14:paraId="5AE55745" w14:textId="10C5A12C" w:rsidR="00201D78" w:rsidRPr="00D1707B" w:rsidRDefault="00AF51EE" w:rsidP="00D1707B">
            <w:pPr>
              <w:keepNext/>
              <w:keepLines/>
              <w:tabs>
                <w:tab w:val="clear" w:pos="567"/>
                <w:tab w:val="clear" w:pos="1134"/>
                <w:tab w:val="clear" w:pos="1701"/>
                <w:tab w:val="clear" w:pos="2268"/>
              </w:tabs>
              <w:spacing w:before="20" w:after="20"/>
              <w:jc w:val="left"/>
              <w:rPr>
                <w:i/>
                <w:color w:val="000000"/>
                <w:sz w:val="20"/>
              </w:rPr>
            </w:pPr>
            <w:r>
              <w:rPr>
                <w:i/>
                <w:color w:val="000000"/>
                <w:sz w:val="20"/>
              </w:rPr>
              <w:t>Componente</w:t>
            </w:r>
          </w:p>
        </w:tc>
        <w:tc>
          <w:tcPr>
            <w:tcW w:w="992" w:type="dxa"/>
            <w:tcBorders>
              <w:top w:val="nil"/>
              <w:left w:val="nil"/>
              <w:bottom w:val="nil"/>
              <w:right w:val="nil"/>
            </w:tcBorders>
            <w:shd w:val="clear" w:color="auto" w:fill="auto"/>
            <w:vAlign w:val="center"/>
          </w:tcPr>
          <w:p w14:paraId="2B51DBA4" w14:textId="77777777" w:rsidR="00201D78" w:rsidRPr="00D1707B" w:rsidRDefault="00201D78" w:rsidP="00D1707B">
            <w:pPr>
              <w:keepNext/>
              <w:keepLines/>
              <w:tabs>
                <w:tab w:val="clear" w:pos="567"/>
                <w:tab w:val="clear" w:pos="1134"/>
                <w:tab w:val="clear" w:pos="1701"/>
                <w:tab w:val="clear" w:pos="2268"/>
              </w:tabs>
              <w:spacing w:before="20" w:after="20"/>
              <w:jc w:val="right"/>
              <w:rPr>
                <w:i/>
                <w:color w:val="000000"/>
                <w:sz w:val="20"/>
              </w:rPr>
            </w:pPr>
            <w:r>
              <w:rPr>
                <w:i/>
                <w:color w:val="000000"/>
                <w:sz w:val="20"/>
              </w:rPr>
              <w:t>2025</w:t>
            </w:r>
          </w:p>
        </w:tc>
        <w:tc>
          <w:tcPr>
            <w:tcW w:w="992" w:type="dxa"/>
            <w:tcBorders>
              <w:top w:val="nil"/>
              <w:left w:val="nil"/>
              <w:bottom w:val="nil"/>
              <w:right w:val="nil"/>
            </w:tcBorders>
            <w:shd w:val="clear" w:color="auto" w:fill="auto"/>
            <w:vAlign w:val="center"/>
          </w:tcPr>
          <w:p w14:paraId="7E63F9CB" w14:textId="08C4DE45" w:rsidR="00201D78" w:rsidRPr="00D1707B" w:rsidRDefault="00201D78" w:rsidP="00D1707B">
            <w:pPr>
              <w:keepNext/>
              <w:keepLines/>
              <w:tabs>
                <w:tab w:val="clear" w:pos="567"/>
                <w:tab w:val="clear" w:pos="1134"/>
                <w:tab w:val="clear" w:pos="1701"/>
                <w:tab w:val="clear" w:pos="2268"/>
              </w:tabs>
              <w:spacing w:before="20" w:after="20"/>
              <w:jc w:val="right"/>
              <w:rPr>
                <w:i/>
                <w:color w:val="000000"/>
                <w:sz w:val="20"/>
              </w:rPr>
            </w:pPr>
            <w:r>
              <w:rPr>
                <w:i/>
                <w:color w:val="000000"/>
                <w:sz w:val="20"/>
              </w:rPr>
              <w:t>2026</w:t>
            </w:r>
          </w:p>
        </w:tc>
        <w:tc>
          <w:tcPr>
            <w:tcW w:w="1045" w:type="dxa"/>
            <w:tcBorders>
              <w:top w:val="nil"/>
              <w:left w:val="nil"/>
              <w:bottom w:val="nil"/>
              <w:right w:val="nil"/>
            </w:tcBorders>
            <w:shd w:val="clear" w:color="auto" w:fill="auto"/>
            <w:vAlign w:val="center"/>
          </w:tcPr>
          <w:p w14:paraId="5C72CB11" w14:textId="038FA2E9" w:rsidR="00201D78" w:rsidRPr="00D1707B" w:rsidRDefault="00201D78" w:rsidP="00D1707B">
            <w:pPr>
              <w:keepNext/>
              <w:keepLines/>
              <w:tabs>
                <w:tab w:val="clear" w:pos="567"/>
                <w:tab w:val="clear" w:pos="1134"/>
                <w:tab w:val="clear" w:pos="1701"/>
                <w:tab w:val="clear" w:pos="2268"/>
              </w:tabs>
              <w:spacing w:before="20" w:after="20"/>
              <w:jc w:val="right"/>
              <w:rPr>
                <w:b/>
                <w:i/>
                <w:color w:val="000000"/>
                <w:sz w:val="20"/>
              </w:rPr>
            </w:pPr>
            <w:r>
              <w:rPr>
                <w:i/>
                <w:color w:val="000000"/>
                <w:sz w:val="20"/>
              </w:rPr>
              <w:t>2025-2026</w:t>
            </w:r>
          </w:p>
        </w:tc>
      </w:tr>
      <w:tr w:rsidR="004F2716" w:rsidRPr="00D1707B" w14:paraId="3521FE2E" w14:textId="77777777" w:rsidTr="00D1707B">
        <w:trPr>
          <w:trHeight w:val="227"/>
          <w:jc w:val="center"/>
        </w:trPr>
        <w:tc>
          <w:tcPr>
            <w:tcW w:w="5103" w:type="dxa"/>
            <w:tcBorders>
              <w:top w:val="single" w:sz="4" w:space="0" w:color="auto"/>
              <w:left w:val="nil"/>
              <w:bottom w:val="nil"/>
              <w:right w:val="nil"/>
            </w:tcBorders>
            <w:shd w:val="clear" w:color="auto" w:fill="auto"/>
            <w:vAlign w:val="center"/>
            <w:hideMark/>
          </w:tcPr>
          <w:p w14:paraId="5B0F30A8" w14:textId="278FA96B" w:rsidR="004F2716" w:rsidRPr="00D1707B" w:rsidRDefault="004F2716" w:rsidP="00D1707B">
            <w:pPr>
              <w:keepNext/>
              <w:keepLines/>
              <w:tabs>
                <w:tab w:val="clear" w:pos="567"/>
                <w:tab w:val="clear" w:pos="1134"/>
                <w:tab w:val="clear" w:pos="1701"/>
                <w:tab w:val="clear" w:pos="2268"/>
              </w:tabs>
              <w:spacing w:before="20" w:after="20"/>
              <w:jc w:val="left"/>
              <w:rPr>
                <w:color w:val="000000"/>
                <w:sz w:val="20"/>
              </w:rPr>
            </w:pPr>
            <w:r>
              <w:rPr>
                <w:color w:val="000000"/>
                <w:sz w:val="20"/>
              </w:rPr>
              <w:t>A. Órganos rectores y subsidiarios</w:t>
            </w:r>
          </w:p>
        </w:tc>
        <w:tc>
          <w:tcPr>
            <w:tcW w:w="992" w:type="dxa"/>
            <w:tcBorders>
              <w:top w:val="single" w:sz="4" w:space="0" w:color="auto"/>
              <w:left w:val="nil"/>
              <w:bottom w:val="nil"/>
              <w:right w:val="nil"/>
            </w:tcBorders>
            <w:shd w:val="clear" w:color="auto" w:fill="auto"/>
            <w:vAlign w:val="center"/>
            <w:hideMark/>
          </w:tcPr>
          <w:p w14:paraId="70CA85C7" w14:textId="1192D2D2" w:rsidR="004F2716" w:rsidRPr="00D1707B" w:rsidRDefault="004F2716" w:rsidP="00D1707B">
            <w:pPr>
              <w:keepNext/>
              <w:keepLines/>
              <w:tabs>
                <w:tab w:val="clear" w:pos="567"/>
                <w:tab w:val="clear" w:pos="1134"/>
                <w:tab w:val="clear" w:pos="1701"/>
                <w:tab w:val="clear" w:pos="2268"/>
              </w:tabs>
              <w:spacing w:before="20" w:after="20"/>
              <w:jc w:val="right"/>
              <w:rPr>
                <w:color w:val="000000"/>
                <w:sz w:val="20"/>
              </w:rPr>
            </w:pPr>
            <w:r>
              <w:rPr>
                <w:color w:val="000000"/>
                <w:sz w:val="20"/>
              </w:rPr>
              <w:t>2 611,2</w:t>
            </w:r>
          </w:p>
        </w:tc>
        <w:tc>
          <w:tcPr>
            <w:tcW w:w="992" w:type="dxa"/>
            <w:tcBorders>
              <w:top w:val="single" w:sz="4" w:space="0" w:color="auto"/>
              <w:left w:val="nil"/>
              <w:bottom w:val="nil"/>
              <w:right w:val="nil"/>
            </w:tcBorders>
            <w:shd w:val="clear" w:color="auto" w:fill="auto"/>
            <w:vAlign w:val="center"/>
            <w:hideMark/>
          </w:tcPr>
          <w:p w14:paraId="247B20F3" w14:textId="48AE7491" w:rsidR="004F2716" w:rsidRPr="00D1707B" w:rsidRDefault="004F2716" w:rsidP="00D1707B">
            <w:pPr>
              <w:keepNext/>
              <w:keepLines/>
              <w:tabs>
                <w:tab w:val="clear" w:pos="567"/>
                <w:tab w:val="clear" w:pos="1134"/>
                <w:tab w:val="clear" w:pos="1701"/>
                <w:tab w:val="clear" w:pos="2268"/>
              </w:tabs>
              <w:spacing w:before="20" w:after="20"/>
              <w:jc w:val="right"/>
              <w:rPr>
                <w:color w:val="000000"/>
                <w:sz w:val="20"/>
              </w:rPr>
            </w:pPr>
            <w:r>
              <w:rPr>
                <w:color w:val="000000"/>
                <w:sz w:val="20"/>
              </w:rPr>
              <w:t>3 082,7</w:t>
            </w:r>
          </w:p>
        </w:tc>
        <w:tc>
          <w:tcPr>
            <w:tcW w:w="1045" w:type="dxa"/>
            <w:tcBorders>
              <w:top w:val="single" w:sz="4" w:space="0" w:color="auto"/>
              <w:left w:val="nil"/>
              <w:bottom w:val="nil"/>
              <w:right w:val="nil"/>
            </w:tcBorders>
            <w:shd w:val="clear" w:color="auto" w:fill="auto"/>
            <w:vAlign w:val="center"/>
            <w:hideMark/>
          </w:tcPr>
          <w:p w14:paraId="22ABD548" w14:textId="67BAB3F1" w:rsidR="004F2716" w:rsidRPr="00D1707B" w:rsidRDefault="004F2716" w:rsidP="00D1707B">
            <w:pPr>
              <w:keepNext/>
              <w:keepLines/>
              <w:tabs>
                <w:tab w:val="clear" w:pos="567"/>
                <w:tab w:val="clear" w:pos="1134"/>
                <w:tab w:val="clear" w:pos="1701"/>
                <w:tab w:val="clear" w:pos="2268"/>
              </w:tabs>
              <w:spacing w:before="20" w:after="20"/>
              <w:jc w:val="right"/>
              <w:rPr>
                <w:color w:val="000000"/>
                <w:sz w:val="20"/>
              </w:rPr>
            </w:pPr>
            <w:r>
              <w:rPr>
                <w:color w:val="000000"/>
                <w:sz w:val="20"/>
              </w:rPr>
              <w:t>5 693,9</w:t>
            </w:r>
          </w:p>
        </w:tc>
      </w:tr>
      <w:tr w:rsidR="004F2716" w:rsidRPr="00D1707B" w14:paraId="4E0AE460" w14:textId="77777777" w:rsidTr="00D1707B">
        <w:trPr>
          <w:jc w:val="center"/>
        </w:trPr>
        <w:tc>
          <w:tcPr>
            <w:tcW w:w="5103" w:type="dxa"/>
            <w:tcBorders>
              <w:top w:val="nil"/>
              <w:left w:val="nil"/>
              <w:bottom w:val="nil"/>
              <w:right w:val="nil"/>
            </w:tcBorders>
            <w:shd w:val="clear" w:color="auto" w:fill="auto"/>
            <w:vAlign w:val="center"/>
            <w:hideMark/>
          </w:tcPr>
          <w:p w14:paraId="7420E813" w14:textId="77777777" w:rsidR="004F2716" w:rsidRPr="00D1707B" w:rsidRDefault="004F2716" w:rsidP="00D1707B">
            <w:pPr>
              <w:keepNext/>
              <w:keepLines/>
              <w:tabs>
                <w:tab w:val="clear" w:pos="567"/>
                <w:tab w:val="clear" w:pos="1134"/>
                <w:tab w:val="clear" w:pos="1701"/>
                <w:tab w:val="clear" w:pos="2268"/>
              </w:tabs>
              <w:spacing w:before="20" w:after="20"/>
              <w:jc w:val="left"/>
              <w:rPr>
                <w:color w:val="000000"/>
                <w:sz w:val="20"/>
              </w:rPr>
            </w:pPr>
            <w:r>
              <w:rPr>
                <w:color w:val="000000"/>
                <w:sz w:val="20"/>
              </w:rPr>
              <w:t>B. Dirección y gestión ejecutivas</w:t>
            </w:r>
          </w:p>
        </w:tc>
        <w:tc>
          <w:tcPr>
            <w:tcW w:w="992" w:type="dxa"/>
            <w:tcBorders>
              <w:top w:val="nil"/>
              <w:left w:val="nil"/>
              <w:bottom w:val="nil"/>
              <w:right w:val="nil"/>
            </w:tcBorders>
            <w:shd w:val="clear" w:color="auto" w:fill="auto"/>
            <w:vAlign w:val="center"/>
            <w:hideMark/>
          </w:tcPr>
          <w:p w14:paraId="2D74180A" w14:textId="00961985" w:rsidR="004F2716" w:rsidRPr="00D1707B" w:rsidRDefault="004F2716" w:rsidP="00D1707B">
            <w:pPr>
              <w:keepNext/>
              <w:keepLines/>
              <w:tabs>
                <w:tab w:val="clear" w:pos="567"/>
                <w:tab w:val="clear" w:pos="1134"/>
                <w:tab w:val="clear" w:pos="1701"/>
                <w:tab w:val="clear" w:pos="2268"/>
              </w:tabs>
              <w:spacing w:before="20" w:after="20"/>
              <w:jc w:val="right"/>
              <w:rPr>
                <w:color w:val="000000"/>
                <w:sz w:val="20"/>
              </w:rPr>
            </w:pPr>
            <w:r>
              <w:rPr>
                <w:color w:val="000000"/>
                <w:sz w:val="20"/>
              </w:rPr>
              <w:t>2 946,8</w:t>
            </w:r>
          </w:p>
        </w:tc>
        <w:tc>
          <w:tcPr>
            <w:tcW w:w="992" w:type="dxa"/>
            <w:tcBorders>
              <w:top w:val="nil"/>
              <w:left w:val="nil"/>
              <w:bottom w:val="nil"/>
              <w:right w:val="nil"/>
            </w:tcBorders>
            <w:shd w:val="clear" w:color="auto" w:fill="auto"/>
            <w:vAlign w:val="center"/>
            <w:hideMark/>
          </w:tcPr>
          <w:p w14:paraId="59CB0A47" w14:textId="195DA530" w:rsidR="004F2716" w:rsidRPr="00D1707B" w:rsidRDefault="004F2716" w:rsidP="00D1707B">
            <w:pPr>
              <w:keepNext/>
              <w:keepLines/>
              <w:tabs>
                <w:tab w:val="clear" w:pos="567"/>
                <w:tab w:val="clear" w:pos="1134"/>
                <w:tab w:val="clear" w:pos="1701"/>
                <w:tab w:val="clear" w:pos="2268"/>
              </w:tabs>
              <w:spacing w:before="20" w:after="20"/>
              <w:jc w:val="right"/>
              <w:rPr>
                <w:color w:val="000000"/>
                <w:sz w:val="20"/>
              </w:rPr>
            </w:pPr>
            <w:r>
              <w:rPr>
                <w:color w:val="000000"/>
                <w:sz w:val="20"/>
              </w:rPr>
              <w:t>3 098,4</w:t>
            </w:r>
          </w:p>
        </w:tc>
        <w:tc>
          <w:tcPr>
            <w:tcW w:w="1045" w:type="dxa"/>
            <w:tcBorders>
              <w:top w:val="nil"/>
              <w:left w:val="nil"/>
              <w:bottom w:val="nil"/>
              <w:right w:val="nil"/>
            </w:tcBorders>
            <w:shd w:val="clear" w:color="auto" w:fill="auto"/>
            <w:vAlign w:val="center"/>
            <w:hideMark/>
          </w:tcPr>
          <w:p w14:paraId="5D562D0B" w14:textId="3896D9D0" w:rsidR="004F2716" w:rsidRPr="00D1707B" w:rsidRDefault="004F2716" w:rsidP="00D1707B">
            <w:pPr>
              <w:keepNext/>
              <w:keepLines/>
              <w:tabs>
                <w:tab w:val="clear" w:pos="567"/>
                <w:tab w:val="clear" w:pos="1134"/>
                <w:tab w:val="clear" w:pos="1701"/>
                <w:tab w:val="clear" w:pos="2268"/>
              </w:tabs>
              <w:spacing w:before="20" w:after="20"/>
              <w:jc w:val="right"/>
              <w:rPr>
                <w:color w:val="000000"/>
                <w:sz w:val="20"/>
              </w:rPr>
            </w:pPr>
            <w:r>
              <w:rPr>
                <w:color w:val="000000"/>
                <w:sz w:val="20"/>
              </w:rPr>
              <w:t>6 045,1</w:t>
            </w:r>
          </w:p>
        </w:tc>
      </w:tr>
      <w:tr w:rsidR="004F2716" w:rsidRPr="00D1707B" w14:paraId="599C1AB6" w14:textId="77777777" w:rsidTr="00D1707B">
        <w:trPr>
          <w:trHeight w:val="227"/>
          <w:jc w:val="center"/>
        </w:trPr>
        <w:tc>
          <w:tcPr>
            <w:tcW w:w="5103" w:type="dxa"/>
            <w:tcBorders>
              <w:top w:val="nil"/>
              <w:left w:val="nil"/>
              <w:bottom w:val="nil"/>
              <w:right w:val="nil"/>
            </w:tcBorders>
            <w:shd w:val="clear" w:color="auto" w:fill="auto"/>
            <w:vAlign w:val="center"/>
            <w:hideMark/>
          </w:tcPr>
          <w:p w14:paraId="12E80780" w14:textId="77777777" w:rsidR="004F2716" w:rsidRPr="00D1707B" w:rsidRDefault="004F2716" w:rsidP="00D1707B">
            <w:pPr>
              <w:keepNext/>
              <w:keepLines/>
              <w:tabs>
                <w:tab w:val="clear" w:pos="567"/>
                <w:tab w:val="clear" w:pos="1134"/>
                <w:tab w:val="clear" w:pos="1701"/>
                <w:tab w:val="clear" w:pos="2268"/>
              </w:tabs>
              <w:spacing w:before="20" w:after="20"/>
              <w:jc w:val="left"/>
              <w:rPr>
                <w:color w:val="000000"/>
                <w:sz w:val="20"/>
              </w:rPr>
            </w:pPr>
            <w:r>
              <w:rPr>
                <w:color w:val="000000"/>
                <w:sz w:val="20"/>
              </w:rPr>
              <w:t>C. Programa de trabajo</w:t>
            </w:r>
          </w:p>
        </w:tc>
        <w:tc>
          <w:tcPr>
            <w:tcW w:w="992" w:type="dxa"/>
            <w:tcBorders>
              <w:top w:val="nil"/>
              <w:left w:val="nil"/>
              <w:bottom w:val="nil"/>
              <w:right w:val="nil"/>
            </w:tcBorders>
            <w:shd w:val="clear" w:color="auto" w:fill="auto"/>
            <w:vAlign w:val="center"/>
            <w:hideMark/>
          </w:tcPr>
          <w:p w14:paraId="6A747E0F" w14:textId="0E2EC876" w:rsidR="004F2716" w:rsidRPr="00D1707B" w:rsidRDefault="004F2716" w:rsidP="00D1707B">
            <w:pPr>
              <w:keepNext/>
              <w:keepLines/>
              <w:tabs>
                <w:tab w:val="clear" w:pos="567"/>
                <w:tab w:val="clear" w:pos="1134"/>
                <w:tab w:val="clear" w:pos="1701"/>
                <w:tab w:val="clear" w:pos="2268"/>
              </w:tabs>
              <w:spacing w:before="20" w:after="20"/>
              <w:jc w:val="right"/>
              <w:rPr>
                <w:color w:val="000000"/>
                <w:sz w:val="20"/>
              </w:rPr>
            </w:pPr>
            <w:r>
              <w:rPr>
                <w:color w:val="000000"/>
                <w:sz w:val="20"/>
              </w:rPr>
              <w:t>10 013,3</w:t>
            </w:r>
          </w:p>
        </w:tc>
        <w:tc>
          <w:tcPr>
            <w:tcW w:w="992" w:type="dxa"/>
            <w:tcBorders>
              <w:top w:val="nil"/>
              <w:left w:val="nil"/>
              <w:bottom w:val="nil"/>
              <w:right w:val="nil"/>
            </w:tcBorders>
            <w:shd w:val="clear" w:color="auto" w:fill="auto"/>
            <w:vAlign w:val="center"/>
            <w:hideMark/>
          </w:tcPr>
          <w:p w14:paraId="1214E702" w14:textId="33CD0207" w:rsidR="004F2716" w:rsidRPr="00D1707B" w:rsidRDefault="004F2716" w:rsidP="00D1707B">
            <w:pPr>
              <w:keepNext/>
              <w:keepLines/>
              <w:tabs>
                <w:tab w:val="clear" w:pos="567"/>
                <w:tab w:val="clear" w:pos="1134"/>
                <w:tab w:val="clear" w:pos="1701"/>
                <w:tab w:val="clear" w:pos="2268"/>
              </w:tabs>
              <w:spacing w:before="20" w:after="20"/>
              <w:jc w:val="right"/>
              <w:rPr>
                <w:color w:val="000000"/>
                <w:sz w:val="20"/>
              </w:rPr>
            </w:pPr>
            <w:r>
              <w:rPr>
                <w:color w:val="000000"/>
                <w:sz w:val="20"/>
              </w:rPr>
              <w:t>10 384,3</w:t>
            </w:r>
          </w:p>
        </w:tc>
        <w:tc>
          <w:tcPr>
            <w:tcW w:w="1045" w:type="dxa"/>
            <w:tcBorders>
              <w:top w:val="nil"/>
              <w:left w:val="nil"/>
              <w:bottom w:val="nil"/>
              <w:right w:val="nil"/>
            </w:tcBorders>
            <w:shd w:val="clear" w:color="auto" w:fill="auto"/>
            <w:vAlign w:val="center"/>
            <w:hideMark/>
          </w:tcPr>
          <w:p w14:paraId="46EEFE3C" w14:textId="5AD391FF" w:rsidR="004F2716" w:rsidRPr="00D1707B" w:rsidRDefault="004F2716" w:rsidP="00D1707B">
            <w:pPr>
              <w:keepNext/>
              <w:keepLines/>
              <w:tabs>
                <w:tab w:val="clear" w:pos="567"/>
                <w:tab w:val="clear" w:pos="1134"/>
                <w:tab w:val="clear" w:pos="1701"/>
                <w:tab w:val="clear" w:pos="2268"/>
              </w:tabs>
              <w:spacing w:before="20" w:after="20"/>
              <w:jc w:val="right"/>
              <w:rPr>
                <w:color w:val="000000"/>
                <w:sz w:val="20"/>
              </w:rPr>
            </w:pPr>
            <w:r>
              <w:rPr>
                <w:color w:val="000000"/>
                <w:sz w:val="20"/>
              </w:rPr>
              <w:t>20 397,6</w:t>
            </w:r>
          </w:p>
        </w:tc>
      </w:tr>
      <w:tr w:rsidR="004F2716" w:rsidRPr="00D1707B" w14:paraId="78DFC76C" w14:textId="77777777" w:rsidTr="00D1707B">
        <w:trPr>
          <w:trHeight w:val="227"/>
          <w:jc w:val="center"/>
        </w:trPr>
        <w:tc>
          <w:tcPr>
            <w:tcW w:w="5103" w:type="dxa"/>
            <w:tcBorders>
              <w:top w:val="nil"/>
              <w:left w:val="nil"/>
              <w:bottom w:val="single" w:sz="4" w:space="0" w:color="auto"/>
              <w:right w:val="nil"/>
            </w:tcBorders>
            <w:shd w:val="clear" w:color="auto" w:fill="auto"/>
            <w:vAlign w:val="center"/>
            <w:hideMark/>
          </w:tcPr>
          <w:p w14:paraId="54B9ACEE" w14:textId="77777777" w:rsidR="004F2716" w:rsidRPr="00D1707B" w:rsidRDefault="004F2716" w:rsidP="00D1707B">
            <w:pPr>
              <w:keepNext/>
              <w:keepLines/>
              <w:tabs>
                <w:tab w:val="clear" w:pos="567"/>
                <w:tab w:val="clear" w:pos="1134"/>
                <w:tab w:val="clear" w:pos="1701"/>
                <w:tab w:val="clear" w:pos="2268"/>
              </w:tabs>
              <w:spacing w:before="20" w:after="20"/>
              <w:jc w:val="left"/>
              <w:rPr>
                <w:color w:val="000000"/>
                <w:sz w:val="20"/>
              </w:rPr>
            </w:pPr>
            <w:r>
              <w:rPr>
                <w:color w:val="000000"/>
                <w:sz w:val="20"/>
              </w:rPr>
              <w:t>D. Apoyo administrativo</w:t>
            </w:r>
          </w:p>
        </w:tc>
        <w:tc>
          <w:tcPr>
            <w:tcW w:w="992" w:type="dxa"/>
            <w:tcBorders>
              <w:top w:val="nil"/>
              <w:left w:val="nil"/>
              <w:bottom w:val="single" w:sz="4" w:space="0" w:color="auto"/>
              <w:right w:val="nil"/>
            </w:tcBorders>
            <w:shd w:val="clear" w:color="auto" w:fill="auto"/>
            <w:vAlign w:val="center"/>
            <w:hideMark/>
          </w:tcPr>
          <w:p w14:paraId="722C071E" w14:textId="0194BA1C" w:rsidR="004F2716" w:rsidRPr="00D1707B" w:rsidRDefault="004F2716" w:rsidP="00D1707B">
            <w:pPr>
              <w:keepNext/>
              <w:keepLines/>
              <w:tabs>
                <w:tab w:val="clear" w:pos="567"/>
                <w:tab w:val="clear" w:pos="1134"/>
                <w:tab w:val="clear" w:pos="1701"/>
                <w:tab w:val="clear" w:pos="2268"/>
              </w:tabs>
              <w:spacing w:before="20" w:after="20"/>
              <w:jc w:val="right"/>
              <w:rPr>
                <w:color w:val="000000"/>
                <w:sz w:val="20"/>
              </w:rPr>
            </w:pPr>
            <w:r>
              <w:rPr>
                <w:color w:val="000000"/>
                <w:sz w:val="20"/>
              </w:rPr>
              <w:t>3 590,2</w:t>
            </w:r>
          </w:p>
        </w:tc>
        <w:tc>
          <w:tcPr>
            <w:tcW w:w="992" w:type="dxa"/>
            <w:tcBorders>
              <w:top w:val="nil"/>
              <w:left w:val="nil"/>
              <w:bottom w:val="single" w:sz="4" w:space="0" w:color="auto"/>
              <w:right w:val="nil"/>
            </w:tcBorders>
            <w:shd w:val="clear" w:color="auto" w:fill="auto"/>
            <w:vAlign w:val="center"/>
            <w:hideMark/>
          </w:tcPr>
          <w:p w14:paraId="1E19EFE1" w14:textId="41B468D0" w:rsidR="004F2716" w:rsidRPr="00D1707B" w:rsidRDefault="004F2716" w:rsidP="00D1707B">
            <w:pPr>
              <w:keepNext/>
              <w:keepLines/>
              <w:tabs>
                <w:tab w:val="clear" w:pos="567"/>
                <w:tab w:val="clear" w:pos="1134"/>
                <w:tab w:val="clear" w:pos="1701"/>
                <w:tab w:val="clear" w:pos="2268"/>
              </w:tabs>
              <w:spacing w:before="20" w:after="20"/>
              <w:jc w:val="right"/>
              <w:rPr>
                <w:color w:val="000000"/>
                <w:sz w:val="20"/>
              </w:rPr>
            </w:pPr>
            <w:r>
              <w:rPr>
                <w:color w:val="000000"/>
                <w:sz w:val="20"/>
              </w:rPr>
              <w:t>3 443,2</w:t>
            </w:r>
          </w:p>
        </w:tc>
        <w:tc>
          <w:tcPr>
            <w:tcW w:w="1045" w:type="dxa"/>
            <w:tcBorders>
              <w:top w:val="nil"/>
              <w:left w:val="nil"/>
              <w:bottom w:val="single" w:sz="4" w:space="0" w:color="auto"/>
              <w:right w:val="nil"/>
            </w:tcBorders>
            <w:shd w:val="clear" w:color="auto" w:fill="auto"/>
            <w:vAlign w:val="center"/>
            <w:hideMark/>
          </w:tcPr>
          <w:p w14:paraId="64144674" w14:textId="4125C696" w:rsidR="004F2716" w:rsidRPr="00D1707B" w:rsidRDefault="004F2716" w:rsidP="00D1707B">
            <w:pPr>
              <w:keepNext/>
              <w:keepLines/>
              <w:tabs>
                <w:tab w:val="clear" w:pos="567"/>
                <w:tab w:val="clear" w:pos="1134"/>
                <w:tab w:val="clear" w:pos="1701"/>
                <w:tab w:val="clear" w:pos="2268"/>
              </w:tabs>
              <w:spacing w:before="20" w:after="20"/>
              <w:jc w:val="right"/>
              <w:rPr>
                <w:color w:val="000000"/>
                <w:sz w:val="20"/>
              </w:rPr>
            </w:pPr>
            <w:r>
              <w:rPr>
                <w:color w:val="000000"/>
                <w:sz w:val="20"/>
              </w:rPr>
              <w:t>7 033,4</w:t>
            </w:r>
          </w:p>
        </w:tc>
      </w:tr>
      <w:tr w:rsidR="004F2716" w:rsidRPr="00D1707B" w14:paraId="7123ACCF" w14:textId="77777777" w:rsidTr="00D1707B">
        <w:trPr>
          <w:trHeight w:val="227"/>
          <w:jc w:val="center"/>
        </w:trPr>
        <w:tc>
          <w:tcPr>
            <w:tcW w:w="5103" w:type="dxa"/>
            <w:tcBorders>
              <w:top w:val="single" w:sz="4" w:space="0" w:color="auto"/>
              <w:left w:val="nil"/>
              <w:bottom w:val="single" w:sz="4" w:space="0" w:color="auto"/>
              <w:right w:val="nil"/>
            </w:tcBorders>
            <w:shd w:val="clear" w:color="auto" w:fill="auto"/>
            <w:vAlign w:val="center"/>
            <w:hideMark/>
          </w:tcPr>
          <w:p w14:paraId="3BF28108" w14:textId="77777777" w:rsidR="004F2716" w:rsidRPr="00D1707B" w:rsidRDefault="004F2716" w:rsidP="00D1707B">
            <w:pPr>
              <w:tabs>
                <w:tab w:val="clear" w:pos="567"/>
                <w:tab w:val="clear" w:pos="1134"/>
                <w:tab w:val="clear" w:pos="1701"/>
                <w:tab w:val="clear" w:pos="2268"/>
              </w:tabs>
              <w:spacing w:before="20" w:after="20"/>
              <w:ind w:left="318"/>
              <w:jc w:val="left"/>
              <w:rPr>
                <w:b/>
                <w:color w:val="000000"/>
                <w:sz w:val="20"/>
              </w:rPr>
            </w:pPr>
            <w:r>
              <w:rPr>
                <w:b/>
                <w:color w:val="000000"/>
                <w:sz w:val="20"/>
              </w:rPr>
              <w:t>Subtotal</w:t>
            </w:r>
          </w:p>
        </w:tc>
        <w:tc>
          <w:tcPr>
            <w:tcW w:w="992" w:type="dxa"/>
            <w:tcBorders>
              <w:top w:val="single" w:sz="4" w:space="0" w:color="auto"/>
              <w:left w:val="nil"/>
              <w:bottom w:val="single" w:sz="4" w:space="0" w:color="auto"/>
              <w:right w:val="nil"/>
            </w:tcBorders>
            <w:shd w:val="clear" w:color="auto" w:fill="auto"/>
            <w:vAlign w:val="center"/>
            <w:hideMark/>
          </w:tcPr>
          <w:p w14:paraId="614CE10D" w14:textId="61403152" w:rsidR="004F2716" w:rsidRPr="00D1707B" w:rsidRDefault="004F2716" w:rsidP="00D1707B">
            <w:pPr>
              <w:tabs>
                <w:tab w:val="clear" w:pos="567"/>
                <w:tab w:val="clear" w:pos="1134"/>
                <w:tab w:val="clear" w:pos="1701"/>
                <w:tab w:val="clear" w:pos="2268"/>
              </w:tabs>
              <w:spacing w:before="20" w:after="20"/>
              <w:jc w:val="right"/>
              <w:rPr>
                <w:b/>
                <w:color w:val="000000"/>
                <w:sz w:val="20"/>
              </w:rPr>
            </w:pPr>
            <w:r>
              <w:rPr>
                <w:b/>
                <w:color w:val="000000"/>
                <w:sz w:val="20"/>
              </w:rPr>
              <w:t>19 161,3</w:t>
            </w:r>
          </w:p>
        </w:tc>
        <w:tc>
          <w:tcPr>
            <w:tcW w:w="992" w:type="dxa"/>
            <w:tcBorders>
              <w:top w:val="single" w:sz="4" w:space="0" w:color="auto"/>
              <w:left w:val="nil"/>
              <w:bottom w:val="single" w:sz="4" w:space="0" w:color="auto"/>
              <w:right w:val="nil"/>
            </w:tcBorders>
            <w:shd w:val="clear" w:color="auto" w:fill="auto"/>
            <w:vAlign w:val="center"/>
            <w:hideMark/>
          </w:tcPr>
          <w:p w14:paraId="5D62A50F" w14:textId="76B105E8" w:rsidR="004F2716" w:rsidRPr="00D1707B" w:rsidRDefault="004F2716" w:rsidP="00D1707B">
            <w:pPr>
              <w:tabs>
                <w:tab w:val="clear" w:pos="567"/>
                <w:tab w:val="clear" w:pos="1134"/>
                <w:tab w:val="clear" w:pos="1701"/>
                <w:tab w:val="clear" w:pos="2268"/>
              </w:tabs>
              <w:spacing w:before="20" w:after="20"/>
              <w:jc w:val="right"/>
              <w:rPr>
                <w:b/>
                <w:color w:val="000000"/>
                <w:sz w:val="20"/>
              </w:rPr>
            </w:pPr>
            <w:r>
              <w:rPr>
                <w:b/>
                <w:color w:val="000000"/>
                <w:sz w:val="20"/>
              </w:rPr>
              <w:t>20 008,6</w:t>
            </w:r>
          </w:p>
        </w:tc>
        <w:tc>
          <w:tcPr>
            <w:tcW w:w="1045" w:type="dxa"/>
            <w:tcBorders>
              <w:top w:val="single" w:sz="4" w:space="0" w:color="auto"/>
              <w:left w:val="nil"/>
              <w:bottom w:val="single" w:sz="4" w:space="0" w:color="auto"/>
              <w:right w:val="nil"/>
            </w:tcBorders>
            <w:shd w:val="clear" w:color="auto" w:fill="auto"/>
            <w:vAlign w:val="center"/>
            <w:hideMark/>
          </w:tcPr>
          <w:p w14:paraId="2C631B86" w14:textId="003C7D70" w:rsidR="004F2716" w:rsidRPr="00D1707B" w:rsidRDefault="004F2716" w:rsidP="00D1707B">
            <w:pPr>
              <w:tabs>
                <w:tab w:val="clear" w:pos="567"/>
                <w:tab w:val="clear" w:pos="1134"/>
                <w:tab w:val="clear" w:pos="1701"/>
                <w:tab w:val="clear" w:pos="2268"/>
              </w:tabs>
              <w:spacing w:before="20" w:after="20"/>
              <w:jc w:val="right"/>
              <w:rPr>
                <w:b/>
                <w:color w:val="000000"/>
                <w:sz w:val="20"/>
              </w:rPr>
            </w:pPr>
            <w:r>
              <w:rPr>
                <w:b/>
                <w:color w:val="000000"/>
                <w:sz w:val="20"/>
              </w:rPr>
              <w:t>39 170,0</w:t>
            </w:r>
          </w:p>
        </w:tc>
      </w:tr>
      <w:tr w:rsidR="004F2716" w:rsidRPr="00D1707B" w14:paraId="63F8C948" w14:textId="77777777" w:rsidTr="00D1707B">
        <w:trPr>
          <w:trHeight w:val="227"/>
          <w:jc w:val="center"/>
        </w:trPr>
        <w:tc>
          <w:tcPr>
            <w:tcW w:w="5103" w:type="dxa"/>
            <w:tcBorders>
              <w:top w:val="single" w:sz="4" w:space="0" w:color="auto"/>
              <w:left w:val="nil"/>
              <w:bottom w:val="nil"/>
              <w:right w:val="nil"/>
            </w:tcBorders>
            <w:shd w:val="clear" w:color="auto" w:fill="auto"/>
            <w:vAlign w:val="center"/>
            <w:hideMark/>
          </w:tcPr>
          <w:p w14:paraId="00A965D5" w14:textId="1B20956C" w:rsidR="004F2716" w:rsidRPr="00D1707B" w:rsidRDefault="004F2716" w:rsidP="00D1707B">
            <w:pPr>
              <w:tabs>
                <w:tab w:val="clear" w:pos="567"/>
                <w:tab w:val="clear" w:pos="1134"/>
                <w:tab w:val="clear" w:pos="1701"/>
                <w:tab w:val="clear" w:pos="2268"/>
              </w:tabs>
              <w:spacing w:before="20" w:after="20"/>
              <w:jc w:val="left"/>
              <w:rPr>
                <w:color w:val="000000"/>
                <w:sz w:val="20"/>
              </w:rPr>
            </w:pPr>
            <w:r>
              <w:rPr>
                <w:rFonts w:asciiTheme="majorBidi" w:hAnsiTheme="majorBidi"/>
                <w:sz w:val="20"/>
              </w:rPr>
              <w:t>Gastos de apoyo a los programas (13 %)</w:t>
            </w:r>
          </w:p>
        </w:tc>
        <w:tc>
          <w:tcPr>
            <w:tcW w:w="992" w:type="dxa"/>
            <w:tcBorders>
              <w:top w:val="single" w:sz="4" w:space="0" w:color="auto"/>
              <w:left w:val="nil"/>
              <w:bottom w:val="nil"/>
              <w:right w:val="nil"/>
            </w:tcBorders>
            <w:shd w:val="clear" w:color="auto" w:fill="auto"/>
            <w:vAlign w:val="center"/>
            <w:hideMark/>
          </w:tcPr>
          <w:p w14:paraId="7DB44DC1" w14:textId="2BA4D162" w:rsidR="004F2716" w:rsidRPr="00D1707B" w:rsidRDefault="004F2716" w:rsidP="00D1707B">
            <w:pPr>
              <w:tabs>
                <w:tab w:val="clear" w:pos="567"/>
                <w:tab w:val="clear" w:pos="1134"/>
                <w:tab w:val="clear" w:pos="1701"/>
                <w:tab w:val="clear" w:pos="2268"/>
              </w:tabs>
              <w:spacing w:before="20" w:after="20"/>
              <w:jc w:val="right"/>
              <w:rPr>
                <w:color w:val="000000"/>
                <w:sz w:val="20"/>
              </w:rPr>
            </w:pPr>
            <w:r>
              <w:rPr>
                <w:color w:val="000000"/>
                <w:sz w:val="20"/>
              </w:rPr>
              <w:t>2 491,0</w:t>
            </w:r>
          </w:p>
        </w:tc>
        <w:tc>
          <w:tcPr>
            <w:tcW w:w="992" w:type="dxa"/>
            <w:tcBorders>
              <w:top w:val="single" w:sz="4" w:space="0" w:color="auto"/>
              <w:left w:val="nil"/>
              <w:bottom w:val="nil"/>
              <w:right w:val="nil"/>
            </w:tcBorders>
            <w:shd w:val="clear" w:color="auto" w:fill="auto"/>
            <w:vAlign w:val="center"/>
            <w:hideMark/>
          </w:tcPr>
          <w:p w14:paraId="0917D9DB" w14:textId="6D017012" w:rsidR="004F2716" w:rsidRPr="00D1707B" w:rsidRDefault="004F2716" w:rsidP="00D1707B">
            <w:pPr>
              <w:tabs>
                <w:tab w:val="clear" w:pos="567"/>
                <w:tab w:val="clear" w:pos="1134"/>
                <w:tab w:val="clear" w:pos="1701"/>
                <w:tab w:val="clear" w:pos="2268"/>
              </w:tabs>
              <w:spacing w:before="20" w:after="20"/>
              <w:jc w:val="right"/>
              <w:rPr>
                <w:color w:val="000000"/>
                <w:sz w:val="20"/>
              </w:rPr>
            </w:pPr>
            <w:r>
              <w:rPr>
                <w:color w:val="000000"/>
                <w:sz w:val="20"/>
              </w:rPr>
              <w:t>2 601,1</w:t>
            </w:r>
          </w:p>
        </w:tc>
        <w:tc>
          <w:tcPr>
            <w:tcW w:w="1045" w:type="dxa"/>
            <w:tcBorders>
              <w:top w:val="single" w:sz="4" w:space="0" w:color="auto"/>
              <w:left w:val="nil"/>
              <w:bottom w:val="nil"/>
              <w:right w:val="nil"/>
            </w:tcBorders>
            <w:shd w:val="clear" w:color="auto" w:fill="auto"/>
            <w:vAlign w:val="center"/>
            <w:hideMark/>
          </w:tcPr>
          <w:p w14:paraId="730D656C" w14:textId="6B355819" w:rsidR="004F2716" w:rsidRPr="00D1707B" w:rsidRDefault="004F2716" w:rsidP="00D1707B">
            <w:pPr>
              <w:tabs>
                <w:tab w:val="clear" w:pos="567"/>
                <w:tab w:val="clear" w:pos="1134"/>
                <w:tab w:val="clear" w:pos="1701"/>
                <w:tab w:val="clear" w:pos="2268"/>
              </w:tabs>
              <w:spacing w:before="20" w:after="20"/>
              <w:jc w:val="right"/>
              <w:rPr>
                <w:color w:val="000000"/>
                <w:sz w:val="20"/>
              </w:rPr>
            </w:pPr>
            <w:r>
              <w:rPr>
                <w:color w:val="000000"/>
                <w:sz w:val="20"/>
              </w:rPr>
              <w:t>5 092,1</w:t>
            </w:r>
          </w:p>
        </w:tc>
      </w:tr>
      <w:tr w:rsidR="004F2716" w:rsidRPr="00D1707B" w14:paraId="5588E957" w14:textId="77777777" w:rsidTr="00D1707B">
        <w:trPr>
          <w:trHeight w:val="227"/>
          <w:jc w:val="center"/>
        </w:trPr>
        <w:tc>
          <w:tcPr>
            <w:tcW w:w="5103" w:type="dxa"/>
            <w:tcBorders>
              <w:top w:val="nil"/>
              <w:left w:val="nil"/>
              <w:bottom w:val="single" w:sz="4" w:space="0" w:color="auto"/>
              <w:right w:val="nil"/>
            </w:tcBorders>
            <w:shd w:val="clear" w:color="auto" w:fill="auto"/>
            <w:vAlign w:val="center"/>
            <w:hideMark/>
          </w:tcPr>
          <w:p w14:paraId="5A4EC278" w14:textId="73B1CF12" w:rsidR="004F2716" w:rsidRPr="00D1707B" w:rsidRDefault="004F2716" w:rsidP="00D1707B">
            <w:pPr>
              <w:tabs>
                <w:tab w:val="clear" w:pos="567"/>
                <w:tab w:val="clear" w:pos="1134"/>
                <w:tab w:val="clear" w:pos="1701"/>
                <w:tab w:val="clear" w:pos="2268"/>
              </w:tabs>
              <w:spacing w:before="20" w:after="20"/>
              <w:jc w:val="left"/>
              <w:rPr>
                <w:color w:val="000000"/>
                <w:sz w:val="20"/>
              </w:rPr>
            </w:pPr>
            <w:r>
              <w:rPr>
                <w:color w:val="000000"/>
                <w:sz w:val="20"/>
              </w:rPr>
              <w:t>Reserva operacional</w:t>
            </w:r>
          </w:p>
        </w:tc>
        <w:tc>
          <w:tcPr>
            <w:tcW w:w="992" w:type="dxa"/>
            <w:tcBorders>
              <w:top w:val="nil"/>
              <w:left w:val="nil"/>
              <w:bottom w:val="single" w:sz="4" w:space="0" w:color="auto"/>
              <w:right w:val="nil"/>
            </w:tcBorders>
            <w:shd w:val="clear" w:color="auto" w:fill="auto"/>
            <w:vAlign w:val="center"/>
            <w:hideMark/>
          </w:tcPr>
          <w:p w14:paraId="1A876457" w14:textId="7881B722" w:rsidR="004F2716" w:rsidRPr="00D1707B" w:rsidRDefault="004F2716" w:rsidP="00D1707B">
            <w:pPr>
              <w:tabs>
                <w:tab w:val="clear" w:pos="567"/>
                <w:tab w:val="clear" w:pos="1134"/>
                <w:tab w:val="clear" w:pos="1701"/>
                <w:tab w:val="clear" w:pos="2268"/>
              </w:tabs>
              <w:spacing w:before="20" w:after="20"/>
              <w:jc w:val="right"/>
              <w:rPr>
                <w:color w:val="000000"/>
                <w:sz w:val="20"/>
              </w:rPr>
            </w:pPr>
            <w:r>
              <w:rPr>
                <w:color w:val="000000"/>
                <w:sz w:val="20"/>
              </w:rPr>
              <w:t>29,8</w:t>
            </w:r>
          </w:p>
        </w:tc>
        <w:tc>
          <w:tcPr>
            <w:tcW w:w="992" w:type="dxa"/>
            <w:tcBorders>
              <w:top w:val="nil"/>
              <w:left w:val="nil"/>
              <w:bottom w:val="single" w:sz="4" w:space="0" w:color="auto"/>
              <w:right w:val="nil"/>
            </w:tcBorders>
            <w:shd w:val="clear" w:color="auto" w:fill="auto"/>
            <w:vAlign w:val="center"/>
            <w:hideMark/>
          </w:tcPr>
          <w:p w14:paraId="572122EA" w14:textId="235B7D87" w:rsidR="004F2716" w:rsidRPr="00D1707B" w:rsidRDefault="004F2716" w:rsidP="00D1707B">
            <w:pPr>
              <w:tabs>
                <w:tab w:val="clear" w:pos="567"/>
                <w:tab w:val="clear" w:pos="1134"/>
                <w:tab w:val="clear" w:pos="1701"/>
                <w:tab w:val="clear" w:pos="2268"/>
              </w:tabs>
              <w:spacing w:before="20" w:after="20"/>
              <w:jc w:val="right"/>
              <w:rPr>
                <w:color w:val="000000"/>
                <w:sz w:val="20"/>
              </w:rPr>
            </w:pPr>
            <w:r>
              <w:rPr>
                <w:color w:val="000000"/>
                <w:sz w:val="20"/>
              </w:rPr>
              <w:t>143,6</w:t>
            </w:r>
          </w:p>
        </w:tc>
        <w:tc>
          <w:tcPr>
            <w:tcW w:w="1045" w:type="dxa"/>
            <w:tcBorders>
              <w:top w:val="nil"/>
              <w:left w:val="nil"/>
              <w:bottom w:val="single" w:sz="4" w:space="0" w:color="auto"/>
              <w:right w:val="nil"/>
            </w:tcBorders>
            <w:shd w:val="clear" w:color="auto" w:fill="auto"/>
            <w:noWrap/>
            <w:vAlign w:val="center"/>
            <w:hideMark/>
          </w:tcPr>
          <w:p w14:paraId="2D454586" w14:textId="07EB665C" w:rsidR="004F2716" w:rsidRPr="00D1707B" w:rsidRDefault="004F2716" w:rsidP="00D1707B">
            <w:pPr>
              <w:tabs>
                <w:tab w:val="clear" w:pos="567"/>
                <w:tab w:val="clear" w:pos="1134"/>
                <w:tab w:val="clear" w:pos="1701"/>
                <w:tab w:val="clear" w:pos="2268"/>
              </w:tabs>
              <w:spacing w:before="20" w:after="20"/>
              <w:jc w:val="right"/>
              <w:rPr>
                <w:color w:val="000000"/>
                <w:sz w:val="20"/>
              </w:rPr>
            </w:pPr>
            <w:r>
              <w:rPr>
                <w:color w:val="000000"/>
                <w:sz w:val="20"/>
              </w:rPr>
              <w:t>173,4</w:t>
            </w:r>
          </w:p>
        </w:tc>
      </w:tr>
      <w:tr w:rsidR="004F2716" w:rsidRPr="00D1707B" w14:paraId="65B69F0A" w14:textId="77777777" w:rsidTr="00D1707B">
        <w:trPr>
          <w:trHeight w:val="227"/>
          <w:jc w:val="center"/>
        </w:trPr>
        <w:tc>
          <w:tcPr>
            <w:tcW w:w="5103" w:type="dxa"/>
            <w:tcBorders>
              <w:top w:val="single" w:sz="4" w:space="0" w:color="auto"/>
              <w:left w:val="nil"/>
              <w:bottom w:val="single" w:sz="4" w:space="0" w:color="auto"/>
              <w:right w:val="nil"/>
            </w:tcBorders>
            <w:shd w:val="clear" w:color="auto" w:fill="auto"/>
            <w:vAlign w:val="center"/>
            <w:hideMark/>
          </w:tcPr>
          <w:p w14:paraId="006C8946" w14:textId="77777777" w:rsidR="004F2716" w:rsidRPr="00D1707B" w:rsidRDefault="004F2716" w:rsidP="00D1707B">
            <w:pPr>
              <w:tabs>
                <w:tab w:val="clear" w:pos="567"/>
                <w:tab w:val="clear" w:pos="1134"/>
                <w:tab w:val="clear" w:pos="1701"/>
                <w:tab w:val="clear" w:pos="2268"/>
              </w:tabs>
              <w:spacing w:before="20" w:after="20"/>
              <w:ind w:left="318"/>
              <w:jc w:val="left"/>
              <w:rPr>
                <w:b/>
                <w:color w:val="000000"/>
                <w:sz w:val="20"/>
              </w:rPr>
            </w:pPr>
            <w:r>
              <w:rPr>
                <w:b/>
                <w:color w:val="000000"/>
                <w:sz w:val="20"/>
              </w:rPr>
              <w:t>Necesidades totales</w:t>
            </w:r>
          </w:p>
        </w:tc>
        <w:tc>
          <w:tcPr>
            <w:tcW w:w="992" w:type="dxa"/>
            <w:tcBorders>
              <w:top w:val="single" w:sz="4" w:space="0" w:color="auto"/>
              <w:left w:val="nil"/>
              <w:bottom w:val="single" w:sz="4" w:space="0" w:color="auto"/>
              <w:right w:val="nil"/>
            </w:tcBorders>
            <w:shd w:val="clear" w:color="auto" w:fill="auto"/>
            <w:vAlign w:val="center"/>
            <w:hideMark/>
          </w:tcPr>
          <w:p w14:paraId="5EDAEDA9" w14:textId="6CC28161" w:rsidR="004F2716" w:rsidRPr="00D1707B" w:rsidRDefault="004F2716" w:rsidP="00D1707B">
            <w:pPr>
              <w:tabs>
                <w:tab w:val="clear" w:pos="567"/>
                <w:tab w:val="clear" w:pos="1134"/>
                <w:tab w:val="clear" w:pos="1701"/>
                <w:tab w:val="clear" w:pos="2268"/>
              </w:tabs>
              <w:spacing w:before="20" w:after="20"/>
              <w:jc w:val="right"/>
              <w:rPr>
                <w:b/>
                <w:color w:val="000000"/>
                <w:sz w:val="20"/>
              </w:rPr>
            </w:pPr>
            <w:r>
              <w:rPr>
                <w:b/>
                <w:color w:val="000000"/>
                <w:sz w:val="20"/>
              </w:rPr>
              <w:t>21 682,1</w:t>
            </w:r>
          </w:p>
        </w:tc>
        <w:tc>
          <w:tcPr>
            <w:tcW w:w="992" w:type="dxa"/>
            <w:tcBorders>
              <w:top w:val="single" w:sz="4" w:space="0" w:color="auto"/>
              <w:left w:val="nil"/>
              <w:bottom w:val="single" w:sz="4" w:space="0" w:color="auto"/>
              <w:right w:val="nil"/>
            </w:tcBorders>
            <w:shd w:val="clear" w:color="auto" w:fill="auto"/>
            <w:vAlign w:val="center"/>
            <w:hideMark/>
          </w:tcPr>
          <w:p w14:paraId="0FDC652F" w14:textId="7CEA5BA6" w:rsidR="004F2716" w:rsidRPr="00D1707B" w:rsidRDefault="004F2716" w:rsidP="00D1707B">
            <w:pPr>
              <w:tabs>
                <w:tab w:val="clear" w:pos="567"/>
                <w:tab w:val="clear" w:pos="1134"/>
                <w:tab w:val="clear" w:pos="1701"/>
                <w:tab w:val="clear" w:pos="2268"/>
              </w:tabs>
              <w:spacing w:before="20" w:after="20"/>
              <w:jc w:val="right"/>
              <w:rPr>
                <w:b/>
                <w:color w:val="000000"/>
                <w:sz w:val="20"/>
              </w:rPr>
            </w:pPr>
            <w:r>
              <w:rPr>
                <w:b/>
                <w:color w:val="000000"/>
                <w:sz w:val="20"/>
              </w:rPr>
              <w:t>22 753,4</w:t>
            </w:r>
          </w:p>
        </w:tc>
        <w:tc>
          <w:tcPr>
            <w:tcW w:w="1045" w:type="dxa"/>
            <w:tcBorders>
              <w:top w:val="single" w:sz="4" w:space="0" w:color="auto"/>
              <w:left w:val="nil"/>
              <w:bottom w:val="single" w:sz="4" w:space="0" w:color="auto"/>
              <w:right w:val="nil"/>
            </w:tcBorders>
            <w:shd w:val="clear" w:color="auto" w:fill="auto"/>
            <w:vAlign w:val="center"/>
            <w:hideMark/>
          </w:tcPr>
          <w:p w14:paraId="15227386" w14:textId="0084A3FF" w:rsidR="004F2716" w:rsidRPr="00D1707B" w:rsidRDefault="004F2716" w:rsidP="00D1707B">
            <w:pPr>
              <w:tabs>
                <w:tab w:val="clear" w:pos="567"/>
                <w:tab w:val="clear" w:pos="1134"/>
                <w:tab w:val="clear" w:pos="1701"/>
                <w:tab w:val="clear" w:pos="2268"/>
              </w:tabs>
              <w:spacing w:before="20" w:after="20"/>
              <w:jc w:val="right"/>
              <w:rPr>
                <w:b/>
                <w:color w:val="000000"/>
                <w:sz w:val="20"/>
              </w:rPr>
            </w:pPr>
            <w:r>
              <w:rPr>
                <w:b/>
                <w:color w:val="000000"/>
                <w:sz w:val="20"/>
              </w:rPr>
              <w:t>44 435,5</w:t>
            </w:r>
          </w:p>
        </w:tc>
      </w:tr>
      <w:tr w:rsidR="004F2716" w:rsidRPr="00D1707B" w14:paraId="025F4535" w14:textId="77777777" w:rsidTr="00D1707B">
        <w:trPr>
          <w:trHeight w:val="227"/>
          <w:jc w:val="center"/>
        </w:trPr>
        <w:tc>
          <w:tcPr>
            <w:tcW w:w="5103" w:type="dxa"/>
            <w:tcBorders>
              <w:top w:val="single" w:sz="4" w:space="0" w:color="auto"/>
              <w:left w:val="nil"/>
              <w:right w:val="nil"/>
            </w:tcBorders>
            <w:shd w:val="clear" w:color="auto" w:fill="auto"/>
            <w:vAlign w:val="center"/>
            <w:hideMark/>
          </w:tcPr>
          <w:p w14:paraId="2A0027CA" w14:textId="0761ED2A" w:rsidR="004F2716" w:rsidRPr="00D1707B" w:rsidRDefault="004F2716" w:rsidP="00D1707B">
            <w:pPr>
              <w:tabs>
                <w:tab w:val="clear" w:pos="567"/>
                <w:tab w:val="clear" w:pos="1134"/>
                <w:tab w:val="clear" w:pos="1701"/>
                <w:tab w:val="clear" w:pos="2268"/>
              </w:tabs>
              <w:spacing w:before="20" w:after="20"/>
              <w:jc w:val="left"/>
              <w:rPr>
                <w:color w:val="000000"/>
                <w:sz w:val="20"/>
              </w:rPr>
            </w:pPr>
            <w:r>
              <w:rPr>
                <w:color w:val="000000"/>
                <w:sz w:val="20"/>
              </w:rPr>
              <w:t>Porcentaje del presupuesto integrado que corresponde al Convenio (72 %)</w:t>
            </w:r>
          </w:p>
        </w:tc>
        <w:tc>
          <w:tcPr>
            <w:tcW w:w="992" w:type="dxa"/>
            <w:tcBorders>
              <w:top w:val="single" w:sz="4" w:space="0" w:color="auto"/>
              <w:left w:val="nil"/>
              <w:right w:val="nil"/>
            </w:tcBorders>
            <w:shd w:val="clear" w:color="auto" w:fill="auto"/>
            <w:vAlign w:val="center"/>
            <w:hideMark/>
          </w:tcPr>
          <w:p w14:paraId="63032C19" w14:textId="1336B84A" w:rsidR="004F2716" w:rsidRPr="00D1707B" w:rsidRDefault="004F2716" w:rsidP="00D1707B">
            <w:pPr>
              <w:tabs>
                <w:tab w:val="clear" w:pos="567"/>
                <w:tab w:val="clear" w:pos="1134"/>
                <w:tab w:val="clear" w:pos="1701"/>
                <w:tab w:val="clear" w:pos="2268"/>
              </w:tabs>
              <w:spacing w:before="20" w:after="20"/>
              <w:jc w:val="right"/>
              <w:rPr>
                <w:color w:val="000000"/>
                <w:sz w:val="20"/>
              </w:rPr>
            </w:pPr>
            <w:r>
              <w:rPr>
                <w:color w:val="000000"/>
                <w:sz w:val="20"/>
              </w:rPr>
              <w:t>15 611,1</w:t>
            </w:r>
          </w:p>
        </w:tc>
        <w:tc>
          <w:tcPr>
            <w:tcW w:w="992" w:type="dxa"/>
            <w:tcBorders>
              <w:top w:val="single" w:sz="4" w:space="0" w:color="auto"/>
              <w:left w:val="nil"/>
              <w:right w:val="nil"/>
            </w:tcBorders>
            <w:shd w:val="clear" w:color="auto" w:fill="auto"/>
            <w:vAlign w:val="center"/>
            <w:hideMark/>
          </w:tcPr>
          <w:p w14:paraId="0BBFB25F" w14:textId="3548B05F" w:rsidR="004F2716" w:rsidRPr="00D1707B" w:rsidRDefault="004F2716" w:rsidP="00D1707B">
            <w:pPr>
              <w:tabs>
                <w:tab w:val="clear" w:pos="567"/>
                <w:tab w:val="clear" w:pos="1134"/>
                <w:tab w:val="clear" w:pos="1701"/>
                <w:tab w:val="clear" w:pos="2268"/>
              </w:tabs>
              <w:spacing w:before="20" w:after="20"/>
              <w:jc w:val="right"/>
              <w:rPr>
                <w:color w:val="000000"/>
                <w:sz w:val="20"/>
              </w:rPr>
            </w:pPr>
            <w:r>
              <w:rPr>
                <w:color w:val="000000"/>
                <w:sz w:val="20"/>
              </w:rPr>
              <w:t>16 382,4</w:t>
            </w:r>
          </w:p>
        </w:tc>
        <w:tc>
          <w:tcPr>
            <w:tcW w:w="1045" w:type="dxa"/>
            <w:tcBorders>
              <w:top w:val="single" w:sz="4" w:space="0" w:color="auto"/>
              <w:left w:val="nil"/>
              <w:right w:val="nil"/>
            </w:tcBorders>
            <w:shd w:val="clear" w:color="auto" w:fill="auto"/>
            <w:vAlign w:val="center"/>
            <w:hideMark/>
          </w:tcPr>
          <w:p w14:paraId="542AA095" w14:textId="40A2FCE9" w:rsidR="004F2716" w:rsidRPr="00D1707B" w:rsidRDefault="004F2716" w:rsidP="00D1707B">
            <w:pPr>
              <w:tabs>
                <w:tab w:val="clear" w:pos="567"/>
                <w:tab w:val="clear" w:pos="1134"/>
                <w:tab w:val="clear" w:pos="1701"/>
                <w:tab w:val="clear" w:pos="2268"/>
              </w:tabs>
              <w:spacing w:before="20" w:after="20"/>
              <w:jc w:val="right"/>
              <w:rPr>
                <w:color w:val="000000"/>
                <w:sz w:val="20"/>
              </w:rPr>
            </w:pPr>
            <w:r>
              <w:rPr>
                <w:color w:val="000000"/>
                <w:sz w:val="20"/>
              </w:rPr>
              <w:t>31 993,5</w:t>
            </w:r>
          </w:p>
        </w:tc>
      </w:tr>
      <w:tr w:rsidR="004F2716" w:rsidRPr="00D1707B" w14:paraId="2B1DABFB" w14:textId="77777777" w:rsidTr="00D1707B">
        <w:trPr>
          <w:trHeight w:val="227"/>
          <w:jc w:val="center"/>
        </w:trPr>
        <w:tc>
          <w:tcPr>
            <w:tcW w:w="5103" w:type="dxa"/>
            <w:tcBorders>
              <w:left w:val="nil"/>
              <w:bottom w:val="nil"/>
              <w:right w:val="nil"/>
            </w:tcBorders>
            <w:shd w:val="clear" w:color="auto" w:fill="auto"/>
            <w:vAlign w:val="center"/>
            <w:hideMark/>
          </w:tcPr>
          <w:p w14:paraId="1BEEA3E6" w14:textId="52D40F0B" w:rsidR="004F2716" w:rsidRPr="00D1707B" w:rsidRDefault="004F2716" w:rsidP="00D1707B">
            <w:pPr>
              <w:tabs>
                <w:tab w:val="clear" w:pos="567"/>
                <w:tab w:val="clear" w:pos="1134"/>
                <w:tab w:val="clear" w:pos="1701"/>
                <w:tab w:val="clear" w:pos="2268"/>
              </w:tabs>
              <w:spacing w:before="20" w:after="20"/>
              <w:jc w:val="left"/>
              <w:rPr>
                <w:color w:val="000000"/>
                <w:sz w:val="20"/>
              </w:rPr>
            </w:pPr>
            <w:r>
              <w:rPr>
                <w:color w:val="000000"/>
                <w:sz w:val="20"/>
              </w:rPr>
              <w:t>Contribuciones del país anfitrión</w:t>
            </w:r>
          </w:p>
        </w:tc>
        <w:tc>
          <w:tcPr>
            <w:tcW w:w="992" w:type="dxa"/>
            <w:tcBorders>
              <w:left w:val="nil"/>
              <w:bottom w:val="nil"/>
              <w:right w:val="nil"/>
            </w:tcBorders>
            <w:shd w:val="clear" w:color="auto" w:fill="auto"/>
            <w:vAlign w:val="center"/>
            <w:hideMark/>
          </w:tcPr>
          <w:p w14:paraId="2D127764" w14:textId="47CD4CA9" w:rsidR="004F2716" w:rsidRPr="00D1707B" w:rsidRDefault="004F2716" w:rsidP="00D1707B">
            <w:pPr>
              <w:tabs>
                <w:tab w:val="clear" w:pos="567"/>
                <w:tab w:val="clear" w:pos="1134"/>
                <w:tab w:val="clear" w:pos="1701"/>
                <w:tab w:val="clear" w:pos="2268"/>
              </w:tabs>
              <w:spacing w:before="20" w:after="20"/>
              <w:jc w:val="right"/>
              <w:rPr>
                <w:color w:val="000000"/>
                <w:sz w:val="20"/>
              </w:rPr>
            </w:pPr>
            <w:r>
              <w:rPr>
                <w:color w:val="000000"/>
                <w:sz w:val="20"/>
              </w:rPr>
              <w:t>(1 189,9)</w:t>
            </w:r>
          </w:p>
        </w:tc>
        <w:tc>
          <w:tcPr>
            <w:tcW w:w="992" w:type="dxa"/>
            <w:tcBorders>
              <w:left w:val="nil"/>
              <w:bottom w:val="nil"/>
              <w:right w:val="nil"/>
            </w:tcBorders>
            <w:shd w:val="clear" w:color="auto" w:fill="auto"/>
            <w:vAlign w:val="center"/>
            <w:hideMark/>
          </w:tcPr>
          <w:p w14:paraId="387AF0B9" w14:textId="2A02DD51" w:rsidR="004F2716" w:rsidRPr="00D1707B" w:rsidRDefault="004F2716" w:rsidP="00D1707B">
            <w:pPr>
              <w:tabs>
                <w:tab w:val="clear" w:pos="567"/>
                <w:tab w:val="clear" w:pos="1134"/>
                <w:tab w:val="clear" w:pos="1701"/>
                <w:tab w:val="clear" w:pos="2268"/>
              </w:tabs>
              <w:spacing w:before="20" w:after="20"/>
              <w:jc w:val="right"/>
              <w:rPr>
                <w:color w:val="000000"/>
                <w:sz w:val="20"/>
              </w:rPr>
            </w:pPr>
            <w:r>
              <w:rPr>
                <w:color w:val="000000"/>
                <w:sz w:val="20"/>
              </w:rPr>
              <w:t>(1 201,4)</w:t>
            </w:r>
          </w:p>
        </w:tc>
        <w:tc>
          <w:tcPr>
            <w:tcW w:w="1045" w:type="dxa"/>
            <w:tcBorders>
              <w:left w:val="nil"/>
              <w:bottom w:val="nil"/>
              <w:right w:val="nil"/>
            </w:tcBorders>
            <w:shd w:val="clear" w:color="auto" w:fill="auto"/>
            <w:vAlign w:val="center"/>
            <w:hideMark/>
          </w:tcPr>
          <w:p w14:paraId="5F71C84A" w14:textId="4AF131CF" w:rsidR="004F2716" w:rsidRPr="00D1707B" w:rsidRDefault="004F2716" w:rsidP="00D1707B">
            <w:pPr>
              <w:tabs>
                <w:tab w:val="clear" w:pos="567"/>
                <w:tab w:val="clear" w:pos="1134"/>
                <w:tab w:val="clear" w:pos="1701"/>
                <w:tab w:val="clear" w:pos="2268"/>
              </w:tabs>
              <w:spacing w:before="20" w:after="20"/>
              <w:jc w:val="right"/>
              <w:rPr>
                <w:color w:val="000000"/>
                <w:sz w:val="20"/>
              </w:rPr>
            </w:pPr>
            <w:r>
              <w:rPr>
                <w:color w:val="000000"/>
                <w:sz w:val="20"/>
              </w:rPr>
              <w:t>(2 391,3)</w:t>
            </w:r>
          </w:p>
        </w:tc>
      </w:tr>
      <w:tr w:rsidR="004F2716" w:rsidRPr="00D1707B" w14:paraId="79515F3A" w14:textId="77777777" w:rsidTr="00D1707B">
        <w:trPr>
          <w:trHeight w:val="227"/>
          <w:jc w:val="center"/>
        </w:trPr>
        <w:tc>
          <w:tcPr>
            <w:tcW w:w="5103" w:type="dxa"/>
            <w:tcBorders>
              <w:top w:val="nil"/>
              <w:left w:val="nil"/>
              <w:bottom w:val="single" w:sz="8" w:space="0" w:color="auto"/>
              <w:right w:val="nil"/>
            </w:tcBorders>
            <w:shd w:val="clear" w:color="auto" w:fill="auto"/>
            <w:vAlign w:val="center"/>
            <w:hideMark/>
          </w:tcPr>
          <w:p w14:paraId="2C5B81A5" w14:textId="2C51E7F9" w:rsidR="004F2716" w:rsidRPr="00D1707B" w:rsidRDefault="004F2716" w:rsidP="00D1707B">
            <w:pPr>
              <w:tabs>
                <w:tab w:val="clear" w:pos="567"/>
                <w:tab w:val="clear" w:pos="1134"/>
                <w:tab w:val="clear" w:pos="1701"/>
                <w:tab w:val="clear" w:pos="2268"/>
              </w:tabs>
              <w:spacing w:before="20" w:after="20"/>
              <w:jc w:val="left"/>
              <w:rPr>
                <w:color w:val="000000"/>
                <w:sz w:val="20"/>
              </w:rPr>
            </w:pPr>
            <w:r>
              <w:rPr>
                <w:color w:val="000000"/>
                <w:sz w:val="20"/>
              </w:rPr>
              <w:t xml:space="preserve">Reserva </w:t>
            </w:r>
          </w:p>
        </w:tc>
        <w:tc>
          <w:tcPr>
            <w:tcW w:w="992" w:type="dxa"/>
            <w:tcBorders>
              <w:top w:val="nil"/>
              <w:left w:val="nil"/>
              <w:bottom w:val="single" w:sz="8" w:space="0" w:color="auto"/>
              <w:right w:val="nil"/>
            </w:tcBorders>
            <w:shd w:val="clear" w:color="auto" w:fill="auto"/>
            <w:vAlign w:val="center"/>
            <w:hideMark/>
          </w:tcPr>
          <w:p w14:paraId="4D895907" w14:textId="2210B3AF" w:rsidR="004F2716" w:rsidRPr="00D1707B" w:rsidRDefault="004F2716" w:rsidP="00D1707B">
            <w:pPr>
              <w:tabs>
                <w:tab w:val="clear" w:pos="567"/>
                <w:tab w:val="clear" w:pos="1134"/>
                <w:tab w:val="clear" w:pos="1701"/>
                <w:tab w:val="clear" w:pos="2268"/>
              </w:tabs>
              <w:spacing w:before="20" w:after="20"/>
              <w:jc w:val="right"/>
              <w:rPr>
                <w:color w:val="000000"/>
                <w:sz w:val="20"/>
              </w:rPr>
            </w:pPr>
            <w:r>
              <w:rPr>
                <w:color w:val="000000"/>
                <w:sz w:val="20"/>
              </w:rPr>
              <w:t>(342,5)</w:t>
            </w:r>
          </w:p>
        </w:tc>
        <w:tc>
          <w:tcPr>
            <w:tcW w:w="992" w:type="dxa"/>
            <w:tcBorders>
              <w:top w:val="nil"/>
              <w:left w:val="nil"/>
              <w:bottom w:val="single" w:sz="8" w:space="0" w:color="auto"/>
              <w:right w:val="nil"/>
            </w:tcBorders>
            <w:shd w:val="clear" w:color="auto" w:fill="auto"/>
            <w:vAlign w:val="center"/>
            <w:hideMark/>
          </w:tcPr>
          <w:p w14:paraId="29294353" w14:textId="75CA001C" w:rsidR="004F2716" w:rsidRPr="00D1707B" w:rsidRDefault="004F2716" w:rsidP="00D1707B">
            <w:pPr>
              <w:tabs>
                <w:tab w:val="clear" w:pos="567"/>
                <w:tab w:val="clear" w:pos="1134"/>
                <w:tab w:val="clear" w:pos="1701"/>
                <w:tab w:val="clear" w:pos="2268"/>
              </w:tabs>
              <w:spacing w:before="20" w:after="20"/>
              <w:jc w:val="right"/>
              <w:rPr>
                <w:color w:val="000000"/>
                <w:sz w:val="20"/>
              </w:rPr>
            </w:pPr>
            <w:r>
              <w:rPr>
                <w:color w:val="000000"/>
                <w:sz w:val="20"/>
              </w:rPr>
              <w:t>(139,1)</w:t>
            </w:r>
          </w:p>
        </w:tc>
        <w:tc>
          <w:tcPr>
            <w:tcW w:w="1045" w:type="dxa"/>
            <w:tcBorders>
              <w:top w:val="nil"/>
              <w:left w:val="nil"/>
              <w:bottom w:val="nil"/>
              <w:right w:val="nil"/>
            </w:tcBorders>
            <w:shd w:val="clear" w:color="auto" w:fill="auto"/>
            <w:vAlign w:val="center"/>
            <w:hideMark/>
          </w:tcPr>
          <w:p w14:paraId="2F08A291" w14:textId="61733392" w:rsidR="004F2716" w:rsidRPr="00D1707B" w:rsidRDefault="004F2716" w:rsidP="00D1707B">
            <w:pPr>
              <w:tabs>
                <w:tab w:val="clear" w:pos="567"/>
                <w:tab w:val="clear" w:pos="1134"/>
                <w:tab w:val="clear" w:pos="1701"/>
                <w:tab w:val="clear" w:pos="2268"/>
              </w:tabs>
              <w:spacing w:before="20" w:after="20"/>
              <w:jc w:val="right"/>
              <w:rPr>
                <w:color w:val="000000"/>
                <w:sz w:val="20"/>
              </w:rPr>
            </w:pPr>
            <w:r>
              <w:rPr>
                <w:color w:val="000000"/>
                <w:sz w:val="20"/>
              </w:rPr>
              <w:t>(481,6)</w:t>
            </w:r>
          </w:p>
        </w:tc>
      </w:tr>
      <w:tr w:rsidR="004F2716" w:rsidRPr="00D1707B" w14:paraId="71BB84C6" w14:textId="77777777" w:rsidTr="00D1707B">
        <w:trPr>
          <w:trHeight w:val="227"/>
          <w:jc w:val="center"/>
        </w:trPr>
        <w:tc>
          <w:tcPr>
            <w:tcW w:w="5103" w:type="dxa"/>
            <w:tcBorders>
              <w:top w:val="nil"/>
              <w:left w:val="nil"/>
              <w:bottom w:val="single" w:sz="8" w:space="0" w:color="auto"/>
              <w:right w:val="nil"/>
            </w:tcBorders>
            <w:shd w:val="clear" w:color="auto" w:fill="auto"/>
            <w:vAlign w:val="center"/>
            <w:hideMark/>
          </w:tcPr>
          <w:p w14:paraId="41BF2A02" w14:textId="77777777" w:rsidR="004F2716" w:rsidRPr="00D1707B" w:rsidRDefault="004F2716" w:rsidP="00D1707B">
            <w:pPr>
              <w:tabs>
                <w:tab w:val="clear" w:pos="567"/>
                <w:tab w:val="clear" w:pos="1134"/>
                <w:tab w:val="clear" w:pos="1701"/>
                <w:tab w:val="clear" w:pos="2268"/>
              </w:tabs>
              <w:spacing w:before="20" w:after="20"/>
              <w:ind w:left="319"/>
              <w:jc w:val="left"/>
              <w:rPr>
                <w:b/>
                <w:color w:val="000000"/>
                <w:sz w:val="20"/>
              </w:rPr>
            </w:pPr>
            <w:r>
              <w:rPr>
                <w:b/>
                <w:color w:val="000000"/>
                <w:sz w:val="20"/>
              </w:rPr>
              <w:t>Total neto (a dividir entre las Partes)</w:t>
            </w:r>
          </w:p>
        </w:tc>
        <w:tc>
          <w:tcPr>
            <w:tcW w:w="992" w:type="dxa"/>
            <w:tcBorders>
              <w:top w:val="nil"/>
              <w:left w:val="nil"/>
              <w:bottom w:val="single" w:sz="8" w:space="0" w:color="auto"/>
              <w:right w:val="nil"/>
            </w:tcBorders>
            <w:shd w:val="clear" w:color="auto" w:fill="auto"/>
            <w:vAlign w:val="center"/>
            <w:hideMark/>
          </w:tcPr>
          <w:p w14:paraId="5DBB64F8" w14:textId="1B8E5C8E" w:rsidR="004F2716" w:rsidRPr="00D1707B" w:rsidRDefault="004F2716" w:rsidP="00D1707B">
            <w:pPr>
              <w:tabs>
                <w:tab w:val="clear" w:pos="567"/>
                <w:tab w:val="clear" w:pos="1134"/>
                <w:tab w:val="clear" w:pos="1701"/>
                <w:tab w:val="clear" w:pos="2268"/>
              </w:tabs>
              <w:spacing w:before="20" w:after="20"/>
              <w:jc w:val="right"/>
              <w:rPr>
                <w:b/>
                <w:i/>
                <w:color w:val="000000"/>
                <w:sz w:val="20"/>
              </w:rPr>
            </w:pPr>
            <w:r>
              <w:rPr>
                <w:b/>
                <w:color w:val="000000"/>
                <w:sz w:val="20"/>
              </w:rPr>
              <w:t>14 078,7</w:t>
            </w:r>
          </w:p>
        </w:tc>
        <w:tc>
          <w:tcPr>
            <w:tcW w:w="992" w:type="dxa"/>
            <w:tcBorders>
              <w:top w:val="nil"/>
              <w:left w:val="nil"/>
              <w:bottom w:val="single" w:sz="8" w:space="0" w:color="auto"/>
              <w:right w:val="nil"/>
            </w:tcBorders>
            <w:shd w:val="clear" w:color="auto" w:fill="auto"/>
            <w:vAlign w:val="center"/>
            <w:hideMark/>
          </w:tcPr>
          <w:p w14:paraId="791D5A8D" w14:textId="3F81785F" w:rsidR="004F2716" w:rsidRPr="00D1707B" w:rsidRDefault="004F2716" w:rsidP="00D1707B">
            <w:pPr>
              <w:tabs>
                <w:tab w:val="clear" w:pos="567"/>
                <w:tab w:val="clear" w:pos="1134"/>
                <w:tab w:val="clear" w:pos="1701"/>
                <w:tab w:val="clear" w:pos="2268"/>
              </w:tabs>
              <w:spacing w:before="20" w:after="20"/>
              <w:jc w:val="right"/>
              <w:rPr>
                <w:b/>
                <w:i/>
                <w:color w:val="000000"/>
                <w:sz w:val="20"/>
              </w:rPr>
            </w:pPr>
            <w:r>
              <w:rPr>
                <w:b/>
                <w:color w:val="000000"/>
                <w:sz w:val="20"/>
              </w:rPr>
              <w:t>15 042,0</w:t>
            </w:r>
          </w:p>
        </w:tc>
        <w:tc>
          <w:tcPr>
            <w:tcW w:w="1045" w:type="dxa"/>
            <w:tcBorders>
              <w:top w:val="single" w:sz="8" w:space="0" w:color="auto"/>
              <w:left w:val="nil"/>
              <w:bottom w:val="single" w:sz="8" w:space="0" w:color="auto"/>
              <w:right w:val="nil"/>
            </w:tcBorders>
            <w:shd w:val="clear" w:color="auto" w:fill="auto"/>
            <w:vAlign w:val="center"/>
            <w:hideMark/>
          </w:tcPr>
          <w:p w14:paraId="7627D8F7" w14:textId="64F3A49C" w:rsidR="004F2716" w:rsidRPr="00D1707B" w:rsidRDefault="004F2716" w:rsidP="00D1707B">
            <w:pPr>
              <w:tabs>
                <w:tab w:val="clear" w:pos="567"/>
                <w:tab w:val="clear" w:pos="1134"/>
                <w:tab w:val="clear" w:pos="1701"/>
                <w:tab w:val="clear" w:pos="2268"/>
              </w:tabs>
              <w:spacing w:before="20" w:after="20"/>
              <w:jc w:val="right"/>
              <w:rPr>
                <w:b/>
                <w:i/>
                <w:color w:val="000000"/>
                <w:sz w:val="20"/>
              </w:rPr>
            </w:pPr>
            <w:r>
              <w:rPr>
                <w:b/>
                <w:color w:val="000000"/>
                <w:sz w:val="20"/>
              </w:rPr>
              <w:t>29 120,6</w:t>
            </w:r>
          </w:p>
        </w:tc>
      </w:tr>
    </w:tbl>
    <w:p w14:paraId="50F5399A" w14:textId="77777777" w:rsidR="0027544B" w:rsidRDefault="0027544B" w:rsidP="00582303">
      <w:pPr>
        <w:pStyle w:val="CBDTableTitle"/>
        <w:spacing w:before="240"/>
        <w:rPr>
          <w:b w:val="0"/>
        </w:rPr>
      </w:pPr>
    </w:p>
    <w:p w14:paraId="6F132A0B" w14:textId="77777777" w:rsidR="0027544B" w:rsidRDefault="0027544B">
      <w:pPr>
        <w:tabs>
          <w:tab w:val="clear" w:pos="567"/>
          <w:tab w:val="clear" w:pos="1134"/>
          <w:tab w:val="clear" w:pos="1701"/>
          <w:tab w:val="clear" w:pos="2268"/>
        </w:tabs>
        <w:spacing w:after="160" w:line="259" w:lineRule="auto"/>
        <w:jc w:val="left"/>
      </w:pPr>
      <w:r>
        <w:rPr>
          <w:b/>
        </w:rPr>
        <w:br w:type="page"/>
      </w:r>
    </w:p>
    <w:p w14:paraId="07F14569" w14:textId="6AAFA328" w:rsidR="00282C85" w:rsidRPr="00D1707B" w:rsidRDefault="00282C85" w:rsidP="00582303">
      <w:pPr>
        <w:pStyle w:val="CBDTableTitle"/>
        <w:spacing w:before="240"/>
      </w:pPr>
      <w:r>
        <w:rPr>
          <w:b w:val="0"/>
        </w:rPr>
        <w:lastRenderedPageBreak/>
        <w:t>Cuadro 3</w:t>
      </w:r>
      <w:r>
        <w:br/>
        <w:t>Necesidades de personal de la Secretaría con cargo a los presupuestos básicos del Convenio y sus Protocolos para 2025-2026</w:t>
      </w:r>
    </w:p>
    <w:tbl>
      <w:tblPr>
        <w:tblW w:w="8124" w:type="dxa"/>
        <w:jc w:val="center"/>
        <w:tblLook w:val="04A0" w:firstRow="1" w:lastRow="0" w:firstColumn="1" w:lastColumn="0" w:noHBand="0" w:noVBand="1"/>
      </w:tblPr>
      <w:tblGrid>
        <w:gridCol w:w="3870"/>
        <w:gridCol w:w="2070"/>
        <w:gridCol w:w="2184"/>
      </w:tblGrid>
      <w:tr w:rsidR="009641CA" w:rsidRPr="00D1707B" w14:paraId="39249F30" w14:textId="77777777" w:rsidTr="00E63720">
        <w:trPr>
          <w:cantSplit/>
          <w:tblHeader/>
          <w:jc w:val="center"/>
        </w:trPr>
        <w:tc>
          <w:tcPr>
            <w:tcW w:w="3870" w:type="dxa"/>
            <w:tcBorders>
              <w:top w:val="single" w:sz="4"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4E0077EE" w14:textId="77777777" w:rsidR="00282C85" w:rsidRPr="00D1707B" w:rsidRDefault="00282C85" w:rsidP="00D1707B">
            <w:pPr>
              <w:keepNext/>
              <w:keepLines/>
              <w:suppressLineNumbers/>
              <w:suppressAutoHyphens/>
              <w:spacing w:before="20" w:after="20"/>
              <w:jc w:val="left"/>
              <w:rPr>
                <w:rFonts w:asciiTheme="majorBidi" w:hAnsiTheme="majorBidi"/>
                <w:i/>
                <w:kern w:val="22"/>
                <w:sz w:val="20"/>
              </w:rPr>
            </w:pPr>
            <w:r>
              <w:rPr>
                <w:rFonts w:asciiTheme="majorBidi" w:hAnsiTheme="majorBidi"/>
                <w:i/>
                <w:sz w:val="20"/>
              </w:rPr>
              <w:t>Categoría y nivel</w:t>
            </w:r>
          </w:p>
        </w:tc>
        <w:tc>
          <w:tcPr>
            <w:tcW w:w="2070" w:type="dxa"/>
            <w:tcBorders>
              <w:top w:val="single" w:sz="4" w:space="0" w:color="auto"/>
              <w:left w:val="nil"/>
              <w:bottom w:val="single" w:sz="8" w:space="0" w:color="auto"/>
              <w:right w:val="nil"/>
            </w:tcBorders>
            <w:shd w:val="clear" w:color="auto" w:fill="auto"/>
          </w:tcPr>
          <w:p w14:paraId="0305B470" w14:textId="11AB6767" w:rsidR="00282C85" w:rsidRPr="00D1707B" w:rsidRDefault="00282C85" w:rsidP="0027544B">
            <w:pPr>
              <w:keepNext/>
              <w:keepLines/>
              <w:suppressLineNumbers/>
              <w:suppressAutoHyphens/>
              <w:spacing w:before="20" w:after="20"/>
              <w:jc w:val="center"/>
              <w:rPr>
                <w:rFonts w:asciiTheme="majorBidi" w:hAnsiTheme="majorBidi"/>
                <w:i/>
                <w:kern w:val="22"/>
                <w:sz w:val="20"/>
              </w:rPr>
            </w:pPr>
            <w:r>
              <w:rPr>
                <w:rFonts w:asciiTheme="majorBidi" w:hAnsiTheme="majorBidi"/>
                <w:i/>
                <w:sz w:val="20"/>
              </w:rPr>
              <w:t>Aprobados para</w:t>
            </w:r>
            <w:r w:rsidR="0027544B">
              <w:rPr>
                <w:rFonts w:asciiTheme="majorBidi" w:hAnsiTheme="majorBidi"/>
                <w:i/>
                <w:sz w:val="20"/>
              </w:rPr>
              <w:br/>
            </w:r>
            <w:r>
              <w:rPr>
                <w:rFonts w:asciiTheme="majorBidi" w:hAnsiTheme="majorBidi"/>
                <w:i/>
                <w:sz w:val="20"/>
              </w:rPr>
              <w:t>2023-2024</w:t>
            </w:r>
          </w:p>
        </w:tc>
        <w:tc>
          <w:tcPr>
            <w:tcW w:w="2184" w:type="dxa"/>
            <w:tcBorders>
              <w:top w:val="single" w:sz="4" w:space="0" w:color="auto"/>
              <w:left w:val="nil"/>
              <w:bottom w:val="single" w:sz="8" w:space="0" w:color="auto"/>
              <w:right w:val="nil"/>
            </w:tcBorders>
            <w:tcMar>
              <w:top w:w="14" w:type="dxa"/>
              <w:left w:w="115" w:type="dxa"/>
              <w:bottom w:w="14" w:type="dxa"/>
              <w:right w:w="115" w:type="dxa"/>
            </w:tcMar>
            <w:vAlign w:val="center"/>
            <w:hideMark/>
          </w:tcPr>
          <w:p w14:paraId="0CE7F166" w14:textId="1B010862" w:rsidR="00282C85" w:rsidRPr="00D1707B" w:rsidRDefault="00282C85" w:rsidP="0027544B">
            <w:pPr>
              <w:keepNext/>
              <w:keepLines/>
              <w:suppressLineNumbers/>
              <w:suppressAutoHyphens/>
              <w:spacing w:before="20" w:after="20"/>
              <w:jc w:val="center"/>
              <w:rPr>
                <w:rFonts w:asciiTheme="majorBidi" w:hAnsiTheme="majorBidi"/>
                <w:i/>
                <w:kern w:val="22"/>
                <w:sz w:val="20"/>
              </w:rPr>
            </w:pPr>
            <w:r>
              <w:rPr>
                <w:rFonts w:asciiTheme="majorBidi" w:hAnsiTheme="majorBidi"/>
                <w:i/>
                <w:sz w:val="20"/>
              </w:rPr>
              <w:t>Aprobados para</w:t>
            </w:r>
            <w:r w:rsidR="0027544B">
              <w:rPr>
                <w:rFonts w:asciiTheme="majorBidi" w:hAnsiTheme="majorBidi"/>
                <w:i/>
                <w:sz w:val="20"/>
              </w:rPr>
              <w:br/>
            </w:r>
            <w:r>
              <w:rPr>
                <w:rFonts w:asciiTheme="majorBidi" w:hAnsiTheme="majorBidi"/>
                <w:i/>
                <w:sz w:val="20"/>
              </w:rPr>
              <w:t>2025-</w:t>
            </w:r>
            <w:proofErr w:type="spellStart"/>
            <w:r>
              <w:rPr>
                <w:rFonts w:asciiTheme="majorBidi" w:hAnsiTheme="majorBidi"/>
                <w:i/>
                <w:sz w:val="20"/>
              </w:rPr>
              <w:t>2026</w:t>
            </w:r>
            <w:r>
              <w:rPr>
                <w:rFonts w:asciiTheme="majorBidi" w:hAnsiTheme="majorBidi"/>
                <w:i/>
                <w:sz w:val="20"/>
                <w:vertAlign w:val="superscript"/>
              </w:rPr>
              <w:t>a</w:t>
            </w:r>
            <w:proofErr w:type="spellEnd"/>
          </w:p>
        </w:tc>
      </w:tr>
      <w:tr w:rsidR="00282C85" w:rsidRPr="00D1707B" w14:paraId="25D1ACE3" w14:textId="77777777" w:rsidTr="00582303">
        <w:trPr>
          <w:cantSplit/>
          <w:jc w:val="center"/>
        </w:trPr>
        <w:tc>
          <w:tcPr>
            <w:tcW w:w="3870" w:type="dxa"/>
            <w:tcBorders>
              <w:top w:val="nil"/>
              <w:left w:val="nil"/>
              <w:bottom w:val="nil"/>
              <w:right w:val="nil"/>
            </w:tcBorders>
            <w:shd w:val="clear" w:color="auto" w:fill="auto"/>
            <w:noWrap/>
            <w:tcMar>
              <w:top w:w="14" w:type="dxa"/>
              <w:left w:w="115" w:type="dxa"/>
              <w:bottom w:w="14" w:type="dxa"/>
              <w:right w:w="115" w:type="dxa"/>
            </w:tcMar>
            <w:vAlign w:val="center"/>
            <w:hideMark/>
          </w:tcPr>
          <w:p w14:paraId="4CFBC9B2" w14:textId="6F6F3C54" w:rsidR="00282C85" w:rsidRPr="00D1707B" w:rsidRDefault="00282C85" w:rsidP="00D1707B">
            <w:pPr>
              <w:keepNext/>
              <w:keepLines/>
              <w:suppressLineNumbers/>
              <w:suppressAutoHyphens/>
              <w:spacing w:before="20" w:after="20"/>
              <w:rPr>
                <w:rFonts w:asciiTheme="majorBidi" w:hAnsiTheme="majorBidi"/>
                <w:kern w:val="22"/>
                <w:sz w:val="20"/>
              </w:rPr>
            </w:pPr>
            <w:r>
              <w:rPr>
                <w:rFonts w:asciiTheme="majorBidi" w:hAnsiTheme="majorBidi"/>
                <w:sz w:val="20"/>
              </w:rPr>
              <w:t>Cuadro Orgánico y categorías superiores</w:t>
            </w:r>
          </w:p>
        </w:tc>
        <w:tc>
          <w:tcPr>
            <w:tcW w:w="2070" w:type="dxa"/>
            <w:tcBorders>
              <w:top w:val="nil"/>
              <w:left w:val="nil"/>
              <w:bottom w:val="nil"/>
              <w:right w:val="nil"/>
            </w:tcBorders>
            <w:shd w:val="clear" w:color="auto" w:fill="auto"/>
          </w:tcPr>
          <w:p w14:paraId="72759757" w14:textId="77777777" w:rsidR="00282C85" w:rsidRPr="00D1707B" w:rsidRDefault="00282C85" w:rsidP="00D1707B">
            <w:pPr>
              <w:keepNext/>
              <w:keepLines/>
              <w:suppressLineNumbers/>
              <w:suppressAutoHyphens/>
              <w:spacing w:before="20" w:after="20"/>
              <w:ind w:right="432"/>
              <w:jc w:val="right"/>
              <w:rPr>
                <w:rFonts w:asciiTheme="majorBidi" w:hAnsiTheme="majorBidi"/>
                <w:kern w:val="22"/>
                <w:sz w:val="20"/>
              </w:rPr>
            </w:pPr>
          </w:p>
        </w:tc>
        <w:tc>
          <w:tcPr>
            <w:tcW w:w="2184" w:type="dxa"/>
            <w:tcBorders>
              <w:top w:val="nil"/>
              <w:left w:val="nil"/>
              <w:bottom w:val="nil"/>
              <w:right w:val="nil"/>
            </w:tcBorders>
            <w:tcMar>
              <w:top w:w="14" w:type="dxa"/>
              <w:left w:w="115" w:type="dxa"/>
              <w:bottom w:w="14" w:type="dxa"/>
              <w:right w:w="115" w:type="dxa"/>
            </w:tcMar>
            <w:vAlign w:val="center"/>
            <w:hideMark/>
          </w:tcPr>
          <w:p w14:paraId="243BD11B" w14:textId="77777777" w:rsidR="00282C85" w:rsidRPr="00D1707B" w:rsidRDefault="00282C85" w:rsidP="00D1707B">
            <w:pPr>
              <w:keepNext/>
              <w:keepLines/>
              <w:suppressLineNumbers/>
              <w:suppressAutoHyphens/>
              <w:spacing w:before="20" w:after="20"/>
              <w:ind w:right="432"/>
              <w:jc w:val="right"/>
              <w:rPr>
                <w:rFonts w:asciiTheme="majorBidi" w:hAnsiTheme="majorBidi"/>
                <w:kern w:val="22"/>
                <w:sz w:val="20"/>
              </w:rPr>
            </w:pPr>
          </w:p>
        </w:tc>
      </w:tr>
      <w:tr w:rsidR="00282C85" w:rsidRPr="00D1707B" w14:paraId="177CF01F" w14:textId="77777777" w:rsidTr="00582303">
        <w:trPr>
          <w:cantSplit/>
          <w:jc w:val="center"/>
        </w:trPr>
        <w:tc>
          <w:tcPr>
            <w:tcW w:w="3870" w:type="dxa"/>
            <w:tcBorders>
              <w:top w:val="nil"/>
              <w:left w:val="nil"/>
              <w:bottom w:val="nil"/>
              <w:right w:val="nil"/>
            </w:tcBorders>
            <w:shd w:val="clear" w:color="auto" w:fill="auto"/>
            <w:tcMar>
              <w:top w:w="14" w:type="dxa"/>
              <w:left w:w="115" w:type="dxa"/>
              <w:bottom w:w="14" w:type="dxa"/>
              <w:right w:w="115" w:type="dxa"/>
            </w:tcMar>
            <w:vAlign w:val="center"/>
            <w:hideMark/>
          </w:tcPr>
          <w:p w14:paraId="77E23D27" w14:textId="77777777" w:rsidR="00282C85" w:rsidRPr="00D1707B" w:rsidRDefault="00282C85" w:rsidP="00D1707B">
            <w:pPr>
              <w:keepNext/>
              <w:keepLines/>
              <w:suppressLineNumbers/>
              <w:suppressAutoHyphens/>
              <w:spacing w:before="20" w:after="20"/>
              <w:ind w:left="164"/>
              <w:rPr>
                <w:rFonts w:asciiTheme="majorBidi" w:hAnsiTheme="majorBidi"/>
                <w:kern w:val="22"/>
                <w:sz w:val="20"/>
              </w:rPr>
            </w:pPr>
            <w:r>
              <w:rPr>
                <w:rFonts w:asciiTheme="majorBidi" w:hAnsiTheme="majorBidi"/>
                <w:sz w:val="20"/>
              </w:rPr>
              <w:t>SSG</w:t>
            </w:r>
          </w:p>
        </w:tc>
        <w:tc>
          <w:tcPr>
            <w:tcW w:w="2070" w:type="dxa"/>
            <w:tcBorders>
              <w:top w:val="nil"/>
              <w:left w:val="nil"/>
              <w:bottom w:val="nil"/>
              <w:right w:val="nil"/>
            </w:tcBorders>
            <w:shd w:val="clear" w:color="auto" w:fill="auto"/>
          </w:tcPr>
          <w:p w14:paraId="3D510651"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Pr>
                <w:rFonts w:asciiTheme="majorBidi" w:hAnsiTheme="majorBidi"/>
                <w:sz w:val="20"/>
              </w:rPr>
              <w:t>1</w:t>
            </w:r>
          </w:p>
        </w:tc>
        <w:tc>
          <w:tcPr>
            <w:tcW w:w="2184" w:type="dxa"/>
            <w:tcBorders>
              <w:top w:val="nil"/>
              <w:left w:val="nil"/>
              <w:bottom w:val="nil"/>
              <w:right w:val="nil"/>
            </w:tcBorders>
            <w:tcMar>
              <w:top w:w="14" w:type="dxa"/>
              <w:left w:w="115" w:type="dxa"/>
              <w:bottom w:w="14" w:type="dxa"/>
              <w:right w:w="115" w:type="dxa"/>
            </w:tcMar>
            <w:vAlign w:val="center"/>
            <w:hideMark/>
          </w:tcPr>
          <w:p w14:paraId="686C22B9"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Pr>
                <w:rFonts w:asciiTheme="majorBidi" w:hAnsiTheme="majorBidi"/>
                <w:sz w:val="20"/>
              </w:rPr>
              <w:t>1</w:t>
            </w:r>
          </w:p>
        </w:tc>
      </w:tr>
      <w:tr w:rsidR="00282C85" w:rsidRPr="00D1707B" w14:paraId="67F4279F" w14:textId="77777777" w:rsidTr="00582303">
        <w:trPr>
          <w:cantSplit/>
          <w:jc w:val="center"/>
        </w:trPr>
        <w:tc>
          <w:tcPr>
            <w:tcW w:w="3870" w:type="dxa"/>
            <w:tcBorders>
              <w:top w:val="nil"/>
              <w:left w:val="nil"/>
              <w:bottom w:val="nil"/>
              <w:right w:val="nil"/>
            </w:tcBorders>
            <w:shd w:val="clear" w:color="auto" w:fill="auto"/>
            <w:tcMar>
              <w:top w:w="14" w:type="dxa"/>
              <w:left w:w="115" w:type="dxa"/>
              <w:bottom w:w="14" w:type="dxa"/>
              <w:right w:w="115" w:type="dxa"/>
            </w:tcMar>
            <w:vAlign w:val="center"/>
            <w:hideMark/>
          </w:tcPr>
          <w:p w14:paraId="2F1491BB" w14:textId="77777777" w:rsidR="00282C85" w:rsidRPr="00D1707B" w:rsidRDefault="00282C85" w:rsidP="00D1707B">
            <w:pPr>
              <w:keepNext/>
              <w:keepLines/>
              <w:suppressLineNumbers/>
              <w:suppressAutoHyphens/>
              <w:spacing w:before="20" w:after="20"/>
              <w:ind w:left="164"/>
              <w:rPr>
                <w:rFonts w:asciiTheme="majorBidi" w:hAnsiTheme="majorBidi"/>
                <w:kern w:val="22"/>
                <w:sz w:val="20"/>
              </w:rPr>
            </w:pPr>
            <w:r>
              <w:rPr>
                <w:rFonts w:asciiTheme="majorBidi" w:hAnsiTheme="majorBidi"/>
                <w:sz w:val="20"/>
              </w:rPr>
              <w:t>D-1</w:t>
            </w:r>
          </w:p>
        </w:tc>
        <w:tc>
          <w:tcPr>
            <w:tcW w:w="2070" w:type="dxa"/>
            <w:tcBorders>
              <w:top w:val="nil"/>
              <w:left w:val="nil"/>
              <w:bottom w:val="nil"/>
              <w:right w:val="nil"/>
            </w:tcBorders>
            <w:shd w:val="clear" w:color="auto" w:fill="auto"/>
          </w:tcPr>
          <w:p w14:paraId="43277CD0"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Pr>
                <w:rFonts w:asciiTheme="majorBidi" w:hAnsiTheme="majorBidi"/>
                <w:sz w:val="20"/>
              </w:rPr>
              <w:t>3</w:t>
            </w:r>
          </w:p>
        </w:tc>
        <w:tc>
          <w:tcPr>
            <w:tcW w:w="2184" w:type="dxa"/>
            <w:tcBorders>
              <w:top w:val="nil"/>
              <w:left w:val="nil"/>
              <w:bottom w:val="nil"/>
              <w:right w:val="nil"/>
            </w:tcBorders>
            <w:tcMar>
              <w:top w:w="14" w:type="dxa"/>
              <w:left w:w="115" w:type="dxa"/>
              <w:bottom w:w="14" w:type="dxa"/>
              <w:right w:w="115" w:type="dxa"/>
            </w:tcMar>
            <w:vAlign w:val="center"/>
            <w:hideMark/>
          </w:tcPr>
          <w:p w14:paraId="5CEC1526"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Pr>
                <w:rFonts w:asciiTheme="majorBidi" w:hAnsiTheme="majorBidi"/>
                <w:sz w:val="20"/>
              </w:rPr>
              <w:t>3</w:t>
            </w:r>
          </w:p>
        </w:tc>
      </w:tr>
      <w:tr w:rsidR="00282C85" w:rsidRPr="00D1707B" w14:paraId="5FAAC6AE" w14:textId="77777777" w:rsidTr="00582303">
        <w:trPr>
          <w:cantSplit/>
          <w:jc w:val="center"/>
        </w:trPr>
        <w:tc>
          <w:tcPr>
            <w:tcW w:w="3870" w:type="dxa"/>
            <w:tcBorders>
              <w:top w:val="nil"/>
              <w:left w:val="nil"/>
              <w:bottom w:val="nil"/>
              <w:right w:val="nil"/>
            </w:tcBorders>
            <w:shd w:val="clear" w:color="auto" w:fill="auto"/>
            <w:tcMar>
              <w:top w:w="14" w:type="dxa"/>
              <w:left w:w="115" w:type="dxa"/>
              <w:bottom w:w="14" w:type="dxa"/>
              <w:right w:w="115" w:type="dxa"/>
            </w:tcMar>
            <w:vAlign w:val="center"/>
            <w:hideMark/>
          </w:tcPr>
          <w:p w14:paraId="1CA0F048" w14:textId="77777777" w:rsidR="00282C85" w:rsidRPr="00D1707B" w:rsidRDefault="00282C85" w:rsidP="00D1707B">
            <w:pPr>
              <w:keepNext/>
              <w:keepLines/>
              <w:suppressLineNumbers/>
              <w:suppressAutoHyphens/>
              <w:spacing w:before="20" w:after="20"/>
              <w:ind w:left="164"/>
              <w:rPr>
                <w:rFonts w:asciiTheme="majorBidi" w:hAnsiTheme="majorBidi"/>
                <w:kern w:val="22"/>
                <w:sz w:val="20"/>
              </w:rPr>
            </w:pPr>
            <w:r>
              <w:rPr>
                <w:rFonts w:asciiTheme="majorBidi" w:hAnsiTheme="majorBidi"/>
                <w:sz w:val="20"/>
              </w:rPr>
              <w:t>P-5</w:t>
            </w:r>
          </w:p>
        </w:tc>
        <w:tc>
          <w:tcPr>
            <w:tcW w:w="2070" w:type="dxa"/>
            <w:tcBorders>
              <w:top w:val="nil"/>
              <w:left w:val="nil"/>
              <w:bottom w:val="nil"/>
              <w:right w:val="nil"/>
            </w:tcBorders>
            <w:shd w:val="clear" w:color="auto" w:fill="auto"/>
          </w:tcPr>
          <w:p w14:paraId="652EB4C0"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Pr>
                <w:rFonts w:asciiTheme="majorBidi" w:hAnsiTheme="majorBidi"/>
                <w:sz w:val="20"/>
              </w:rPr>
              <w:t>10</w:t>
            </w:r>
          </w:p>
        </w:tc>
        <w:tc>
          <w:tcPr>
            <w:tcW w:w="2184" w:type="dxa"/>
            <w:tcBorders>
              <w:top w:val="nil"/>
              <w:left w:val="nil"/>
              <w:bottom w:val="nil"/>
              <w:right w:val="nil"/>
            </w:tcBorders>
            <w:tcMar>
              <w:top w:w="14" w:type="dxa"/>
              <w:left w:w="115" w:type="dxa"/>
              <w:bottom w:w="14" w:type="dxa"/>
              <w:right w:w="115" w:type="dxa"/>
            </w:tcMar>
            <w:vAlign w:val="center"/>
            <w:hideMark/>
          </w:tcPr>
          <w:p w14:paraId="4BD9053D"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Pr>
                <w:rFonts w:asciiTheme="majorBidi" w:hAnsiTheme="majorBidi"/>
                <w:sz w:val="20"/>
              </w:rPr>
              <w:t>10</w:t>
            </w:r>
          </w:p>
        </w:tc>
      </w:tr>
      <w:tr w:rsidR="00282C85" w:rsidRPr="00D1707B" w14:paraId="7452EBBD" w14:textId="77777777" w:rsidTr="00582303">
        <w:trPr>
          <w:cantSplit/>
          <w:jc w:val="center"/>
        </w:trPr>
        <w:tc>
          <w:tcPr>
            <w:tcW w:w="3870" w:type="dxa"/>
            <w:tcBorders>
              <w:top w:val="nil"/>
              <w:left w:val="nil"/>
              <w:bottom w:val="nil"/>
              <w:right w:val="nil"/>
            </w:tcBorders>
            <w:shd w:val="clear" w:color="auto" w:fill="auto"/>
            <w:tcMar>
              <w:top w:w="14" w:type="dxa"/>
              <w:left w:w="115" w:type="dxa"/>
              <w:bottom w:w="14" w:type="dxa"/>
              <w:right w:w="115" w:type="dxa"/>
            </w:tcMar>
            <w:vAlign w:val="center"/>
            <w:hideMark/>
          </w:tcPr>
          <w:p w14:paraId="3594F307" w14:textId="77777777" w:rsidR="00282C85" w:rsidRPr="00D1707B" w:rsidRDefault="00282C85" w:rsidP="00D1707B">
            <w:pPr>
              <w:keepNext/>
              <w:keepLines/>
              <w:suppressLineNumbers/>
              <w:suppressAutoHyphens/>
              <w:spacing w:before="20" w:after="20"/>
              <w:ind w:left="164"/>
              <w:rPr>
                <w:rFonts w:asciiTheme="majorBidi" w:hAnsiTheme="majorBidi"/>
                <w:kern w:val="22"/>
                <w:sz w:val="20"/>
              </w:rPr>
            </w:pPr>
            <w:r>
              <w:rPr>
                <w:rFonts w:asciiTheme="majorBidi" w:hAnsiTheme="majorBidi"/>
                <w:sz w:val="20"/>
              </w:rPr>
              <w:t>P-4</w:t>
            </w:r>
          </w:p>
        </w:tc>
        <w:tc>
          <w:tcPr>
            <w:tcW w:w="2070" w:type="dxa"/>
            <w:tcBorders>
              <w:top w:val="nil"/>
              <w:left w:val="nil"/>
              <w:bottom w:val="nil"/>
              <w:right w:val="nil"/>
            </w:tcBorders>
            <w:shd w:val="clear" w:color="auto" w:fill="auto"/>
          </w:tcPr>
          <w:p w14:paraId="2E3C2A03"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Pr>
                <w:rFonts w:asciiTheme="majorBidi" w:hAnsiTheme="majorBidi"/>
                <w:sz w:val="20"/>
              </w:rPr>
              <w:t>14</w:t>
            </w:r>
          </w:p>
        </w:tc>
        <w:tc>
          <w:tcPr>
            <w:tcW w:w="2184" w:type="dxa"/>
            <w:tcBorders>
              <w:top w:val="nil"/>
              <w:left w:val="nil"/>
              <w:bottom w:val="nil"/>
              <w:right w:val="nil"/>
            </w:tcBorders>
            <w:tcMar>
              <w:top w:w="14" w:type="dxa"/>
              <w:left w:w="115" w:type="dxa"/>
              <w:bottom w:w="14" w:type="dxa"/>
              <w:right w:w="115" w:type="dxa"/>
            </w:tcMar>
            <w:vAlign w:val="center"/>
            <w:hideMark/>
          </w:tcPr>
          <w:p w14:paraId="55248018"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Pr>
                <w:rFonts w:asciiTheme="majorBidi" w:hAnsiTheme="majorBidi"/>
                <w:sz w:val="20"/>
              </w:rPr>
              <w:t>16</w:t>
            </w:r>
          </w:p>
        </w:tc>
      </w:tr>
      <w:tr w:rsidR="00282C85" w:rsidRPr="00D1707B" w14:paraId="0C1DB9E9" w14:textId="77777777" w:rsidTr="00582303">
        <w:trPr>
          <w:cantSplit/>
          <w:jc w:val="center"/>
        </w:trPr>
        <w:tc>
          <w:tcPr>
            <w:tcW w:w="3870" w:type="dxa"/>
            <w:tcBorders>
              <w:top w:val="nil"/>
              <w:left w:val="nil"/>
              <w:bottom w:val="nil"/>
              <w:right w:val="nil"/>
            </w:tcBorders>
            <w:shd w:val="clear" w:color="auto" w:fill="auto"/>
            <w:tcMar>
              <w:top w:w="14" w:type="dxa"/>
              <w:left w:w="115" w:type="dxa"/>
              <w:bottom w:w="14" w:type="dxa"/>
              <w:right w:w="115" w:type="dxa"/>
            </w:tcMar>
            <w:vAlign w:val="center"/>
            <w:hideMark/>
          </w:tcPr>
          <w:p w14:paraId="2C2A9564" w14:textId="77777777" w:rsidR="00282C85" w:rsidRPr="00D1707B" w:rsidRDefault="00282C85" w:rsidP="00D1707B">
            <w:pPr>
              <w:keepNext/>
              <w:keepLines/>
              <w:suppressLineNumbers/>
              <w:suppressAutoHyphens/>
              <w:spacing w:before="20" w:after="20"/>
              <w:ind w:left="164"/>
              <w:rPr>
                <w:rFonts w:asciiTheme="majorBidi" w:hAnsiTheme="majorBidi"/>
                <w:kern w:val="22"/>
                <w:sz w:val="20"/>
              </w:rPr>
            </w:pPr>
            <w:r>
              <w:rPr>
                <w:rFonts w:asciiTheme="majorBidi" w:hAnsiTheme="majorBidi"/>
                <w:sz w:val="20"/>
              </w:rPr>
              <w:t>P-3</w:t>
            </w:r>
          </w:p>
        </w:tc>
        <w:tc>
          <w:tcPr>
            <w:tcW w:w="2070" w:type="dxa"/>
            <w:tcBorders>
              <w:top w:val="nil"/>
              <w:left w:val="nil"/>
              <w:bottom w:val="nil"/>
              <w:right w:val="nil"/>
            </w:tcBorders>
            <w:shd w:val="clear" w:color="auto" w:fill="auto"/>
          </w:tcPr>
          <w:p w14:paraId="78B1EE2C"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Pr>
                <w:rFonts w:asciiTheme="majorBidi" w:hAnsiTheme="majorBidi"/>
                <w:sz w:val="20"/>
              </w:rPr>
              <w:t>15</w:t>
            </w:r>
          </w:p>
        </w:tc>
        <w:tc>
          <w:tcPr>
            <w:tcW w:w="2184" w:type="dxa"/>
            <w:tcBorders>
              <w:top w:val="nil"/>
              <w:left w:val="nil"/>
              <w:bottom w:val="nil"/>
              <w:right w:val="nil"/>
            </w:tcBorders>
            <w:tcMar>
              <w:top w:w="14" w:type="dxa"/>
              <w:left w:w="115" w:type="dxa"/>
              <w:bottom w:w="14" w:type="dxa"/>
              <w:right w:w="115" w:type="dxa"/>
            </w:tcMar>
            <w:vAlign w:val="center"/>
            <w:hideMark/>
          </w:tcPr>
          <w:p w14:paraId="5D0B0DD0"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Pr>
                <w:rFonts w:asciiTheme="majorBidi" w:hAnsiTheme="majorBidi"/>
                <w:sz w:val="20"/>
              </w:rPr>
              <w:t>16</w:t>
            </w:r>
          </w:p>
        </w:tc>
      </w:tr>
      <w:tr w:rsidR="00282C85" w:rsidRPr="00D1707B" w14:paraId="16E89785" w14:textId="77777777" w:rsidTr="00582303">
        <w:trPr>
          <w:cantSplit/>
          <w:jc w:val="center"/>
        </w:trPr>
        <w:tc>
          <w:tcPr>
            <w:tcW w:w="3870" w:type="dxa"/>
            <w:tcBorders>
              <w:top w:val="nil"/>
              <w:left w:val="nil"/>
              <w:bottom w:val="nil"/>
              <w:right w:val="nil"/>
            </w:tcBorders>
            <w:shd w:val="clear" w:color="auto" w:fill="auto"/>
            <w:tcMar>
              <w:top w:w="14" w:type="dxa"/>
              <w:left w:w="115" w:type="dxa"/>
              <w:bottom w:w="14" w:type="dxa"/>
              <w:right w:w="115" w:type="dxa"/>
            </w:tcMar>
            <w:vAlign w:val="center"/>
            <w:hideMark/>
          </w:tcPr>
          <w:p w14:paraId="6B71CED9" w14:textId="77777777" w:rsidR="00282C85" w:rsidRPr="00D1707B" w:rsidRDefault="00282C85" w:rsidP="00D1707B">
            <w:pPr>
              <w:keepNext/>
              <w:keepLines/>
              <w:suppressLineNumbers/>
              <w:suppressAutoHyphens/>
              <w:spacing w:before="20" w:after="20"/>
              <w:ind w:left="164"/>
              <w:rPr>
                <w:rFonts w:asciiTheme="majorBidi" w:hAnsiTheme="majorBidi"/>
                <w:kern w:val="22"/>
                <w:sz w:val="20"/>
              </w:rPr>
            </w:pPr>
            <w:r>
              <w:rPr>
                <w:rFonts w:asciiTheme="majorBidi" w:hAnsiTheme="majorBidi"/>
                <w:sz w:val="20"/>
              </w:rPr>
              <w:t>P-2/1</w:t>
            </w:r>
          </w:p>
        </w:tc>
        <w:tc>
          <w:tcPr>
            <w:tcW w:w="2070" w:type="dxa"/>
            <w:tcBorders>
              <w:top w:val="nil"/>
              <w:left w:val="nil"/>
              <w:bottom w:val="nil"/>
              <w:right w:val="nil"/>
            </w:tcBorders>
            <w:shd w:val="clear" w:color="auto" w:fill="auto"/>
          </w:tcPr>
          <w:p w14:paraId="0819454F"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Pr>
                <w:rFonts w:asciiTheme="majorBidi" w:hAnsiTheme="majorBidi"/>
                <w:sz w:val="20"/>
              </w:rPr>
              <w:t>10</w:t>
            </w:r>
          </w:p>
        </w:tc>
        <w:tc>
          <w:tcPr>
            <w:tcW w:w="2184" w:type="dxa"/>
            <w:tcBorders>
              <w:top w:val="nil"/>
              <w:left w:val="nil"/>
              <w:bottom w:val="nil"/>
              <w:right w:val="nil"/>
            </w:tcBorders>
            <w:tcMar>
              <w:top w:w="14" w:type="dxa"/>
              <w:left w:w="115" w:type="dxa"/>
              <w:bottom w:w="14" w:type="dxa"/>
              <w:right w:w="115" w:type="dxa"/>
            </w:tcMar>
            <w:vAlign w:val="center"/>
            <w:hideMark/>
          </w:tcPr>
          <w:p w14:paraId="4C849F85"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Pr>
                <w:rFonts w:asciiTheme="majorBidi" w:hAnsiTheme="majorBidi"/>
                <w:sz w:val="20"/>
              </w:rPr>
              <w:t>10</w:t>
            </w:r>
          </w:p>
        </w:tc>
      </w:tr>
      <w:tr w:rsidR="00282C85" w:rsidRPr="00D1707B" w14:paraId="62DB91FA" w14:textId="77777777" w:rsidTr="00582303">
        <w:trPr>
          <w:cantSplit/>
          <w:jc w:val="center"/>
        </w:trPr>
        <w:tc>
          <w:tcPr>
            <w:tcW w:w="3870"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740999DD" w14:textId="77777777" w:rsidR="00282C85" w:rsidRPr="00D1707B" w:rsidRDefault="00282C85" w:rsidP="00D1707B">
            <w:pPr>
              <w:keepNext/>
              <w:keepLines/>
              <w:suppressLineNumbers/>
              <w:suppressAutoHyphens/>
              <w:spacing w:before="20" w:after="20"/>
              <w:ind w:left="318"/>
              <w:rPr>
                <w:rFonts w:asciiTheme="majorBidi" w:hAnsiTheme="majorBidi"/>
                <w:b/>
                <w:kern w:val="22"/>
                <w:sz w:val="20"/>
              </w:rPr>
            </w:pPr>
            <w:r>
              <w:rPr>
                <w:rFonts w:asciiTheme="majorBidi" w:hAnsiTheme="majorBidi"/>
                <w:b/>
                <w:sz w:val="20"/>
              </w:rPr>
              <w:t>Subtotal</w:t>
            </w:r>
          </w:p>
        </w:tc>
        <w:tc>
          <w:tcPr>
            <w:tcW w:w="2070" w:type="dxa"/>
            <w:tcBorders>
              <w:top w:val="single" w:sz="8" w:space="0" w:color="auto"/>
              <w:left w:val="nil"/>
              <w:bottom w:val="single" w:sz="8" w:space="0" w:color="auto"/>
              <w:right w:val="nil"/>
            </w:tcBorders>
            <w:shd w:val="clear" w:color="auto" w:fill="auto"/>
          </w:tcPr>
          <w:p w14:paraId="2F60973E"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b/>
                <w:kern w:val="22"/>
                <w:sz w:val="20"/>
              </w:rPr>
            </w:pPr>
            <w:r>
              <w:rPr>
                <w:rFonts w:asciiTheme="majorBidi" w:hAnsiTheme="majorBidi"/>
                <w:b/>
                <w:sz w:val="20"/>
              </w:rPr>
              <w:t>53</w:t>
            </w:r>
          </w:p>
        </w:tc>
        <w:tc>
          <w:tcPr>
            <w:tcW w:w="2184" w:type="dxa"/>
            <w:tcBorders>
              <w:top w:val="single" w:sz="8" w:space="0" w:color="auto"/>
              <w:left w:val="nil"/>
              <w:bottom w:val="single" w:sz="8" w:space="0" w:color="auto"/>
              <w:right w:val="nil"/>
            </w:tcBorders>
            <w:tcMar>
              <w:top w:w="14" w:type="dxa"/>
              <w:left w:w="115" w:type="dxa"/>
              <w:bottom w:w="14" w:type="dxa"/>
              <w:right w:w="115" w:type="dxa"/>
            </w:tcMar>
            <w:vAlign w:val="center"/>
            <w:hideMark/>
          </w:tcPr>
          <w:p w14:paraId="2796E4FD"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b/>
                <w:kern w:val="22"/>
                <w:sz w:val="20"/>
              </w:rPr>
            </w:pPr>
            <w:r>
              <w:rPr>
                <w:rFonts w:asciiTheme="majorBidi" w:hAnsiTheme="majorBidi"/>
                <w:b/>
                <w:sz w:val="20"/>
              </w:rPr>
              <w:t>56</w:t>
            </w:r>
          </w:p>
        </w:tc>
      </w:tr>
      <w:tr w:rsidR="00282C85" w:rsidRPr="00D1707B" w14:paraId="0948AB0A" w14:textId="77777777" w:rsidTr="00582303">
        <w:trPr>
          <w:cantSplit/>
          <w:jc w:val="center"/>
        </w:trPr>
        <w:tc>
          <w:tcPr>
            <w:tcW w:w="3870"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1C7C1C62" w14:textId="77777777" w:rsidR="00282C85" w:rsidRPr="00D1707B" w:rsidRDefault="00282C85" w:rsidP="00D1707B">
            <w:pPr>
              <w:keepNext/>
              <w:keepLines/>
              <w:suppressLineNumbers/>
              <w:suppressAutoHyphens/>
              <w:spacing w:before="20" w:after="20"/>
              <w:rPr>
                <w:rFonts w:asciiTheme="majorBidi" w:hAnsiTheme="majorBidi"/>
                <w:kern w:val="22"/>
                <w:sz w:val="20"/>
              </w:rPr>
            </w:pPr>
            <w:r>
              <w:rPr>
                <w:rFonts w:asciiTheme="majorBidi" w:hAnsiTheme="majorBidi"/>
                <w:sz w:val="20"/>
              </w:rPr>
              <w:t>Cuadro de Servicios Generales</w:t>
            </w:r>
          </w:p>
        </w:tc>
        <w:tc>
          <w:tcPr>
            <w:tcW w:w="2070" w:type="dxa"/>
            <w:tcBorders>
              <w:top w:val="nil"/>
              <w:left w:val="nil"/>
              <w:bottom w:val="single" w:sz="8" w:space="0" w:color="auto"/>
              <w:right w:val="nil"/>
            </w:tcBorders>
            <w:shd w:val="clear" w:color="auto" w:fill="auto"/>
          </w:tcPr>
          <w:p w14:paraId="6059990B"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Pr>
                <w:rFonts w:asciiTheme="majorBidi" w:hAnsiTheme="majorBidi"/>
                <w:sz w:val="20"/>
              </w:rPr>
              <w:t>29</w:t>
            </w:r>
          </w:p>
        </w:tc>
        <w:tc>
          <w:tcPr>
            <w:tcW w:w="2184" w:type="dxa"/>
            <w:tcBorders>
              <w:top w:val="nil"/>
              <w:left w:val="nil"/>
              <w:bottom w:val="single" w:sz="8" w:space="0" w:color="auto"/>
              <w:right w:val="nil"/>
            </w:tcBorders>
            <w:tcMar>
              <w:top w:w="14" w:type="dxa"/>
              <w:left w:w="115" w:type="dxa"/>
              <w:bottom w:w="14" w:type="dxa"/>
              <w:right w:w="115" w:type="dxa"/>
            </w:tcMar>
            <w:vAlign w:val="center"/>
            <w:hideMark/>
          </w:tcPr>
          <w:p w14:paraId="685112BC"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Pr>
                <w:rFonts w:asciiTheme="majorBidi" w:hAnsiTheme="majorBidi"/>
                <w:sz w:val="20"/>
              </w:rPr>
              <w:t>31</w:t>
            </w:r>
          </w:p>
        </w:tc>
      </w:tr>
      <w:tr w:rsidR="009641CA" w:rsidRPr="00D1707B" w14:paraId="0FFE15BF" w14:textId="77777777" w:rsidTr="00E63720">
        <w:trPr>
          <w:cantSplit/>
          <w:jc w:val="center"/>
        </w:trPr>
        <w:tc>
          <w:tcPr>
            <w:tcW w:w="3870" w:type="dxa"/>
            <w:tcBorders>
              <w:top w:val="single" w:sz="8" w:space="0" w:color="auto"/>
              <w:left w:val="nil"/>
              <w:bottom w:val="single" w:sz="4" w:space="0" w:color="auto"/>
              <w:right w:val="nil"/>
            </w:tcBorders>
            <w:shd w:val="clear" w:color="auto" w:fill="auto"/>
            <w:tcMar>
              <w:top w:w="14" w:type="dxa"/>
              <w:left w:w="115" w:type="dxa"/>
              <w:bottom w:w="14" w:type="dxa"/>
              <w:right w:w="115" w:type="dxa"/>
            </w:tcMar>
            <w:vAlign w:val="center"/>
            <w:hideMark/>
          </w:tcPr>
          <w:p w14:paraId="43D651F5" w14:textId="77777777" w:rsidR="00282C85" w:rsidRPr="00D1707B" w:rsidRDefault="00282C85" w:rsidP="00D1707B">
            <w:pPr>
              <w:keepNext/>
              <w:keepLines/>
              <w:suppressLineNumbers/>
              <w:suppressAutoHyphens/>
              <w:spacing w:before="20" w:after="20"/>
              <w:ind w:left="312"/>
              <w:rPr>
                <w:rFonts w:asciiTheme="majorBidi" w:hAnsiTheme="majorBidi"/>
                <w:b/>
                <w:kern w:val="22"/>
                <w:sz w:val="20"/>
              </w:rPr>
            </w:pPr>
            <w:r>
              <w:rPr>
                <w:rFonts w:asciiTheme="majorBidi" w:hAnsiTheme="majorBidi"/>
                <w:b/>
                <w:sz w:val="20"/>
              </w:rPr>
              <w:t>Total</w:t>
            </w:r>
          </w:p>
        </w:tc>
        <w:tc>
          <w:tcPr>
            <w:tcW w:w="2070" w:type="dxa"/>
            <w:tcBorders>
              <w:top w:val="single" w:sz="8" w:space="0" w:color="auto"/>
              <w:left w:val="nil"/>
              <w:bottom w:val="single" w:sz="4" w:space="0" w:color="auto"/>
              <w:right w:val="nil"/>
            </w:tcBorders>
            <w:shd w:val="clear" w:color="auto" w:fill="auto"/>
          </w:tcPr>
          <w:p w14:paraId="10130E1B"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b/>
                <w:kern w:val="22"/>
                <w:sz w:val="20"/>
              </w:rPr>
            </w:pPr>
            <w:r>
              <w:rPr>
                <w:rFonts w:asciiTheme="majorBidi" w:hAnsiTheme="majorBidi"/>
                <w:b/>
                <w:sz w:val="20"/>
              </w:rPr>
              <w:t>82</w:t>
            </w:r>
          </w:p>
        </w:tc>
        <w:tc>
          <w:tcPr>
            <w:tcW w:w="2184" w:type="dxa"/>
            <w:tcBorders>
              <w:top w:val="single" w:sz="8" w:space="0" w:color="auto"/>
              <w:left w:val="nil"/>
              <w:bottom w:val="single" w:sz="4" w:space="0" w:color="auto"/>
              <w:right w:val="nil"/>
            </w:tcBorders>
            <w:tcMar>
              <w:top w:w="14" w:type="dxa"/>
              <w:left w:w="115" w:type="dxa"/>
              <w:bottom w:w="14" w:type="dxa"/>
              <w:right w:w="115" w:type="dxa"/>
            </w:tcMar>
            <w:vAlign w:val="center"/>
            <w:hideMark/>
          </w:tcPr>
          <w:p w14:paraId="4610DD14"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b/>
                <w:kern w:val="22"/>
                <w:sz w:val="20"/>
              </w:rPr>
            </w:pPr>
            <w:r>
              <w:rPr>
                <w:rFonts w:asciiTheme="majorBidi" w:hAnsiTheme="majorBidi"/>
                <w:b/>
                <w:sz w:val="20"/>
              </w:rPr>
              <w:t>87</w:t>
            </w:r>
          </w:p>
        </w:tc>
      </w:tr>
    </w:tbl>
    <w:p w14:paraId="3B0CC1B1" w14:textId="7A8F5CA7" w:rsidR="00330F20" w:rsidRPr="00D1707B" w:rsidRDefault="00954BD0" w:rsidP="00D1707B">
      <w:pPr>
        <w:pStyle w:val="CBDFootnoteText"/>
        <w:tabs>
          <w:tab w:val="clear" w:pos="1134"/>
          <w:tab w:val="left" w:pos="990"/>
        </w:tabs>
        <w:spacing w:before="120"/>
        <w:ind w:left="630"/>
        <w:rPr>
          <w:szCs w:val="18"/>
        </w:rPr>
      </w:pPr>
      <w:r>
        <w:rPr>
          <w:i/>
        </w:rPr>
        <w:tab/>
        <w:t xml:space="preserve">Siglas: </w:t>
      </w:r>
      <w:r>
        <w:t>SSG: Subsecretario General; D: Director; P: Cuadro Orgánico.</w:t>
      </w:r>
    </w:p>
    <w:p w14:paraId="3B178FE0" w14:textId="5AE8DE81" w:rsidR="00282C85" w:rsidRPr="00D1707B" w:rsidRDefault="007A615E" w:rsidP="00D1707B">
      <w:pPr>
        <w:pStyle w:val="CBDFootnoteText"/>
        <w:tabs>
          <w:tab w:val="clear" w:pos="1701"/>
        </w:tabs>
        <w:ind w:left="630" w:firstLine="363"/>
        <w:rPr>
          <w:szCs w:val="18"/>
        </w:rPr>
      </w:pPr>
      <w:r>
        <w:rPr>
          <w:i/>
          <w:vertAlign w:val="superscript"/>
        </w:rPr>
        <w:t>a</w:t>
      </w:r>
      <w:r>
        <w:rPr>
          <w:vertAlign w:val="superscript"/>
        </w:rPr>
        <w:tab/>
      </w:r>
      <w:r>
        <w:t>Nuevos puestos aprobados por la Conferencia de las Partes en su 16ª reunión: un Oficial de Gestión de Programas</w:t>
      </w:r>
      <w:r w:rsidR="0027544B">
        <w:t> </w:t>
      </w:r>
      <w:r>
        <w:t>– Información Digital sobre Secuencias (P</w:t>
      </w:r>
      <w:r>
        <w:rPr>
          <w:vertAlign w:val="subscript"/>
        </w:rPr>
        <w:noBreakHyphen/>
      </w:r>
      <w:r>
        <w:t>4); un Oficial de Gestión de Programas – Pueblos Indígenas y Comunidades Locales y Conocimientos Tradicionales (P-4); un Editor (P-3); y dos Auxiliares de Servicios de Reuniones</w:t>
      </w:r>
      <w:r w:rsidR="00E9728A">
        <w:t> </w:t>
      </w:r>
      <w:r>
        <w:t>(G-6).</w:t>
      </w:r>
    </w:p>
    <w:p w14:paraId="0E111E1F" w14:textId="47998555" w:rsidR="00BC0D70" w:rsidRPr="00D1707B" w:rsidRDefault="00201D78" w:rsidP="00D1707B">
      <w:pPr>
        <w:pStyle w:val="CBDTableTitle"/>
        <w:spacing w:before="240"/>
      </w:pPr>
      <w:r>
        <w:rPr>
          <w:b w:val="0"/>
        </w:rPr>
        <w:t>Cuadro 4</w:t>
      </w:r>
      <w:r>
        <w:rPr>
          <w:b w:val="0"/>
        </w:rPr>
        <w:br/>
      </w:r>
      <w:r>
        <w:t>Necesidades de recursos para el Fondo Fiduciario Voluntario Especial para Actividades Aprobadas Adicionales del Convenio y sus Protocolos, 2025-2026: necesidades de financiación por área temática y componente de gasto</w:t>
      </w:r>
    </w:p>
    <w:p w14:paraId="51E0E1F5" w14:textId="71EBF0AD" w:rsidR="00882529" w:rsidRPr="00D1707B" w:rsidRDefault="00882529" w:rsidP="009A4335">
      <w:pPr>
        <w:keepNext/>
        <w:tabs>
          <w:tab w:val="left" w:pos="1742"/>
          <w:tab w:val="left" w:pos="2693"/>
          <w:tab w:val="left" w:pos="3182"/>
          <w:tab w:val="left" w:pos="3658"/>
          <w:tab w:val="left" w:pos="4133"/>
          <w:tab w:val="left" w:pos="4622"/>
          <w:tab w:val="left" w:pos="5098"/>
          <w:tab w:val="left" w:pos="5573"/>
          <w:tab w:val="left" w:pos="6048"/>
        </w:tabs>
        <w:spacing w:after="60"/>
        <w:ind w:left="567"/>
        <w:jc w:val="left"/>
        <w:outlineLvl w:val="3"/>
        <w:rPr>
          <w:rFonts w:eastAsiaTheme="minorEastAsia"/>
          <w:b/>
          <w:bCs/>
        </w:rPr>
      </w:pPr>
      <w:r>
        <w:rPr>
          <w:sz w:val="18"/>
        </w:rPr>
        <w:t>(En dólares de los EE.UU.)</w:t>
      </w:r>
    </w:p>
    <w:tbl>
      <w:tblPr>
        <w:tblStyle w:val="Tablaconcuadrcula"/>
        <w:tblW w:w="962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1316"/>
        <w:gridCol w:w="1228"/>
        <w:gridCol w:w="1216"/>
        <w:gridCol w:w="1116"/>
      </w:tblGrid>
      <w:tr w:rsidR="0001637A" w:rsidRPr="00D1707B" w14:paraId="25124A3D" w14:textId="77777777" w:rsidTr="0001637A">
        <w:trPr>
          <w:tblHeader/>
        </w:trPr>
        <w:tc>
          <w:tcPr>
            <w:tcW w:w="4756" w:type="dxa"/>
            <w:tcBorders>
              <w:top w:val="single" w:sz="4" w:space="0" w:color="auto"/>
              <w:bottom w:val="single" w:sz="4" w:space="0" w:color="auto"/>
            </w:tcBorders>
            <w:noWrap/>
            <w:vAlign w:val="bottom"/>
            <w:hideMark/>
          </w:tcPr>
          <w:p w14:paraId="41BD41BC" w14:textId="7F9CD22F" w:rsidR="00BC0D70" w:rsidRPr="00D1707B" w:rsidRDefault="00BC0D70" w:rsidP="009A4335">
            <w:pPr>
              <w:spacing w:before="20" w:after="20"/>
              <w:jc w:val="left"/>
              <w:rPr>
                <w:rFonts w:asciiTheme="majorBidi" w:hAnsiTheme="majorBidi" w:cstheme="majorBidi"/>
                <w:i/>
                <w:iCs/>
                <w:sz w:val="20"/>
                <w:szCs w:val="20"/>
              </w:rPr>
            </w:pPr>
            <w:r>
              <w:rPr>
                <w:rFonts w:asciiTheme="majorBidi" w:hAnsiTheme="majorBidi"/>
                <w:i/>
                <w:sz w:val="20"/>
              </w:rPr>
              <w:t>Área temática</w:t>
            </w:r>
          </w:p>
        </w:tc>
        <w:tc>
          <w:tcPr>
            <w:tcW w:w="1316" w:type="dxa"/>
            <w:tcBorders>
              <w:top w:val="single" w:sz="4" w:space="0" w:color="auto"/>
              <w:bottom w:val="single" w:sz="4" w:space="0" w:color="auto"/>
            </w:tcBorders>
            <w:noWrap/>
            <w:vAlign w:val="bottom"/>
            <w:hideMark/>
          </w:tcPr>
          <w:p w14:paraId="148FA529" w14:textId="77777777" w:rsidR="00BC0D70" w:rsidRPr="00D1707B" w:rsidRDefault="00BC0D70" w:rsidP="009A4335">
            <w:pPr>
              <w:spacing w:before="20" w:after="20"/>
              <w:jc w:val="right"/>
              <w:rPr>
                <w:rFonts w:asciiTheme="majorBidi" w:hAnsiTheme="majorBidi" w:cstheme="majorBidi"/>
                <w:i/>
                <w:iCs/>
                <w:sz w:val="20"/>
                <w:szCs w:val="20"/>
              </w:rPr>
            </w:pPr>
            <w:r>
              <w:rPr>
                <w:rFonts w:asciiTheme="majorBidi" w:hAnsiTheme="majorBidi"/>
                <w:i/>
                <w:sz w:val="20"/>
              </w:rPr>
              <w:t>Costos de reuniones</w:t>
            </w:r>
          </w:p>
        </w:tc>
        <w:tc>
          <w:tcPr>
            <w:tcW w:w="1216" w:type="dxa"/>
            <w:tcBorders>
              <w:top w:val="single" w:sz="4" w:space="0" w:color="auto"/>
              <w:bottom w:val="single" w:sz="4" w:space="0" w:color="auto"/>
            </w:tcBorders>
            <w:noWrap/>
            <w:vAlign w:val="bottom"/>
            <w:hideMark/>
          </w:tcPr>
          <w:p w14:paraId="65BFE3E5" w14:textId="3E383F2C" w:rsidR="00BC0D70" w:rsidRPr="00D1707B" w:rsidRDefault="00BC0D70" w:rsidP="009A4335">
            <w:pPr>
              <w:spacing w:before="20" w:after="20"/>
              <w:jc w:val="right"/>
              <w:rPr>
                <w:rFonts w:asciiTheme="majorBidi" w:hAnsiTheme="majorBidi" w:cstheme="majorBidi"/>
                <w:i/>
                <w:iCs/>
                <w:sz w:val="20"/>
                <w:szCs w:val="20"/>
              </w:rPr>
            </w:pPr>
            <w:r>
              <w:rPr>
                <w:rFonts w:asciiTheme="majorBidi" w:hAnsiTheme="majorBidi"/>
                <w:i/>
                <w:sz w:val="20"/>
              </w:rPr>
              <w:t>Viajes de funcionarios</w:t>
            </w:r>
          </w:p>
        </w:tc>
        <w:tc>
          <w:tcPr>
            <w:tcW w:w="1216" w:type="dxa"/>
            <w:tcBorders>
              <w:top w:val="single" w:sz="4" w:space="0" w:color="auto"/>
              <w:bottom w:val="single" w:sz="4" w:space="0" w:color="auto"/>
            </w:tcBorders>
            <w:noWrap/>
            <w:vAlign w:val="bottom"/>
            <w:hideMark/>
          </w:tcPr>
          <w:p w14:paraId="0D96A568" w14:textId="77777777" w:rsidR="00BC0D70" w:rsidRPr="00D1707B" w:rsidRDefault="00BC0D70" w:rsidP="009A4335">
            <w:pPr>
              <w:spacing w:before="20" w:after="20"/>
              <w:jc w:val="right"/>
              <w:rPr>
                <w:rFonts w:asciiTheme="majorBidi" w:hAnsiTheme="majorBidi" w:cstheme="majorBidi"/>
                <w:i/>
                <w:iCs/>
                <w:sz w:val="20"/>
                <w:szCs w:val="20"/>
              </w:rPr>
            </w:pPr>
            <w:r>
              <w:rPr>
                <w:rFonts w:asciiTheme="majorBidi" w:hAnsiTheme="majorBidi"/>
                <w:i/>
                <w:sz w:val="20"/>
              </w:rPr>
              <w:t>Consultores</w:t>
            </w:r>
          </w:p>
        </w:tc>
        <w:tc>
          <w:tcPr>
            <w:tcW w:w="1116" w:type="dxa"/>
            <w:tcBorders>
              <w:top w:val="single" w:sz="4" w:space="0" w:color="auto"/>
              <w:bottom w:val="single" w:sz="4" w:space="0" w:color="auto"/>
            </w:tcBorders>
            <w:noWrap/>
            <w:vAlign w:val="bottom"/>
            <w:hideMark/>
          </w:tcPr>
          <w:p w14:paraId="675438C2" w14:textId="77777777" w:rsidR="00BC0D70" w:rsidRPr="00D1707B" w:rsidRDefault="00BC0D70" w:rsidP="009A4335">
            <w:pPr>
              <w:spacing w:before="20" w:after="20"/>
              <w:jc w:val="right"/>
              <w:rPr>
                <w:rFonts w:asciiTheme="majorBidi" w:hAnsiTheme="majorBidi" w:cstheme="majorBidi"/>
                <w:i/>
                <w:iCs/>
                <w:sz w:val="20"/>
                <w:szCs w:val="20"/>
              </w:rPr>
            </w:pPr>
            <w:r>
              <w:rPr>
                <w:rFonts w:asciiTheme="majorBidi" w:hAnsiTheme="majorBidi"/>
                <w:i/>
                <w:sz w:val="20"/>
              </w:rPr>
              <w:t>Total</w:t>
            </w:r>
          </w:p>
        </w:tc>
      </w:tr>
      <w:tr w:rsidR="00A860D5" w:rsidRPr="00D1707B" w14:paraId="02C5AAD7" w14:textId="77777777" w:rsidTr="009A4335">
        <w:tc>
          <w:tcPr>
            <w:tcW w:w="9620" w:type="dxa"/>
            <w:gridSpan w:val="5"/>
            <w:tcBorders>
              <w:top w:val="single" w:sz="4" w:space="0" w:color="auto"/>
              <w:bottom w:val="single" w:sz="4" w:space="0" w:color="auto"/>
            </w:tcBorders>
            <w:noWrap/>
            <w:vAlign w:val="bottom"/>
            <w:hideMark/>
          </w:tcPr>
          <w:p w14:paraId="49B6BEE1"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b/>
                <w:sz w:val="20"/>
              </w:rPr>
              <w:t>A. Convenio sobre la Diversidad Biológica</w:t>
            </w:r>
          </w:p>
        </w:tc>
      </w:tr>
      <w:tr w:rsidR="0001637A" w:rsidRPr="00D1707B" w14:paraId="33D07BD9" w14:textId="77777777" w:rsidTr="0001637A">
        <w:tc>
          <w:tcPr>
            <w:tcW w:w="4756" w:type="dxa"/>
            <w:tcBorders>
              <w:top w:val="single" w:sz="4" w:space="0" w:color="auto"/>
            </w:tcBorders>
            <w:noWrap/>
            <w:vAlign w:val="bottom"/>
            <w:hideMark/>
          </w:tcPr>
          <w:p w14:paraId="74379933" w14:textId="67A950CF"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Información digital sobre secuencias de recursos genéticos</w:t>
            </w:r>
          </w:p>
        </w:tc>
        <w:tc>
          <w:tcPr>
            <w:tcW w:w="1316" w:type="dxa"/>
            <w:tcBorders>
              <w:top w:val="single" w:sz="4" w:space="0" w:color="auto"/>
            </w:tcBorders>
            <w:noWrap/>
            <w:vAlign w:val="bottom"/>
            <w:hideMark/>
          </w:tcPr>
          <w:p w14:paraId="13FD21FC"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317 600</w:t>
            </w:r>
          </w:p>
        </w:tc>
        <w:tc>
          <w:tcPr>
            <w:tcW w:w="1216" w:type="dxa"/>
            <w:tcBorders>
              <w:top w:val="single" w:sz="4" w:space="0" w:color="auto"/>
            </w:tcBorders>
            <w:noWrap/>
            <w:vAlign w:val="bottom"/>
            <w:hideMark/>
          </w:tcPr>
          <w:p w14:paraId="710D6CAD"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66 500</w:t>
            </w:r>
          </w:p>
        </w:tc>
        <w:tc>
          <w:tcPr>
            <w:tcW w:w="1216" w:type="dxa"/>
            <w:tcBorders>
              <w:top w:val="single" w:sz="4" w:space="0" w:color="auto"/>
            </w:tcBorders>
            <w:noWrap/>
            <w:vAlign w:val="bottom"/>
            <w:hideMark/>
          </w:tcPr>
          <w:p w14:paraId="2B0F2887"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450 000</w:t>
            </w:r>
          </w:p>
        </w:tc>
        <w:tc>
          <w:tcPr>
            <w:tcW w:w="1116" w:type="dxa"/>
            <w:tcBorders>
              <w:top w:val="single" w:sz="4" w:space="0" w:color="auto"/>
            </w:tcBorders>
            <w:noWrap/>
            <w:vAlign w:val="bottom"/>
            <w:hideMark/>
          </w:tcPr>
          <w:p w14:paraId="7F928A4C"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834 100</w:t>
            </w:r>
          </w:p>
        </w:tc>
      </w:tr>
      <w:tr w:rsidR="0001637A" w:rsidRPr="00D1707B" w14:paraId="0BFDCAD5" w14:textId="77777777" w:rsidTr="0001637A">
        <w:tc>
          <w:tcPr>
            <w:tcW w:w="4756" w:type="dxa"/>
            <w:vAlign w:val="bottom"/>
            <w:hideMark/>
          </w:tcPr>
          <w:p w14:paraId="602BFF95"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Creación y desarrollo de capacidad, cooperación científica y técnica y transferencia de tecnología</w:t>
            </w:r>
          </w:p>
        </w:tc>
        <w:tc>
          <w:tcPr>
            <w:tcW w:w="1316" w:type="dxa"/>
            <w:noWrap/>
            <w:vAlign w:val="bottom"/>
            <w:hideMark/>
          </w:tcPr>
          <w:p w14:paraId="12F8E979"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608 050</w:t>
            </w:r>
          </w:p>
        </w:tc>
        <w:tc>
          <w:tcPr>
            <w:tcW w:w="1216" w:type="dxa"/>
            <w:noWrap/>
            <w:vAlign w:val="bottom"/>
            <w:hideMark/>
          </w:tcPr>
          <w:p w14:paraId="72218179"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185 750</w:t>
            </w:r>
          </w:p>
        </w:tc>
        <w:tc>
          <w:tcPr>
            <w:tcW w:w="1216" w:type="dxa"/>
            <w:noWrap/>
            <w:vAlign w:val="bottom"/>
            <w:hideMark/>
          </w:tcPr>
          <w:p w14:paraId="0A70F9D8"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486 000</w:t>
            </w:r>
          </w:p>
        </w:tc>
        <w:tc>
          <w:tcPr>
            <w:tcW w:w="1116" w:type="dxa"/>
            <w:noWrap/>
            <w:vAlign w:val="bottom"/>
            <w:hideMark/>
          </w:tcPr>
          <w:p w14:paraId="2B2D82C0"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1 279 800</w:t>
            </w:r>
          </w:p>
        </w:tc>
      </w:tr>
      <w:tr w:rsidR="0001637A" w:rsidRPr="00D1707B" w14:paraId="40E31990" w14:textId="77777777" w:rsidTr="0001637A">
        <w:tc>
          <w:tcPr>
            <w:tcW w:w="4756" w:type="dxa"/>
            <w:vAlign w:val="bottom"/>
            <w:hideMark/>
          </w:tcPr>
          <w:p w14:paraId="225B0102" w14:textId="430E7FB8" w:rsidR="00BC0D70" w:rsidRPr="00D1707B" w:rsidRDefault="00CD5738" w:rsidP="009A4335">
            <w:pPr>
              <w:spacing w:before="20" w:after="20"/>
              <w:jc w:val="left"/>
              <w:rPr>
                <w:rFonts w:asciiTheme="majorBidi" w:hAnsiTheme="majorBidi" w:cstheme="majorBidi"/>
                <w:strike/>
                <w:sz w:val="20"/>
                <w:szCs w:val="20"/>
              </w:rPr>
            </w:pPr>
            <w:r>
              <w:rPr>
                <w:rFonts w:asciiTheme="majorBidi" w:hAnsiTheme="majorBidi"/>
                <w:sz w:val="20"/>
              </w:rPr>
              <w:t>Programa de trabajo hasta 2030 sobre el artículo 8 j) y otras disposiciones del Convenio sobre la Diversidad Biológica relativas a los pueblos indígenas y las comunidades locales</w:t>
            </w:r>
          </w:p>
        </w:tc>
        <w:tc>
          <w:tcPr>
            <w:tcW w:w="1316" w:type="dxa"/>
            <w:noWrap/>
            <w:vAlign w:val="bottom"/>
            <w:hideMark/>
          </w:tcPr>
          <w:p w14:paraId="184262F9"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431 950</w:t>
            </w:r>
          </w:p>
        </w:tc>
        <w:tc>
          <w:tcPr>
            <w:tcW w:w="1216" w:type="dxa"/>
            <w:noWrap/>
            <w:vAlign w:val="bottom"/>
            <w:hideMark/>
          </w:tcPr>
          <w:p w14:paraId="45DBBB9B"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149 000</w:t>
            </w:r>
          </w:p>
        </w:tc>
        <w:tc>
          <w:tcPr>
            <w:tcW w:w="1216" w:type="dxa"/>
            <w:noWrap/>
            <w:vAlign w:val="bottom"/>
            <w:hideMark/>
          </w:tcPr>
          <w:p w14:paraId="19B8F849"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216 000</w:t>
            </w:r>
          </w:p>
        </w:tc>
        <w:tc>
          <w:tcPr>
            <w:tcW w:w="1116" w:type="dxa"/>
            <w:noWrap/>
            <w:vAlign w:val="bottom"/>
            <w:hideMark/>
          </w:tcPr>
          <w:p w14:paraId="6819CD3A"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796 950</w:t>
            </w:r>
          </w:p>
        </w:tc>
      </w:tr>
      <w:tr w:rsidR="0001637A" w:rsidRPr="00D1707B" w14:paraId="1BA5A6A4" w14:textId="77777777" w:rsidTr="0001637A">
        <w:tc>
          <w:tcPr>
            <w:tcW w:w="4756" w:type="dxa"/>
            <w:noWrap/>
            <w:vAlign w:val="bottom"/>
            <w:hideMark/>
          </w:tcPr>
          <w:p w14:paraId="63588DF0"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Mecanismo de facilitación y gestión de conocimientos</w:t>
            </w:r>
          </w:p>
        </w:tc>
        <w:tc>
          <w:tcPr>
            <w:tcW w:w="1316" w:type="dxa"/>
            <w:noWrap/>
            <w:vAlign w:val="bottom"/>
            <w:hideMark/>
          </w:tcPr>
          <w:p w14:paraId="574A2E37"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1 778 950</w:t>
            </w:r>
          </w:p>
        </w:tc>
        <w:tc>
          <w:tcPr>
            <w:tcW w:w="1216" w:type="dxa"/>
            <w:noWrap/>
            <w:vAlign w:val="bottom"/>
            <w:hideMark/>
          </w:tcPr>
          <w:p w14:paraId="53DBE1C0"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210 500</w:t>
            </w:r>
          </w:p>
        </w:tc>
        <w:tc>
          <w:tcPr>
            <w:tcW w:w="1216" w:type="dxa"/>
            <w:noWrap/>
            <w:vAlign w:val="bottom"/>
            <w:hideMark/>
          </w:tcPr>
          <w:p w14:paraId="35706090"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1 296 000</w:t>
            </w:r>
          </w:p>
        </w:tc>
        <w:tc>
          <w:tcPr>
            <w:tcW w:w="1116" w:type="dxa"/>
            <w:noWrap/>
            <w:vAlign w:val="bottom"/>
            <w:hideMark/>
          </w:tcPr>
          <w:p w14:paraId="333537AD"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3 285 450</w:t>
            </w:r>
          </w:p>
        </w:tc>
      </w:tr>
      <w:tr w:rsidR="0001637A" w:rsidRPr="00D1707B" w14:paraId="5C8EFAAC" w14:textId="77777777" w:rsidTr="0001637A">
        <w:tc>
          <w:tcPr>
            <w:tcW w:w="4756" w:type="dxa"/>
            <w:noWrap/>
            <w:vAlign w:val="bottom"/>
            <w:hideMark/>
          </w:tcPr>
          <w:p w14:paraId="3CF69D4C"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Comunicación, educación y conciencia pública</w:t>
            </w:r>
          </w:p>
        </w:tc>
        <w:tc>
          <w:tcPr>
            <w:tcW w:w="1316" w:type="dxa"/>
            <w:noWrap/>
            <w:vAlign w:val="bottom"/>
            <w:hideMark/>
          </w:tcPr>
          <w:p w14:paraId="5BFD3D88"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311 300</w:t>
            </w:r>
          </w:p>
        </w:tc>
        <w:tc>
          <w:tcPr>
            <w:tcW w:w="1216" w:type="dxa"/>
            <w:noWrap/>
            <w:vAlign w:val="bottom"/>
            <w:hideMark/>
          </w:tcPr>
          <w:p w14:paraId="1D2E6AD7"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59 750</w:t>
            </w:r>
          </w:p>
        </w:tc>
        <w:tc>
          <w:tcPr>
            <w:tcW w:w="1216" w:type="dxa"/>
            <w:noWrap/>
            <w:vAlign w:val="bottom"/>
            <w:hideMark/>
          </w:tcPr>
          <w:p w14:paraId="18C58B2E"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522 500</w:t>
            </w:r>
          </w:p>
        </w:tc>
        <w:tc>
          <w:tcPr>
            <w:tcW w:w="1116" w:type="dxa"/>
            <w:noWrap/>
            <w:vAlign w:val="bottom"/>
            <w:hideMark/>
          </w:tcPr>
          <w:p w14:paraId="6D792BB7"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893 550</w:t>
            </w:r>
          </w:p>
        </w:tc>
      </w:tr>
      <w:tr w:rsidR="0001637A" w:rsidRPr="00D1707B" w14:paraId="46AD0392" w14:textId="77777777" w:rsidTr="0001637A">
        <w:tc>
          <w:tcPr>
            <w:tcW w:w="4756" w:type="dxa"/>
            <w:vAlign w:val="bottom"/>
            <w:hideMark/>
          </w:tcPr>
          <w:p w14:paraId="7433879A"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Cuestiones relacionadas con el programa de trabajo de la Plataforma Intergubernamental Científico-Normativa sobre Diversidad Biológica y Servicios de los Ecosistemas</w:t>
            </w:r>
          </w:p>
        </w:tc>
        <w:tc>
          <w:tcPr>
            <w:tcW w:w="1316" w:type="dxa"/>
            <w:noWrap/>
            <w:vAlign w:val="bottom"/>
            <w:hideMark/>
          </w:tcPr>
          <w:p w14:paraId="77E60718"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23 300</w:t>
            </w:r>
          </w:p>
        </w:tc>
        <w:tc>
          <w:tcPr>
            <w:tcW w:w="1216" w:type="dxa"/>
            <w:noWrap/>
            <w:vAlign w:val="bottom"/>
            <w:hideMark/>
          </w:tcPr>
          <w:p w14:paraId="4EAB1024"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27 250</w:t>
            </w:r>
          </w:p>
        </w:tc>
        <w:tc>
          <w:tcPr>
            <w:tcW w:w="1216" w:type="dxa"/>
            <w:noWrap/>
            <w:vAlign w:val="bottom"/>
            <w:hideMark/>
          </w:tcPr>
          <w:p w14:paraId="139708A0" w14:textId="520BF03F" w:rsidR="00BC0D70" w:rsidRPr="00D1707B" w:rsidRDefault="005902EF" w:rsidP="009A4335">
            <w:pPr>
              <w:spacing w:before="20" w:after="20"/>
              <w:jc w:val="right"/>
              <w:rPr>
                <w:rFonts w:asciiTheme="majorBidi" w:hAnsiTheme="majorBidi" w:cstheme="majorBidi"/>
                <w:sz w:val="20"/>
                <w:szCs w:val="20"/>
              </w:rPr>
            </w:pPr>
            <w:r>
              <w:rPr>
                <w:sz w:val="20"/>
              </w:rPr>
              <w:t>-</w:t>
            </w:r>
          </w:p>
        </w:tc>
        <w:tc>
          <w:tcPr>
            <w:tcW w:w="1116" w:type="dxa"/>
            <w:noWrap/>
            <w:vAlign w:val="bottom"/>
            <w:hideMark/>
          </w:tcPr>
          <w:p w14:paraId="2432A9E9"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50 550</w:t>
            </w:r>
          </w:p>
        </w:tc>
      </w:tr>
      <w:tr w:rsidR="0001637A" w:rsidRPr="00D1707B" w14:paraId="5E2B1738" w14:textId="77777777" w:rsidTr="0001637A">
        <w:tc>
          <w:tcPr>
            <w:tcW w:w="4756" w:type="dxa"/>
            <w:vAlign w:val="bottom"/>
            <w:hideMark/>
          </w:tcPr>
          <w:p w14:paraId="766ECD28"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Necesidades científicas y técnicas para apoyar la implementación del Marco Mundial de Biodiversidad de Kunming-Montreal</w:t>
            </w:r>
          </w:p>
        </w:tc>
        <w:tc>
          <w:tcPr>
            <w:tcW w:w="1316" w:type="dxa"/>
            <w:noWrap/>
            <w:vAlign w:val="bottom"/>
            <w:hideMark/>
          </w:tcPr>
          <w:p w14:paraId="13C15E90"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449 400</w:t>
            </w:r>
          </w:p>
        </w:tc>
        <w:tc>
          <w:tcPr>
            <w:tcW w:w="1216" w:type="dxa"/>
            <w:noWrap/>
            <w:vAlign w:val="bottom"/>
            <w:hideMark/>
          </w:tcPr>
          <w:p w14:paraId="7C55647E"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49 000</w:t>
            </w:r>
          </w:p>
        </w:tc>
        <w:tc>
          <w:tcPr>
            <w:tcW w:w="1216" w:type="dxa"/>
            <w:noWrap/>
            <w:vAlign w:val="bottom"/>
            <w:hideMark/>
          </w:tcPr>
          <w:p w14:paraId="72FD4017"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234 000</w:t>
            </w:r>
          </w:p>
        </w:tc>
        <w:tc>
          <w:tcPr>
            <w:tcW w:w="1116" w:type="dxa"/>
            <w:noWrap/>
            <w:vAlign w:val="bottom"/>
            <w:hideMark/>
          </w:tcPr>
          <w:p w14:paraId="7890982E"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732 400</w:t>
            </w:r>
          </w:p>
        </w:tc>
      </w:tr>
      <w:tr w:rsidR="0001637A" w:rsidRPr="00D1707B" w14:paraId="24C8AA90" w14:textId="77777777" w:rsidTr="0001637A">
        <w:tc>
          <w:tcPr>
            <w:tcW w:w="4756" w:type="dxa"/>
            <w:vAlign w:val="bottom"/>
            <w:hideMark/>
          </w:tcPr>
          <w:p w14:paraId="36269896"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Integración de la diversidad biológica en todos los sectores</w:t>
            </w:r>
          </w:p>
        </w:tc>
        <w:tc>
          <w:tcPr>
            <w:tcW w:w="1316" w:type="dxa"/>
            <w:noWrap/>
            <w:vAlign w:val="bottom"/>
            <w:hideMark/>
          </w:tcPr>
          <w:p w14:paraId="01B872C9" w14:textId="1C2FDB3B" w:rsidR="00BC0D70" w:rsidRPr="00D1707B" w:rsidRDefault="00226136" w:rsidP="009A4335">
            <w:pPr>
              <w:spacing w:before="20" w:after="20"/>
              <w:jc w:val="right"/>
              <w:rPr>
                <w:rFonts w:asciiTheme="majorBidi" w:hAnsiTheme="majorBidi" w:cstheme="majorBidi"/>
                <w:sz w:val="20"/>
                <w:szCs w:val="20"/>
              </w:rPr>
            </w:pPr>
            <w:r>
              <w:rPr>
                <w:rFonts w:asciiTheme="majorBidi" w:hAnsiTheme="majorBidi"/>
                <w:sz w:val="20"/>
              </w:rPr>
              <w:t>-</w:t>
            </w:r>
          </w:p>
        </w:tc>
        <w:tc>
          <w:tcPr>
            <w:tcW w:w="1216" w:type="dxa"/>
            <w:noWrap/>
            <w:vAlign w:val="bottom"/>
            <w:hideMark/>
          </w:tcPr>
          <w:p w14:paraId="1C1836A7"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28 500</w:t>
            </w:r>
          </w:p>
        </w:tc>
        <w:tc>
          <w:tcPr>
            <w:tcW w:w="1216" w:type="dxa"/>
            <w:noWrap/>
            <w:vAlign w:val="bottom"/>
            <w:hideMark/>
          </w:tcPr>
          <w:p w14:paraId="67F56FE5"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31 500</w:t>
            </w:r>
          </w:p>
        </w:tc>
        <w:tc>
          <w:tcPr>
            <w:tcW w:w="1116" w:type="dxa"/>
            <w:noWrap/>
            <w:vAlign w:val="bottom"/>
            <w:hideMark/>
          </w:tcPr>
          <w:p w14:paraId="4DD2A31F"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60 000</w:t>
            </w:r>
          </w:p>
        </w:tc>
      </w:tr>
      <w:tr w:rsidR="0001637A" w:rsidRPr="00D1707B" w14:paraId="7CF52CC7" w14:textId="77777777" w:rsidTr="0001637A">
        <w:tc>
          <w:tcPr>
            <w:tcW w:w="4756" w:type="dxa"/>
            <w:noWrap/>
            <w:vAlign w:val="bottom"/>
            <w:hideMark/>
          </w:tcPr>
          <w:p w14:paraId="41442909"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Gestión sostenible de la fauna y flora silvestres</w:t>
            </w:r>
          </w:p>
        </w:tc>
        <w:tc>
          <w:tcPr>
            <w:tcW w:w="1316" w:type="dxa"/>
            <w:noWrap/>
            <w:vAlign w:val="bottom"/>
            <w:hideMark/>
          </w:tcPr>
          <w:p w14:paraId="6EE70620"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616 250</w:t>
            </w:r>
          </w:p>
        </w:tc>
        <w:tc>
          <w:tcPr>
            <w:tcW w:w="1216" w:type="dxa"/>
            <w:noWrap/>
            <w:vAlign w:val="bottom"/>
            <w:hideMark/>
          </w:tcPr>
          <w:p w14:paraId="2FE2DAE2"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98 500</w:t>
            </w:r>
          </w:p>
        </w:tc>
        <w:tc>
          <w:tcPr>
            <w:tcW w:w="1216" w:type="dxa"/>
            <w:noWrap/>
            <w:vAlign w:val="bottom"/>
            <w:hideMark/>
          </w:tcPr>
          <w:p w14:paraId="2CF3E140"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220 500</w:t>
            </w:r>
          </w:p>
        </w:tc>
        <w:tc>
          <w:tcPr>
            <w:tcW w:w="1116" w:type="dxa"/>
            <w:noWrap/>
            <w:vAlign w:val="bottom"/>
            <w:hideMark/>
          </w:tcPr>
          <w:p w14:paraId="2315233A"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935 250</w:t>
            </w:r>
          </w:p>
        </w:tc>
      </w:tr>
      <w:tr w:rsidR="0001637A" w:rsidRPr="00D1707B" w14:paraId="7A87FC4F" w14:textId="77777777" w:rsidTr="0001637A">
        <w:tc>
          <w:tcPr>
            <w:tcW w:w="4756" w:type="dxa"/>
            <w:vAlign w:val="bottom"/>
            <w:hideMark/>
          </w:tcPr>
          <w:p w14:paraId="64C3BDC9"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Tareas adicionales sobre áreas marinas de importancia ecológica o biológica</w:t>
            </w:r>
          </w:p>
        </w:tc>
        <w:tc>
          <w:tcPr>
            <w:tcW w:w="1316" w:type="dxa"/>
            <w:noWrap/>
            <w:vAlign w:val="bottom"/>
            <w:hideMark/>
          </w:tcPr>
          <w:p w14:paraId="4454ACA6"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536 000</w:t>
            </w:r>
          </w:p>
        </w:tc>
        <w:tc>
          <w:tcPr>
            <w:tcW w:w="1216" w:type="dxa"/>
            <w:noWrap/>
            <w:vAlign w:val="bottom"/>
            <w:hideMark/>
          </w:tcPr>
          <w:p w14:paraId="7F7033F8"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63 000</w:t>
            </w:r>
          </w:p>
        </w:tc>
        <w:tc>
          <w:tcPr>
            <w:tcW w:w="1216" w:type="dxa"/>
            <w:noWrap/>
            <w:vAlign w:val="bottom"/>
            <w:hideMark/>
          </w:tcPr>
          <w:p w14:paraId="0E869EDE"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270 000</w:t>
            </w:r>
          </w:p>
        </w:tc>
        <w:tc>
          <w:tcPr>
            <w:tcW w:w="1116" w:type="dxa"/>
            <w:noWrap/>
            <w:vAlign w:val="bottom"/>
            <w:hideMark/>
          </w:tcPr>
          <w:p w14:paraId="5D89622B"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869 000</w:t>
            </w:r>
          </w:p>
        </w:tc>
      </w:tr>
      <w:tr w:rsidR="0001637A" w:rsidRPr="00D1707B" w14:paraId="7632F71D" w14:textId="77777777" w:rsidTr="0001637A">
        <w:tc>
          <w:tcPr>
            <w:tcW w:w="4756" w:type="dxa"/>
            <w:vAlign w:val="bottom"/>
            <w:hideMark/>
          </w:tcPr>
          <w:p w14:paraId="4DE76A18"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lastRenderedPageBreak/>
              <w:t>Conservación y utilización sostenible de la diversidad biológica marina y costera y de la diversidad biológica de las islas</w:t>
            </w:r>
          </w:p>
        </w:tc>
        <w:tc>
          <w:tcPr>
            <w:tcW w:w="1316" w:type="dxa"/>
            <w:noWrap/>
            <w:vAlign w:val="bottom"/>
            <w:hideMark/>
          </w:tcPr>
          <w:p w14:paraId="41DDFD40"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674 000</w:t>
            </w:r>
          </w:p>
        </w:tc>
        <w:tc>
          <w:tcPr>
            <w:tcW w:w="1216" w:type="dxa"/>
            <w:noWrap/>
            <w:vAlign w:val="bottom"/>
            <w:hideMark/>
          </w:tcPr>
          <w:p w14:paraId="7C49549E"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150 250</w:t>
            </w:r>
          </w:p>
        </w:tc>
        <w:tc>
          <w:tcPr>
            <w:tcW w:w="1216" w:type="dxa"/>
            <w:noWrap/>
            <w:vAlign w:val="bottom"/>
            <w:hideMark/>
          </w:tcPr>
          <w:p w14:paraId="24401F78"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306 000</w:t>
            </w:r>
          </w:p>
        </w:tc>
        <w:tc>
          <w:tcPr>
            <w:tcW w:w="1116" w:type="dxa"/>
            <w:noWrap/>
            <w:vAlign w:val="bottom"/>
            <w:hideMark/>
          </w:tcPr>
          <w:p w14:paraId="4B0411FD"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1 130 250</w:t>
            </w:r>
          </w:p>
        </w:tc>
      </w:tr>
      <w:tr w:rsidR="0001637A" w:rsidRPr="00D1707B" w14:paraId="12B00F5E" w14:textId="77777777" w:rsidTr="0001637A">
        <w:tc>
          <w:tcPr>
            <w:tcW w:w="4756" w:type="dxa"/>
            <w:noWrap/>
            <w:vAlign w:val="bottom"/>
            <w:hideMark/>
          </w:tcPr>
          <w:p w14:paraId="1C3F1C6F"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Especies exóticas invasoras</w:t>
            </w:r>
          </w:p>
        </w:tc>
        <w:tc>
          <w:tcPr>
            <w:tcW w:w="1316" w:type="dxa"/>
            <w:noWrap/>
            <w:vAlign w:val="bottom"/>
            <w:hideMark/>
          </w:tcPr>
          <w:p w14:paraId="3C327C68"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131 200</w:t>
            </w:r>
          </w:p>
        </w:tc>
        <w:tc>
          <w:tcPr>
            <w:tcW w:w="1216" w:type="dxa"/>
            <w:noWrap/>
            <w:vAlign w:val="bottom"/>
            <w:hideMark/>
          </w:tcPr>
          <w:p w14:paraId="77DB7074"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55 000</w:t>
            </w:r>
          </w:p>
        </w:tc>
        <w:tc>
          <w:tcPr>
            <w:tcW w:w="1216" w:type="dxa"/>
            <w:noWrap/>
            <w:vAlign w:val="bottom"/>
            <w:hideMark/>
          </w:tcPr>
          <w:p w14:paraId="387607B4"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315 000</w:t>
            </w:r>
          </w:p>
        </w:tc>
        <w:tc>
          <w:tcPr>
            <w:tcW w:w="1116" w:type="dxa"/>
            <w:noWrap/>
            <w:vAlign w:val="bottom"/>
            <w:hideMark/>
          </w:tcPr>
          <w:p w14:paraId="23125E15"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501 200</w:t>
            </w:r>
          </w:p>
        </w:tc>
      </w:tr>
      <w:tr w:rsidR="0001637A" w:rsidRPr="00D1707B" w14:paraId="5FE6C366" w14:textId="77777777" w:rsidTr="0001637A">
        <w:tc>
          <w:tcPr>
            <w:tcW w:w="4756" w:type="dxa"/>
            <w:noWrap/>
            <w:vAlign w:val="bottom"/>
            <w:hideMark/>
          </w:tcPr>
          <w:p w14:paraId="074A446C"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Diversidad biológica y salud</w:t>
            </w:r>
          </w:p>
        </w:tc>
        <w:tc>
          <w:tcPr>
            <w:tcW w:w="1316" w:type="dxa"/>
            <w:noWrap/>
            <w:vAlign w:val="bottom"/>
            <w:hideMark/>
          </w:tcPr>
          <w:p w14:paraId="472F8A59"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316 800</w:t>
            </w:r>
          </w:p>
        </w:tc>
        <w:tc>
          <w:tcPr>
            <w:tcW w:w="1216" w:type="dxa"/>
            <w:noWrap/>
            <w:vAlign w:val="bottom"/>
            <w:hideMark/>
          </w:tcPr>
          <w:p w14:paraId="05DB4B22"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103 000</w:t>
            </w:r>
          </w:p>
        </w:tc>
        <w:tc>
          <w:tcPr>
            <w:tcW w:w="1216" w:type="dxa"/>
            <w:noWrap/>
            <w:vAlign w:val="bottom"/>
            <w:hideMark/>
          </w:tcPr>
          <w:p w14:paraId="48DDFFD0"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162 000</w:t>
            </w:r>
          </w:p>
        </w:tc>
        <w:tc>
          <w:tcPr>
            <w:tcW w:w="1116" w:type="dxa"/>
            <w:noWrap/>
            <w:vAlign w:val="bottom"/>
            <w:hideMark/>
          </w:tcPr>
          <w:p w14:paraId="07ABABB4"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581 800</w:t>
            </w:r>
          </w:p>
        </w:tc>
      </w:tr>
      <w:tr w:rsidR="0001637A" w:rsidRPr="00D1707B" w14:paraId="0D2E8DD8" w14:textId="77777777" w:rsidTr="0001637A">
        <w:tc>
          <w:tcPr>
            <w:tcW w:w="4756" w:type="dxa"/>
            <w:noWrap/>
            <w:vAlign w:val="bottom"/>
            <w:hideMark/>
          </w:tcPr>
          <w:p w14:paraId="32E303EF"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Biología sintética</w:t>
            </w:r>
          </w:p>
        </w:tc>
        <w:tc>
          <w:tcPr>
            <w:tcW w:w="1316" w:type="dxa"/>
            <w:noWrap/>
            <w:vAlign w:val="bottom"/>
            <w:hideMark/>
          </w:tcPr>
          <w:p w14:paraId="4A1AC689"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267 000</w:t>
            </w:r>
          </w:p>
        </w:tc>
        <w:tc>
          <w:tcPr>
            <w:tcW w:w="1216" w:type="dxa"/>
            <w:noWrap/>
            <w:vAlign w:val="bottom"/>
            <w:hideMark/>
          </w:tcPr>
          <w:p w14:paraId="003F4007"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30 500</w:t>
            </w:r>
          </w:p>
        </w:tc>
        <w:tc>
          <w:tcPr>
            <w:tcW w:w="1216" w:type="dxa"/>
            <w:noWrap/>
            <w:vAlign w:val="bottom"/>
            <w:hideMark/>
          </w:tcPr>
          <w:p w14:paraId="1588003F"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108 000</w:t>
            </w:r>
          </w:p>
        </w:tc>
        <w:tc>
          <w:tcPr>
            <w:tcW w:w="1116" w:type="dxa"/>
            <w:noWrap/>
            <w:vAlign w:val="bottom"/>
            <w:hideMark/>
          </w:tcPr>
          <w:p w14:paraId="1D7E311B"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405 500</w:t>
            </w:r>
          </w:p>
        </w:tc>
      </w:tr>
      <w:tr w:rsidR="0001637A" w:rsidRPr="00D1707B" w14:paraId="214F2F4F" w14:textId="77777777" w:rsidTr="0001637A">
        <w:tc>
          <w:tcPr>
            <w:tcW w:w="4756" w:type="dxa"/>
            <w:noWrap/>
            <w:vAlign w:val="bottom"/>
            <w:hideMark/>
          </w:tcPr>
          <w:p w14:paraId="4E044387"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Diversidad biológica y cambio climático</w:t>
            </w:r>
          </w:p>
        </w:tc>
        <w:tc>
          <w:tcPr>
            <w:tcW w:w="1316" w:type="dxa"/>
            <w:noWrap/>
            <w:vAlign w:val="bottom"/>
            <w:hideMark/>
          </w:tcPr>
          <w:p w14:paraId="149F6464"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1 399 000</w:t>
            </w:r>
          </w:p>
        </w:tc>
        <w:tc>
          <w:tcPr>
            <w:tcW w:w="1216" w:type="dxa"/>
            <w:noWrap/>
            <w:vAlign w:val="bottom"/>
            <w:hideMark/>
          </w:tcPr>
          <w:p w14:paraId="41DB1BB5"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118 750</w:t>
            </w:r>
          </w:p>
        </w:tc>
        <w:tc>
          <w:tcPr>
            <w:tcW w:w="1216" w:type="dxa"/>
            <w:noWrap/>
            <w:vAlign w:val="bottom"/>
            <w:hideMark/>
          </w:tcPr>
          <w:p w14:paraId="0DC2BE42"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18 000</w:t>
            </w:r>
          </w:p>
        </w:tc>
        <w:tc>
          <w:tcPr>
            <w:tcW w:w="1116" w:type="dxa"/>
            <w:noWrap/>
            <w:vAlign w:val="bottom"/>
            <w:hideMark/>
          </w:tcPr>
          <w:p w14:paraId="030992BE"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1 535 750</w:t>
            </w:r>
          </w:p>
        </w:tc>
      </w:tr>
      <w:tr w:rsidR="0001637A" w:rsidRPr="00D1707B" w14:paraId="64719233" w14:textId="77777777" w:rsidTr="0001637A">
        <w:tc>
          <w:tcPr>
            <w:tcW w:w="4756" w:type="dxa"/>
            <w:vAlign w:val="bottom"/>
            <w:hideMark/>
          </w:tcPr>
          <w:p w14:paraId="75D6AA96"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Opciones para seguir mejorando la eficacia de los procesos del Convenio y sus Protocolos</w:t>
            </w:r>
          </w:p>
        </w:tc>
        <w:tc>
          <w:tcPr>
            <w:tcW w:w="1316" w:type="dxa"/>
            <w:noWrap/>
            <w:vAlign w:val="bottom"/>
            <w:hideMark/>
          </w:tcPr>
          <w:p w14:paraId="475B38DF"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159 100</w:t>
            </w:r>
          </w:p>
        </w:tc>
        <w:tc>
          <w:tcPr>
            <w:tcW w:w="1216" w:type="dxa"/>
            <w:noWrap/>
            <w:vAlign w:val="bottom"/>
            <w:hideMark/>
          </w:tcPr>
          <w:p w14:paraId="11A1B0EF"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42 500</w:t>
            </w:r>
          </w:p>
        </w:tc>
        <w:tc>
          <w:tcPr>
            <w:tcW w:w="1216" w:type="dxa"/>
            <w:noWrap/>
            <w:vAlign w:val="bottom"/>
            <w:hideMark/>
          </w:tcPr>
          <w:p w14:paraId="030D8636"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36 000</w:t>
            </w:r>
          </w:p>
        </w:tc>
        <w:tc>
          <w:tcPr>
            <w:tcW w:w="1116" w:type="dxa"/>
            <w:noWrap/>
            <w:vAlign w:val="bottom"/>
            <w:hideMark/>
          </w:tcPr>
          <w:p w14:paraId="38E280BD"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237 600</w:t>
            </w:r>
          </w:p>
        </w:tc>
      </w:tr>
      <w:tr w:rsidR="0001637A" w:rsidRPr="00D1707B" w14:paraId="0A100284" w14:textId="77777777" w:rsidTr="0001637A">
        <w:tc>
          <w:tcPr>
            <w:tcW w:w="4756" w:type="dxa"/>
            <w:vAlign w:val="bottom"/>
            <w:hideMark/>
          </w:tcPr>
          <w:p w14:paraId="7402A091"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Procedimiento para evitar o tratar conflictos de intereses en los grupos de expertos</w:t>
            </w:r>
          </w:p>
        </w:tc>
        <w:tc>
          <w:tcPr>
            <w:tcW w:w="1316" w:type="dxa"/>
            <w:noWrap/>
            <w:vAlign w:val="bottom"/>
            <w:hideMark/>
          </w:tcPr>
          <w:p w14:paraId="23D6C60D"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226 600</w:t>
            </w:r>
          </w:p>
        </w:tc>
        <w:tc>
          <w:tcPr>
            <w:tcW w:w="1216" w:type="dxa"/>
            <w:noWrap/>
            <w:vAlign w:val="bottom"/>
            <w:hideMark/>
          </w:tcPr>
          <w:p w14:paraId="01789F71"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25 500</w:t>
            </w:r>
          </w:p>
        </w:tc>
        <w:tc>
          <w:tcPr>
            <w:tcW w:w="1216" w:type="dxa"/>
            <w:noWrap/>
            <w:vAlign w:val="bottom"/>
            <w:hideMark/>
          </w:tcPr>
          <w:p w14:paraId="0B8966CE"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9 000</w:t>
            </w:r>
          </w:p>
        </w:tc>
        <w:tc>
          <w:tcPr>
            <w:tcW w:w="1116" w:type="dxa"/>
            <w:noWrap/>
            <w:vAlign w:val="bottom"/>
            <w:hideMark/>
          </w:tcPr>
          <w:p w14:paraId="31399B85"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261 100</w:t>
            </w:r>
          </w:p>
        </w:tc>
      </w:tr>
      <w:tr w:rsidR="0001637A" w:rsidRPr="00D1707B" w14:paraId="52929F6F" w14:textId="77777777" w:rsidTr="0001637A">
        <w:tc>
          <w:tcPr>
            <w:tcW w:w="4756" w:type="dxa"/>
            <w:vAlign w:val="bottom"/>
            <w:hideMark/>
          </w:tcPr>
          <w:p w14:paraId="233D3ED6"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Marco de seguimiento para el Marco Mundial de Biodiversidad de Kunming-Montreal</w:t>
            </w:r>
          </w:p>
        </w:tc>
        <w:tc>
          <w:tcPr>
            <w:tcW w:w="1316" w:type="dxa"/>
            <w:noWrap/>
            <w:vAlign w:val="bottom"/>
            <w:hideMark/>
          </w:tcPr>
          <w:p w14:paraId="7FA04E66"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699 500</w:t>
            </w:r>
          </w:p>
        </w:tc>
        <w:tc>
          <w:tcPr>
            <w:tcW w:w="1216" w:type="dxa"/>
            <w:noWrap/>
            <w:vAlign w:val="bottom"/>
            <w:hideMark/>
          </w:tcPr>
          <w:p w14:paraId="43EC9F85"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68 500</w:t>
            </w:r>
          </w:p>
        </w:tc>
        <w:tc>
          <w:tcPr>
            <w:tcW w:w="1216" w:type="dxa"/>
            <w:noWrap/>
            <w:vAlign w:val="bottom"/>
            <w:hideMark/>
          </w:tcPr>
          <w:p w14:paraId="67B0884E"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198 000</w:t>
            </w:r>
          </w:p>
        </w:tc>
        <w:tc>
          <w:tcPr>
            <w:tcW w:w="1116" w:type="dxa"/>
            <w:noWrap/>
            <w:vAlign w:val="bottom"/>
            <w:hideMark/>
          </w:tcPr>
          <w:p w14:paraId="7A6A141D"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966 000</w:t>
            </w:r>
          </w:p>
        </w:tc>
      </w:tr>
      <w:tr w:rsidR="0001637A" w:rsidRPr="00D1707B" w14:paraId="7D002F2B" w14:textId="77777777" w:rsidTr="0001637A">
        <w:tc>
          <w:tcPr>
            <w:tcW w:w="4756" w:type="dxa"/>
            <w:vAlign w:val="bottom"/>
            <w:hideMark/>
          </w:tcPr>
          <w:p w14:paraId="5DFB4BC0"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Mecanismos para la planificación, el seguimiento, la presentación de informes y la revisión, incluida la revisión mundial de los progresos colectivos en la implementación del Marco Mundial de Biodiversidad de Kunming-Montreal que se llevará a cabo en las reuniones 17ª y 19ª de la Conferencia de las Partes</w:t>
            </w:r>
          </w:p>
        </w:tc>
        <w:tc>
          <w:tcPr>
            <w:tcW w:w="1316" w:type="dxa"/>
            <w:noWrap/>
            <w:vAlign w:val="bottom"/>
            <w:hideMark/>
          </w:tcPr>
          <w:p w14:paraId="0C95EA35"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1 101 800</w:t>
            </w:r>
          </w:p>
        </w:tc>
        <w:tc>
          <w:tcPr>
            <w:tcW w:w="1216" w:type="dxa"/>
            <w:noWrap/>
            <w:vAlign w:val="bottom"/>
            <w:hideMark/>
          </w:tcPr>
          <w:p w14:paraId="6E46A47B"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269 750</w:t>
            </w:r>
          </w:p>
        </w:tc>
        <w:tc>
          <w:tcPr>
            <w:tcW w:w="1216" w:type="dxa"/>
            <w:noWrap/>
            <w:vAlign w:val="bottom"/>
            <w:hideMark/>
          </w:tcPr>
          <w:p w14:paraId="2720E97D"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129 000</w:t>
            </w:r>
          </w:p>
        </w:tc>
        <w:tc>
          <w:tcPr>
            <w:tcW w:w="1116" w:type="dxa"/>
            <w:noWrap/>
            <w:vAlign w:val="bottom"/>
            <w:hideMark/>
          </w:tcPr>
          <w:p w14:paraId="34AA1BFB"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1 500 550</w:t>
            </w:r>
          </w:p>
        </w:tc>
      </w:tr>
      <w:tr w:rsidR="0001637A" w:rsidRPr="00D1707B" w14:paraId="25C4A718" w14:textId="77777777" w:rsidTr="0001637A">
        <w:tc>
          <w:tcPr>
            <w:tcW w:w="4756" w:type="dxa"/>
            <w:noWrap/>
            <w:vAlign w:val="bottom"/>
            <w:hideMark/>
          </w:tcPr>
          <w:p w14:paraId="0B1E6D4D"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Mecanismo financiero</w:t>
            </w:r>
          </w:p>
        </w:tc>
        <w:tc>
          <w:tcPr>
            <w:tcW w:w="1316" w:type="dxa"/>
            <w:noWrap/>
            <w:vAlign w:val="bottom"/>
            <w:hideMark/>
          </w:tcPr>
          <w:p w14:paraId="2953CD02"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240 000</w:t>
            </w:r>
          </w:p>
        </w:tc>
        <w:tc>
          <w:tcPr>
            <w:tcW w:w="1216" w:type="dxa"/>
            <w:noWrap/>
            <w:vAlign w:val="bottom"/>
            <w:hideMark/>
          </w:tcPr>
          <w:p w14:paraId="0EEC9BBF"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86 000</w:t>
            </w:r>
          </w:p>
        </w:tc>
        <w:tc>
          <w:tcPr>
            <w:tcW w:w="1216" w:type="dxa"/>
            <w:noWrap/>
            <w:vAlign w:val="bottom"/>
            <w:hideMark/>
          </w:tcPr>
          <w:p w14:paraId="261FB5F2"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54 000</w:t>
            </w:r>
          </w:p>
        </w:tc>
        <w:tc>
          <w:tcPr>
            <w:tcW w:w="1116" w:type="dxa"/>
            <w:noWrap/>
            <w:vAlign w:val="bottom"/>
            <w:hideMark/>
          </w:tcPr>
          <w:p w14:paraId="2993CA4D"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380 000</w:t>
            </w:r>
          </w:p>
        </w:tc>
      </w:tr>
      <w:tr w:rsidR="0001637A" w:rsidRPr="00D1707B" w14:paraId="22979A3C" w14:textId="77777777" w:rsidTr="0001637A">
        <w:tc>
          <w:tcPr>
            <w:tcW w:w="4756" w:type="dxa"/>
            <w:noWrap/>
            <w:vAlign w:val="bottom"/>
            <w:hideMark/>
          </w:tcPr>
          <w:p w14:paraId="044B0343"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Movilización de recursos</w:t>
            </w:r>
          </w:p>
        </w:tc>
        <w:tc>
          <w:tcPr>
            <w:tcW w:w="1316" w:type="dxa"/>
            <w:noWrap/>
            <w:vAlign w:val="bottom"/>
            <w:hideMark/>
          </w:tcPr>
          <w:p w14:paraId="4CC8D604"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68 300</w:t>
            </w:r>
          </w:p>
        </w:tc>
        <w:tc>
          <w:tcPr>
            <w:tcW w:w="1216" w:type="dxa"/>
            <w:noWrap/>
            <w:vAlign w:val="bottom"/>
            <w:hideMark/>
          </w:tcPr>
          <w:p w14:paraId="4FC72587"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36 000</w:t>
            </w:r>
          </w:p>
        </w:tc>
        <w:tc>
          <w:tcPr>
            <w:tcW w:w="1216" w:type="dxa"/>
            <w:noWrap/>
            <w:vAlign w:val="bottom"/>
            <w:hideMark/>
          </w:tcPr>
          <w:p w14:paraId="25F79039"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181 500</w:t>
            </w:r>
          </w:p>
        </w:tc>
        <w:tc>
          <w:tcPr>
            <w:tcW w:w="1116" w:type="dxa"/>
            <w:noWrap/>
            <w:vAlign w:val="bottom"/>
            <w:hideMark/>
          </w:tcPr>
          <w:p w14:paraId="2564AEEE"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285 800</w:t>
            </w:r>
          </w:p>
        </w:tc>
      </w:tr>
      <w:tr w:rsidR="0001637A" w:rsidRPr="00D1707B" w14:paraId="335287CF" w14:textId="77777777" w:rsidTr="0001637A">
        <w:tc>
          <w:tcPr>
            <w:tcW w:w="4756" w:type="dxa"/>
            <w:tcBorders>
              <w:bottom w:val="single" w:sz="4" w:space="0" w:color="auto"/>
            </w:tcBorders>
            <w:vAlign w:val="bottom"/>
            <w:hideMark/>
          </w:tcPr>
          <w:p w14:paraId="2D04A4FF"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Cooperación con otros convenios y organizaciones internacionales</w:t>
            </w:r>
          </w:p>
        </w:tc>
        <w:tc>
          <w:tcPr>
            <w:tcW w:w="1316" w:type="dxa"/>
            <w:tcBorders>
              <w:bottom w:val="single" w:sz="4" w:space="0" w:color="auto"/>
            </w:tcBorders>
            <w:noWrap/>
            <w:vAlign w:val="bottom"/>
            <w:hideMark/>
          </w:tcPr>
          <w:p w14:paraId="263AA321"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20 000</w:t>
            </w:r>
          </w:p>
        </w:tc>
        <w:tc>
          <w:tcPr>
            <w:tcW w:w="1216" w:type="dxa"/>
            <w:tcBorders>
              <w:bottom w:val="single" w:sz="4" w:space="0" w:color="auto"/>
            </w:tcBorders>
            <w:noWrap/>
            <w:vAlign w:val="bottom"/>
            <w:hideMark/>
          </w:tcPr>
          <w:p w14:paraId="3290F052"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80 000</w:t>
            </w:r>
          </w:p>
        </w:tc>
        <w:tc>
          <w:tcPr>
            <w:tcW w:w="1216" w:type="dxa"/>
            <w:tcBorders>
              <w:bottom w:val="single" w:sz="4" w:space="0" w:color="auto"/>
            </w:tcBorders>
            <w:noWrap/>
            <w:vAlign w:val="bottom"/>
            <w:hideMark/>
          </w:tcPr>
          <w:p w14:paraId="7D6050A1" w14:textId="424049CB" w:rsidR="00BC0D70" w:rsidRPr="00D1707B" w:rsidRDefault="00732EF0" w:rsidP="009A4335">
            <w:pPr>
              <w:spacing w:before="20" w:after="20"/>
              <w:jc w:val="right"/>
              <w:rPr>
                <w:rFonts w:asciiTheme="majorBidi" w:hAnsiTheme="majorBidi" w:cstheme="majorBidi"/>
                <w:sz w:val="20"/>
                <w:szCs w:val="20"/>
              </w:rPr>
            </w:pPr>
            <w:r>
              <w:rPr>
                <w:rFonts w:asciiTheme="majorBidi" w:hAnsiTheme="majorBidi"/>
                <w:sz w:val="20"/>
              </w:rPr>
              <w:t>-</w:t>
            </w:r>
          </w:p>
        </w:tc>
        <w:tc>
          <w:tcPr>
            <w:tcW w:w="1116" w:type="dxa"/>
            <w:tcBorders>
              <w:bottom w:val="single" w:sz="4" w:space="0" w:color="auto"/>
            </w:tcBorders>
            <w:noWrap/>
            <w:vAlign w:val="bottom"/>
            <w:hideMark/>
          </w:tcPr>
          <w:p w14:paraId="73021E55"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100 000</w:t>
            </w:r>
          </w:p>
        </w:tc>
      </w:tr>
      <w:tr w:rsidR="0001637A" w:rsidRPr="00D1707B" w14:paraId="3349E4E1" w14:textId="77777777" w:rsidTr="009A4335">
        <w:trPr>
          <w:trHeight w:val="227"/>
        </w:trPr>
        <w:tc>
          <w:tcPr>
            <w:tcW w:w="4756" w:type="dxa"/>
            <w:tcBorders>
              <w:top w:val="single" w:sz="4" w:space="0" w:color="auto"/>
              <w:bottom w:val="single" w:sz="4" w:space="0" w:color="auto"/>
            </w:tcBorders>
            <w:vAlign w:val="bottom"/>
            <w:hideMark/>
          </w:tcPr>
          <w:p w14:paraId="0030DD74" w14:textId="1E46801A" w:rsidR="00BC0D70" w:rsidRPr="00D1707B" w:rsidRDefault="00BC0D70" w:rsidP="009A4335">
            <w:pPr>
              <w:spacing w:before="20" w:after="20"/>
              <w:ind w:left="318"/>
              <w:jc w:val="left"/>
              <w:rPr>
                <w:rFonts w:asciiTheme="majorBidi" w:hAnsiTheme="majorBidi" w:cstheme="majorBidi"/>
                <w:b/>
                <w:bCs/>
                <w:sz w:val="20"/>
                <w:szCs w:val="20"/>
              </w:rPr>
            </w:pPr>
            <w:r>
              <w:rPr>
                <w:rFonts w:asciiTheme="majorBidi" w:hAnsiTheme="majorBidi"/>
                <w:b/>
                <w:sz w:val="20"/>
              </w:rPr>
              <w:t>Subtotal</w:t>
            </w:r>
          </w:p>
        </w:tc>
        <w:tc>
          <w:tcPr>
            <w:tcW w:w="1316" w:type="dxa"/>
            <w:tcBorders>
              <w:top w:val="single" w:sz="4" w:space="0" w:color="auto"/>
              <w:bottom w:val="single" w:sz="4" w:space="0" w:color="auto"/>
            </w:tcBorders>
            <w:noWrap/>
            <w:vAlign w:val="bottom"/>
            <w:hideMark/>
          </w:tcPr>
          <w:p w14:paraId="6DAC6907" w14:textId="77777777" w:rsidR="00BC0D70" w:rsidRPr="00D1707B" w:rsidRDefault="00BC0D70" w:rsidP="009A4335">
            <w:pPr>
              <w:spacing w:before="20" w:after="20"/>
              <w:jc w:val="right"/>
              <w:rPr>
                <w:rFonts w:asciiTheme="majorBidi" w:hAnsiTheme="majorBidi" w:cstheme="majorBidi"/>
                <w:b/>
                <w:bCs/>
                <w:sz w:val="20"/>
                <w:szCs w:val="20"/>
              </w:rPr>
            </w:pPr>
            <w:r>
              <w:rPr>
                <w:rFonts w:asciiTheme="majorBidi" w:hAnsiTheme="majorBidi"/>
                <w:b/>
                <w:sz w:val="20"/>
              </w:rPr>
              <w:t>10 376 100</w:t>
            </w:r>
          </w:p>
        </w:tc>
        <w:tc>
          <w:tcPr>
            <w:tcW w:w="1216" w:type="dxa"/>
            <w:tcBorders>
              <w:top w:val="single" w:sz="4" w:space="0" w:color="auto"/>
              <w:bottom w:val="single" w:sz="4" w:space="0" w:color="auto"/>
            </w:tcBorders>
            <w:noWrap/>
            <w:vAlign w:val="bottom"/>
            <w:hideMark/>
          </w:tcPr>
          <w:p w14:paraId="0A463319" w14:textId="77777777" w:rsidR="00BC0D70" w:rsidRPr="00D1707B" w:rsidRDefault="00BC0D70" w:rsidP="009A4335">
            <w:pPr>
              <w:spacing w:before="20" w:after="20"/>
              <w:jc w:val="right"/>
              <w:rPr>
                <w:rFonts w:asciiTheme="majorBidi" w:hAnsiTheme="majorBidi" w:cstheme="majorBidi"/>
                <w:b/>
                <w:bCs/>
                <w:sz w:val="20"/>
                <w:szCs w:val="20"/>
              </w:rPr>
            </w:pPr>
            <w:r>
              <w:rPr>
                <w:rFonts w:asciiTheme="majorBidi" w:hAnsiTheme="majorBidi"/>
                <w:b/>
                <w:sz w:val="20"/>
              </w:rPr>
              <w:t>2 003 500</w:t>
            </w:r>
          </w:p>
        </w:tc>
        <w:tc>
          <w:tcPr>
            <w:tcW w:w="1216" w:type="dxa"/>
            <w:tcBorders>
              <w:top w:val="single" w:sz="4" w:space="0" w:color="auto"/>
              <w:bottom w:val="single" w:sz="4" w:space="0" w:color="auto"/>
            </w:tcBorders>
            <w:noWrap/>
            <w:vAlign w:val="bottom"/>
            <w:hideMark/>
          </w:tcPr>
          <w:p w14:paraId="42230A31" w14:textId="77777777" w:rsidR="00BC0D70" w:rsidRPr="00D1707B" w:rsidRDefault="00BC0D70" w:rsidP="009A4335">
            <w:pPr>
              <w:spacing w:before="20" w:after="20"/>
              <w:jc w:val="right"/>
              <w:rPr>
                <w:rFonts w:asciiTheme="majorBidi" w:hAnsiTheme="majorBidi" w:cstheme="majorBidi"/>
                <w:b/>
                <w:bCs/>
                <w:sz w:val="20"/>
                <w:szCs w:val="20"/>
              </w:rPr>
            </w:pPr>
            <w:r>
              <w:rPr>
                <w:rFonts w:asciiTheme="majorBidi" w:hAnsiTheme="majorBidi"/>
                <w:b/>
                <w:sz w:val="20"/>
              </w:rPr>
              <w:t>5 243 000</w:t>
            </w:r>
          </w:p>
        </w:tc>
        <w:tc>
          <w:tcPr>
            <w:tcW w:w="1116" w:type="dxa"/>
            <w:tcBorders>
              <w:top w:val="single" w:sz="4" w:space="0" w:color="auto"/>
              <w:bottom w:val="single" w:sz="4" w:space="0" w:color="auto"/>
            </w:tcBorders>
            <w:noWrap/>
            <w:vAlign w:val="bottom"/>
            <w:hideMark/>
          </w:tcPr>
          <w:p w14:paraId="554AD7E9" w14:textId="77777777" w:rsidR="00BC0D70" w:rsidRPr="00D1707B" w:rsidRDefault="00BC0D70" w:rsidP="009A4335">
            <w:pPr>
              <w:spacing w:before="20" w:after="20"/>
              <w:jc w:val="right"/>
              <w:rPr>
                <w:rFonts w:asciiTheme="majorBidi" w:hAnsiTheme="majorBidi" w:cstheme="majorBidi"/>
                <w:b/>
                <w:bCs/>
                <w:sz w:val="20"/>
                <w:szCs w:val="20"/>
              </w:rPr>
            </w:pPr>
            <w:r>
              <w:rPr>
                <w:rFonts w:asciiTheme="majorBidi" w:hAnsiTheme="majorBidi"/>
                <w:b/>
                <w:sz w:val="20"/>
              </w:rPr>
              <w:t>17 622 600</w:t>
            </w:r>
          </w:p>
        </w:tc>
      </w:tr>
      <w:tr w:rsidR="0001637A" w:rsidRPr="00D1707B" w14:paraId="3CE38659" w14:textId="77777777" w:rsidTr="009A4335">
        <w:tc>
          <w:tcPr>
            <w:tcW w:w="4756" w:type="dxa"/>
            <w:tcBorders>
              <w:top w:val="single" w:sz="4" w:space="0" w:color="auto"/>
              <w:bottom w:val="single" w:sz="4" w:space="0" w:color="auto"/>
            </w:tcBorders>
            <w:vAlign w:val="bottom"/>
            <w:hideMark/>
          </w:tcPr>
          <w:p w14:paraId="34DE6069" w14:textId="38AA8705" w:rsidR="00CD5738" w:rsidRPr="00D1707B" w:rsidRDefault="00CD5738" w:rsidP="009A4335">
            <w:pPr>
              <w:spacing w:before="20" w:after="20"/>
              <w:jc w:val="left"/>
              <w:rPr>
                <w:rFonts w:asciiTheme="majorBidi" w:hAnsiTheme="majorBidi" w:cstheme="majorBidi"/>
                <w:sz w:val="20"/>
                <w:szCs w:val="20"/>
              </w:rPr>
            </w:pPr>
            <w:r>
              <w:rPr>
                <w:rFonts w:asciiTheme="majorBidi" w:hAnsiTheme="majorBidi"/>
                <w:sz w:val="20"/>
              </w:rPr>
              <w:t>Gastos de apoyo a los programas (13 %)</w:t>
            </w:r>
          </w:p>
        </w:tc>
        <w:tc>
          <w:tcPr>
            <w:tcW w:w="1316" w:type="dxa"/>
            <w:tcBorders>
              <w:top w:val="single" w:sz="4" w:space="0" w:color="auto"/>
              <w:bottom w:val="single" w:sz="4" w:space="0" w:color="auto"/>
            </w:tcBorders>
            <w:noWrap/>
            <w:hideMark/>
          </w:tcPr>
          <w:p w14:paraId="5225595C" w14:textId="7B0F2179" w:rsidR="00CD5738" w:rsidRPr="00D1707B" w:rsidRDefault="00CD5738" w:rsidP="009A4335">
            <w:pPr>
              <w:keepNext/>
              <w:spacing w:before="20" w:after="20"/>
              <w:jc w:val="right"/>
              <w:rPr>
                <w:rFonts w:asciiTheme="majorBidi" w:hAnsiTheme="majorBidi" w:cstheme="majorBidi"/>
                <w:sz w:val="20"/>
                <w:szCs w:val="20"/>
              </w:rPr>
            </w:pPr>
            <w:r>
              <w:rPr>
                <w:rFonts w:asciiTheme="majorBidi" w:hAnsiTheme="majorBidi"/>
                <w:sz w:val="20"/>
              </w:rPr>
              <w:t>1 348 893</w:t>
            </w:r>
          </w:p>
        </w:tc>
        <w:tc>
          <w:tcPr>
            <w:tcW w:w="1216" w:type="dxa"/>
            <w:tcBorders>
              <w:top w:val="single" w:sz="4" w:space="0" w:color="auto"/>
              <w:bottom w:val="single" w:sz="4" w:space="0" w:color="auto"/>
            </w:tcBorders>
            <w:noWrap/>
            <w:hideMark/>
          </w:tcPr>
          <w:p w14:paraId="7DE2079E" w14:textId="7F8DB403" w:rsidR="00CD5738" w:rsidRPr="00D1707B" w:rsidRDefault="00CD5738" w:rsidP="009A4335">
            <w:pPr>
              <w:keepNext/>
              <w:spacing w:before="20" w:after="20"/>
              <w:jc w:val="right"/>
              <w:rPr>
                <w:rFonts w:asciiTheme="majorBidi" w:hAnsiTheme="majorBidi" w:cstheme="majorBidi"/>
                <w:sz w:val="20"/>
                <w:szCs w:val="20"/>
              </w:rPr>
            </w:pPr>
            <w:r>
              <w:rPr>
                <w:rFonts w:asciiTheme="majorBidi" w:hAnsiTheme="majorBidi"/>
                <w:sz w:val="20"/>
              </w:rPr>
              <w:t>260 455</w:t>
            </w:r>
          </w:p>
        </w:tc>
        <w:tc>
          <w:tcPr>
            <w:tcW w:w="1216" w:type="dxa"/>
            <w:tcBorders>
              <w:top w:val="single" w:sz="4" w:space="0" w:color="auto"/>
              <w:bottom w:val="single" w:sz="4" w:space="0" w:color="auto"/>
            </w:tcBorders>
            <w:noWrap/>
            <w:hideMark/>
          </w:tcPr>
          <w:p w14:paraId="634B3980" w14:textId="7FBCF832" w:rsidR="00CD5738" w:rsidRPr="00D1707B" w:rsidRDefault="00CD5738" w:rsidP="009A4335">
            <w:pPr>
              <w:keepNext/>
              <w:spacing w:before="20" w:after="20"/>
              <w:jc w:val="right"/>
              <w:rPr>
                <w:rFonts w:asciiTheme="majorBidi" w:hAnsiTheme="majorBidi" w:cstheme="majorBidi"/>
                <w:sz w:val="20"/>
                <w:szCs w:val="20"/>
              </w:rPr>
            </w:pPr>
            <w:r>
              <w:rPr>
                <w:rFonts w:asciiTheme="majorBidi" w:hAnsiTheme="majorBidi"/>
                <w:sz w:val="20"/>
              </w:rPr>
              <w:t>681 590</w:t>
            </w:r>
          </w:p>
        </w:tc>
        <w:tc>
          <w:tcPr>
            <w:tcW w:w="1116" w:type="dxa"/>
            <w:tcBorders>
              <w:top w:val="single" w:sz="4" w:space="0" w:color="auto"/>
              <w:bottom w:val="single" w:sz="4" w:space="0" w:color="auto"/>
            </w:tcBorders>
            <w:noWrap/>
            <w:vAlign w:val="bottom"/>
            <w:hideMark/>
          </w:tcPr>
          <w:p w14:paraId="57E9BC24" w14:textId="77777777" w:rsidR="00CD5738" w:rsidRPr="00D1707B" w:rsidRDefault="00CD5738" w:rsidP="009A4335">
            <w:pPr>
              <w:keepNext/>
              <w:spacing w:before="20" w:after="20"/>
              <w:jc w:val="right"/>
              <w:rPr>
                <w:rFonts w:asciiTheme="majorBidi" w:hAnsiTheme="majorBidi" w:cstheme="majorBidi"/>
                <w:sz w:val="20"/>
                <w:szCs w:val="20"/>
              </w:rPr>
            </w:pPr>
            <w:r>
              <w:rPr>
                <w:rFonts w:asciiTheme="majorBidi" w:hAnsiTheme="majorBidi"/>
                <w:sz w:val="20"/>
              </w:rPr>
              <w:t>2 290 938</w:t>
            </w:r>
          </w:p>
        </w:tc>
      </w:tr>
      <w:tr w:rsidR="00732EF0" w:rsidRPr="00D1707B" w14:paraId="1B0FBFC7" w14:textId="77777777" w:rsidTr="009A4335">
        <w:trPr>
          <w:trHeight w:val="227"/>
        </w:trPr>
        <w:tc>
          <w:tcPr>
            <w:tcW w:w="4756" w:type="dxa"/>
            <w:tcBorders>
              <w:top w:val="single" w:sz="4" w:space="0" w:color="auto"/>
              <w:bottom w:val="single" w:sz="4" w:space="0" w:color="auto"/>
            </w:tcBorders>
            <w:vAlign w:val="bottom"/>
            <w:hideMark/>
          </w:tcPr>
          <w:p w14:paraId="7FA5D2EE" w14:textId="7CD7E1B6" w:rsidR="00CD5738" w:rsidRPr="00D1707B" w:rsidRDefault="00CD5738" w:rsidP="009A4335">
            <w:pPr>
              <w:spacing w:before="20" w:after="20"/>
              <w:ind w:left="318"/>
              <w:jc w:val="left"/>
              <w:rPr>
                <w:rFonts w:asciiTheme="majorBidi" w:hAnsiTheme="majorBidi" w:cstheme="majorBidi"/>
                <w:b/>
                <w:bCs/>
                <w:sz w:val="20"/>
                <w:szCs w:val="20"/>
              </w:rPr>
            </w:pPr>
            <w:r>
              <w:rPr>
                <w:rFonts w:asciiTheme="majorBidi" w:hAnsiTheme="majorBidi"/>
                <w:b/>
                <w:sz w:val="20"/>
              </w:rPr>
              <w:t>Total</w:t>
            </w:r>
          </w:p>
        </w:tc>
        <w:tc>
          <w:tcPr>
            <w:tcW w:w="1316" w:type="dxa"/>
            <w:tcBorders>
              <w:top w:val="single" w:sz="4" w:space="0" w:color="auto"/>
              <w:bottom w:val="single" w:sz="4" w:space="0" w:color="auto"/>
            </w:tcBorders>
            <w:noWrap/>
            <w:hideMark/>
          </w:tcPr>
          <w:p w14:paraId="1799E30F" w14:textId="691D6FF4" w:rsidR="00CD5738" w:rsidRPr="00D1707B" w:rsidRDefault="00CD5738" w:rsidP="009A4335">
            <w:pPr>
              <w:spacing w:before="20" w:after="20"/>
              <w:jc w:val="right"/>
              <w:rPr>
                <w:rFonts w:asciiTheme="majorBidi" w:hAnsiTheme="majorBidi" w:cstheme="majorBidi"/>
                <w:b/>
                <w:bCs/>
                <w:sz w:val="20"/>
                <w:szCs w:val="20"/>
              </w:rPr>
            </w:pPr>
            <w:r>
              <w:rPr>
                <w:rFonts w:asciiTheme="majorBidi" w:hAnsiTheme="majorBidi"/>
                <w:b/>
                <w:sz w:val="20"/>
              </w:rPr>
              <w:t>11 724 993</w:t>
            </w:r>
          </w:p>
        </w:tc>
        <w:tc>
          <w:tcPr>
            <w:tcW w:w="1216" w:type="dxa"/>
            <w:tcBorders>
              <w:top w:val="single" w:sz="4" w:space="0" w:color="auto"/>
              <w:bottom w:val="single" w:sz="4" w:space="0" w:color="auto"/>
            </w:tcBorders>
            <w:noWrap/>
            <w:hideMark/>
          </w:tcPr>
          <w:p w14:paraId="05A86DD3" w14:textId="55419233" w:rsidR="00CD5738" w:rsidRPr="00D1707B" w:rsidRDefault="00CD5738" w:rsidP="009A4335">
            <w:pPr>
              <w:spacing w:before="20" w:after="20"/>
              <w:jc w:val="right"/>
              <w:rPr>
                <w:rFonts w:asciiTheme="majorBidi" w:hAnsiTheme="majorBidi" w:cstheme="majorBidi"/>
                <w:b/>
                <w:bCs/>
                <w:sz w:val="20"/>
                <w:szCs w:val="20"/>
              </w:rPr>
            </w:pPr>
            <w:r>
              <w:rPr>
                <w:rFonts w:asciiTheme="majorBidi" w:hAnsiTheme="majorBidi"/>
                <w:b/>
                <w:sz w:val="20"/>
              </w:rPr>
              <w:t>2 263 955</w:t>
            </w:r>
          </w:p>
        </w:tc>
        <w:tc>
          <w:tcPr>
            <w:tcW w:w="1216" w:type="dxa"/>
            <w:tcBorders>
              <w:top w:val="single" w:sz="4" w:space="0" w:color="auto"/>
              <w:bottom w:val="single" w:sz="4" w:space="0" w:color="auto"/>
            </w:tcBorders>
            <w:noWrap/>
            <w:hideMark/>
          </w:tcPr>
          <w:p w14:paraId="2989F40C" w14:textId="2936047B" w:rsidR="00CD5738" w:rsidRPr="00D1707B" w:rsidRDefault="00CD5738" w:rsidP="009A4335">
            <w:pPr>
              <w:spacing w:before="20" w:after="20"/>
              <w:jc w:val="right"/>
              <w:rPr>
                <w:rFonts w:asciiTheme="majorBidi" w:hAnsiTheme="majorBidi" w:cstheme="majorBidi"/>
                <w:b/>
                <w:bCs/>
                <w:sz w:val="20"/>
                <w:szCs w:val="20"/>
              </w:rPr>
            </w:pPr>
            <w:r>
              <w:rPr>
                <w:rFonts w:asciiTheme="majorBidi" w:hAnsiTheme="majorBidi"/>
                <w:b/>
                <w:sz w:val="20"/>
              </w:rPr>
              <w:t>5 924 590</w:t>
            </w:r>
          </w:p>
        </w:tc>
        <w:tc>
          <w:tcPr>
            <w:tcW w:w="1116" w:type="dxa"/>
            <w:tcBorders>
              <w:top w:val="single" w:sz="4" w:space="0" w:color="auto"/>
              <w:bottom w:val="single" w:sz="4" w:space="0" w:color="auto"/>
            </w:tcBorders>
            <w:noWrap/>
            <w:vAlign w:val="bottom"/>
            <w:hideMark/>
          </w:tcPr>
          <w:p w14:paraId="2C643346" w14:textId="77777777" w:rsidR="00CD5738" w:rsidRPr="00D1707B" w:rsidRDefault="00CD5738" w:rsidP="009A4335">
            <w:pPr>
              <w:spacing w:before="20" w:after="20"/>
              <w:jc w:val="right"/>
              <w:rPr>
                <w:rFonts w:asciiTheme="majorBidi" w:hAnsiTheme="majorBidi" w:cstheme="majorBidi"/>
                <w:b/>
                <w:bCs/>
                <w:sz w:val="20"/>
                <w:szCs w:val="20"/>
              </w:rPr>
            </w:pPr>
            <w:r>
              <w:rPr>
                <w:rFonts w:asciiTheme="majorBidi" w:hAnsiTheme="majorBidi"/>
                <w:b/>
                <w:sz w:val="20"/>
              </w:rPr>
              <w:t>19 913 538</w:t>
            </w:r>
          </w:p>
        </w:tc>
      </w:tr>
      <w:tr w:rsidR="00A860D5" w:rsidRPr="00D1707B" w14:paraId="2A21D825" w14:textId="77777777" w:rsidTr="009A4335">
        <w:tc>
          <w:tcPr>
            <w:tcW w:w="9620" w:type="dxa"/>
            <w:gridSpan w:val="5"/>
            <w:tcBorders>
              <w:top w:val="single" w:sz="4" w:space="0" w:color="auto"/>
              <w:bottom w:val="single" w:sz="4" w:space="0" w:color="auto"/>
            </w:tcBorders>
            <w:noWrap/>
            <w:vAlign w:val="bottom"/>
            <w:hideMark/>
          </w:tcPr>
          <w:p w14:paraId="516BA83C" w14:textId="77777777" w:rsidR="00BC0D70" w:rsidRPr="00D1707B" w:rsidRDefault="00BC0D70" w:rsidP="009A4335">
            <w:pPr>
              <w:keepNext/>
              <w:spacing w:before="20" w:after="20"/>
              <w:jc w:val="left"/>
              <w:rPr>
                <w:rFonts w:asciiTheme="majorBidi" w:hAnsiTheme="majorBidi" w:cstheme="majorBidi"/>
                <w:sz w:val="20"/>
                <w:szCs w:val="20"/>
              </w:rPr>
            </w:pPr>
            <w:r>
              <w:rPr>
                <w:rFonts w:asciiTheme="majorBidi" w:hAnsiTheme="majorBidi"/>
                <w:b/>
                <w:sz w:val="20"/>
              </w:rPr>
              <w:t>B. Protocolo de Cartagena sobre Seguridad de la Biotecnología</w:t>
            </w:r>
          </w:p>
        </w:tc>
      </w:tr>
      <w:tr w:rsidR="0001637A" w:rsidRPr="00D1707B" w14:paraId="51B68FEB" w14:textId="77777777" w:rsidTr="0001637A">
        <w:tc>
          <w:tcPr>
            <w:tcW w:w="4756" w:type="dxa"/>
            <w:tcBorders>
              <w:top w:val="single" w:sz="4" w:space="0" w:color="auto"/>
            </w:tcBorders>
            <w:vAlign w:val="bottom"/>
            <w:hideMark/>
          </w:tcPr>
          <w:p w14:paraId="6F6DCED1"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Cuestiones relacionadas con el mecanismo financiero y los recursos financieros</w:t>
            </w:r>
          </w:p>
        </w:tc>
        <w:tc>
          <w:tcPr>
            <w:tcW w:w="1316" w:type="dxa"/>
            <w:tcBorders>
              <w:top w:val="single" w:sz="4" w:space="0" w:color="auto"/>
            </w:tcBorders>
            <w:noWrap/>
            <w:vAlign w:val="bottom"/>
            <w:hideMark/>
          </w:tcPr>
          <w:p w14:paraId="62A41DC9" w14:textId="7D802F33" w:rsidR="00BC0D70" w:rsidRPr="00D1707B" w:rsidRDefault="0077799B" w:rsidP="009A4335">
            <w:pPr>
              <w:spacing w:before="20" w:after="20"/>
              <w:jc w:val="right"/>
              <w:rPr>
                <w:rFonts w:asciiTheme="majorBidi" w:hAnsiTheme="majorBidi" w:cstheme="majorBidi"/>
                <w:sz w:val="20"/>
                <w:szCs w:val="20"/>
              </w:rPr>
            </w:pPr>
            <w:r>
              <w:rPr>
                <w:sz w:val="20"/>
              </w:rPr>
              <w:t>-</w:t>
            </w:r>
          </w:p>
        </w:tc>
        <w:tc>
          <w:tcPr>
            <w:tcW w:w="1216" w:type="dxa"/>
            <w:tcBorders>
              <w:top w:val="single" w:sz="4" w:space="0" w:color="auto"/>
            </w:tcBorders>
            <w:noWrap/>
            <w:vAlign w:val="bottom"/>
            <w:hideMark/>
          </w:tcPr>
          <w:p w14:paraId="4D179D95" w14:textId="69F36CD7" w:rsidR="00BC0D70" w:rsidRPr="00D1707B" w:rsidRDefault="0077799B" w:rsidP="009A4335">
            <w:pPr>
              <w:spacing w:before="20" w:after="20"/>
              <w:jc w:val="right"/>
              <w:rPr>
                <w:rFonts w:asciiTheme="majorBidi" w:hAnsiTheme="majorBidi" w:cstheme="majorBidi"/>
                <w:sz w:val="20"/>
                <w:szCs w:val="20"/>
              </w:rPr>
            </w:pPr>
            <w:r>
              <w:rPr>
                <w:sz w:val="20"/>
              </w:rPr>
              <w:t>-</w:t>
            </w:r>
          </w:p>
        </w:tc>
        <w:tc>
          <w:tcPr>
            <w:tcW w:w="1216" w:type="dxa"/>
            <w:tcBorders>
              <w:top w:val="single" w:sz="4" w:space="0" w:color="auto"/>
            </w:tcBorders>
            <w:noWrap/>
            <w:vAlign w:val="bottom"/>
            <w:hideMark/>
          </w:tcPr>
          <w:p w14:paraId="1E0536BF"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31 500</w:t>
            </w:r>
          </w:p>
        </w:tc>
        <w:tc>
          <w:tcPr>
            <w:tcW w:w="1116" w:type="dxa"/>
            <w:tcBorders>
              <w:top w:val="single" w:sz="4" w:space="0" w:color="auto"/>
            </w:tcBorders>
            <w:noWrap/>
            <w:vAlign w:val="bottom"/>
            <w:hideMark/>
          </w:tcPr>
          <w:p w14:paraId="4911FA27"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31 500</w:t>
            </w:r>
          </w:p>
        </w:tc>
      </w:tr>
      <w:tr w:rsidR="0001637A" w:rsidRPr="00D1707B" w14:paraId="10DAA4BE" w14:textId="77777777" w:rsidTr="0001637A">
        <w:tc>
          <w:tcPr>
            <w:tcW w:w="4756" w:type="dxa"/>
            <w:noWrap/>
            <w:vAlign w:val="bottom"/>
            <w:hideMark/>
          </w:tcPr>
          <w:p w14:paraId="63BC1DD5"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Funcionamiento y actividades del Centro de Intercambio de Información sobre Seguridad de la Biotecnología</w:t>
            </w:r>
          </w:p>
        </w:tc>
        <w:tc>
          <w:tcPr>
            <w:tcW w:w="1316" w:type="dxa"/>
            <w:noWrap/>
            <w:vAlign w:val="bottom"/>
            <w:hideMark/>
          </w:tcPr>
          <w:p w14:paraId="42D1710F"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186 400</w:t>
            </w:r>
          </w:p>
        </w:tc>
        <w:tc>
          <w:tcPr>
            <w:tcW w:w="1216" w:type="dxa"/>
            <w:noWrap/>
            <w:vAlign w:val="bottom"/>
            <w:hideMark/>
          </w:tcPr>
          <w:p w14:paraId="77EB2FE0"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20 000</w:t>
            </w:r>
          </w:p>
        </w:tc>
        <w:tc>
          <w:tcPr>
            <w:tcW w:w="1216" w:type="dxa"/>
            <w:noWrap/>
            <w:vAlign w:val="bottom"/>
            <w:hideMark/>
          </w:tcPr>
          <w:p w14:paraId="1498A601"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432 000</w:t>
            </w:r>
          </w:p>
        </w:tc>
        <w:tc>
          <w:tcPr>
            <w:tcW w:w="1116" w:type="dxa"/>
            <w:noWrap/>
            <w:vAlign w:val="bottom"/>
            <w:hideMark/>
          </w:tcPr>
          <w:p w14:paraId="3F253121"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638 400</w:t>
            </w:r>
          </w:p>
        </w:tc>
      </w:tr>
      <w:tr w:rsidR="0001637A" w:rsidRPr="00D1707B" w14:paraId="355F8D82" w14:textId="77777777" w:rsidTr="0001637A">
        <w:tc>
          <w:tcPr>
            <w:tcW w:w="4756" w:type="dxa"/>
            <w:noWrap/>
            <w:vAlign w:val="bottom"/>
            <w:hideMark/>
          </w:tcPr>
          <w:p w14:paraId="2EEEDA20"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Evaluación del riesgo y gestión del riesgo</w:t>
            </w:r>
          </w:p>
        </w:tc>
        <w:tc>
          <w:tcPr>
            <w:tcW w:w="1316" w:type="dxa"/>
            <w:noWrap/>
            <w:vAlign w:val="bottom"/>
            <w:hideMark/>
          </w:tcPr>
          <w:p w14:paraId="1C32D3F2"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200 450</w:t>
            </w:r>
          </w:p>
        </w:tc>
        <w:tc>
          <w:tcPr>
            <w:tcW w:w="1216" w:type="dxa"/>
            <w:noWrap/>
            <w:vAlign w:val="bottom"/>
            <w:hideMark/>
          </w:tcPr>
          <w:p w14:paraId="64F9A7FB"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31 500</w:t>
            </w:r>
          </w:p>
        </w:tc>
        <w:tc>
          <w:tcPr>
            <w:tcW w:w="1216" w:type="dxa"/>
            <w:noWrap/>
            <w:vAlign w:val="bottom"/>
            <w:hideMark/>
          </w:tcPr>
          <w:p w14:paraId="58AE2372"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54 000</w:t>
            </w:r>
          </w:p>
        </w:tc>
        <w:tc>
          <w:tcPr>
            <w:tcW w:w="1116" w:type="dxa"/>
            <w:noWrap/>
            <w:vAlign w:val="bottom"/>
            <w:hideMark/>
          </w:tcPr>
          <w:p w14:paraId="2B92AF65"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285 950</w:t>
            </w:r>
          </w:p>
        </w:tc>
      </w:tr>
      <w:tr w:rsidR="0001637A" w:rsidRPr="00D1707B" w14:paraId="7D3E485A" w14:textId="77777777" w:rsidTr="0001637A">
        <w:tc>
          <w:tcPr>
            <w:tcW w:w="4756" w:type="dxa"/>
            <w:noWrap/>
            <w:vAlign w:val="bottom"/>
            <w:hideMark/>
          </w:tcPr>
          <w:p w14:paraId="2DC48992"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Detección e identificación de organismos vivos modificados</w:t>
            </w:r>
          </w:p>
        </w:tc>
        <w:tc>
          <w:tcPr>
            <w:tcW w:w="1316" w:type="dxa"/>
            <w:noWrap/>
            <w:vAlign w:val="bottom"/>
            <w:hideMark/>
          </w:tcPr>
          <w:p w14:paraId="67DE7B9B"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69 000</w:t>
            </w:r>
          </w:p>
        </w:tc>
        <w:tc>
          <w:tcPr>
            <w:tcW w:w="1216" w:type="dxa"/>
            <w:noWrap/>
            <w:vAlign w:val="bottom"/>
            <w:hideMark/>
          </w:tcPr>
          <w:p w14:paraId="5D38D3C8"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10 500</w:t>
            </w:r>
          </w:p>
        </w:tc>
        <w:tc>
          <w:tcPr>
            <w:tcW w:w="1216" w:type="dxa"/>
            <w:noWrap/>
            <w:vAlign w:val="bottom"/>
            <w:hideMark/>
          </w:tcPr>
          <w:p w14:paraId="68217DC4" w14:textId="070C4DD9" w:rsidR="00BC0D70" w:rsidRPr="00D1707B" w:rsidRDefault="0077799B" w:rsidP="009A4335">
            <w:pPr>
              <w:spacing w:before="20" w:after="20"/>
              <w:jc w:val="right"/>
              <w:rPr>
                <w:rFonts w:asciiTheme="majorBidi" w:hAnsiTheme="majorBidi" w:cstheme="majorBidi"/>
                <w:sz w:val="20"/>
                <w:szCs w:val="20"/>
              </w:rPr>
            </w:pPr>
            <w:r>
              <w:rPr>
                <w:sz w:val="20"/>
              </w:rPr>
              <w:t>-</w:t>
            </w:r>
          </w:p>
        </w:tc>
        <w:tc>
          <w:tcPr>
            <w:tcW w:w="1116" w:type="dxa"/>
            <w:noWrap/>
            <w:vAlign w:val="bottom"/>
            <w:hideMark/>
          </w:tcPr>
          <w:p w14:paraId="67E2A76F"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79 500</w:t>
            </w:r>
          </w:p>
        </w:tc>
      </w:tr>
      <w:tr w:rsidR="0001637A" w:rsidRPr="00D1707B" w14:paraId="3B125724" w14:textId="77777777" w:rsidTr="0001637A">
        <w:tc>
          <w:tcPr>
            <w:tcW w:w="4756" w:type="dxa"/>
            <w:noWrap/>
            <w:vAlign w:val="bottom"/>
            <w:hideMark/>
          </w:tcPr>
          <w:p w14:paraId="596AAEA3"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Consideraciones socioeconómicas</w:t>
            </w:r>
          </w:p>
        </w:tc>
        <w:tc>
          <w:tcPr>
            <w:tcW w:w="1316" w:type="dxa"/>
            <w:noWrap/>
            <w:vAlign w:val="bottom"/>
            <w:hideMark/>
          </w:tcPr>
          <w:p w14:paraId="6CBA8C7D" w14:textId="10492ED5" w:rsidR="00BC0D70" w:rsidRPr="00D1707B" w:rsidRDefault="0077799B" w:rsidP="009A4335">
            <w:pPr>
              <w:spacing w:before="20" w:after="20"/>
              <w:jc w:val="right"/>
              <w:rPr>
                <w:rFonts w:asciiTheme="majorBidi" w:hAnsiTheme="majorBidi" w:cstheme="majorBidi"/>
                <w:sz w:val="20"/>
                <w:szCs w:val="20"/>
              </w:rPr>
            </w:pPr>
            <w:r>
              <w:rPr>
                <w:sz w:val="20"/>
              </w:rPr>
              <w:t>-</w:t>
            </w:r>
          </w:p>
        </w:tc>
        <w:tc>
          <w:tcPr>
            <w:tcW w:w="1216" w:type="dxa"/>
            <w:noWrap/>
            <w:vAlign w:val="bottom"/>
            <w:hideMark/>
          </w:tcPr>
          <w:p w14:paraId="4BAC791E" w14:textId="4BE0BE6A" w:rsidR="00BC0D70" w:rsidRPr="00D1707B" w:rsidRDefault="0077799B" w:rsidP="009A4335">
            <w:pPr>
              <w:spacing w:before="20" w:after="20"/>
              <w:jc w:val="right"/>
              <w:rPr>
                <w:rFonts w:asciiTheme="majorBidi" w:hAnsiTheme="majorBidi" w:cstheme="majorBidi"/>
                <w:sz w:val="20"/>
                <w:szCs w:val="20"/>
              </w:rPr>
            </w:pPr>
            <w:r>
              <w:rPr>
                <w:sz w:val="20"/>
              </w:rPr>
              <w:t>-</w:t>
            </w:r>
          </w:p>
        </w:tc>
        <w:tc>
          <w:tcPr>
            <w:tcW w:w="1216" w:type="dxa"/>
            <w:noWrap/>
            <w:vAlign w:val="bottom"/>
            <w:hideMark/>
          </w:tcPr>
          <w:p w14:paraId="32AF4858"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31 500</w:t>
            </w:r>
          </w:p>
        </w:tc>
        <w:tc>
          <w:tcPr>
            <w:tcW w:w="1116" w:type="dxa"/>
            <w:noWrap/>
            <w:vAlign w:val="bottom"/>
            <w:hideMark/>
          </w:tcPr>
          <w:p w14:paraId="097726A6"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31 500</w:t>
            </w:r>
          </w:p>
        </w:tc>
      </w:tr>
      <w:tr w:rsidR="0001637A" w:rsidRPr="00D1707B" w14:paraId="24063293" w14:textId="77777777" w:rsidTr="0001637A">
        <w:tc>
          <w:tcPr>
            <w:tcW w:w="4756" w:type="dxa"/>
            <w:tcBorders>
              <w:bottom w:val="single" w:sz="4" w:space="0" w:color="auto"/>
            </w:tcBorders>
            <w:vAlign w:val="bottom"/>
            <w:hideMark/>
          </w:tcPr>
          <w:p w14:paraId="49A5D9B1"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Protocolo Suplementario de Nagoya-Kuala Lumpur sobre Responsabilidad y Compensación</w:t>
            </w:r>
          </w:p>
        </w:tc>
        <w:tc>
          <w:tcPr>
            <w:tcW w:w="1316" w:type="dxa"/>
            <w:tcBorders>
              <w:bottom w:val="single" w:sz="4" w:space="0" w:color="auto"/>
            </w:tcBorders>
            <w:noWrap/>
            <w:vAlign w:val="bottom"/>
            <w:hideMark/>
          </w:tcPr>
          <w:p w14:paraId="7A9D3E6D" w14:textId="014B468C" w:rsidR="00BC0D70" w:rsidRPr="00D1707B" w:rsidRDefault="0077799B" w:rsidP="009A4335">
            <w:pPr>
              <w:spacing w:before="20" w:after="20"/>
              <w:jc w:val="right"/>
              <w:rPr>
                <w:rFonts w:asciiTheme="majorBidi" w:hAnsiTheme="majorBidi" w:cstheme="majorBidi"/>
                <w:sz w:val="20"/>
                <w:szCs w:val="20"/>
              </w:rPr>
            </w:pPr>
            <w:r>
              <w:rPr>
                <w:sz w:val="20"/>
              </w:rPr>
              <w:t>-</w:t>
            </w:r>
          </w:p>
        </w:tc>
        <w:tc>
          <w:tcPr>
            <w:tcW w:w="1216" w:type="dxa"/>
            <w:tcBorders>
              <w:bottom w:val="single" w:sz="4" w:space="0" w:color="auto"/>
            </w:tcBorders>
            <w:noWrap/>
            <w:vAlign w:val="bottom"/>
            <w:hideMark/>
          </w:tcPr>
          <w:p w14:paraId="7D70E7B6" w14:textId="5214C2E3" w:rsidR="00BC0D70" w:rsidRPr="00D1707B" w:rsidRDefault="0077799B" w:rsidP="009A4335">
            <w:pPr>
              <w:spacing w:before="20" w:after="20"/>
              <w:jc w:val="right"/>
              <w:rPr>
                <w:rFonts w:asciiTheme="majorBidi" w:hAnsiTheme="majorBidi" w:cstheme="majorBidi"/>
                <w:sz w:val="20"/>
                <w:szCs w:val="20"/>
              </w:rPr>
            </w:pPr>
            <w:r>
              <w:rPr>
                <w:sz w:val="20"/>
              </w:rPr>
              <w:t>-</w:t>
            </w:r>
          </w:p>
        </w:tc>
        <w:tc>
          <w:tcPr>
            <w:tcW w:w="1216" w:type="dxa"/>
            <w:tcBorders>
              <w:bottom w:val="single" w:sz="4" w:space="0" w:color="auto"/>
            </w:tcBorders>
            <w:noWrap/>
            <w:vAlign w:val="bottom"/>
            <w:hideMark/>
          </w:tcPr>
          <w:p w14:paraId="6F7624BB"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31 500</w:t>
            </w:r>
          </w:p>
        </w:tc>
        <w:tc>
          <w:tcPr>
            <w:tcW w:w="1116" w:type="dxa"/>
            <w:tcBorders>
              <w:bottom w:val="single" w:sz="4" w:space="0" w:color="auto"/>
            </w:tcBorders>
            <w:noWrap/>
            <w:vAlign w:val="bottom"/>
            <w:hideMark/>
          </w:tcPr>
          <w:p w14:paraId="226BFE44"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31 500</w:t>
            </w:r>
          </w:p>
        </w:tc>
      </w:tr>
      <w:tr w:rsidR="0001637A" w:rsidRPr="00D1707B" w14:paraId="1DAC980A" w14:textId="77777777" w:rsidTr="0001637A">
        <w:tc>
          <w:tcPr>
            <w:tcW w:w="4756" w:type="dxa"/>
            <w:tcBorders>
              <w:top w:val="single" w:sz="4" w:space="0" w:color="auto"/>
              <w:bottom w:val="single" w:sz="4" w:space="0" w:color="auto"/>
            </w:tcBorders>
            <w:vAlign w:val="bottom"/>
            <w:hideMark/>
          </w:tcPr>
          <w:p w14:paraId="1CCEE9E7" w14:textId="772DCCE7" w:rsidR="00BC0D70" w:rsidRPr="00D1707B" w:rsidRDefault="00BC0D70" w:rsidP="009A4335">
            <w:pPr>
              <w:spacing w:before="20" w:after="20"/>
              <w:ind w:left="318"/>
              <w:jc w:val="left"/>
              <w:rPr>
                <w:rFonts w:asciiTheme="majorBidi" w:hAnsiTheme="majorBidi" w:cstheme="majorBidi"/>
                <w:b/>
                <w:bCs/>
                <w:sz w:val="20"/>
                <w:szCs w:val="20"/>
              </w:rPr>
            </w:pPr>
            <w:r>
              <w:rPr>
                <w:rFonts w:asciiTheme="majorBidi" w:hAnsiTheme="majorBidi"/>
                <w:b/>
                <w:sz w:val="20"/>
              </w:rPr>
              <w:t>Subtotal</w:t>
            </w:r>
          </w:p>
        </w:tc>
        <w:tc>
          <w:tcPr>
            <w:tcW w:w="1316" w:type="dxa"/>
            <w:tcBorders>
              <w:top w:val="single" w:sz="4" w:space="0" w:color="auto"/>
              <w:bottom w:val="single" w:sz="4" w:space="0" w:color="auto"/>
            </w:tcBorders>
            <w:noWrap/>
            <w:vAlign w:val="bottom"/>
            <w:hideMark/>
          </w:tcPr>
          <w:p w14:paraId="48EFF4BF" w14:textId="77777777" w:rsidR="00BC0D70" w:rsidRPr="00D1707B" w:rsidRDefault="00BC0D70" w:rsidP="009A4335">
            <w:pPr>
              <w:spacing w:before="20" w:after="20"/>
              <w:jc w:val="right"/>
              <w:rPr>
                <w:rFonts w:asciiTheme="majorBidi" w:hAnsiTheme="majorBidi" w:cstheme="majorBidi"/>
                <w:b/>
                <w:bCs/>
                <w:sz w:val="20"/>
                <w:szCs w:val="20"/>
              </w:rPr>
            </w:pPr>
            <w:r>
              <w:rPr>
                <w:rFonts w:asciiTheme="majorBidi" w:hAnsiTheme="majorBidi"/>
                <w:b/>
                <w:sz w:val="20"/>
              </w:rPr>
              <w:t>455 850</w:t>
            </w:r>
          </w:p>
        </w:tc>
        <w:tc>
          <w:tcPr>
            <w:tcW w:w="1216" w:type="dxa"/>
            <w:tcBorders>
              <w:top w:val="single" w:sz="4" w:space="0" w:color="auto"/>
              <w:bottom w:val="single" w:sz="4" w:space="0" w:color="auto"/>
            </w:tcBorders>
            <w:noWrap/>
            <w:vAlign w:val="bottom"/>
            <w:hideMark/>
          </w:tcPr>
          <w:p w14:paraId="388D1536" w14:textId="77777777" w:rsidR="00BC0D70" w:rsidRPr="00D1707B" w:rsidRDefault="00BC0D70" w:rsidP="009A4335">
            <w:pPr>
              <w:spacing w:before="20" w:after="20"/>
              <w:jc w:val="right"/>
              <w:rPr>
                <w:rFonts w:asciiTheme="majorBidi" w:hAnsiTheme="majorBidi" w:cstheme="majorBidi"/>
                <w:b/>
                <w:bCs/>
                <w:sz w:val="20"/>
                <w:szCs w:val="20"/>
              </w:rPr>
            </w:pPr>
            <w:r>
              <w:rPr>
                <w:rFonts w:asciiTheme="majorBidi" w:hAnsiTheme="majorBidi"/>
                <w:b/>
                <w:sz w:val="20"/>
              </w:rPr>
              <w:t>62 000</w:t>
            </w:r>
          </w:p>
        </w:tc>
        <w:tc>
          <w:tcPr>
            <w:tcW w:w="1216" w:type="dxa"/>
            <w:tcBorders>
              <w:top w:val="single" w:sz="4" w:space="0" w:color="auto"/>
              <w:bottom w:val="single" w:sz="4" w:space="0" w:color="auto"/>
            </w:tcBorders>
            <w:noWrap/>
            <w:vAlign w:val="bottom"/>
            <w:hideMark/>
          </w:tcPr>
          <w:p w14:paraId="17737995" w14:textId="77777777" w:rsidR="00BC0D70" w:rsidRPr="00D1707B" w:rsidRDefault="00BC0D70" w:rsidP="009A4335">
            <w:pPr>
              <w:spacing w:before="20" w:after="20"/>
              <w:jc w:val="right"/>
              <w:rPr>
                <w:rFonts w:asciiTheme="majorBidi" w:hAnsiTheme="majorBidi" w:cstheme="majorBidi"/>
                <w:b/>
                <w:bCs/>
                <w:sz w:val="20"/>
                <w:szCs w:val="20"/>
              </w:rPr>
            </w:pPr>
            <w:r>
              <w:rPr>
                <w:rFonts w:asciiTheme="majorBidi" w:hAnsiTheme="majorBidi"/>
                <w:b/>
                <w:sz w:val="20"/>
              </w:rPr>
              <w:t>580 500</w:t>
            </w:r>
          </w:p>
        </w:tc>
        <w:tc>
          <w:tcPr>
            <w:tcW w:w="1116" w:type="dxa"/>
            <w:tcBorders>
              <w:top w:val="single" w:sz="4" w:space="0" w:color="auto"/>
              <w:bottom w:val="single" w:sz="4" w:space="0" w:color="auto"/>
            </w:tcBorders>
            <w:noWrap/>
            <w:vAlign w:val="bottom"/>
            <w:hideMark/>
          </w:tcPr>
          <w:p w14:paraId="440C0F1D" w14:textId="77777777" w:rsidR="00BC0D70" w:rsidRPr="00D1707B" w:rsidRDefault="00BC0D70" w:rsidP="009A4335">
            <w:pPr>
              <w:spacing w:before="20" w:after="20"/>
              <w:jc w:val="right"/>
              <w:rPr>
                <w:rFonts w:asciiTheme="majorBidi" w:hAnsiTheme="majorBidi" w:cstheme="majorBidi"/>
                <w:b/>
                <w:bCs/>
                <w:sz w:val="20"/>
                <w:szCs w:val="20"/>
              </w:rPr>
            </w:pPr>
            <w:r>
              <w:rPr>
                <w:rFonts w:asciiTheme="majorBidi" w:hAnsiTheme="majorBidi"/>
                <w:b/>
                <w:sz w:val="20"/>
              </w:rPr>
              <w:t>1 098 350</w:t>
            </w:r>
          </w:p>
        </w:tc>
      </w:tr>
      <w:tr w:rsidR="0001637A" w:rsidRPr="00D1707B" w14:paraId="4DB98147" w14:textId="77777777" w:rsidTr="0001637A">
        <w:tc>
          <w:tcPr>
            <w:tcW w:w="4756" w:type="dxa"/>
            <w:tcBorders>
              <w:top w:val="single" w:sz="4" w:space="0" w:color="auto"/>
              <w:bottom w:val="single" w:sz="4" w:space="0" w:color="auto"/>
            </w:tcBorders>
            <w:vAlign w:val="bottom"/>
            <w:hideMark/>
          </w:tcPr>
          <w:p w14:paraId="01517C92" w14:textId="24F576E8" w:rsidR="00E849A7" w:rsidRPr="00D1707B" w:rsidRDefault="00E849A7" w:rsidP="009A4335">
            <w:pPr>
              <w:spacing w:before="20" w:after="20"/>
              <w:jc w:val="left"/>
              <w:rPr>
                <w:rFonts w:asciiTheme="majorBidi" w:hAnsiTheme="majorBidi" w:cstheme="majorBidi"/>
                <w:sz w:val="20"/>
                <w:szCs w:val="20"/>
              </w:rPr>
            </w:pPr>
            <w:r>
              <w:rPr>
                <w:rFonts w:asciiTheme="majorBidi" w:hAnsiTheme="majorBidi"/>
                <w:sz w:val="20"/>
              </w:rPr>
              <w:t>Gastos de apoyo a los programas (13 %)</w:t>
            </w:r>
          </w:p>
        </w:tc>
        <w:tc>
          <w:tcPr>
            <w:tcW w:w="1316" w:type="dxa"/>
            <w:tcBorders>
              <w:top w:val="single" w:sz="4" w:space="0" w:color="auto"/>
              <w:bottom w:val="single" w:sz="4" w:space="0" w:color="auto"/>
            </w:tcBorders>
            <w:noWrap/>
            <w:hideMark/>
          </w:tcPr>
          <w:p w14:paraId="2E24A4B6" w14:textId="4EAA5C7C" w:rsidR="00E849A7" w:rsidRPr="00D1707B" w:rsidRDefault="00E849A7" w:rsidP="009A4335">
            <w:pPr>
              <w:spacing w:before="20" w:after="20"/>
              <w:jc w:val="right"/>
              <w:rPr>
                <w:rFonts w:asciiTheme="majorBidi" w:hAnsiTheme="majorBidi" w:cstheme="majorBidi"/>
                <w:sz w:val="20"/>
                <w:szCs w:val="20"/>
              </w:rPr>
            </w:pPr>
            <w:r>
              <w:rPr>
                <w:rFonts w:asciiTheme="majorBidi" w:hAnsiTheme="majorBidi"/>
                <w:sz w:val="20"/>
              </w:rPr>
              <w:t>59 261</w:t>
            </w:r>
          </w:p>
        </w:tc>
        <w:tc>
          <w:tcPr>
            <w:tcW w:w="1216" w:type="dxa"/>
            <w:tcBorders>
              <w:top w:val="single" w:sz="4" w:space="0" w:color="auto"/>
              <w:bottom w:val="single" w:sz="4" w:space="0" w:color="auto"/>
            </w:tcBorders>
            <w:noWrap/>
            <w:hideMark/>
          </w:tcPr>
          <w:p w14:paraId="4ECFB262" w14:textId="4C6B55D8" w:rsidR="00E849A7" w:rsidRPr="00D1707B" w:rsidRDefault="00E849A7" w:rsidP="009A4335">
            <w:pPr>
              <w:spacing w:before="20" w:after="20"/>
              <w:jc w:val="right"/>
              <w:rPr>
                <w:rFonts w:asciiTheme="majorBidi" w:hAnsiTheme="majorBidi" w:cstheme="majorBidi"/>
                <w:sz w:val="20"/>
                <w:szCs w:val="20"/>
              </w:rPr>
            </w:pPr>
            <w:r>
              <w:rPr>
                <w:rFonts w:asciiTheme="majorBidi" w:hAnsiTheme="majorBidi"/>
                <w:sz w:val="20"/>
              </w:rPr>
              <w:t>8 060</w:t>
            </w:r>
          </w:p>
        </w:tc>
        <w:tc>
          <w:tcPr>
            <w:tcW w:w="1216" w:type="dxa"/>
            <w:tcBorders>
              <w:top w:val="single" w:sz="4" w:space="0" w:color="auto"/>
              <w:bottom w:val="single" w:sz="4" w:space="0" w:color="auto"/>
            </w:tcBorders>
            <w:noWrap/>
            <w:hideMark/>
          </w:tcPr>
          <w:p w14:paraId="10FB3DE5" w14:textId="5C04A48A" w:rsidR="00E849A7" w:rsidRPr="00D1707B" w:rsidRDefault="00E849A7" w:rsidP="009A4335">
            <w:pPr>
              <w:spacing w:before="20" w:after="20"/>
              <w:jc w:val="right"/>
              <w:rPr>
                <w:rFonts w:asciiTheme="majorBidi" w:hAnsiTheme="majorBidi" w:cstheme="majorBidi"/>
                <w:sz w:val="20"/>
                <w:szCs w:val="20"/>
              </w:rPr>
            </w:pPr>
            <w:r>
              <w:rPr>
                <w:rFonts w:asciiTheme="majorBidi" w:hAnsiTheme="majorBidi"/>
                <w:sz w:val="20"/>
              </w:rPr>
              <w:t>75 465</w:t>
            </w:r>
          </w:p>
        </w:tc>
        <w:tc>
          <w:tcPr>
            <w:tcW w:w="1116" w:type="dxa"/>
            <w:tcBorders>
              <w:top w:val="single" w:sz="4" w:space="0" w:color="auto"/>
              <w:bottom w:val="single" w:sz="4" w:space="0" w:color="auto"/>
            </w:tcBorders>
            <w:noWrap/>
            <w:vAlign w:val="bottom"/>
            <w:hideMark/>
          </w:tcPr>
          <w:p w14:paraId="118245B9" w14:textId="77777777" w:rsidR="00E849A7" w:rsidRPr="00D1707B" w:rsidRDefault="00E849A7" w:rsidP="009A4335">
            <w:pPr>
              <w:spacing w:before="20" w:after="20"/>
              <w:jc w:val="right"/>
              <w:rPr>
                <w:rFonts w:asciiTheme="majorBidi" w:hAnsiTheme="majorBidi" w:cstheme="majorBidi"/>
                <w:sz w:val="20"/>
                <w:szCs w:val="20"/>
              </w:rPr>
            </w:pPr>
            <w:r>
              <w:rPr>
                <w:rFonts w:asciiTheme="majorBidi" w:hAnsiTheme="majorBidi"/>
                <w:sz w:val="20"/>
              </w:rPr>
              <w:t>142 786</w:t>
            </w:r>
          </w:p>
        </w:tc>
      </w:tr>
      <w:tr w:rsidR="0001637A" w:rsidRPr="00D1707B" w14:paraId="4CDD85C0" w14:textId="77777777" w:rsidTr="0001637A">
        <w:tc>
          <w:tcPr>
            <w:tcW w:w="4756" w:type="dxa"/>
            <w:tcBorders>
              <w:top w:val="single" w:sz="4" w:space="0" w:color="auto"/>
              <w:bottom w:val="single" w:sz="4" w:space="0" w:color="auto"/>
            </w:tcBorders>
            <w:vAlign w:val="bottom"/>
            <w:hideMark/>
          </w:tcPr>
          <w:p w14:paraId="60A16E09" w14:textId="6BB2480A" w:rsidR="00E849A7" w:rsidRPr="00D1707B" w:rsidRDefault="00E849A7" w:rsidP="009A4335">
            <w:pPr>
              <w:spacing w:before="20" w:after="20"/>
              <w:ind w:left="318"/>
              <w:jc w:val="left"/>
              <w:rPr>
                <w:rFonts w:asciiTheme="majorBidi" w:hAnsiTheme="majorBidi" w:cstheme="majorBidi"/>
                <w:b/>
                <w:bCs/>
                <w:sz w:val="20"/>
                <w:szCs w:val="20"/>
              </w:rPr>
            </w:pPr>
            <w:r>
              <w:rPr>
                <w:rFonts w:asciiTheme="majorBidi" w:hAnsiTheme="majorBidi"/>
                <w:b/>
                <w:sz w:val="20"/>
              </w:rPr>
              <w:t>Total</w:t>
            </w:r>
          </w:p>
        </w:tc>
        <w:tc>
          <w:tcPr>
            <w:tcW w:w="1316" w:type="dxa"/>
            <w:tcBorders>
              <w:top w:val="single" w:sz="4" w:space="0" w:color="auto"/>
              <w:bottom w:val="single" w:sz="4" w:space="0" w:color="auto"/>
            </w:tcBorders>
            <w:noWrap/>
            <w:hideMark/>
          </w:tcPr>
          <w:p w14:paraId="2C074908" w14:textId="79A4AE8F" w:rsidR="00E849A7" w:rsidRPr="00D1707B" w:rsidRDefault="00E849A7" w:rsidP="009A4335">
            <w:pPr>
              <w:spacing w:before="20" w:after="20"/>
              <w:jc w:val="right"/>
              <w:rPr>
                <w:rFonts w:asciiTheme="majorBidi" w:hAnsiTheme="majorBidi" w:cstheme="majorBidi"/>
                <w:b/>
                <w:bCs/>
                <w:sz w:val="20"/>
                <w:szCs w:val="20"/>
              </w:rPr>
            </w:pPr>
            <w:r>
              <w:rPr>
                <w:rFonts w:asciiTheme="majorBidi" w:hAnsiTheme="majorBidi"/>
                <w:b/>
                <w:sz w:val="20"/>
              </w:rPr>
              <w:t>515 111</w:t>
            </w:r>
          </w:p>
        </w:tc>
        <w:tc>
          <w:tcPr>
            <w:tcW w:w="1216" w:type="dxa"/>
            <w:tcBorders>
              <w:top w:val="single" w:sz="4" w:space="0" w:color="auto"/>
              <w:bottom w:val="single" w:sz="4" w:space="0" w:color="auto"/>
            </w:tcBorders>
            <w:noWrap/>
            <w:hideMark/>
          </w:tcPr>
          <w:p w14:paraId="2E8971C1" w14:textId="7A946A88" w:rsidR="00E849A7" w:rsidRPr="00D1707B" w:rsidRDefault="00E849A7" w:rsidP="009A4335">
            <w:pPr>
              <w:spacing w:before="20" w:after="20"/>
              <w:jc w:val="right"/>
              <w:rPr>
                <w:rFonts w:asciiTheme="majorBidi" w:hAnsiTheme="majorBidi" w:cstheme="majorBidi"/>
                <w:b/>
                <w:bCs/>
                <w:sz w:val="20"/>
                <w:szCs w:val="20"/>
              </w:rPr>
            </w:pPr>
            <w:r>
              <w:rPr>
                <w:rFonts w:asciiTheme="majorBidi" w:hAnsiTheme="majorBidi"/>
                <w:b/>
                <w:sz w:val="20"/>
              </w:rPr>
              <w:t>70 060</w:t>
            </w:r>
          </w:p>
        </w:tc>
        <w:tc>
          <w:tcPr>
            <w:tcW w:w="1216" w:type="dxa"/>
            <w:tcBorders>
              <w:top w:val="single" w:sz="4" w:space="0" w:color="auto"/>
              <w:bottom w:val="single" w:sz="4" w:space="0" w:color="auto"/>
            </w:tcBorders>
            <w:noWrap/>
            <w:hideMark/>
          </w:tcPr>
          <w:p w14:paraId="69DDB547" w14:textId="770BC8E4" w:rsidR="00E849A7" w:rsidRPr="00D1707B" w:rsidRDefault="00E849A7" w:rsidP="009A4335">
            <w:pPr>
              <w:spacing w:before="20" w:after="20"/>
              <w:jc w:val="right"/>
              <w:rPr>
                <w:rFonts w:asciiTheme="majorBidi" w:hAnsiTheme="majorBidi" w:cstheme="majorBidi"/>
                <w:b/>
                <w:bCs/>
                <w:sz w:val="20"/>
                <w:szCs w:val="20"/>
              </w:rPr>
            </w:pPr>
            <w:r>
              <w:rPr>
                <w:rFonts w:asciiTheme="majorBidi" w:hAnsiTheme="majorBidi"/>
                <w:b/>
                <w:sz w:val="20"/>
              </w:rPr>
              <w:t>655 965</w:t>
            </w:r>
          </w:p>
        </w:tc>
        <w:tc>
          <w:tcPr>
            <w:tcW w:w="1116" w:type="dxa"/>
            <w:tcBorders>
              <w:top w:val="single" w:sz="4" w:space="0" w:color="auto"/>
              <w:bottom w:val="single" w:sz="4" w:space="0" w:color="auto"/>
            </w:tcBorders>
            <w:noWrap/>
            <w:vAlign w:val="bottom"/>
            <w:hideMark/>
          </w:tcPr>
          <w:p w14:paraId="79805F86" w14:textId="77777777" w:rsidR="00E849A7" w:rsidRPr="00D1707B" w:rsidRDefault="00E849A7" w:rsidP="009A4335">
            <w:pPr>
              <w:spacing w:before="20" w:after="20"/>
              <w:jc w:val="right"/>
              <w:rPr>
                <w:rFonts w:asciiTheme="majorBidi" w:hAnsiTheme="majorBidi" w:cstheme="majorBidi"/>
                <w:b/>
                <w:bCs/>
                <w:sz w:val="20"/>
                <w:szCs w:val="20"/>
              </w:rPr>
            </w:pPr>
            <w:r>
              <w:rPr>
                <w:rFonts w:asciiTheme="majorBidi" w:hAnsiTheme="majorBidi"/>
                <w:b/>
                <w:sz w:val="20"/>
              </w:rPr>
              <w:t>1 241 136</w:t>
            </w:r>
          </w:p>
        </w:tc>
      </w:tr>
      <w:tr w:rsidR="00F26423" w:rsidRPr="00D1707B" w14:paraId="2C5E6B68" w14:textId="77777777" w:rsidTr="009A4335">
        <w:tc>
          <w:tcPr>
            <w:tcW w:w="9620" w:type="dxa"/>
            <w:gridSpan w:val="5"/>
            <w:tcBorders>
              <w:top w:val="single" w:sz="4" w:space="0" w:color="auto"/>
              <w:bottom w:val="single" w:sz="4" w:space="0" w:color="auto"/>
            </w:tcBorders>
            <w:noWrap/>
            <w:vAlign w:val="bottom"/>
            <w:hideMark/>
          </w:tcPr>
          <w:p w14:paraId="333FA9B6"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b/>
                <w:sz w:val="20"/>
              </w:rPr>
              <w:t>C. Protocolo de Nagoya sobre Acceso y Participación en los Beneficios</w:t>
            </w:r>
          </w:p>
        </w:tc>
      </w:tr>
      <w:tr w:rsidR="0001637A" w:rsidRPr="00D1707B" w14:paraId="29BA1F81" w14:textId="77777777" w:rsidTr="0001637A">
        <w:tc>
          <w:tcPr>
            <w:tcW w:w="4756" w:type="dxa"/>
            <w:tcBorders>
              <w:top w:val="single" w:sz="4" w:space="0" w:color="auto"/>
            </w:tcBorders>
            <w:noWrap/>
            <w:vAlign w:val="bottom"/>
            <w:hideMark/>
          </w:tcPr>
          <w:p w14:paraId="3D4B48C7"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Creación y desarrollo de capacidad y concienciación</w:t>
            </w:r>
          </w:p>
        </w:tc>
        <w:tc>
          <w:tcPr>
            <w:tcW w:w="1316" w:type="dxa"/>
            <w:tcBorders>
              <w:top w:val="single" w:sz="4" w:space="0" w:color="auto"/>
            </w:tcBorders>
            <w:noWrap/>
            <w:vAlign w:val="bottom"/>
            <w:hideMark/>
          </w:tcPr>
          <w:p w14:paraId="0C33C586"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270 400</w:t>
            </w:r>
          </w:p>
        </w:tc>
        <w:tc>
          <w:tcPr>
            <w:tcW w:w="1216" w:type="dxa"/>
            <w:tcBorders>
              <w:top w:val="single" w:sz="4" w:space="0" w:color="auto"/>
            </w:tcBorders>
            <w:noWrap/>
            <w:vAlign w:val="bottom"/>
            <w:hideMark/>
          </w:tcPr>
          <w:p w14:paraId="392D673E"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15 000</w:t>
            </w:r>
          </w:p>
        </w:tc>
        <w:tc>
          <w:tcPr>
            <w:tcW w:w="1216" w:type="dxa"/>
            <w:tcBorders>
              <w:top w:val="single" w:sz="4" w:space="0" w:color="auto"/>
            </w:tcBorders>
            <w:noWrap/>
            <w:vAlign w:val="bottom"/>
            <w:hideMark/>
          </w:tcPr>
          <w:p w14:paraId="1DDE8CE4"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27 000</w:t>
            </w:r>
          </w:p>
        </w:tc>
        <w:tc>
          <w:tcPr>
            <w:tcW w:w="1116" w:type="dxa"/>
            <w:tcBorders>
              <w:top w:val="single" w:sz="4" w:space="0" w:color="auto"/>
            </w:tcBorders>
            <w:noWrap/>
            <w:vAlign w:val="bottom"/>
            <w:hideMark/>
          </w:tcPr>
          <w:p w14:paraId="7DCFD8B9"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312 400</w:t>
            </w:r>
          </w:p>
        </w:tc>
      </w:tr>
      <w:tr w:rsidR="0001637A" w:rsidRPr="00D1707B" w14:paraId="7654C695" w14:textId="77777777" w:rsidTr="0001637A">
        <w:tc>
          <w:tcPr>
            <w:tcW w:w="4756" w:type="dxa"/>
            <w:noWrap/>
            <w:vAlign w:val="bottom"/>
            <w:hideMark/>
          </w:tcPr>
          <w:p w14:paraId="645759B9"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Centro de Intercambio de Información sobre Acceso y Participación en los Beneficios e intercambio de información</w:t>
            </w:r>
          </w:p>
        </w:tc>
        <w:tc>
          <w:tcPr>
            <w:tcW w:w="1316" w:type="dxa"/>
            <w:noWrap/>
            <w:vAlign w:val="bottom"/>
            <w:hideMark/>
          </w:tcPr>
          <w:p w14:paraId="061A0173"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45 150</w:t>
            </w:r>
          </w:p>
        </w:tc>
        <w:tc>
          <w:tcPr>
            <w:tcW w:w="1216" w:type="dxa"/>
            <w:noWrap/>
            <w:vAlign w:val="bottom"/>
            <w:hideMark/>
          </w:tcPr>
          <w:p w14:paraId="2EB65A31"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77 750</w:t>
            </w:r>
          </w:p>
        </w:tc>
        <w:tc>
          <w:tcPr>
            <w:tcW w:w="1216" w:type="dxa"/>
            <w:noWrap/>
            <w:vAlign w:val="bottom"/>
            <w:hideMark/>
          </w:tcPr>
          <w:p w14:paraId="24AED33C"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216 000</w:t>
            </w:r>
          </w:p>
        </w:tc>
        <w:tc>
          <w:tcPr>
            <w:tcW w:w="1116" w:type="dxa"/>
            <w:noWrap/>
            <w:vAlign w:val="bottom"/>
            <w:hideMark/>
          </w:tcPr>
          <w:p w14:paraId="61EA5892"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338 900</w:t>
            </w:r>
          </w:p>
        </w:tc>
      </w:tr>
      <w:tr w:rsidR="0001637A" w:rsidRPr="00D1707B" w14:paraId="3F46905C" w14:textId="77777777" w:rsidTr="0001637A">
        <w:tc>
          <w:tcPr>
            <w:tcW w:w="4756" w:type="dxa"/>
            <w:tcBorders>
              <w:bottom w:val="single" w:sz="4" w:space="0" w:color="auto"/>
            </w:tcBorders>
            <w:vAlign w:val="bottom"/>
            <w:hideMark/>
          </w:tcPr>
          <w:p w14:paraId="2D533166" w14:textId="77777777" w:rsidR="00BC0D70" w:rsidRPr="00D1707B" w:rsidRDefault="00BC0D70" w:rsidP="009A4335">
            <w:pPr>
              <w:spacing w:before="20" w:after="20"/>
              <w:jc w:val="left"/>
              <w:rPr>
                <w:rFonts w:asciiTheme="majorBidi" w:hAnsiTheme="majorBidi" w:cstheme="majorBidi"/>
                <w:sz w:val="20"/>
                <w:szCs w:val="20"/>
              </w:rPr>
            </w:pPr>
            <w:r>
              <w:rPr>
                <w:rFonts w:asciiTheme="majorBidi" w:hAnsiTheme="majorBidi"/>
                <w:sz w:val="20"/>
              </w:rPr>
              <w:t>Metodología para la segunda evaluación y revisión de la eficacia del Protocolo de Nagoya</w:t>
            </w:r>
          </w:p>
        </w:tc>
        <w:tc>
          <w:tcPr>
            <w:tcW w:w="1316" w:type="dxa"/>
            <w:tcBorders>
              <w:bottom w:val="single" w:sz="4" w:space="0" w:color="auto"/>
            </w:tcBorders>
            <w:noWrap/>
            <w:vAlign w:val="bottom"/>
            <w:hideMark/>
          </w:tcPr>
          <w:p w14:paraId="6B9AE5DA" w14:textId="02BD81B1" w:rsidR="00BC0D70" w:rsidRPr="00D1707B" w:rsidRDefault="0077799B" w:rsidP="009A4335">
            <w:pPr>
              <w:spacing w:before="20" w:after="20"/>
              <w:jc w:val="right"/>
              <w:rPr>
                <w:rFonts w:asciiTheme="majorBidi" w:hAnsiTheme="majorBidi" w:cstheme="majorBidi"/>
                <w:sz w:val="20"/>
                <w:szCs w:val="20"/>
              </w:rPr>
            </w:pPr>
            <w:r>
              <w:rPr>
                <w:sz w:val="20"/>
              </w:rPr>
              <w:t>-</w:t>
            </w:r>
          </w:p>
        </w:tc>
        <w:tc>
          <w:tcPr>
            <w:tcW w:w="1216" w:type="dxa"/>
            <w:tcBorders>
              <w:bottom w:val="single" w:sz="4" w:space="0" w:color="auto"/>
            </w:tcBorders>
            <w:noWrap/>
            <w:vAlign w:val="bottom"/>
            <w:hideMark/>
          </w:tcPr>
          <w:p w14:paraId="3070C732" w14:textId="0609335B" w:rsidR="00BC0D70" w:rsidRPr="00D1707B" w:rsidRDefault="0077799B" w:rsidP="009A4335">
            <w:pPr>
              <w:spacing w:before="20" w:after="20"/>
              <w:jc w:val="right"/>
              <w:rPr>
                <w:rFonts w:asciiTheme="majorBidi" w:hAnsiTheme="majorBidi" w:cstheme="majorBidi"/>
                <w:sz w:val="20"/>
                <w:szCs w:val="20"/>
              </w:rPr>
            </w:pPr>
            <w:r>
              <w:rPr>
                <w:sz w:val="20"/>
              </w:rPr>
              <w:t>-</w:t>
            </w:r>
          </w:p>
        </w:tc>
        <w:tc>
          <w:tcPr>
            <w:tcW w:w="1216" w:type="dxa"/>
            <w:tcBorders>
              <w:bottom w:val="single" w:sz="4" w:space="0" w:color="auto"/>
            </w:tcBorders>
            <w:noWrap/>
            <w:vAlign w:val="bottom"/>
            <w:hideMark/>
          </w:tcPr>
          <w:p w14:paraId="71968B53"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45 000</w:t>
            </w:r>
          </w:p>
        </w:tc>
        <w:tc>
          <w:tcPr>
            <w:tcW w:w="1116" w:type="dxa"/>
            <w:tcBorders>
              <w:bottom w:val="single" w:sz="4" w:space="0" w:color="auto"/>
            </w:tcBorders>
            <w:noWrap/>
            <w:vAlign w:val="bottom"/>
            <w:hideMark/>
          </w:tcPr>
          <w:p w14:paraId="376BD7E7" w14:textId="77777777" w:rsidR="00BC0D70" w:rsidRPr="00D1707B" w:rsidRDefault="00BC0D70" w:rsidP="009A4335">
            <w:pPr>
              <w:spacing w:before="20" w:after="20"/>
              <w:jc w:val="right"/>
              <w:rPr>
                <w:rFonts w:asciiTheme="majorBidi" w:hAnsiTheme="majorBidi" w:cstheme="majorBidi"/>
                <w:sz w:val="20"/>
                <w:szCs w:val="20"/>
              </w:rPr>
            </w:pPr>
            <w:r>
              <w:rPr>
                <w:rFonts w:asciiTheme="majorBidi" w:hAnsiTheme="majorBidi"/>
                <w:sz w:val="20"/>
              </w:rPr>
              <w:t>45 000</w:t>
            </w:r>
          </w:p>
        </w:tc>
      </w:tr>
      <w:tr w:rsidR="0001637A" w:rsidRPr="00D1707B" w14:paraId="2526F840" w14:textId="77777777" w:rsidTr="0001637A">
        <w:tc>
          <w:tcPr>
            <w:tcW w:w="4756" w:type="dxa"/>
            <w:tcBorders>
              <w:top w:val="single" w:sz="4" w:space="0" w:color="auto"/>
              <w:bottom w:val="single" w:sz="4" w:space="0" w:color="auto"/>
            </w:tcBorders>
            <w:vAlign w:val="bottom"/>
            <w:hideMark/>
          </w:tcPr>
          <w:p w14:paraId="111CF24A" w14:textId="373E9E8F" w:rsidR="00BC0D70" w:rsidRPr="00D1707B" w:rsidRDefault="00BC0D70" w:rsidP="009A4335">
            <w:pPr>
              <w:spacing w:before="20" w:after="20"/>
              <w:ind w:left="318"/>
              <w:jc w:val="left"/>
              <w:rPr>
                <w:rFonts w:asciiTheme="majorBidi" w:hAnsiTheme="majorBidi" w:cstheme="majorBidi"/>
                <w:b/>
                <w:bCs/>
                <w:sz w:val="20"/>
                <w:szCs w:val="20"/>
              </w:rPr>
            </w:pPr>
            <w:r>
              <w:rPr>
                <w:rFonts w:asciiTheme="majorBidi" w:hAnsiTheme="majorBidi"/>
                <w:b/>
                <w:sz w:val="20"/>
              </w:rPr>
              <w:t xml:space="preserve">Subtotal </w:t>
            </w:r>
          </w:p>
        </w:tc>
        <w:tc>
          <w:tcPr>
            <w:tcW w:w="1316" w:type="dxa"/>
            <w:tcBorders>
              <w:top w:val="single" w:sz="4" w:space="0" w:color="auto"/>
              <w:bottom w:val="single" w:sz="4" w:space="0" w:color="auto"/>
            </w:tcBorders>
            <w:noWrap/>
            <w:vAlign w:val="bottom"/>
            <w:hideMark/>
          </w:tcPr>
          <w:p w14:paraId="1E87C4B2" w14:textId="77777777" w:rsidR="00BC0D70" w:rsidRPr="00D1707B" w:rsidRDefault="00BC0D70" w:rsidP="009A4335">
            <w:pPr>
              <w:spacing w:before="20" w:after="20"/>
              <w:jc w:val="right"/>
              <w:rPr>
                <w:rFonts w:asciiTheme="majorBidi" w:hAnsiTheme="majorBidi" w:cstheme="majorBidi"/>
                <w:b/>
                <w:bCs/>
                <w:sz w:val="20"/>
                <w:szCs w:val="20"/>
              </w:rPr>
            </w:pPr>
            <w:r>
              <w:rPr>
                <w:rFonts w:asciiTheme="majorBidi" w:hAnsiTheme="majorBidi"/>
                <w:b/>
                <w:sz w:val="20"/>
              </w:rPr>
              <w:t>315 550</w:t>
            </w:r>
          </w:p>
        </w:tc>
        <w:tc>
          <w:tcPr>
            <w:tcW w:w="1216" w:type="dxa"/>
            <w:tcBorders>
              <w:top w:val="single" w:sz="4" w:space="0" w:color="auto"/>
              <w:bottom w:val="single" w:sz="4" w:space="0" w:color="auto"/>
            </w:tcBorders>
            <w:noWrap/>
            <w:vAlign w:val="bottom"/>
            <w:hideMark/>
          </w:tcPr>
          <w:p w14:paraId="5991A2E6" w14:textId="77777777" w:rsidR="00BC0D70" w:rsidRPr="00D1707B" w:rsidRDefault="00BC0D70" w:rsidP="009A4335">
            <w:pPr>
              <w:spacing w:before="20" w:after="20"/>
              <w:jc w:val="right"/>
              <w:rPr>
                <w:rFonts w:asciiTheme="majorBidi" w:hAnsiTheme="majorBidi" w:cstheme="majorBidi"/>
                <w:b/>
                <w:bCs/>
                <w:sz w:val="20"/>
                <w:szCs w:val="20"/>
              </w:rPr>
            </w:pPr>
            <w:r>
              <w:rPr>
                <w:rFonts w:asciiTheme="majorBidi" w:hAnsiTheme="majorBidi"/>
                <w:b/>
                <w:sz w:val="20"/>
              </w:rPr>
              <w:t>92 750</w:t>
            </w:r>
          </w:p>
        </w:tc>
        <w:tc>
          <w:tcPr>
            <w:tcW w:w="1216" w:type="dxa"/>
            <w:tcBorders>
              <w:top w:val="single" w:sz="4" w:space="0" w:color="auto"/>
              <w:bottom w:val="single" w:sz="4" w:space="0" w:color="auto"/>
            </w:tcBorders>
            <w:noWrap/>
            <w:vAlign w:val="bottom"/>
            <w:hideMark/>
          </w:tcPr>
          <w:p w14:paraId="43234146" w14:textId="77777777" w:rsidR="00BC0D70" w:rsidRPr="00D1707B" w:rsidRDefault="00BC0D70" w:rsidP="009A4335">
            <w:pPr>
              <w:spacing w:before="20" w:after="20"/>
              <w:jc w:val="right"/>
              <w:rPr>
                <w:rFonts w:asciiTheme="majorBidi" w:hAnsiTheme="majorBidi" w:cstheme="majorBidi"/>
                <w:b/>
                <w:bCs/>
                <w:sz w:val="20"/>
                <w:szCs w:val="20"/>
              </w:rPr>
            </w:pPr>
            <w:r>
              <w:rPr>
                <w:rFonts w:asciiTheme="majorBidi" w:hAnsiTheme="majorBidi"/>
                <w:b/>
                <w:sz w:val="20"/>
              </w:rPr>
              <w:t>288 000</w:t>
            </w:r>
          </w:p>
        </w:tc>
        <w:tc>
          <w:tcPr>
            <w:tcW w:w="1116" w:type="dxa"/>
            <w:tcBorders>
              <w:top w:val="single" w:sz="4" w:space="0" w:color="auto"/>
              <w:bottom w:val="single" w:sz="4" w:space="0" w:color="auto"/>
            </w:tcBorders>
            <w:noWrap/>
            <w:vAlign w:val="bottom"/>
            <w:hideMark/>
          </w:tcPr>
          <w:p w14:paraId="3A8BED9A" w14:textId="77777777" w:rsidR="00BC0D70" w:rsidRPr="00D1707B" w:rsidRDefault="00BC0D70" w:rsidP="009A4335">
            <w:pPr>
              <w:spacing w:before="20" w:after="20"/>
              <w:jc w:val="right"/>
              <w:rPr>
                <w:rFonts w:asciiTheme="majorBidi" w:hAnsiTheme="majorBidi" w:cstheme="majorBidi"/>
                <w:b/>
                <w:bCs/>
                <w:sz w:val="20"/>
                <w:szCs w:val="20"/>
              </w:rPr>
            </w:pPr>
            <w:r>
              <w:rPr>
                <w:rFonts w:asciiTheme="majorBidi" w:hAnsiTheme="majorBidi"/>
                <w:b/>
                <w:sz w:val="20"/>
              </w:rPr>
              <w:t>696 300</w:t>
            </w:r>
          </w:p>
        </w:tc>
      </w:tr>
      <w:tr w:rsidR="0001637A" w:rsidRPr="00D1707B" w14:paraId="6ED963E8" w14:textId="77777777" w:rsidTr="0001637A">
        <w:tc>
          <w:tcPr>
            <w:tcW w:w="4756" w:type="dxa"/>
            <w:tcBorders>
              <w:top w:val="single" w:sz="4" w:space="0" w:color="auto"/>
              <w:bottom w:val="single" w:sz="4" w:space="0" w:color="auto"/>
            </w:tcBorders>
            <w:vAlign w:val="bottom"/>
            <w:hideMark/>
          </w:tcPr>
          <w:p w14:paraId="630E77C7" w14:textId="0940F856" w:rsidR="003E7C20" w:rsidRPr="00D1707B" w:rsidRDefault="003E7C20" w:rsidP="009A4335">
            <w:pPr>
              <w:spacing w:before="20" w:after="20"/>
              <w:jc w:val="left"/>
              <w:rPr>
                <w:rFonts w:asciiTheme="majorBidi" w:hAnsiTheme="majorBidi" w:cstheme="majorBidi"/>
                <w:sz w:val="20"/>
                <w:szCs w:val="20"/>
              </w:rPr>
            </w:pPr>
            <w:r>
              <w:rPr>
                <w:rFonts w:asciiTheme="majorBidi" w:hAnsiTheme="majorBidi"/>
                <w:sz w:val="20"/>
              </w:rPr>
              <w:t>Gastos de apoyo a los programas (13 %)</w:t>
            </w:r>
          </w:p>
        </w:tc>
        <w:tc>
          <w:tcPr>
            <w:tcW w:w="1316" w:type="dxa"/>
            <w:tcBorders>
              <w:top w:val="single" w:sz="4" w:space="0" w:color="auto"/>
              <w:bottom w:val="single" w:sz="4" w:space="0" w:color="auto"/>
            </w:tcBorders>
            <w:noWrap/>
            <w:hideMark/>
          </w:tcPr>
          <w:p w14:paraId="3D1606E7" w14:textId="020F2350" w:rsidR="003E7C20" w:rsidRPr="00D1707B" w:rsidRDefault="003E7C20" w:rsidP="009A4335">
            <w:pPr>
              <w:spacing w:before="20" w:after="20"/>
              <w:jc w:val="right"/>
              <w:rPr>
                <w:rFonts w:asciiTheme="majorBidi" w:hAnsiTheme="majorBidi" w:cstheme="majorBidi"/>
                <w:sz w:val="20"/>
                <w:szCs w:val="20"/>
              </w:rPr>
            </w:pPr>
            <w:r>
              <w:rPr>
                <w:rFonts w:asciiTheme="majorBidi" w:hAnsiTheme="majorBidi"/>
                <w:sz w:val="20"/>
              </w:rPr>
              <w:t>41 022</w:t>
            </w:r>
          </w:p>
        </w:tc>
        <w:tc>
          <w:tcPr>
            <w:tcW w:w="1216" w:type="dxa"/>
            <w:tcBorders>
              <w:top w:val="single" w:sz="4" w:space="0" w:color="auto"/>
              <w:bottom w:val="single" w:sz="4" w:space="0" w:color="auto"/>
            </w:tcBorders>
            <w:noWrap/>
            <w:hideMark/>
          </w:tcPr>
          <w:p w14:paraId="11139E31" w14:textId="06A21769" w:rsidR="003E7C20" w:rsidRPr="00D1707B" w:rsidRDefault="003E7C20" w:rsidP="009A4335">
            <w:pPr>
              <w:spacing w:before="20" w:after="20"/>
              <w:jc w:val="right"/>
              <w:rPr>
                <w:rFonts w:asciiTheme="majorBidi" w:hAnsiTheme="majorBidi" w:cstheme="majorBidi"/>
                <w:sz w:val="20"/>
                <w:szCs w:val="20"/>
              </w:rPr>
            </w:pPr>
            <w:r>
              <w:rPr>
                <w:rFonts w:asciiTheme="majorBidi" w:hAnsiTheme="majorBidi"/>
                <w:sz w:val="20"/>
              </w:rPr>
              <w:t>12 058</w:t>
            </w:r>
          </w:p>
        </w:tc>
        <w:tc>
          <w:tcPr>
            <w:tcW w:w="1216" w:type="dxa"/>
            <w:tcBorders>
              <w:top w:val="single" w:sz="4" w:space="0" w:color="auto"/>
              <w:bottom w:val="single" w:sz="4" w:space="0" w:color="auto"/>
            </w:tcBorders>
            <w:noWrap/>
            <w:hideMark/>
          </w:tcPr>
          <w:p w14:paraId="38A88236" w14:textId="38EC8802" w:rsidR="003E7C20" w:rsidRPr="00D1707B" w:rsidRDefault="003E7C20" w:rsidP="009A4335">
            <w:pPr>
              <w:spacing w:before="20" w:after="20"/>
              <w:jc w:val="right"/>
              <w:rPr>
                <w:rFonts w:asciiTheme="majorBidi" w:hAnsiTheme="majorBidi" w:cstheme="majorBidi"/>
                <w:sz w:val="20"/>
                <w:szCs w:val="20"/>
              </w:rPr>
            </w:pPr>
            <w:r>
              <w:rPr>
                <w:rFonts w:asciiTheme="majorBidi" w:hAnsiTheme="majorBidi"/>
                <w:sz w:val="20"/>
              </w:rPr>
              <w:t>37 440</w:t>
            </w:r>
          </w:p>
        </w:tc>
        <w:tc>
          <w:tcPr>
            <w:tcW w:w="1116" w:type="dxa"/>
            <w:tcBorders>
              <w:top w:val="single" w:sz="4" w:space="0" w:color="auto"/>
              <w:bottom w:val="single" w:sz="4" w:space="0" w:color="auto"/>
            </w:tcBorders>
            <w:noWrap/>
            <w:vAlign w:val="bottom"/>
            <w:hideMark/>
          </w:tcPr>
          <w:p w14:paraId="3398253D" w14:textId="77777777" w:rsidR="003E7C20" w:rsidRPr="00D1707B" w:rsidRDefault="003E7C20" w:rsidP="009A4335">
            <w:pPr>
              <w:spacing w:before="20" w:after="20"/>
              <w:jc w:val="right"/>
              <w:rPr>
                <w:rFonts w:asciiTheme="majorBidi" w:hAnsiTheme="majorBidi" w:cstheme="majorBidi"/>
                <w:sz w:val="20"/>
                <w:szCs w:val="20"/>
              </w:rPr>
            </w:pPr>
            <w:r>
              <w:rPr>
                <w:rFonts w:asciiTheme="majorBidi" w:hAnsiTheme="majorBidi"/>
                <w:sz w:val="20"/>
              </w:rPr>
              <w:t>90 519</w:t>
            </w:r>
          </w:p>
        </w:tc>
      </w:tr>
      <w:tr w:rsidR="00936786" w:rsidRPr="00D1707B" w14:paraId="16112AC8" w14:textId="77777777" w:rsidTr="009A4335">
        <w:tc>
          <w:tcPr>
            <w:tcW w:w="4756" w:type="dxa"/>
            <w:tcBorders>
              <w:top w:val="single" w:sz="4" w:space="0" w:color="auto"/>
              <w:bottom w:val="single" w:sz="4" w:space="0" w:color="auto"/>
            </w:tcBorders>
            <w:vAlign w:val="bottom"/>
            <w:hideMark/>
          </w:tcPr>
          <w:p w14:paraId="24DAB7D0" w14:textId="7874222B" w:rsidR="003E7C20" w:rsidRPr="00D1707B" w:rsidRDefault="003E7C20" w:rsidP="009A4335">
            <w:pPr>
              <w:spacing w:before="20" w:after="20"/>
              <w:ind w:left="316"/>
              <w:jc w:val="left"/>
              <w:rPr>
                <w:rFonts w:asciiTheme="majorBidi" w:hAnsiTheme="majorBidi" w:cstheme="majorBidi"/>
                <w:b/>
                <w:bCs/>
                <w:sz w:val="20"/>
                <w:szCs w:val="20"/>
              </w:rPr>
            </w:pPr>
            <w:r>
              <w:rPr>
                <w:rFonts w:asciiTheme="majorBidi" w:hAnsiTheme="majorBidi"/>
                <w:b/>
                <w:sz w:val="20"/>
              </w:rPr>
              <w:lastRenderedPageBreak/>
              <w:t>Total</w:t>
            </w:r>
          </w:p>
        </w:tc>
        <w:tc>
          <w:tcPr>
            <w:tcW w:w="1316" w:type="dxa"/>
            <w:tcBorders>
              <w:top w:val="single" w:sz="4" w:space="0" w:color="auto"/>
              <w:bottom w:val="single" w:sz="4" w:space="0" w:color="auto"/>
            </w:tcBorders>
            <w:noWrap/>
            <w:hideMark/>
          </w:tcPr>
          <w:p w14:paraId="75CA7C34" w14:textId="02FD6763" w:rsidR="003E7C20" w:rsidRPr="00D1707B" w:rsidRDefault="003E7C20" w:rsidP="009A4335">
            <w:pPr>
              <w:spacing w:before="20" w:after="20"/>
              <w:jc w:val="right"/>
              <w:rPr>
                <w:rFonts w:asciiTheme="majorBidi" w:hAnsiTheme="majorBidi" w:cstheme="majorBidi"/>
                <w:b/>
                <w:bCs/>
                <w:sz w:val="20"/>
                <w:szCs w:val="20"/>
              </w:rPr>
            </w:pPr>
            <w:r>
              <w:rPr>
                <w:rFonts w:asciiTheme="majorBidi" w:hAnsiTheme="majorBidi"/>
                <w:b/>
                <w:sz w:val="20"/>
              </w:rPr>
              <w:t>356 572</w:t>
            </w:r>
          </w:p>
        </w:tc>
        <w:tc>
          <w:tcPr>
            <w:tcW w:w="1216" w:type="dxa"/>
            <w:tcBorders>
              <w:top w:val="single" w:sz="4" w:space="0" w:color="auto"/>
              <w:bottom w:val="single" w:sz="4" w:space="0" w:color="auto"/>
            </w:tcBorders>
            <w:noWrap/>
            <w:hideMark/>
          </w:tcPr>
          <w:p w14:paraId="740BC854" w14:textId="4EA3E52F" w:rsidR="003E7C20" w:rsidRPr="00D1707B" w:rsidRDefault="003E7C20" w:rsidP="009A4335">
            <w:pPr>
              <w:spacing w:before="20" w:after="20"/>
              <w:jc w:val="right"/>
              <w:rPr>
                <w:rFonts w:asciiTheme="majorBidi" w:hAnsiTheme="majorBidi" w:cstheme="majorBidi"/>
                <w:b/>
                <w:bCs/>
                <w:sz w:val="20"/>
                <w:szCs w:val="20"/>
              </w:rPr>
            </w:pPr>
            <w:r>
              <w:rPr>
                <w:rFonts w:asciiTheme="majorBidi" w:hAnsiTheme="majorBidi"/>
                <w:b/>
                <w:sz w:val="20"/>
              </w:rPr>
              <w:t>104 808</w:t>
            </w:r>
          </w:p>
        </w:tc>
        <w:tc>
          <w:tcPr>
            <w:tcW w:w="1216" w:type="dxa"/>
            <w:tcBorders>
              <w:top w:val="single" w:sz="4" w:space="0" w:color="auto"/>
              <w:bottom w:val="single" w:sz="4" w:space="0" w:color="auto"/>
            </w:tcBorders>
            <w:noWrap/>
            <w:hideMark/>
          </w:tcPr>
          <w:p w14:paraId="03113F06" w14:textId="71B628C4" w:rsidR="003E7C20" w:rsidRPr="00D1707B" w:rsidRDefault="003E7C20" w:rsidP="009A4335">
            <w:pPr>
              <w:spacing w:before="20" w:after="20"/>
              <w:jc w:val="right"/>
              <w:rPr>
                <w:rFonts w:asciiTheme="majorBidi" w:hAnsiTheme="majorBidi" w:cstheme="majorBidi"/>
                <w:b/>
                <w:bCs/>
                <w:sz w:val="20"/>
                <w:szCs w:val="20"/>
              </w:rPr>
            </w:pPr>
            <w:r>
              <w:rPr>
                <w:rFonts w:asciiTheme="majorBidi" w:hAnsiTheme="majorBidi"/>
                <w:b/>
                <w:sz w:val="20"/>
              </w:rPr>
              <w:t>325 440</w:t>
            </w:r>
          </w:p>
        </w:tc>
        <w:tc>
          <w:tcPr>
            <w:tcW w:w="1116" w:type="dxa"/>
            <w:tcBorders>
              <w:top w:val="single" w:sz="4" w:space="0" w:color="auto"/>
              <w:bottom w:val="single" w:sz="4" w:space="0" w:color="auto"/>
            </w:tcBorders>
            <w:noWrap/>
            <w:vAlign w:val="bottom"/>
            <w:hideMark/>
          </w:tcPr>
          <w:p w14:paraId="47AB6A13" w14:textId="77777777" w:rsidR="003E7C20" w:rsidRPr="00D1707B" w:rsidRDefault="003E7C20" w:rsidP="009A4335">
            <w:pPr>
              <w:spacing w:before="20" w:after="20"/>
              <w:jc w:val="right"/>
              <w:rPr>
                <w:rFonts w:asciiTheme="majorBidi" w:hAnsiTheme="majorBidi" w:cstheme="majorBidi"/>
                <w:b/>
                <w:bCs/>
                <w:sz w:val="20"/>
                <w:szCs w:val="20"/>
              </w:rPr>
            </w:pPr>
            <w:r>
              <w:rPr>
                <w:rFonts w:asciiTheme="majorBidi" w:hAnsiTheme="majorBidi"/>
                <w:b/>
                <w:sz w:val="20"/>
              </w:rPr>
              <w:t>786 819</w:t>
            </w:r>
          </w:p>
        </w:tc>
      </w:tr>
      <w:tr w:rsidR="00732EF0" w:rsidRPr="00D1707B" w14:paraId="71714C46" w14:textId="77777777" w:rsidTr="009A4335">
        <w:tc>
          <w:tcPr>
            <w:tcW w:w="4756" w:type="dxa"/>
            <w:tcBorders>
              <w:top w:val="single" w:sz="4" w:space="0" w:color="auto"/>
              <w:bottom w:val="single" w:sz="4" w:space="0" w:color="auto"/>
            </w:tcBorders>
            <w:noWrap/>
            <w:vAlign w:val="bottom"/>
            <w:hideMark/>
          </w:tcPr>
          <w:p w14:paraId="5DEF2A08" w14:textId="4D90D050" w:rsidR="009C25A0" w:rsidRPr="00D1707B" w:rsidRDefault="009C25A0" w:rsidP="009A4335">
            <w:pPr>
              <w:spacing w:before="20" w:after="20"/>
              <w:ind w:left="318"/>
              <w:jc w:val="left"/>
              <w:rPr>
                <w:rFonts w:asciiTheme="majorBidi" w:hAnsiTheme="majorBidi" w:cstheme="majorBidi"/>
                <w:b/>
                <w:bCs/>
                <w:sz w:val="20"/>
                <w:szCs w:val="20"/>
              </w:rPr>
            </w:pPr>
            <w:r>
              <w:rPr>
                <w:rFonts w:asciiTheme="majorBidi" w:hAnsiTheme="majorBidi"/>
                <w:b/>
                <w:sz w:val="20"/>
              </w:rPr>
              <w:t>Total general para el Convenio y sus Protocolos</w:t>
            </w:r>
            <w:r>
              <w:rPr>
                <w:rFonts w:asciiTheme="majorBidi" w:hAnsiTheme="majorBidi"/>
                <w:sz w:val="20"/>
              </w:rPr>
              <w:t xml:space="preserve"> (incluidos gastos de apoyo a los programas)</w:t>
            </w:r>
          </w:p>
        </w:tc>
        <w:tc>
          <w:tcPr>
            <w:tcW w:w="1316" w:type="dxa"/>
            <w:tcBorders>
              <w:top w:val="single" w:sz="4" w:space="0" w:color="auto"/>
              <w:bottom w:val="single" w:sz="4" w:space="0" w:color="auto"/>
            </w:tcBorders>
            <w:noWrap/>
            <w:vAlign w:val="bottom"/>
            <w:hideMark/>
          </w:tcPr>
          <w:p w14:paraId="3B2C605B" w14:textId="19DDA6BF" w:rsidR="009C25A0" w:rsidRPr="00D1707B" w:rsidRDefault="009C25A0" w:rsidP="009A4335">
            <w:pPr>
              <w:spacing w:before="20" w:after="20"/>
              <w:jc w:val="right"/>
              <w:rPr>
                <w:rFonts w:asciiTheme="majorBidi" w:hAnsiTheme="majorBidi" w:cstheme="majorBidi"/>
                <w:b/>
                <w:bCs/>
                <w:sz w:val="20"/>
                <w:szCs w:val="20"/>
              </w:rPr>
            </w:pPr>
            <w:r>
              <w:rPr>
                <w:rFonts w:asciiTheme="majorBidi" w:hAnsiTheme="majorBidi"/>
                <w:b/>
                <w:sz w:val="20"/>
              </w:rPr>
              <w:t>12 596 675</w:t>
            </w:r>
          </w:p>
        </w:tc>
        <w:tc>
          <w:tcPr>
            <w:tcW w:w="1216" w:type="dxa"/>
            <w:tcBorders>
              <w:top w:val="single" w:sz="4" w:space="0" w:color="auto"/>
              <w:bottom w:val="single" w:sz="4" w:space="0" w:color="auto"/>
            </w:tcBorders>
            <w:noWrap/>
            <w:vAlign w:val="bottom"/>
            <w:hideMark/>
          </w:tcPr>
          <w:p w14:paraId="3079570E" w14:textId="288A7FDB" w:rsidR="009C25A0" w:rsidRPr="00D1707B" w:rsidRDefault="009C25A0" w:rsidP="009A4335">
            <w:pPr>
              <w:spacing w:before="20" w:after="20"/>
              <w:jc w:val="right"/>
              <w:rPr>
                <w:rFonts w:asciiTheme="majorBidi" w:hAnsiTheme="majorBidi" w:cstheme="majorBidi"/>
                <w:b/>
                <w:bCs/>
                <w:sz w:val="20"/>
                <w:szCs w:val="20"/>
              </w:rPr>
            </w:pPr>
            <w:r>
              <w:rPr>
                <w:rFonts w:asciiTheme="majorBidi" w:hAnsiTheme="majorBidi"/>
                <w:b/>
                <w:sz w:val="20"/>
              </w:rPr>
              <w:t>2 438 823</w:t>
            </w:r>
          </w:p>
        </w:tc>
        <w:tc>
          <w:tcPr>
            <w:tcW w:w="1216" w:type="dxa"/>
            <w:tcBorders>
              <w:top w:val="single" w:sz="4" w:space="0" w:color="auto"/>
              <w:bottom w:val="single" w:sz="4" w:space="0" w:color="auto"/>
            </w:tcBorders>
            <w:noWrap/>
            <w:vAlign w:val="bottom"/>
            <w:hideMark/>
          </w:tcPr>
          <w:p w14:paraId="3A0D7F51" w14:textId="4B612C41" w:rsidR="009C25A0" w:rsidRPr="00D1707B" w:rsidRDefault="009C25A0" w:rsidP="009A4335">
            <w:pPr>
              <w:spacing w:before="20" w:after="20"/>
              <w:jc w:val="right"/>
              <w:rPr>
                <w:rFonts w:asciiTheme="majorBidi" w:hAnsiTheme="majorBidi" w:cstheme="majorBidi"/>
                <w:b/>
                <w:bCs/>
                <w:sz w:val="20"/>
                <w:szCs w:val="20"/>
              </w:rPr>
            </w:pPr>
            <w:r>
              <w:rPr>
                <w:rFonts w:asciiTheme="majorBidi" w:hAnsiTheme="majorBidi"/>
                <w:b/>
                <w:sz w:val="20"/>
              </w:rPr>
              <w:t>6 905 995</w:t>
            </w:r>
          </w:p>
        </w:tc>
        <w:tc>
          <w:tcPr>
            <w:tcW w:w="1116" w:type="dxa"/>
            <w:tcBorders>
              <w:top w:val="single" w:sz="4" w:space="0" w:color="auto"/>
              <w:bottom w:val="single" w:sz="4" w:space="0" w:color="auto"/>
            </w:tcBorders>
            <w:noWrap/>
            <w:vAlign w:val="bottom"/>
            <w:hideMark/>
          </w:tcPr>
          <w:p w14:paraId="32DA07FD" w14:textId="77777777" w:rsidR="009C25A0" w:rsidRPr="00D1707B" w:rsidRDefault="009C25A0" w:rsidP="009A4335">
            <w:pPr>
              <w:spacing w:before="20" w:after="20"/>
              <w:jc w:val="right"/>
              <w:rPr>
                <w:rFonts w:asciiTheme="majorBidi" w:hAnsiTheme="majorBidi" w:cstheme="majorBidi"/>
                <w:b/>
                <w:bCs/>
                <w:sz w:val="20"/>
                <w:szCs w:val="20"/>
              </w:rPr>
            </w:pPr>
            <w:r>
              <w:rPr>
                <w:rFonts w:asciiTheme="majorBidi" w:hAnsiTheme="majorBidi"/>
                <w:b/>
                <w:sz w:val="20"/>
              </w:rPr>
              <w:t>21 941 493</w:t>
            </w:r>
          </w:p>
        </w:tc>
      </w:tr>
    </w:tbl>
    <w:p w14:paraId="591B7B4E" w14:textId="66649380" w:rsidR="00BC0D70" w:rsidRPr="00D1707B" w:rsidRDefault="00BC0D70" w:rsidP="009A4335">
      <w:pPr>
        <w:pStyle w:val="CBDTableTitle"/>
        <w:tabs>
          <w:tab w:val="clear" w:pos="567"/>
        </w:tabs>
        <w:spacing w:before="240" w:after="0"/>
        <w:rPr>
          <w:b w:val="0"/>
          <w:bCs/>
        </w:rPr>
      </w:pPr>
      <w:r>
        <w:rPr>
          <w:b w:val="0"/>
        </w:rPr>
        <w:t>Cuadro 5</w:t>
      </w:r>
    </w:p>
    <w:p w14:paraId="0E564E88" w14:textId="205585F4" w:rsidR="00BC0D70" w:rsidRPr="00D1707B" w:rsidRDefault="0013062C" w:rsidP="00D1707B">
      <w:pPr>
        <w:pStyle w:val="CBDTableTitle"/>
        <w:tabs>
          <w:tab w:val="clear" w:pos="567"/>
        </w:tabs>
        <w:spacing w:before="0"/>
      </w:pPr>
      <w:r>
        <w:t>Necesidades de recursos para el Fondo Fiduciario Voluntario Especial para Actividades Aprobadas Adicionales del Convenio y sus Protocolos, 2025-2026: necesidades de recursos de personal</w:t>
      </w:r>
    </w:p>
    <w:tbl>
      <w:tblPr>
        <w:tblW w:w="9639" w:type="dxa"/>
        <w:tblInd w:w="142" w:type="dxa"/>
        <w:tblLayout w:type="fixed"/>
        <w:tblLook w:val="04A0" w:firstRow="1" w:lastRow="0" w:firstColumn="1" w:lastColumn="0" w:noHBand="0" w:noVBand="1"/>
      </w:tblPr>
      <w:tblGrid>
        <w:gridCol w:w="7229"/>
        <w:gridCol w:w="1134"/>
        <w:gridCol w:w="1276"/>
      </w:tblGrid>
      <w:tr w:rsidR="00E2304D" w:rsidRPr="00D1707B" w14:paraId="5AE9DB99" w14:textId="77777777" w:rsidTr="00E1546A">
        <w:trPr>
          <w:trHeight w:val="227"/>
          <w:tblHeader/>
        </w:trPr>
        <w:tc>
          <w:tcPr>
            <w:tcW w:w="7229" w:type="dxa"/>
            <w:tcBorders>
              <w:top w:val="single" w:sz="4" w:space="0" w:color="auto"/>
              <w:bottom w:val="single" w:sz="4" w:space="0" w:color="auto"/>
            </w:tcBorders>
            <w:shd w:val="clear" w:color="auto" w:fill="auto"/>
            <w:noWrap/>
            <w:vAlign w:val="center"/>
            <w:hideMark/>
          </w:tcPr>
          <w:p w14:paraId="200F802A" w14:textId="77777777" w:rsidR="00BC0D70" w:rsidRPr="00D1707B" w:rsidRDefault="00BC0D70" w:rsidP="009A4335">
            <w:pPr>
              <w:spacing w:before="20" w:after="20"/>
              <w:jc w:val="left"/>
              <w:rPr>
                <w:rFonts w:asciiTheme="majorBidi" w:eastAsia="Times New Roman" w:hAnsiTheme="majorBidi" w:cstheme="majorBidi"/>
                <w:i/>
                <w:iCs/>
                <w:color w:val="000000"/>
                <w:sz w:val="20"/>
                <w:szCs w:val="20"/>
              </w:rPr>
            </w:pPr>
            <w:r>
              <w:rPr>
                <w:rFonts w:asciiTheme="majorBidi" w:hAnsiTheme="majorBidi"/>
                <w:i/>
                <w:color w:val="000000"/>
                <w:sz w:val="20"/>
              </w:rPr>
              <w:t>Área temática</w:t>
            </w:r>
          </w:p>
        </w:tc>
        <w:tc>
          <w:tcPr>
            <w:tcW w:w="1134" w:type="dxa"/>
            <w:tcBorders>
              <w:top w:val="single" w:sz="4" w:space="0" w:color="auto"/>
              <w:bottom w:val="single" w:sz="4" w:space="0" w:color="auto"/>
            </w:tcBorders>
            <w:shd w:val="clear" w:color="auto" w:fill="auto"/>
            <w:noWrap/>
            <w:vAlign w:val="center"/>
            <w:hideMark/>
          </w:tcPr>
          <w:p w14:paraId="0DB48D0C" w14:textId="1F38517C" w:rsidR="00BC0D70" w:rsidRPr="00D1707B" w:rsidRDefault="002F0899" w:rsidP="009A4335">
            <w:pPr>
              <w:spacing w:before="20" w:after="20"/>
              <w:jc w:val="center"/>
              <w:rPr>
                <w:rFonts w:asciiTheme="majorBidi" w:eastAsia="Times New Roman" w:hAnsiTheme="majorBidi" w:cstheme="majorBidi"/>
                <w:i/>
                <w:iCs/>
                <w:color w:val="000000"/>
                <w:sz w:val="20"/>
                <w:szCs w:val="20"/>
              </w:rPr>
            </w:pPr>
            <w:r>
              <w:rPr>
                <w:rFonts w:asciiTheme="majorBidi" w:hAnsiTheme="majorBidi"/>
                <w:i/>
                <w:color w:val="000000"/>
                <w:sz w:val="20"/>
              </w:rPr>
              <w:t>Categoría</w:t>
            </w:r>
          </w:p>
        </w:tc>
        <w:tc>
          <w:tcPr>
            <w:tcW w:w="1276" w:type="dxa"/>
            <w:tcBorders>
              <w:top w:val="single" w:sz="4" w:space="0" w:color="auto"/>
              <w:bottom w:val="single" w:sz="4" w:space="0" w:color="auto"/>
            </w:tcBorders>
            <w:shd w:val="clear" w:color="auto" w:fill="auto"/>
            <w:noWrap/>
            <w:vAlign w:val="center"/>
            <w:hideMark/>
          </w:tcPr>
          <w:p w14:paraId="6293CB44" w14:textId="41BF09F4" w:rsidR="00BC0D70" w:rsidRPr="00D1707B" w:rsidRDefault="00BC0D70" w:rsidP="009A4335">
            <w:pPr>
              <w:spacing w:before="20" w:after="20"/>
              <w:jc w:val="center"/>
              <w:rPr>
                <w:rFonts w:asciiTheme="majorBidi" w:eastAsia="Times New Roman" w:hAnsiTheme="majorBidi" w:cstheme="majorBidi"/>
                <w:i/>
                <w:iCs/>
                <w:color w:val="000000"/>
                <w:sz w:val="20"/>
                <w:szCs w:val="20"/>
              </w:rPr>
            </w:pPr>
            <w:r>
              <w:rPr>
                <w:rFonts w:asciiTheme="majorBidi" w:hAnsiTheme="majorBidi"/>
                <w:i/>
                <w:color w:val="000000"/>
                <w:sz w:val="20"/>
              </w:rPr>
              <w:t>Costo</w:t>
            </w:r>
            <w:r>
              <w:rPr>
                <w:rFonts w:asciiTheme="majorBidi" w:hAnsiTheme="majorBidi"/>
                <w:i/>
                <w:color w:val="000000"/>
                <w:sz w:val="20"/>
              </w:rPr>
              <w:br/>
              <w:t>(En dólares de los EE.UU.)</w:t>
            </w:r>
          </w:p>
        </w:tc>
      </w:tr>
      <w:tr w:rsidR="003B11B3" w:rsidRPr="00D1707B" w14:paraId="372E19A9" w14:textId="77777777" w:rsidTr="00E1546A">
        <w:trPr>
          <w:trHeight w:val="227"/>
        </w:trPr>
        <w:tc>
          <w:tcPr>
            <w:tcW w:w="9639" w:type="dxa"/>
            <w:gridSpan w:val="3"/>
            <w:tcBorders>
              <w:top w:val="single" w:sz="4" w:space="0" w:color="auto"/>
              <w:bottom w:val="single" w:sz="4" w:space="0" w:color="auto"/>
            </w:tcBorders>
            <w:shd w:val="clear" w:color="auto" w:fill="auto"/>
            <w:noWrap/>
            <w:vAlign w:val="center"/>
            <w:hideMark/>
          </w:tcPr>
          <w:p w14:paraId="589A6C00" w14:textId="7F6E74CD" w:rsidR="00BC0D70" w:rsidRPr="00D1707B" w:rsidRDefault="00BC0D70" w:rsidP="009A4335">
            <w:pPr>
              <w:spacing w:before="20" w:after="20"/>
              <w:jc w:val="left"/>
              <w:rPr>
                <w:rFonts w:asciiTheme="majorBidi" w:eastAsia="Times New Roman" w:hAnsiTheme="majorBidi" w:cstheme="majorBidi"/>
                <w:sz w:val="20"/>
                <w:szCs w:val="20"/>
              </w:rPr>
            </w:pPr>
            <w:r>
              <w:rPr>
                <w:rFonts w:asciiTheme="majorBidi" w:hAnsiTheme="majorBidi"/>
                <w:b/>
                <w:color w:val="000000"/>
                <w:sz w:val="20"/>
              </w:rPr>
              <w:t>Información digital sobre secuencias de recursos genéticos</w:t>
            </w:r>
          </w:p>
        </w:tc>
      </w:tr>
      <w:tr w:rsidR="009A4335" w:rsidRPr="00D1707B" w14:paraId="58288C0B" w14:textId="77777777" w:rsidTr="00E1546A">
        <w:trPr>
          <w:trHeight w:val="227"/>
        </w:trPr>
        <w:tc>
          <w:tcPr>
            <w:tcW w:w="7229" w:type="dxa"/>
            <w:tcBorders>
              <w:top w:val="single" w:sz="4" w:space="0" w:color="auto"/>
            </w:tcBorders>
            <w:shd w:val="clear" w:color="auto" w:fill="auto"/>
            <w:noWrap/>
            <w:vAlign w:val="center"/>
            <w:hideMark/>
          </w:tcPr>
          <w:p w14:paraId="7E9B442E" w14:textId="33EE8509" w:rsidR="00BC0D70" w:rsidRPr="00D1707B" w:rsidRDefault="00BC0D70"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Oficial de Programas</w:t>
            </w:r>
          </w:p>
        </w:tc>
        <w:tc>
          <w:tcPr>
            <w:tcW w:w="1134" w:type="dxa"/>
            <w:tcBorders>
              <w:top w:val="single" w:sz="4" w:space="0" w:color="auto"/>
            </w:tcBorders>
            <w:shd w:val="clear" w:color="auto" w:fill="auto"/>
            <w:noWrap/>
            <w:vAlign w:val="center"/>
            <w:hideMark/>
          </w:tcPr>
          <w:p w14:paraId="2593861C" w14:textId="63C2EAE0" w:rsidR="00BC0D70" w:rsidRPr="00D1707B" w:rsidRDefault="00BC0D70"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P-3</w:t>
            </w:r>
          </w:p>
        </w:tc>
        <w:tc>
          <w:tcPr>
            <w:tcW w:w="1276" w:type="dxa"/>
            <w:tcBorders>
              <w:top w:val="single" w:sz="4" w:space="0" w:color="auto"/>
            </w:tcBorders>
            <w:shd w:val="clear" w:color="auto" w:fill="auto"/>
            <w:noWrap/>
            <w:vAlign w:val="center"/>
            <w:hideMark/>
          </w:tcPr>
          <w:p w14:paraId="278C9B24" w14:textId="77777777" w:rsidR="00BC0D70" w:rsidRPr="00D1707B" w:rsidRDefault="00BC0D70" w:rsidP="009A4335">
            <w:pPr>
              <w:spacing w:before="20" w:after="20"/>
              <w:jc w:val="right"/>
              <w:rPr>
                <w:rFonts w:asciiTheme="majorBidi" w:eastAsia="Times New Roman" w:hAnsiTheme="majorBidi" w:cstheme="majorBidi"/>
                <w:color w:val="000000"/>
                <w:sz w:val="20"/>
                <w:szCs w:val="20"/>
              </w:rPr>
            </w:pPr>
            <w:r>
              <w:rPr>
                <w:rFonts w:asciiTheme="majorBidi" w:hAnsiTheme="majorBidi"/>
                <w:color w:val="000000"/>
                <w:sz w:val="20"/>
              </w:rPr>
              <w:t>318 000</w:t>
            </w:r>
          </w:p>
        </w:tc>
      </w:tr>
      <w:tr w:rsidR="00E6425F" w:rsidRPr="00D1707B" w14:paraId="7FB4B053" w14:textId="77777777" w:rsidTr="00E1546A">
        <w:trPr>
          <w:trHeight w:val="227"/>
        </w:trPr>
        <w:tc>
          <w:tcPr>
            <w:tcW w:w="7229" w:type="dxa"/>
            <w:shd w:val="clear" w:color="auto" w:fill="auto"/>
            <w:noWrap/>
            <w:vAlign w:val="center"/>
            <w:hideMark/>
          </w:tcPr>
          <w:p w14:paraId="26916547" w14:textId="36E627DB" w:rsidR="00BC0D70" w:rsidRPr="00D1707B" w:rsidRDefault="00BC0D70"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Oficial Adjunto de Programas</w:t>
            </w:r>
          </w:p>
        </w:tc>
        <w:tc>
          <w:tcPr>
            <w:tcW w:w="1134" w:type="dxa"/>
            <w:shd w:val="clear" w:color="auto" w:fill="auto"/>
            <w:noWrap/>
            <w:vAlign w:val="center"/>
            <w:hideMark/>
          </w:tcPr>
          <w:p w14:paraId="32E7221F" w14:textId="42ACBBBB" w:rsidR="00BC0D70" w:rsidRPr="00D1707B" w:rsidRDefault="00BC0D70"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P-2</w:t>
            </w:r>
          </w:p>
        </w:tc>
        <w:tc>
          <w:tcPr>
            <w:tcW w:w="1276" w:type="dxa"/>
            <w:shd w:val="clear" w:color="auto" w:fill="auto"/>
            <w:noWrap/>
            <w:vAlign w:val="center"/>
            <w:hideMark/>
          </w:tcPr>
          <w:p w14:paraId="6814C41E" w14:textId="77777777" w:rsidR="00BC0D70" w:rsidRPr="00D1707B" w:rsidRDefault="00BC0D70" w:rsidP="009A4335">
            <w:pPr>
              <w:spacing w:before="20" w:after="20"/>
              <w:jc w:val="right"/>
              <w:rPr>
                <w:rFonts w:asciiTheme="majorBidi" w:eastAsia="Times New Roman" w:hAnsiTheme="majorBidi" w:cstheme="majorBidi"/>
                <w:color w:val="000000"/>
                <w:sz w:val="20"/>
                <w:szCs w:val="20"/>
              </w:rPr>
            </w:pPr>
            <w:r>
              <w:rPr>
                <w:rFonts w:asciiTheme="majorBidi" w:hAnsiTheme="majorBidi"/>
                <w:color w:val="000000"/>
                <w:sz w:val="20"/>
              </w:rPr>
              <w:t>261 000</w:t>
            </w:r>
          </w:p>
        </w:tc>
      </w:tr>
      <w:tr w:rsidR="00E6425F" w:rsidRPr="00D1707B" w14:paraId="70314629" w14:textId="77777777" w:rsidTr="00E1546A">
        <w:trPr>
          <w:trHeight w:val="227"/>
        </w:trPr>
        <w:tc>
          <w:tcPr>
            <w:tcW w:w="7229" w:type="dxa"/>
            <w:shd w:val="clear" w:color="auto" w:fill="auto"/>
            <w:noWrap/>
            <w:vAlign w:val="center"/>
            <w:hideMark/>
          </w:tcPr>
          <w:p w14:paraId="51DD62E7" w14:textId="3CE6ABC0" w:rsidR="00BC0D70" w:rsidRPr="00D1707B" w:rsidRDefault="00BC0D70"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Auxiliar de Programas (2 puestos)</w:t>
            </w:r>
          </w:p>
        </w:tc>
        <w:tc>
          <w:tcPr>
            <w:tcW w:w="1134" w:type="dxa"/>
            <w:shd w:val="clear" w:color="auto" w:fill="auto"/>
            <w:noWrap/>
            <w:vAlign w:val="center"/>
            <w:hideMark/>
          </w:tcPr>
          <w:p w14:paraId="35281069" w14:textId="77777777" w:rsidR="00BC0D70" w:rsidRPr="00D1707B" w:rsidRDefault="00BC0D70"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SG</w:t>
            </w:r>
          </w:p>
        </w:tc>
        <w:tc>
          <w:tcPr>
            <w:tcW w:w="1276" w:type="dxa"/>
            <w:shd w:val="clear" w:color="auto" w:fill="auto"/>
            <w:noWrap/>
            <w:vAlign w:val="center"/>
            <w:hideMark/>
          </w:tcPr>
          <w:p w14:paraId="5D0A537A" w14:textId="4B83C8D2" w:rsidR="00BC0D70" w:rsidRPr="00D1707B" w:rsidRDefault="008F5842" w:rsidP="009A4335">
            <w:pPr>
              <w:spacing w:before="20" w:after="20"/>
              <w:jc w:val="right"/>
              <w:rPr>
                <w:rFonts w:asciiTheme="majorBidi" w:eastAsia="Times New Roman" w:hAnsiTheme="majorBidi" w:cstheme="majorBidi"/>
                <w:color w:val="000000"/>
                <w:sz w:val="20"/>
                <w:szCs w:val="20"/>
              </w:rPr>
            </w:pPr>
            <w:r>
              <w:rPr>
                <w:rFonts w:asciiTheme="majorBidi" w:hAnsiTheme="majorBidi"/>
                <w:color w:val="000000"/>
                <w:sz w:val="20"/>
              </w:rPr>
              <w:t>231 000</w:t>
            </w:r>
          </w:p>
        </w:tc>
      </w:tr>
      <w:tr w:rsidR="00B950A9" w:rsidRPr="00D1707B" w14:paraId="5C9E095A" w14:textId="77777777" w:rsidTr="00E1546A">
        <w:trPr>
          <w:trHeight w:val="227"/>
        </w:trPr>
        <w:tc>
          <w:tcPr>
            <w:tcW w:w="9639" w:type="dxa"/>
            <w:gridSpan w:val="3"/>
            <w:tcBorders>
              <w:top w:val="single" w:sz="4" w:space="0" w:color="auto"/>
              <w:bottom w:val="single" w:sz="4" w:space="0" w:color="auto"/>
            </w:tcBorders>
            <w:shd w:val="clear" w:color="auto" w:fill="auto"/>
            <w:vAlign w:val="center"/>
            <w:hideMark/>
          </w:tcPr>
          <w:p w14:paraId="71D90291" w14:textId="77777777" w:rsidR="00BF5B92" w:rsidRPr="00D1707B" w:rsidRDefault="00BF5B92" w:rsidP="009A4335">
            <w:pPr>
              <w:spacing w:before="20" w:after="20"/>
              <w:jc w:val="left"/>
              <w:rPr>
                <w:rFonts w:asciiTheme="majorBidi" w:eastAsia="Times New Roman" w:hAnsiTheme="majorBidi" w:cstheme="majorBidi"/>
                <w:sz w:val="20"/>
                <w:szCs w:val="20"/>
              </w:rPr>
            </w:pPr>
            <w:r>
              <w:rPr>
                <w:rFonts w:asciiTheme="majorBidi" w:hAnsiTheme="majorBidi"/>
                <w:b/>
                <w:color w:val="000000"/>
                <w:sz w:val="20"/>
              </w:rPr>
              <w:t>Creación y desarrollo de capacidad, cooperación científica y técnica, mecanismo de facilitación y gestión de conocimientos</w:t>
            </w:r>
          </w:p>
        </w:tc>
      </w:tr>
      <w:tr w:rsidR="009A4335" w:rsidRPr="00D1707B" w14:paraId="3925B53F" w14:textId="77777777" w:rsidTr="00E1546A">
        <w:trPr>
          <w:trHeight w:val="227"/>
        </w:trPr>
        <w:tc>
          <w:tcPr>
            <w:tcW w:w="7229" w:type="dxa"/>
            <w:tcBorders>
              <w:top w:val="single" w:sz="4" w:space="0" w:color="auto"/>
            </w:tcBorders>
            <w:shd w:val="clear" w:color="auto" w:fill="auto"/>
            <w:noWrap/>
            <w:vAlign w:val="center"/>
            <w:hideMark/>
          </w:tcPr>
          <w:p w14:paraId="33A40BC0" w14:textId="77777777" w:rsidR="00BF5B92" w:rsidRPr="00D1707B" w:rsidRDefault="00BF5B92"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Oficial de Programas</w:t>
            </w:r>
          </w:p>
        </w:tc>
        <w:tc>
          <w:tcPr>
            <w:tcW w:w="1134" w:type="dxa"/>
            <w:tcBorders>
              <w:top w:val="single" w:sz="4" w:space="0" w:color="auto"/>
            </w:tcBorders>
            <w:shd w:val="clear" w:color="auto" w:fill="auto"/>
            <w:noWrap/>
            <w:vAlign w:val="center"/>
            <w:hideMark/>
          </w:tcPr>
          <w:p w14:paraId="376383FE" w14:textId="77777777" w:rsidR="00BF5B92" w:rsidRPr="00D1707B" w:rsidRDefault="00BF5B92"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P-5</w:t>
            </w:r>
          </w:p>
        </w:tc>
        <w:tc>
          <w:tcPr>
            <w:tcW w:w="1276" w:type="dxa"/>
            <w:tcBorders>
              <w:top w:val="single" w:sz="4" w:space="0" w:color="auto"/>
            </w:tcBorders>
            <w:shd w:val="clear" w:color="auto" w:fill="auto"/>
            <w:noWrap/>
            <w:vAlign w:val="center"/>
            <w:hideMark/>
          </w:tcPr>
          <w:p w14:paraId="7FCB666F" w14:textId="77777777" w:rsidR="00BF5B92" w:rsidRPr="00D1707B" w:rsidRDefault="00BF5B92" w:rsidP="009A4335">
            <w:pPr>
              <w:spacing w:before="20" w:after="20"/>
              <w:jc w:val="right"/>
              <w:rPr>
                <w:rFonts w:asciiTheme="majorBidi" w:eastAsia="Times New Roman" w:hAnsiTheme="majorBidi" w:cstheme="majorBidi"/>
                <w:color w:val="000000"/>
                <w:sz w:val="20"/>
                <w:szCs w:val="20"/>
              </w:rPr>
            </w:pPr>
            <w:r>
              <w:rPr>
                <w:rFonts w:asciiTheme="majorBidi" w:hAnsiTheme="majorBidi"/>
                <w:color w:val="000000"/>
                <w:sz w:val="20"/>
              </w:rPr>
              <w:t>421 500</w:t>
            </w:r>
          </w:p>
        </w:tc>
      </w:tr>
      <w:tr w:rsidR="009A4335" w:rsidRPr="00D1707B" w14:paraId="16B31E50" w14:textId="77777777" w:rsidTr="00E1546A">
        <w:trPr>
          <w:trHeight w:val="227"/>
        </w:trPr>
        <w:tc>
          <w:tcPr>
            <w:tcW w:w="7229" w:type="dxa"/>
            <w:shd w:val="clear" w:color="auto" w:fill="auto"/>
            <w:noWrap/>
            <w:vAlign w:val="center"/>
            <w:hideMark/>
          </w:tcPr>
          <w:p w14:paraId="76A714B7" w14:textId="77777777" w:rsidR="00BF5B92" w:rsidRPr="00D1707B" w:rsidRDefault="00BF5B92"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Oficial de Programas</w:t>
            </w:r>
          </w:p>
        </w:tc>
        <w:tc>
          <w:tcPr>
            <w:tcW w:w="1134" w:type="dxa"/>
            <w:shd w:val="clear" w:color="auto" w:fill="auto"/>
            <w:noWrap/>
            <w:vAlign w:val="center"/>
            <w:hideMark/>
          </w:tcPr>
          <w:p w14:paraId="02D2A0BA" w14:textId="77777777" w:rsidR="00BF5B92" w:rsidRPr="00D1707B" w:rsidRDefault="00BF5B92"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P-3</w:t>
            </w:r>
          </w:p>
        </w:tc>
        <w:tc>
          <w:tcPr>
            <w:tcW w:w="1276" w:type="dxa"/>
            <w:shd w:val="clear" w:color="auto" w:fill="auto"/>
            <w:noWrap/>
            <w:vAlign w:val="center"/>
            <w:hideMark/>
          </w:tcPr>
          <w:p w14:paraId="656CB6F1" w14:textId="77777777" w:rsidR="00BF5B92" w:rsidRPr="00D1707B" w:rsidRDefault="00BF5B92" w:rsidP="009A4335">
            <w:pPr>
              <w:spacing w:before="20" w:after="20"/>
              <w:jc w:val="right"/>
              <w:rPr>
                <w:rFonts w:asciiTheme="majorBidi" w:eastAsia="Times New Roman" w:hAnsiTheme="majorBidi" w:cstheme="majorBidi"/>
                <w:color w:val="000000"/>
                <w:sz w:val="20"/>
                <w:szCs w:val="20"/>
              </w:rPr>
            </w:pPr>
            <w:r>
              <w:rPr>
                <w:rFonts w:asciiTheme="majorBidi" w:hAnsiTheme="majorBidi"/>
                <w:color w:val="000000"/>
                <w:sz w:val="20"/>
              </w:rPr>
              <w:t>318 000</w:t>
            </w:r>
          </w:p>
        </w:tc>
      </w:tr>
      <w:tr w:rsidR="009A4335" w:rsidRPr="00D1707B" w14:paraId="7DEF2C5E" w14:textId="77777777" w:rsidTr="00E1546A">
        <w:trPr>
          <w:trHeight w:val="227"/>
        </w:trPr>
        <w:tc>
          <w:tcPr>
            <w:tcW w:w="7229" w:type="dxa"/>
            <w:shd w:val="clear" w:color="auto" w:fill="auto"/>
            <w:noWrap/>
            <w:vAlign w:val="center"/>
            <w:hideMark/>
          </w:tcPr>
          <w:p w14:paraId="709E969C" w14:textId="77777777" w:rsidR="00BF5B92" w:rsidRPr="00D1707B" w:rsidRDefault="00BF5B92"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Auxiliar de Programas</w:t>
            </w:r>
          </w:p>
        </w:tc>
        <w:tc>
          <w:tcPr>
            <w:tcW w:w="1134" w:type="dxa"/>
            <w:shd w:val="clear" w:color="auto" w:fill="auto"/>
            <w:noWrap/>
            <w:vAlign w:val="center"/>
            <w:hideMark/>
          </w:tcPr>
          <w:p w14:paraId="0F04DDAE" w14:textId="77777777" w:rsidR="00BF5B92" w:rsidRPr="00D1707B" w:rsidRDefault="00BF5B92"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SG</w:t>
            </w:r>
          </w:p>
        </w:tc>
        <w:tc>
          <w:tcPr>
            <w:tcW w:w="1276" w:type="dxa"/>
            <w:shd w:val="clear" w:color="auto" w:fill="auto"/>
            <w:noWrap/>
            <w:vAlign w:val="center"/>
            <w:hideMark/>
          </w:tcPr>
          <w:p w14:paraId="48B90B31" w14:textId="77777777" w:rsidR="00BF5B92" w:rsidRPr="00D1707B" w:rsidRDefault="00BF5B92" w:rsidP="009A4335">
            <w:pPr>
              <w:spacing w:before="20" w:after="20"/>
              <w:jc w:val="right"/>
              <w:rPr>
                <w:rFonts w:asciiTheme="majorBidi" w:eastAsia="Times New Roman" w:hAnsiTheme="majorBidi" w:cstheme="majorBidi"/>
                <w:color w:val="000000"/>
                <w:sz w:val="20"/>
                <w:szCs w:val="20"/>
              </w:rPr>
            </w:pPr>
            <w:r>
              <w:rPr>
                <w:rFonts w:asciiTheme="majorBidi" w:hAnsiTheme="majorBidi"/>
                <w:color w:val="000000"/>
                <w:sz w:val="20"/>
              </w:rPr>
              <w:t>115 500</w:t>
            </w:r>
          </w:p>
        </w:tc>
      </w:tr>
      <w:tr w:rsidR="00B950A9" w:rsidRPr="00D1707B" w14:paraId="41C4BAE3" w14:textId="77777777" w:rsidTr="00E1546A">
        <w:trPr>
          <w:trHeight w:val="227"/>
        </w:trPr>
        <w:tc>
          <w:tcPr>
            <w:tcW w:w="9639" w:type="dxa"/>
            <w:gridSpan w:val="3"/>
            <w:tcBorders>
              <w:top w:val="single" w:sz="4" w:space="0" w:color="auto"/>
              <w:bottom w:val="single" w:sz="4" w:space="0" w:color="auto"/>
            </w:tcBorders>
            <w:shd w:val="clear" w:color="auto" w:fill="auto"/>
            <w:noWrap/>
            <w:vAlign w:val="center"/>
            <w:hideMark/>
          </w:tcPr>
          <w:p w14:paraId="76037DB5" w14:textId="77777777" w:rsidR="002F4A20" w:rsidRPr="00D1707B" w:rsidRDefault="002F4A20" w:rsidP="009A4335">
            <w:pPr>
              <w:spacing w:before="20" w:after="20"/>
              <w:jc w:val="left"/>
              <w:rPr>
                <w:rFonts w:asciiTheme="majorBidi" w:eastAsia="Times New Roman" w:hAnsiTheme="majorBidi" w:cstheme="majorBidi"/>
                <w:sz w:val="20"/>
                <w:szCs w:val="20"/>
              </w:rPr>
            </w:pPr>
            <w:r>
              <w:rPr>
                <w:rFonts w:asciiTheme="majorBidi" w:hAnsiTheme="majorBidi"/>
                <w:b/>
                <w:color w:val="000000"/>
                <w:sz w:val="20"/>
              </w:rPr>
              <w:t>Comunicación, educación y conciencia pública</w:t>
            </w:r>
          </w:p>
        </w:tc>
      </w:tr>
      <w:tr w:rsidR="00B950A9" w:rsidRPr="00D1707B" w14:paraId="3876A12E" w14:textId="77777777" w:rsidTr="00E1546A">
        <w:trPr>
          <w:trHeight w:val="227"/>
        </w:trPr>
        <w:tc>
          <w:tcPr>
            <w:tcW w:w="7229" w:type="dxa"/>
            <w:tcBorders>
              <w:top w:val="single" w:sz="4" w:space="0" w:color="auto"/>
            </w:tcBorders>
            <w:shd w:val="clear" w:color="auto" w:fill="auto"/>
            <w:noWrap/>
            <w:vAlign w:val="center"/>
            <w:hideMark/>
          </w:tcPr>
          <w:p w14:paraId="6B22FF3C" w14:textId="77777777" w:rsidR="002F4A20" w:rsidRPr="00D1707B" w:rsidRDefault="002F4A20"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Oficial de Programas</w:t>
            </w:r>
          </w:p>
        </w:tc>
        <w:tc>
          <w:tcPr>
            <w:tcW w:w="1134" w:type="dxa"/>
            <w:tcBorders>
              <w:top w:val="single" w:sz="4" w:space="0" w:color="auto"/>
            </w:tcBorders>
            <w:shd w:val="clear" w:color="auto" w:fill="auto"/>
            <w:noWrap/>
            <w:vAlign w:val="center"/>
            <w:hideMark/>
          </w:tcPr>
          <w:p w14:paraId="38A6826E" w14:textId="77777777" w:rsidR="002F4A20" w:rsidRPr="00D1707B" w:rsidRDefault="002F4A20"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P-2</w:t>
            </w:r>
          </w:p>
        </w:tc>
        <w:tc>
          <w:tcPr>
            <w:tcW w:w="1276" w:type="dxa"/>
            <w:tcBorders>
              <w:top w:val="single" w:sz="4" w:space="0" w:color="auto"/>
            </w:tcBorders>
            <w:shd w:val="clear" w:color="auto" w:fill="auto"/>
            <w:noWrap/>
            <w:vAlign w:val="center"/>
            <w:hideMark/>
          </w:tcPr>
          <w:p w14:paraId="66E68382" w14:textId="77777777" w:rsidR="002F4A20" w:rsidRPr="00D1707B" w:rsidRDefault="002F4A20" w:rsidP="009A4335">
            <w:pPr>
              <w:spacing w:before="20" w:after="20"/>
              <w:jc w:val="right"/>
              <w:rPr>
                <w:rFonts w:asciiTheme="majorBidi" w:eastAsia="Times New Roman" w:hAnsiTheme="majorBidi" w:cstheme="majorBidi"/>
                <w:color w:val="000000"/>
                <w:sz w:val="20"/>
                <w:szCs w:val="20"/>
              </w:rPr>
            </w:pPr>
            <w:r>
              <w:rPr>
                <w:rFonts w:asciiTheme="majorBidi" w:hAnsiTheme="majorBidi"/>
                <w:color w:val="000000"/>
                <w:sz w:val="20"/>
              </w:rPr>
              <w:t>261 000</w:t>
            </w:r>
          </w:p>
        </w:tc>
      </w:tr>
      <w:tr w:rsidR="00B950A9" w:rsidRPr="00D1707B" w14:paraId="67586F58" w14:textId="77777777" w:rsidTr="00E1546A">
        <w:trPr>
          <w:trHeight w:val="227"/>
        </w:trPr>
        <w:tc>
          <w:tcPr>
            <w:tcW w:w="9639" w:type="dxa"/>
            <w:gridSpan w:val="3"/>
            <w:tcBorders>
              <w:top w:val="single" w:sz="4" w:space="0" w:color="auto"/>
              <w:bottom w:val="single" w:sz="4" w:space="0" w:color="auto"/>
            </w:tcBorders>
            <w:shd w:val="clear" w:color="auto" w:fill="auto"/>
            <w:noWrap/>
            <w:vAlign w:val="center"/>
            <w:hideMark/>
          </w:tcPr>
          <w:p w14:paraId="5652E53D" w14:textId="77777777" w:rsidR="00267EF8" w:rsidRPr="00D1707B" w:rsidRDefault="00267EF8" w:rsidP="009A4335">
            <w:pPr>
              <w:spacing w:before="20" w:after="20"/>
              <w:jc w:val="left"/>
              <w:rPr>
                <w:rFonts w:asciiTheme="majorBidi" w:eastAsia="Times New Roman" w:hAnsiTheme="majorBidi" w:cstheme="majorBidi"/>
                <w:sz w:val="20"/>
                <w:szCs w:val="20"/>
              </w:rPr>
            </w:pPr>
            <w:r>
              <w:rPr>
                <w:rFonts w:asciiTheme="majorBidi" w:hAnsiTheme="majorBidi"/>
                <w:b/>
                <w:color w:val="000000"/>
                <w:sz w:val="20"/>
              </w:rPr>
              <w:t>Integración de la diversidad biológica en todos los sectores</w:t>
            </w:r>
          </w:p>
        </w:tc>
      </w:tr>
      <w:tr w:rsidR="00B950A9" w:rsidRPr="00D1707B" w14:paraId="61437445" w14:textId="77777777" w:rsidTr="00E1546A">
        <w:trPr>
          <w:trHeight w:val="227"/>
        </w:trPr>
        <w:tc>
          <w:tcPr>
            <w:tcW w:w="7229" w:type="dxa"/>
            <w:tcBorders>
              <w:top w:val="single" w:sz="4" w:space="0" w:color="auto"/>
            </w:tcBorders>
            <w:shd w:val="clear" w:color="auto" w:fill="auto"/>
            <w:noWrap/>
            <w:vAlign w:val="center"/>
            <w:hideMark/>
          </w:tcPr>
          <w:p w14:paraId="0D77270F" w14:textId="1D9FFCCC" w:rsidR="00267EF8" w:rsidRPr="00D1707B" w:rsidRDefault="00267EF8"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 xml:space="preserve">Oficial de Programas </w:t>
            </w:r>
          </w:p>
        </w:tc>
        <w:tc>
          <w:tcPr>
            <w:tcW w:w="1134" w:type="dxa"/>
            <w:tcBorders>
              <w:top w:val="single" w:sz="4" w:space="0" w:color="auto"/>
            </w:tcBorders>
            <w:shd w:val="clear" w:color="auto" w:fill="auto"/>
            <w:noWrap/>
            <w:vAlign w:val="center"/>
            <w:hideMark/>
          </w:tcPr>
          <w:p w14:paraId="2F222CD6" w14:textId="77777777" w:rsidR="00267EF8" w:rsidRPr="00D1707B" w:rsidRDefault="00267EF8"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P-4</w:t>
            </w:r>
          </w:p>
        </w:tc>
        <w:tc>
          <w:tcPr>
            <w:tcW w:w="1276" w:type="dxa"/>
            <w:tcBorders>
              <w:top w:val="single" w:sz="4" w:space="0" w:color="auto"/>
            </w:tcBorders>
            <w:shd w:val="clear" w:color="auto" w:fill="auto"/>
            <w:noWrap/>
            <w:vAlign w:val="center"/>
            <w:hideMark/>
          </w:tcPr>
          <w:p w14:paraId="4D1EE508" w14:textId="77777777" w:rsidR="00267EF8" w:rsidRPr="00D1707B" w:rsidRDefault="00267EF8" w:rsidP="009A4335">
            <w:pPr>
              <w:spacing w:before="20" w:after="20"/>
              <w:jc w:val="right"/>
              <w:rPr>
                <w:rFonts w:asciiTheme="majorBidi" w:eastAsia="Times New Roman" w:hAnsiTheme="majorBidi" w:cstheme="majorBidi"/>
                <w:color w:val="000000"/>
                <w:sz w:val="20"/>
                <w:szCs w:val="20"/>
              </w:rPr>
            </w:pPr>
            <w:r>
              <w:rPr>
                <w:rFonts w:asciiTheme="majorBidi" w:hAnsiTheme="majorBidi"/>
                <w:color w:val="000000"/>
                <w:sz w:val="20"/>
              </w:rPr>
              <w:t xml:space="preserve">375 000 </w:t>
            </w:r>
          </w:p>
        </w:tc>
      </w:tr>
      <w:tr w:rsidR="00B950A9" w:rsidRPr="00D1707B" w14:paraId="1AF152F9" w14:textId="77777777" w:rsidTr="00E1546A">
        <w:trPr>
          <w:trHeight w:val="227"/>
        </w:trPr>
        <w:tc>
          <w:tcPr>
            <w:tcW w:w="9639" w:type="dxa"/>
            <w:gridSpan w:val="3"/>
            <w:tcBorders>
              <w:top w:val="single" w:sz="4" w:space="0" w:color="auto"/>
              <w:bottom w:val="single" w:sz="4" w:space="0" w:color="auto"/>
            </w:tcBorders>
            <w:shd w:val="clear" w:color="auto" w:fill="auto"/>
            <w:noWrap/>
            <w:vAlign w:val="center"/>
            <w:hideMark/>
          </w:tcPr>
          <w:p w14:paraId="41D1F408" w14:textId="77777777" w:rsidR="00267EF8" w:rsidRPr="00D1707B" w:rsidRDefault="00267EF8" w:rsidP="009A4335">
            <w:pPr>
              <w:keepNext/>
              <w:spacing w:before="20" w:after="20"/>
              <w:jc w:val="left"/>
              <w:rPr>
                <w:rFonts w:asciiTheme="majorBidi" w:eastAsia="Times New Roman" w:hAnsiTheme="majorBidi" w:cstheme="majorBidi"/>
                <w:sz w:val="20"/>
                <w:szCs w:val="20"/>
              </w:rPr>
            </w:pPr>
            <w:r>
              <w:rPr>
                <w:rFonts w:asciiTheme="majorBidi" w:hAnsiTheme="majorBidi"/>
                <w:b/>
                <w:color w:val="000000"/>
                <w:sz w:val="20"/>
              </w:rPr>
              <w:t>Gestión sostenible de la fauna y flora silvestres</w:t>
            </w:r>
          </w:p>
        </w:tc>
      </w:tr>
      <w:tr w:rsidR="00B950A9" w:rsidRPr="00D1707B" w14:paraId="76D70CBB" w14:textId="77777777" w:rsidTr="00E1546A">
        <w:trPr>
          <w:trHeight w:val="227"/>
        </w:trPr>
        <w:tc>
          <w:tcPr>
            <w:tcW w:w="7229" w:type="dxa"/>
            <w:tcBorders>
              <w:top w:val="single" w:sz="4" w:space="0" w:color="auto"/>
            </w:tcBorders>
            <w:shd w:val="clear" w:color="auto" w:fill="auto"/>
            <w:noWrap/>
            <w:vAlign w:val="center"/>
            <w:hideMark/>
          </w:tcPr>
          <w:p w14:paraId="3EBDCFEE" w14:textId="77777777" w:rsidR="00267EF8" w:rsidRPr="00D1707B" w:rsidRDefault="00267EF8"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Oficial de Programas</w:t>
            </w:r>
          </w:p>
        </w:tc>
        <w:tc>
          <w:tcPr>
            <w:tcW w:w="1134" w:type="dxa"/>
            <w:tcBorders>
              <w:top w:val="single" w:sz="4" w:space="0" w:color="auto"/>
            </w:tcBorders>
            <w:shd w:val="clear" w:color="auto" w:fill="auto"/>
            <w:noWrap/>
            <w:vAlign w:val="center"/>
            <w:hideMark/>
          </w:tcPr>
          <w:p w14:paraId="12DEC46A" w14:textId="77777777" w:rsidR="00267EF8" w:rsidRPr="00D1707B" w:rsidRDefault="00267EF8"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P-3</w:t>
            </w:r>
          </w:p>
        </w:tc>
        <w:tc>
          <w:tcPr>
            <w:tcW w:w="1276" w:type="dxa"/>
            <w:tcBorders>
              <w:top w:val="single" w:sz="4" w:space="0" w:color="auto"/>
            </w:tcBorders>
            <w:shd w:val="clear" w:color="auto" w:fill="auto"/>
            <w:noWrap/>
            <w:vAlign w:val="center"/>
            <w:hideMark/>
          </w:tcPr>
          <w:p w14:paraId="0721E004" w14:textId="77777777" w:rsidR="00267EF8" w:rsidRPr="00D1707B" w:rsidRDefault="00267EF8" w:rsidP="009A4335">
            <w:pPr>
              <w:spacing w:before="20" w:after="20"/>
              <w:jc w:val="right"/>
              <w:rPr>
                <w:rFonts w:asciiTheme="majorBidi" w:eastAsia="Times New Roman" w:hAnsiTheme="majorBidi" w:cstheme="majorBidi"/>
                <w:color w:val="000000"/>
                <w:sz w:val="20"/>
                <w:szCs w:val="20"/>
              </w:rPr>
            </w:pPr>
            <w:r>
              <w:rPr>
                <w:rFonts w:asciiTheme="majorBidi" w:hAnsiTheme="majorBidi"/>
                <w:color w:val="000000"/>
                <w:sz w:val="20"/>
              </w:rPr>
              <w:t>318 000</w:t>
            </w:r>
          </w:p>
        </w:tc>
      </w:tr>
      <w:tr w:rsidR="00B950A9" w:rsidRPr="00D1707B" w14:paraId="1589365D" w14:textId="77777777" w:rsidTr="00E1546A">
        <w:trPr>
          <w:trHeight w:val="227"/>
        </w:trPr>
        <w:tc>
          <w:tcPr>
            <w:tcW w:w="9639" w:type="dxa"/>
            <w:gridSpan w:val="3"/>
            <w:tcBorders>
              <w:top w:val="single" w:sz="4" w:space="0" w:color="auto"/>
              <w:bottom w:val="single" w:sz="4" w:space="0" w:color="auto"/>
            </w:tcBorders>
            <w:shd w:val="clear" w:color="auto" w:fill="auto"/>
            <w:noWrap/>
            <w:vAlign w:val="center"/>
            <w:hideMark/>
          </w:tcPr>
          <w:p w14:paraId="255CCB97" w14:textId="77777777" w:rsidR="00267EF8" w:rsidRPr="00D1707B" w:rsidRDefault="00267EF8" w:rsidP="009A4335">
            <w:pPr>
              <w:keepNext/>
              <w:spacing w:before="20" w:after="20"/>
              <w:jc w:val="left"/>
              <w:rPr>
                <w:rFonts w:asciiTheme="majorBidi" w:eastAsia="Times New Roman" w:hAnsiTheme="majorBidi" w:cstheme="majorBidi"/>
                <w:sz w:val="20"/>
                <w:szCs w:val="20"/>
              </w:rPr>
            </w:pPr>
            <w:r>
              <w:rPr>
                <w:rFonts w:asciiTheme="majorBidi" w:hAnsiTheme="majorBidi"/>
                <w:b/>
                <w:color w:val="000000"/>
                <w:sz w:val="20"/>
              </w:rPr>
              <w:t>Especies exóticas invasoras</w:t>
            </w:r>
          </w:p>
        </w:tc>
      </w:tr>
      <w:tr w:rsidR="00B950A9" w:rsidRPr="00D1707B" w14:paraId="44434F62" w14:textId="77777777" w:rsidTr="00E1546A">
        <w:trPr>
          <w:trHeight w:val="227"/>
        </w:trPr>
        <w:tc>
          <w:tcPr>
            <w:tcW w:w="7229" w:type="dxa"/>
            <w:tcBorders>
              <w:top w:val="single" w:sz="4" w:space="0" w:color="auto"/>
            </w:tcBorders>
            <w:shd w:val="clear" w:color="auto" w:fill="auto"/>
            <w:noWrap/>
            <w:vAlign w:val="center"/>
            <w:hideMark/>
          </w:tcPr>
          <w:p w14:paraId="0565EFEC" w14:textId="77777777" w:rsidR="00267EF8" w:rsidRPr="00D1707B" w:rsidRDefault="00267EF8"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Auxiliar de Programas</w:t>
            </w:r>
          </w:p>
        </w:tc>
        <w:tc>
          <w:tcPr>
            <w:tcW w:w="1134" w:type="dxa"/>
            <w:tcBorders>
              <w:top w:val="single" w:sz="4" w:space="0" w:color="auto"/>
            </w:tcBorders>
            <w:shd w:val="clear" w:color="auto" w:fill="auto"/>
            <w:noWrap/>
            <w:vAlign w:val="center"/>
            <w:hideMark/>
          </w:tcPr>
          <w:p w14:paraId="32B1D9DF" w14:textId="77777777" w:rsidR="00267EF8" w:rsidRPr="00D1707B" w:rsidRDefault="00267EF8"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SG</w:t>
            </w:r>
          </w:p>
        </w:tc>
        <w:tc>
          <w:tcPr>
            <w:tcW w:w="1276" w:type="dxa"/>
            <w:tcBorders>
              <w:top w:val="single" w:sz="4" w:space="0" w:color="auto"/>
            </w:tcBorders>
            <w:shd w:val="clear" w:color="auto" w:fill="auto"/>
            <w:noWrap/>
            <w:vAlign w:val="center"/>
            <w:hideMark/>
          </w:tcPr>
          <w:p w14:paraId="6C000F22" w14:textId="77777777" w:rsidR="00267EF8" w:rsidRPr="00D1707B" w:rsidRDefault="00267EF8" w:rsidP="009A4335">
            <w:pPr>
              <w:spacing w:before="20" w:after="20"/>
              <w:jc w:val="right"/>
              <w:rPr>
                <w:rFonts w:asciiTheme="majorBidi" w:eastAsia="Times New Roman" w:hAnsiTheme="majorBidi" w:cstheme="majorBidi"/>
                <w:color w:val="000000"/>
                <w:sz w:val="20"/>
                <w:szCs w:val="20"/>
              </w:rPr>
            </w:pPr>
            <w:r>
              <w:rPr>
                <w:rFonts w:asciiTheme="majorBidi" w:hAnsiTheme="majorBidi"/>
                <w:color w:val="000000"/>
                <w:sz w:val="20"/>
              </w:rPr>
              <w:t>115 500</w:t>
            </w:r>
          </w:p>
        </w:tc>
      </w:tr>
      <w:tr w:rsidR="00B950A9" w:rsidRPr="00D1707B" w14:paraId="4683A281" w14:textId="77777777" w:rsidTr="00E1546A">
        <w:trPr>
          <w:trHeight w:val="227"/>
        </w:trPr>
        <w:tc>
          <w:tcPr>
            <w:tcW w:w="9639" w:type="dxa"/>
            <w:gridSpan w:val="3"/>
            <w:tcBorders>
              <w:top w:val="single" w:sz="4" w:space="0" w:color="auto"/>
              <w:bottom w:val="single" w:sz="4" w:space="0" w:color="auto"/>
            </w:tcBorders>
            <w:shd w:val="clear" w:color="auto" w:fill="auto"/>
            <w:noWrap/>
            <w:vAlign w:val="center"/>
            <w:hideMark/>
          </w:tcPr>
          <w:p w14:paraId="4BC9C407" w14:textId="77777777" w:rsidR="00370BA0" w:rsidRPr="00D1707B" w:rsidRDefault="00370BA0" w:rsidP="009A4335">
            <w:pPr>
              <w:spacing w:before="20" w:after="20"/>
              <w:jc w:val="left"/>
              <w:rPr>
                <w:rFonts w:asciiTheme="majorBidi" w:eastAsia="Times New Roman" w:hAnsiTheme="majorBidi" w:cstheme="majorBidi"/>
                <w:sz w:val="20"/>
                <w:szCs w:val="20"/>
              </w:rPr>
            </w:pPr>
            <w:r>
              <w:rPr>
                <w:rFonts w:asciiTheme="majorBidi" w:hAnsiTheme="majorBidi"/>
                <w:b/>
                <w:color w:val="000000"/>
                <w:sz w:val="20"/>
              </w:rPr>
              <w:t>Diversidad biológica y salud</w:t>
            </w:r>
          </w:p>
        </w:tc>
      </w:tr>
      <w:tr w:rsidR="00B950A9" w:rsidRPr="00D1707B" w14:paraId="07E88B3B" w14:textId="77777777" w:rsidTr="00E1546A">
        <w:trPr>
          <w:trHeight w:val="227"/>
        </w:trPr>
        <w:tc>
          <w:tcPr>
            <w:tcW w:w="7229" w:type="dxa"/>
            <w:tcBorders>
              <w:top w:val="single" w:sz="4" w:space="0" w:color="auto"/>
            </w:tcBorders>
            <w:shd w:val="clear" w:color="auto" w:fill="auto"/>
            <w:noWrap/>
            <w:vAlign w:val="center"/>
            <w:hideMark/>
          </w:tcPr>
          <w:p w14:paraId="341A1FE0" w14:textId="77777777" w:rsidR="00370BA0" w:rsidRPr="00D1707B" w:rsidRDefault="00370BA0"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Oficial de Programas</w:t>
            </w:r>
          </w:p>
        </w:tc>
        <w:tc>
          <w:tcPr>
            <w:tcW w:w="1134" w:type="dxa"/>
            <w:tcBorders>
              <w:top w:val="single" w:sz="4" w:space="0" w:color="auto"/>
            </w:tcBorders>
            <w:shd w:val="clear" w:color="auto" w:fill="auto"/>
            <w:noWrap/>
            <w:vAlign w:val="center"/>
            <w:hideMark/>
          </w:tcPr>
          <w:p w14:paraId="6945A96B" w14:textId="77777777" w:rsidR="00370BA0" w:rsidRPr="00D1707B" w:rsidRDefault="00370BA0"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P-3</w:t>
            </w:r>
          </w:p>
        </w:tc>
        <w:tc>
          <w:tcPr>
            <w:tcW w:w="1276" w:type="dxa"/>
            <w:tcBorders>
              <w:top w:val="single" w:sz="4" w:space="0" w:color="auto"/>
            </w:tcBorders>
            <w:shd w:val="clear" w:color="auto" w:fill="auto"/>
            <w:noWrap/>
            <w:vAlign w:val="center"/>
            <w:hideMark/>
          </w:tcPr>
          <w:p w14:paraId="30814DEE" w14:textId="77777777" w:rsidR="00370BA0" w:rsidRPr="00D1707B" w:rsidRDefault="00370BA0" w:rsidP="009A4335">
            <w:pPr>
              <w:spacing w:before="20" w:after="20"/>
              <w:jc w:val="right"/>
              <w:rPr>
                <w:rFonts w:asciiTheme="majorBidi" w:eastAsia="Times New Roman" w:hAnsiTheme="majorBidi" w:cstheme="majorBidi"/>
                <w:color w:val="000000"/>
                <w:sz w:val="20"/>
                <w:szCs w:val="20"/>
              </w:rPr>
            </w:pPr>
            <w:r>
              <w:rPr>
                <w:rFonts w:asciiTheme="majorBidi" w:hAnsiTheme="majorBidi"/>
                <w:color w:val="000000"/>
                <w:sz w:val="20"/>
              </w:rPr>
              <w:t>318 000</w:t>
            </w:r>
          </w:p>
        </w:tc>
      </w:tr>
      <w:tr w:rsidR="00B950A9" w:rsidRPr="00D1707B" w14:paraId="3DEF5E9A" w14:textId="77777777" w:rsidTr="00E1546A">
        <w:trPr>
          <w:trHeight w:val="227"/>
        </w:trPr>
        <w:tc>
          <w:tcPr>
            <w:tcW w:w="9639" w:type="dxa"/>
            <w:gridSpan w:val="3"/>
            <w:tcBorders>
              <w:top w:val="single" w:sz="4" w:space="0" w:color="auto"/>
              <w:bottom w:val="single" w:sz="4" w:space="0" w:color="auto"/>
            </w:tcBorders>
            <w:shd w:val="clear" w:color="auto" w:fill="auto"/>
            <w:noWrap/>
            <w:vAlign w:val="center"/>
            <w:hideMark/>
          </w:tcPr>
          <w:p w14:paraId="4DFCBFC1" w14:textId="77777777" w:rsidR="00370BA0" w:rsidRPr="00D1707B" w:rsidRDefault="00370BA0" w:rsidP="009A4335">
            <w:pPr>
              <w:spacing w:before="20" w:after="20"/>
              <w:jc w:val="left"/>
              <w:rPr>
                <w:rFonts w:asciiTheme="majorBidi" w:eastAsia="Times New Roman" w:hAnsiTheme="majorBidi" w:cstheme="majorBidi"/>
                <w:sz w:val="20"/>
                <w:szCs w:val="20"/>
              </w:rPr>
            </w:pPr>
            <w:r>
              <w:rPr>
                <w:rFonts w:asciiTheme="majorBidi" w:hAnsiTheme="majorBidi"/>
                <w:b/>
                <w:color w:val="000000"/>
                <w:sz w:val="20"/>
              </w:rPr>
              <w:t>Biología sintética</w:t>
            </w:r>
          </w:p>
        </w:tc>
      </w:tr>
      <w:tr w:rsidR="00B950A9" w:rsidRPr="00D1707B" w14:paraId="37040AF3" w14:textId="77777777" w:rsidTr="00E1546A">
        <w:trPr>
          <w:trHeight w:val="227"/>
        </w:trPr>
        <w:tc>
          <w:tcPr>
            <w:tcW w:w="7229" w:type="dxa"/>
            <w:tcBorders>
              <w:top w:val="single" w:sz="4" w:space="0" w:color="auto"/>
            </w:tcBorders>
            <w:shd w:val="clear" w:color="auto" w:fill="auto"/>
            <w:noWrap/>
            <w:vAlign w:val="center"/>
            <w:hideMark/>
          </w:tcPr>
          <w:p w14:paraId="04780EA4" w14:textId="77777777" w:rsidR="00370BA0" w:rsidRPr="00D1707B" w:rsidRDefault="00370BA0"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Oficial de Programas</w:t>
            </w:r>
          </w:p>
        </w:tc>
        <w:tc>
          <w:tcPr>
            <w:tcW w:w="1134" w:type="dxa"/>
            <w:tcBorders>
              <w:top w:val="single" w:sz="4" w:space="0" w:color="auto"/>
            </w:tcBorders>
            <w:shd w:val="clear" w:color="auto" w:fill="auto"/>
            <w:noWrap/>
            <w:vAlign w:val="center"/>
            <w:hideMark/>
          </w:tcPr>
          <w:p w14:paraId="0CD65D0F" w14:textId="77777777" w:rsidR="00370BA0" w:rsidRPr="00D1707B" w:rsidRDefault="00370BA0"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P-2</w:t>
            </w:r>
          </w:p>
        </w:tc>
        <w:tc>
          <w:tcPr>
            <w:tcW w:w="1276" w:type="dxa"/>
            <w:tcBorders>
              <w:top w:val="single" w:sz="4" w:space="0" w:color="auto"/>
            </w:tcBorders>
            <w:shd w:val="clear" w:color="auto" w:fill="auto"/>
            <w:noWrap/>
            <w:vAlign w:val="center"/>
            <w:hideMark/>
          </w:tcPr>
          <w:p w14:paraId="16BCB3C3" w14:textId="77777777" w:rsidR="00370BA0" w:rsidRPr="00D1707B" w:rsidRDefault="00370BA0" w:rsidP="009A4335">
            <w:pPr>
              <w:spacing w:before="20" w:after="20"/>
              <w:jc w:val="right"/>
              <w:rPr>
                <w:rFonts w:asciiTheme="majorBidi" w:eastAsia="Times New Roman" w:hAnsiTheme="majorBidi" w:cstheme="majorBidi"/>
                <w:color w:val="000000"/>
                <w:sz w:val="20"/>
                <w:szCs w:val="20"/>
              </w:rPr>
            </w:pPr>
            <w:r>
              <w:rPr>
                <w:rFonts w:asciiTheme="majorBidi" w:hAnsiTheme="majorBidi"/>
                <w:color w:val="000000"/>
                <w:sz w:val="20"/>
              </w:rPr>
              <w:t>261 000</w:t>
            </w:r>
          </w:p>
        </w:tc>
      </w:tr>
      <w:tr w:rsidR="00425DEA" w:rsidRPr="00D1707B" w14:paraId="7CC34A0C" w14:textId="77777777" w:rsidTr="00E1546A">
        <w:trPr>
          <w:trHeight w:val="227"/>
        </w:trPr>
        <w:tc>
          <w:tcPr>
            <w:tcW w:w="9639" w:type="dxa"/>
            <w:gridSpan w:val="3"/>
            <w:tcBorders>
              <w:top w:val="single" w:sz="4" w:space="0" w:color="auto"/>
              <w:bottom w:val="single" w:sz="4" w:space="0" w:color="auto"/>
            </w:tcBorders>
            <w:shd w:val="clear" w:color="auto" w:fill="auto"/>
            <w:vAlign w:val="center"/>
            <w:hideMark/>
          </w:tcPr>
          <w:p w14:paraId="714EF2BE" w14:textId="0746B1B5" w:rsidR="00BC0D70" w:rsidRPr="00D1707B" w:rsidRDefault="00BC0D70" w:rsidP="009A4335">
            <w:pPr>
              <w:spacing w:before="20" w:after="20"/>
              <w:jc w:val="left"/>
              <w:rPr>
                <w:rFonts w:asciiTheme="majorBidi" w:eastAsia="Times New Roman" w:hAnsiTheme="majorBidi" w:cstheme="majorBidi"/>
                <w:sz w:val="20"/>
                <w:szCs w:val="20"/>
              </w:rPr>
            </w:pPr>
            <w:r>
              <w:rPr>
                <w:rFonts w:asciiTheme="majorBidi" w:hAnsiTheme="majorBidi"/>
                <w:b/>
                <w:color w:val="000000"/>
                <w:sz w:val="20"/>
              </w:rPr>
              <w:t>Mecanismos para la planificación, el seguimiento, la presentación de informes y la revisión, incluida la revisión mundial de los progresos colectivos en la implementación del Marco Mundial de Biodiversidad de Kunming-Montreal que se llevará a cabo en las reuniones 17ª y 19ª de la Conferencia de las Partes</w:t>
            </w:r>
          </w:p>
        </w:tc>
      </w:tr>
      <w:tr w:rsidR="00E6425F" w:rsidRPr="00D1707B" w14:paraId="4B7F951B" w14:textId="77777777" w:rsidTr="00E1546A">
        <w:trPr>
          <w:trHeight w:val="227"/>
        </w:trPr>
        <w:tc>
          <w:tcPr>
            <w:tcW w:w="7229" w:type="dxa"/>
            <w:tcBorders>
              <w:top w:val="single" w:sz="4" w:space="0" w:color="auto"/>
            </w:tcBorders>
            <w:shd w:val="clear" w:color="auto" w:fill="auto"/>
            <w:noWrap/>
            <w:vAlign w:val="center"/>
            <w:hideMark/>
          </w:tcPr>
          <w:p w14:paraId="6AFCA545" w14:textId="6DAE9EEA" w:rsidR="00BC0D70" w:rsidRPr="00D1707B" w:rsidRDefault="00BC0D70"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Oficial de Programas</w:t>
            </w:r>
          </w:p>
        </w:tc>
        <w:tc>
          <w:tcPr>
            <w:tcW w:w="1134" w:type="dxa"/>
            <w:tcBorders>
              <w:top w:val="single" w:sz="4" w:space="0" w:color="auto"/>
            </w:tcBorders>
            <w:shd w:val="clear" w:color="auto" w:fill="auto"/>
            <w:noWrap/>
            <w:vAlign w:val="center"/>
            <w:hideMark/>
          </w:tcPr>
          <w:p w14:paraId="795D2C18" w14:textId="1EFAF489" w:rsidR="00BC0D70" w:rsidRPr="00D1707B" w:rsidRDefault="00BC0D70"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P-4</w:t>
            </w:r>
          </w:p>
        </w:tc>
        <w:tc>
          <w:tcPr>
            <w:tcW w:w="1276" w:type="dxa"/>
            <w:tcBorders>
              <w:top w:val="single" w:sz="4" w:space="0" w:color="auto"/>
            </w:tcBorders>
            <w:shd w:val="clear" w:color="auto" w:fill="auto"/>
            <w:noWrap/>
            <w:vAlign w:val="center"/>
            <w:hideMark/>
          </w:tcPr>
          <w:p w14:paraId="06718172" w14:textId="77777777" w:rsidR="00BC0D70" w:rsidRPr="00D1707B" w:rsidRDefault="00BC0D70" w:rsidP="009A4335">
            <w:pPr>
              <w:spacing w:before="20" w:after="20"/>
              <w:jc w:val="right"/>
              <w:rPr>
                <w:rFonts w:asciiTheme="majorBidi" w:eastAsia="Times New Roman" w:hAnsiTheme="majorBidi" w:cstheme="majorBidi"/>
                <w:color w:val="000000"/>
                <w:sz w:val="20"/>
                <w:szCs w:val="20"/>
              </w:rPr>
            </w:pPr>
            <w:r>
              <w:rPr>
                <w:rFonts w:asciiTheme="majorBidi" w:hAnsiTheme="majorBidi"/>
                <w:color w:val="000000"/>
                <w:sz w:val="20"/>
              </w:rPr>
              <w:t>375 000</w:t>
            </w:r>
          </w:p>
        </w:tc>
      </w:tr>
      <w:tr w:rsidR="00E6425F" w:rsidRPr="00D1707B" w14:paraId="610FE70D" w14:textId="77777777" w:rsidTr="00E1546A">
        <w:trPr>
          <w:trHeight w:val="227"/>
        </w:trPr>
        <w:tc>
          <w:tcPr>
            <w:tcW w:w="7229" w:type="dxa"/>
            <w:shd w:val="clear" w:color="auto" w:fill="auto"/>
            <w:noWrap/>
            <w:vAlign w:val="center"/>
            <w:hideMark/>
          </w:tcPr>
          <w:p w14:paraId="78880A77" w14:textId="3583BB20" w:rsidR="00BC0D70" w:rsidRPr="00D1707B" w:rsidRDefault="00BC0D70"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Oficial de Programas</w:t>
            </w:r>
          </w:p>
        </w:tc>
        <w:tc>
          <w:tcPr>
            <w:tcW w:w="1134" w:type="dxa"/>
            <w:shd w:val="clear" w:color="auto" w:fill="auto"/>
            <w:noWrap/>
            <w:vAlign w:val="center"/>
            <w:hideMark/>
          </w:tcPr>
          <w:p w14:paraId="16067962" w14:textId="59516D47" w:rsidR="00BC0D70" w:rsidRPr="00D1707B" w:rsidRDefault="00BC0D70"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P-3</w:t>
            </w:r>
          </w:p>
        </w:tc>
        <w:tc>
          <w:tcPr>
            <w:tcW w:w="1276" w:type="dxa"/>
            <w:shd w:val="clear" w:color="auto" w:fill="auto"/>
            <w:noWrap/>
            <w:vAlign w:val="center"/>
            <w:hideMark/>
          </w:tcPr>
          <w:p w14:paraId="116B6BB6" w14:textId="77777777" w:rsidR="00BC0D70" w:rsidRPr="00D1707B" w:rsidRDefault="00BC0D70" w:rsidP="009A4335">
            <w:pPr>
              <w:spacing w:before="20" w:after="20"/>
              <w:jc w:val="right"/>
              <w:rPr>
                <w:rFonts w:asciiTheme="majorBidi" w:eastAsia="Times New Roman" w:hAnsiTheme="majorBidi" w:cstheme="majorBidi"/>
                <w:color w:val="000000"/>
                <w:sz w:val="20"/>
                <w:szCs w:val="20"/>
              </w:rPr>
            </w:pPr>
            <w:r>
              <w:rPr>
                <w:rFonts w:asciiTheme="majorBidi" w:hAnsiTheme="majorBidi"/>
                <w:color w:val="000000"/>
                <w:sz w:val="20"/>
              </w:rPr>
              <w:t>318 000</w:t>
            </w:r>
          </w:p>
        </w:tc>
      </w:tr>
      <w:tr w:rsidR="00E6425F" w:rsidRPr="00D1707B" w14:paraId="5CABA915" w14:textId="77777777" w:rsidTr="00E1546A">
        <w:trPr>
          <w:trHeight w:val="227"/>
        </w:trPr>
        <w:tc>
          <w:tcPr>
            <w:tcW w:w="7229" w:type="dxa"/>
            <w:shd w:val="clear" w:color="auto" w:fill="auto"/>
            <w:noWrap/>
            <w:vAlign w:val="center"/>
            <w:hideMark/>
          </w:tcPr>
          <w:p w14:paraId="3A1FD7EE" w14:textId="4875C001" w:rsidR="00BC0D70" w:rsidRPr="00D1707B" w:rsidRDefault="00BC0D70"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Oficial Adjunto de Programas</w:t>
            </w:r>
          </w:p>
        </w:tc>
        <w:tc>
          <w:tcPr>
            <w:tcW w:w="1134" w:type="dxa"/>
            <w:shd w:val="clear" w:color="auto" w:fill="auto"/>
            <w:noWrap/>
            <w:vAlign w:val="center"/>
            <w:hideMark/>
          </w:tcPr>
          <w:p w14:paraId="72ABA91D" w14:textId="514274CE" w:rsidR="00BC0D70" w:rsidRPr="00D1707B" w:rsidRDefault="00BC0D70"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P-2</w:t>
            </w:r>
          </w:p>
        </w:tc>
        <w:tc>
          <w:tcPr>
            <w:tcW w:w="1276" w:type="dxa"/>
            <w:shd w:val="clear" w:color="auto" w:fill="auto"/>
            <w:noWrap/>
            <w:vAlign w:val="center"/>
            <w:hideMark/>
          </w:tcPr>
          <w:p w14:paraId="3E83ADB4" w14:textId="77777777" w:rsidR="00BC0D70" w:rsidRPr="00D1707B" w:rsidRDefault="00BC0D70" w:rsidP="009A4335">
            <w:pPr>
              <w:spacing w:before="20" w:after="20"/>
              <w:jc w:val="right"/>
              <w:rPr>
                <w:rFonts w:asciiTheme="majorBidi" w:eastAsia="Times New Roman" w:hAnsiTheme="majorBidi" w:cstheme="majorBidi"/>
                <w:color w:val="000000"/>
                <w:sz w:val="20"/>
                <w:szCs w:val="20"/>
              </w:rPr>
            </w:pPr>
            <w:r>
              <w:rPr>
                <w:rFonts w:asciiTheme="majorBidi" w:hAnsiTheme="majorBidi"/>
                <w:color w:val="000000"/>
                <w:sz w:val="20"/>
              </w:rPr>
              <w:t>261 000</w:t>
            </w:r>
          </w:p>
        </w:tc>
      </w:tr>
      <w:tr w:rsidR="00E6425F" w:rsidRPr="00D1707B" w14:paraId="7144525E" w14:textId="77777777" w:rsidTr="00E1546A">
        <w:trPr>
          <w:trHeight w:val="227"/>
        </w:trPr>
        <w:tc>
          <w:tcPr>
            <w:tcW w:w="7229" w:type="dxa"/>
            <w:shd w:val="clear" w:color="auto" w:fill="auto"/>
            <w:noWrap/>
            <w:vAlign w:val="center"/>
            <w:hideMark/>
          </w:tcPr>
          <w:p w14:paraId="40826A8A" w14:textId="65CA93D1" w:rsidR="00BC0D70" w:rsidRPr="00D1707B" w:rsidRDefault="00BC0D70"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Auxiliar de Programas</w:t>
            </w:r>
          </w:p>
        </w:tc>
        <w:tc>
          <w:tcPr>
            <w:tcW w:w="1134" w:type="dxa"/>
            <w:shd w:val="clear" w:color="auto" w:fill="auto"/>
            <w:noWrap/>
            <w:vAlign w:val="center"/>
            <w:hideMark/>
          </w:tcPr>
          <w:p w14:paraId="663DF6CA" w14:textId="77777777" w:rsidR="00BC0D70" w:rsidRPr="00D1707B" w:rsidRDefault="00BC0D70"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SG</w:t>
            </w:r>
          </w:p>
        </w:tc>
        <w:tc>
          <w:tcPr>
            <w:tcW w:w="1276" w:type="dxa"/>
            <w:shd w:val="clear" w:color="auto" w:fill="auto"/>
            <w:noWrap/>
            <w:vAlign w:val="center"/>
            <w:hideMark/>
          </w:tcPr>
          <w:p w14:paraId="7231883C" w14:textId="77777777" w:rsidR="00BC0D70" w:rsidRPr="00D1707B" w:rsidRDefault="00BC0D70" w:rsidP="009A4335">
            <w:pPr>
              <w:spacing w:before="20" w:after="20"/>
              <w:jc w:val="right"/>
              <w:rPr>
                <w:rFonts w:asciiTheme="majorBidi" w:eastAsia="Times New Roman" w:hAnsiTheme="majorBidi" w:cstheme="majorBidi"/>
                <w:color w:val="000000"/>
                <w:sz w:val="20"/>
                <w:szCs w:val="20"/>
              </w:rPr>
            </w:pPr>
            <w:r>
              <w:rPr>
                <w:rFonts w:asciiTheme="majorBidi" w:hAnsiTheme="majorBidi"/>
                <w:color w:val="000000"/>
                <w:sz w:val="20"/>
              </w:rPr>
              <w:t>115 500</w:t>
            </w:r>
          </w:p>
        </w:tc>
      </w:tr>
      <w:tr w:rsidR="006914BA" w:rsidRPr="00D1707B" w14:paraId="43638A32" w14:textId="77777777" w:rsidTr="00E1546A">
        <w:trPr>
          <w:trHeight w:val="227"/>
        </w:trPr>
        <w:tc>
          <w:tcPr>
            <w:tcW w:w="9639" w:type="dxa"/>
            <w:gridSpan w:val="3"/>
            <w:tcBorders>
              <w:top w:val="single" w:sz="4" w:space="0" w:color="auto"/>
              <w:bottom w:val="single" w:sz="4" w:space="0" w:color="auto"/>
            </w:tcBorders>
            <w:shd w:val="clear" w:color="auto" w:fill="auto"/>
            <w:vAlign w:val="center"/>
            <w:hideMark/>
          </w:tcPr>
          <w:p w14:paraId="469E565A" w14:textId="14572D98" w:rsidR="00BC0D70" w:rsidRPr="00D1707B" w:rsidRDefault="00BC0D70" w:rsidP="009A4335">
            <w:pPr>
              <w:spacing w:before="20" w:after="20"/>
              <w:jc w:val="left"/>
              <w:rPr>
                <w:rFonts w:asciiTheme="majorBidi" w:eastAsia="Times New Roman" w:hAnsiTheme="majorBidi" w:cstheme="majorBidi"/>
                <w:sz w:val="20"/>
                <w:szCs w:val="20"/>
              </w:rPr>
            </w:pPr>
            <w:r>
              <w:rPr>
                <w:rFonts w:asciiTheme="majorBidi" w:hAnsiTheme="majorBidi"/>
                <w:b/>
                <w:color w:val="000000"/>
                <w:sz w:val="20"/>
              </w:rPr>
              <w:t xml:space="preserve">Cooperación con otros convenios y organizaciones internacionales </w:t>
            </w:r>
          </w:p>
        </w:tc>
      </w:tr>
      <w:tr w:rsidR="00E6425F" w:rsidRPr="00D1707B" w14:paraId="504F98A0" w14:textId="77777777" w:rsidTr="00E1546A">
        <w:trPr>
          <w:trHeight w:val="270"/>
        </w:trPr>
        <w:tc>
          <w:tcPr>
            <w:tcW w:w="7229" w:type="dxa"/>
            <w:tcBorders>
              <w:top w:val="single" w:sz="4" w:space="0" w:color="auto"/>
            </w:tcBorders>
            <w:shd w:val="clear" w:color="auto" w:fill="auto"/>
            <w:noWrap/>
            <w:vAlign w:val="center"/>
            <w:hideMark/>
          </w:tcPr>
          <w:p w14:paraId="5CB96F49" w14:textId="6301C068" w:rsidR="00BC0D70" w:rsidRPr="00D1707B" w:rsidRDefault="00BC0D70"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Oficial de Programas</w:t>
            </w:r>
          </w:p>
        </w:tc>
        <w:tc>
          <w:tcPr>
            <w:tcW w:w="1134" w:type="dxa"/>
            <w:tcBorders>
              <w:top w:val="single" w:sz="4" w:space="0" w:color="auto"/>
            </w:tcBorders>
            <w:shd w:val="clear" w:color="auto" w:fill="auto"/>
            <w:noWrap/>
            <w:vAlign w:val="center"/>
            <w:hideMark/>
          </w:tcPr>
          <w:p w14:paraId="50EF3C87" w14:textId="2EDA95AD" w:rsidR="00BC0D70" w:rsidRPr="00D1707B" w:rsidRDefault="00BC0D70"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P-3</w:t>
            </w:r>
          </w:p>
        </w:tc>
        <w:tc>
          <w:tcPr>
            <w:tcW w:w="1276" w:type="dxa"/>
            <w:tcBorders>
              <w:top w:val="single" w:sz="4" w:space="0" w:color="auto"/>
            </w:tcBorders>
            <w:shd w:val="clear" w:color="auto" w:fill="auto"/>
            <w:noWrap/>
            <w:vAlign w:val="center"/>
            <w:hideMark/>
          </w:tcPr>
          <w:p w14:paraId="04F1EE4C" w14:textId="77777777" w:rsidR="00BC0D70" w:rsidRPr="00D1707B" w:rsidRDefault="00BC0D70" w:rsidP="009A4335">
            <w:pPr>
              <w:spacing w:before="20" w:after="20"/>
              <w:jc w:val="right"/>
              <w:rPr>
                <w:rFonts w:asciiTheme="majorBidi" w:eastAsia="Times New Roman" w:hAnsiTheme="majorBidi" w:cstheme="majorBidi"/>
                <w:color w:val="000000"/>
                <w:sz w:val="20"/>
                <w:szCs w:val="20"/>
              </w:rPr>
            </w:pPr>
            <w:r>
              <w:rPr>
                <w:rFonts w:asciiTheme="majorBidi" w:hAnsiTheme="majorBidi"/>
                <w:color w:val="000000"/>
                <w:sz w:val="20"/>
              </w:rPr>
              <w:t>318 000</w:t>
            </w:r>
          </w:p>
        </w:tc>
      </w:tr>
      <w:tr w:rsidR="00DB42CE" w:rsidRPr="00D1707B" w14:paraId="1E1AD5D6" w14:textId="77777777" w:rsidTr="00E1546A">
        <w:trPr>
          <w:trHeight w:val="227"/>
        </w:trPr>
        <w:tc>
          <w:tcPr>
            <w:tcW w:w="9639" w:type="dxa"/>
            <w:gridSpan w:val="3"/>
            <w:tcBorders>
              <w:top w:val="single" w:sz="4" w:space="0" w:color="auto"/>
              <w:bottom w:val="single" w:sz="4" w:space="0" w:color="auto"/>
            </w:tcBorders>
            <w:shd w:val="clear" w:color="auto" w:fill="auto"/>
            <w:vAlign w:val="center"/>
            <w:hideMark/>
          </w:tcPr>
          <w:p w14:paraId="463C9B33" w14:textId="50E205A5" w:rsidR="00BC0D70" w:rsidRPr="00D1707B" w:rsidRDefault="00BC0D70" w:rsidP="009A4335">
            <w:pPr>
              <w:spacing w:before="20" w:after="20"/>
              <w:jc w:val="left"/>
              <w:rPr>
                <w:rFonts w:asciiTheme="majorBidi" w:eastAsia="Times New Roman" w:hAnsiTheme="majorBidi" w:cstheme="majorBidi"/>
                <w:sz w:val="20"/>
                <w:szCs w:val="20"/>
              </w:rPr>
            </w:pPr>
            <w:r>
              <w:rPr>
                <w:rFonts w:asciiTheme="majorBidi" w:hAnsiTheme="majorBidi"/>
                <w:b/>
                <w:color w:val="000000"/>
                <w:sz w:val="20"/>
              </w:rPr>
              <w:t>Programa de trabajo plurianual de la Conferencia de las Partes</w:t>
            </w:r>
          </w:p>
        </w:tc>
      </w:tr>
      <w:tr w:rsidR="00E6425F" w:rsidRPr="00D1707B" w14:paraId="1495DB37" w14:textId="77777777" w:rsidTr="00E1546A">
        <w:trPr>
          <w:trHeight w:val="270"/>
        </w:trPr>
        <w:tc>
          <w:tcPr>
            <w:tcW w:w="7229" w:type="dxa"/>
            <w:tcBorders>
              <w:top w:val="single" w:sz="4" w:space="0" w:color="auto"/>
            </w:tcBorders>
            <w:shd w:val="clear" w:color="auto" w:fill="auto"/>
            <w:noWrap/>
            <w:vAlign w:val="center"/>
            <w:hideMark/>
          </w:tcPr>
          <w:p w14:paraId="068A3236" w14:textId="7AAD50BC" w:rsidR="00BC0D70" w:rsidRPr="00D1707B" w:rsidRDefault="00BC0D70"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Oficial de Programas (4 puestos)</w:t>
            </w:r>
          </w:p>
        </w:tc>
        <w:tc>
          <w:tcPr>
            <w:tcW w:w="1134" w:type="dxa"/>
            <w:tcBorders>
              <w:top w:val="single" w:sz="4" w:space="0" w:color="auto"/>
            </w:tcBorders>
            <w:shd w:val="clear" w:color="auto" w:fill="auto"/>
            <w:noWrap/>
            <w:vAlign w:val="center"/>
            <w:hideMark/>
          </w:tcPr>
          <w:p w14:paraId="7EB4EF52" w14:textId="6F22FDF2" w:rsidR="00BC0D70" w:rsidRPr="00D1707B" w:rsidRDefault="00BC0D70" w:rsidP="009A4335">
            <w:pPr>
              <w:spacing w:before="20" w:after="20"/>
              <w:jc w:val="left"/>
              <w:rPr>
                <w:rFonts w:asciiTheme="majorBidi" w:eastAsia="Times New Roman" w:hAnsiTheme="majorBidi" w:cstheme="majorBidi"/>
                <w:color w:val="000000"/>
                <w:sz w:val="20"/>
                <w:szCs w:val="20"/>
              </w:rPr>
            </w:pPr>
            <w:r>
              <w:rPr>
                <w:rFonts w:asciiTheme="majorBidi" w:hAnsiTheme="majorBidi"/>
                <w:color w:val="000000"/>
                <w:sz w:val="20"/>
              </w:rPr>
              <w:t>P-3</w:t>
            </w:r>
          </w:p>
        </w:tc>
        <w:tc>
          <w:tcPr>
            <w:tcW w:w="1276" w:type="dxa"/>
            <w:tcBorders>
              <w:top w:val="single" w:sz="4" w:space="0" w:color="auto"/>
            </w:tcBorders>
            <w:shd w:val="clear" w:color="auto" w:fill="auto"/>
            <w:noWrap/>
            <w:vAlign w:val="center"/>
            <w:hideMark/>
          </w:tcPr>
          <w:p w14:paraId="7E4E1558" w14:textId="77777777" w:rsidR="00BC0D70" w:rsidRPr="00D1707B" w:rsidRDefault="00BC0D70" w:rsidP="009A4335">
            <w:pPr>
              <w:spacing w:before="20" w:after="20"/>
              <w:jc w:val="right"/>
              <w:rPr>
                <w:rFonts w:asciiTheme="majorBidi" w:eastAsia="Times New Roman" w:hAnsiTheme="majorBidi" w:cstheme="majorBidi"/>
                <w:color w:val="000000"/>
                <w:sz w:val="20"/>
                <w:szCs w:val="20"/>
              </w:rPr>
            </w:pPr>
            <w:r>
              <w:rPr>
                <w:rFonts w:asciiTheme="majorBidi" w:hAnsiTheme="majorBidi"/>
                <w:color w:val="000000"/>
                <w:sz w:val="20"/>
              </w:rPr>
              <w:t>1 272 000</w:t>
            </w:r>
          </w:p>
        </w:tc>
      </w:tr>
      <w:tr w:rsidR="004D5D85" w:rsidRPr="00D1707B" w14:paraId="2D102DDE" w14:textId="77777777" w:rsidTr="00E1546A">
        <w:trPr>
          <w:trHeight w:val="227"/>
        </w:trPr>
        <w:tc>
          <w:tcPr>
            <w:tcW w:w="8363" w:type="dxa"/>
            <w:gridSpan w:val="2"/>
            <w:tcBorders>
              <w:top w:val="single" w:sz="4" w:space="0" w:color="auto"/>
              <w:bottom w:val="single" w:sz="4" w:space="0" w:color="auto"/>
            </w:tcBorders>
            <w:shd w:val="clear" w:color="auto" w:fill="auto"/>
            <w:noWrap/>
            <w:vAlign w:val="bottom"/>
            <w:hideMark/>
          </w:tcPr>
          <w:p w14:paraId="35BAC792" w14:textId="1DB1ED89" w:rsidR="00BC0D70" w:rsidRPr="00D1707B" w:rsidRDefault="002F1CB3" w:rsidP="009A4335">
            <w:pPr>
              <w:tabs>
                <w:tab w:val="clear" w:pos="567"/>
              </w:tabs>
              <w:spacing w:before="20" w:after="20"/>
              <w:ind w:left="318"/>
              <w:jc w:val="left"/>
              <w:rPr>
                <w:rFonts w:asciiTheme="majorBidi" w:eastAsia="Times New Roman" w:hAnsiTheme="majorBidi" w:cstheme="majorBidi"/>
                <w:b/>
                <w:bCs/>
                <w:color w:val="000000"/>
                <w:sz w:val="20"/>
                <w:szCs w:val="20"/>
              </w:rPr>
            </w:pPr>
            <w:r>
              <w:rPr>
                <w:rFonts w:asciiTheme="majorBidi" w:hAnsiTheme="majorBidi"/>
                <w:b/>
                <w:color w:val="000000"/>
                <w:sz w:val="20"/>
              </w:rPr>
              <w:t>Subtotal</w:t>
            </w:r>
          </w:p>
        </w:tc>
        <w:tc>
          <w:tcPr>
            <w:tcW w:w="1276" w:type="dxa"/>
            <w:tcBorders>
              <w:top w:val="single" w:sz="4" w:space="0" w:color="auto"/>
              <w:bottom w:val="single" w:sz="4" w:space="0" w:color="auto"/>
            </w:tcBorders>
            <w:shd w:val="clear" w:color="auto" w:fill="auto"/>
            <w:noWrap/>
            <w:vAlign w:val="center"/>
            <w:hideMark/>
          </w:tcPr>
          <w:p w14:paraId="59870D25" w14:textId="77777777" w:rsidR="00BC0D70" w:rsidRPr="00D1707B" w:rsidRDefault="00BC0D70" w:rsidP="009A4335">
            <w:pPr>
              <w:spacing w:before="20" w:after="20"/>
              <w:jc w:val="right"/>
              <w:rPr>
                <w:rFonts w:asciiTheme="majorBidi" w:eastAsia="Times New Roman" w:hAnsiTheme="majorBidi" w:cstheme="majorBidi"/>
                <w:b/>
                <w:bCs/>
                <w:color w:val="000000"/>
                <w:sz w:val="20"/>
                <w:szCs w:val="20"/>
              </w:rPr>
            </w:pPr>
            <w:r>
              <w:rPr>
                <w:rFonts w:asciiTheme="majorBidi" w:hAnsiTheme="majorBidi"/>
                <w:b/>
                <w:color w:val="000000"/>
                <w:sz w:val="20"/>
              </w:rPr>
              <w:t>5 973 000</w:t>
            </w:r>
          </w:p>
        </w:tc>
      </w:tr>
      <w:tr w:rsidR="002F1CB3" w:rsidRPr="00D1707B" w14:paraId="61F9C497" w14:textId="77777777" w:rsidTr="00E1546A">
        <w:trPr>
          <w:trHeight w:val="227"/>
        </w:trPr>
        <w:tc>
          <w:tcPr>
            <w:tcW w:w="8363" w:type="dxa"/>
            <w:gridSpan w:val="2"/>
            <w:tcBorders>
              <w:top w:val="single" w:sz="4" w:space="0" w:color="auto"/>
              <w:bottom w:val="single" w:sz="4" w:space="0" w:color="auto"/>
            </w:tcBorders>
            <w:shd w:val="clear" w:color="auto" w:fill="auto"/>
            <w:noWrap/>
            <w:vAlign w:val="bottom"/>
          </w:tcPr>
          <w:p w14:paraId="70C3074F" w14:textId="491C6BD9" w:rsidR="002F1CB3" w:rsidRPr="00D1707B" w:rsidRDefault="002F1CB3" w:rsidP="00E1546A">
            <w:pPr>
              <w:tabs>
                <w:tab w:val="clear" w:pos="567"/>
              </w:tabs>
              <w:spacing w:before="20" w:after="20"/>
              <w:ind w:left="43"/>
              <w:jc w:val="left"/>
              <w:rPr>
                <w:rFonts w:asciiTheme="majorBidi" w:eastAsia="Times New Roman" w:hAnsiTheme="majorBidi" w:cstheme="majorBidi"/>
                <w:b/>
                <w:bCs/>
                <w:color w:val="000000"/>
                <w:sz w:val="20"/>
                <w:szCs w:val="20"/>
              </w:rPr>
            </w:pPr>
            <w:r>
              <w:rPr>
                <w:rFonts w:asciiTheme="majorBidi" w:hAnsiTheme="majorBidi"/>
                <w:sz w:val="20"/>
              </w:rPr>
              <w:t>Gastos de apoyo a los programas (13 %)</w:t>
            </w:r>
          </w:p>
        </w:tc>
        <w:tc>
          <w:tcPr>
            <w:tcW w:w="1276" w:type="dxa"/>
            <w:tcBorders>
              <w:top w:val="single" w:sz="4" w:space="0" w:color="auto"/>
              <w:bottom w:val="single" w:sz="4" w:space="0" w:color="auto"/>
            </w:tcBorders>
            <w:shd w:val="clear" w:color="auto" w:fill="auto"/>
            <w:noWrap/>
          </w:tcPr>
          <w:p w14:paraId="04FC66A0" w14:textId="5C97A719" w:rsidR="002F1CB3" w:rsidRPr="002F1CB3" w:rsidRDefault="002F1CB3" w:rsidP="002F1CB3">
            <w:pPr>
              <w:spacing w:before="20" w:after="20"/>
              <w:jc w:val="right"/>
              <w:rPr>
                <w:rFonts w:asciiTheme="majorBidi" w:eastAsia="Times New Roman" w:hAnsiTheme="majorBidi" w:cstheme="majorBidi"/>
                <w:b/>
                <w:bCs/>
                <w:color w:val="000000"/>
                <w:sz w:val="20"/>
                <w:szCs w:val="20"/>
              </w:rPr>
            </w:pPr>
            <w:r>
              <w:rPr>
                <w:sz w:val="20"/>
              </w:rPr>
              <w:t>776 490</w:t>
            </w:r>
          </w:p>
        </w:tc>
      </w:tr>
      <w:tr w:rsidR="002F1CB3" w:rsidRPr="00D1707B" w14:paraId="395A57B5" w14:textId="77777777" w:rsidTr="00E1546A">
        <w:trPr>
          <w:trHeight w:val="227"/>
        </w:trPr>
        <w:tc>
          <w:tcPr>
            <w:tcW w:w="8363" w:type="dxa"/>
            <w:gridSpan w:val="2"/>
            <w:tcBorders>
              <w:top w:val="single" w:sz="4" w:space="0" w:color="auto"/>
              <w:bottom w:val="single" w:sz="4" w:space="0" w:color="auto"/>
            </w:tcBorders>
            <w:shd w:val="clear" w:color="auto" w:fill="auto"/>
            <w:noWrap/>
            <w:vAlign w:val="bottom"/>
          </w:tcPr>
          <w:p w14:paraId="64CC676E" w14:textId="03AF16FC" w:rsidR="002F1CB3" w:rsidRPr="00E1546A" w:rsidRDefault="002F1CB3" w:rsidP="002F1CB3">
            <w:pPr>
              <w:tabs>
                <w:tab w:val="clear" w:pos="567"/>
              </w:tabs>
              <w:spacing w:before="20" w:after="20"/>
              <w:ind w:left="318"/>
              <w:jc w:val="left"/>
              <w:rPr>
                <w:b/>
                <w:bCs/>
                <w:color w:val="000000" w:themeColor="text1"/>
                <w:kern w:val="20"/>
                <w:sz w:val="20"/>
              </w:rPr>
            </w:pPr>
            <w:r>
              <w:rPr>
                <w:b/>
                <w:color w:val="000000" w:themeColor="text1"/>
                <w:sz w:val="20"/>
              </w:rPr>
              <w:t>Total</w:t>
            </w:r>
          </w:p>
        </w:tc>
        <w:tc>
          <w:tcPr>
            <w:tcW w:w="1276" w:type="dxa"/>
            <w:tcBorders>
              <w:top w:val="single" w:sz="4" w:space="0" w:color="auto"/>
              <w:bottom w:val="single" w:sz="4" w:space="0" w:color="auto"/>
            </w:tcBorders>
            <w:shd w:val="clear" w:color="auto" w:fill="auto"/>
            <w:noWrap/>
          </w:tcPr>
          <w:p w14:paraId="10A8DE06" w14:textId="1893C5A8" w:rsidR="002F1CB3" w:rsidRPr="002F1CB3" w:rsidRDefault="002F1CB3" w:rsidP="002F1CB3">
            <w:pPr>
              <w:spacing w:before="20" w:after="20"/>
              <w:jc w:val="right"/>
              <w:rPr>
                <w:rFonts w:asciiTheme="majorBidi" w:eastAsia="Times New Roman" w:hAnsiTheme="majorBidi" w:cstheme="majorBidi"/>
                <w:b/>
                <w:bCs/>
                <w:color w:val="000000"/>
                <w:sz w:val="20"/>
                <w:szCs w:val="20"/>
              </w:rPr>
            </w:pPr>
            <w:r>
              <w:rPr>
                <w:b/>
                <w:sz w:val="20"/>
              </w:rPr>
              <w:t>6 749 490</w:t>
            </w:r>
          </w:p>
        </w:tc>
      </w:tr>
    </w:tbl>
    <w:p w14:paraId="60BC66ED" w14:textId="7297188D" w:rsidR="00BC0D70" w:rsidRPr="00D1707B" w:rsidRDefault="00D151D1" w:rsidP="009A4335">
      <w:pPr>
        <w:pStyle w:val="CBDFootnoteText"/>
        <w:tabs>
          <w:tab w:val="clear" w:pos="1134"/>
          <w:tab w:val="left" w:pos="990"/>
        </w:tabs>
        <w:spacing w:before="120"/>
        <w:ind w:left="567"/>
        <w:rPr>
          <w:szCs w:val="18"/>
        </w:rPr>
      </w:pPr>
      <w:r>
        <w:rPr>
          <w:i/>
        </w:rPr>
        <w:tab/>
        <w:t>Siglas</w:t>
      </w:r>
      <w:r>
        <w:t>: SG: Cuadro de Servicios Generales; P: Cuadro Orgánico.</w:t>
      </w:r>
    </w:p>
    <w:p w14:paraId="03145459" w14:textId="62E17174" w:rsidR="00201D78" w:rsidRPr="00D1707B" w:rsidRDefault="00201D78" w:rsidP="00D1707B">
      <w:pPr>
        <w:pStyle w:val="CBDTableTitle"/>
        <w:spacing w:before="240"/>
        <w:ind w:left="562"/>
      </w:pPr>
      <w:r>
        <w:rPr>
          <w:b w:val="0"/>
        </w:rPr>
        <w:lastRenderedPageBreak/>
        <w:t>Cuadro 6</w:t>
      </w:r>
      <w:r>
        <w:br/>
        <w:t>Necesidades de recursos para el Fondo Fiduciario Voluntario Especial para Facilitar la Participación de las Partes en el Proceso del Convenio, 2025-2026</w:t>
      </w:r>
    </w:p>
    <w:p w14:paraId="7E8D54BC" w14:textId="3F19CBAB" w:rsidR="007B4873" w:rsidRPr="00D1707B" w:rsidRDefault="007B4873" w:rsidP="00D1707B">
      <w:pPr>
        <w:pStyle w:val="CBDNormalNoNumber"/>
        <w:keepNext/>
        <w:keepLines/>
        <w:spacing w:after="60"/>
        <w:ind w:left="562"/>
        <w:rPr>
          <w:sz w:val="18"/>
          <w:szCs w:val="18"/>
        </w:rPr>
      </w:pPr>
      <w:r>
        <w:rPr>
          <w:sz w:val="18"/>
        </w:rPr>
        <w:t>(En miles de dólares de los EE.UU.)</w:t>
      </w:r>
    </w:p>
    <w:tbl>
      <w:tblPr>
        <w:tblW w:w="9639" w:type="dxa"/>
        <w:tblInd w:w="142" w:type="dxa"/>
        <w:tblLayout w:type="fixed"/>
        <w:tblLook w:val="04A0" w:firstRow="1" w:lastRow="0" w:firstColumn="1" w:lastColumn="0" w:noHBand="0" w:noVBand="1"/>
      </w:tblPr>
      <w:tblGrid>
        <w:gridCol w:w="8363"/>
        <w:gridCol w:w="1276"/>
      </w:tblGrid>
      <w:tr w:rsidR="00F44927" w:rsidRPr="00D1707B" w14:paraId="427A8897" w14:textId="77777777" w:rsidTr="00E1546A">
        <w:trPr>
          <w:trHeight w:val="227"/>
          <w:tblHeader/>
        </w:trPr>
        <w:tc>
          <w:tcPr>
            <w:tcW w:w="4338" w:type="pct"/>
            <w:tcBorders>
              <w:top w:val="single" w:sz="4" w:space="0" w:color="auto"/>
              <w:left w:val="nil"/>
              <w:bottom w:val="single" w:sz="4" w:space="0" w:color="auto"/>
              <w:right w:val="nil"/>
            </w:tcBorders>
            <w:shd w:val="clear" w:color="auto" w:fill="auto"/>
            <w:vAlign w:val="center"/>
            <w:hideMark/>
          </w:tcPr>
          <w:p w14:paraId="3DF48C4F" w14:textId="72CB1BD3" w:rsidR="007F4D97" w:rsidRPr="00D1707B" w:rsidRDefault="00FA33AA" w:rsidP="00D1707B">
            <w:pPr>
              <w:keepNext/>
              <w:keepLines/>
              <w:spacing w:before="20" w:after="20"/>
              <w:jc w:val="left"/>
              <w:rPr>
                <w:i/>
                <w:color w:val="000000" w:themeColor="text1"/>
                <w:kern w:val="20"/>
                <w:sz w:val="20"/>
              </w:rPr>
            </w:pPr>
            <w:r>
              <w:rPr>
                <w:i/>
                <w:color w:val="000000" w:themeColor="text1"/>
                <w:sz w:val="20"/>
              </w:rPr>
              <w:t>Reuniones</w:t>
            </w:r>
          </w:p>
        </w:tc>
        <w:tc>
          <w:tcPr>
            <w:tcW w:w="662" w:type="pct"/>
            <w:tcBorders>
              <w:top w:val="single" w:sz="4" w:space="0" w:color="auto"/>
              <w:left w:val="nil"/>
              <w:bottom w:val="single" w:sz="4" w:space="0" w:color="auto"/>
              <w:right w:val="nil"/>
            </w:tcBorders>
            <w:shd w:val="clear" w:color="auto" w:fill="auto"/>
            <w:vAlign w:val="center"/>
            <w:hideMark/>
          </w:tcPr>
          <w:p w14:paraId="69B79275" w14:textId="1730ED07" w:rsidR="007F4D97" w:rsidRPr="00D1707B" w:rsidRDefault="007F4D97" w:rsidP="00D1707B">
            <w:pPr>
              <w:keepNext/>
              <w:keepLines/>
              <w:spacing w:before="20" w:after="20"/>
              <w:jc w:val="center"/>
              <w:rPr>
                <w:i/>
                <w:color w:val="000000" w:themeColor="text1"/>
                <w:kern w:val="20"/>
                <w:sz w:val="20"/>
              </w:rPr>
            </w:pPr>
            <w:r>
              <w:rPr>
                <w:i/>
                <w:color w:val="000000" w:themeColor="text1"/>
                <w:sz w:val="20"/>
              </w:rPr>
              <w:t>2025-2026</w:t>
            </w:r>
          </w:p>
        </w:tc>
      </w:tr>
      <w:tr w:rsidR="00F44927" w:rsidRPr="00D1707B" w14:paraId="1ADB1B56" w14:textId="77777777" w:rsidTr="00E1546A">
        <w:trPr>
          <w:trHeight w:val="227"/>
        </w:trPr>
        <w:tc>
          <w:tcPr>
            <w:tcW w:w="4338" w:type="pct"/>
            <w:tcBorders>
              <w:top w:val="nil"/>
              <w:left w:val="nil"/>
              <w:bottom w:val="nil"/>
              <w:right w:val="nil"/>
            </w:tcBorders>
            <w:shd w:val="clear" w:color="auto" w:fill="auto"/>
            <w:noWrap/>
            <w:vAlign w:val="center"/>
            <w:hideMark/>
          </w:tcPr>
          <w:p w14:paraId="70C18F5F" w14:textId="2D5050CA" w:rsidR="00201D78" w:rsidRPr="00D1707B" w:rsidRDefault="009F79EE" w:rsidP="00D1707B">
            <w:pPr>
              <w:pStyle w:val="Default"/>
              <w:keepNext/>
              <w:keepLines/>
              <w:spacing w:before="20" w:after="20"/>
              <w:rPr>
                <w:color w:val="000000" w:themeColor="text1"/>
                <w:kern w:val="20"/>
                <w:sz w:val="20"/>
              </w:rPr>
            </w:pPr>
            <w:r>
              <w:rPr>
                <w:color w:val="000000" w:themeColor="text1"/>
                <w:sz w:val="20"/>
              </w:rPr>
              <w:t xml:space="preserve">17ª reunión de la Conferencia de las Partes en el Convenio, 12ª reunión de la Conferencia de las Partes que actúa como reunión de las Partes en el Protocolo de Cartagena y 6ª reunión de la Conferencia de las Partes que actúa como reunión de las Partes en el Protocolo de </w:t>
            </w:r>
            <w:proofErr w:type="spellStart"/>
            <w:r>
              <w:rPr>
                <w:color w:val="000000" w:themeColor="text1"/>
                <w:sz w:val="20"/>
              </w:rPr>
              <w:t>Nagoya</w:t>
            </w:r>
            <w:r>
              <w:rPr>
                <w:i/>
                <w:color w:val="000000" w:themeColor="text1"/>
                <w:sz w:val="20"/>
                <w:vertAlign w:val="superscript"/>
              </w:rPr>
              <w:t>a</w:t>
            </w:r>
            <w:proofErr w:type="spellEnd"/>
          </w:p>
        </w:tc>
        <w:tc>
          <w:tcPr>
            <w:tcW w:w="662" w:type="pct"/>
            <w:tcBorders>
              <w:top w:val="nil"/>
              <w:left w:val="nil"/>
              <w:bottom w:val="nil"/>
              <w:right w:val="nil"/>
            </w:tcBorders>
            <w:shd w:val="clear" w:color="auto" w:fill="auto"/>
            <w:vAlign w:val="center"/>
            <w:hideMark/>
          </w:tcPr>
          <w:p w14:paraId="4CA6175D" w14:textId="7D381B70" w:rsidR="00201D78" w:rsidRPr="00D1707B" w:rsidRDefault="00201D78" w:rsidP="00D1707B">
            <w:pPr>
              <w:keepNext/>
              <w:keepLines/>
              <w:spacing w:before="20" w:after="20"/>
              <w:jc w:val="right"/>
              <w:rPr>
                <w:color w:val="000000" w:themeColor="text1"/>
                <w:kern w:val="20"/>
                <w:sz w:val="20"/>
              </w:rPr>
            </w:pPr>
            <w:r>
              <w:rPr>
                <w:color w:val="000000" w:themeColor="text1"/>
                <w:sz w:val="20"/>
              </w:rPr>
              <w:t>2 925,9</w:t>
            </w:r>
          </w:p>
        </w:tc>
      </w:tr>
      <w:tr w:rsidR="00F44927" w:rsidRPr="00D1707B" w14:paraId="27FB1995" w14:textId="77777777" w:rsidTr="00E1546A">
        <w:trPr>
          <w:trHeight w:val="227"/>
        </w:trPr>
        <w:tc>
          <w:tcPr>
            <w:tcW w:w="4338" w:type="pct"/>
            <w:tcBorders>
              <w:top w:val="nil"/>
              <w:left w:val="nil"/>
              <w:bottom w:val="nil"/>
              <w:right w:val="nil"/>
            </w:tcBorders>
            <w:shd w:val="clear" w:color="auto" w:fill="auto"/>
            <w:noWrap/>
            <w:vAlign w:val="center"/>
            <w:hideMark/>
          </w:tcPr>
          <w:p w14:paraId="62B46FD5" w14:textId="4436B1D3" w:rsidR="00201D78" w:rsidRPr="00D1707B" w:rsidRDefault="00F57EF7" w:rsidP="00D1707B">
            <w:pPr>
              <w:pStyle w:val="Default"/>
              <w:spacing w:before="20" w:after="20"/>
              <w:rPr>
                <w:color w:val="000000" w:themeColor="text1"/>
                <w:kern w:val="20"/>
                <w:sz w:val="20"/>
              </w:rPr>
            </w:pPr>
            <w:r>
              <w:rPr>
                <w:color w:val="000000" w:themeColor="text1"/>
                <w:sz w:val="20"/>
              </w:rPr>
              <w:t xml:space="preserve">27ª reunión del Órgano Subsidiario de Asesoramiento Científico, Técnico y Tecnológico y 1ª reunión del Órgano Subsidiario sobre el Artículo 8 j) y Otras Disposiciones del Convenio Relativas a los Pueblos Indígenas y las Comunidades </w:t>
            </w:r>
            <w:proofErr w:type="spellStart"/>
            <w:r>
              <w:rPr>
                <w:color w:val="000000" w:themeColor="text1"/>
                <w:sz w:val="20"/>
              </w:rPr>
              <w:t>Locales</w:t>
            </w:r>
            <w:r>
              <w:rPr>
                <w:i/>
                <w:color w:val="000000" w:themeColor="text1"/>
                <w:sz w:val="20"/>
                <w:vertAlign w:val="superscript"/>
              </w:rPr>
              <w:t>b</w:t>
            </w:r>
            <w:proofErr w:type="spellEnd"/>
          </w:p>
        </w:tc>
        <w:tc>
          <w:tcPr>
            <w:tcW w:w="662" w:type="pct"/>
            <w:tcBorders>
              <w:top w:val="nil"/>
              <w:left w:val="nil"/>
              <w:bottom w:val="nil"/>
              <w:right w:val="nil"/>
            </w:tcBorders>
            <w:shd w:val="clear" w:color="auto" w:fill="auto"/>
            <w:vAlign w:val="center"/>
            <w:hideMark/>
          </w:tcPr>
          <w:p w14:paraId="3F33240F" w14:textId="0150C040" w:rsidR="00201D78" w:rsidRPr="00D1707B" w:rsidRDefault="00201D78" w:rsidP="00D1707B">
            <w:pPr>
              <w:keepLines/>
              <w:spacing w:before="20" w:after="20"/>
              <w:jc w:val="right"/>
              <w:rPr>
                <w:color w:val="000000" w:themeColor="text1"/>
                <w:kern w:val="20"/>
                <w:sz w:val="20"/>
              </w:rPr>
            </w:pPr>
            <w:r>
              <w:rPr>
                <w:color w:val="000000" w:themeColor="text1"/>
                <w:sz w:val="20"/>
              </w:rPr>
              <w:t>1 811,1</w:t>
            </w:r>
          </w:p>
        </w:tc>
      </w:tr>
      <w:tr w:rsidR="00F44927" w:rsidRPr="00D1707B" w14:paraId="420E88B8" w14:textId="77777777" w:rsidTr="00E1546A">
        <w:trPr>
          <w:trHeight w:val="227"/>
        </w:trPr>
        <w:tc>
          <w:tcPr>
            <w:tcW w:w="4338" w:type="pct"/>
            <w:tcBorders>
              <w:top w:val="nil"/>
              <w:left w:val="nil"/>
              <w:bottom w:val="nil"/>
              <w:right w:val="nil"/>
            </w:tcBorders>
            <w:shd w:val="clear" w:color="auto" w:fill="auto"/>
            <w:noWrap/>
            <w:vAlign w:val="center"/>
            <w:hideMark/>
          </w:tcPr>
          <w:p w14:paraId="67114391" w14:textId="54DA98EE" w:rsidR="00201D78" w:rsidRPr="00D1707B" w:rsidRDefault="00B85F56" w:rsidP="00D1707B">
            <w:pPr>
              <w:pStyle w:val="Default"/>
              <w:spacing w:before="20" w:after="20"/>
              <w:rPr>
                <w:color w:val="000000" w:themeColor="text1"/>
                <w:kern w:val="20"/>
                <w:sz w:val="20"/>
              </w:rPr>
            </w:pPr>
            <w:r>
              <w:rPr>
                <w:color w:val="000000" w:themeColor="text1"/>
                <w:sz w:val="20"/>
              </w:rPr>
              <w:t xml:space="preserve">28ª reunión del Órgano Subsidiario de Asesoramiento Científico, Técnico y Tecnológico y 6ª reunión del Órgano Subsidiario sobre la </w:t>
            </w:r>
            <w:proofErr w:type="spellStart"/>
            <w:r>
              <w:rPr>
                <w:color w:val="000000" w:themeColor="text1"/>
                <w:sz w:val="20"/>
              </w:rPr>
              <w:t>Aplicación</w:t>
            </w:r>
            <w:r>
              <w:rPr>
                <w:i/>
                <w:color w:val="000000" w:themeColor="text1"/>
                <w:sz w:val="20"/>
                <w:vertAlign w:val="superscript"/>
              </w:rPr>
              <w:t>b</w:t>
            </w:r>
            <w:proofErr w:type="spellEnd"/>
          </w:p>
        </w:tc>
        <w:tc>
          <w:tcPr>
            <w:tcW w:w="662" w:type="pct"/>
            <w:tcBorders>
              <w:top w:val="nil"/>
              <w:left w:val="nil"/>
              <w:bottom w:val="nil"/>
              <w:right w:val="nil"/>
            </w:tcBorders>
            <w:shd w:val="clear" w:color="auto" w:fill="auto"/>
            <w:vAlign w:val="center"/>
            <w:hideMark/>
          </w:tcPr>
          <w:p w14:paraId="1C59F4BC" w14:textId="6129CE48" w:rsidR="00201D78" w:rsidRPr="00D1707B" w:rsidRDefault="00201D78" w:rsidP="00D1707B">
            <w:pPr>
              <w:keepLines/>
              <w:spacing w:before="20" w:after="20"/>
              <w:jc w:val="right"/>
              <w:rPr>
                <w:color w:val="000000" w:themeColor="text1"/>
                <w:kern w:val="20"/>
                <w:sz w:val="20"/>
              </w:rPr>
            </w:pPr>
            <w:r>
              <w:rPr>
                <w:color w:val="000000" w:themeColor="text1"/>
                <w:sz w:val="20"/>
              </w:rPr>
              <w:t>2 249,1</w:t>
            </w:r>
          </w:p>
        </w:tc>
      </w:tr>
      <w:tr w:rsidR="00F44927" w:rsidRPr="00D1707B" w14:paraId="638650C6" w14:textId="77777777" w:rsidTr="00E1546A">
        <w:trPr>
          <w:trHeight w:val="227"/>
        </w:trPr>
        <w:tc>
          <w:tcPr>
            <w:tcW w:w="4338" w:type="pct"/>
            <w:tcBorders>
              <w:top w:val="nil"/>
              <w:left w:val="nil"/>
              <w:bottom w:val="single" w:sz="8" w:space="0" w:color="000000"/>
              <w:right w:val="nil"/>
            </w:tcBorders>
            <w:shd w:val="clear" w:color="auto" w:fill="auto"/>
            <w:vAlign w:val="center"/>
            <w:hideMark/>
          </w:tcPr>
          <w:p w14:paraId="066A13B4" w14:textId="6FEA1019" w:rsidR="00201D78" w:rsidRPr="00D1707B" w:rsidRDefault="00201D78" w:rsidP="00D1707B">
            <w:pPr>
              <w:spacing w:before="20" w:after="20"/>
              <w:ind w:left="318"/>
              <w:rPr>
                <w:b/>
                <w:color w:val="000000" w:themeColor="text1"/>
                <w:kern w:val="20"/>
                <w:sz w:val="20"/>
              </w:rPr>
            </w:pPr>
            <w:r>
              <w:rPr>
                <w:b/>
                <w:color w:val="000000" w:themeColor="text1"/>
                <w:sz w:val="20"/>
              </w:rPr>
              <w:t>Subtotal</w:t>
            </w:r>
          </w:p>
        </w:tc>
        <w:tc>
          <w:tcPr>
            <w:tcW w:w="662" w:type="pct"/>
            <w:tcBorders>
              <w:top w:val="nil"/>
              <w:left w:val="nil"/>
              <w:bottom w:val="single" w:sz="8" w:space="0" w:color="000000"/>
              <w:right w:val="nil"/>
            </w:tcBorders>
            <w:shd w:val="clear" w:color="auto" w:fill="auto"/>
            <w:vAlign w:val="center"/>
            <w:hideMark/>
          </w:tcPr>
          <w:p w14:paraId="2E829B23" w14:textId="61079854" w:rsidR="00201D78" w:rsidRPr="00D1707B" w:rsidRDefault="00201D78" w:rsidP="00D1707B">
            <w:pPr>
              <w:spacing w:before="20" w:after="20"/>
              <w:jc w:val="right"/>
              <w:rPr>
                <w:b/>
                <w:color w:val="000000" w:themeColor="text1"/>
                <w:kern w:val="20"/>
                <w:sz w:val="20"/>
              </w:rPr>
            </w:pPr>
            <w:r>
              <w:rPr>
                <w:b/>
                <w:color w:val="000000" w:themeColor="text1"/>
                <w:sz w:val="20"/>
              </w:rPr>
              <w:t>6 986,1</w:t>
            </w:r>
          </w:p>
        </w:tc>
      </w:tr>
      <w:tr w:rsidR="00F44927" w:rsidRPr="00D1707B" w14:paraId="601EF3BB" w14:textId="77777777" w:rsidTr="00E1546A">
        <w:trPr>
          <w:trHeight w:val="227"/>
        </w:trPr>
        <w:tc>
          <w:tcPr>
            <w:tcW w:w="4338" w:type="pct"/>
            <w:tcBorders>
              <w:top w:val="nil"/>
              <w:left w:val="nil"/>
              <w:bottom w:val="single" w:sz="8" w:space="0" w:color="000000"/>
              <w:right w:val="nil"/>
            </w:tcBorders>
            <w:shd w:val="clear" w:color="auto" w:fill="auto"/>
            <w:vAlign w:val="center"/>
            <w:hideMark/>
          </w:tcPr>
          <w:p w14:paraId="32D5AB93" w14:textId="06B21DF9" w:rsidR="00201D78" w:rsidRPr="00D1707B" w:rsidRDefault="00201D78" w:rsidP="00D1707B">
            <w:pPr>
              <w:pStyle w:val="Default"/>
              <w:spacing w:before="20" w:after="20"/>
              <w:rPr>
                <w:color w:val="000000" w:themeColor="text1"/>
                <w:kern w:val="20"/>
                <w:sz w:val="20"/>
              </w:rPr>
            </w:pPr>
            <w:r>
              <w:rPr>
                <w:rFonts w:asciiTheme="majorBidi" w:hAnsiTheme="majorBidi"/>
                <w:sz w:val="20"/>
              </w:rPr>
              <w:t>Gastos de apoyo a los programas</w:t>
            </w:r>
            <w:r w:rsidR="00FE399D">
              <w:rPr>
                <w:rFonts w:asciiTheme="majorBidi" w:hAnsiTheme="majorBidi"/>
                <w:sz w:val="20"/>
              </w:rPr>
              <w:t> </w:t>
            </w:r>
            <w:r>
              <w:rPr>
                <w:rFonts w:asciiTheme="majorBidi" w:hAnsiTheme="majorBidi"/>
                <w:sz w:val="20"/>
              </w:rPr>
              <w:t>(13 %)</w:t>
            </w:r>
          </w:p>
        </w:tc>
        <w:tc>
          <w:tcPr>
            <w:tcW w:w="662" w:type="pct"/>
            <w:tcBorders>
              <w:top w:val="nil"/>
              <w:left w:val="nil"/>
              <w:bottom w:val="single" w:sz="8" w:space="0" w:color="000000"/>
              <w:right w:val="nil"/>
            </w:tcBorders>
            <w:shd w:val="clear" w:color="auto" w:fill="auto"/>
            <w:vAlign w:val="center"/>
            <w:hideMark/>
          </w:tcPr>
          <w:p w14:paraId="4A23F29B" w14:textId="77777777" w:rsidR="00201D78" w:rsidRPr="00D1707B" w:rsidRDefault="00201D78" w:rsidP="00D1707B">
            <w:pPr>
              <w:spacing w:before="20" w:after="20"/>
              <w:jc w:val="right"/>
              <w:rPr>
                <w:color w:val="000000" w:themeColor="text1"/>
                <w:kern w:val="20"/>
                <w:sz w:val="20"/>
              </w:rPr>
            </w:pPr>
            <w:r>
              <w:rPr>
                <w:color w:val="000000" w:themeColor="text1"/>
                <w:sz w:val="20"/>
              </w:rPr>
              <w:t>908,2</w:t>
            </w:r>
          </w:p>
        </w:tc>
      </w:tr>
      <w:tr w:rsidR="00F44927" w:rsidRPr="00D1707B" w14:paraId="64385628" w14:textId="77777777" w:rsidTr="00E1546A">
        <w:trPr>
          <w:trHeight w:val="227"/>
        </w:trPr>
        <w:tc>
          <w:tcPr>
            <w:tcW w:w="4338" w:type="pct"/>
            <w:tcBorders>
              <w:top w:val="nil"/>
              <w:left w:val="nil"/>
              <w:bottom w:val="single" w:sz="8" w:space="0" w:color="000000"/>
              <w:right w:val="nil"/>
            </w:tcBorders>
            <w:shd w:val="clear" w:color="auto" w:fill="auto"/>
            <w:vAlign w:val="center"/>
            <w:hideMark/>
          </w:tcPr>
          <w:p w14:paraId="1E793B75" w14:textId="01787656" w:rsidR="00201D78" w:rsidRPr="00D1707B" w:rsidRDefault="00201D78" w:rsidP="00D1707B">
            <w:pPr>
              <w:spacing w:before="20" w:after="20"/>
              <w:ind w:left="318"/>
              <w:rPr>
                <w:b/>
                <w:color w:val="000000" w:themeColor="text1"/>
                <w:kern w:val="20"/>
                <w:sz w:val="20"/>
              </w:rPr>
            </w:pPr>
            <w:r>
              <w:rPr>
                <w:b/>
                <w:color w:val="000000" w:themeColor="text1"/>
                <w:sz w:val="20"/>
              </w:rPr>
              <w:t>Total</w:t>
            </w:r>
          </w:p>
        </w:tc>
        <w:tc>
          <w:tcPr>
            <w:tcW w:w="662" w:type="pct"/>
            <w:tcBorders>
              <w:top w:val="nil"/>
              <w:left w:val="nil"/>
              <w:bottom w:val="single" w:sz="8" w:space="0" w:color="000000"/>
              <w:right w:val="nil"/>
            </w:tcBorders>
            <w:shd w:val="clear" w:color="auto" w:fill="auto"/>
            <w:vAlign w:val="center"/>
            <w:hideMark/>
          </w:tcPr>
          <w:p w14:paraId="2BEAA7E9" w14:textId="42B80305" w:rsidR="00201D78" w:rsidRPr="00D1707B" w:rsidRDefault="00201D78" w:rsidP="00D1707B">
            <w:pPr>
              <w:spacing w:before="20" w:after="20"/>
              <w:jc w:val="right"/>
              <w:rPr>
                <w:b/>
                <w:color w:val="000000" w:themeColor="text1"/>
                <w:kern w:val="20"/>
                <w:sz w:val="20"/>
              </w:rPr>
            </w:pPr>
            <w:r>
              <w:rPr>
                <w:b/>
                <w:color w:val="000000" w:themeColor="text1"/>
                <w:sz w:val="20"/>
              </w:rPr>
              <w:t>7 894,3</w:t>
            </w:r>
          </w:p>
        </w:tc>
      </w:tr>
    </w:tbl>
    <w:p w14:paraId="025302CA" w14:textId="77777777" w:rsidR="007E6C11" w:rsidRPr="00D1707B" w:rsidRDefault="007E6C11" w:rsidP="009A4335">
      <w:pPr>
        <w:tabs>
          <w:tab w:val="clear" w:pos="567"/>
          <w:tab w:val="left" w:pos="462"/>
          <w:tab w:val="left" w:pos="851"/>
        </w:tabs>
        <w:spacing w:before="120"/>
        <w:ind w:left="426" w:firstLine="283"/>
        <w:rPr>
          <w:color w:val="000000" w:themeColor="text1"/>
          <w:kern w:val="20"/>
          <w:sz w:val="18"/>
          <w:szCs w:val="18"/>
        </w:rPr>
      </w:pPr>
      <w:r>
        <w:rPr>
          <w:i/>
          <w:color w:val="000000" w:themeColor="text1"/>
          <w:sz w:val="18"/>
          <w:vertAlign w:val="superscript"/>
        </w:rPr>
        <w:t>a</w:t>
      </w:r>
      <w:r>
        <w:rPr>
          <w:i/>
          <w:color w:val="000000" w:themeColor="text1"/>
          <w:sz w:val="18"/>
          <w:vertAlign w:val="superscript"/>
        </w:rPr>
        <w:tab/>
      </w:r>
      <w:r>
        <w:rPr>
          <w:color w:val="000000" w:themeColor="text1"/>
          <w:sz w:val="18"/>
        </w:rPr>
        <w:t>Tres delegados financiados de cada Parte que reúna las condiciones.</w:t>
      </w:r>
    </w:p>
    <w:p w14:paraId="081AD42A" w14:textId="459EBE8C" w:rsidR="007E6C11" w:rsidRPr="00D1707B" w:rsidRDefault="007E6C11" w:rsidP="009A4335">
      <w:pPr>
        <w:pStyle w:val="CBDTableTitle"/>
        <w:tabs>
          <w:tab w:val="left" w:pos="851"/>
        </w:tabs>
        <w:spacing w:before="0" w:after="0"/>
        <w:ind w:left="426" w:firstLine="283"/>
        <w:rPr>
          <w:b w:val="0"/>
          <w:bCs/>
        </w:rPr>
      </w:pPr>
      <w:r>
        <w:rPr>
          <w:i/>
          <w:color w:val="000000" w:themeColor="text1"/>
          <w:sz w:val="18"/>
          <w:vertAlign w:val="superscript"/>
        </w:rPr>
        <w:t>b</w:t>
      </w:r>
      <w:r>
        <w:rPr>
          <w:i/>
          <w:color w:val="000000" w:themeColor="text1"/>
          <w:sz w:val="18"/>
          <w:vertAlign w:val="superscript"/>
        </w:rPr>
        <w:tab/>
      </w:r>
      <w:r>
        <w:rPr>
          <w:b w:val="0"/>
          <w:color w:val="000000" w:themeColor="text1"/>
          <w:sz w:val="18"/>
        </w:rPr>
        <w:t>Tres delegados financiados de cada Parte que reúna las condiciones (reuniones que se celebren de manera consecutiva).</w:t>
      </w:r>
    </w:p>
    <w:p w14:paraId="09F0F727" w14:textId="45A698E6" w:rsidR="00201D78" w:rsidRPr="00D1707B" w:rsidRDefault="00201D78" w:rsidP="00582303">
      <w:pPr>
        <w:pStyle w:val="CBDTableTitle"/>
        <w:spacing w:before="240"/>
      </w:pPr>
      <w:r>
        <w:rPr>
          <w:b w:val="0"/>
        </w:rPr>
        <w:t>Cuadro 7</w:t>
      </w:r>
      <w:r>
        <w:br/>
        <w:t>Necesidades de recursos para el Fondo Fiduciario Voluntario Especial para Facilitar la Participación de los Pueblos Indígenas y las Comunidades Locales, 2025-2026</w:t>
      </w:r>
    </w:p>
    <w:p w14:paraId="26470EE3" w14:textId="54331A6C" w:rsidR="0009052D" w:rsidRPr="00D1707B" w:rsidRDefault="0009052D" w:rsidP="00582303">
      <w:pPr>
        <w:pStyle w:val="CBDNormalNoNumber"/>
        <w:spacing w:after="60"/>
        <w:rPr>
          <w:sz w:val="18"/>
          <w:szCs w:val="18"/>
        </w:rPr>
      </w:pPr>
      <w:r>
        <w:rPr>
          <w:sz w:val="18"/>
        </w:rPr>
        <w:t>(En miles de dólares de los EE.UU.)</w:t>
      </w:r>
    </w:p>
    <w:tbl>
      <w:tblPr>
        <w:tblW w:w="0" w:type="auto"/>
        <w:tblInd w:w="567" w:type="dxa"/>
        <w:tblBorders>
          <w:top w:val="nil"/>
          <w:left w:val="nil"/>
          <w:bottom w:val="nil"/>
          <w:right w:val="nil"/>
        </w:tblBorders>
        <w:tblLayout w:type="fixed"/>
        <w:tblLook w:val="0000" w:firstRow="0" w:lastRow="0" w:firstColumn="0" w:lastColumn="0" w:noHBand="0" w:noVBand="0"/>
      </w:tblPr>
      <w:tblGrid>
        <w:gridCol w:w="6661"/>
        <w:gridCol w:w="1844"/>
      </w:tblGrid>
      <w:tr w:rsidR="0009052D" w:rsidRPr="00D1707B" w14:paraId="4AFE6B9C" w14:textId="77777777" w:rsidTr="00E1546A">
        <w:trPr>
          <w:trHeight w:val="227"/>
        </w:trPr>
        <w:tc>
          <w:tcPr>
            <w:tcW w:w="6661" w:type="dxa"/>
            <w:tcBorders>
              <w:top w:val="single" w:sz="8" w:space="0" w:color="000000"/>
              <w:left w:val="nil"/>
              <w:right w:val="nil"/>
            </w:tcBorders>
          </w:tcPr>
          <w:p w14:paraId="7C464691" w14:textId="77777777" w:rsidR="0009052D" w:rsidRPr="00D1707B" w:rsidRDefault="0009052D" w:rsidP="00D1707B">
            <w:pPr>
              <w:pStyle w:val="Default"/>
              <w:spacing w:before="20" w:after="20"/>
              <w:rPr>
                <w:i/>
                <w:color w:val="000000" w:themeColor="text1"/>
                <w:kern w:val="20"/>
                <w:sz w:val="20"/>
              </w:rPr>
            </w:pPr>
            <w:r>
              <w:rPr>
                <w:i/>
                <w:color w:val="000000" w:themeColor="text1"/>
                <w:sz w:val="20"/>
              </w:rPr>
              <w:t>Descripción</w:t>
            </w:r>
          </w:p>
        </w:tc>
        <w:tc>
          <w:tcPr>
            <w:tcW w:w="1844" w:type="dxa"/>
            <w:tcBorders>
              <w:top w:val="single" w:sz="8" w:space="0" w:color="000000"/>
              <w:left w:val="nil"/>
              <w:right w:val="nil"/>
            </w:tcBorders>
          </w:tcPr>
          <w:p w14:paraId="2F0E19BE" w14:textId="1DD2D556" w:rsidR="0009052D" w:rsidRPr="00D1707B" w:rsidRDefault="0009052D" w:rsidP="00D1707B">
            <w:pPr>
              <w:pStyle w:val="Default"/>
              <w:spacing w:before="20" w:after="20"/>
              <w:jc w:val="right"/>
              <w:rPr>
                <w:i/>
                <w:color w:val="000000" w:themeColor="text1"/>
                <w:kern w:val="20"/>
                <w:sz w:val="20"/>
              </w:rPr>
            </w:pPr>
            <w:r>
              <w:rPr>
                <w:i/>
                <w:color w:val="000000" w:themeColor="text1"/>
                <w:sz w:val="20"/>
              </w:rPr>
              <w:t>2025-2026</w:t>
            </w:r>
          </w:p>
        </w:tc>
      </w:tr>
      <w:tr w:rsidR="00201D78" w:rsidRPr="00D1707B" w14:paraId="0287AEE6" w14:textId="77777777" w:rsidTr="00E1546A">
        <w:trPr>
          <w:trHeight w:val="227"/>
        </w:trPr>
        <w:tc>
          <w:tcPr>
            <w:tcW w:w="6661" w:type="dxa"/>
            <w:tcBorders>
              <w:top w:val="single" w:sz="4" w:space="0" w:color="auto"/>
              <w:bottom w:val="nil"/>
            </w:tcBorders>
          </w:tcPr>
          <w:p w14:paraId="5A759D65" w14:textId="3E4E0AD3" w:rsidR="00201D78" w:rsidRPr="00D1707B" w:rsidRDefault="00201D78" w:rsidP="00D1707B">
            <w:pPr>
              <w:pStyle w:val="Default"/>
              <w:spacing w:before="20" w:after="20"/>
              <w:rPr>
                <w:b/>
                <w:color w:val="000000" w:themeColor="text1"/>
                <w:kern w:val="20"/>
                <w:sz w:val="20"/>
              </w:rPr>
            </w:pPr>
            <w:r>
              <w:rPr>
                <w:b/>
                <w:color w:val="000000" w:themeColor="text1"/>
                <w:sz w:val="20"/>
              </w:rPr>
              <w:t>Reuniones</w:t>
            </w:r>
          </w:p>
        </w:tc>
        <w:tc>
          <w:tcPr>
            <w:tcW w:w="1844" w:type="dxa"/>
            <w:tcBorders>
              <w:top w:val="single" w:sz="4" w:space="0" w:color="auto"/>
              <w:bottom w:val="nil"/>
            </w:tcBorders>
          </w:tcPr>
          <w:p w14:paraId="392CB0CE" w14:textId="530212D9" w:rsidR="00201D78" w:rsidRPr="00D1707B" w:rsidRDefault="00201D78" w:rsidP="00D1707B">
            <w:pPr>
              <w:pStyle w:val="Default"/>
              <w:spacing w:before="20" w:after="20"/>
              <w:jc w:val="right"/>
              <w:rPr>
                <w:color w:val="000000" w:themeColor="text1"/>
                <w:kern w:val="20"/>
                <w:sz w:val="20"/>
              </w:rPr>
            </w:pPr>
          </w:p>
        </w:tc>
      </w:tr>
      <w:tr w:rsidR="005D3D33" w:rsidRPr="00D1707B" w14:paraId="7277CAFA" w14:textId="77777777" w:rsidTr="00E1546A">
        <w:trPr>
          <w:trHeight w:val="227"/>
        </w:trPr>
        <w:tc>
          <w:tcPr>
            <w:tcW w:w="6661" w:type="dxa"/>
            <w:tcBorders>
              <w:top w:val="nil"/>
              <w:left w:val="nil"/>
              <w:bottom w:val="nil"/>
              <w:right w:val="nil"/>
            </w:tcBorders>
          </w:tcPr>
          <w:p w14:paraId="787BEB4A" w14:textId="246C3B34" w:rsidR="005D3D33" w:rsidRPr="00D1707B" w:rsidRDefault="00C727A7" w:rsidP="00D1707B">
            <w:pPr>
              <w:pStyle w:val="Default"/>
              <w:spacing w:before="20" w:after="20"/>
              <w:rPr>
                <w:b/>
                <w:color w:val="000000" w:themeColor="text1"/>
                <w:kern w:val="20"/>
                <w:sz w:val="20"/>
              </w:rPr>
            </w:pPr>
            <w:r>
              <w:rPr>
                <w:color w:val="000000" w:themeColor="text1"/>
                <w:sz w:val="20"/>
              </w:rPr>
              <w:t xml:space="preserve">17ª reunión de la Conferencia de las Partes en el Convenio, 12ª reunión de la Conferencia de las Partes que actúa como reunión de las Partes en el Protocolo de Cartagena y 6ª reunión de la Conferencia de las Partes que actúa como reunión de las Partes en el Protocolo de </w:t>
            </w:r>
            <w:proofErr w:type="spellStart"/>
            <w:r>
              <w:rPr>
                <w:color w:val="000000" w:themeColor="text1"/>
                <w:sz w:val="20"/>
              </w:rPr>
              <w:t>Nagoya</w:t>
            </w:r>
            <w:r>
              <w:rPr>
                <w:i/>
                <w:color w:val="000000" w:themeColor="text1"/>
                <w:sz w:val="20"/>
                <w:vertAlign w:val="superscript"/>
              </w:rPr>
              <w:t>a</w:t>
            </w:r>
            <w:proofErr w:type="spellEnd"/>
          </w:p>
        </w:tc>
        <w:tc>
          <w:tcPr>
            <w:tcW w:w="1844" w:type="dxa"/>
            <w:tcBorders>
              <w:top w:val="nil"/>
              <w:left w:val="nil"/>
              <w:bottom w:val="nil"/>
              <w:right w:val="nil"/>
            </w:tcBorders>
          </w:tcPr>
          <w:p w14:paraId="44FE7FC0" w14:textId="4B0AB5B2" w:rsidR="005D3D33" w:rsidRPr="00D1707B" w:rsidRDefault="005D3D33" w:rsidP="00D1707B">
            <w:pPr>
              <w:pStyle w:val="Default"/>
              <w:spacing w:before="20" w:after="20"/>
              <w:jc w:val="right"/>
              <w:rPr>
                <w:color w:val="000000" w:themeColor="text1"/>
                <w:kern w:val="20"/>
                <w:sz w:val="20"/>
              </w:rPr>
            </w:pPr>
            <w:r>
              <w:rPr>
                <w:color w:val="000000" w:themeColor="text1"/>
                <w:sz w:val="20"/>
              </w:rPr>
              <w:t>91,0</w:t>
            </w:r>
          </w:p>
        </w:tc>
      </w:tr>
      <w:tr w:rsidR="005D3D33" w:rsidRPr="00D1707B" w14:paraId="6DA25330" w14:textId="77777777" w:rsidTr="00E1546A">
        <w:trPr>
          <w:trHeight w:val="227"/>
        </w:trPr>
        <w:tc>
          <w:tcPr>
            <w:tcW w:w="6661" w:type="dxa"/>
            <w:tcBorders>
              <w:top w:val="nil"/>
              <w:left w:val="nil"/>
              <w:bottom w:val="nil"/>
              <w:right w:val="nil"/>
            </w:tcBorders>
          </w:tcPr>
          <w:p w14:paraId="1FCFB390" w14:textId="203FC31B" w:rsidR="005D3D33" w:rsidRPr="00D1707B" w:rsidRDefault="0062691F" w:rsidP="00D1707B">
            <w:pPr>
              <w:pStyle w:val="Default"/>
              <w:spacing w:before="20" w:after="20"/>
              <w:rPr>
                <w:b/>
                <w:color w:val="000000" w:themeColor="text1"/>
                <w:kern w:val="20"/>
                <w:sz w:val="20"/>
              </w:rPr>
            </w:pPr>
            <w:r>
              <w:rPr>
                <w:color w:val="000000" w:themeColor="text1"/>
                <w:sz w:val="20"/>
              </w:rPr>
              <w:t xml:space="preserve">27ª reunión del Órgano Subsidiario de Asesoramiento Científico, Técnico y Tecnológico y 1ª reunión del Órgano Subsidiario sobre el Artículo 8 j) y Otras Disposiciones del Convenio Relativas a los Pueblos Indígenas y las Comunidades </w:t>
            </w:r>
            <w:proofErr w:type="spellStart"/>
            <w:r>
              <w:rPr>
                <w:color w:val="000000" w:themeColor="text1"/>
                <w:sz w:val="20"/>
              </w:rPr>
              <w:t>Locales</w:t>
            </w:r>
            <w:r>
              <w:rPr>
                <w:i/>
                <w:color w:val="000000" w:themeColor="text1"/>
                <w:sz w:val="20"/>
                <w:vertAlign w:val="superscript"/>
              </w:rPr>
              <w:t>a</w:t>
            </w:r>
            <w:proofErr w:type="spellEnd"/>
          </w:p>
        </w:tc>
        <w:tc>
          <w:tcPr>
            <w:tcW w:w="1844" w:type="dxa"/>
            <w:tcBorders>
              <w:top w:val="nil"/>
              <w:left w:val="nil"/>
              <w:bottom w:val="nil"/>
              <w:right w:val="nil"/>
            </w:tcBorders>
          </w:tcPr>
          <w:p w14:paraId="7E285DC5" w14:textId="516E1F15" w:rsidR="005D3D33" w:rsidRPr="00D1707B" w:rsidRDefault="005D3D33" w:rsidP="00D1707B">
            <w:pPr>
              <w:pStyle w:val="Default"/>
              <w:spacing w:before="20" w:after="20"/>
              <w:jc w:val="right"/>
              <w:rPr>
                <w:color w:val="000000" w:themeColor="text1"/>
                <w:kern w:val="20"/>
                <w:sz w:val="20"/>
              </w:rPr>
            </w:pPr>
            <w:r>
              <w:rPr>
                <w:color w:val="000000" w:themeColor="text1"/>
                <w:sz w:val="20"/>
              </w:rPr>
              <w:t>84,5</w:t>
            </w:r>
          </w:p>
        </w:tc>
      </w:tr>
      <w:tr w:rsidR="00201D78" w:rsidRPr="00D1707B" w14:paraId="1F069694" w14:textId="77777777" w:rsidTr="00E1546A">
        <w:trPr>
          <w:trHeight w:val="170"/>
        </w:trPr>
        <w:tc>
          <w:tcPr>
            <w:tcW w:w="6661" w:type="dxa"/>
            <w:tcBorders>
              <w:top w:val="nil"/>
              <w:bottom w:val="single" w:sz="8" w:space="0" w:color="000000"/>
            </w:tcBorders>
            <w:vAlign w:val="center"/>
          </w:tcPr>
          <w:p w14:paraId="12EFC6D1" w14:textId="09C7A250" w:rsidR="00201D78" w:rsidRPr="00D1707B" w:rsidRDefault="00453D4E" w:rsidP="00D1707B">
            <w:pPr>
              <w:pStyle w:val="Default"/>
              <w:spacing w:before="20" w:after="20"/>
              <w:rPr>
                <w:color w:val="000000" w:themeColor="text1"/>
                <w:kern w:val="20"/>
                <w:sz w:val="20"/>
              </w:rPr>
            </w:pPr>
            <w:r>
              <w:rPr>
                <w:color w:val="000000" w:themeColor="text1"/>
                <w:sz w:val="20"/>
              </w:rPr>
              <w:t xml:space="preserve">28ª reunión del Órgano Subsidiario de Asesoramiento Científico, Técnico y Tecnológico y 6ª reunión del Órgano Subsidiario sobre la </w:t>
            </w:r>
            <w:proofErr w:type="spellStart"/>
            <w:r>
              <w:rPr>
                <w:color w:val="000000" w:themeColor="text1"/>
                <w:sz w:val="20"/>
              </w:rPr>
              <w:t>Aplicación</w:t>
            </w:r>
            <w:r>
              <w:rPr>
                <w:i/>
                <w:color w:val="000000" w:themeColor="text1"/>
                <w:sz w:val="20"/>
                <w:vertAlign w:val="superscript"/>
              </w:rPr>
              <w:t>a</w:t>
            </w:r>
            <w:proofErr w:type="spellEnd"/>
          </w:p>
        </w:tc>
        <w:tc>
          <w:tcPr>
            <w:tcW w:w="1844" w:type="dxa"/>
            <w:tcBorders>
              <w:top w:val="nil"/>
              <w:bottom w:val="single" w:sz="8" w:space="0" w:color="000000"/>
            </w:tcBorders>
            <w:vAlign w:val="center"/>
          </w:tcPr>
          <w:p w14:paraId="13AAEB03" w14:textId="4AAA981A" w:rsidR="00201D78" w:rsidRPr="00D1707B" w:rsidRDefault="00201D78" w:rsidP="00D1707B">
            <w:pPr>
              <w:pStyle w:val="Default"/>
              <w:spacing w:before="20" w:after="20"/>
              <w:jc w:val="right"/>
              <w:rPr>
                <w:color w:val="000000" w:themeColor="text1"/>
                <w:kern w:val="20"/>
                <w:sz w:val="20"/>
              </w:rPr>
            </w:pPr>
            <w:r>
              <w:rPr>
                <w:color w:val="000000" w:themeColor="text1"/>
                <w:sz w:val="20"/>
              </w:rPr>
              <w:t>105,0</w:t>
            </w:r>
          </w:p>
        </w:tc>
      </w:tr>
      <w:tr w:rsidR="00201D78" w:rsidRPr="00D1707B" w14:paraId="58D53D75" w14:textId="77777777" w:rsidTr="00E1546A">
        <w:trPr>
          <w:trHeight w:val="227"/>
        </w:trPr>
        <w:tc>
          <w:tcPr>
            <w:tcW w:w="6661" w:type="dxa"/>
            <w:tcBorders>
              <w:top w:val="single" w:sz="8" w:space="0" w:color="000000"/>
              <w:bottom w:val="single" w:sz="8" w:space="0" w:color="000000"/>
            </w:tcBorders>
            <w:vAlign w:val="center"/>
          </w:tcPr>
          <w:p w14:paraId="5ACB5FFD" w14:textId="77777777" w:rsidR="00201D78" w:rsidRPr="00D1707B" w:rsidRDefault="00201D78" w:rsidP="00D1707B">
            <w:pPr>
              <w:pStyle w:val="Default"/>
              <w:spacing w:before="20" w:after="20"/>
              <w:ind w:left="318"/>
              <w:rPr>
                <w:color w:val="000000" w:themeColor="text1"/>
                <w:kern w:val="20"/>
                <w:sz w:val="20"/>
              </w:rPr>
            </w:pPr>
            <w:r>
              <w:rPr>
                <w:b/>
                <w:color w:val="000000" w:themeColor="text1"/>
                <w:sz w:val="20"/>
              </w:rPr>
              <w:t>Subtotal</w:t>
            </w:r>
          </w:p>
        </w:tc>
        <w:tc>
          <w:tcPr>
            <w:tcW w:w="1844" w:type="dxa"/>
            <w:tcBorders>
              <w:top w:val="single" w:sz="8" w:space="0" w:color="000000"/>
              <w:bottom w:val="single" w:sz="8" w:space="0" w:color="000000"/>
            </w:tcBorders>
            <w:vAlign w:val="center"/>
          </w:tcPr>
          <w:p w14:paraId="472E5DE7" w14:textId="77777777" w:rsidR="00201D78" w:rsidRPr="00D1707B" w:rsidRDefault="00201D78" w:rsidP="00D1707B">
            <w:pPr>
              <w:pStyle w:val="Default"/>
              <w:spacing w:before="20" w:after="20"/>
              <w:jc w:val="right"/>
              <w:rPr>
                <w:color w:val="000000" w:themeColor="text1"/>
                <w:kern w:val="20"/>
                <w:sz w:val="20"/>
              </w:rPr>
            </w:pPr>
            <w:r>
              <w:rPr>
                <w:b/>
                <w:color w:val="000000" w:themeColor="text1"/>
                <w:sz w:val="20"/>
              </w:rPr>
              <w:t>280,5</w:t>
            </w:r>
          </w:p>
        </w:tc>
      </w:tr>
      <w:tr w:rsidR="00201D78" w:rsidRPr="00D1707B" w14:paraId="13B74678" w14:textId="77777777" w:rsidTr="00E1546A">
        <w:trPr>
          <w:trHeight w:val="227"/>
        </w:trPr>
        <w:tc>
          <w:tcPr>
            <w:tcW w:w="6661" w:type="dxa"/>
            <w:tcBorders>
              <w:top w:val="single" w:sz="8" w:space="0" w:color="000000"/>
              <w:bottom w:val="single" w:sz="8" w:space="0" w:color="000000"/>
            </w:tcBorders>
            <w:vAlign w:val="center"/>
          </w:tcPr>
          <w:p w14:paraId="07A3A9D8" w14:textId="432D225A" w:rsidR="00201D78" w:rsidRPr="00D1707B" w:rsidRDefault="00201D78" w:rsidP="00D1707B">
            <w:pPr>
              <w:pStyle w:val="Default"/>
              <w:spacing w:before="20" w:after="20"/>
              <w:rPr>
                <w:color w:val="000000" w:themeColor="text1"/>
                <w:kern w:val="20"/>
                <w:sz w:val="20"/>
              </w:rPr>
            </w:pPr>
            <w:r>
              <w:rPr>
                <w:rFonts w:asciiTheme="majorBidi" w:hAnsiTheme="majorBidi"/>
                <w:sz w:val="20"/>
              </w:rPr>
              <w:t>Gastos de apoyo a los programas (13 %)</w:t>
            </w:r>
          </w:p>
        </w:tc>
        <w:tc>
          <w:tcPr>
            <w:tcW w:w="1844" w:type="dxa"/>
            <w:tcBorders>
              <w:top w:val="single" w:sz="8" w:space="0" w:color="000000"/>
              <w:bottom w:val="single" w:sz="8" w:space="0" w:color="000000"/>
            </w:tcBorders>
            <w:vAlign w:val="center"/>
          </w:tcPr>
          <w:p w14:paraId="2CB76C02" w14:textId="77777777" w:rsidR="00201D78" w:rsidRPr="00D1707B" w:rsidRDefault="00201D78" w:rsidP="00D1707B">
            <w:pPr>
              <w:pStyle w:val="Default"/>
              <w:spacing w:before="20" w:after="20"/>
              <w:jc w:val="right"/>
              <w:rPr>
                <w:color w:val="000000" w:themeColor="text1"/>
                <w:kern w:val="20"/>
                <w:sz w:val="20"/>
              </w:rPr>
            </w:pPr>
            <w:r>
              <w:rPr>
                <w:color w:val="000000" w:themeColor="text1"/>
                <w:sz w:val="20"/>
              </w:rPr>
              <w:t>36,5</w:t>
            </w:r>
          </w:p>
        </w:tc>
      </w:tr>
      <w:tr w:rsidR="00201D78" w:rsidRPr="00D1707B" w14:paraId="327CF48C" w14:textId="77777777" w:rsidTr="00E1546A">
        <w:trPr>
          <w:trHeight w:val="227"/>
        </w:trPr>
        <w:tc>
          <w:tcPr>
            <w:tcW w:w="6661" w:type="dxa"/>
            <w:tcBorders>
              <w:top w:val="single" w:sz="8" w:space="0" w:color="000000"/>
              <w:bottom w:val="single" w:sz="8" w:space="0" w:color="000000"/>
            </w:tcBorders>
            <w:vAlign w:val="center"/>
          </w:tcPr>
          <w:p w14:paraId="791736D7" w14:textId="64C2136F" w:rsidR="00201D78" w:rsidRPr="00D1707B" w:rsidRDefault="00201D78" w:rsidP="00D1707B">
            <w:pPr>
              <w:pStyle w:val="Default"/>
              <w:spacing w:before="20" w:after="20"/>
              <w:ind w:left="318"/>
              <w:rPr>
                <w:b/>
                <w:color w:val="000000" w:themeColor="text1"/>
                <w:kern w:val="20"/>
                <w:sz w:val="20"/>
              </w:rPr>
            </w:pPr>
            <w:r>
              <w:rPr>
                <w:b/>
                <w:color w:val="000000" w:themeColor="text1"/>
                <w:sz w:val="20"/>
              </w:rPr>
              <w:t>Costos totales</w:t>
            </w:r>
          </w:p>
        </w:tc>
        <w:tc>
          <w:tcPr>
            <w:tcW w:w="1844" w:type="dxa"/>
            <w:tcBorders>
              <w:top w:val="single" w:sz="8" w:space="0" w:color="000000"/>
              <w:bottom w:val="single" w:sz="8" w:space="0" w:color="000000"/>
            </w:tcBorders>
            <w:vAlign w:val="center"/>
          </w:tcPr>
          <w:p w14:paraId="0A9FE0BA" w14:textId="77777777" w:rsidR="00201D78" w:rsidRPr="00D1707B" w:rsidRDefault="00201D78" w:rsidP="00D1707B">
            <w:pPr>
              <w:pStyle w:val="Default"/>
              <w:spacing w:before="20" w:after="20"/>
              <w:jc w:val="right"/>
              <w:rPr>
                <w:b/>
                <w:i/>
                <w:color w:val="000000" w:themeColor="text1"/>
                <w:kern w:val="20"/>
                <w:sz w:val="20"/>
              </w:rPr>
            </w:pPr>
            <w:r>
              <w:rPr>
                <w:b/>
                <w:color w:val="000000" w:themeColor="text1"/>
                <w:sz w:val="20"/>
              </w:rPr>
              <w:t>317,0</w:t>
            </w:r>
          </w:p>
        </w:tc>
      </w:tr>
    </w:tbl>
    <w:p w14:paraId="7EBE6271" w14:textId="69453526" w:rsidR="00201D78" w:rsidRPr="00D1707B" w:rsidRDefault="00A37E86" w:rsidP="00D1707B">
      <w:pPr>
        <w:pStyle w:val="NormalWeb"/>
        <w:tabs>
          <w:tab w:val="left" w:pos="709"/>
        </w:tabs>
        <w:spacing w:before="120" w:beforeAutospacing="0" w:after="120" w:afterAutospacing="0" w:line="480" w:lineRule="auto"/>
        <w:ind w:left="567"/>
        <w:rPr>
          <w:rFonts w:asciiTheme="majorBidi" w:hAnsiTheme="majorBidi" w:cstheme="majorBidi"/>
          <w:color w:val="000000"/>
          <w:sz w:val="18"/>
          <w:szCs w:val="18"/>
        </w:rPr>
      </w:pPr>
      <w:r>
        <w:rPr>
          <w:i/>
          <w:color w:val="000000" w:themeColor="text1"/>
          <w:sz w:val="18"/>
          <w:vertAlign w:val="superscript"/>
        </w:rPr>
        <w:t>a</w:t>
      </w:r>
      <w:r>
        <w:rPr>
          <w:i/>
          <w:color w:val="000000" w:themeColor="text1"/>
          <w:sz w:val="18"/>
          <w:vertAlign w:val="superscript"/>
        </w:rPr>
        <w:tab/>
      </w:r>
      <w:r>
        <w:rPr>
          <w:sz w:val="18"/>
        </w:rPr>
        <w:t>Dos participantes financiados de cada región.</w:t>
      </w:r>
    </w:p>
    <w:p w14:paraId="1A778265" w14:textId="67D16359" w:rsidR="0002211E" w:rsidRPr="00D1707B" w:rsidRDefault="0002211E" w:rsidP="00201D78">
      <w:pPr>
        <w:pStyle w:val="NormalWeb"/>
        <w:spacing w:before="120" w:beforeAutospacing="0" w:after="120" w:afterAutospacing="0" w:line="480" w:lineRule="auto"/>
        <w:rPr>
          <w:rFonts w:asciiTheme="majorBidi" w:hAnsiTheme="majorBidi" w:cstheme="majorBidi"/>
          <w:color w:val="000000"/>
          <w:sz w:val="18"/>
          <w:szCs w:val="18"/>
        </w:rPr>
      </w:pPr>
      <w:r>
        <w:br w:type="page"/>
      </w:r>
    </w:p>
    <w:p w14:paraId="66DD3674" w14:textId="3B503181" w:rsidR="009B1266" w:rsidRPr="00D1707B" w:rsidRDefault="00FC46B3" w:rsidP="00582303">
      <w:pPr>
        <w:pStyle w:val="CBDDesicionAnnex"/>
        <w:rPr>
          <w:rFonts w:hint="eastAsia"/>
        </w:rPr>
      </w:pPr>
      <w:r>
        <w:lastRenderedPageBreak/>
        <w:t>Anexo</w:t>
      </w:r>
    </w:p>
    <w:p w14:paraId="08CBBEA8" w14:textId="1F14DCD5" w:rsidR="000458B5" w:rsidRPr="00D1707B" w:rsidRDefault="000458B5" w:rsidP="00582303">
      <w:pPr>
        <w:pStyle w:val="CBDDesicionAnnex"/>
        <w:spacing w:before="120"/>
        <w:rPr>
          <w:rFonts w:hint="eastAsia"/>
        </w:rPr>
      </w:pPr>
      <w:r>
        <w:t>Cuadro de contribuciones para el Fondo Fiduciario General para el Convenio, 2025-2026</w:t>
      </w:r>
    </w:p>
    <w:tbl>
      <w:tblPr>
        <w:tblW w:w="0" w:type="auto"/>
        <w:tblInd w:w="-73" w:type="dxa"/>
        <w:tblLook w:val="04A0" w:firstRow="1" w:lastRow="0" w:firstColumn="1" w:lastColumn="0" w:noHBand="0" w:noVBand="1"/>
      </w:tblPr>
      <w:tblGrid>
        <w:gridCol w:w="1880"/>
        <w:gridCol w:w="1628"/>
        <w:gridCol w:w="2198"/>
        <w:gridCol w:w="1176"/>
        <w:gridCol w:w="1461"/>
        <w:gridCol w:w="1080"/>
      </w:tblGrid>
      <w:tr w:rsidR="006774B8" w:rsidRPr="00D1707B" w14:paraId="2D1B93B0" w14:textId="77777777" w:rsidTr="00A526B1">
        <w:trPr>
          <w:tblHeader/>
        </w:trPr>
        <w:tc>
          <w:tcPr>
            <w:tcW w:w="1880" w:type="dxa"/>
            <w:vMerge w:val="restart"/>
            <w:tcBorders>
              <w:top w:val="single" w:sz="4" w:space="0" w:color="auto"/>
              <w:left w:val="single" w:sz="4" w:space="0" w:color="auto"/>
              <w:right w:val="single" w:sz="4" w:space="0" w:color="auto"/>
            </w:tcBorders>
            <w:shd w:val="clear" w:color="auto" w:fill="auto"/>
            <w:noWrap/>
            <w:vAlign w:val="bottom"/>
          </w:tcPr>
          <w:p w14:paraId="12350A47" w14:textId="7E688BAD" w:rsidR="00A526B1" w:rsidRPr="00D1707B" w:rsidDel="000458B5" w:rsidRDefault="00A526B1" w:rsidP="00F37452">
            <w:pPr>
              <w:pStyle w:val="CBDTableNormal"/>
              <w:spacing w:before="0" w:after="0"/>
              <w:rPr>
                <w:i/>
                <w:iCs/>
                <w:sz w:val="18"/>
                <w:szCs w:val="18"/>
              </w:rPr>
            </w:pPr>
            <w:r>
              <w:rPr>
                <w:i/>
                <w:sz w:val="18"/>
              </w:rPr>
              <w:t>Parte</w:t>
            </w:r>
          </w:p>
        </w:tc>
        <w:tc>
          <w:tcPr>
            <w:tcW w:w="3826" w:type="dxa"/>
            <w:gridSpan w:val="2"/>
            <w:tcBorders>
              <w:top w:val="single" w:sz="4" w:space="0" w:color="auto"/>
              <w:left w:val="nil"/>
              <w:bottom w:val="single" w:sz="4" w:space="0" w:color="auto"/>
              <w:right w:val="single" w:sz="4" w:space="0" w:color="auto"/>
            </w:tcBorders>
            <w:shd w:val="clear" w:color="auto" w:fill="auto"/>
            <w:vAlign w:val="bottom"/>
          </w:tcPr>
          <w:p w14:paraId="002DA5FA" w14:textId="15A0512F" w:rsidR="00A526B1" w:rsidRPr="00D1707B" w:rsidRDefault="00A526B1" w:rsidP="003A088A">
            <w:pPr>
              <w:pStyle w:val="CBDTableNormal"/>
              <w:spacing w:before="0" w:after="0"/>
              <w:jc w:val="center"/>
              <w:rPr>
                <w:i/>
                <w:iCs/>
                <w:sz w:val="18"/>
                <w:szCs w:val="18"/>
              </w:rPr>
            </w:pPr>
            <w:r>
              <w:rPr>
                <w:i/>
                <w:sz w:val="18"/>
              </w:rPr>
              <w:t>Escala de cuotas</w:t>
            </w:r>
          </w:p>
          <w:p w14:paraId="56A77987" w14:textId="5D47FDA8" w:rsidR="00A526B1" w:rsidRPr="00D1707B" w:rsidRDefault="00A526B1" w:rsidP="00582303">
            <w:pPr>
              <w:pStyle w:val="CBDTableNormal"/>
              <w:spacing w:before="0" w:after="0"/>
              <w:jc w:val="center"/>
              <w:rPr>
                <w:i/>
                <w:iCs/>
                <w:sz w:val="18"/>
                <w:szCs w:val="18"/>
              </w:rPr>
            </w:pPr>
            <w:r>
              <w:rPr>
                <w:i/>
                <w:sz w:val="18"/>
              </w:rPr>
              <w:t>(porcentaje)</w:t>
            </w:r>
          </w:p>
        </w:tc>
        <w:tc>
          <w:tcPr>
            <w:tcW w:w="3717" w:type="dxa"/>
            <w:gridSpan w:val="3"/>
            <w:tcBorders>
              <w:top w:val="single" w:sz="4" w:space="0" w:color="auto"/>
              <w:left w:val="nil"/>
              <w:bottom w:val="single" w:sz="4" w:space="0" w:color="auto"/>
              <w:right w:val="single" w:sz="4" w:space="0" w:color="auto"/>
            </w:tcBorders>
            <w:shd w:val="clear" w:color="auto" w:fill="auto"/>
            <w:vAlign w:val="bottom"/>
          </w:tcPr>
          <w:p w14:paraId="3CC9CD15" w14:textId="77777777" w:rsidR="00A526B1" w:rsidRPr="00D1707B" w:rsidRDefault="00A526B1" w:rsidP="003A088A">
            <w:pPr>
              <w:pStyle w:val="CBDTableNormal"/>
              <w:spacing w:before="0" w:after="0"/>
              <w:jc w:val="center"/>
              <w:rPr>
                <w:i/>
                <w:iCs/>
                <w:sz w:val="18"/>
                <w:szCs w:val="18"/>
              </w:rPr>
            </w:pPr>
            <w:r>
              <w:rPr>
                <w:i/>
                <w:sz w:val="18"/>
              </w:rPr>
              <w:t>Contribuciones</w:t>
            </w:r>
          </w:p>
          <w:p w14:paraId="7FFD2258" w14:textId="557E5BFA" w:rsidR="00A526B1" w:rsidRPr="00D1707B" w:rsidRDefault="00A526B1" w:rsidP="00582303">
            <w:pPr>
              <w:pStyle w:val="CBDTableNormal"/>
              <w:spacing w:before="0" w:after="0"/>
              <w:jc w:val="center"/>
              <w:rPr>
                <w:i/>
                <w:iCs/>
                <w:sz w:val="18"/>
                <w:szCs w:val="18"/>
              </w:rPr>
            </w:pPr>
            <w:r>
              <w:rPr>
                <w:i/>
                <w:sz w:val="18"/>
              </w:rPr>
              <w:t>(En dólares de los EE.UU.)</w:t>
            </w:r>
          </w:p>
        </w:tc>
      </w:tr>
      <w:tr w:rsidR="006774B8" w:rsidRPr="00D1707B" w14:paraId="12BAEF80" w14:textId="77777777" w:rsidTr="00A526B1">
        <w:trPr>
          <w:tblHeader/>
        </w:trPr>
        <w:tc>
          <w:tcPr>
            <w:tcW w:w="1880" w:type="dxa"/>
            <w:vMerge/>
            <w:tcBorders>
              <w:left w:val="single" w:sz="4" w:space="0" w:color="auto"/>
              <w:bottom w:val="single" w:sz="4" w:space="0" w:color="auto"/>
              <w:right w:val="single" w:sz="4" w:space="0" w:color="auto"/>
            </w:tcBorders>
            <w:shd w:val="clear" w:color="auto" w:fill="auto"/>
            <w:noWrap/>
            <w:vAlign w:val="bottom"/>
            <w:hideMark/>
          </w:tcPr>
          <w:p w14:paraId="2B534827" w14:textId="5EAA31FF" w:rsidR="00752540" w:rsidRPr="00D1707B" w:rsidRDefault="00752540" w:rsidP="00582303">
            <w:pPr>
              <w:pStyle w:val="CBDTableNormal"/>
              <w:spacing w:before="0" w:after="0"/>
              <w:rPr>
                <w:i/>
                <w:iCs/>
                <w:sz w:val="18"/>
                <w:szCs w:val="18"/>
                <w:lang w:eastAsia="en-CA"/>
              </w:rPr>
            </w:pPr>
          </w:p>
        </w:tc>
        <w:tc>
          <w:tcPr>
            <w:tcW w:w="1628" w:type="dxa"/>
            <w:tcBorders>
              <w:top w:val="single" w:sz="4" w:space="0" w:color="auto"/>
              <w:left w:val="nil"/>
              <w:bottom w:val="single" w:sz="4" w:space="0" w:color="auto"/>
              <w:right w:val="single" w:sz="4" w:space="0" w:color="auto"/>
            </w:tcBorders>
            <w:shd w:val="clear" w:color="auto" w:fill="auto"/>
            <w:vAlign w:val="bottom"/>
            <w:hideMark/>
          </w:tcPr>
          <w:p w14:paraId="3503D8E2" w14:textId="6D26A0D9" w:rsidR="00752540" w:rsidRPr="00D1707B" w:rsidRDefault="00752540" w:rsidP="00582303">
            <w:pPr>
              <w:pStyle w:val="CBDTableNormal"/>
              <w:spacing w:before="0" w:after="0"/>
              <w:jc w:val="right"/>
              <w:rPr>
                <w:i/>
                <w:iCs/>
                <w:sz w:val="18"/>
                <w:szCs w:val="18"/>
              </w:rPr>
            </w:pPr>
            <w:r>
              <w:rPr>
                <w:i/>
                <w:sz w:val="18"/>
              </w:rPr>
              <w:t>2022</w:t>
            </w:r>
            <w:r>
              <w:rPr>
                <w:i/>
              </w:rPr>
              <w:t>-</w:t>
            </w:r>
            <w:r>
              <w:rPr>
                <w:i/>
                <w:sz w:val="18"/>
              </w:rPr>
              <w:t>2024</w:t>
            </w:r>
          </w:p>
        </w:tc>
        <w:tc>
          <w:tcPr>
            <w:tcW w:w="2198" w:type="dxa"/>
            <w:tcBorders>
              <w:top w:val="single" w:sz="4" w:space="0" w:color="auto"/>
              <w:left w:val="nil"/>
              <w:bottom w:val="single" w:sz="4" w:space="0" w:color="auto"/>
              <w:right w:val="single" w:sz="4" w:space="0" w:color="auto"/>
            </w:tcBorders>
            <w:shd w:val="clear" w:color="auto" w:fill="auto"/>
            <w:vAlign w:val="bottom"/>
            <w:hideMark/>
          </w:tcPr>
          <w:p w14:paraId="6FA43256" w14:textId="3464FFFC" w:rsidR="00752540" w:rsidRPr="00D1707B" w:rsidRDefault="00752540" w:rsidP="00582303">
            <w:pPr>
              <w:pStyle w:val="CBDTableNormal"/>
              <w:spacing w:before="0" w:after="0"/>
              <w:jc w:val="right"/>
              <w:rPr>
                <w:i/>
                <w:iCs/>
                <w:sz w:val="18"/>
                <w:szCs w:val="18"/>
              </w:rPr>
            </w:pPr>
            <w:r>
              <w:rPr>
                <w:i/>
                <w:sz w:val="18"/>
              </w:rPr>
              <w:t>Escala con tope del 22 % y ningún país menos adelantado paga más del 0,01 %</w:t>
            </w:r>
          </w:p>
        </w:tc>
        <w:tc>
          <w:tcPr>
            <w:tcW w:w="1176" w:type="dxa"/>
            <w:tcBorders>
              <w:top w:val="single" w:sz="4" w:space="0" w:color="auto"/>
              <w:left w:val="nil"/>
              <w:bottom w:val="single" w:sz="4" w:space="0" w:color="auto"/>
              <w:right w:val="single" w:sz="4" w:space="0" w:color="auto"/>
            </w:tcBorders>
            <w:shd w:val="clear" w:color="auto" w:fill="auto"/>
            <w:vAlign w:val="bottom"/>
            <w:hideMark/>
          </w:tcPr>
          <w:p w14:paraId="092BFE16" w14:textId="738A1113" w:rsidR="00752540" w:rsidRPr="00D1707B" w:rsidRDefault="00752540" w:rsidP="00582303">
            <w:pPr>
              <w:pStyle w:val="CBDTableNormal"/>
              <w:spacing w:before="0" w:after="0"/>
              <w:jc w:val="right"/>
              <w:rPr>
                <w:i/>
                <w:iCs/>
                <w:sz w:val="18"/>
                <w:szCs w:val="18"/>
              </w:rPr>
            </w:pPr>
            <w:r>
              <w:rPr>
                <w:i/>
                <w:sz w:val="18"/>
              </w:rPr>
              <w:t>2025</w:t>
            </w:r>
          </w:p>
        </w:tc>
        <w:tc>
          <w:tcPr>
            <w:tcW w:w="1461" w:type="dxa"/>
            <w:tcBorders>
              <w:top w:val="single" w:sz="4" w:space="0" w:color="auto"/>
              <w:left w:val="nil"/>
              <w:bottom w:val="single" w:sz="4" w:space="0" w:color="auto"/>
              <w:right w:val="single" w:sz="4" w:space="0" w:color="auto"/>
            </w:tcBorders>
            <w:shd w:val="clear" w:color="auto" w:fill="auto"/>
            <w:vAlign w:val="bottom"/>
            <w:hideMark/>
          </w:tcPr>
          <w:p w14:paraId="77BF5ABF" w14:textId="12BDFF97" w:rsidR="00752540" w:rsidRPr="00D1707B" w:rsidRDefault="00752540" w:rsidP="00582303">
            <w:pPr>
              <w:pStyle w:val="CBDTableNormal"/>
              <w:spacing w:before="0" w:after="0"/>
              <w:jc w:val="right"/>
              <w:rPr>
                <w:i/>
                <w:iCs/>
                <w:sz w:val="18"/>
                <w:szCs w:val="18"/>
              </w:rPr>
            </w:pPr>
            <w:r>
              <w:rPr>
                <w:i/>
                <w:sz w:val="18"/>
              </w:rPr>
              <w:t>2026</w:t>
            </w:r>
          </w:p>
        </w:tc>
        <w:tc>
          <w:tcPr>
            <w:tcW w:w="1080" w:type="dxa"/>
            <w:tcBorders>
              <w:left w:val="nil"/>
              <w:bottom w:val="single" w:sz="4" w:space="0" w:color="auto"/>
              <w:right w:val="single" w:sz="4" w:space="0" w:color="auto"/>
            </w:tcBorders>
            <w:shd w:val="clear" w:color="auto" w:fill="auto"/>
            <w:vAlign w:val="bottom"/>
            <w:hideMark/>
          </w:tcPr>
          <w:p w14:paraId="0309398B" w14:textId="33F53A12" w:rsidR="00752540" w:rsidRPr="00D1707B" w:rsidRDefault="00A526B1" w:rsidP="00582303">
            <w:pPr>
              <w:pStyle w:val="CBDTableNormal"/>
              <w:spacing w:before="0" w:after="0"/>
              <w:jc w:val="right"/>
              <w:rPr>
                <w:i/>
                <w:iCs/>
                <w:sz w:val="18"/>
                <w:szCs w:val="18"/>
              </w:rPr>
            </w:pPr>
            <w:r>
              <w:rPr>
                <w:i/>
                <w:sz w:val="18"/>
              </w:rPr>
              <w:t>2025</w:t>
            </w:r>
            <w:r>
              <w:rPr>
                <w:i/>
              </w:rPr>
              <w:t>-</w:t>
            </w:r>
            <w:r>
              <w:rPr>
                <w:i/>
                <w:sz w:val="18"/>
              </w:rPr>
              <w:t>2026</w:t>
            </w:r>
          </w:p>
        </w:tc>
      </w:tr>
      <w:tr w:rsidR="00FE399D" w:rsidRPr="00D1707B" w14:paraId="37DB201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7517286" w14:textId="77777777" w:rsidR="00FE399D" w:rsidRPr="00D1707B" w:rsidRDefault="00FE399D" w:rsidP="00582303">
            <w:pPr>
              <w:pStyle w:val="CBDTableNormal"/>
              <w:spacing w:before="0" w:after="0"/>
              <w:rPr>
                <w:sz w:val="18"/>
                <w:szCs w:val="18"/>
              </w:rPr>
            </w:pPr>
            <w:r>
              <w:rPr>
                <w:sz w:val="18"/>
              </w:rPr>
              <w:t>Afganistán</w:t>
            </w:r>
          </w:p>
        </w:tc>
        <w:tc>
          <w:tcPr>
            <w:tcW w:w="1628" w:type="dxa"/>
            <w:tcBorders>
              <w:top w:val="nil"/>
              <w:left w:val="nil"/>
              <w:bottom w:val="single" w:sz="4" w:space="0" w:color="auto"/>
              <w:right w:val="single" w:sz="4" w:space="0" w:color="auto"/>
            </w:tcBorders>
            <w:shd w:val="clear" w:color="auto" w:fill="auto"/>
            <w:vAlign w:val="bottom"/>
            <w:hideMark/>
          </w:tcPr>
          <w:p w14:paraId="1AA34EEE" w14:textId="77777777" w:rsidR="00FE399D" w:rsidRPr="00D1707B" w:rsidRDefault="00FE399D" w:rsidP="00582303">
            <w:pPr>
              <w:pStyle w:val="CBDTableNormal"/>
              <w:spacing w:before="0" w:after="0"/>
              <w:jc w:val="right"/>
              <w:rPr>
                <w:sz w:val="18"/>
                <w:szCs w:val="18"/>
              </w:rPr>
            </w:pPr>
            <w:r>
              <w:rPr>
                <w:sz w:val="18"/>
              </w:rPr>
              <w:t>0,006</w:t>
            </w:r>
          </w:p>
        </w:tc>
        <w:tc>
          <w:tcPr>
            <w:tcW w:w="2198" w:type="dxa"/>
            <w:tcBorders>
              <w:top w:val="nil"/>
              <w:left w:val="nil"/>
              <w:bottom w:val="single" w:sz="4" w:space="0" w:color="auto"/>
              <w:right w:val="single" w:sz="4" w:space="0" w:color="auto"/>
            </w:tcBorders>
            <w:shd w:val="clear" w:color="auto" w:fill="auto"/>
            <w:noWrap/>
            <w:vAlign w:val="bottom"/>
            <w:hideMark/>
          </w:tcPr>
          <w:p w14:paraId="0617C88C" w14:textId="77777777" w:rsidR="00FE399D" w:rsidRPr="00D1707B" w:rsidRDefault="00FE399D" w:rsidP="00582303">
            <w:pPr>
              <w:pStyle w:val="CBDTableNormal"/>
              <w:spacing w:before="0" w:after="0"/>
              <w:jc w:val="right"/>
              <w:rPr>
                <w:sz w:val="18"/>
                <w:szCs w:val="18"/>
              </w:rPr>
            </w:pPr>
            <w:r>
              <w:rPr>
                <w:sz w:val="18"/>
              </w:rPr>
              <w:t>0,008</w:t>
            </w:r>
          </w:p>
        </w:tc>
        <w:tc>
          <w:tcPr>
            <w:tcW w:w="1176" w:type="dxa"/>
            <w:tcBorders>
              <w:top w:val="nil"/>
              <w:left w:val="nil"/>
              <w:bottom w:val="single" w:sz="4" w:space="0" w:color="auto"/>
              <w:right w:val="single" w:sz="4" w:space="0" w:color="auto"/>
            </w:tcBorders>
            <w:shd w:val="clear" w:color="auto" w:fill="auto"/>
            <w:noWrap/>
            <w:vAlign w:val="bottom"/>
            <w:hideMark/>
          </w:tcPr>
          <w:p w14:paraId="59754C4B" w14:textId="77777777" w:rsidR="00FE399D" w:rsidRPr="00D1707B" w:rsidRDefault="00FE399D" w:rsidP="00582303">
            <w:pPr>
              <w:pStyle w:val="CBDTableNormal"/>
              <w:spacing w:before="0" w:after="0"/>
              <w:jc w:val="right"/>
              <w:rPr>
                <w:sz w:val="18"/>
                <w:szCs w:val="18"/>
              </w:rPr>
            </w:pPr>
            <w:r>
              <w:rPr>
                <w:sz w:val="18"/>
              </w:rPr>
              <w:t>1 056</w:t>
            </w:r>
          </w:p>
        </w:tc>
        <w:tc>
          <w:tcPr>
            <w:tcW w:w="1461" w:type="dxa"/>
            <w:tcBorders>
              <w:top w:val="nil"/>
              <w:left w:val="nil"/>
              <w:bottom w:val="single" w:sz="4" w:space="0" w:color="auto"/>
              <w:right w:val="single" w:sz="4" w:space="0" w:color="auto"/>
            </w:tcBorders>
            <w:shd w:val="clear" w:color="auto" w:fill="auto"/>
            <w:noWrap/>
            <w:vAlign w:val="bottom"/>
            <w:hideMark/>
          </w:tcPr>
          <w:p w14:paraId="03FCC43F" w14:textId="77777777" w:rsidR="00FE399D" w:rsidRPr="00D1707B" w:rsidRDefault="00FE399D" w:rsidP="00582303">
            <w:pPr>
              <w:pStyle w:val="CBDTableNormal"/>
              <w:spacing w:before="0" w:after="0"/>
              <w:jc w:val="right"/>
              <w:rPr>
                <w:sz w:val="18"/>
                <w:szCs w:val="18"/>
              </w:rPr>
            </w:pPr>
            <w:r>
              <w:rPr>
                <w:sz w:val="18"/>
              </w:rPr>
              <w:t>1 128</w:t>
            </w:r>
          </w:p>
        </w:tc>
        <w:tc>
          <w:tcPr>
            <w:tcW w:w="1080" w:type="dxa"/>
            <w:tcBorders>
              <w:top w:val="nil"/>
              <w:left w:val="nil"/>
              <w:bottom w:val="single" w:sz="4" w:space="0" w:color="auto"/>
              <w:right w:val="single" w:sz="4" w:space="0" w:color="auto"/>
            </w:tcBorders>
            <w:shd w:val="clear" w:color="auto" w:fill="auto"/>
            <w:noWrap/>
            <w:vAlign w:val="bottom"/>
            <w:hideMark/>
          </w:tcPr>
          <w:p w14:paraId="1301670D" w14:textId="77777777" w:rsidR="00FE399D" w:rsidRPr="00D1707B" w:rsidRDefault="00FE399D" w:rsidP="00582303">
            <w:pPr>
              <w:pStyle w:val="CBDTableNormal"/>
              <w:spacing w:before="0" w:after="0"/>
              <w:jc w:val="right"/>
              <w:rPr>
                <w:sz w:val="18"/>
                <w:szCs w:val="18"/>
              </w:rPr>
            </w:pPr>
            <w:r>
              <w:rPr>
                <w:sz w:val="18"/>
              </w:rPr>
              <w:t xml:space="preserve">2 184 </w:t>
            </w:r>
          </w:p>
        </w:tc>
      </w:tr>
      <w:tr w:rsidR="00FE399D" w:rsidRPr="00D1707B" w14:paraId="2A330F7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C6BA976" w14:textId="77777777" w:rsidR="00FE399D" w:rsidRPr="00D1707B" w:rsidRDefault="00FE399D" w:rsidP="00582303">
            <w:pPr>
              <w:pStyle w:val="CBDTableNormal"/>
              <w:spacing w:before="0" w:after="0"/>
              <w:rPr>
                <w:sz w:val="18"/>
                <w:szCs w:val="18"/>
              </w:rPr>
            </w:pPr>
            <w:r>
              <w:rPr>
                <w:sz w:val="18"/>
              </w:rPr>
              <w:t xml:space="preserve">Albania </w:t>
            </w:r>
          </w:p>
        </w:tc>
        <w:tc>
          <w:tcPr>
            <w:tcW w:w="1628" w:type="dxa"/>
            <w:tcBorders>
              <w:top w:val="nil"/>
              <w:left w:val="nil"/>
              <w:bottom w:val="single" w:sz="4" w:space="0" w:color="auto"/>
              <w:right w:val="single" w:sz="4" w:space="0" w:color="auto"/>
            </w:tcBorders>
            <w:shd w:val="clear" w:color="auto" w:fill="auto"/>
            <w:vAlign w:val="bottom"/>
            <w:hideMark/>
          </w:tcPr>
          <w:p w14:paraId="79510528" w14:textId="77777777" w:rsidR="00FE399D" w:rsidRPr="00D1707B" w:rsidRDefault="00FE399D" w:rsidP="00582303">
            <w:pPr>
              <w:pStyle w:val="CBDTableNormal"/>
              <w:spacing w:before="0" w:after="0"/>
              <w:jc w:val="right"/>
              <w:rPr>
                <w:sz w:val="18"/>
                <w:szCs w:val="18"/>
              </w:rPr>
            </w:pPr>
            <w:r>
              <w:rPr>
                <w:sz w:val="18"/>
              </w:rPr>
              <w:t>0,008</w:t>
            </w:r>
          </w:p>
        </w:tc>
        <w:tc>
          <w:tcPr>
            <w:tcW w:w="2198" w:type="dxa"/>
            <w:tcBorders>
              <w:top w:val="nil"/>
              <w:left w:val="nil"/>
              <w:bottom w:val="single" w:sz="4" w:space="0" w:color="auto"/>
              <w:right w:val="single" w:sz="4" w:space="0" w:color="auto"/>
            </w:tcBorders>
            <w:shd w:val="clear" w:color="auto" w:fill="auto"/>
            <w:noWrap/>
            <w:vAlign w:val="bottom"/>
            <w:hideMark/>
          </w:tcPr>
          <w:p w14:paraId="343FC1F3" w14:textId="77777777" w:rsidR="00FE399D" w:rsidRPr="00D1707B" w:rsidRDefault="00FE399D" w:rsidP="00582303">
            <w:pPr>
              <w:pStyle w:val="CBDTableNormal"/>
              <w:spacing w:before="0" w:after="0"/>
              <w:jc w:val="right"/>
              <w:rPr>
                <w:sz w:val="18"/>
                <w:szCs w:val="18"/>
              </w:rPr>
            </w:pPr>
            <w:r>
              <w:rPr>
                <w:sz w:val="18"/>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0D0048D8" w14:textId="77777777" w:rsidR="00FE399D" w:rsidRPr="00D1707B" w:rsidRDefault="00FE399D" w:rsidP="00582303">
            <w:pPr>
              <w:pStyle w:val="CBDTableNormal"/>
              <w:spacing w:before="0" w:after="0"/>
              <w:jc w:val="right"/>
              <w:rPr>
                <w:sz w:val="18"/>
                <w:szCs w:val="18"/>
              </w:rPr>
            </w:pPr>
            <w:r>
              <w:rPr>
                <w:sz w:val="18"/>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5EF73778" w14:textId="77777777" w:rsidR="00FE399D" w:rsidRPr="00D1707B" w:rsidRDefault="00FE399D" w:rsidP="00582303">
            <w:pPr>
              <w:pStyle w:val="CBDTableNormal"/>
              <w:spacing w:before="0" w:after="0"/>
              <w:jc w:val="right"/>
              <w:rPr>
                <w:sz w:val="18"/>
                <w:szCs w:val="18"/>
              </w:rPr>
            </w:pPr>
            <w:r>
              <w:rPr>
                <w:sz w:val="18"/>
              </w:rPr>
              <w:t xml:space="preserve">1 504 </w:t>
            </w:r>
          </w:p>
        </w:tc>
        <w:tc>
          <w:tcPr>
            <w:tcW w:w="1080" w:type="dxa"/>
            <w:tcBorders>
              <w:top w:val="nil"/>
              <w:left w:val="nil"/>
              <w:bottom w:val="single" w:sz="4" w:space="0" w:color="auto"/>
              <w:right w:val="single" w:sz="4" w:space="0" w:color="auto"/>
            </w:tcBorders>
            <w:shd w:val="clear" w:color="auto" w:fill="auto"/>
            <w:noWrap/>
            <w:vAlign w:val="bottom"/>
            <w:hideMark/>
          </w:tcPr>
          <w:p w14:paraId="4D17EEDA" w14:textId="77777777" w:rsidR="00FE399D" w:rsidRPr="00D1707B" w:rsidRDefault="00FE399D" w:rsidP="00582303">
            <w:pPr>
              <w:pStyle w:val="CBDTableNormal"/>
              <w:spacing w:before="0" w:after="0"/>
              <w:jc w:val="right"/>
              <w:rPr>
                <w:sz w:val="18"/>
                <w:szCs w:val="18"/>
              </w:rPr>
            </w:pPr>
            <w:r>
              <w:rPr>
                <w:sz w:val="18"/>
              </w:rPr>
              <w:t xml:space="preserve">2 912 </w:t>
            </w:r>
          </w:p>
        </w:tc>
      </w:tr>
      <w:tr w:rsidR="00FE399D" w:rsidRPr="00D1707B" w14:paraId="0CCDF44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3E616A4" w14:textId="77777777" w:rsidR="00FE399D" w:rsidRPr="00D1707B" w:rsidRDefault="00FE399D" w:rsidP="00582303">
            <w:pPr>
              <w:pStyle w:val="CBDTableNormal"/>
              <w:spacing w:before="0" w:after="0"/>
              <w:rPr>
                <w:sz w:val="18"/>
                <w:szCs w:val="18"/>
              </w:rPr>
            </w:pPr>
            <w:r>
              <w:rPr>
                <w:sz w:val="18"/>
              </w:rPr>
              <w:t>Alemania</w:t>
            </w:r>
          </w:p>
        </w:tc>
        <w:tc>
          <w:tcPr>
            <w:tcW w:w="1628" w:type="dxa"/>
            <w:tcBorders>
              <w:top w:val="nil"/>
              <w:left w:val="nil"/>
              <w:bottom w:val="single" w:sz="4" w:space="0" w:color="auto"/>
              <w:right w:val="single" w:sz="4" w:space="0" w:color="auto"/>
            </w:tcBorders>
            <w:shd w:val="clear" w:color="auto" w:fill="auto"/>
            <w:vAlign w:val="bottom"/>
            <w:hideMark/>
          </w:tcPr>
          <w:p w14:paraId="2CFF3818" w14:textId="77777777" w:rsidR="00FE399D" w:rsidRPr="00D1707B" w:rsidRDefault="00FE399D" w:rsidP="00582303">
            <w:pPr>
              <w:pStyle w:val="CBDTableNormal"/>
              <w:spacing w:before="0" w:after="0"/>
              <w:jc w:val="right"/>
              <w:rPr>
                <w:sz w:val="18"/>
                <w:szCs w:val="18"/>
              </w:rPr>
            </w:pPr>
            <w:r>
              <w:rPr>
                <w:sz w:val="18"/>
              </w:rPr>
              <w:t>6,111</w:t>
            </w:r>
          </w:p>
        </w:tc>
        <w:tc>
          <w:tcPr>
            <w:tcW w:w="2198" w:type="dxa"/>
            <w:tcBorders>
              <w:top w:val="nil"/>
              <w:left w:val="nil"/>
              <w:bottom w:val="single" w:sz="4" w:space="0" w:color="auto"/>
              <w:right w:val="single" w:sz="4" w:space="0" w:color="auto"/>
            </w:tcBorders>
            <w:shd w:val="clear" w:color="auto" w:fill="auto"/>
            <w:noWrap/>
            <w:vAlign w:val="bottom"/>
            <w:hideMark/>
          </w:tcPr>
          <w:p w14:paraId="5617B221" w14:textId="77777777" w:rsidR="00FE399D" w:rsidRPr="00D1707B" w:rsidRDefault="00FE399D" w:rsidP="00582303">
            <w:pPr>
              <w:pStyle w:val="CBDTableNormal"/>
              <w:spacing w:before="0" w:after="0"/>
              <w:jc w:val="right"/>
              <w:rPr>
                <w:sz w:val="18"/>
                <w:szCs w:val="18"/>
              </w:rPr>
            </w:pPr>
            <w:r>
              <w:rPr>
                <w:sz w:val="18"/>
              </w:rPr>
              <w:t>7,639</w:t>
            </w:r>
          </w:p>
        </w:tc>
        <w:tc>
          <w:tcPr>
            <w:tcW w:w="1176" w:type="dxa"/>
            <w:tcBorders>
              <w:top w:val="nil"/>
              <w:left w:val="nil"/>
              <w:bottom w:val="single" w:sz="4" w:space="0" w:color="auto"/>
              <w:right w:val="single" w:sz="4" w:space="0" w:color="auto"/>
            </w:tcBorders>
            <w:shd w:val="clear" w:color="auto" w:fill="auto"/>
            <w:noWrap/>
            <w:vAlign w:val="bottom"/>
            <w:hideMark/>
          </w:tcPr>
          <w:p w14:paraId="66198BC7" w14:textId="77777777" w:rsidR="00FE399D" w:rsidRPr="00D1707B" w:rsidRDefault="00FE399D" w:rsidP="00582303">
            <w:pPr>
              <w:pStyle w:val="CBDTableNormal"/>
              <w:spacing w:before="0" w:after="0"/>
              <w:jc w:val="right"/>
              <w:rPr>
                <w:sz w:val="18"/>
                <w:szCs w:val="18"/>
              </w:rPr>
            </w:pPr>
            <w:r>
              <w:rPr>
                <w:sz w:val="18"/>
              </w:rPr>
              <w:t>1 075 502</w:t>
            </w:r>
          </w:p>
        </w:tc>
        <w:tc>
          <w:tcPr>
            <w:tcW w:w="1461" w:type="dxa"/>
            <w:tcBorders>
              <w:top w:val="nil"/>
              <w:left w:val="nil"/>
              <w:bottom w:val="single" w:sz="4" w:space="0" w:color="auto"/>
              <w:right w:val="single" w:sz="4" w:space="0" w:color="auto"/>
            </w:tcBorders>
            <w:shd w:val="clear" w:color="auto" w:fill="auto"/>
            <w:noWrap/>
            <w:vAlign w:val="bottom"/>
            <w:hideMark/>
          </w:tcPr>
          <w:p w14:paraId="7D1451CB" w14:textId="77777777" w:rsidR="00FE399D" w:rsidRPr="00D1707B" w:rsidRDefault="00FE399D" w:rsidP="00582303">
            <w:pPr>
              <w:pStyle w:val="CBDTableNormal"/>
              <w:spacing w:before="0" w:after="0"/>
              <w:jc w:val="right"/>
              <w:rPr>
                <w:sz w:val="18"/>
                <w:szCs w:val="18"/>
              </w:rPr>
            </w:pPr>
            <w:r>
              <w:rPr>
                <w:sz w:val="18"/>
              </w:rPr>
              <w:t>1 149 091</w:t>
            </w:r>
          </w:p>
        </w:tc>
        <w:tc>
          <w:tcPr>
            <w:tcW w:w="1080" w:type="dxa"/>
            <w:tcBorders>
              <w:top w:val="nil"/>
              <w:left w:val="nil"/>
              <w:bottom w:val="single" w:sz="4" w:space="0" w:color="auto"/>
              <w:right w:val="single" w:sz="4" w:space="0" w:color="auto"/>
            </w:tcBorders>
            <w:shd w:val="clear" w:color="auto" w:fill="auto"/>
            <w:noWrap/>
            <w:vAlign w:val="bottom"/>
            <w:hideMark/>
          </w:tcPr>
          <w:p w14:paraId="0F92C64B" w14:textId="77777777" w:rsidR="00FE399D" w:rsidRPr="00D1707B" w:rsidRDefault="00FE399D" w:rsidP="00582303">
            <w:pPr>
              <w:pStyle w:val="CBDTableNormal"/>
              <w:spacing w:before="0" w:after="0"/>
              <w:jc w:val="right"/>
              <w:rPr>
                <w:sz w:val="18"/>
                <w:szCs w:val="18"/>
              </w:rPr>
            </w:pPr>
            <w:r>
              <w:rPr>
                <w:sz w:val="18"/>
              </w:rPr>
              <w:t>2 224 593</w:t>
            </w:r>
          </w:p>
        </w:tc>
      </w:tr>
      <w:tr w:rsidR="00FE399D" w:rsidRPr="00D1707B" w14:paraId="5DB1136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4220BA2" w14:textId="77777777" w:rsidR="00FE399D" w:rsidRPr="00D1707B" w:rsidRDefault="00FE399D" w:rsidP="00582303">
            <w:pPr>
              <w:pStyle w:val="CBDTableNormal"/>
              <w:spacing w:before="0" w:after="0"/>
              <w:rPr>
                <w:sz w:val="18"/>
                <w:szCs w:val="18"/>
              </w:rPr>
            </w:pPr>
            <w:r>
              <w:rPr>
                <w:sz w:val="18"/>
              </w:rPr>
              <w:t xml:space="preserve">Andorra </w:t>
            </w:r>
          </w:p>
        </w:tc>
        <w:tc>
          <w:tcPr>
            <w:tcW w:w="1628" w:type="dxa"/>
            <w:tcBorders>
              <w:top w:val="nil"/>
              <w:left w:val="nil"/>
              <w:bottom w:val="single" w:sz="4" w:space="0" w:color="auto"/>
              <w:right w:val="single" w:sz="4" w:space="0" w:color="auto"/>
            </w:tcBorders>
            <w:shd w:val="clear" w:color="auto" w:fill="auto"/>
            <w:vAlign w:val="bottom"/>
            <w:hideMark/>
          </w:tcPr>
          <w:p w14:paraId="392521A4" w14:textId="77777777" w:rsidR="00FE399D" w:rsidRPr="00D1707B" w:rsidRDefault="00FE399D" w:rsidP="00582303">
            <w:pPr>
              <w:pStyle w:val="CBDTableNormal"/>
              <w:spacing w:before="0" w:after="0"/>
              <w:jc w:val="right"/>
              <w:rPr>
                <w:sz w:val="18"/>
                <w:szCs w:val="18"/>
              </w:rPr>
            </w:pPr>
            <w:r>
              <w:rPr>
                <w:sz w:val="18"/>
              </w:rPr>
              <w:t>0,005</w:t>
            </w:r>
          </w:p>
        </w:tc>
        <w:tc>
          <w:tcPr>
            <w:tcW w:w="2198" w:type="dxa"/>
            <w:tcBorders>
              <w:top w:val="nil"/>
              <w:left w:val="nil"/>
              <w:bottom w:val="single" w:sz="4" w:space="0" w:color="auto"/>
              <w:right w:val="single" w:sz="4" w:space="0" w:color="auto"/>
            </w:tcBorders>
            <w:shd w:val="clear" w:color="auto" w:fill="auto"/>
            <w:noWrap/>
            <w:vAlign w:val="bottom"/>
            <w:hideMark/>
          </w:tcPr>
          <w:p w14:paraId="6088579C" w14:textId="77777777" w:rsidR="00FE399D" w:rsidRPr="00D1707B" w:rsidRDefault="00FE399D" w:rsidP="00582303">
            <w:pPr>
              <w:pStyle w:val="CBDTableNormal"/>
              <w:spacing w:before="0" w:after="0"/>
              <w:jc w:val="right"/>
              <w:rPr>
                <w:sz w:val="18"/>
                <w:szCs w:val="18"/>
              </w:rPr>
            </w:pPr>
            <w:r>
              <w:rPr>
                <w:sz w:val="18"/>
              </w:rPr>
              <w:t>0,006</w:t>
            </w:r>
          </w:p>
        </w:tc>
        <w:tc>
          <w:tcPr>
            <w:tcW w:w="1176" w:type="dxa"/>
            <w:tcBorders>
              <w:top w:val="nil"/>
              <w:left w:val="nil"/>
              <w:bottom w:val="single" w:sz="4" w:space="0" w:color="auto"/>
              <w:right w:val="single" w:sz="4" w:space="0" w:color="auto"/>
            </w:tcBorders>
            <w:shd w:val="clear" w:color="auto" w:fill="auto"/>
            <w:noWrap/>
            <w:vAlign w:val="bottom"/>
            <w:hideMark/>
          </w:tcPr>
          <w:p w14:paraId="6995DD00" w14:textId="77777777" w:rsidR="00FE399D" w:rsidRPr="00D1707B" w:rsidRDefault="00FE399D" w:rsidP="00582303">
            <w:pPr>
              <w:pStyle w:val="CBDTableNormal"/>
              <w:spacing w:before="0" w:after="0"/>
              <w:jc w:val="right"/>
              <w:rPr>
                <w:sz w:val="18"/>
                <w:szCs w:val="18"/>
              </w:rPr>
            </w:pPr>
            <w:r>
              <w:rPr>
                <w:sz w:val="18"/>
              </w:rPr>
              <w:t>880</w:t>
            </w:r>
          </w:p>
        </w:tc>
        <w:tc>
          <w:tcPr>
            <w:tcW w:w="1461" w:type="dxa"/>
            <w:tcBorders>
              <w:top w:val="nil"/>
              <w:left w:val="nil"/>
              <w:bottom w:val="single" w:sz="4" w:space="0" w:color="auto"/>
              <w:right w:val="single" w:sz="4" w:space="0" w:color="auto"/>
            </w:tcBorders>
            <w:shd w:val="clear" w:color="auto" w:fill="auto"/>
            <w:noWrap/>
            <w:vAlign w:val="bottom"/>
            <w:hideMark/>
          </w:tcPr>
          <w:p w14:paraId="354C4754" w14:textId="77777777" w:rsidR="00FE399D" w:rsidRPr="00D1707B" w:rsidRDefault="00FE399D" w:rsidP="00582303">
            <w:pPr>
              <w:pStyle w:val="CBDTableNormal"/>
              <w:spacing w:before="0" w:after="0"/>
              <w:jc w:val="right"/>
              <w:rPr>
                <w:sz w:val="18"/>
                <w:szCs w:val="18"/>
              </w:rPr>
            </w:pPr>
            <w:r>
              <w:rPr>
                <w:sz w:val="18"/>
              </w:rPr>
              <w:t xml:space="preserve">940 </w:t>
            </w:r>
          </w:p>
        </w:tc>
        <w:tc>
          <w:tcPr>
            <w:tcW w:w="1080" w:type="dxa"/>
            <w:tcBorders>
              <w:top w:val="nil"/>
              <w:left w:val="nil"/>
              <w:bottom w:val="single" w:sz="4" w:space="0" w:color="auto"/>
              <w:right w:val="single" w:sz="4" w:space="0" w:color="auto"/>
            </w:tcBorders>
            <w:shd w:val="clear" w:color="auto" w:fill="auto"/>
            <w:noWrap/>
            <w:vAlign w:val="bottom"/>
            <w:hideMark/>
          </w:tcPr>
          <w:p w14:paraId="4A5944CC" w14:textId="77777777" w:rsidR="00FE399D" w:rsidRPr="00D1707B" w:rsidRDefault="00FE399D" w:rsidP="00582303">
            <w:pPr>
              <w:pStyle w:val="CBDTableNormal"/>
              <w:spacing w:before="0" w:after="0"/>
              <w:jc w:val="right"/>
              <w:rPr>
                <w:sz w:val="18"/>
                <w:szCs w:val="18"/>
              </w:rPr>
            </w:pPr>
            <w:r>
              <w:rPr>
                <w:sz w:val="18"/>
              </w:rPr>
              <w:t xml:space="preserve">1 820 </w:t>
            </w:r>
          </w:p>
        </w:tc>
      </w:tr>
      <w:tr w:rsidR="00FE399D" w:rsidRPr="00D1707B" w14:paraId="2CDBA9E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D43748B" w14:textId="77777777" w:rsidR="00FE399D" w:rsidRPr="00D1707B" w:rsidRDefault="00FE399D" w:rsidP="00582303">
            <w:pPr>
              <w:pStyle w:val="CBDTableNormal"/>
              <w:spacing w:before="0" w:after="0"/>
              <w:rPr>
                <w:sz w:val="18"/>
                <w:szCs w:val="18"/>
              </w:rPr>
            </w:pPr>
            <w:r>
              <w:rPr>
                <w:sz w:val="18"/>
              </w:rPr>
              <w:t>Angola</w:t>
            </w:r>
          </w:p>
        </w:tc>
        <w:tc>
          <w:tcPr>
            <w:tcW w:w="1628" w:type="dxa"/>
            <w:tcBorders>
              <w:top w:val="nil"/>
              <w:left w:val="nil"/>
              <w:bottom w:val="single" w:sz="4" w:space="0" w:color="auto"/>
              <w:right w:val="single" w:sz="4" w:space="0" w:color="auto"/>
            </w:tcBorders>
            <w:shd w:val="clear" w:color="auto" w:fill="auto"/>
            <w:vAlign w:val="bottom"/>
            <w:hideMark/>
          </w:tcPr>
          <w:p w14:paraId="4FDAF5ED" w14:textId="77777777" w:rsidR="00FE399D" w:rsidRPr="00D1707B" w:rsidRDefault="00FE399D" w:rsidP="00582303">
            <w:pPr>
              <w:pStyle w:val="CBDTableNormal"/>
              <w:spacing w:before="0" w:after="0"/>
              <w:jc w:val="right"/>
              <w:rPr>
                <w:sz w:val="18"/>
                <w:szCs w:val="18"/>
              </w:rPr>
            </w:pPr>
            <w:r>
              <w:rPr>
                <w:sz w:val="18"/>
              </w:rPr>
              <w:t>0,010</w:t>
            </w:r>
          </w:p>
        </w:tc>
        <w:tc>
          <w:tcPr>
            <w:tcW w:w="2198" w:type="dxa"/>
            <w:tcBorders>
              <w:top w:val="nil"/>
              <w:left w:val="nil"/>
              <w:bottom w:val="single" w:sz="4" w:space="0" w:color="auto"/>
              <w:right w:val="single" w:sz="4" w:space="0" w:color="auto"/>
            </w:tcBorders>
            <w:shd w:val="clear" w:color="auto" w:fill="auto"/>
            <w:noWrap/>
            <w:vAlign w:val="bottom"/>
            <w:hideMark/>
          </w:tcPr>
          <w:p w14:paraId="1E1961A3" w14:textId="77777777" w:rsidR="00FE399D" w:rsidRPr="00D1707B" w:rsidRDefault="00FE399D" w:rsidP="00582303">
            <w:pPr>
              <w:pStyle w:val="CBDTableNormal"/>
              <w:spacing w:before="0" w:after="0"/>
              <w:jc w:val="right"/>
              <w:rPr>
                <w:sz w:val="18"/>
                <w:szCs w:val="18"/>
              </w:rPr>
            </w:pPr>
            <w:r>
              <w:rPr>
                <w:sz w:val="18"/>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4EC36A34" w14:textId="77777777" w:rsidR="00FE399D" w:rsidRPr="00D1707B" w:rsidRDefault="00FE399D" w:rsidP="00582303">
            <w:pPr>
              <w:pStyle w:val="CBDTableNormal"/>
              <w:spacing w:before="0" w:after="0"/>
              <w:jc w:val="right"/>
              <w:rPr>
                <w:sz w:val="18"/>
                <w:szCs w:val="18"/>
              </w:rPr>
            </w:pPr>
            <w:r>
              <w:rPr>
                <w:sz w:val="18"/>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39CE2B60" w14:textId="77777777" w:rsidR="00FE399D" w:rsidRPr="00D1707B" w:rsidRDefault="00FE399D" w:rsidP="00582303">
            <w:pPr>
              <w:pStyle w:val="CBDTableNormal"/>
              <w:spacing w:before="0" w:after="0"/>
              <w:jc w:val="right"/>
              <w:rPr>
                <w:sz w:val="18"/>
                <w:szCs w:val="18"/>
              </w:rPr>
            </w:pPr>
            <w:r>
              <w:rPr>
                <w:sz w:val="18"/>
              </w:rPr>
              <w:t xml:space="preserve">1 504 </w:t>
            </w:r>
          </w:p>
        </w:tc>
        <w:tc>
          <w:tcPr>
            <w:tcW w:w="1080" w:type="dxa"/>
            <w:tcBorders>
              <w:top w:val="nil"/>
              <w:left w:val="nil"/>
              <w:bottom w:val="single" w:sz="4" w:space="0" w:color="auto"/>
              <w:right w:val="single" w:sz="4" w:space="0" w:color="auto"/>
            </w:tcBorders>
            <w:shd w:val="clear" w:color="auto" w:fill="auto"/>
            <w:noWrap/>
            <w:vAlign w:val="bottom"/>
            <w:hideMark/>
          </w:tcPr>
          <w:p w14:paraId="3562DD97" w14:textId="77777777" w:rsidR="00FE399D" w:rsidRPr="00D1707B" w:rsidRDefault="00FE399D" w:rsidP="00582303">
            <w:pPr>
              <w:pStyle w:val="CBDTableNormal"/>
              <w:spacing w:before="0" w:after="0"/>
              <w:jc w:val="right"/>
              <w:rPr>
                <w:sz w:val="18"/>
                <w:szCs w:val="18"/>
              </w:rPr>
            </w:pPr>
            <w:r>
              <w:rPr>
                <w:sz w:val="18"/>
              </w:rPr>
              <w:t xml:space="preserve">2 912 </w:t>
            </w:r>
          </w:p>
        </w:tc>
      </w:tr>
      <w:tr w:rsidR="00FE399D" w:rsidRPr="00D1707B" w14:paraId="4BCEF9B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21281D4" w14:textId="77777777" w:rsidR="00FE399D" w:rsidRPr="00D1707B" w:rsidRDefault="00FE399D" w:rsidP="00582303">
            <w:pPr>
              <w:pStyle w:val="CBDTableNormal"/>
              <w:spacing w:before="0" w:after="0"/>
              <w:rPr>
                <w:sz w:val="18"/>
                <w:szCs w:val="18"/>
              </w:rPr>
            </w:pPr>
            <w:r>
              <w:rPr>
                <w:sz w:val="18"/>
              </w:rPr>
              <w:t>Antigua y Barbuda</w:t>
            </w:r>
          </w:p>
        </w:tc>
        <w:tc>
          <w:tcPr>
            <w:tcW w:w="1628" w:type="dxa"/>
            <w:tcBorders>
              <w:top w:val="nil"/>
              <w:left w:val="nil"/>
              <w:bottom w:val="single" w:sz="4" w:space="0" w:color="auto"/>
              <w:right w:val="single" w:sz="4" w:space="0" w:color="auto"/>
            </w:tcBorders>
            <w:shd w:val="clear" w:color="auto" w:fill="auto"/>
            <w:vAlign w:val="bottom"/>
            <w:hideMark/>
          </w:tcPr>
          <w:p w14:paraId="1B0B533F" w14:textId="77777777" w:rsidR="00FE399D" w:rsidRPr="00D1707B" w:rsidRDefault="00FE399D" w:rsidP="00582303">
            <w:pPr>
              <w:pStyle w:val="CBDTableNormal"/>
              <w:spacing w:before="0" w:after="0"/>
              <w:jc w:val="right"/>
              <w:rPr>
                <w:sz w:val="18"/>
                <w:szCs w:val="18"/>
              </w:rPr>
            </w:pPr>
            <w:r>
              <w:rPr>
                <w:sz w:val="18"/>
              </w:rPr>
              <w:t>0,002</w:t>
            </w:r>
          </w:p>
        </w:tc>
        <w:tc>
          <w:tcPr>
            <w:tcW w:w="2198" w:type="dxa"/>
            <w:tcBorders>
              <w:top w:val="nil"/>
              <w:left w:val="nil"/>
              <w:bottom w:val="single" w:sz="4" w:space="0" w:color="auto"/>
              <w:right w:val="single" w:sz="4" w:space="0" w:color="auto"/>
            </w:tcBorders>
            <w:shd w:val="clear" w:color="auto" w:fill="auto"/>
            <w:noWrap/>
            <w:vAlign w:val="bottom"/>
            <w:hideMark/>
          </w:tcPr>
          <w:p w14:paraId="1C855854" w14:textId="77777777" w:rsidR="00FE399D" w:rsidRPr="00D1707B" w:rsidRDefault="00FE399D" w:rsidP="00582303">
            <w:pPr>
              <w:pStyle w:val="CBDTableNormal"/>
              <w:spacing w:before="0" w:after="0"/>
              <w:jc w:val="right"/>
              <w:rPr>
                <w:sz w:val="18"/>
                <w:szCs w:val="18"/>
              </w:rPr>
            </w:pPr>
            <w:r>
              <w:rPr>
                <w:sz w:val="18"/>
              </w:rPr>
              <w:t>0,003</w:t>
            </w:r>
          </w:p>
        </w:tc>
        <w:tc>
          <w:tcPr>
            <w:tcW w:w="1176" w:type="dxa"/>
            <w:tcBorders>
              <w:top w:val="nil"/>
              <w:left w:val="nil"/>
              <w:bottom w:val="single" w:sz="4" w:space="0" w:color="auto"/>
              <w:right w:val="single" w:sz="4" w:space="0" w:color="auto"/>
            </w:tcBorders>
            <w:shd w:val="clear" w:color="auto" w:fill="auto"/>
            <w:noWrap/>
            <w:vAlign w:val="bottom"/>
            <w:hideMark/>
          </w:tcPr>
          <w:p w14:paraId="429A6116" w14:textId="77777777" w:rsidR="00FE399D" w:rsidRPr="00D1707B" w:rsidRDefault="00FE399D" w:rsidP="00582303">
            <w:pPr>
              <w:pStyle w:val="CBDTableNormal"/>
              <w:spacing w:before="0" w:after="0"/>
              <w:jc w:val="right"/>
              <w:rPr>
                <w:sz w:val="18"/>
                <w:szCs w:val="18"/>
              </w:rPr>
            </w:pPr>
            <w:r>
              <w:rPr>
                <w:sz w:val="18"/>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378B6947" w14:textId="77777777" w:rsidR="00FE399D" w:rsidRPr="00D1707B" w:rsidRDefault="00FE399D" w:rsidP="00582303">
            <w:pPr>
              <w:pStyle w:val="CBDTableNormal"/>
              <w:spacing w:before="0" w:after="0"/>
              <w:jc w:val="right"/>
              <w:rPr>
                <w:sz w:val="18"/>
                <w:szCs w:val="18"/>
              </w:rPr>
            </w:pPr>
            <w:r>
              <w:rPr>
                <w:sz w:val="18"/>
              </w:rPr>
              <w:t xml:space="preserve">376 </w:t>
            </w:r>
          </w:p>
        </w:tc>
        <w:tc>
          <w:tcPr>
            <w:tcW w:w="1080" w:type="dxa"/>
            <w:tcBorders>
              <w:top w:val="nil"/>
              <w:left w:val="nil"/>
              <w:bottom w:val="single" w:sz="4" w:space="0" w:color="auto"/>
              <w:right w:val="single" w:sz="4" w:space="0" w:color="auto"/>
            </w:tcBorders>
            <w:shd w:val="clear" w:color="auto" w:fill="auto"/>
            <w:noWrap/>
            <w:vAlign w:val="bottom"/>
            <w:hideMark/>
          </w:tcPr>
          <w:p w14:paraId="7A528BED" w14:textId="77777777" w:rsidR="00FE399D" w:rsidRPr="00D1707B" w:rsidRDefault="00FE399D" w:rsidP="00582303">
            <w:pPr>
              <w:pStyle w:val="CBDTableNormal"/>
              <w:spacing w:before="0" w:after="0"/>
              <w:jc w:val="right"/>
              <w:rPr>
                <w:sz w:val="18"/>
                <w:szCs w:val="18"/>
              </w:rPr>
            </w:pPr>
            <w:r>
              <w:rPr>
                <w:sz w:val="18"/>
              </w:rPr>
              <w:t xml:space="preserve">728 </w:t>
            </w:r>
          </w:p>
        </w:tc>
      </w:tr>
      <w:tr w:rsidR="00FE399D" w:rsidRPr="00D1707B" w14:paraId="62AE7FB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E4E8346" w14:textId="77777777" w:rsidR="00FE399D" w:rsidRPr="00D1707B" w:rsidRDefault="00FE399D" w:rsidP="00582303">
            <w:pPr>
              <w:pStyle w:val="CBDTableNormal"/>
              <w:spacing w:before="0" w:after="0"/>
              <w:rPr>
                <w:sz w:val="18"/>
                <w:szCs w:val="18"/>
              </w:rPr>
            </w:pPr>
            <w:r>
              <w:rPr>
                <w:sz w:val="18"/>
              </w:rPr>
              <w:t>Arabia Saudita</w:t>
            </w:r>
          </w:p>
        </w:tc>
        <w:tc>
          <w:tcPr>
            <w:tcW w:w="1628" w:type="dxa"/>
            <w:tcBorders>
              <w:top w:val="nil"/>
              <w:left w:val="nil"/>
              <w:bottom w:val="single" w:sz="4" w:space="0" w:color="auto"/>
              <w:right w:val="single" w:sz="4" w:space="0" w:color="auto"/>
            </w:tcBorders>
            <w:shd w:val="clear" w:color="auto" w:fill="auto"/>
            <w:vAlign w:val="bottom"/>
            <w:hideMark/>
          </w:tcPr>
          <w:p w14:paraId="050EEB33" w14:textId="77777777" w:rsidR="00FE399D" w:rsidRPr="00D1707B" w:rsidRDefault="00FE399D" w:rsidP="00582303">
            <w:pPr>
              <w:pStyle w:val="CBDTableNormal"/>
              <w:spacing w:before="0" w:after="0"/>
              <w:jc w:val="right"/>
              <w:rPr>
                <w:sz w:val="18"/>
                <w:szCs w:val="18"/>
              </w:rPr>
            </w:pPr>
            <w:r>
              <w:rPr>
                <w:sz w:val="18"/>
              </w:rPr>
              <w:t>1,184</w:t>
            </w:r>
          </w:p>
        </w:tc>
        <w:tc>
          <w:tcPr>
            <w:tcW w:w="2198" w:type="dxa"/>
            <w:tcBorders>
              <w:top w:val="nil"/>
              <w:left w:val="nil"/>
              <w:bottom w:val="single" w:sz="4" w:space="0" w:color="auto"/>
              <w:right w:val="single" w:sz="4" w:space="0" w:color="auto"/>
            </w:tcBorders>
            <w:shd w:val="clear" w:color="auto" w:fill="auto"/>
            <w:noWrap/>
            <w:vAlign w:val="bottom"/>
            <w:hideMark/>
          </w:tcPr>
          <w:p w14:paraId="2861C40B" w14:textId="77777777" w:rsidR="00FE399D" w:rsidRPr="00D1707B" w:rsidRDefault="00FE399D" w:rsidP="00582303">
            <w:pPr>
              <w:pStyle w:val="CBDTableNormal"/>
              <w:spacing w:before="0" w:after="0"/>
              <w:jc w:val="right"/>
              <w:rPr>
                <w:sz w:val="18"/>
                <w:szCs w:val="18"/>
              </w:rPr>
            </w:pPr>
            <w:r>
              <w:rPr>
                <w:sz w:val="18"/>
              </w:rPr>
              <w:t>1,480</w:t>
            </w:r>
          </w:p>
        </w:tc>
        <w:tc>
          <w:tcPr>
            <w:tcW w:w="1176" w:type="dxa"/>
            <w:tcBorders>
              <w:top w:val="nil"/>
              <w:left w:val="nil"/>
              <w:bottom w:val="single" w:sz="4" w:space="0" w:color="auto"/>
              <w:right w:val="single" w:sz="4" w:space="0" w:color="auto"/>
            </w:tcBorders>
            <w:shd w:val="clear" w:color="auto" w:fill="auto"/>
            <w:noWrap/>
            <w:vAlign w:val="bottom"/>
            <w:hideMark/>
          </w:tcPr>
          <w:p w14:paraId="49AA9C88" w14:textId="77777777" w:rsidR="00FE399D" w:rsidRPr="00D1707B" w:rsidRDefault="00FE399D" w:rsidP="00582303">
            <w:pPr>
              <w:pStyle w:val="CBDTableNormal"/>
              <w:spacing w:before="0" w:after="0"/>
              <w:jc w:val="right"/>
              <w:rPr>
                <w:sz w:val="18"/>
                <w:szCs w:val="18"/>
              </w:rPr>
            </w:pPr>
            <w:r>
              <w:rPr>
                <w:sz w:val="18"/>
              </w:rPr>
              <w:t>208 377</w:t>
            </w:r>
          </w:p>
        </w:tc>
        <w:tc>
          <w:tcPr>
            <w:tcW w:w="1461" w:type="dxa"/>
            <w:tcBorders>
              <w:top w:val="nil"/>
              <w:left w:val="nil"/>
              <w:bottom w:val="single" w:sz="4" w:space="0" w:color="auto"/>
              <w:right w:val="single" w:sz="4" w:space="0" w:color="auto"/>
            </w:tcBorders>
            <w:shd w:val="clear" w:color="auto" w:fill="auto"/>
            <w:noWrap/>
            <w:vAlign w:val="bottom"/>
            <w:hideMark/>
          </w:tcPr>
          <w:p w14:paraId="3143F2A3" w14:textId="77777777" w:rsidR="00FE399D" w:rsidRPr="00D1707B" w:rsidRDefault="00FE399D" w:rsidP="00582303">
            <w:pPr>
              <w:pStyle w:val="CBDTableNormal"/>
              <w:spacing w:before="0" w:after="0"/>
              <w:jc w:val="right"/>
              <w:rPr>
                <w:sz w:val="18"/>
                <w:szCs w:val="18"/>
              </w:rPr>
            </w:pPr>
            <w:r>
              <w:rPr>
                <w:sz w:val="18"/>
              </w:rPr>
              <w:t>222 635</w:t>
            </w:r>
          </w:p>
        </w:tc>
        <w:tc>
          <w:tcPr>
            <w:tcW w:w="1080" w:type="dxa"/>
            <w:tcBorders>
              <w:top w:val="nil"/>
              <w:left w:val="nil"/>
              <w:bottom w:val="single" w:sz="4" w:space="0" w:color="auto"/>
              <w:right w:val="single" w:sz="4" w:space="0" w:color="auto"/>
            </w:tcBorders>
            <w:shd w:val="clear" w:color="auto" w:fill="auto"/>
            <w:noWrap/>
            <w:vAlign w:val="bottom"/>
            <w:hideMark/>
          </w:tcPr>
          <w:p w14:paraId="16C019E7" w14:textId="77777777" w:rsidR="00FE399D" w:rsidRPr="00D1707B" w:rsidRDefault="00FE399D" w:rsidP="00582303">
            <w:pPr>
              <w:pStyle w:val="CBDTableNormal"/>
              <w:spacing w:before="0" w:after="0"/>
              <w:jc w:val="right"/>
              <w:rPr>
                <w:sz w:val="18"/>
                <w:szCs w:val="18"/>
              </w:rPr>
            </w:pPr>
            <w:r>
              <w:rPr>
                <w:sz w:val="18"/>
              </w:rPr>
              <w:t>431 013</w:t>
            </w:r>
          </w:p>
        </w:tc>
      </w:tr>
      <w:tr w:rsidR="00FE399D" w:rsidRPr="00D1707B" w14:paraId="2C50789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B6696A6" w14:textId="77777777" w:rsidR="00FE399D" w:rsidRPr="00D1707B" w:rsidRDefault="00FE399D" w:rsidP="00582303">
            <w:pPr>
              <w:pStyle w:val="CBDTableNormal"/>
              <w:spacing w:before="0" w:after="0"/>
              <w:rPr>
                <w:sz w:val="18"/>
                <w:szCs w:val="18"/>
              </w:rPr>
            </w:pPr>
            <w:r>
              <w:rPr>
                <w:sz w:val="18"/>
              </w:rPr>
              <w:t xml:space="preserve">Argelia </w:t>
            </w:r>
          </w:p>
        </w:tc>
        <w:tc>
          <w:tcPr>
            <w:tcW w:w="1628" w:type="dxa"/>
            <w:tcBorders>
              <w:top w:val="nil"/>
              <w:left w:val="nil"/>
              <w:bottom w:val="single" w:sz="4" w:space="0" w:color="auto"/>
              <w:right w:val="single" w:sz="4" w:space="0" w:color="auto"/>
            </w:tcBorders>
            <w:shd w:val="clear" w:color="auto" w:fill="auto"/>
            <w:vAlign w:val="bottom"/>
            <w:hideMark/>
          </w:tcPr>
          <w:p w14:paraId="09AE5239" w14:textId="77777777" w:rsidR="00FE399D" w:rsidRPr="00D1707B" w:rsidRDefault="00FE399D" w:rsidP="00582303">
            <w:pPr>
              <w:pStyle w:val="CBDTableNormal"/>
              <w:spacing w:before="0" w:after="0"/>
              <w:jc w:val="right"/>
              <w:rPr>
                <w:sz w:val="18"/>
                <w:szCs w:val="18"/>
              </w:rPr>
            </w:pPr>
            <w:r>
              <w:rPr>
                <w:sz w:val="18"/>
              </w:rPr>
              <w:t>0,109</w:t>
            </w:r>
          </w:p>
        </w:tc>
        <w:tc>
          <w:tcPr>
            <w:tcW w:w="2198" w:type="dxa"/>
            <w:tcBorders>
              <w:top w:val="nil"/>
              <w:left w:val="nil"/>
              <w:bottom w:val="single" w:sz="4" w:space="0" w:color="auto"/>
              <w:right w:val="single" w:sz="4" w:space="0" w:color="auto"/>
            </w:tcBorders>
            <w:shd w:val="clear" w:color="auto" w:fill="auto"/>
            <w:noWrap/>
            <w:vAlign w:val="bottom"/>
            <w:hideMark/>
          </w:tcPr>
          <w:p w14:paraId="7F95081B" w14:textId="77777777" w:rsidR="00FE399D" w:rsidRPr="00D1707B" w:rsidRDefault="00FE399D" w:rsidP="00582303">
            <w:pPr>
              <w:pStyle w:val="CBDTableNormal"/>
              <w:spacing w:before="0" w:after="0"/>
              <w:jc w:val="right"/>
              <w:rPr>
                <w:sz w:val="18"/>
                <w:szCs w:val="18"/>
              </w:rPr>
            </w:pPr>
            <w:r>
              <w:rPr>
                <w:sz w:val="18"/>
              </w:rPr>
              <w:t>0,136</w:t>
            </w:r>
          </w:p>
        </w:tc>
        <w:tc>
          <w:tcPr>
            <w:tcW w:w="1176" w:type="dxa"/>
            <w:tcBorders>
              <w:top w:val="nil"/>
              <w:left w:val="nil"/>
              <w:bottom w:val="single" w:sz="4" w:space="0" w:color="auto"/>
              <w:right w:val="single" w:sz="4" w:space="0" w:color="auto"/>
            </w:tcBorders>
            <w:shd w:val="clear" w:color="auto" w:fill="auto"/>
            <w:noWrap/>
            <w:vAlign w:val="bottom"/>
            <w:hideMark/>
          </w:tcPr>
          <w:p w14:paraId="1364E4E1" w14:textId="77777777" w:rsidR="00FE399D" w:rsidRPr="00D1707B" w:rsidRDefault="00FE399D" w:rsidP="00582303">
            <w:pPr>
              <w:pStyle w:val="CBDTableNormal"/>
              <w:spacing w:before="0" w:after="0"/>
              <w:jc w:val="right"/>
              <w:rPr>
                <w:sz w:val="18"/>
                <w:szCs w:val="18"/>
              </w:rPr>
            </w:pPr>
            <w:r>
              <w:rPr>
                <w:sz w:val="18"/>
              </w:rPr>
              <w:t>19 183</w:t>
            </w:r>
          </w:p>
        </w:tc>
        <w:tc>
          <w:tcPr>
            <w:tcW w:w="1461" w:type="dxa"/>
            <w:tcBorders>
              <w:top w:val="nil"/>
              <w:left w:val="nil"/>
              <w:bottom w:val="single" w:sz="4" w:space="0" w:color="auto"/>
              <w:right w:val="single" w:sz="4" w:space="0" w:color="auto"/>
            </w:tcBorders>
            <w:shd w:val="clear" w:color="auto" w:fill="auto"/>
            <w:noWrap/>
            <w:vAlign w:val="bottom"/>
            <w:hideMark/>
          </w:tcPr>
          <w:p w14:paraId="20AD42F6" w14:textId="77777777" w:rsidR="00FE399D" w:rsidRPr="00D1707B" w:rsidRDefault="00FE399D" w:rsidP="00582303">
            <w:pPr>
              <w:pStyle w:val="CBDTableNormal"/>
              <w:spacing w:before="0" w:after="0"/>
              <w:jc w:val="right"/>
              <w:rPr>
                <w:sz w:val="18"/>
                <w:szCs w:val="18"/>
              </w:rPr>
            </w:pPr>
            <w:r>
              <w:rPr>
                <w:sz w:val="18"/>
              </w:rPr>
              <w:t xml:space="preserve">20 496 </w:t>
            </w:r>
          </w:p>
        </w:tc>
        <w:tc>
          <w:tcPr>
            <w:tcW w:w="1080" w:type="dxa"/>
            <w:tcBorders>
              <w:top w:val="nil"/>
              <w:left w:val="nil"/>
              <w:bottom w:val="single" w:sz="4" w:space="0" w:color="auto"/>
              <w:right w:val="single" w:sz="4" w:space="0" w:color="auto"/>
            </w:tcBorders>
            <w:shd w:val="clear" w:color="auto" w:fill="auto"/>
            <w:noWrap/>
            <w:vAlign w:val="bottom"/>
            <w:hideMark/>
          </w:tcPr>
          <w:p w14:paraId="31EEAC30" w14:textId="77777777" w:rsidR="00FE399D" w:rsidRPr="00D1707B" w:rsidRDefault="00FE399D" w:rsidP="00582303">
            <w:pPr>
              <w:pStyle w:val="CBDTableNormal"/>
              <w:spacing w:before="0" w:after="0"/>
              <w:jc w:val="right"/>
              <w:rPr>
                <w:sz w:val="18"/>
                <w:szCs w:val="18"/>
              </w:rPr>
            </w:pPr>
            <w:r>
              <w:rPr>
                <w:sz w:val="18"/>
              </w:rPr>
              <w:t xml:space="preserve">39 679 </w:t>
            </w:r>
          </w:p>
        </w:tc>
      </w:tr>
      <w:tr w:rsidR="00FE399D" w:rsidRPr="00D1707B" w14:paraId="60C9CA4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62F19D1" w14:textId="77777777" w:rsidR="00FE399D" w:rsidRPr="00D1707B" w:rsidRDefault="00FE399D" w:rsidP="00582303">
            <w:pPr>
              <w:pStyle w:val="CBDTableNormal"/>
              <w:spacing w:before="0" w:after="0"/>
              <w:rPr>
                <w:sz w:val="18"/>
                <w:szCs w:val="18"/>
              </w:rPr>
            </w:pPr>
            <w:r>
              <w:rPr>
                <w:sz w:val="18"/>
              </w:rPr>
              <w:t>Argentina</w:t>
            </w:r>
          </w:p>
        </w:tc>
        <w:tc>
          <w:tcPr>
            <w:tcW w:w="1628" w:type="dxa"/>
            <w:tcBorders>
              <w:top w:val="nil"/>
              <w:left w:val="nil"/>
              <w:bottom w:val="single" w:sz="4" w:space="0" w:color="auto"/>
              <w:right w:val="single" w:sz="4" w:space="0" w:color="auto"/>
            </w:tcBorders>
            <w:shd w:val="clear" w:color="auto" w:fill="auto"/>
            <w:vAlign w:val="bottom"/>
            <w:hideMark/>
          </w:tcPr>
          <w:p w14:paraId="77FE1C0C" w14:textId="77777777" w:rsidR="00FE399D" w:rsidRPr="00D1707B" w:rsidRDefault="00FE399D" w:rsidP="00582303">
            <w:pPr>
              <w:pStyle w:val="CBDTableNormal"/>
              <w:spacing w:before="0" w:after="0"/>
              <w:jc w:val="right"/>
              <w:rPr>
                <w:sz w:val="18"/>
                <w:szCs w:val="18"/>
              </w:rPr>
            </w:pPr>
            <w:r>
              <w:rPr>
                <w:sz w:val="18"/>
              </w:rPr>
              <w:t>0,719</w:t>
            </w:r>
          </w:p>
        </w:tc>
        <w:tc>
          <w:tcPr>
            <w:tcW w:w="2198" w:type="dxa"/>
            <w:tcBorders>
              <w:top w:val="nil"/>
              <w:left w:val="nil"/>
              <w:bottom w:val="single" w:sz="4" w:space="0" w:color="auto"/>
              <w:right w:val="single" w:sz="4" w:space="0" w:color="auto"/>
            </w:tcBorders>
            <w:shd w:val="clear" w:color="auto" w:fill="auto"/>
            <w:noWrap/>
            <w:vAlign w:val="bottom"/>
            <w:hideMark/>
          </w:tcPr>
          <w:p w14:paraId="6A86F03E" w14:textId="77777777" w:rsidR="00FE399D" w:rsidRPr="00D1707B" w:rsidRDefault="00FE399D" w:rsidP="00582303">
            <w:pPr>
              <w:pStyle w:val="CBDTableNormal"/>
              <w:spacing w:before="0" w:after="0"/>
              <w:jc w:val="right"/>
              <w:rPr>
                <w:sz w:val="18"/>
                <w:szCs w:val="18"/>
              </w:rPr>
            </w:pPr>
            <w:r>
              <w:rPr>
                <w:sz w:val="18"/>
              </w:rPr>
              <w:t>0,899</w:t>
            </w:r>
          </w:p>
        </w:tc>
        <w:tc>
          <w:tcPr>
            <w:tcW w:w="1176" w:type="dxa"/>
            <w:tcBorders>
              <w:top w:val="nil"/>
              <w:left w:val="nil"/>
              <w:bottom w:val="single" w:sz="4" w:space="0" w:color="auto"/>
              <w:right w:val="single" w:sz="4" w:space="0" w:color="auto"/>
            </w:tcBorders>
            <w:shd w:val="clear" w:color="auto" w:fill="auto"/>
            <w:noWrap/>
            <w:vAlign w:val="bottom"/>
            <w:hideMark/>
          </w:tcPr>
          <w:p w14:paraId="55BB6C57" w14:textId="77777777" w:rsidR="00FE399D" w:rsidRPr="00D1707B" w:rsidRDefault="00FE399D" w:rsidP="00582303">
            <w:pPr>
              <w:pStyle w:val="CBDTableNormal"/>
              <w:spacing w:before="0" w:after="0"/>
              <w:jc w:val="right"/>
              <w:rPr>
                <w:sz w:val="18"/>
                <w:szCs w:val="18"/>
              </w:rPr>
            </w:pPr>
            <w:r>
              <w:rPr>
                <w:sz w:val="18"/>
              </w:rPr>
              <w:t>126 540</w:t>
            </w:r>
          </w:p>
        </w:tc>
        <w:tc>
          <w:tcPr>
            <w:tcW w:w="1461" w:type="dxa"/>
            <w:tcBorders>
              <w:top w:val="nil"/>
              <w:left w:val="nil"/>
              <w:bottom w:val="single" w:sz="4" w:space="0" w:color="auto"/>
              <w:right w:val="single" w:sz="4" w:space="0" w:color="auto"/>
            </w:tcBorders>
            <w:shd w:val="clear" w:color="auto" w:fill="auto"/>
            <w:noWrap/>
            <w:vAlign w:val="bottom"/>
            <w:hideMark/>
          </w:tcPr>
          <w:p w14:paraId="12381C13" w14:textId="77777777" w:rsidR="00FE399D" w:rsidRPr="00D1707B" w:rsidRDefault="00FE399D" w:rsidP="00582303">
            <w:pPr>
              <w:pStyle w:val="CBDTableNormal"/>
              <w:spacing w:before="0" w:after="0"/>
              <w:jc w:val="right"/>
              <w:rPr>
                <w:sz w:val="18"/>
                <w:szCs w:val="18"/>
              </w:rPr>
            </w:pPr>
            <w:r>
              <w:rPr>
                <w:sz w:val="18"/>
              </w:rPr>
              <w:t xml:space="preserve">135 198 </w:t>
            </w:r>
          </w:p>
        </w:tc>
        <w:tc>
          <w:tcPr>
            <w:tcW w:w="1080" w:type="dxa"/>
            <w:tcBorders>
              <w:top w:val="nil"/>
              <w:left w:val="nil"/>
              <w:bottom w:val="single" w:sz="4" w:space="0" w:color="auto"/>
              <w:right w:val="single" w:sz="4" w:space="0" w:color="auto"/>
            </w:tcBorders>
            <w:shd w:val="clear" w:color="auto" w:fill="auto"/>
            <w:noWrap/>
            <w:vAlign w:val="bottom"/>
            <w:hideMark/>
          </w:tcPr>
          <w:p w14:paraId="0D99CFE9" w14:textId="77777777" w:rsidR="00FE399D" w:rsidRPr="00D1707B" w:rsidRDefault="00FE399D" w:rsidP="00582303">
            <w:pPr>
              <w:pStyle w:val="CBDTableNormal"/>
              <w:spacing w:before="0" w:after="0"/>
              <w:jc w:val="right"/>
              <w:rPr>
                <w:sz w:val="18"/>
                <w:szCs w:val="18"/>
              </w:rPr>
            </w:pPr>
            <w:r>
              <w:rPr>
                <w:sz w:val="18"/>
              </w:rPr>
              <w:t xml:space="preserve">261 738 </w:t>
            </w:r>
          </w:p>
        </w:tc>
      </w:tr>
      <w:tr w:rsidR="00FE399D" w:rsidRPr="00D1707B" w14:paraId="69F46E1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862CFB4" w14:textId="77777777" w:rsidR="00FE399D" w:rsidRPr="00D1707B" w:rsidRDefault="00FE399D" w:rsidP="00582303">
            <w:pPr>
              <w:pStyle w:val="CBDTableNormal"/>
              <w:spacing w:before="0" w:after="0"/>
              <w:rPr>
                <w:sz w:val="18"/>
                <w:szCs w:val="18"/>
              </w:rPr>
            </w:pPr>
            <w:r>
              <w:rPr>
                <w:sz w:val="18"/>
              </w:rPr>
              <w:t>Armenia</w:t>
            </w:r>
          </w:p>
        </w:tc>
        <w:tc>
          <w:tcPr>
            <w:tcW w:w="1628" w:type="dxa"/>
            <w:tcBorders>
              <w:top w:val="nil"/>
              <w:left w:val="nil"/>
              <w:bottom w:val="single" w:sz="4" w:space="0" w:color="auto"/>
              <w:right w:val="single" w:sz="4" w:space="0" w:color="auto"/>
            </w:tcBorders>
            <w:shd w:val="clear" w:color="auto" w:fill="auto"/>
            <w:vAlign w:val="bottom"/>
            <w:hideMark/>
          </w:tcPr>
          <w:p w14:paraId="41C6FD2A" w14:textId="77777777" w:rsidR="00FE399D" w:rsidRPr="00D1707B" w:rsidRDefault="00FE399D" w:rsidP="00582303">
            <w:pPr>
              <w:pStyle w:val="CBDTableNormal"/>
              <w:spacing w:before="0" w:after="0"/>
              <w:jc w:val="right"/>
              <w:rPr>
                <w:sz w:val="18"/>
                <w:szCs w:val="18"/>
              </w:rPr>
            </w:pPr>
            <w:r>
              <w:rPr>
                <w:sz w:val="18"/>
              </w:rPr>
              <w:t>0,007</w:t>
            </w:r>
          </w:p>
        </w:tc>
        <w:tc>
          <w:tcPr>
            <w:tcW w:w="2198" w:type="dxa"/>
            <w:tcBorders>
              <w:top w:val="nil"/>
              <w:left w:val="nil"/>
              <w:bottom w:val="single" w:sz="4" w:space="0" w:color="auto"/>
              <w:right w:val="single" w:sz="4" w:space="0" w:color="auto"/>
            </w:tcBorders>
            <w:shd w:val="clear" w:color="auto" w:fill="auto"/>
            <w:noWrap/>
            <w:vAlign w:val="bottom"/>
            <w:hideMark/>
          </w:tcPr>
          <w:p w14:paraId="09EB06C2" w14:textId="77777777" w:rsidR="00FE399D" w:rsidRPr="00D1707B" w:rsidRDefault="00FE399D" w:rsidP="00582303">
            <w:pPr>
              <w:pStyle w:val="CBDTableNormal"/>
              <w:spacing w:before="0" w:after="0"/>
              <w:jc w:val="right"/>
              <w:rPr>
                <w:sz w:val="18"/>
                <w:szCs w:val="18"/>
              </w:rPr>
            </w:pPr>
            <w:r>
              <w:rPr>
                <w:sz w:val="18"/>
              </w:rPr>
              <w:t>0,009</w:t>
            </w:r>
          </w:p>
        </w:tc>
        <w:tc>
          <w:tcPr>
            <w:tcW w:w="1176" w:type="dxa"/>
            <w:tcBorders>
              <w:top w:val="nil"/>
              <w:left w:val="nil"/>
              <w:bottom w:val="single" w:sz="4" w:space="0" w:color="auto"/>
              <w:right w:val="single" w:sz="4" w:space="0" w:color="auto"/>
            </w:tcBorders>
            <w:shd w:val="clear" w:color="auto" w:fill="auto"/>
            <w:noWrap/>
            <w:vAlign w:val="bottom"/>
            <w:hideMark/>
          </w:tcPr>
          <w:p w14:paraId="186EF36E" w14:textId="77777777" w:rsidR="00FE399D" w:rsidRPr="00D1707B" w:rsidRDefault="00FE399D" w:rsidP="00582303">
            <w:pPr>
              <w:pStyle w:val="CBDTableNormal"/>
              <w:spacing w:before="0" w:after="0"/>
              <w:jc w:val="right"/>
              <w:rPr>
                <w:sz w:val="18"/>
                <w:szCs w:val="18"/>
              </w:rPr>
            </w:pPr>
            <w:r>
              <w:rPr>
                <w:sz w:val="18"/>
              </w:rPr>
              <w:t>1 232</w:t>
            </w:r>
          </w:p>
        </w:tc>
        <w:tc>
          <w:tcPr>
            <w:tcW w:w="1461" w:type="dxa"/>
            <w:tcBorders>
              <w:top w:val="nil"/>
              <w:left w:val="nil"/>
              <w:bottom w:val="single" w:sz="4" w:space="0" w:color="auto"/>
              <w:right w:val="single" w:sz="4" w:space="0" w:color="auto"/>
            </w:tcBorders>
            <w:shd w:val="clear" w:color="auto" w:fill="auto"/>
            <w:noWrap/>
            <w:vAlign w:val="bottom"/>
            <w:hideMark/>
          </w:tcPr>
          <w:p w14:paraId="737D8A37" w14:textId="77777777" w:rsidR="00FE399D" w:rsidRPr="00D1707B" w:rsidRDefault="00FE399D" w:rsidP="00582303">
            <w:pPr>
              <w:pStyle w:val="CBDTableNormal"/>
              <w:spacing w:before="0" w:after="0"/>
              <w:jc w:val="right"/>
              <w:rPr>
                <w:sz w:val="18"/>
                <w:szCs w:val="18"/>
              </w:rPr>
            </w:pPr>
            <w:r>
              <w:rPr>
                <w:sz w:val="18"/>
              </w:rPr>
              <w:t>1 316</w:t>
            </w:r>
          </w:p>
        </w:tc>
        <w:tc>
          <w:tcPr>
            <w:tcW w:w="1080" w:type="dxa"/>
            <w:tcBorders>
              <w:top w:val="nil"/>
              <w:left w:val="nil"/>
              <w:bottom w:val="single" w:sz="4" w:space="0" w:color="auto"/>
              <w:right w:val="single" w:sz="4" w:space="0" w:color="auto"/>
            </w:tcBorders>
            <w:shd w:val="clear" w:color="auto" w:fill="auto"/>
            <w:noWrap/>
            <w:vAlign w:val="bottom"/>
            <w:hideMark/>
          </w:tcPr>
          <w:p w14:paraId="322C5638" w14:textId="77777777" w:rsidR="00FE399D" w:rsidRPr="00D1707B" w:rsidRDefault="00FE399D" w:rsidP="00582303">
            <w:pPr>
              <w:pStyle w:val="CBDTableNormal"/>
              <w:spacing w:before="0" w:after="0"/>
              <w:jc w:val="right"/>
              <w:rPr>
                <w:sz w:val="18"/>
                <w:szCs w:val="18"/>
              </w:rPr>
            </w:pPr>
            <w:r>
              <w:rPr>
                <w:sz w:val="18"/>
              </w:rPr>
              <w:t>2 548</w:t>
            </w:r>
          </w:p>
        </w:tc>
      </w:tr>
      <w:tr w:rsidR="00FE399D" w:rsidRPr="00D1707B" w14:paraId="7C4DE0B7"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130810F" w14:textId="77777777" w:rsidR="00FE399D" w:rsidRPr="00D1707B" w:rsidRDefault="00FE399D" w:rsidP="00582303">
            <w:pPr>
              <w:pStyle w:val="CBDTableNormal"/>
              <w:spacing w:before="0" w:after="0"/>
              <w:rPr>
                <w:sz w:val="18"/>
                <w:szCs w:val="18"/>
              </w:rPr>
            </w:pPr>
            <w:r>
              <w:rPr>
                <w:sz w:val="18"/>
              </w:rPr>
              <w:t>Australia</w:t>
            </w:r>
          </w:p>
        </w:tc>
        <w:tc>
          <w:tcPr>
            <w:tcW w:w="1628" w:type="dxa"/>
            <w:tcBorders>
              <w:top w:val="nil"/>
              <w:left w:val="nil"/>
              <w:bottom w:val="single" w:sz="4" w:space="0" w:color="auto"/>
              <w:right w:val="single" w:sz="4" w:space="0" w:color="auto"/>
            </w:tcBorders>
            <w:shd w:val="clear" w:color="auto" w:fill="auto"/>
            <w:vAlign w:val="bottom"/>
            <w:hideMark/>
          </w:tcPr>
          <w:p w14:paraId="1CD3FD55" w14:textId="77777777" w:rsidR="00FE399D" w:rsidRPr="00D1707B" w:rsidRDefault="00FE399D" w:rsidP="00582303">
            <w:pPr>
              <w:pStyle w:val="CBDTableNormal"/>
              <w:spacing w:before="0" w:after="0"/>
              <w:jc w:val="right"/>
              <w:rPr>
                <w:sz w:val="18"/>
                <w:szCs w:val="18"/>
              </w:rPr>
            </w:pPr>
            <w:r>
              <w:rPr>
                <w:sz w:val="18"/>
              </w:rPr>
              <w:t>2,111</w:t>
            </w:r>
          </w:p>
        </w:tc>
        <w:tc>
          <w:tcPr>
            <w:tcW w:w="2198" w:type="dxa"/>
            <w:tcBorders>
              <w:top w:val="nil"/>
              <w:left w:val="nil"/>
              <w:bottom w:val="single" w:sz="4" w:space="0" w:color="auto"/>
              <w:right w:val="single" w:sz="4" w:space="0" w:color="auto"/>
            </w:tcBorders>
            <w:shd w:val="clear" w:color="auto" w:fill="auto"/>
            <w:noWrap/>
            <w:vAlign w:val="bottom"/>
            <w:hideMark/>
          </w:tcPr>
          <w:p w14:paraId="0BAA7A67" w14:textId="77777777" w:rsidR="00FE399D" w:rsidRPr="00D1707B" w:rsidRDefault="00FE399D" w:rsidP="00582303">
            <w:pPr>
              <w:pStyle w:val="CBDTableNormal"/>
              <w:spacing w:before="0" w:after="0"/>
              <w:jc w:val="right"/>
              <w:rPr>
                <w:sz w:val="18"/>
                <w:szCs w:val="18"/>
              </w:rPr>
            </w:pPr>
            <w:r>
              <w:rPr>
                <w:sz w:val="18"/>
              </w:rPr>
              <w:t>2,639</w:t>
            </w:r>
          </w:p>
        </w:tc>
        <w:tc>
          <w:tcPr>
            <w:tcW w:w="1176" w:type="dxa"/>
            <w:tcBorders>
              <w:top w:val="nil"/>
              <w:left w:val="nil"/>
              <w:bottom w:val="single" w:sz="4" w:space="0" w:color="auto"/>
              <w:right w:val="single" w:sz="4" w:space="0" w:color="auto"/>
            </w:tcBorders>
            <w:shd w:val="clear" w:color="auto" w:fill="auto"/>
            <w:noWrap/>
            <w:vAlign w:val="bottom"/>
            <w:hideMark/>
          </w:tcPr>
          <w:p w14:paraId="262670B3" w14:textId="77777777" w:rsidR="00FE399D" w:rsidRPr="00D1707B" w:rsidRDefault="00FE399D" w:rsidP="00582303">
            <w:pPr>
              <w:pStyle w:val="CBDTableNormal"/>
              <w:spacing w:before="0" w:after="0"/>
              <w:jc w:val="right"/>
              <w:rPr>
                <w:sz w:val="18"/>
                <w:szCs w:val="18"/>
              </w:rPr>
            </w:pPr>
            <w:r>
              <w:rPr>
                <w:sz w:val="18"/>
              </w:rPr>
              <w:t>371 524</w:t>
            </w:r>
          </w:p>
        </w:tc>
        <w:tc>
          <w:tcPr>
            <w:tcW w:w="1461" w:type="dxa"/>
            <w:tcBorders>
              <w:top w:val="nil"/>
              <w:left w:val="nil"/>
              <w:bottom w:val="single" w:sz="4" w:space="0" w:color="auto"/>
              <w:right w:val="single" w:sz="4" w:space="0" w:color="auto"/>
            </w:tcBorders>
            <w:shd w:val="clear" w:color="auto" w:fill="auto"/>
            <w:noWrap/>
            <w:vAlign w:val="bottom"/>
            <w:hideMark/>
          </w:tcPr>
          <w:p w14:paraId="2BBE4E1B" w14:textId="77777777" w:rsidR="00FE399D" w:rsidRPr="00D1707B" w:rsidRDefault="00FE399D" w:rsidP="00582303">
            <w:pPr>
              <w:pStyle w:val="CBDTableNormal"/>
              <w:spacing w:before="0" w:after="0"/>
              <w:jc w:val="right"/>
              <w:rPr>
                <w:sz w:val="18"/>
                <w:szCs w:val="18"/>
              </w:rPr>
            </w:pPr>
            <w:r>
              <w:rPr>
                <w:sz w:val="18"/>
              </w:rPr>
              <w:t>396 945</w:t>
            </w:r>
          </w:p>
        </w:tc>
        <w:tc>
          <w:tcPr>
            <w:tcW w:w="1080" w:type="dxa"/>
            <w:tcBorders>
              <w:top w:val="nil"/>
              <w:left w:val="nil"/>
              <w:bottom w:val="single" w:sz="4" w:space="0" w:color="auto"/>
              <w:right w:val="single" w:sz="4" w:space="0" w:color="auto"/>
            </w:tcBorders>
            <w:shd w:val="clear" w:color="auto" w:fill="auto"/>
            <w:noWrap/>
            <w:vAlign w:val="bottom"/>
            <w:hideMark/>
          </w:tcPr>
          <w:p w14:paraId="3EC73BCC" w14:textId="77777777" w:rsidR="00FE399D" w:rsidRPr="00D1707B" w:rsidRDefault="00FE399D" w:rsidP="00582303">
            <w:pPr>
              <w:pStyle w:val="CBDTableNormal"/>
              <w:spacing w:before="0" w:after="0"/>
              <w:jc w:val="right"/>
              <w:rPr>
                <w:sz w:val="18"/>
                <w:szCs w:val="18"/>
              </w:rPr>
            </w:pPr>
            <w:r>
              <w:rPr>
                <w:sz w:val="18"/>
              </w:rPr>
              <w:t>768 469</w:t>
            </w:r>
          </w:p>
        </w:tc>
      </w:tr>
      <w:tr w:rsidR="00FE399D" w:rsidRPr="00D1707B" w14:paraId="41CAB02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2B2C3FE" w14:textId="77777777" w:rsidR="00FE399D" w:rsidRPr="00D1707B" w:rsidRDefault="00FE399D" w:rsidP="00582303">
            <w:pPr>
              <w:pStyle w:val="CBDTableNormal"/>
              <w:spacing w:before="0" w:after="0"/>
              <w:rPr>
                <w:sz w:val="18"/>
                <w:szCs w:val="18"/>
              </w:rPr>
            </w:pPr>
            <w:r>
              <w:rPr>
                <w:sz w:val="18"/>
              </w:rPr>
              <w:t>Austria</w:t>
            </w:r>
          </w:p>
        </w:tc>
        <w:tc>
          <w:tcPr>
            <w:tcW w:w="1628" w:type="dxa"/>
            <w:tcBorders>
              <w:top w:val="nil"/>
              <w:left w:val="nil"/>
              <w:bottom w:val="single" w:sz="4" w:space="0" w:color="auto"/>
              <w:right w:val="single" w:sz="4" w:space="0" w:color="auto"/>
            </w:tcBorders>
            <w:shd w:val="clear" w:color="auto" w:fill="auto"/>
            <w:vAlign w:val="bottom"/>
            <w:hideMark/>
          </w:tcPr>
          <w:p w14:paraId="2F15B653" w14:textId="77777777" w:rsidR="00FE399D" w:rsidRPr="00D1707B" w:rsidRDefault="00FE399D" w:rsidP="00582303">
            <w:pPr>
              <w:pStyle w:val="CBDTableNormal"/>
              <w:spacing w:before="0" w:after="0"/>
              <w:jc w:val="right"/>
              <w:rPr>
                <w:sz w:val="18"/>
                <w:szCs w:val="18"/>
              </w:rPr>
            </w:pPr>
            <w:r>
              <w:rPr>
                <w:sz w:val="18"/>
              </w:rPr>
              <w:t>0,679</w:t>
            </w:r>
          </w:p>
        </w:tc>
        <w:tc>
          <w:tcPr>
            <w:tcW w:w="2198" w:type="dxa"/>
            <w:tcBorders>
              <w:top w:val="nil"/>
              <w:left w:val="nil"/>
              <w:bottom w:val="single" w:sz="4" w:space="0" w:color="auto"/>
              <w:right w:val="single" w:sz="4" w:space="0" w:color="auto"/>
            </w:tcBorders>
            <w:shd w:val="clear" w:color="auto" w:fill="auto"/>
            <w:noWrap/>
            <w:vAlign w:val="bottom"/>
            <w:hideMark/>
          </w:tcPr>
          <w:p w14:paraId="6F0059D4" w14:textId="77777777" w:rsidR="00FE399D" w:rsidRPr="00D1707B" w:rsidRDefault="00FE399D" w:rsidP="00582303">
            <w:pPr>
              <w:pStyle w:val="CBDTableNormal"/>
              <w:spacing w:before="0" w:after="0"/>
              <w:jc w:val="right"/>
              <w:rPr>
                <w:sz w:val="18"/>
                <w:szCs w:val="18"/>
              </w:rPr>
            </w:pPr>
            <w:r>
              <w:rPr>
                <w:sz w:val="18"/>
              </w:rPr>
              <w:t>0,849</w:t>
            </w:r>
          </w:p>
        </w:tc>
        <w:tc>
          <w:tcPr>
            <w:tcW w:w="1176" w:type="dxa"/>
            <w:tcBorders>
              <w:top w:val="nil"/>
              <w:left w:val="nil"/>
              <w:bottom w:val="single" w:sz="4" w:space="0" w:color="auto"/>
              <w:right w:val="single" w:sz="4" w:space="0" w:color="auto"/>
            </w:tcBorders>
            <w:shd w:val="clear" w:color="auto" w:fill="auto"/>
            <w:noWrap/>
            <w:vAlign w:val="bottom"/>
            <w:hideMark/>
          </w:tcPr>
          <w:p w14:paraId="7B830562" w14:textId="77777777" w:rsidR="00FE399D" w:rsidRPr="00D1707B" w:rsidRDefault="00FE399D" w:rsidP="00582303">
            <w:pPr>
              <w:pStyle w:val="CBDTableNormal"/>
              <w:spacing w:before="0" w:after="0"/>
              <w:jc w:val="right"/>
              <w:rPr>
                <w:sz w:val="18"/>
                <w:szCs w:val="18"/>
              </w:rPr>
            </w:pPr>
            <w:r>
              <w:rPr>
                <w:sz w:val="18"/>
              </w:rPr>
              <w:t>119 500</w:t>
            </w:r>
          </w:p>
        </w:tc>
        <w:tc>
          <w:tcPr>
            <w:tcW w:w="1461" w:type="dxa"/>
            <w:tcBorders>
              <w:top w:val="nil"/>
              <w:left w:val="nil"/>
              <w:bottom w:val="single" w:sz="4" w:space="0" w:color="auto"/>
              <w:right w:val="single" w:sz="4" w:space="0" w:color="auto"/>
            </w:tcBorders>
            <w:shd w:val="clear" w:color="auto" w:fill="auto"/>
            <w:noWrap/>
            <w:vAlign w:val="bottom"/>
            <w:hideMark/>
          </w:tcPr>
          <w:p w14:paraId="6C728C0A" w14:textId="77777777" w:rsidR="00FE399D" w:rsidRPr="00D1707B" w:rsidRDefault="00FE399D" w:rsidP="00582303">
            <w:pPr>
              <w:pStyle w:val="CBDTableNormal"/>
              <w:spacing w:before="0" w:after="0"/>
              <w:jc w:val="right"/>
              <w:rPr>
                <w:sz w:val="18"/>
                <w:szCs w:val="18"/>
              </w:rPr>
            </w:pPr>
            <w:r>
              <w:rPr>
                <w:sz w:val="18"/>
              </w:rPr>
              <w:t>127 677</w:t>
            </w:r>
          </w:p>
        </w:tc>
        <w:tc>
          <w:tcPr>
            <w:tcW w:w="1080" w:type="dxa"/>
            <w:tcBorders>
              <w:top w:val="nil"/>
              <w:left w:val="nil"/>
              <w:bottom w:val="single" w:sz="4" w:space="0" w:color="auto"/>
              <w:right w:val="single" w:sz="4" w:space="0" w:color="auto"/>
            </w:tcBorders>
            <w:shd w:val="clear" w:color="auto" w:fill="auto"/>
            <w:noWrap/>
            <w:vAlign w:val="bottom"/>
            <w:hideMark/>
          </w:tcPr>
          <w:p w14:paraId="01735D30" w14:textId="77777777" w:rsidR="00FE399D" w:rsidRPr="00D1707B" w:rsidRDefault="00FE399D" w:rsidP="00582303">
            <w:pPr>
              <w:pStyle w:val="CBDTableNormal"/>
              <w:spacing w:before="0" w:after="0"/>
              <w:jc w:val="right"/>
              <w:rPr>
                <w:sz w:val="18"/>
                <w:szCs w:val="18"/>
              </w:rPr>
            </w:pPr>
            <w:r>
              <w:rPr>
                <w:sz w:val="18"/>
              </w:rPr>
              <w:t>247 177</w:t>
            </w:r>
          </w:p>
        </w:tc>
      </w:tr>
      <w:tr w:rsidR="00FE399D" w:rsidRPr="00D1707B" w14:paraId="4B2FE7F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7D4F7CE" w14:textId="77777777" w:rsidR="00FE399D" w:rsidRPr="00D1707B" w:rsidRDefault="00FE399D" w:rsidP="00582303">
            <w:pPr>
              <w:pStyle w:val="CBDTableNormal"/>
              <w:spacing w:before="0" w:after="0"/>
              <w:rPr>
                <w:sz w:val="18"/>
                <w:szCs w:val="18"/>
              </w:rPr>
            </w:pPr>
            <w:r>
              <w:rPr>
                <w:sz w:val="18"/>
              </w:rPr>
              <w:t>Azerbaiyán</w:t>
            </w:r>
          </w:p>
        </w:tc>
        <w:tc>
          <w:tcPr>
            <w:tcW w:w="1628" w:type="dxa"/>
            <w:tcBorders>
              <w:top w:val="nil"/>
              <w:left w:val="nil"/>
              <w:bottom w:val="single" w:sz="4" w:space="0" w:color="auto"/>
              <w:right w:val="single" w:sz="4" w:space="0" w:color="auto"/>
            </w:tcBorders>
            <w:shd w:val="clear" w:color="auto" w:fill="auto"/>
            <w:vAlign w:val="bottom"/>
            <w:hideMark/>
          </w:tcPr>
          <w:p w14:paraId="60334FC8" w14:textId="77777777" w:rsidR="00FE399D" w:rsidRPr="00D1707B" w:rsidRDefault="00FE399D" w:rsidP="00582303">
            <w:pPr>
              <w:pStyle w:val="CBDTableNormal"/>
              <w:spacing w:before="0" w:after="0"/>
              <w:jc w:val="right"/>
              <w:rPr>
                <w:sz w:val="18"/>
                <w:szCs w:val="18"/>
              </w:rPr>
            </w:pPr>
            <w:r>
              <w:rPr>
                <w:sz w:val="18"/>
              </w:rPr>
              <w:t>0,030</w:t>
            </w:r>
          </w:p>
        </w:tc>
        <w:tc>
          <w:tcPr>
            <w:tcW w:w="2198" w:type="dxa"/>
            <w:tcBorders>
              <w:top w:val="nil"/>
              <w:left w:val="nil"/>
              <w:bottom w:val="single" w:sz="4" w:space="0" w:color="auto"/>
              <w:right w:val="single" w:sz="4" w:space="0" w:color="auto"/>
            </w:tcBorders>
            <w:shd w:val="clear" w:color="auto" w:fill="auto"/>
            <w:noWrap/>
            <w:vAlign w:val="bottom"/>
            <w:hideMark/>
          </w:tcPr>
          <w:p w14:paraId="2B88A378" w14:textId="77777777" w:rsidR="00FE399D" w:rsidRPr="00D1707B" w:rsidRDefault="00FE399D" w:rsidP="00582303">
            <w:pPr>
              <w:pStyle w:val="CBDTableNormal"/>
              <w:spacing w:before="0" w:after="0"/>
              <w:jc w:val="right"/>
              <w:rPr>
                <w:sz w:val="18"/>
                <w:szCs w:val="18"/>
              </w:rPr>
            </w:pPr>
            <w:r>
              <w:rPr>
                <w:sz w:val="18"/>
              </w:rPr>
              <w:t>0,038</w:t>
            </w:r>
          </w:p>
        </w:tc>
        <w:tc>
          <w:tcPr>
            <w:tcW w:w="1176" w:type="dxa"/>
            <w:tcBorders>
              <w:top w:val="nil"/>
              <w:left w:val="nil"/>
              <w:bottom w:val="single" w:sz="4" w:space="0" w:color="auto"/>
              <w:right w:val="single" w:sz="4" w:space="0" w:color="auto"/>
            </w:tcBorders>
            <w:shd w:val="clear" w:color="auto" w:fill="auto"/>
            <w:noWrap/>
            <w:vAlign w:val="bottom"/>
            <w:hideMark/>
          </w:tcPr>
          <w:p w14:paraId="33F3F714" w14:textId="77777777" w:rsidR="00FE399D" w:rsidRPr="00D1707B" w:rsidRDefault="00FE399D" w:rsidP="00582303">
            <w:pPr>
              <w:pStyle w:val="CBDTableNormal"/>
              <w:spacing w:before="0" w:after="0"/>
              <w:jc w:val="right"/>
              <w:rPr>
                <w:sz w:val="18"/>
                <w:szCs w:val="18"/>
              </w:rPr>
            </w:pPr>
            <w:r>
              <w:rPr>
                <w:sz w:val="18"/>
              </w:rPr>
              <w:t>5 280</w:t>
            </w:r>
          </w:p>
        </w:tc>
        <w:tc>
          <w:tcPr>
            <w:tcW w:w="1461" w:type="dxa"/>
            <w:tcBorders>
              <w:top w:val="nil"/>
              <w:left w:val="nil"/>
              <w:bottom w:val="single" w:sz="4" w:space="0" w:color="auto"/>
              <w:right w:val="single" w:sz="4" w:space="0" w:color="auto"/>
            </w:tcBorders>
            <w:shd w:val="clear" w:color="auto" w:fill="auto"/>
            <w:noWrap/>
            <w:vAlign w:val="bottom"/>
            <w:hideMark/>
          </w:tcPr>
          <w:p w14:paraId="315A94DB" w14:textId="77777777" w:rsidR="00FE399D" w:rsidRPr="00D1707B" w:rsidRDefault="00FE399D" w:rsidP="00582303">
            <w:pPr>
              <w:pStyle w:val="CBDTableNormal"/>
              <w:spacing w:before="0" w:after="0"/>
              <w:jc w:val="right"/>
              <w:rPr>
                <w:sz w:val="18"/>
                <w:szCs w:val="18"/>
              </w:rPr>
            </w:pPr>
            <w:r>
              <w:rPr>
                <w:sz w:val="18"/>
              </w:rPr>
              <w:t>5 641</w:t>
            </w:r>
          </w:p>
        </w:tc>
        <w:tc>
          <w:tcPr>
            <w:tcW w:w="1080" w:type="dxa"/>
            <w:tcBorders>
              <w:top w:val="nil"/>
              <w:left w:val="nil"/>
              <w:bottom w:val="single" w:sz="4" w:space="0" w:color="auto"/>
              <w:right w:val="single" w:sz="4" w:space="0" w:color="auto"/>
            </w:tcBorders>
            <w:shd w:val="clear" w:color="auto" w:fill="auto"/>
            <w:noWrap/>
            <w:vAlign w:val="bottom"/>
            <w:hideMark/>
          </w:tcPr>
          <w:p w14:paraId="7B0D602F" w14:textId="77777777" w:rsidR="00FE399D" w:rsidRPr="00D1707B" w:rsidRDefault="00FE399D" w:rsidP="00582303">
            <w:pPr>
              <w:pStyle w:val="CBDTableNormal"/>
              <w:spacing w:before="0" w:after="0"/>
              <w:jc w:val="right"/>
              <w:rPr>
                <w:sz w:val="18"/>
                <w:szCs w:val="18"/>
              </w:rPr>
            </w:pPr>
            <w:r>
              <w:rPr>
                <w:sz w:val="18"/>
              </w:rPr>
              <w:t>10 921</w:t>
            </w:r>
          </w:p>
        </w:tc>
      </w:tr>
      <w:tr w:rsidR="00FE399D" w:rsidRPr="00D1707B" w14:paraId="655C6AC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7E35A3C" w14:textId="77777777" w:rsidR="00FE399D" w:rsidRPr="00D1707B" w:rsidRDefault="00FE399D" w:rsidP="00582303">
            <w:pPr>
              <w:pStyle w:val="CBDTableNormal"/>
              <w:spacing w:before="0" w:after="0"/>
              <w:rPr>
                <w:sz w:val="18"/>
                <w:szCs w:val="18"/>
              </w:rPr>
            </w:pPr>
            <w:r>
              <w:rPr>
                <w:sz w:val="18"/>
              </w:rPr>
              <w:t>Bahamas</w:t>
            </w:r>
          </w:p>
        </w:tc>
        <w:tc>
          <w:tcPr>
            <w:tcW w:w="1628" w:type="dxa"/>
            <w:tcBorders>
              <w:top w:val="nil"/>
              <w:left w:val="nil"/>
              <w:bottom w:val="single" w:sz="4" w:space="0" w:color="auto"/>
              <w:right w:val="single" w:sz="4" w:space="0" w:color="auto"/>
            </w:tcBorders>
            <w:shd w:val="clear" w:color="auto" w:fill="auto"/>
            <w:vAlign w:val="bottom"/>
            <w:hideMark/>
          </w:tcPr>
          <w:p w14:paraId="38095F4D" w14:textId="77777777" w:rsidR="00FE399D" w:rsidRPr="00D1707B" w:rsidRDefault="00FE399D" w:rsidP="00582303">
            <w:pPr>
              <w:pStyle w:val="CBDTableNormal"/>
              <w:spacing w:before="0" w:after="0"/>
              <w:jc w:val="right"/>
              <w:rPr>
                <w:sz w:val="18"/>
                <w:szCs w:val="18"/>
              </w:rPr>
            </w:pPr>
            <w:r>
              <w:rPr>
                <w:sz w:val="18"/>
              </w:rPr>
              <w:t>0,019</w:t>
            </w:r>
          </w:p>
        </w:tc>
        <w:tc>
          <w:tcPr>
            <w:tcW w:w="2198" w:type="dxa"/>
            <w:tcBorders>
              <w:top w:val="nil"/>
              <w:left w:val="nil"/>
              <w:bottom w:val="single" w:sz="4" w:space="0" w:color="auto"/>
              <w:right w:val="single" w:sz="4" w:space="0" w:color="auto"/>
            </w:tcBorders>
            <w:shd w:val="clear" w:color="auto" w:fill="auto"/>
            <w:noWrap/>
            <w:vAlign w:val="bottom"/>
            <w:hideMark/>
          </w:tcPr>
          <w:p w14:paraId="5A99ECF4" w14:textId="77777777" w:rsidR="00FE399D" w:rsidRPr="00D1707B" w:rsidRDefault="00FE399D" w:rsidP="00582303">
            <w:pPr>
              <w:pStyle w:val="CBDTableNormal"/>
              <w:spacing w:before="0" w:after="0"/>
              <w:jc w:val="right"/>
              <w:rPr>
                <w:sz w:val="18"/>
                <w:szCs w:val="18"/>
              </w:rPr>
            </w:pPr>
            <w:r>
              <w:rPr>
                <w:sz w:val="18"/>
              </w:rPr>
              <w:t>0,024</w:t>
            </w:r>
          </w:p>
        </w:tc>
        <w:tc>
          <w:tcPr>
            <w:tcW w:w="1176" w:type="dxa"/>
            <w:tcBorders>
              <w:top w:val="nil"/>
              <w:left w:val="nil"/>
              <w:bottom w:val="single" w:sz="4" w:space="0" w:color="auto"/>
              <w:right w:val="single" w:sz="4" w:space="0" w:color="auto"/>
            </w:tcBorders>
            <w:shd w:val="clear" w:color="auto" w:fill="auto"/>
            <w:noWrap/>
            <w:vAlign w:val="bottom"/>
            <w:hideMark/>
          </w:tcPr>
          <w:p w14:paraId="5E2440A1" w14:textId="77777777" w:rsidR="00FE399D" w:rsidRPr="00D1707B" w:rsidRDefault="00FE399D" w:rsidP="00582303">
            <w:pPr>
              <w:pStyle w:val="CBDTableNormal"/>
              <w:spacing w:before="0" w:after="0"/>
              <w:jc w:val="right"/>
              <w:rPr>
                <w:sz w:val="18"/>
                <w:szCs w:val="18"/>
              </w:rPr>
            </w:pPr>
            <w:r>
              <w:rPr>
                <w:sz w:val="18"/>
              </w:rPr>
              <w:t>3 344</w:t>
            </w:r>
          </w:p>
        </w:tc>
        <w:tc>
          <w:tcPr>
            <w:tcW w:w="1461" w:type="dxa"/>
            <w:tcBorders>
              <w:top w:val="nil"/>
              <w:left w:val="nil"/>
              <w:bottom w:val="single" w:sz="4" w:space="0" w:color="auto"/>
              <w:right w:val="single" w:sz="4" w:space="0" w:color="auto"/>
            </w:tcBorders>
            <w:shd w:val="clear" w:color="auto" w:fill="auto"/>
            <w:noWrap/>
            <w:vAlign w:val="bottom"/>
            <w:hideMark/>
          </w:tcPr>
          <w:p w14:paraId="2FD04139" w14:textId="77777777" w:rsidR="00FE399D" w:rsidRPr="00D1707B" w:rsidRDefault="00FE399D" w:rsidP="00582303">
            <w:pPr>
              <w:pStyle w:val="CBDTableNormal"/>
              <w:spacing w:before="0" w:after="0"/>
              <w:jc w:val="right"/>
              <w:rPr>
                <w:sz w:val="18"/>
                <w:szCs w:val="18"/>
              </w:rPr>
            </w:pPr>
            <w:r>
              <w:rPr>
                <w:sz w:val="18"/>
              </w:rPr>
              <w:t>3 573</w:t>
            </w:r>
          </w:p>
        </w:tc>
        <w:tc>
          <w:tcPr>
            <w:tcW w:w="1080" w:type="dxa"/>
            <w:tcBorders>
              <w:top w:val="nil"/>
              <w:left w:val="nil"/>
              <w:bottom w:val="single" w:sz="4" w:space="0" w:color="auto"/>
              <w:right w:val="single" w:sz="4" w:space="0" w:color="auto"/>
            </w:tcBorders>
            <w:shd w:val="clear" w:color="auto" w:fill="auto"/>
            <w:noWrap/>
            <w:vAlign w:val="bottom"/>
            <w:hideMark/>
          </w:tcPr>
          <w:p w14:paraId="6362EE4A" w14:textId="77777777" w:rsidR="00FE399D" w:rsidRPr="00D1707B" w:rsidRDefault="00FE399D" w:rsidP="00582303">
            <w:pPr>
              <w:pStyle w:val="CBDTableNormal"/>
              <w:spacing w:before="0" w:after="0"/>
              <w:jc w:val="right"/>
              <w:rPr>
                <w:sz w:val="18"/>
                <w:szCs w:val="18"/>
              </w:rPr>
            </w:pPr>
            <w:r>
              <w:rPr>
                <w:sz w:val="18"/>
              </w:rPr>
              <w:t>6 917</w:t>
            </w:r>
          </w:p>
        </w:tc>
      </w:tr>
      <w:tr w:rsidR="00FE399D" w:rsidRPr="00D1707B" w14:paraId="01062B6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578D1E6" w14:textId="77777777" w:rsidR="00FE399D" w:rsidRPr="00D1707B" w:rsidRDefault="00FE399D" w:rsidP="00582303">
            <w:pPr>
              <w:pStyle w:val="CBDTableNormal"/>
              <w:spacing w:before="0" w:after="0"/>
              <w:rPr>
                <w:sz w:val="18"/>
                <w:szCs w:val="18"/>
              </w:rPr>
            </w:pPr>
            <w:r>
              <w:rPr>
                <w:sz w:val="18"/>
              </w:rPr>
              <w:t>Bahrein</w:t>
            </w:r>
          </w:p>
        </w:tc>
        <w:tc>
          <w:tcPr>
            <w:tcW w:w="1628" w:type="dxa"/>
            <w:tcBorders>
              <w:top w:val="nil"/>
              <w:left w:val="nil"/>
              <w:bottom w:val="single" w:sz="4" w:space="0" w:color="auto"/>
              <w:right w:val="single" w:sz="4" w:space="0" w:color="auto"/>
            </w:tcBorders>
            <w:shd w:val="clear" w:color="auto" w:fill="auto"/>
            <w:vAlign w:val="bottom"/>
            <w:hideMark/>
          </w:tcPr>
          <w:p w14:paraId="27191F3A" w14:textId="77777777" w:rsidR="00FE399D" w:rsidRPr="00D1707B" w:rsidRDefault="00FE399D" w:rsidP="00582303">
            <w:pPr>
              <w:pStyle w:val="CBDTableNormal"/>
              <w:spacing w:before="0" w:after="0"/>
              <w:jc w:val="right"/>
              <w:rPr>
                <w:sz w:val="18"/>
                <w:szCs w:val="18"/>
              </w:rPr>
            </w:pPr>
            <w:r>
              <w:rPr>
                <w:sz w:val="18"/>
              </w:rPr>
              <w:t>0,054</w:t>
            </w:r>
          </w:p>
        </w:tc>
        <w:tc>
          <w:tcPr>
            <w:tcW w:w="2198" w:type="dxa"/>
            <w:tcBorders>
              <w:top w:val="nil"/>
              <w:left w:val="nil"/>
              <w:bottom w:val="single" w:sz="4" w:space="0" w:color="auto"/>
              <w:right w:val="single" w:sz="4" w:space="0" w:color="auto"/>
            </w:tcBorders>
            <w:shd w:val="clear" w:color="auto" w:fill="auto"/>
            <w:noWrap/>
            <w:vAlign w:val="bottom"/>
            <w:hideMark/>
          </w:tcPr>
          <w:p w14:paraId="09CFB02B" w14:textId="77777777" w:rsidR="00FE399D" w:rsidRPr="00D1707B" w:rsidRDefault="00FE399D" w:rsidP="00582303">
            <w:pPr>
              <w:pStyle w:val="CBDTableNormal"/>
              <w:spacing w:before="0" w:after="0"/>
              <w:jc w:val="right"/>
              <w:rPr>
                <w:sz w:val="18"/>
                <w:szCs w:val="18"/>
              </w:rPr>
            </w:pPr>
            <w:r>
              <w:rPr>
                <w:sz w:val="18"/>
              </w:rPr>
              <w:t>0,068</w:t>
            </w:r>
          </w:p>
        </w:tc>
        <w:tc>
          <w:tcPr>
            <w:tcW w:w="1176" w:type="dxa"/>
            <w:tcBorders>
              <w:top w:val="nil"/>
              <w:left w:val="nil"/>
              <w:bottom w:val="single" w:sz="4" w:space="0" w:color="auto"/>
              <w:right w:val="single" w:sz="4" w:space="0" w:color="auto"/>
            </w:tcBorders>
            <w:shd w:val="clear" w:color="auto" w:fill="auto"/>
            <w:noWrap/>
            <w:vAlign w:val="bottom"/>
            <w:hideMark/>
          </w:tcPr>
          <w:p w14:paraId="7FA608A8" w14:textId="77777777" w:rsidR="00FE399D" w:rsidRPr="00D1707B" w:rsidRDefault="00FE399D" w:rsidP="00582303">
            <w:pPr>
              <w:pStyle w:val="CBDTableNormal"/>
              <w:spacing w:before="0" w:after="0"/>
              <w:jc w:val="right"/>
              <w:rPr>
                <w:sz w:val="18"/>
                <w:szCs w:val="18"/>
              </w:rPr>
            </w:pPr>
            <w:r>
              <w:rPr>
                <w:sz w:val="18"/>
              </w:rPr>
              <w:t>9 504</w:t>
            </w:r>
          </w:p>
        </w:tc>
        <w:tc>
          <w:tcPr>
            <w:tcW w:w="1461" w:type="dxa"/>
            <w:tcBorders>
              <w:top w:val="nil"/>
              <w:left w:val="nil"/>
              <w:bottom w:val="single" w:sz="4" w:space="0" w:color="auto"/>
              <w:right w:val="single" w:sz="4" w:space="0" w:color="auto"/>
            </w:tcBorders>
            <w:shd w:val="clear" w:color="auto" w:fill="auto"/>
            <w:noWrap/>
            <w:vAlign w:val="bottom"/>
            <w:hideMark/>
          </w:tcPr>
          <w:p w14:paraId="1FA70739" w14:textId="77777777" w:rsidR="00FE399D" w:rsidRPr="00D1707B" w:rsidRDefault="00FE399D" w:rsidP="00582303">
            <w:pPr>
              <w:pStyle w:val="CBDTableNormal"/>
              <w:spacing w:before="0" w:after="0"/>
              <w:jc w:val="right"/>
              <w:rPr>
                <w:sz w:val="18"/>
                <w:szCs w:val="18"/>
              </w:rPr>
            </w:pPr>
            <w:r>
              <w:rPr>
                <w:sz w:val="18"/>
              </w:rPr>
              <w:t>10 154</w:t>
            </w:r>
          </w:p>
        </w:tc>
        <w:tc>
          <w:tcPr>
            <w:tcW w:w="1080" w:type="dxa"/>
            <w:tcBorders>
              <w:top w:val="nil"/>
              <w:left w:val="nil"/>
              <w:bottom w:val="single" w:sz="4" w:space="0" w:color="auto"/>
              <w:right w:val="single" w:sz="4" w:space="0" w:color="auto"/>
            </w:tcBorders>
            <w:shd w:val="clear" w:color="auto" w:fill="auto"/>
            <w:noWrap/>
            <w:vAlign w:val="bottom"/>
            <w:hideMark/>
          </w:tcPr>
          <w:p w14:paraId="65CCE8A7" w14:textId="77777777" w:rsidR="00FE399D" w:rsidRPr="00D1707B" w:rsidRDefault="00FE399D" w:rsidP="00582303">
            <w:pPr>
              <w:pStyle w:val="CBDTableNormal"/>
              <w:spacing w:before="0" w:after="0"/>
              <w:jc w:val="right"/>
              <w:rPr>
                <w:sz w:val="18"/>
                <w:szCs w:val="18"/>
              </w:rPr>
            </w:pPr>
            <w:r>
              <w:rPr>
                <w:sz w:val="18"/>
              </w:rPr>
              <w:t>19 658</w:t>
            </w:r>
          </w:p>
        </w:tc>
      </w:tr>
      <w:tr w:rsidR="00FE399D" w:rsidRPr="00D1707B" w14:paraId="4E7B6D4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4BCEFDA" w14:textId="77777777" w:rsidR="00FE399D" w:rsidRPr="00D1707B" w:rsidRDefault="00FE399D" w:rsidP="00582303">
            <w:pPr>
              <w:pStyle w:val="CBDTableNormal"/>
              <w:spacing w:before="0" w:after="0"/>
              <w:rPr>
                <w:sz w:val="18"/>
                <w:szCs w:val="18"/>
              </w:rPr>
            </w:pPr>
            <w:r>
              <w:rPr>
                <w:sz w:val="18"/>
              </w:rPr>
              <w:t>Bangladesh</w:t>
            </w:r>
          </w:p>
        </w:tc>
        <w:tc>
          <w:tcPr>
            <w:tcW w:w="1628" w:type="dxa"/>
            <w:tcBorders>
              <w:top w:val="nil"/>
              <w:left w:val="nil"/>
              <w:bottom w:val="single" w:sz="4" w:space="0" w:color="auto"/>
              <w:right w:val="single" w:sz="4" w:space="0" w:color="auto"/>
            </w:tcBorders>
            <w:shd w:val="clear" w:color="auto" w:fill="auto"/>
            <w:vAlign w:val="bottom"/>
            <w:hideMark/>
          </w:tcPr>
          <w:p w14:paraId="3F4A76AE" w14:textId="77777777" w:rsidR="00FE399D" w:rsidRPr="00D1707B" w:rsidRDefault="00FE399D" w:rsidP="00582303">
            <w:pPr>
              <w:pStyle w:val="CBDTableNormal"/>
              <w:spacing w:before="0" w:after="0"/>
              <w:jc w:val="right"/>
              <w:rPr>
                <w:sz w:val="18"/>
                <w:szCs w:val="18"/>
              </w:rPr>
            </w:pPr>
            <w:r>
              <w:rPr>
                <w:sz w:val="18"/>
              </w:rPr>
              <w:t>0,010</w:t>
            </w:r>
          </w:p>
        </w:tc>
        <w:tc>
          <w:tcPr>
            <w:tcW w:w="2198" w:type="dxa"/>
            <w:tcBorders>
              <w:top w:val="nil"/>
              <w:left w:val="nil"/>
              <w:bottom w:val="single" w:sz="4" w:space="0" w:color="auto"/>
              <w:right w:val="single" w:sz="4" w:space="0" w:color="auto"/>
            </w:tcBorders>
            <w:shd w:val="clear" w:color="auto" w:fill="auto"/>
            <w:noWrap/>
            <w:vAlign w:val="bottom"/>
            <w:hideMark/>
          </w:tcPr>
          <w:p w14:paraId="26B7D983" w14:textId="77777777" w:rsidR="00FE399D" w:rsidRPr="00D1707B" w:rsidRDefault="00FE399D" w:rsidP="00582303">
            <w:pPr>
              <w:pStyle w:val="CBDTableNormal"/>
              <w:spacing w:before="0" w:after="0"/>
              <w:jc w:val="right"/>
              <w:rPr>
                <w:sz w:val="18"/>
                <w:szCs w:val="18"/>
              </w:rPr>
            </w:pPr>
            <w:r>
              <w:rPr>
                <w:sz w:val="18"/>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76204A6E" w14:textId="77777777" w:rsidR="00FE399D" w:rsidRPr="00D1707B" w:rsidRDefault="00FE399D" w:rsidP="00582303">
            <w:pPr>
              <w:pStyle w:val="CBDTableNormal"/>
              <w:spacing w:before="0" w:after="0"/>
              <w:jc w:val="right"/>
              <w:rPr>
                <w:sz w:val="18"/>
                <w:szCs w:val="18"/>
              </w:rPr>
            </w:pPr>
            <w:r>
              <w:rPr>
                <w:sz w:val="18"/>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4FD467FA" w14:textId="77777777" w:rsidR="00FE399D" w:rsidRPr="00D1707B" w:rsidRDefault="00FE399D" w:rsidP="00582303">
            <w:pPr>
              <w:pStyle w:val="CBDTableNormal"/>
              <w:spacing w:before="0" w:after="0"/>
              <w:jc w:val="right"/>
              <w:rPr>
                <w:sz w:val="18"/>
                <w:szCs w:val="18"/>
              </w:rPr>
            </w:pPr>
            <w:r>
              <w:rPr>
                <w:sz w:val="18"/>
              </w:rPr>
              <w:t>1 504</w:t>
            </w:r>
          </w:p>
        </w:tc>
        <w:tc>
          <w:tcPr>
            <w:tcW w:w="1080" w:type="dxa"/>
            <w:tcBorders>
              <w:top w:val="nil"/>
              <w:left w:val="nil"/>
              <w:bottom w:val="single" w:sz="4" w:space="0" w:color="auto"/>
              <w:right w:val="single" w:sz="4" w:space="0" w:color="auto"/>
            </w:tcBorders>
            <w:shd w:val="clear" w:color="auto" w:fill="auto"/>
            <w:noWrap/>
            <w:vAlign w:val="bottom"/>
            <w:hideMark/>
          </w:tcPr>
          <w:p w14:paraId="22A5D224" w14:textId="77777777" w:rsidR="00FE399D" w:rsidRPr="00D1707B" w:rsidRDefault="00FE399D" w:rsidP="00582303">
            <w:pPr>
              <w:pStyle w:val="CBDTableNormal"/>
              <w:spacing w:before="0" w:after="0"/>
              <w:jc w:val="right"/>
              <w:rPr>
                <w:sz w:val="18"/>
                <w:szCs w:val="18"/>
              </w:rPr>
            </w:pPr>
            <w:r>
              <w:rPr>
                <w:sz w:val="18"/>
              </w:rPr>
              <w:t>2 912</w:t>
            </w:r>
          </w:p>
        </w:tc>
      </w:tr>
      <w:tr w:rsidR="00FE399D" w:rsidRPr="00D1707B" w14:paraId="41D0470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01BC0C3" w14:textId="77777777" w:rsidR="00FE399D" w:rsidRPr="00D1707B" w:rsidRDefault="00FE399D" w:rsidP="00582303">
            <w:pPr>
              <w:pStyle w:val="CBDTableNormal"/>
              <w:spacing w:before="0" w:after="0"/>
              <w:rPr>
                <w:sz w:val="18"/>
                <w:szCs w:val="18"/>
              </w:rPr>
            </w:pPr>
            <w:r>
              <w:rPr>
                <w:sz w:val="18"/>
              </w:rPr>
              <w:t>Barbados</w:t>
            </w:r>
          </w:p>
        </w:tc>
        <w:tc>
          <w:tcPr>
            <w:tcW w:w="1628" w:type="dxa"/>
            <w:tcBorders>
              <w:top w:val="nil"/>
              <w:left w:val="nil"/>
              <w:bottom w:val="single" w:sz="4" w:space="0" w:color="auto"/>
              <w:right w:val="single" w:sz="4" w:space="0" w:color="auto"/>
            </w:tcBorders>
            <w:shd w:val="clear" w:color="auto" w:fill="auto"/>
            <w:vAlign w:val="bottom"/>
            <w:hideMark/>
          </w:tcPr>
          <w:p w14:paraId="73BEEABA" w14:textId="77777777" w:rsidR="00FE399D" w:rsidRPr="00D1707B" w:rsidRDefault="00FE399D" w:rsidP="00582303">
            <w:pPr>
              <w:pStyle w:val="CBDTableNormal"/>
              <w:spacing w:before="0" w:after="0"/>
              <w:jc w:val="right"/>
              <w:rPr>
                <w:sz w:val="18"/>
                <w:szCs w:val="18"/>
              </w:rPr>
            </w:pPr>
            <w:r>
              <w:rPr>
                <w:sz w:val="18"/>
              </w:rPr>
              <w:t>0,008</w:t>
            </w:r>
          </w:p>
        </w:tc>
        <w:tc>
          <w:tcPr>
            <w:tcW w:w="2198" w:type="dxa"/>
            <w:tcBorders>
              <w:top w:val="nil"/>
              <w:left w:val="nil"/>
              <w:bottom w:val="single" w:sz="4" w:space="0" w:color="auto"/>
              <w:right w:val="single" w:sz="4" w:space="0" w:color="auto"/>
            </w:tcBorders>
            <w:shd w:val="clear" w:color="auto" w:fill="auto"/>
            <w:noWrap/>
            <w:vAlign w:val="bottom"/>
            <w:hideMark/>
          </w:tcPr>
          <w:p w14:paraId="7E3FE55E" w14:textId="77777777" w:rsidR="00FE399D" w:rsidRPr="00D1707B" w:rsidRDefault="00FE399D" w:rsidP="00582303">
            <w:pPr>
              <w:pStyle w:val="CBDTableNormal"/>
              <w:spacing w:before="0" w:after="0"/>
              <w:jc w:val="right"/>
              <w:rPr>
                <w:sz w:val="18"/>
                <w:szCs w:val="18"/>
              </w:rPr>
            </w:pPr>
            <w:r>
              <w:rPr>
                <w:sz w:val="18"/>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744F3477" w14:textId="77777777" w:rsidR="00FE399D" w:rsidRPr="00D1707B" w:rsidRDefault="00FE399D" w:rsidP="00582303">
            <w:pPr>
              <w:pStyle w:val="CBDTableNormal"/>
              <w:spacing w:before="0" w:after="0"/>
              <w:jc w:val="right"/>
              <w:rPr>
                <w:sz w:val="18"/>
                <w:szCs w:val="18"/>
              </w:rPr>
            </w:pPr>
            <w:r>
              <w:rPr>
                <w:sz w:val="18"/>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1D9CBA09" w14:textId="77777777" w:rsidR="00FE399D" w:rsidRPr="00D1707B" w:rsidRDefault="00FE399D" w:rsidP="00582303">
            <w:pPr>
              <w:pStyle w:val="CBDTableNormal"/>
              <w:spacing w:before="0" w:after="0"/>
              <w:jc w:val="right"/>
              <w:rPr>
                <w:sz w:val="18"/>
                <w:szCs w:val="18"/>
              </w:rPr>
            </w:pPr>
            <w:r>
              <w:rPr>
                <w:sz w:val="18"/>
              </w:rPr>
              <w:t>1 504</w:t>
            </w:r>
          </w:p>
        </w:tc>
        <w:tc>
          <w:tcPr>
            <w:tcW w:w="1080" w:type="dxa"/>
            <w:tcBorders>
              <w:top w:val="nil"/>
              <w:left w:val="nil"/>
              <w:bottom w:val="single" w:sz="4" w:space="0" w:color="auto"/>
              <w:right w:val="single" w:sz="4" w:space="0" w:color="auto"/>
            </w:tcBorders>
            <w:shd w:val="clear" w:color="auto" w:fill="auto"/>
            <w:noWrap/>
            <w:vAlign w:val="bottom"/>
            <w:hideMark/>
          </w:tcPr>
          <w:p w14:paraId="2099A80A" w14:textId="77777777" w:rsidR="00FE399D" w:rsidRPr="00D1707B" w:rsidRDefault="00FE399D" w:rsidP="00582303">
            <w:pPr>
              <w:pStyle w:val="CBDTableNormal"/>
              <w:spacing w:before="0" w:after="0"/>
              <w:jc w:val="right"/>
              <w:rPr>
                <w:sz w:val="18"/>
                <w:szCs w:val="18"/>
              </w:rPr>
            </w:pPr>
            <w:r>
              <w:rPr>
                <w:sz w:val="18"/>
              </w:rPr>
              <w:t>2 912</w:t>
            </w:r>
          </w:p>
        </w:tc>
      </w:tr>
      <w:tr w:rsidR="00FE399D" w:rsidRPr="00D1707B" w14:paraId="2AFF117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E417E47" w14:textId="77777777" w:rsidR="00FE399D" w:rsidRPr="00D1707B" w:rsidRDefault="00FE399D" w:rsidP="00582303">
            <w:pPr>
              <w:pStyle w:val="CBDTableNormal"/>
              <w:spacing w:before="0" w:after="0"/>
              <w:rPr>
                <w:sz w:val="18"/>
                <w:szCs w:val="18"/>
              </w:rPr>
            </w:pPr>
            <w:r>
              <w:rPr>
                <w:sz w:val="18"/>
              </w:rPr>
              <w:t>Belarús</w:t>
            </w:r>
          </w:p>
        </w:tc>
        <w:tc>
          <w:tcPr>
            <w:tcW w:w="1628" w:type="dxa"/>
            <w:tcBorders>
              <w:top w:val="nil"/>
              <w:left w:val="nil"/>
              <w:bottom w:val="single" w:sz="4" w:space="0" w:color="auto"/>
              <w:right w:val="single" w:sz="4" w:space="0" w:color="auto"/>
            </w:tcBorders>
            <w:shd w:val="clear" w:color="auto" w:fill="auto"/>
            <w:vAlign w:val="bottom"/>
            <w:hideMark/>
          </w:tcPr>
          <w:p w14:paraId="61966679" w14:textId="77777777" w:rsidR="00FE399D" w:rsidRPr="00D1707B" w:rsidRDefault="00FE399D" w:rsidP="00582303">
            <w:pPr>
              <w:pStyle w:val="CBDTableNormal"/>
              <w:spacing w:before="0" w:after="0"/>
              <w:jc w:val="right"/>
              <w:rPr>
                <w:sz w:val="18"/>
                <w:szCs w:val="18"/>
              </w:rPr>
            </w:pPr>
            <w:r>
              <w:rPr>
                <w:sz w:val="18"/>
              </w:rPr>
              <w:t>0,041</w:t>
            </w:r>
          </w:p>
        </w:tc>
        <w:tc>
          <w:tcPr>
            <w:tcW w:w="2198" w:type="dxa"/>
            <w:tcBorders>
              <w:top w:val="nil"/>
              <w:left w:val="nil"/>
              <w:bottom w:val="single" w:sz="4" w:space="0" w:color="auto"/>
              <w:right w:val="single" w:sz="4" w:space="0" w:color="auto"/>
            </w:tcBorders>
            <w:shd w:val="clear" w:color="auto" w:fill="auto"/>
            <w:noWrap/>
            <w:vAlign w:val="bottom"/>
            <w:hideMark/>
          </w:tcPr>
          <w:p w14:paraId="61E61363" w14:textId="77777777" w:rsidR="00FE399D" w:rsidRPr="00D1707B" w:rsidRDefault="00FE399D" w:rsidP="00582303">
            <w:pPr>
              <w:pStyle w:val="CBDTableNormal"/>
              <w:spacing w:before="0" w:after="0"/>
              <w:jc w:val="right"/>
              <w:rPr>
                <w:sz w:val="18"/>
                <w:szCs w:val="18"/>
              </w:rPr>
            </w:pPr>
            <w:r>
              <w:rPr>
                <w:sz w:val="18"/>
              </w:rPr>
              <w:t>0,051</w:t>
            </w:r>
          </w:p>
        </w:tc>
        <w:tc>
          <w:tcPr>
            <w:tcW w:w="1176" w:type="dxa"/>
            <w:tcBorders>
              <w:top w:val="nil"/>
              <w:left w:val="nil"/>
              <w:bottom w:val="single" w:sz="4" w:space="0" w:color="auto"/>
              <w:right w:val="single" w:sz="4" w:space="0" w:color="auto"/>
            </w:tcBorders>
            <w:shd w:val="clear" w:color="auto" w:fill="auto"/>
            <w:noWrap/>
            <w:vAlign w:val="bottom"/>
            <w:hideMark/>
          </w:tcPr>
          <w:p w14:paraId="5282983A" w14:textId="77777777" w:rsidR="00FE399D" w:rsidRPr="00D1707B" w:rsidRDefault="00FE399D" w:rsidP="00582303">
            <w:pPr>
              <w:pStyle w:val="CBDTableNormal"/>
              <w:spacing w:before="0" w:after="0"/>
              <w:jc w:val="right"/>
              <w:rPr>
                <w:sz w:val="18"/>
                <w:szCs w:val="18"/>
              </w:rPr>
            </w:pPr>
            <w:r>
              <w:rPr>
                <w:sz w:val="18"/>
              </w:rPr>
              <w:t>7 216</w:t>
            </w:r>
          </w:p>
        </w:tc>
        <w:tc>
          <w:tcPr>
            <w:tcW w:w="1461" w:type="dxa"/>
            <w:tcBorders>
              <w:top w:val="nil"/>
              <w:left w:val="nil"/>
              <w:bottom w:val="single" w:sz="4" w:space="0" w:color="auto"/>
              <w:right w:val="single" w:sz="4" w:space="0" w:color="auto"/>
            </w:tcBorders>
            <w:shd w:val="clear" w:color="auto" w:fill="auto"/>
            <w:noWrap/>
            <w:vAlign w:val="bottom"/>
            <w:hideMark/>
          </w:tcPr>
          <w:p w14:paraId="7716CC0C" w14:textId="77777777" w:rsidR="00FE399D" w:rsidRPr="00D1707B" w:rsidRDefault="00FE399D" w:rsidP="00582303">
            <w:pPr>
              <w:pStyle w:val="CBDTableNormal"/>
              <w:spacing w:before="0" w:after="0"/>
              <w:jc w:val="right"/>
              <w:rPr>
                <w:sz w:val="18"/>
                <w:szCs w:val="18"/>
              </w:rPr>
            </w:pPr>
            <w:r>
              <w:rPr>
                <w:sz w:val="18"/>
              </w:rPr>
              <w:t>7 709</w:t>
            </w:r>
          </w:p>
        </w:tc>
        <w:tc>
          <w:tcPr>
            <w:tcW w:w="1080" w:type="dxa"/>
            <w:tcBorders>
              <w:top w:val="nil"/>
              <w:left w:val="nil"/>
              <w:bottom w:val="single" w:sz="4" w:space="0" w:color="auto"/>
              <w:right w:val="single" w:sz="4" w:space="0" w:color="auto"/>
            </w:tcBorders>
            <w:shd w:val="clear" w:color="auto" w:fill="auto"/>
            <w:noWrap/>
            <w:vAlign w:val="bottom"/>
            <w:hideMark/>
          </w:tcPr>
          <w:p w14:paraId="409EE68A" w14:textId="77777777" w:rsidR="00FE399D" w:rsidRPr="00D1707B" w:rsidRDefault="00FE399D" w:rsidP="00582303">
            <w:pPr>
              <w:pStyle w:val="CBDTableNormal"/>
              <w:spacing w:before="0" w:after="0"/>
              <w:jc w:val="right"/>
              <w:rPr>
                <w:sz w:val="18"/>
                <w:szCs w:val="18"/>
              </w:rPr>
            </w:pPr>
            <w:r>
              <w:rPr>
                <w:sz w:val="18"/>
              </w:rPr>
              <w:t>14 925</w:t>
            </w:r>
          </w:p>
        </w:tc>
      </w:tr>
      <w:tr w:rsidR="00FE399D" w:rsidRPr="00D1707B" w14:paraId="4CBEB45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64E4AE4" w14:textId="77777777" w:rsidR="00FE399D" w:rsidRPr="00D1707B" w:rsidRDefault="00FE399D" w:rsidP="00582303">
            <w:pPr>
              <w:pStyle w:val="CBDTableNormal"/>
              <w:spacing w:before="0" w:after="0"/>
              <w:rPr>
                <w:sz w:val="18"/>
                <w:szCs w:val="18"/>
              </w:rPr>
            </w:pPr>
            <w:r>
              <w:rPr>
                <w:sz w:val="18"/>
              </w:rPr>
              <w:t>Bélgica</w:t>
            </w:r>
          </w:p>
        </w:tc>
        <w:tc>
          <w:tcPr>
            <w:tcW w:w="1628" w:type="dxa"/>
            <w:tcBorders>
              <w:top w:val="nil"/>
              <w:left w:val="nil"/>
              <w:bottom w:val="single" w:sz="4" w:space="0" w:color="auto"/>
              <w:right w:val="single" w:sz="4" w:space="0" w:color="auto"/>
            </w:tcBorders>
            <w:shd w:val="clear" w:color="auto" w:fill="auto"/>
            <w:vAlign w:val="bottom"/>
            <w:hideMark/>
          </w:tcPr>
          <w:p w14:paraId="549BD0F0" w14:textId="77777777" w:rsidR="00FE399D" w:rsidRPr="00D1707B" w:rsidRDefault="00FE399D" w:rsidP="00582303">
            <w:pPr>
              <w:pStyle w:val="CBDTableNormal"/>
              <w:spacing w:before="0" w:after="0"/>
              <w:jc w:val="right"/>
              <w:rPr>
                <w:sz w:val="18"/>
                <w:szCs w:val="18"/>
              </w:rPr>
            </w:pPr>
            <w:r>
              <w:rPr>
                <w:sz w:val="18"/>
              </w:rPr>
              <w:t>0,828</w:t>
            </w:r>
          </w:p>
        </w:tc>
        <w:tc>
          <w:tcPr>
            <w:tcW w:w="2198" w:type="dxa"/>
            <w:tcBorders>
              <w:top w:val="nil"/>
              <w:left w:val="nil"/>
              <w:bottom w:val="single" w:sz="4" w:space="0" w:color="auto"/>
              <w:right w:val="single" w:sz="4" w:space="0" w:color="auto"/>
            </w:tcBorders>
            <w:shd w:val="clear" w:color="auto" w:fill="auto"/>
            <w:noWrap/>
            <w:vAlign w:val="bottom"/>
            <w:hideMark/>
          </w:tcPr>
          <w:p w14:paraId="78AB654B" w14:textId="77777777" w:rsidR="00FE399D" w:rsidRPr="00D1707B" w:rsidRDefault="00FE399D" w:rsidP="00582303">
            <w:pPr>
              <w:pStyle w:val="CBDTableNormal"/>
              <w:spacing w:before="0" w:after="0"/>
              <w:jc w:val="right"/>
              <w:rPr>
                <w:sz w:val="18"/>
                <w:szCs w:val="18"/>
              </w:rPr>
            </w:pPr>
            <w:r>
              <w:rPr>
                <w:sz w:val="18"/>
              </w:rPr>
              <w:t>1,035</w:t>
            </w:r>
          </w:p>
        </w:tc>
        <w:tc>
          <w:tcPr>
            <w:tcW w:w="1176" w:type="dxa"/>
            <w:tcBorders>
              <w:top w:val="nil"/>
              <w:left w:val="nil"/>
              <w:bottom w:val="single" w:sz="4" w:space="0" w:color="auto"/>
              <w:right w:val="single" w:sz="4" w:space="0" w:color="auto"/>
            </w:tcBorders>
            <w:shd w:val="clear" w:color="auto" w:fill="auto"/>
            <w:noWrap/>
            <w:vAlign w:val="bottom"/>
            <w:hideMark/>
          </w:tcPr>
          <w:p w14:paraId="6259F3D7" w14:textId="77777777" w:rsidR="00FE399D" w:rsidRPr="00D1707B" w:rsidRDefault="00FE399D" w:rsidP="00582303">
            <w:pPr>
              <w:pStyle w:val="CBDTableNormal"/>
              <w:spacing w:before="0" w:after="0"/>
              <w:jc w:val="right"/>
              <w:rPr>
                <w:sz w:val="18"/>
                <w:szCs w:val="18"/>
              </w:rPr>
            </w:pPr>
            <w:r>
              <w:rPr>
                <w:sz w:val="18"/>
              </w:rPr>
              <w:t>145 723</w:t>
            </w:r>
          </w:p>
        </w:tc>
        <w:tc>
          <w:tcPr>
            <w:tcW w:w="1461" w:type="dxa"/>
            <w:tcBorders>
              <w:top w:val="nil"/>
              <w:left w:val="nil"/>
              <w:bottom w:val="single" w:sz="4" w:space="0" w:color="auto"/>
              <w:right w:val="single" w:sz="4" w:space="0" w:color="auto"/>
            </w:tcBorders>
            <w:shd w:val="clear" w:color="auto" w:fill="auto"/>
            <w:noWrap/>
            <w:vAlign w:val="bottom"/>
            <w:hideMark/>
          </w:tcPr>
          <w:p w14:paraId="2FEC7A37" w14:textId="77777777" w:rsidR="00FE399D" w:rsidRPr="00D1707B" w:rsidRDefault="00FE399D" w:rsidP="00582303">
            <w:pPr>
              <w:pStyle w:val="CBDTableNormal"/>
              <w:spacing w:before="0" w:after="0"/>
              <w:jc w:val="right"/>
              <w:rPr>
                <w:sz w:val="18"/>
                <w:szCs w:val="18"/>
              </w:rPr>
            </w:pPr>
            <w:r>
              <w:rPr>
                <w:sz w:val="18"/>
              </w:rPr>
              <w:t>155 694</w:t>
            </w:r>
          </w:p>
        </w:tc>
        <w:tc>
          <w:tcPr>
            <w:tcW w:w="1080" w:type="dxa"/>
            <w:tcBorders>
              <w:top w:val="nil"/>
              <w:left w:val="nil"/>
              <w:bottom w:val="single" w:sz="4" w:space="0" w:color="auto"/>
              <w:right w:val="single" w:sz="4" w:space="0" w:color="auto"/>
            </w:tcBorders>
            <w:shd w:val="clear" w:color="auto" w:fill="auto"/>
            <w:noWrap/>
            <w:vAlign w:val="bottom"/>
            <w:hideMark/>
          </w:tcPr>
          <w:p w14:paraId="1E19542B" w14:textId="77777777" w:rsidR="00FE399D" w:rsidRPr="00D1707B" w:rsidRDefault="00FE399D" w:rsidP="00582303">
            <w:pPr>
              <w:pStyle w:val="CBDTableNormal"/>
              <w:spacing w:before="0" w:after="0"/>
              <w:jc w:val="right"/>
              <w:rPr>
                <w:sz w:val="18"/>
                <w:szCs w:val="18"/>
              </w:rPr>
            </w:pPr>
            <w:r>
              <w:rPr>
                <w:sz w:val="18"/>
              </w:rPr>
              <w:t>301 418</w:t>
            </w:r>
          </w:p>
        </w:tc>
      </w:tr>
      <w:tr w:rsidR="00FE399D" w:rsidRPr="00D1707B" w14:paraId="047215E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B19225B" w14:textId="77777777" w:rsidR="00FE399D" w:rsidRPr="00D1707B" w:rsidRDefault="00FE399D" w:rsidP="00582303">
            <w:pPr>
              <w:pStyle w:val="CBDTableNormal"/>
              <w:spacing w:before="0" w:after="0"/>
              <w:rPr>
                <w:sz w:val="18"/>
                <w:szCs w:val="18"/>
              </w:rPr>
            </w:pPr>
            <w:r>
              <w:rPr>
                <w:sz w:val="18"/>
              </w:rPr>
              <w:t>Belice</w:t>
            </w:r>
          </w:p>
        </w:tc>
        <w:tc>
          <w:tcPr>
            <w:tcW w:w="1628" w:type="dxa"/>
            <w:tcBorders>
              <w:top w:val="nil"/>
              <w:left w:val="nil"/>
              <w:bottom w:val="single" w:sz="4" w:space="0" w:color="auto"/>
              <w:right w:val="single" w:sz="4" w:space="0" w:color="auto"/>
            </w:tcBorders>
            <w:shd w:val="clear" w:color="auto" w:fill="auto"/>
            <w:vAlign w:val="bottom"/>
            <w:hideMark/>
          </w:tcPr>
          <w:p w14:paraId="1E47D21B"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44540F81"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67E39C75"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21F6111E"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77FB72DA"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787DA38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7BFDAF9" w14:textId="77777777" w:rsidR="00FE399D" w:rsidRPr="00D1707B" w:rsidRDefault="00FE399D" w:rsidP="00582303">
            <w:pPr>
              <w:pStyle w:val="CBDTableNormal"/>
              <w:spacing w:before="0" w:after="0"/>
              <w:rPr>
                <w:sz w:val="18"/>
                <w:szCs w:val="18"/>
              </w:rPr>
            </w:pPr>
            <w:r>
              <w:rPr>
                <w:sz w:val="18"/>
              </w:rPr>
              <w:t>Benin</w:t>
            </w:r>
          </w:p>
        </w:tc>
        <w:tc>
          <w:tcPr>
            <w:tcW w:w="1628" w:type="dxa"/>
            <w:tcBorders>
              <w:top w:val="nil"/>
              <w:left w:val="nil"/>
              <w:bottom w:val="single" w:sz="4" w:space="0" w:color="auto"/>
              <w:right w:val="single" w:sz="4" w:space="0" w:color="auto"/>
            </w:tcBorders>
            <w:shd w:val="clear" w:color="auto" w:fill="auto"/>
            <w:vAlign w:val="bottom"/>
            <w:hideMark/>
          </w:tcPr>
          <w:p w14:paraId="06404CF1" w14:textId="77777777" w:rsidR="00FE399D" w:rsidRPr="00D1707B" w:rsidRDefault="00FE399D" w:rsidP="00582303">
            <w:pPr>
              <w:pStyle w:val="CBDTableNormal"/>
              <w:spacing w:before="0" w:after="0"/>
              <w:jc w:val="right"/>
              <w:rPr>
                <w:sz w:val="18"/>
                <w:szCs w:val="18"/>
              </w:rPr>
            </w:pPr>
            <w:r>
              <w:rPr>
                <w:sz w:val="18"/>
              </w:rPr>
              <w:t>0,005</w:t>
            </w:r>
          </w:p>
        </w:tc>
        <w:tc>
          <w:tcPr>
            <w:tcW w:w="2198" w:type="dxa"/>
            <w:tcBorders>
              <w:top w:val="nil"/>
              <w:left w:val="nil"/>
              <w:bottom w:val="single" w:sz="4" w:space="0" w:color="auto"/>
              <w:right w:val="single" w:sz="4" w:space="0" w:color="auto"/>
            </w:tcBorders>
            <w:shd w:val="clear" w:color="auto" w:fill="auto"/>
            <w:noWrap/>
            <w:vAlign w:val="bottom"/>
            <w:hideMark/>
          </w:tcPr>
          <w:p w14:paraId="6BD45BCA" w14:textId="77777777" w:rsidR="00FE399D" w:rsidRPr="00D1707B" w:rsidRDefault="00FE399D" w:rsidP="00582303">
            <w:pPr>
              <w:pStyle w:val="CBDTableNormal"/>
              <w:spacing w:before="0" w:after="0"/>
              <w:jc w:val="right"/>
              <w:rPr>
                <w:sz w:val="18"/>
                <w:szCs w:val="18"/>
              </w:rPr>
            </w:pPr>
            <w:r>
              <w:rPr>
                <w:sz w:val="18"/>
              </w:rPr>
              <w:t>0,006</w:t>
            </w:r>
          </w:p>
        </w:tc>
        <w:tc>
          <w:tcPr>
            <w:tcW w:w="1176" w:type="dxa"/>
            <w:tcBorders>
              <w:top w:val="nil"/>
              <w:left w:val="nil"/>
              <w:bottom w:val="single" w:sz="4" w:space="0" w:color="auto"/>
              <w:right w:val="single" w:sz="4" w:space="0" w:color="auto"/>
            </w:tcBorders>
            <w:shd w:val="clear" w:color="auto" w:fill="auto"/>
            <w:noWrap/>
            <w:vAlign w:val="bottom"/>
            <w:hideMark/>
          </w:tcPr>
          <w:p w14:paraId="4CD254F6" w14:textId="77777777" w:rsidR="00FE399D" w:rsidRPr="00D1707B" w:rsidRDefault="00FE399D" w:rsidP="00582303">
            <w:pPr>
              <w:pStyle w:val="CBDTableNormal"/>
              <w:spacing w:before="0" w:after="0"/>
              <w:jc w:val="right"/>
              <w:rPr>
                <w:sz w:val="18"/>
                <w:szCs w:val="18"/>
              </w:rPr>
            </w:pPr>
            <w:r>
              <w:rPr>
                <w:sz w:val="18"/>
              </w:rPr>
              <w:t>880</w:t>
            </w:r>
          </w:p>
        </w:tc>
        <w:tc>
          <w:tcPr>
            <w:tcW w:w="1461" w:type="dxa"/>
            <w:tcBorders>
              <w:top w:val="nil"/>
              <w:left w:val="nil"/>
              <w:bottom w:val="single" w:sz="4" w:space="0" w:color="auto"/>
              <w:right w:val="single" w:sz="4" w:space="0" w:color="auto"/>
            </w:tcBorders>
            <w:shd w:val="clear" w:color="auto" w:fill="auto"/>
            <w:noWrap/>
            <w:vAlign w:val="bottom"/>
            <w:hideMark/>
          </w:tcPr>
          <w:p w14:paraId="3C122F85" w14:textId="77777777" w:rsidR="00FE399D" w:rsidRPr="00D1707B" w:rsidRDefault="00FE399D" w:rsidP="00582303">
            <w:pPr>
              <w:pStyle w:val="CBDTableNormal"/>
              <w:spacing w:before="0" w:after="0"/>
              <w:jc w:val="right"/>
              <w:rPr>
                <w:sz w:val="18"/>
                <w:szCs w:val="18"/>
              </w:rPr>
            </w:pPr>
            <w:r>
              <w:rPr>
                <w:sz w:val="18"/>
              </w:rPr>
              <w:t>940</w:t>
            </w:r>
          </w:p>
        </w:tc>
        <w:tc>
          <w:tcPr>
            <w:tcW w:w="1080" w:type="dxa"/>
            <w:tcBorders>
              <w:top w:val="nil"/>
              <w:left w:val="nil"/>
              <w:bottom w:val="single" w:sz="4" w:space="0" w:color="auto"/>
              <w:right w:val="single" w:sz="4" w:space="0" w:color="auto"/>
            </w:tcBorders>
            <w:shd w:val="clear" w:color="auto" w:fill="auto"/>
            <w:noWrap/>
            <w:vAlign w:val="bottom"/>
            <w:hideMark/>
          </w:tcPr>
          <w:p w14:paraId="20B5C61A" w14:textId="77777777" w:rsidR="00FE399D" w:rsidRPr="00D1707B" w:rsidRDefault="00FE399D" w:rsidP="00582303">
            <w:pPr>
              <w:pStyle w:val="CBDTableNormal"/>
              <w:spacing w:before="0" w:after="0"/>
              <w:jc w:val="right"/>
              <w:rPr>
                <w:sz w:val="18"/>
                <w:szCs w:val="18"/>
              </w:rPr>
            </w:pPr>
            <w:r>
              <w:rPr>
                <w:sz w:val="18"/>
              </w:rPr>
              <w:t>1 820</w:t>
            </w:r>
          </w:p>
        </w:tc>
      </w:tr>
      <w:tr w:rsidR="00FE399D" w:rsidRPr="00D1707B" w14:paraId="312225B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6F7EC02" w14:textId="77777777" w:rsidR="00FE399D" w:rsidRPr="00D1707B" w:rsidRDefault="00FE399D" w:rsidP="00582303">
            <w:pPr>
              <w:pStyle w:val="CBDTableNormal"/>
              <w:spacing w:before="0" w:after="0"/>
              <w:rPr>
                <w:sz w:val="18"/>
                <w:szCs w:val="18"/>
              </w:rPr>
            </w:pPr>
            <w:r>
              <w:rPr>
                <w:sz w:val="18"/>
              </w:rPr>
              <w:t>Bhután</w:t>
            </w:r>
          </w:p>
        </w:tc>
        <w:tc>
          <w:tcPr>
            <w:tcW w:w="1628" w:type="dxa"/>
            <w:tcBorders>
              <w:top w:val="nil"/>
              <w:left w:val="nil"/>
              <w:bottom w:val="single" w:sz="4" w:space="0" w:color="auto"/>
              <w:right w:val="single" w:sz="4" w:space="0" w:color="auto"/>
            </w:tcBorders>
            <w:shd w:val="clear" w:color="auto" w:fill="auto"/>
            <w:vAlign w:val="bottom"/>
            <w:hideMark/>
          </w:tcPr>
          <w:p w14:paraId="7025BA67"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726CEBAA"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5799C87A"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41ACC391"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1BD763F3"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61C082C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60CA490" w14:textId="77777777" w:rsidR="00FE399D" w:rsidRPr="00D1707B" w:rsidRDefault="00FE399D" w:rsidP="00582303">
            <w:pPr>
              <w:pStyle w:val="CBDTableNormal"/>
              <w:tabs>
                <w:tab w:val="clear" w:pos="567"/>
                <w:tab w:val="left" w:pos="178"/>
              </w:tabs>
              <w:spacing w:before="0" w:after="0"/>
              <w:ind w:left="144" w:hanging="144"/>
              <w:rPr>
                <w:sz w:val="18"/>
                <w:szCs w:val="18"/>
              </w:rPr>
            </w:pPr>
            <w:r>
              <w:rPr>
                <w:sz w:val="18"/>
              </w:rPr>
              <w:t>Bolivia (Estado Plurinacional de)</w:t>
            </w:r>
          </w:p>
        </w:tc>
        <w:tc>
          <w:tcPr>
            <w:tcW w:w="1628" w:type="dxa"/>
            <w:tcBorders>
              <w:top w:val="nil"/>
              <w:left w:val="nil"/>
              <w:bottom w:val="single" w:sz="4" w:space="0" w:color="auto"/>
              <w:right w:val="single" w:sz="4" w:space="0" w:color="auto"/>
            </w:tcBorders>
            <w:shd w:val="clear" w:color="auto" w:fill="auto"/>
            <w:vAlign w:val="bottom"/>
            <w:hideMark/>
          </w:tcPr>
          <w:p w14:paraId="2E11D0B3" w14:textId="77777777" w:rsidR="00FE399D" w:rsidRPr="00D1707B" w:rsidRDefault="00FE399D" w:rsidP="00582303">
            <w:pPr>
              <w:pStyle w:val="CBDTableNormal"/>
              <w:spacing w:before="0" w:after="0"/>
              <w:jc w:val="right"/>
              <w:rPr>
                <w:sz w:val="18"/>
                <w:szCs w:val="18"/>
              </w:rPr>
            </w:pPr>
            <w:r>
              <w:rPr>
                <w:sz w:val="18"/>
              </w:rPr>
              <w:t>0,019</w:t>
            </w:r>
          </w:p>
        </w:tc>
        <w:tc>
          <w:tcPr>
            <w:tcW w:w="2198" w:type="dxa"/>
            <w:tcBorders>
              <w:top w:val="nil"/>
              <w:left w:val="nil"/>
              <w:bottom w:val="single" w:sz="4" w:space="0" w:color="auto"/>
              <w:right w:val="single" w:sz="4" w:space="0" w:color="auto"/>
            </w:tcBorders>
            <w:shd w:val="clear" w:color="auto" w:fill="auto"/>
            <w:noWrap/>
            <w:vAlign w:val="bottom"/>
            <w:hideMark/>
          </w:tcPr>
          <w:p w14:paraId="7C803931" w14:textId="77777777" w:rsidR="00FE399D" w:rsidRPr="00D1707B" w:rsidRDefault="00FE399D" w:rsidP="00582303">
            <w:pPr>
              <w:pStyle w:val="CBDTableNormal"/>
              <w:spacing w:before="0" w:after="0"/>
              <w:jc w:val="right"/>
              <w:rPr>
                <w:sz w:val="18"/>
                <w:szCs w:val="18"/>
              </w:rPr>
            </w:pPr>
            <w:r>
              <w:rPr>
                <w:sz w:val="18"/>
              </w:rPr>
              <w:t>0,024</w:t>
            </w:r>
          </w:p>
        </w:tc>
        <w:tc>
          <w:tcPr>
            <w:tcW w:w="1176" w:type="dxa"/>
            <w:tcBorders>
              <w:top w:val="nil"/>
              <w:left w:val="nil"/>
              <w:bottom w:val="single" w:sz="4" w:space="0" w:color="auto"/>
              <w:right w:val="single" w:sz="4" w:space="0" w:color="auto"/>
            </w:tcBorders>
            <w:shd w:val="clear" w:color="auto" w:fill="auto"/>
            <w:noWrap/>
            <w:vAlign w:val="bottom"/>
            <w:hideMark/>
          </w:tcPr>
          <w:p w14:paraId="5E1F08A8" w14:textId="77777777" w:rsidR="00FE399D" w:rsidRPr="00D1707B" w:rsidRDefault="00FE399D" w:rsidP="00582303">
            <w:pPr>
              <w:pStyle w:val="CBDTableNormal"/>
              <w:spacing w:before="0" w:after="0"/>
              <w:jc w:val="right"/>
              <w:rPr>
                <w:sz w:val="18"/>
                <w:szCs w:val="18"/>
              </w:rPr>
            </w:pPr>
            <w:r>
              <w:rPr>
                <w:sz w:val="18"/>
              </w:rPr>
              <w:t>3 344</w:t>
            </w:r>
          </w:p>
        </w:tc>
        <w:tc>
          <w:tcPr>
            <w:tcW w:w="1461" w:type="dxa"/>
            <w:tcBorders>
              <w:top w:val="nil"/>
              <w:left w:val="nil"/>
              <w:bottom w:val="single" w:sz="4" w:space="0" w:color="auto"/>
              <w:right w:val="single" w:sz="4" w:space="0" w:color="auto"/>
            </w:tcBorders>
            <w:shd w:val="clear" w:color="auto" w:fill="auto"/>
            <w:noWrap/>
            <w:vAlign w:val="bottom"/>
            <w:hideMark/>
          </w:tcPr>
          <w:p w14:paraId="679BF89C" w14:textId="77777777" w:rsidR="00FE399D" w:rsidRPr="00D1707B" w:rsidRDefault="00FE399D" w:rsidP="00582303">
            <w:pPr>
              <w:pStyle w:val="CBDTableNormal"/>
              <w:spacing w:before="0" w:after="0"/>
              <w:jc w:val="right"/>
              <w:rPr>
                <w:sz w:val="18"/>
                <w:szCs w:val="18"/>
              </w:rPr>
            </w:pPr>
            <w:r>
              <w:rPr>
                <w:sz w:val="18"/>
              </w:rPr>
              <w:t>3 573</w:t>
            </w:r>
          </w:p>
        </w:tc>
        <w:tc>
          <w:tcPr>
            <w:tcW w:w="1080" w:type="dxa"/>
            <w:tcBorders>
              <w:top w:val="nil"/>
              <w:left w:val="nil"/>
              <w:bottom w:val="single" w:sz="4" w:space="0" w:color="auto"/>
              <w:right w:val="single" w:sz="4" w:space="0" w:color="auto"/>
            </w:tcBorders>
            <w:shd w:val="clear" w:color="auto" w:fill="auto"/>
            <w:noWrap/>
            <w:vAlign w:val="bottom"/>
            <w:hideMark/>
          </w:tcPr>
          <w:p w14:paraId="659D61DF" w14:textId="77777777" w:rsidR="00FE399D" w:rsidRPr="00D1707B" w:rsidRDefault="00FE399D" w:rsidP="00582303">
            <w:pPr>
              <w:pStyle w:val="CBDTableNormal"/>
              <w:spacing w:before="0" w:after="0"/>
              <w:jc w:val="right"/>
              <w:rPr>
                <w:sz w:val="18"/>
                <w:szCs w:val="18"/>
              </w:rPr>
            </w:pPr>
            <w:r>
              <w:rPr>
                <w:sz w:val="18"/>
              </w:rPr>
              <w:t>6 917</w:t>
            </w:r>
          </w:p>
        </w:tc>
      </w:tr>
      <w:tr w:rsidR="00FE399D" w:rsidRPr="00D1707B" w14:paraId="2289355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164D851" w14:textId="77777777" w:rsidR="00FE399D" w:rsidRPr="00D1707B" w:rsidRDefault="00FE399D" w:rsidP="00582303">
            <w:pPr>
              <w:pStyle w:val="CBDTableNormal"/>
              <w:spacing w:before="0" w:after="0"/>
              <w:rPr>
                <w:sz w:val="18"/>
                <w:szCs w:val="18"/>
              </w:rPr>
            </w:pPr>
            <w:r>
              <w:rPr>
                <w:sz w:val="18"/>
              </w:rPr>
              <w:t>Bosnia y Herzegovina</w:t>
            </w:r>
          </w:p>
        </w:tc>
        <w:tc>
          <w:tcPr>
            <w:tcW w:w="1628" w:type="dxa"/>
            <w:tcBorders>
              <w:top w:val="nil"/>
              <w:left w:val="nil"/>
              <w:bottom w:val="single" w:sz="4" w:space="0" w:color="auto"/>
              <w:right w:val="single" w:sz="4" w:space="0" w:color="auto"/>
            </w:tcBorders>
            <w:shd w:val="clear" w:color="auto" w:fill="auto"/>
            <w:vAlign w:val="bottom"/>
            <w:hideMark/>
          </w:tcPr>
          <w:p w14:paraId="04CB69BB" w14:textId="77777777" w:rsidR="00FE399D" w:rsidRPr="00D1707B" w:rsidRDefault="00FE399D" w:rsidP="00582303">
            <w:pPr>
              <w:pStyle w:val="CBDTableNormal"/>
              <w:spacing w:before="0" w:after="0"/>
              <w:jc w:val="right"/>
              <w:rPr>
                <w:sz w:val="18"/>
                <w:szCs w:val="18"/>
              </w:rPr>
            </w:pPr>
            <w:r>
              <w:rPr>
                <w:sz w:val="18"/>
              </w:rPr>
              <w:t>0,012</w:t>
            </w:r>
          </w:p>
        </w:tc>
        <w:tc>
          <w:tcPr>
            <w:tcW w:w="2198" w:type="dxa"/>
            <w:tcBorders>
              <w:top w:val="nil"/>
              <w:left w:val="nil"/>
              <w:bottom w:val="single" w:sz="4" w:space="0" w:color="auto"/>
              <w:right w:val="single" w:sz="4" w:space="0" w:color="auto"/>
            </w:tcBorders>
            <w:shd w:val="clear" w:color="auto" w:fill="auto"/>
            <w:noWrap/>
            <w:vAlign w:val="bottom"/>
            <w:hideMark/>
          </w:tcPr>
          <w:p w14:paraId="0AA3D74B" w14:textId="77777777" w:rsidR="00FE399D" w:rsidRPr="00D1707B" w:rsidRDefault="00FE399D" w:rsidP="00582303">
            <w:pPr>
              <w:pStyle w:val="CBDTableNormal"/>
              <w:spacing w:before="0" w:after="0"/>
              <w:jc w:val="right"/>
              <w:rPr>
                <w:sz w:val="18"/>
                <w:szCs w:val="18"/>
              </w:rPr>
            </w:pPr>
            <w:r>
              <w:rPr>
                <w:sz w:val="18"/>
              </w:rPr>
              <w:t>0,015</w:t>
            </w:r>
          </w:p>
        </w:tc>
        <w:tc>
          <w:tcPr>
            <w:tcW w:w="1176" w:type="dxa"/>
            <w:tcBorders>
              <w:top w:val="nil"/>
              <w:left w:val="nil"/>
              <w:bottom w:val="single" w:sz="4" w:space="0" w:color="auto"/>
              <w:right w:val="single" w:sz="4" w:space="0" w:color="auto"/>
            </w:tcBorders>
            <w:shd w:val="clear" w:color="auto" w:fill="auto"/>
            <w:noWrap/>
            <w:vAlign w:val="bottom"/>
            <w:hideMark/>
          </w:tcPr>
          <w:p w14:paraId="4A87201A" w14:textId="77777777" w:rsidR="00FE399D" w:rsidRPr="00D1707B" w:rsidRDefault="00FE399D" w:rsidP="00582303">
            <w:pPr>
              <w:pStyle w:val="CBDTableNormal"/>
              <w:spacing w:before="0" w:after="0"/>
              <w:jc w:val="right"/>
              <w:rPr>
                <w:sz w:val="18"/>
                <w:szCs w:val="18"/>
              </w:rPr>
            </w:pPr>
            <w:r>
              <w:rPr>
                <w:sz w:val="18"/>
              </w:rPr>
              <w:t>2 112</w:t>
            </w:r>
          </w:p>
        </w:tc>
        <w:tc>
          <w:tcPr>
            <w:tcW w:w="1461" w:type="dxa"/>
            <w:tcBorders>
              <w:top w:val="nil"/>
              <w:left w:val="nil"/>
              <w:bottom w:val="single" w:sz="4" w:space="0" w:color="auto"/>
              <w:right w:val="single" w:sz="4" w:space="0" w:color="auto"/>
            </w:tcBorders>
            <w:shd w:val="clear" w:color="auto" w:fill="auto"/>
            <w:noWrap/>
            <w:vAlign w:val="bottom"/>
            <w:hideMark/>
          </w:tcPr>
          <w:p w14:paraId="3CE766B4" w14:textId="77777777" w:rsidR="00FE399D" w:rsidRPr="00D1707B" w:rsidRDefault="00FE399D" w:rsidP="00582303">
            <w:pPr>
              <w:pStyle w:val="CBDTableNormal"/>
              <w:spacing w:before="0" w:after="0"/>
              <w:jc w:val="right"/>
              <w:rPr>
                <w:sz w:val="18"/>
                <w:szCs w:val="18"/>
              </w:rPr>
            </w:pPr>
            <w:r>
              <w:rPr>
                <w:sz w:val="18"/>
              </w:rPr>
              <w:t>2 256</w:t>
            </w:r>
          </w:p>
        </w:tc>
        <w:tc>
          <w:tcPr>
            <w:tcW w:w="1080" w:type="dxa"/>
            <w:tcBorders>
              <w:top w:val="nil"/>
              <w:left w:val="nil"/>
              <w:bottom w:val="single" w:sz="4" w:space="0" w:color="auto"/>
              <w:right w:val="single" w:sz="4" w:space="0" w:color="auto"/>
            </w:tcBorders>
            <w:shd w:val="clear" w:color="auto" w:fill="auto"/>
            <w:noWrap/>
            <w:vAlign w:val="bottom"/>
            <w:hideMark/>
          </w:tcPr>
          <w:p w14:paraId="145BD864" w14:textId="77777777" w:rsidR="00FE399D" w:rsidRPr="00D1707B" w:rsidRDefault="00FE399D" w:rsidP="00582303">
            <w:pPr>
              <w:pStyle w:val="CBDTableNormal"/>
              <w:spacing w:before="0" w:after="0"/>
              <w:jc w:val="right"/>
              <w:rPr>
                <w:sz w:val="18"/>
                <w:szCs w:val="18"/>
              </w:rPr>
            </w:pPr>
            <w:r>
              <w:rPr>
                <w:sz w:val="18"/>
              </w:rPr>
              <w:t>4 368</w:t>
            </w:r>
          </w:p>
        </w:tc>
      </w:tr>
      <w:tr w:rsidR="00FE399D" w:rsidRPr="00D1707B" w14:paraId="798E466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4D1241B" w14:textId="77777777" w:rsidR="00FE399D" w:rsidRPr="00D1707B" w:rsidRDefault="00FE399D" w:rsidP="00582303">
            <w:pPr>
              <w:pStyle w:val="CBDTableNormal"/>
              <w:spacing w:before="0" w:after="0"/>
              <w:rPr>
                <w:sz w:val="18"/>
                <w:szCs w:val="18"/>
              </w:rPr>
            </w:pPr>
            <w:r>
              <w:rPr>
                <w:sz w:val="18"/>
              </w:rPr>
              <w:t>Botswana</w:t>
            </w:r>
          </w:p>
        </w:tc>
        <w:tc>
          <w:tcPr>
            <w:tcW w:w="1628" w:type="dxa"/>
            <w:tcBorders>
              <w:top w:val="nil"/>
              <w:left w:val="nil"/>
              <w:bottom w:val="single" w:sz="4" w:space="0" w:color="auto"/>
              <w:right w:val="single" w:sz="4" w:space="0" w:color="auto"/>
            </w:tcBorders>
            <w:shd w:val="clear" w:color="auto" w:fill="auto"/>
            <w:vAlign w:val="bottom"/>
            <w:hideMark/>
          </w:tcPr>
          <w:p w14:paraId="6662C1D3" w14:textId="77777777" w:rsidR="00FE399D" w:rsidRPr="00D1707B" w:rsidRDefault="00FE399D" w:rsidP="00582303">
            <w:pPr>
              <w:pStyle w:val="CBDTableNormal"/>
              <w:spacing w:before="0" w:after="0"/>
              <w:jc w:val="right"/>
              <w:rPr>
                <w:sz w:val="18"/>
                <w:szCs w:val="18"/>
              </w:rPr>
            </w:pPr>
            <w:r>
              <w:rPr>
                <w:sz w:val="18"/>
              </w:rPr>
              <w:t>0,015</w:t>
            </w:r>
          </w:p>
        </w:tc>
        <w:tc>
          <w:tcPr>
            <w:tcW w:w="2198" w:type="dxa"/>
            <w:tcBorders>
              <w:top w:val="nil"/>
              <w:left w:val="nil"/>
              <w:bottom w:val="single" w:sz="4" w:space="0" w:color="auto"/>
              <w:right w:val="single" w:sz="4" w:space="0" w:color="auto"/>
            </w:tcBorders>
            <w:shd w:val="clear" w:color="auto" w:fill="auto"/>
            <w:noWrap/>
            <w:vAlign w:val="bottom"/>
            <w:hideMark/>
          </w:tcPr>
          <w:p w14:paraId="75B2A752" w14:textId="77777777" w:rsidR="00FE399D" w:rsidRPr="00D1707B" w:rsidRDefault="00FE399D" w:rsidP="00582303">
            <w:pPr>
              <w:pStyle w:val="CBDTableNormal"/>
              <w:spacing w:before="0" w:after="0"/>
              <w:jc w:val="right"/>
              <w:rPr>
                <w:sz w:val="18"/>
                <w:szCs w:val="18"/>
              </w:rPr>
            </w:pPr>
            <w:r>
              <w:rPr>
                <w:sz w:val="18"/>
              </w:rPr>
              <w:t>0,019</w:t>
            </w:r>
          </w:p>
        </w:tc>
        <w:tc>
          <w:tcPr>
            <w:tcW w:w="1176" w:type="dxa"/>
            <w:tcBorders>
              <w:top w:val="nil"/>
              <w:left w:val="nil"/>
              <w:bottom w:val="single" w:sz="4" w:space="0" w:color="auto"/>
              <w:right w:val="single" w:sz="4" w:space="0" w:color="auto"/>
            </w:tcBorders>
            <w:shd w:val="clear" w:color="auto" w:fill="auto"/>
            <w:noWrap/>
            <w:vAlign w:val="bottom"/>
            <w:hideMark/>
          </w:tcPr>
          <w:p w14:paraId="61C9F5AA" w14:textId="77777777" w:rsidR="00FE399D" w:rsidRPr="00D1707B" w:rsidRDefault="00FE399D" w:rsidP="00582303">
            <w:pPr>
              <w:pStyle w:val="CBDTableNormal"/>
              <w:spacing w:before="0" w:after="0"/>
              <w:jc w:val="right"/>
              <w:rPr>
                <w:sz w:val="18"/>
                <w:szCs w:val="18"/>
              </w:rPr>
            </w:pPr>
            <w:r>
              <w:rPr>
                <w:sz w:val="18"/>
              </w:rPr>
              <w:t>2 640</w:t>
            </w:r>
          </w:p>
        </w:tc>
        <w:tc>
          <w:tcPr>
            <w:tcW w:w="1461" w:type="dxa"/>
            <w:tcBorders>
              <w:top w:val="nil"/>
              <w:left w:val="nil"/>
              <w:bottom w:val="single" w:sz="4" w:space="0" w:color="auto"/>
              <w:right w:val="single" w:sz="4" w:space="0" w:color="auto"/>
            </w:tcBorders>
            <w:shd w:val="clear" w:color="auto" w:fill="auto"/>
            <w:noWrap/>
            <w:vAlign w:val="bottom"/>
            <w:hideMark/>
          </w:tcPr>
          <w:p w14:paraId="1BE264C9" w14:textId="77777777" w:rsidR="00FE399D" w:rsidRPr="00D1707B" w:rsidRDefault="00FE399D" w:rsidP="00582303">
            <w:pPr>
              <w:pStyle w:val="CBDTableNormal"/>
              <w:spacing w:before="0" w:after="0"/>
              <w:jc w:val="right"/>
              <w:rPr>
                <w:sz w:val="18"/>
                <w:szCs w:val="18"/>
              </w:rPr>
            </w:pPr>
            <w:r>
              <w:rPr>
                <w:sz w:val="18"/>
              </w:rPr>
              <w:t>2 821</w:t>
            </w:r>
          </w:p>
        </w:tc>
        <w:tc>
          <w:tcPr>
            <w:tcW w:w="1080" w:type="dxa"/>
            <w:tcBorders>
              <w:top w:val="nil"/>
              <w:left w:val="nil"/>
              <w:bottom w:val="single" w:sz="4" w:space="0" w:color="auto"/>
              <w:right w:val="single" w:sz="4" w:space="0" w:color="auto"/>
            </w:tcBorders>
            <w:shd w:val="clear" w:color="auto" w:fill="auto"/>
            <w:noWrap/>
            <w:vAlign w:val="bottom"/>
            <w:hideMark/>
          </w:tcPr>
          <w:p w14:paraId="57412752" w14:textId="77777777" w:rsidR="00FE399D" w:rsidRPr="00D1707B" w:rsidRDefault="00FE399D" w:rsidP="00582303">
            <w:pPr>
              <w:pStyle w:val="CBDTableNormal"/>
              <w:spacing w:before="0" w:after="0"/>
              <w:jc w:val="right"/>
              <w:rPr>
                <w:sz w:val="18"/>
                <w:szCs w:val="18"/>
              </w:rPr>
            </w:pPr>
            <w:r>
              <w:rPr>
                <w:sz w:val="18"/>
              </w:rPr>
              <w:t>5 460</w:t>
            </w:r>
          </w:p>
        </w:tc>
      </w:tr>
      <w:tr w:rsidR="00FE399D" w:rsidRPr="00D1707B" w14:paraId="15A4191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22F1662" w14:textId="77777777" w:rsidR="00FE399D" w:rsidRPr="00D1707B" w:rsidRDefault="00FE399D" w:rsidP="00582303">
            <w:pPr>
              <w:pStyle w:val="CBDTableNormal"/>
              <w:spacing w:before="0" w:after="0"/>
              <w:rPr>
                <w:sz w:val="18"/>
                <w:szCs w:val="18"/>
              </w:rPr>
            </w:pPr>
            <w:r>
              <w:rPr>
                <w:sz w:val="18"/>
              </w:rPr>
              <w:t>Brasil</w:t>
            </w:r>
          </w:p>
        </w:tc>
        <w:tc>
          <w:tcPr>
            <w:tcW w:w="1628" w:type="dxa"/>
            <w:tcBorders>
              <w:top w:val="nil"/>
              <w:left w:val="nil"/>
              <w:bottom w:val="single" w:sz="4" w:space="0" w:color="auto"/>
              <w:right w:val="single" w:sz="4" w:space="0" w:color="auto"/>
            </w:tcBorders>
            <w:shd w:val="clear" w:color="auto" w:fill="auto"/>
            <w:vAlign w:val="bottom"/>
            <w:hideMark/>
          </w:tcPr>
          <w:p w14:paraId="437AA650" w14:textId="77777777" w:rsidR="00FE399D" w:rsidRPr="00D1707B" w:rsidRDefault="00FE399D" w:rsidP="00582303">
            <w:pPr>
              <w:pStyle w:val="CBDTableNormal"/>
              <w:spacing w:before="0" w:after="0"/>
              <w:jc w:val="right"/>
              <w:rPr>
                <w:sz w:val="18"/>
                <w:szCs w:val="18"/>
              </w:rPr>
            </w:pPr>
            <w:r>
              <w:rPr>
                <w:sz w:val="18"/>
              </w:rPr>
              <w:t>2,013</w:t>
            </w:r>
          </w:p>
        </w:tc>
        <w:tc>
          <w:tcPr>
            <w:tcW w:w="2198" w:type="dxa"/>
            <w:tcBorders>
              <w:top w:val="nil"/>
              <w:left w:val="nil"/>
              <w:bottom w:val="single" w:sz="4" w:space="0" w:color="auto"/>
              <w:right w:val="single" w:sz="4" w:space="0" w:color="auto"/>
            </w:tcBorders>
            <w:shd w:val="clear" w:color="auto" w:fill="auto"/>
            <w:noWrap/>
            <w:vAlign w:val="bottom"/>
            <w:hideMark/>
          </w:tcPr>
          <w:p w14:paraId="534B1671" w14:textId="77777777" w:rsidR="00FE399D" w:rsidRPr="00D1707B" w:rsidRDefault="00FE399D" w:rsidP="00582303">
            <w:pPr>
              <w:pStyle w:val="CBDTableNormal"/>
              <w:spacing w:before="0" w:after="0"/>
              <w:jc w:val="right"/>
              <w:rPr>
                <w:sz w:val="18"/>
                <w:szCs w:val="18"/>
              </w:rPr>
            </w:pPr>
            <w:r>
              <w:rPr>
                <w:sz w:val="18"/>
              </w:rPr>
              <w:t>2,516</w:t>
            </w:r>
          </w:p>
        </w:tc>
        <w:tc>
          <w:tcPr>
            <w:tcW w:w="1176" w:type="dxa"/>
            <w:tcBorders>
              <w:top w:val="nil"/>
              <w:left w:val="nil"/>
              <w:bottom w:val="single" w:sz="4" w:space="0" w:color="auto"/>
              <w:right w:val="single" w:sz="4" w:space="0" w:color="auto"/>
            </w:tcBorders>
            <w:shd w:val="clear" w:color="auto" w:fill="auto"/>
            <w:noWrap/>
            <w:vAlign w:val="bottom"/>
            <w:hideMark/>
          </w:tcPr>
          <w:p w14:paraId="02A8BC8E" w14:textId="77777777" w:rsidR="00FE399D" w:rsidRPr="00D1707B" w:rsidRDefault="00FE399D" w:rsidP="00582303">
            <w:pPr>
              <w:pStyle w:val="CBDTableNormal"/>
              <w:spacing w:before="0" w:after="0"/>
              <w:jc w:val="right"/>
              <w:rPr>
                <w:sz w:val="18"/>
                <w:szCs w:val="18"/>
              </w:rPr>
            </w:pPr>
            <w:r>
              <w:rPr>
                <w:sz w:val="18"/>
              </w:rPr>
              <w:t>354 277</w:t>
            </w:r>
          </w:p>
        </w:tc>
        <w:tc>
          <w:tcPr>
            <w:tcW w:w="1461" w:type="dxa"/>
            <w:tcBorders>
              <w:top w:val="nil"/>
              <w:left w:val="nil"/>
              <w:bottom w:val="single" w:sz="4" w:space="0" w:color="auto"/>
              <w:right w:val="single" w:sz="4" w:space="0" w:color="auto"/>
            </w:tcBorders>
            <w:shd w:val="clear" w:color="auto" w:fill="auto"/>
            <w:noWrap/>
            <w:vAlign w:val="bottom"/>
            <w:hideMark/>
          </w:tcPr>
          <w:p w14:paraId="1E563C59" w14:textId="77777777" w:rsidR="00FE399D" w:rsidRPr="00D1707B" w:rsidRDefault="00FE399D" w:rsidP="00582303">
            <w:pPr>
              <w:pStyle w:val="CBDTableNormal"/>
              <w:spacing w:before="0" w:after="0"/>
              <w:jc w:val="right"/>
              <w:rPr>
                <w:sz w:val="18"/>
                <w:szCs w:val="18"/>
              </w:rPr>
            </w:pPr>
            <w:r>
              <w:rPr>
                <w:sz w:val="18"/>
              </w:rPr>
              <w:t>378 517</w:t>
            </w:r>
          </w:p>
        </w:tc>
        <w:tc>
          <w:tcPr>
            <w:tcW w:w="1080" w:type="dxa"/>
            <w:tcBorders>
              <w:top w:val="nil"/>
              <w:left w:val="nil"/>
              <w:bottom w:val="single" w:sz="4" w:space="0" w:color="auto"/>
              <w:right w:val="single" w:sz="4" w:space="0" w:color="auto"/>
            </w:tcBorders>
            <w:shd w:val="clear" w:color="auto" w:fill="auto"/>
            <w:noWrap/>
            <w:vAlign w:val="bottom"/>
            <w:hideMark/>
          </w:tcPr>
          <w:p w14:paraId="6D55F4FA" w14:textId="77777777" w:rsidR="00FE399D" w:rsidRPr="00D1707B" w:rsidRDefault="00FE399D" w:rsidP="00582303">
            <w:pPr>
              <w:pStyle w:val="CBDTableNormal"/>
              <w:spacing w:before="0" w:after="0"/>
              <w:jc w:val="right"/>
              <w:rPr>
                <w:sz w:val="18"/>
                <w:szCs w:val="18"/>
              </w:rPr>
            </w:pPr>
            <w:r>
              <w:rPr>
                <w:sz w:val="18"/>
              </w:rPr>
              <w:t>732 794</w:t>
            </w:r>
          </w:p>
        </w:tc>
      </w:tr>
      <w:tr w:rsidR="00FE399D" w:rsidRPr="00D1707B" w14:paraId="193A6F0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362CA4A" w14:textId="77777777" w:rsidR="00FE399D" w:rsidRPr="00D1707B" w:rsidRDefault="00FE399D" w:rsidP="00582303">
            <w:pPr>
              <w:pStyle w:val="CBDTableNormal"/>
              <w:spacing w:before="0" w:after="0"/>
              <w:rPr>
                <w:sz w:val="18"/>
                <w:szCs w:val="18"/>
              </w:rPr>
            </w:pPr>
            <w:r>
              <w:rPr>
                <w:sz w:val="18"/>
              </w:rPr>
              <w:t>Brunei Darussalam</w:t>
            </w:r>
          </w:p>
        </w:tc>
        <w:tc>
          <w:tcPr>
            <w:tcW w:w="1628" w:type="dxa"/>
            <w:tcBorders>
              <w:top w:val="nil"/>
              <w:left w:val="nil"/>
              <w:bottom w:val="single" w:sz="4" w:space="0" w:color="auto"/>
              <w:right w:val="single" w:sz="4" w:space="0" w:color="auto"/>
            </w:tcBorders>
            <w:shd w:val="clear" w:color="auto" w:fill="auto"/>
            <w:vAlign w:val="bottom"/>
            <w:hideMark/>
          </w:tcPr>
          <w:p w14:paraId="0FF7514D" w14:textId="77777777" w:rsidR="00FE399D" w:rsidRPr="00D1707B" w:rsidRDefault="00FE399D" w:rsidP="00582303">
            <w:pPr>
              <w:pStyle w:val="CBDTableNormal"/>
              <w:spacing w:before="0" w:after="0"/>
              <w:jc w:val="right"/>
              <w:rPr>
                <w:sz w:val="18"/>
                <w:szCs w:val="18"/>
              </w:rPr>
            </w:pPr>
            <w:r>
              <w:rPr>
                <w:sz w:val="18"/>
              </w:rPr>
              <w:t>0,021</w:t>
            </w:r>
          </w:p>
        </w:tc>
        <w:tc>
          <w:tcPr>
            <w:tcW w:w="2198" w:type="dxa"/>
            <w:tcBorders>
              <w:top w:val="nil"/>
              <w:left w:val="nil"/>
              <w:bottom w:val="single" w:sz="4" w:space="0" w:color="auto"/>
              <w:right w:val="single" w:sz="4" w:space="0" w:color="auto"/>
            </w:tcBorders>
            <w:shd w:val="clear" w:color="auto" w:fill="auto"/>
            <w:noWrap/>
            <w:vAlign w:val="bottom"/>
            <w:hideMark/>
          </w:tcPr>
          <w:p w14:paraId="1DF6B757" w14:textId="77777777" w:rsidR="00FE399D" w:rsidRPr="00D1707B" w:rsidRDefault="00FE399D" w:rsidP="00582303">
            <w:pPr>
              <w:pStyle w:val="CBDTableNormal"/>
              <w:spacing w:before="0" w:after="0"/>
              <w:jc w:val="right"/>
              <w:rPr>
                <w:sz w:val="18"/>
                <w:szCs w:val="18"/>
              </w:rPr>
            </w:pPr>
            <w:r>
              <w:rPr>
                <w:sz w:val="18"/>
              </w:rPr>
              <w:t>0,026</w:t>
            </w:r>
          </w:p>
        </w:tc>
        <w:tc>
          <w:tcPr>
            <w:tcW w:w="1176" w:type="dxa"/>
            <w:tcBorders>
              <w:top w:val="nil"/>
              <w:left w:val="nil"/>
              <w:bottom w:val="single" w:sz="4" w:space="0" w:color="auto"/>
              <w:right w:val="single" w:sz="4" w:space="0" w:color="auto"/>
            </w:tcBorders>
            <w:shd w:val="clear" w:color="auto" w:fill="auto"/>
            <w:noWrap/>
            <w:vAlign w:val="bottom"/>
            <w:hideMark/>
          </w:tcPr>
          <w:p w14:paraId="1CE43935" w14:textId="77777777" w:rsidR="00FE399D" w:rsidRPr="00D1707B" w:rsidRDefault="00FE399D" w:rsidP="00582303">
            <w:pPr>
              <w:pStyle w:val="CBDTableNormal"/>
              <w:spacing w:before="0" w:after="0"/>
              <w:jc w:val="right"/>
              <w:rPr>
                <w:sz w:val="18"/>
                <w:szCs w:val="18"/>
              </w:rPr>
            </w:pPr>
            <w:r>
              <w:rPr>
                <w:sz w:val="18"/>
              </w:rPr>
              <w:t>3 696</w:t>
            </w:r>
          </w:p>
        </w:tc>
        <w:tc>
          <w:tcPr>
            <w:tcW w:w="1461" w:type="dxa"/>
            <w:tcBorders>
              <w:top w:val="nil"/>
              <w:left w:val="nil"/>
              <w:bottom w:val="single" w:sz="4" w:space="0" w:color="auto"/>
              <w:right w:val="single" w:sz="4" w:space="0" w:color="auto"/>
            </w:tcBorders>
            <w:shd w:val="clear" w:color="auto" w:fill="auto"/>
            <w:noWrap/>
            <w:vAlign w:val="bottom"/>
            <w:hideMark/>
          </w:tcPr>
          <w:p w14:paraId="7A736D5C" w14:textId="77777777" w:rsidR="00FE399D" w:rsidRPr="00D1707B" w:rsidRDefault="00FE399D" w:rsidP="00582303">
            <w:pPr>
              <w:pStyle w:val="CBDTableNormal"/>
              <w:spacing w:before="0" w:after="0"/>
              <w:jc w:val="right"/>
              <w:rPr>
                <w:sz w:val="18"/>
                <w:szCs w:val="18"/>
              </w:rPr>
            </w:pPr>
            <w:r>
              <w:rPr>
                <w:sz w:val="18"/>
              </w:rPr>
              <w:t>3 949</w:t>
            </w:r>
          </w:p>
        </w:tc>
        <w:tc>
          <w:tcPr>
            <w:tcW w:w="1080" w:type="dxa"/>
            <w:tcBorders>
              <w:top w:val="nil"/>
              <w:left w:val="nil"/>
              <w:bottom w:val="single" w:sz="4" w:space="0" w:color="auto"/>
              <w:right w:val="single" w:sz="4" w:space="0" w:color="auto"/>
            </w:tcBorders>
            <w:shd w:val="clear" w:color="auto" w:fill="auto"/>
            <w:noWrap/>
            <w:vAlign w:val="bottom"/>
            <w:hideMark/>
          </w:tcPr>
          <w:p w14:paraId="39374AB9" w14:textId="77777777" w:rsidR="00FE399D" w:rsidRPr="00D1707B" w:rsidRDefault="00FE399D" w:rsidP="00582303">
            <w:pPr>
              <w:pStyle w:val="CBDTableNormal"/>
              <w:spacing w:before="0" w:after="0"/>
              <w:jc w:val="right"/>
              <w:rPr>
                <w:sz w:val="18"/>
                <w:szCs w:val="18"/>
              </w:rPr>
            </w:pPr>
            <w:r>
              <w:rPr>
                <w:sz w:val="18"/>
              </w:rPr>
              <w:t>7 645</w:t>
            </w:r>
          </w:p>
        </w:tc>
      </w:tr>
      <w:tr w:rsidR="00FE399D" w:rsidRPr="00D1707B" w14:paraId="7B52D4D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1C32960" w14:textId="77777777" w:rsidR="00FE399D" w:rsidRPr="00D1707B" w:rsidRDefault="00FE399D" w:rsidP="00582303">
            <w:pPr>
              <w:pStyle w:val="CBDTableNormal"/>
              <w:spacing w:before="0" w:after="0"/>
              <w:rPr>
                <w:sz w:val="18"/>
                <w:szCs w:val="18"/>
              </w:rPr>
            </w:pPr>
            <w:r>
              <w:rPr>
                <w:sz w:val="18"/>
              </w:rPr>
              <w:t>Bulgaria</w:t>
            </w:r>
          </w:p>
        </w:tc>
        <w:tc>
          <w:tcPr>
            <w:tcW w:w="1628" w:type="dxa"/>
            <w:tcBorders>
              <w:top w:val="nil"/>
              <w:left w:val="nil"/>
              <w:bottom w:val="single" w:sz="4" w:space="0" w:color="auto"/>
              <w:right w:val="single" w:sz="4" w:space="0" w:color="auto"/>
            </w:tcBorders>
            <w:shd w:val="clear" w:color="auto" w:fill="auto"/>
            <w:vAlign w:val="bottom"/>
            <w:hideMark/>
          </w:tcPr>
          <w:p w14:paraId="6717380A" w14:textId="77777777" w:rsidR="00FE399D" w:rsidRPr="00D1707B" w:rsidRDefault="00FE399D" w:rsidP="00582303">
            <w:pPr>
              <w:pStyle w:val="CBDTableNormal"/>
              <w:spacing w:before="0" w:after="0"/>
              <w:jc w:val="right"/>
              <w:rPr>
                <w:sz w:val="18"/>
                <w:szCs w:val="18"/>
              </w:rPr>
            </w:pPr>
            <w:r>
              <w:rPr>
                <w:sz w:val="18"/>
              </w:rPr>
              <w:t>0,056</w:t>
            </w:r>
          </w:p>
        </w:tc>
        <w:tc>
          <w:tcPr>
            <w:tcW w:w="2198" w:type="dxa"/>
            <w:tcBorders>
              <w:top w:val="nil"/>
              <w:left w:val="nil"/>
              <w:bottom w:val="single" w:sz="4" w:space="0" w:color="auto"/>
              <w:right w:val="single" w:sz="4" w:space="0" w:color="auto"/>
            </w:tcBorders>
            <w:shd w:val="clear" w:color="auto" w:fill="auto"/>
            <w:noWrap/>
            <w:vAlign w:val="bottom"/>
            <w:hideMark/>
          </w:tcPr>
          <w:p w14:paraId="00CDD4B1" w14:textId="77777777" w:rsidR="00FE399D" w:rsidRPr="00D1707B" w:rsidRDefault="00FE399D" w:rsidP="00582303">
            <w:pPr>
              <w:pStyle w:val="CBDTableNormal"/>
              <w:spacing w:before="0" w:after="0"/>
              <w:jc w:val="right"/>
              <w:rPr>
                <w:sz w:val="18"/>
                <w:szCs w:val="18"/>
              </w:rPr>
            </w:pPr>
            <w:r>
              <w:rPr>
                <w:sz w:val="18"/>
              </w:rPr>
              <w:t>0,070</w:t>
            </w:r>
          </w:p>
        </w:tc>
        <w:tc>
          <w:tcPr>
            <w:tcW w:w="1176" w:type="dxa"/>
            <w:tcBorders>
              <w:top w:val="nil"/>
              <w:left w:val="nil"/>
              <w:bottom w:val="single" w:sz="4" w:space="0" w:color="auto"/>
              <w:right w:val="single" w:sz="4" w:space="0" w:color="auto"/>
            </w:tcBorders>
            <w:shd w:val="clear" w:color="auto" w:fill="auto"/>
            <w:noWrap/>
            <w:vAlign w:val="bottom"/>
            <w:hideMark/>
          </w:tcPr>
          <w:p w14:paraId="736543D8" w14:textId="77777777" w:rsidR="00FE399D" w:rsidRPr="00D1707B" w:rsidRDefault="00FE399D" w:rsidP="00582303">
            <w:pPr>
              <w:pStyle w:val="CBDTableNormal"/>
              <w:spacing w:before="0" w:after="0"/>
              <w:jc w:val="right"/>
              <w:rPr>
                <w:sz w:val="18"/>
                <w:szCs w:val="18"/>
              </w:rPr>
            </w:pPr>
            <w:r>
              <w:rPr>
                <w:sz w:val="18"/>
              </w:rPr>
              <w:t>9 856</w:t>
            </w:r>
          </w:p>
        </w:tc>
        <w:tc>
          <w:tcPr>
            <w:tcW w:w="1461" w:type="dxa"/>
            <w:tcBorders>
              <w:top w:val="nil"/>
              <w:left w:val="nil"/>
              <w:bottom w:val="single" w:sz="4" w:space="0" w:color="auto"/>
              <w:right w:val="single" w:sz="4" w:space="0" w:color="auto"/>
            </w:tcBorders>
            <w:shd w:val="clear" w:color="auto" w:fill="auto"/>
            <w:noWrap/>
            <w:vAlign w:val="bottom"/>
            <w:hideMark/>
          </w:tcPr>
          <w:p w14:paraId="0EE8A27E" w14:textId="77777777" w:rsidR="00FE399D" w:rsidRPr="00D1707B" w:rsidRDefault="00FE399D" w:rsidP="00582303">
            <w:pPr>
              <w:pStyle w:val="CBDTableNormal"/>
              <w:spacing w:before="0" w:after="0"/>
              <w:jc w:val="right"/>
              <w:rPr>
                <w:sz w:val="18"/>
                <w:szCs w:val="18"/>
              </w:rPr>
            </w:pPr>
            <w:r>
              <w:rPr>
                <w:sz w:val="18"/>
              </w:rPr>
              <w:t>10 530</w:t>
            </w:r>
          </w:p>
        </w:tc>
        <w:tc>
          <w:tcPr>
            <w:tcW w:w="1080" w:type="dxa"/>
            <w:tcBorders>
              <w:top w:val="nil"/>
              <w:left w:val="nil"/>
              <w:bottom w:val="single" w:sz="4" w:space="0" w:color="auto"/>
              <w:right w:val="single" w:sz="4" w:space="0" w:color="auto"/>
            </w:tcBorders>
            <w:shd w:val="clear" w:color="auto" w:fill="auto"/>
            <w:noWrap/>
            <w:vAlign w:val="bottom"/>
            <w:hideMark/>
          </w:tcPr>
          <w:p w14:paraId="0DAE85E2" w14:textId="77777777" w:rsidR="00FE399D" w:rsidRPr="00D1707B" w:rsidRDefault="00FE399D" w:rsidP="00582303">
            <w:pPr>
              <w:pStyle w:val="CBDTableNormal"/>
              <w:spacing w:before="0" w:after="0"/>
              <w:jc w:val="right"/>
              <w:rPr>
                <w:sz w:val="18"/>
                <w:szCs w:val="18"/>
              </w:rPr>
            </w:pPr>
            <w:r>
              <w:rPr>
                <w:sz w:val="18"/>
              </w:rPr>
              <w:t>20 386</w:t>
            </w:r>
          </w:p>
        </w:tc>
      </w:tr>
      <w:tr w:rsidR="00FE399D" w:rsidRPr="00D1707B" w14:paraId="3072B5E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3BD111B" w14:textId="77777777" w:rsidR="00FE399D" w:rsidRPr="00D1707B" w:rsidRDefault="00FE399D" w:rsidP="00582303">
            <w:pPr>
              <w:pStyle w:val="CBDTableNormal"/>
              <w:spacing w:before="0" w:after="0"/>
              <w:rPr>
                <w:sz w:val="18"/>
                <w:szCs w:val="18"/>
              </w:rPr>
            </w:pPr>
            <w:r>
              <w:rPr>
                <w:sz w:val="18"/>
              </w:rPr>
              <w:t>Burkina Faso</w:t>
            </w:r>
          </w:p>
        </w:tc>
        <w:tc>
          <w:tcPr>
            <w:tcW w:w="1628" w:type="dxa"/>
            <w:tcBorders>
              <w:top w:val="nil"/>
              <w:left w:val="nil"/>
              <w:bottom w:val="single" w:sz="4" w:space="0" w:color="auto"/>
              <w:right w:val="single" w:sz="4" w:space="0" w:color="auto"/>
            </w:tcBorders>
            <w:shd w:val="clear" w:color="auto" w:fill="auto"/>
            <w:vAlign w:val="bottom"/>
            <w:hideMark/>
          </w:tcPr>
          <w:p w14:paraId="77460528" w14:textId="77777777" w:rsidR="00FE399D" w:rsidRPr="00D1707B" w:rsidRDefault="00FE399D" w:rsidP="00582303">
            <w:pPr>
              <w:pStyle w:val="CBDTableNormal"/>
              <w:spacing w:before="0" w:after="0"/>
              <w:jc w:val="right"/>
              <w:rPr>
                <w:sz w:val="18"/>
                <w:szCs w:val="18"/>
              </w:rPr>
            </w:pPr>
            <w:r>
              <w:rPr>
                <w:sz w:val="18"/>
              </w:rPr>
              <w:t>0,004</w:t>
            </w:r>
          </w:p>
        </w:tc>
        <w:tc>
          <w:tcPr>
            <w:tcW w:w="2198" w:type="dxa"/>
            <w:tcBorders>
              <w:top w:val="nil"/>
              <w:left w:val="nil"/>
              <w:bottom w:val="single" w:sz="4" w:space="0" w:color="auto"/>
              <w:right w:val="single" w:sz="4" w:space="0" w:color="auto"/>
            </w:tcBorders>
            <w:shd w:val="clear" w:color="auto" w:fill="auto"/>
            <w:noWrap/>
            <w:vAlign w:val="bottom"/>
            <w:hideMark/>
          </w:tcPr>
          <w:p w14:paraId="5440D341" w14:textId="77777777" w:rsidR="00FE399D" w:rsidRPr="00D1707B" w:rsidRDefault="00FE399D" w:rsidP="00582303">
            <w:pPr>
              <w:pStyle w:val="CBDTableNormal"/>
              <w:spacing w:before="0" w:after="0"/>
              <w:jc w:val="right"/>
              <w:rPr>
                <w:sz w:val="18"/>
                <w:szCs w:val="18"/>
              </w:rPr>
            </w:pPr>
            <w:r>
              <w:rPr>
                <w:sz w:val="18"/>
              </w:rPr>
              <w:t>0,005</w:t>
            </w:r>
          </w:p>
        </w:tc>
        <w:tc>
          <w:tcPr>
            <w:tcW w:w="1176" w:type="dxa"/>
            <w:tcBorders>
              <w:top w:val="nil"/>
              <w:left w:val="nil"/>
              <w:bottom w:val="single" w:sz="4" w:space="0" w:color="auto"/>
              <w:right w:val="single" w:sz="4" w:space="0" w:color="auto"/>
            </w:tcBorders>
            <w:shd w:val="clear" w:color="auto" w:fill="auto"/>
            <w:noWrap/>
            <w:vAlign w:val="bottom"/>
            <w:hideMark/>
          </w:tcPr>
          <w:p w14:paraId="55F54B0A" w14:textId="77777777" w:rsidR="00FE399D" w:rsidRPr="00D1707B" w:rsidRDefault="00FE399D" w:rsidP="00582303">
            <w:pPr>
              <w:pStyle w:val="CBDTableNormal"/>
              <w:spacing w:before="0" w:after="0"/>
              <w:jc w:val="right"/>
              <w:rPr>
                <w:sz w:val="18"/>
                <w:szCs w:val="18"/>
              </w:rPr>
            </w:pPr>
            <w:r>
              <w:rPr>
                <w:sz w:val="18"/>
              </w:rPr>
              <w:t>704</w:t>
            </w:r>
          </w:p>
        </w:tc>
        <w:tc>
          <w:tcPr>
            <w:tcW w:w="1461" w:type="dxa"/>
            <w:tcBorders>
              <w:top w:val="nil"/>
              <w:left w:val="nil"/>
              <w:bottom w:val="single" w:sz="4" w:space="0" w:color="auto"/>
              <w:right w:val="single" w:sz="4" w:space="0" w:color="auto"/>
            </w:tcBorders>
            <w:shd w:val="clear" w:color="auto" w:fill="auto"/>
            <w:noWrap/>
            <w:vAlign w:val="bottom"/>
            <w:hideMark/>
          </w:tcPr>
          <w:p w14:paraId="3E4CA416" w14:textId="77777777" w:rsidR="00FE399D" w:rsidRPr="00D1707B" w:rsidRDefault="00FE399D" w:rsidP="00582303">
            <w:pPr>
              <w:pStyle w:val="CBDTableNormal"/>
              <w:spacing w:before="0" w:after="0"/>
              <w:jc w:val="right"/>
              <w:rPr>
                <w:sz w:val="18"/>
                <w:szCs w:val="18"/>
              </w:rPr>
            </w:pPr>
            <w:r>
              <w:rPr>
                <w:sz w:val="18"/>
              </w:rPr>
              <w:t>752</w:t>
            </w:r>
          </w:p>
        </w:tc>
        <w:tc>
          <w:tcPr>
            <w:tcW w:w="1080" w:type="dxa"/>
            <w:tcBorders>
              <w:top w:val="nil"/>
              <w:left w:val="nil"/>
              <w:bottom w:val="single" w:sz="4" w:space="0" w:color="auto"/>
              <w:right w:val="single" w:sz="4" w:space="0" w:color="auto"/>
            </w:tcBorders>
            <w:shd w:val="clear" w:color="auto" w:fill="auto"/>
            <w:noWrap/>
            <w:vAlign w:val="bottom"/>
            <w:hideMark/>
          </w:tcPr>
          <w:p w14:paraId="1D3FB796" w14:textId="77777777" w:rsidR="00FE399D" w:rsidRPr="00D1707B" w:rsidRDefault="00FE399D" w:rsidP="00582303">
            <w:pPr>
              <w:pStyle w:val="CBDTableNormal"/>
              <w:spacing w:before="0" w:after="0"/>
              <w:jc w:val="right"/>
              <w:rPr>
                <w:sz w:val="18"/>
                <w:szCs w:val="18"/>
              </w:rPr>
            </w:pPr>
            <w:r>
              <w:rPr>
                <w:sz w:val="18"/>
              </w:rPr>
              <w:t>1 456</w:t>
            </w:r>
          </w:p>
        </w:tc>
      </w:tr>
      <w:tr w:rsidR="00FE399D" w:rsidRPr="00D1707B" w14:paraId="14A7278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BBA4D65" w14:textId="77777777" w:rsidR="00FE399D" w:rsidRPr="00D1707B" w:rsidRDefault="00FE399D" w:rsidP="00582303">
            <w:pPr>
              <w:pStyle w:val="CBDTableNormal"/>
              <w:spacing w:before="0" w:after="0"/>
              <w:rPr>
                <w:sz w:val="18"/>
                <w:szCs w:val="18"/>
              </w:rPr>
            </w:pPr>
            <w:r>
              <w:rPr>
                <w:sz w:val="18"/>
              </w:rPr>
              <w:t>Burundi</w:t>
            </w:r>
          </w:p>
        </w:tc>
        <w:tc>
          <w:tcPr>
            <w:tcW w:w="1628" w:type="dxa"/>
            <w:tcBorders>
              <w:top w:val="nil"/>
              <w:left w:val="nil"/>
              <w:bottom w:val="single" w:sz="4" w:space="0" w:color="auto"/>
              <w:right w:val="single" w:sz="4" w:space="0" w:color="auto"/>
            </w:tcBorders>
            <w:shd w:val="clear" w:color="auto" w:fill="auto"/>
            <w:vAlign w:val="bottom"/>
            <w:hideMark/>
          </w:tcPr>
          <w:p w14:paraId="7537DEAD"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7B667B85"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259D9414"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2946995C"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14762CF3"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5FFCFA7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BA4BAFD" w14:textId="77777777" w:rsidR="00FE399D" w:rsidRPr="00D1707B" w:rsidRDefault="00FE399D" w:rsidP="00582303">
            <w:pPr>
              <w:pStyle w:val="CBDTableNormal"/>
              <w:spacing w:before="0" w:after="0"/>
              <w:rPr>
                <w:sz w:val="18"/>
                <w:szCs w:val="18"/>
              </w:rPr>
            </w:pPr>
            <w:r>
              <w:rPr>
                <w:sz w:val="18"/>
              </w:rPr>
              <w:t>Cabo Verde</w:t>
            </w:r>
          </w:p>
        </w:tc>
        <w:tc>
          <w:tcPr>
            <w:tcW w:w="1628" w:type="dxa"/>
            <w:tcBorders>
              <w:top w:val="nil"/>
              <w:left w:val="nil"/>
              <w:bottom w:val="single" w:sz="4" w:space="0" w:color="auto"/>
              <w:right w:val="single" w:sz="4" w:space="0" w:color="auto"/>
            </w:tcBorders>
            <w:shd w:val="clear" w:color="auto" w:fill="auto"/>
            <w:vAlign w:val="bottom"/>
            <w:hideMark/>
          </w:tcPr>
          <w:p w14:paraId="29A65E4B"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6E7C29C0"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2C5AA808"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2CED095C"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1C8CC8B8"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122675A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7213C84" w14:textId="77777777" w:rsidR="00FE399D" w:rsidRPr="00D1707B" w:rsidRDefault="00FE399D" w:rsidP="00582303">
            <w:pPr>
              <w:pStyle w:val="CBDTableNormal"/>
              <w:spacing w:before="0" w:after="0"/>
              <w:rPr>
                <w:sz w:val="18"/>
                <w:szCs w:val="18"/>
              </w:rPr>
            </w:pPr>
            <w:r>
              <w:rPr>
                <w:sz w:val="18"/>
              </w:rPr>
              <w:t>Camboya</w:t>
            </w:r>
          </w:p>
        </w:tc>
        <w:tc>
          <w:tcPr>
            <w:tcW w:w="1628" w:type="dxa"/>
            <w:tcBorders>
              <w:top w:val="nil"/>
              <w:left w:val="nil"/>
              <w:bottom w:val="single" w:sz="4" w:space="0" w:color="auto"/>
              <w:right w:val="single" w:sz="4" w:space="0" w:color="auto"/>
            </w:tcBorders>
            <w:shd w:val="clear" w:color="auto" w:fill="auto"/>
            <w:vAlign w:val="bottom"/>
            <w:hideMark/>
          </w:tcPr>
          <w:p w14:paraId="211B378C" w14:textId="77777777" w:rsidR="00FE399D" w:rsidRPr="00D1707B" w:rsidRDefault="00FE399D" w:rsidP="00582303">
            <w:pPr>
              <w:pStyle w:val="CBDTableNormal"/>
              <w:spacing w:before="0" w:after="0"/>
              <w:jc w:val="right"/>
              <w:rPr>
                <w:sz w:val="18"/>
                <w:szCs w:val="18"/>
              </w:rPr>
            </w:pPr>
            <w:r>
              <w:rPr>
                <w:sz w:val="18"/>
              </w:rPr>
              <w:t>0,007</w:t>
            </w:r>
          </w:p>
        </w:tc>
        <w:tc>
          <w:tcPr>
            <w:tcW w:w="2198" w:type="dxa"/>
            <w:tcBorders>
              <w:top w:val="nil"/>
              <w:left w:val="nil"/>
              <w:bottom w:val="single" w:sz="4" w:space="0" w:color="auto"/>
              <w:right w:val="single" w:sz="4" w:space="0" w:color="auto"/>
            </w:tcBorders>
            <w:shd w:val="clear" w:color="auto" w:fill="auto"/>
            <w:noWrap/>
            <w:vAlign w:val="bottom"/>
            <w:hideMark/>
          </w:tcPr>
          <w:p w14:paraId="2C2EB40D" w14:textId="77777777" w:rsidR="00FE399D" w:rsidRPr="00D1707B" w:rsidRDefault="00FE399D" w:rsidP="00582303">
            <w:pPr>
              <w:pStyle w:val="CBDTableNormal"/>
              <w:spacing w:before="0" w:after="0"/>
              <w:jc w:val="right"/>
              <w:rPr>
                <w:sz w:val="18"/>
                <w:szCs w:val="18"/>
              </w:rPr>
            </w:pPr>
            <w:r>
              <w:rPr>
                <w:sz w:val="18"/>
              </w:rPr>
              <w:t>0,009</w:t>
            </w:r>
          </w:p>
        </w:tc>
        <w:tc>
          <w:tcPr>
            <w:tcW w:w="1176" w:type="dxa"/>
            <w:tcBorders>
              <w:top w:val="nil"/>
              <w:left w:val="nil"/>
              <w:bottom w:val="single" w:sz="4" w:space="0" w:color="auto"/>
              <w:right w:val="single" w:sz="4" w:space="0" w:color="auto"/>
            </w:tcBorders>
            <w:shd w:val="clear" w:color="auto" w:fill="auto"/>
            <w:noWrap/>
            <w:vAlign w:val="bottom"/>
            <w:hideMark/>
          </w:tcPr>
          <w:p w14:paraId="16BE276C" w14:textId="77777777" w:rsidR="00FE399D" w:rsidRPr="00D1707B" w:rsidRDefault="00FE399D" w:rsidP="00582303">
            <w:pPr>
              <w:pStyle w:val="CBDTableNormal"/>
              <w:spacing w:before="0" w:after="0"/>
              <w:jc w:val="right"/>
              <w:rPr>
                <w:sz w:val="18"/>
                <w:szCs w:val="18"/>
              </w:rPr>
            </w:pPr>
            <w:r>
              <w:rPr>
                <w:sz w:val="18"/>
              </w:rPr>
              <w:t>1 232</w:t>
            </w:r>
          </w:p>
        </w:tc>
        <w:tc>
          <w:tcPr>
            <w:tcW w:w="1461" w:type="dxa"/>
            <w:tcBorders>
              <w:top w:val="nil"/>
              <w:left w:val="nil"/>
              <w:bottom w:val="single" w:sz="4" w:space="0" w:color="auto"/>
              <w:right w:val="single" w:sz="4" w:space="0" w:color="auto"/>
            </w:tcBorders>
            <w:shd w:val="clear" w:color="auto" w:fill="auto"/>
            <w:noWrap/>
            <w:vAlign w:val="bottom"/>
            <w:hideMark/>
          </w:tcPr>
          <w:p w14:paraId="17FB25C4" w14:textId="77777777" w:rsidR="00FE399D" w:rsidRPr="00D1707B" w:rsidRDefault="00FE399D" w:rsidP="00582303">
            <w:pPr>
              <w:pStyle w:val="CBDTableNormal"/>
              <w:spacing w:before="0" w:after="0"/>
              <w:jc w:val="right"/>
              <w:rPr>
                <w:sz w:val="18"/>
                <w:szCs w:val="18"/>
              </w:rPr>
            </w:pPr>
            <w:r>
              <w:rPr>
                <w:sz w:val="18"/>
              </w:rPr>
              <w:t>1 316</w:t>
            </w:r>
          </w:p>
        </w:tc>
        <w:tc>
          <w:tcPr>
            <w:tcW w:w="1080" w:type="dxa"/>
            <w:tcBorders>
              <w:top w:val="nil"/>
              <w:left w:val="nil"/>
              <w:bottom w:val="single" w:sz="4" w:space="0" w:color="auto"/>
              <w:right w:val="single" w:sz="4" w:space="0" w:color="auto"/>
            </w:tcBorders>
            <w:shd w:val="clear" w:color="auto" w:fill="auto"/>
            <w:noWrap/>
            <w:vAlign w:val="bottom"/>
            <w:hideMark/>
          </w:tcPr>
          <w:p w14:paraId="18E48747" w14:textId="77777777" w:rsidR="00FE399D" w:rsidRPr="00D1707B" w:rsidRDefault="00FE399D" w:rsidP="00582303">
            <w:pPr>
              <w:pStyle w:val="CBDTableNormal"/>
              <w:spacing w:before="0" w:after="0"/>
              <w:jc w:val="right"/>
              <w:rPr>
                <w:sz w:val="18"/>
                <w:szCs w:val="18"/>
              </w:rPr>
            </w:pPr>
            <w:r>
              <w:rPr>
                <w:sz w:val="18"/>
              </w:rPr>
              <w:t>2 548</w:t>
            </w:r>
          </w:p>
        </w:tc>
      </w:tr>
      <w:tr w:rsidR="00FE399D" w:rsidRPr="00D1707B" w14:paraId="4FC85B0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87D413E" w14:textId="77777777" w:rsidR="00FE399D" w:rsidRPr="00D1707B" w:rsidRDefault="00FE399D" w:rsidP="00582303">
            <w:pPr>
              <w:pStyle w:val="CBDTableNormal"/>
              <w:spacing w:before="0" w:after="0"/>
              <w:rPr>
                <w:sz w:val="18"/>
                <w:szCs w:val="18"/>
              </w:rPr>
            </w:pPr>
            <w:r>
              <w:rPr>
                <w:sz w:val="18"/>
              </w:rPr>
              <w:t>Camerún</w:t>
            </w:r>
          </w:p>
        </w:tc>
        <w:tc>
          <w:tcPr>
            <w:tcW w:w="1628" w:type="dxa"/>
            <w:tcBorders>
              <w:top w:val="nil"/>
              <w:left w:val="nil"/>
              <w:bottom w:val="single" w:sz="4" w:space="0" w:color="auto"/>
              <w:right w:val="single" w:sz="4" w:space="0" w:color="auto"/>
            </w:tcBorders>
            <w:shd w:val="clear" w:color="auto" w:fill="auto"/>
            <w:vAlign w:val="bottom"/>
            <w:hideMark/>
          </w:tcPr>
          <w:p w14:paraId="283CC7BC" w14:textId="77777777" w:rsidR="00FE399D" w:rsidRPr="00D1707B" w:rsidRDefault="00FE399D" w:rsidP="00582303">
            <w:pPr>
              <w:pStyle w:val="CBDTableNormal"/>
              <w:spacing w:before="0" w:after="0"/>
              <w:jc w:val="right"/>
              <w:rPr>
                <w:sz w:val="18"/>
                <w:szCs w:val="18"/>
              </w:rPr>
            </w:pPr>
            <w:r>
              <w:rPr>
                <w:sz w:val="18"/>
              </w:rPr>
              <w:t>0,013</w:t>
            </w:r>
          </w:p>
        </w:tc>
        <w:tc>
          <w:tcPr>
            <w:tcW w:w="2198" w:type="dxa"/>
            <w:tcBorders>
              <w:top w:val="nil"/>
              <w:left w:val="nil"/>
              <w:bottom w:val="single" w:sz="4" w:space="0" w:color="auto"/>
              <w:right w:val="single" w:sz="4" w:space="0" w:color="auto"/>
            </w:tcBorders>
            <w:shd w:val="clear" w:color="auto" w:fill="auto"/>
            <w:noWrap/>
            <w:vAlign w:val="bottom"/>
            <w:hideMark/>
          </w:tcPr>
          <w:p w14:paraId="3EC73377" w14:textId="77777777" w:rsidR="00FE399D" w:rsidRPr="00D1707B" w:rsidRDefault="00FE399D" w:rsidP="00582303">
            <w:pPr>
              <w:pStyle w:val="CBDTableNormal"/>
              <w:spacing w:before="0" w:after="0"/>
              <w:jc w:val="right"/>
              <w:rPr>
                <w:sz w:val="18"/>
                <w:szCs w:val="18"/>
              </w:rPr>
            </w:pPr>
            <w:r>
              <w:rPr>
                <w:sz w:val="18"/>
              </w:rPr>
              <w:t>0,016</w:t>
            </w:r>
          </w:p>
        </w:tc>
        <w:tc>
          <w:tcPr>
            <w:tcW w:w="1176" w:type="dxa"/>
            <w:tcBorders>
              <w:top w:val="nil"/>
              <w:left w:val="nil"/>
              <w:bottom w:val="single" w:sz="4" w:space="0" w:color="auto"/>
              <w:right w:val="single" w:sz="4" w:space="0" w:color="auto"/>
            </w:tcBorders>
            <w:shd w:val="clear" w:color="auto" w:fill="auto"/>
            <w:noWrap/>
            <w:vAlign w:val="bottom"/>
            <w:hideMark/>
          </w:tcPr>
          <w:p w14:paraId="7B0E3099" w14:textId="77777777" w:rsidR="00FE399D" w:rsidRPr="00D1707B" w:rsidRDefault="00FE399D" w:rsidP="00582303">
            <w:pPr>
              <w:pStyle w:val="CBDTableNormal"/>
              <w:spacing w:before="0" w:after="0"/>
              <w:jc w:val="right"/>
              <w:rPr>
                <w:sz w:val="18"/>
                <w:szCs w:val="18"/>
              </w:rPr>
            </w:pPr>
            <w:r>
              <w:rPr>
                <w:sz w:val="18"/>
              </w:rPr>
              <w:t>2 288</w:t>
            </w:r>
          </w:p>
        </w:tc>
        <w:tc>
          <w:tcPr>
            <w:tcW w:w="1461" w:type="dxa"/>
            <w:tcBorders>
              <w:top w:val="nil"/>
              <w:left w:val="nil"/>
              <w:bottom w:val="single" w:sz="4" w:space="0" w:color="auto"/>
              <w:right w:val="single" w:sz="4" w:space="0" w:color="auto"/>
            </w:tcBorders>
            <w:shd w:val="clear" w:color="auto" w:fill="auto"/>
            <w:noWrap/>
            <w:vAlign w:val="bottom"/>
            <w:hideMark/>
          </w:tcPr>
          <w:p w14:paraId="6A6B4BA6" w14:textId="77777777" w:rsidR="00FE399D" w:rsidRPr="00D1707B" w:rsidRDefault="00FE399D" w:rsidP="00582303">
            <w:pPr>
              <w:pStyle w:val="CBDTableNormal"/>
              <w:spacing w:before="0" w:after="0"/>
              <w:jc w:val="right"/>
              <w:rPr>
                <w:sz w:val="18"/>
                <w:szCs w:val="18"/>
              </w:rPr>
            </w:pPr>
            <w:r>
              <w:rPr>
                <w:sz w:val="18"/>
              </w:rPr>
              <w:t>2 444</w:t>
            </w:r>
          </w:p>
        </w:tc>
        <w:tc>
          <w:tcPr>
            <w:tcW w:w="1080" w:type="dxa"/>
            <w:tcBorders>
              <w:top w:val="nil"/>
              <w:left w:val="nil"/>
              <w:bottom w:val="single" w:sz="4" w:space="0" w:color="auto"/>
              <w:right w:val="single" w:sz="4" w:space="0" w:color="auto"/>
            </w:tcBorders>
            <w:shd w:val="clear" w:color="auto" w:fill="auto"/>
            <w:noWrap/>
            <w:vAlign w:val="bottom"/>
            <w:hideMark/>
          </w:tcPr>
          <w:p w14:paraId="31421910" w14:textId="77777777" w:rsidR="00FE399D" w:rsidRPr="00D1707B" w:rsidRDefault="00FE399D" w:rsidP="00582303">
            <w:pPr>
              <w:pStyle w:val="CBDTableNormal"/>
              <w:spacing w:before="0" w:after="0"/>
              <w:jc w:val="right"/>
              <w:rPr>
                <w:sz w:val="18"/>
                <w:szCs w:val="18"/>
              </w:rPr>
            </w:pPr>
            <w:r>
              <w:rPr>
                <w:sz w:val="18"/>
              </w:rPr>
              <w:t>4 732</w:t>
            </w:r>
          </w:p>
        </w:tc>
      </w:tr>
      <w:tr w:rsidR="00FE399D" w:rsidRPr="00D1707B" w14:paraId="3633129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458B159" w14:textId="77777777" w:rsidR="00FE399D" w:rsidRPr="00D1707B" w:rsidRDefault="00FE399D" w:rsidP="00582303">
            <w:pPr>
              <w:pStyle w:val="CBDTableNormal"/>
              <w:spacing w:before="0" w:after="0"/>
              <w:rPr>
                <w:sz w:val="18"/>
                <w:szCs w:val="18"/>
              </w:rPr>
            </w:pPr>
            <w:r>
              <w:rPr>
                <w:sz w:val="18"/>
              </w:rPr>
              <w:t>Canadá</w:t>
            </w:r>
          </w:p>
        </w:tc>
        <w:tc>
          <w:tcPr>
            <w:tcW w:w="1628" w:type="dxa"/>
            <w:tcBorders>
              <w:top w:val="nil"/>
              <w:left w:val="nil"/>
              <w:bottom w:val="single" w:sz="4" w:space="0" w:color="auto"/>
              <w:right w:val="single" w:sz="4" w:space="0" w:color="auto"/>
            </w:tcBorders>
            <w:shd w:val="clear" w:color="auto" w:fill="auto"/>
            <w:vAlign w:val="bottom"/>
            <w:hideMark/>
          </w:tcPr>
          <w:p w14:paraId="699877B3" w14:textId="77777777" w:rsidR="00FE399D" w:rsidRPr="00D1707B" w:rsidRDefault="00FE399D" w:rsidP="00582303">
            <w:pPr>
              <w:pStyle w:val="CBDTableNormal"/>
              <w:spacing w:before="0" w:after="0"/>
              <w:jc w:val="right"/>
              <w:rPr>
                <w:sz w:val="18"/>
                <w:szCs w:val="18"/>
              </w:rPr>
            </w:pPr>
            <w:r>
              <w:rPr>
                <w:sz w:val="18"/>
              </w:rPr>
              <w:t>2,628</w:t>
            </w:r>
          </w:p>
        </w:tc>
        <w:tc>
          <w:tcPr>
            <w:tcW w:w="2198" w:type="dxa"/>
            <w:tcBorders>
              <w:top w:val="nil"/>
              <w:left w:val="nil"/>
              <w:bottom w:val="single" w:sz="4" w:space="0" w:color="auto"/>
              <w:right w:val="single" w:sz="4" w:space="0" w:color="auto"/>
            </w:tcBorders>
            <w:shd w:val="clear" w:color="auto" w:fill="auto"/>
            <w:noWrap/>
            <w:vAlign w:val="bottom"/>
            <w:hideMark/>
          </w:tcPr>
          <w:p w14:paraId="1934FC1A" w14:textId="77777777" w:rsidR="00FE399D" w:rsidRPr="00D1707B" w:rsidRDefault="00FE399D" w:rsidP="00582303">
            <w:pPr>
              <w:pStyle w:val="CBDTableNormal"/>
              <w:spacing w:before="0" w:after="0"/>
              <w:jc w:val="right"/>
              <w:rPr>
                <w:sz w:val="18"/>
                <w:szCs w:val="18"/>
              </w:rPr>
            </w:pPr>
            <w:r>
              <w:rPr>
                <w:sz w:val="18"/>
              </w:rPr>
              <w:t>3,285</w:t>
            </w:r>
          </w:p>
        </w:tc>
        <w:tc>
          <w:tcPr>
            <w:tcW w:w="1176" w:type="dxa"/>
            <w:tcBorders>
              <w:top w:val="nil"/>
              <w:left w:val="nil"/>
              <w:bottom w:val="single" w:sz="4" w:space="0" w:color="auto"/>
              <w:right w:val="single" w:sz="4" w:space="0" w:color="auto"/>
            </w:tcBorders>
            <w:shd w:val="clear" w:color="auto" w:fill="auto"/>
            <w:noWrap/>
            <w:vAlign w:val="bottom"/>
            <w:hideMark/>
          </w:tcPr>
          <w:p w14:paraId="20B81E68" w14:textId="77777777" w:rsidR="00FE399D" w:rsidRPr="00D1707B" w:rsidRDefault="00FE399D" w:rsidP="00582303">
            <w:pPr>
              <w:pStyle w:val="CBDTableNormal"/>
              <w:spacing w:before="0" w:after="0"/>
              <w:jc w:val="right"/>
              <w:rPr>
                <w:sz w:val="18"/>
                <w:szCs w:val="18"/>
              </w:rPr>
            </w:pPr>
            <w:r>
              <w:rPr>
                <w:sz w:val="18"/>
              </w:rPr>
              <w:t>462 513</w:t>
            </w:r>
          </w:p>
        </w:tc>
        <w:tc>
          <w:tcPr>
            <w:tcW w:w="1461" w:type="dxa"/>
            <w:tcBorders>
              <w:top w:val="nil"/>
              <w:left w:val="nil"/>
              <w:bottom w:val="single" w:sz="4" w:space="0" w:color="auto"/>
              <w:right w:val="single" w:sz="4" w:space="0" w:color="auto"/>
            </w:tcBorders>
            <w:shd w:val="clear" w:color="auto" w:fill="auto"/>
            <w:noWrap/>
            <w:vAlign w:val="bottom"/>
            <w:hideMark/>
          </w:tcPr>
          <w:p w14:paraId="52732EA8" w14:textId="77777777" w:rsidR="00FE399D" w:rsidRPr="00D1707B" w:rsidRDefault="00FE399D" w:rsidP="00582303">
            <w:pPr>
              <w:pStyle w:val="CBDTableNormal"/>
              <w:spacing w:before="0" w:after="0"/>
              <w:jc w:val="right"/>
              <w:rPr>
                <w:sz w:val="18"/>
                <w:szCs w:val="18"/>
              </w:rPr>
            </w:pPr>
            <w:r>
              <w:rPr>
                <w:sz w:val="18"/>
              </w:rPr>
              <w:t>494 160</w:t>
            </w:r>
          </w:p>
        </w:tc>
        <w:tc>
          <w:tcPr>
            <w:tcW w:w="1080" w:type="dxa"/>
            <w:tcBorders>
              <w:top w:val="nil"/>
              <w:left w:val="nil"/>
              <w:bottom w:val="single" w:sz="4" w:space="0" w:color="auto"/>
              <w:right w:val="single" w:sz="4" w:space="0" w:color="auto"/>
            </w:tcBorders>
            <w:shd w:val="clear" w:color="auto" w:fill="auto"/>
            <w:noWrap/>
            <w:vAlign w:val="bottom"/>
            <w:hideMark/>
          </w:tcPr>
          <w:p w14:paraId="27D1C9AF" w14:textId="77777777" w:rsidR="00FE399D" w:rsidRPr="00D1707B" w:rsidRDefault="00FE399D" w:rsidP="00582303">
            <w:pPr>
              <w:pStyle w:val="CBDTableNormal"/>
              <w:spacing w:before="0" w:after="0"/>
              <w:jc w:val="right"/>
              <w:rPr>
                <w:sz w:val="18"/>
                <w:szCs w:val="18"/>
              </w:rPr>
            </w:pPr>
            <w:r>
              <w:rPr>
                <w:sz w:val="18"/>
              </w:rPr>
              <w:t>956 673</w:t>
            </w:r>
          </w:p>
        </w:tc>
      </w:tr>
      <w:tr w:rsidR="00FE399D" w:rsidRPr="00D1707B" w14:paraId="60E3341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05C3644" w14:textId="77777777" w:rsidR="00FE399D" w:rsidRPr="00D1707B" w:rsidRDefault="00FE399D" w:rsidP="00582303">
            <w:pPr>
              <w:pStyle w:val="CBDTableNormal"/>
              <w:spacing w:before="0" w:after="0"/>
              <w:rPr>
                <w:sz w:val="18"/>
                <w:szCs w:val="18"/>
              </w:rPr>
            </w:pPr>
            <w:r>
              <w:rPr>
                <w:sz w:val="18"/>
              </w:rPr>
              <w:t>Chad</w:t>
            </w:r>
          </w:p>
        </w:tc>
        <w:tc>
          <w:tcPr>
            <w:tcW w:w="1628" w:type="dxa"/>
            <w:tcBorders>
              <w:top w:val="nil"/>
              <w:left w:val="nil"/>
              <w:bottom w:val="single" w:sz="4" w:space="0" w:color="auto"/>
              <w:right w:val="single" w:sz="4" w:space="0" w:color="auto"/>
            </w:tcBorders>
            <w:shd w:val="clear" w:color="auto" w:fill="auto"/>
            <w:vAlign w:val="bottom"/>
            <w:hideMark/>
          </w:tcPr>
          <w:p w14:paraId="4C9AB6A1" w14:textId="77777777" w:rsidR="00FE399D" w:rsidRPr="00D1707B" w:rsidRDefault="00FE399D" w:rsidP="00582303">
            <w:pPr>
              <w:pStyle w:val="CBDTableNormal"/>
              <w:spacing w:before="0" w:after="0"/>
              <w:jc w:val="right"/>
              <w:rPr>
                <w:sz w:val="18"/>
                <w:szCs w:val="18"/>
              </w:rPr>
            </w:pPr>
            <w:r>
              <w:rPr>
                <w:sz w:val="18"/>
              </w:rPr>
              <w:t>0,003</w:t>
            </w:r>
          </w:p>
        </w:tc>
        <w:tc>
          <w:tcPr>
            <w:tcW w:w="2198" w:type="dxa"/>
            <w:tcBorders>
              <w:top w:val="nil"/>
              <w:left w:val="nil"/>
              <w:bottom w:val="single" w:sz="4" w:space="0" w:color="auto"/>
              <w:right w:val="single" w:sz="4" w:space="0" w:color="auto"/>
            </w:tcBorders>
            <w:shd w:val="clear" w:color="auto" w:fill="auto"/>
            <w:noWrap/>
            <w:vAlign w:val="bottom"/>
            <w:hideMark/>
          </w:tcPr>
          <w:p w14:paraId="665D15DA" w14:textId="77777777" w:rsidR="00FE399D" w:rsidRPr="00D1707B" w:rsidRDefault="00FE399D" w:rsidP="00582303">
            <w:pPr>
              <w:pStyle w:val="CBDTableNormal"/>
              <w:spacing w:before="0" w:after="0"/>
              <w:jc w:val="right"/>
              <w:rPr>
                <w:sz w:val="18"/>
                <w:szCs w:val="18"/>
              </w:rPr>
            </w:pPr>
            <w:r>
              <w:rPr>
                <w:sz w:val="18"/>
              </w:rPr>
              <w:t>0,004</w:t>
            </w:r>
          </w:p>
        </w:tc>
        <w:tc>
          <w:tcPr>
            <w:tcW w:w="1176" w:type="dxa"/>
            <w:tcBorders>
              <w:top w:val="nil"/>
              <w:left w:val="nil"/>
              <w:bottom w:val="single" w:sz="4" w:space="0" w:color="auto"/>
              <w:right w:val="single" w:sz="4" w:space="0" w:color="auto"/>
            </w:tcBorders>
            <w:shd w:val="clear" w:color="auto" w:fill="auto"/>
            <w:noWrap/>
            <w:vAlign w:val="bottom"/>
            <w:hideMark/>
          </w:tcPr>
          <w:p w14:paraId="1C1C4475" w14:textId="77777777" w:rsidR="00FE399D" w:rsidRPr="00D1707B" w:rsidRDefault="00FE399D" w:rsidP="00582303">
            <w:pPr>
              <w:pStyle w:val="CBDTableNormal"/>
              <w:spacing w:before="0" w:after="0"/>
              <w:jc w:val="right"/>
              <w:rPr>
                <w:sz w:val="18"/>
                <w:szCs w:val="18"/>
              </w:rPr>
            </w:pPr>
            <w:r>
              <w:rPr>
                <w:sz w:val="18"/>
              </w:rPr>
              <w:t>528</w:t>
            </w:r>
          </w:p>
        </w:tc>
        <w:tc>
          <w:tcPr>
            <w:tcW w:w="1461" w:type="dxa"/>
            <w:tcBorders>
              <w:top w:val="nil"/>
              <w:left w:val="nil"/>
              <w:bottom w:val="single" w:sz="4" w:space="0" w:color="auto"/>
              <w:right w:val="single" w:sz="4" w:space="0" w:color="auto"/>
            </w:tcBorders>
            <w:shd w:val="clear" w:color="auto" w:fill="auto"/>
            <w:noWrap/>
            <w:vAlign w:val="bottom"/>
            <w:hideMark/>
          </w:tcPr>
          <w:p w14:paraId="037B0470" w14:textId="77777777" w:rsidR="00FE399D" w:rsidRPr="00D1707B" w:rsidRDefault="00FE399D" w:rsidP="00582303">
            <w:pPr>
              <w:pStyle w:val="CBDTableNormal"/>
              <w:spacing w:before="0" w:after="0"/>
              <w:jc w:val="right"/>
              <w:rPr>
                <w:sz w:val="18"/>
                <w:szCs w:val="18"/>
              </w:rPr>
            </w:pPr>
            <w:r>
              <w:rPr>
                <w:sz w:val="18"/>
              </w:rPr>
              <w:t>564</w:t>
            </w:r>
          </w:p>
        </w:tc>
        <w:tc>
          <w:tcPr>
            <w:tcW w:w="1080" w:type="dxa"/>
            <w:tcBorders>
              <w:top w:val="nil"/>
              <w:left w:val="nil"/>
              <w:bottom w:val="single" w:sz="4" w:space="0" w:color="auto"/>
              <w:right w:val="single" w:sz="4" w:space="0" w:color="auto"/>
            </w:tcBorders>
            <w:shd w:val="clear" w:color="auto" w:fill="auto"/>
            <w:noWrap/>
            <w:vAlign w:val="bottom"/>
            <w:hideMark/>
          </w:tcPr>
          <w:p w14:paraId="2165FE8D" w14:textId="77777777" w:rsidR="00FE399D" w:rsidRPr="00D1707B" w:rsidRDefault="00FE399D" w:rsidP="00582303">
            <w:pPr>
              <w:pStyle w:val="CBDTableNormal"/>
              <w:spacing w:before="0" w:after="0"/>
              <w:jc w:val="right"/>
              <w:rPr>
                <w:sz w:val="18"/>
                <w:szCs w:val="18"/>
              </w:rPr>
            </w:pPr>
            <w:r>
              <w:rPr>
                <w:sz w:val="18"/>
              </w:rPr>
              <w:t>1 092</w:t>
            </w:r>
          </w:p>
        </w:tc>
      </w:tr>
      <w:tr w:rsidR="00FE399D" w:rsidRPr="00D1707B" w14:paraId="289D6BC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7528ADD" w14:textId="77777777" w:rsidR="00FE399D" w:rsidRPr="00D1707B" w:rsidRDefault="00FE399D" w:rsidP="00582303">
            <w:pPr>
              <w:pStyle w:val="CBDTableNormal"/>
              <w:spacing w:before="0" w:after="0"/>
              <w:rPr>
                <w:sz w:val="18"/>
                <w:szCs w:val="18"/>
              </w:rPr>
            </w:pPr>
            <w:r>
              <w:rPr>
                <w:sz w:val="18"/>
              </w:rPr>
              <w:t>Chequia</w:t>
            </w:r>
          </w:p>
        </w:tc>
        <w:tc>
          <w:tcPr>
            <w:tcW w:w="1628" w:type="dxa"/>
            <w:tcBorders>
              <w:top w:val="nil"/>
              <w:left w:val="nil"/>
              <w:bottom w:val="single" w:sz="4" w:space="0" w:color="auto"/>
              <w:right w:val="single" w:sz="4" w:space="0" w:color="auto"/>
            </w:tcBorders>
            <w:shd w:val="clear" w:color="auto" w:fill="auto"/>
            <w:vAlign w:val="bottom"/>
            <w:hideMark/>
          </w:tcPr>
          <w:p w14:paraId="04A5E35B" w14:textId="77777777" w:rsidR="00FE399D" w:rsidRPr="00D1707B" w:rsidRDefault="00FE399D" w:rsidP="00582303">
            <w:pPr>
              <w:pStyle w:val="CBDTableNormal"/>
              <w:spacing w:before="0" w:after="0"/>
              <w:jc w:val="right"/>
              <w:rPr>
                <w:sz w:val="18"/>
                <w:szCs w:val="18"/>
              </w:rPr>
            </w:pPr>
            <w:r>
              <w:rPr>
                <w:sz w:val="18"/>
              </w:rPr>
              <w:t>0,340</w:t>
            </w:r>
          </w:p>
        </w:tc>
        <w:tc>
          <w:tcPr>
            <w:tcW w:w="2198" w:type="dxa"/>
            <w:tcBorders>
              <w:top w:val="nil"/>
              <w:left w:val="nil"/>
              <w:bottom w:val="single" w:sz="4" w:space="0" w:color="auto"/>
              <w:right w:val="single" w:sz="4" w:space="0" w:color="auto"/>
            </w:tcBorders>
            <w:shd w:val="clear" w:color="auto" w:fill="auto"/>
            <w:noWrap/>
            <w:vAlign w:val="bottom"/>
            <w:hideMark/>
          </w:tcPr>
          <w:p w14:paraId="6B0FCDD5" w14:textId="77777777" w:rsidR="00FE399D" w:rsidRPr="00D1707B" w:rsidRDefault="00FE399D" w:rsidP="00582303">
            <w:pPr>
              <w:pStyle w:val="CBDTableNormal"/>
              <w:spacing w:before="0" w:after="0"/>
              <w:jc w:val="right"/>
              <w:rPr>
                <w:sz w:val="18"/>
                <w:szCs w:val="18"/>
              </w:rPr>
            </w:pPr>
            <w:r>
              <w:rPr>
                <w:sz w:val="18"/>
              </w:rPr>
              <w:t>0,425</w:t>
            </w:r>
          </w:p>
        </w:tc>
        <w:tc>
          <w:tcPr>
            <w:tcW w:w="1176" w:type="dxa"/>
            <w:tcBorders>
              <w:top w:val="nil"/>
              <w:left w:val="nil"/>
              <w:bottom w:val="single" w:sz="4" w:space="0" w:color="auto"/>
              <w:right w:val="single" w:sz="4" w:space="0" w:color="auto"/>
            </w:tcBorders>
            <w:shd w:val="clear" w:color="auto" w:fill="auto"/>
            <w:noWrap/>
            <w:vAlign w:val="bottom"/>
            <w:hideMark/>
          </w:tcPr>
          <w:p w14:paraId="585851EC" w14:textId="77777777" w:rsidR="00FE399D" w:rsidRPr="00D1707B" w:rsidRDefault="00FE399D" w:rsidP="00582303">
            <w:pPr>
              <w:pStyle w:val="CBDTableNormal"/>
              <w:spacing w:before="0" w:after="0"/>
              <w:jc w:val="right"/>
              <w:rPr>
                <w:sz w:val="18"/>
                <w:szCs w:val="18"/>
              </w:rPr>
            </w:pPr>
            <w:r>
              <w:rPr>
                <w:sz w:val="18"/>
              </w:rPr>
              <w:t>59 838</w:t>
            </w:r>
          </w:p>
        </w:tc>
        <w:tc>
          <w:tcPr>
            <w:tcW w:w="1461" w:type="dxa"/>
            <w:tcBorders>
              <w:top w:val="nil"/>
              <w:left w:val="nil"/>
              <w:bottom w:val="single" w:sz="4" w:space="0" w:color="auto"/>
              <w:right w:val="single" w:sz="4" w:space="0" w:color="auto"/>
            </w:tcBorders>
            <w:shd w:val="clear" w:color="auto" w:fill="auto"/>
            <w:noWrap/>
            <w:vAlign w:val="bottom"/>
            <w:hideMark/>
          </w:tcPr>
          <w:p w14:paraId="4F4BBA27" w14:textId="77777777" w:rsidR="00FE399D" w:rsidRPr="00D1707B" w:rsidRDefault="00FE399D" w:rsidP="00582303">
            <w:pPr>
              <w:pStyle w:val="CBDTableNormal"/>
              <w:spacing w:before="0" w:after="0"/>
              <w:jc w:val="right"/>
              <w:rPr>
                <w:sz w:val="18"/>
                <w:szCs w:val="18"/>
              </w:rPr>
            </w:pPr>
            <w:r>
              <w:rPr>
                <w:sz w:val="18"/>
              </w:rPr>
              <w:t>63 932</w:t>
            </w:r>
          </w:p>
        </w:tc>
        <w:tc>
          <w:tcPr>
            <w:tcW w:w="1080" w:type="dxa"/>
            <w:tcBorders>
              <w:top w:val="nil"/>
              <w:left w:val="nil"/>
              <w:bottom w:val="single" w:sz="4" w:space="0" w:color="auto"/>
              <w:right w:val="single" w:sz="4" w:space="0" w:color="auto"/>
            </w:tcBorders>
            <w:shd w:val="clear" w:color="auto" w:fill="auto"/>
            <w:noWrap/>
            <w:vAlign w:val="bottom"/>
            <w:hideMark/>
          </w:tcPr>
          <w:p w14:paraId="273147D5" w14:textId="77777777" w:rsidR="00FE399D" w:rsidRPr="00D1707B" w:rsidRDefault="00FE399D" w:rsidP="00582303">
            <w:pPr>
              <w:pStyle w:val="CBDTableNormal"/>
              <w:spacing w:before="0" w:after="0"/>
              <w:jc w:val="right"/>
              <w:rPr>
                <w:sz w:val="18"/>
                <w:szCs w:val="18"/>
              </w:rPr>
            </w:pPr>
            <w:r>
              <w:rPr>
                <w:sz w:val="18"/>
              </w:rPr>
              <w:t>123 771</w:t>
            </w:r>
          </w:p>
        </w:tc>
      </w:tr>
      <w:tr w:rsidR="00FE399D" w:rsidRPr="00D1707B" w14:paraId="50E54B3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A3D84DE" w14:textId="77777777" w:rsidR="00FE399D" w:rsidRPr="00D1707B" w:rsidRDefault="00FE399D" w:rsidP="00582303">
            <w:pPr>
              <w:pStyle w:val="CBDTableNormal"/>
              <w:spacing w:before="0" w:after="0"/>
              <w:rPr>
                <w:sz w:val="18"/>
                <w:szCs w:val="18"/>
              </w:rPr>
            </w:pPr>
            <w:r>
              <w:rPr>
                <w:sz w:val="18"/>
              </w:rPr>
              <w:t>Chile</w:t>
            </w:r>
          </w:p>
        </w:tc>
        <w:tc>
          <w:tcPr>
            <w:tcW w:w="1628" w:type="dxa"/>
            <w:tcBorders>
              <w:top w:val="nil"/>
              <w:left w:val="nil"/>
              <w:bottom w:val="single" w:sz="4" w:space="0" w:color="auto"/>
              <w:right w:val="single" w:sz="4" w:space="0" w:color="auto"/>
            </w:tcBorders>
            <w:shd w:val="clear" w:color="auto" w:fill="auto"/>
            <w:vAlign w:val="bottom"/>
            <w:hideMark/>
          </w:tcPr>
          <w:p w14:paraId="651F19FA" w14:textId="77777777" w:rsidR="00FE399D" w:rsidRPr="00D1707B" w:rsidRDefault="00FE399D" w:rsidP="00582303">
            <w:pPr>
              <w:pStyle w:val="CBDTableNormal"/>
              <w:spacing w:before="0" w:after="0"/>
              <w:jc w:val="right"/>
              <w:rPr>
                <w:sz w:val="18"/>
                <w:szCs w:val="18"/>
              </w:rPr>
            </w:pPr>
            <w:r>
              <w:rPr>
                <w:sz w:val="18"/>
              </w:rPr>
              <w:t>0,420</w:t>
            </w:r>
          </w:p>
        </w:tc>
        <w:tc>
          <w:tcPr>
            <w:tcW w:w="2198" w:type="dxa"/>
            <w:tcBorders>
              <w:top w:val="nil"/>
              <w:left w:val="nil"/>
              <w:bottom w:val="single" w:sz="4" w:space="0" w:color="auto"/>
              <w:right w:val="single" w:sz="4" w:space="0" w:color="auto"/>
            </w:tcBorders>
            <w:shd w:val="clear" w:color="auto" w:fill="auto"/>
            <w:noWrap/>
            <w:vAlign w:val="bottom"/>
            <w:hideMark/>
          </w:tcPr>
          <w:p w14:paraId="75348A26" w14:textId="77777777" w:rsidR="00FE399D" w:rsidRPr="00D1707B" w:rsidRDefault="00FE399D" w:rsidP="00582303">
            <w:pPr>
              <w:pStyle w:val="CBDTableNormal"/>
              <w:spacing w:before="0" w:after="0"/>
              <w:jc w:val="right"/>
              <w:rPr>
                <w:sz w:val="18"/>
                <w:szCs w:val="18"/>
              </w:rPr>
            </w:pPr>
            <w:r>
              <w:rPr>
                <w:sz w:val="18"/>
              </w:rPr>
              <w:t>0,525</w:t>
            </w:r>
          </w:p>
        </w:tc>
        <w:tc>
          <w:tcPr>
            <w:tcW w:w="1176" w:type="dxa"/>
            <w:tcBorders>
              <w:top w:val="nil"/>
              <w:left w:val="nil"/>
              <w:bottom w:val="single" w:sz="4" w:space="0" w:color="auto"/>
              <w:right w:val="single" w:sz="4" w:space="0" w:color="auto"/>
            </w:tcBorders>
            <w:shd w:val="clear" w:color="auto" w:fill="auto"/>
            <w:noWrap/>
            <w:vAlign w:val="bottom"/>
            <w:hideMark/>
          </w:tcPr>
          <w:p w14:paraId="7BA4B715" w14:textId="77777777" w:rsidR="00FE399D" w:rsidRPr="00D1707B" w:rsidRDefault="00FE399D" w:rsidP="00582303">
            <w:pPr>
              <w:pStyle w:val="CBDTableNormal"/>
              <w:spacing w:before="0" w:after="0"/>
              <w:jc w:val="right"/>
              <w:rPr>
                <w:sz w:val="18"/>
                <w:szCs w:val="18"/>
              </w:rPr>
            </w:pPr>
            <w:r>
              <w:rPr>
                <w:sz w:val="18"/>
              </w:rPr>
              <w:t>73 918</w:t>
            </w:r>
          </w:p>
        </w:tc>
        <w:tc>
          <w:tcPr>
            <w:tcW w:w="1461" w:type="dxa"/>
            <w:tcBorders>
              <w:top w:val="nil"/>
              <w:left w:val="nil"/>
              <w:bottom w:val="single" w:sz="4" w:space="0" w:color="auto"/>
              <w:right w:val="single" w:sz="4" w:space="0" w:color="auto"/>
            </w:tcBorders>
            <w:shd w:val="clear" w:color="auto" w:fill="auto"/>
            <w:noWrap/>
            <w:vAlign w:val="bottom"/>
            <w:hideMark/>
          </w:tcPr>
          <w:p w14:paraId="79109464" w14:textId="77777777" w:rsidR="00FE399D" w:rsidRPr="00D1707B" w:rsidRDefault="00FE399D" w:rsidP="00582303">
            <w:pPr>
              <w:pStyle w:val="CBDTableNormal"/>
              <w:spacing w:before="0" w:after="0"/>
              <w:jc w:val="right"/>
              <w:rPr>
                <w:sz w:val="18"/>
                <w:szCs w:val="18"/>
              </w:rPr>
            </w:pPr>
            <w:r>
              <w:rPr>
                <w:sz w:val="18"/>
              </w:rPr>
              <w:t>78 975</w:t>
            </w:r>
          </w:p>
        </w:tc>
        <w:tc>
          <w:tcPr>
            <w:tcW w:w="1080" w:type="dxa"/>
            <w:tcBorders>
              <w:top w:val="nil"/>
              <w:left w:val="nil"/>
              <w:bottom w:val="single" w:sz="4" w:space="0" w:color="auto"/>
              <w:right w:val="single" w:sz="4" w:space="0" w:color="auto"/>
            </w:tcBorders>
            <w:shd w:val="clear" w:color="auto" w:fill="auto"/>
            <w:noWrap/>
            <w:vAlign w:val="bottom"/>
            <w:hideMark/>
          </w:tcPr>
          <w:p w14:paraId="0C19B299" w14:textId="77777777" w:rsidR="00FE399D" w:rsidRPr="00D1707B" w:rsidRDefault="00FE399D" w:rsidP="00582303">
            <w:pPr>
              <w:pStyle w:val="CBDTableNormal"/>
              <w:spacing w:before="0" w:after="0"/>
              <w:jc w:val="right"/>
              <w:rPr>
                <w:sz w:val="18"/>
                <w:szCs w:val="18"/>
              </w:rPr>
            </w:pPr>
            <w:r>
              <w:rPr>
                <w:sz w:val="18"/>
              </w:rPr>
              <w:t>152 893</w:t>
            </w:r>
          </w:p>
        </w:tc>
      </w:tr>
      <w:tr w:rsidR="00FE399D" w:rsidRPr="00D1707B" w14:paraId="4388507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7830FDE" w14:textId="77777777" w:rsidR="00FE399D" w:rsidRPr="00D1707B" w:rsidRDefault="00FE399D" w:rsidP="00582303">
            <w:pPr>
              <w:pStyle w:val="CBDTableNormal"/>
              <w:spacing w:before="0" w:after="0"/>
              <w:rPr>
                <w:sz w:val="18"/>
                <w:szCs w:val="18"/>
              </w:rPr>
            </w:pPr>
            <w:r>
              <w:rPr>
                <w:sz w:val="18"/>
              </w:rPr>
              <w:t>China</w:t>
            </w:r>
          </w:p>
        </w:tc>
        <w:tc>
          <w:tcPr>
            <w:tcW w:w="1628" w:type="dxa"/>
            <w:tcBorders>
              <w:top w:val="nil"/>
              <w:left w:val="nil"/>
              <w:bottom w:val="single" w:sz="4" w:space="0" w:color="auto"/>
              <w:right w:val="single" w:sz="4" w:space="0" w:color="auto"/>
            </w:tcBorders>
            <w:shd w:val="clear" w:color="auto" w:fill="auto"/>
            <w:vAlign w:val="bottom"/>
            <w:hideMark/>
          </w:tcPr>
          <w:p w14:paraId="4A04626F" w14:textId="77777777" w:rsidR="00FE399D" w:rsidRPr="00D1707B" w:rsidRDefault="00FE399D" w:rsidP="00582303">
            <w:pPr>
              <w:pStyle w:val="CBDTableNormal"/>
              <w:spacing w:before="0" w:after="0"/>
              <w:jc w:val="right"/>
              <w:rPr>
                <w:sz w:val="18"/>
                <w:szCs w:val="18"/>
              </w:rPr>
            </w:pPr>
            <w:r>
              <w:rPr>
                <w:sz w:val="18"/>
              </w:rPr>
              <w:t>15,254</w:t>
            </w:r>
          </w:p>
        </w:tc>
        <w:tc>
          <w:tcPr>
            <w:tcW w:w="2198" w:type="dxa"/>
            <w:tcBorders>
              <w:top w:val="nil"/>
              <w:left w:val="nil"/>
              <w:bottom w:val="single" w:sz="4" w:space="0" w:color="auto"/>
              <w:right w:val="single" w:sz="4" w:space="0" w:color="auto"/>
            </w:tcBorders>
            <w:shd w:val="clear" w:color="auto" w:fill="auto"/>
            <w:noWrap/>
            <w:vAlign w:val="bottom"/>
            <w:hideMark/>
          </w:tcPr>
          <w:p w14:paraId="25410B4D" w14:textId="77777777" w:rsidR="00FE399D" w:rsidRPr="00D1707B" w:rsidRDefault="00FE399D" w:rsidP="00582303">
            <w:pPr>
              <w:pStyle w:val="CBDTableNormal"/>
              <w:spacing w:before="0" w:after="0"/>
              <w:jc w:val="right"/>
              <w:rPr>
                <w:sz w:val="18"/>
                <w:szCs w:val="18"/>
              </w:rPr>
            </w:pPr>
            <w:r>
              <w:rPr>
                <w:sz w:val="18"/>
              </w:rPr>
              <w:t>19,069</w:t>
            </w:r>
          </w:p>
        </w:tc>
        <w:tc>
          <w:tcPr>
            <w:tcW w:w="1176" w:type="dxa"/>
            <w:tcBorders>
              <w:top w:val="nil"/>
              <w:left w:val="nil"/>
              <w:bottom w:val="single" w:sz="4" w:space="0" w:color="auto"/>
              <w:right w:val="single" w:sz="4" w:space="0" w:color="auto"/>
            </w:tcBorders>
            <w:shd w:val="clear" w:color="auto" w:fill="auto"/>
            <w:noWrap/>
            <w:vAlign w:val="bottom"/>
            <w:hideMark/>
          </w:tcPr>
          <w:p w14:paraId="4B5B4DAE" w14:textId="77777777" w:rsidR="00FE399D" w:rsidRPr="00D1707B" w:rsidRDefault="00FE399D" w:rsidP="00582303">
            <w:pPr>
              <w:pStyle w:val="CBDTableNormal"/>
              <w:spacing w:before="0" w:after="0"/>
              <w:jc w:val="right"/>
              <w:rPr>
                <w:sz w:val="18"/>
                <w:szCs w:val="18"/>
              </w:rPr>
            </w:pPr>
            <w:r>
              <w:rPr>
                <w:sz w:val="18"/>
              </w:rPr>
              <w:t>2 684 619</w:t>
            </w:r>
          </w:p>
        </w:tc>
        <w:tc>
          <w:tcPr>
            <w:tcW w:w="1461" w:type="dxa"/>
            <w:tcBorders>
              <w:top w:val="nil"/>
              <w:left w:val="nil"/>
              <w:bottom w:val="single" w:sz="4" w:space="0" w:color="auto"/>
              <w:right w:val="single" w:sz="4" w:space="0" w:color="auto"/>
            </w:tcBorders>
            <w:shd w:val="clear" w:color="auto" w:fill="auto"/>
            <w:noWrap/>
            <w:vAlign w:val="bottom"/>
            <w:hideMark/>
          </w:tcPr>
          <w:p w14:paraId="08BFFBB5" w14:textId="77777777" w:rsidR="00FE399D" w:rsidRPr="00D1707B" w:rsidRDefault="00FE399D" w:rsidP="00582303">
            <w:pPr>
              <w:pStyle w:val="CBDTableNormal"/>
              <w:spacing w:before="0" w:after="0"/>
              <w:jc w:val="right"/>
              <w:rPr>
                <w:sz w:val="18"/>
                <w:szCs w:val="18"/>
              </w:rPr>
            </w:pPr>
            <w:r>
              <w:rPr>
                <w:sz w:val="18"/>
              </w:rPr>
              <w:t>2 868 309</w:t>
            </w:r>
          </w:p>
        </w:tc>
        <w:tc>
          <w:tcPr>
            <w:tcW w:w="1080" w:type="dxa"/>
            <w:tcBorders>
              <w:top w:val="nil"/>
              <w:left w:val="nil"/>
              <w:bottom w:val="single" w:sz="4" w:space="0" w:color="auto"/>
              <w:right w:val="single" w:sz="4" w:space="0" w:color="auto"/>
            </w:tcBorders>
            <w:shd w:val="clear" w:color="auto" w:fill="auto"/>
            <w:noWrap/>
            <w:vAlign w:val="bottom"/>
            <w:hideMark/>
          </w:tcPr>
          <w:p w14:paraId="48280D05" w14:textId="77777777" w:rsidR="00FE399D" w:rsidRPr="00D1707B" w:rsidRDefault="00FE399D" w:rsidP="00582303">
            <w:pPr>
              <w:pStyle w:val="CBDTableNormal"/>
              <w:spacing w:before="0" w:after="0"/>
              <w:jc w:val="right"/>
              <w:rPr>
                <w:sz w:val="18"/>
                <w:szCs w:val="18"/>
              </w:rPr>
            </w:pPr>
            <w:r>
              <w:rPr>
                <w:sz w:val="18"/>
              </w:rPr>
              <w:t>5 552 928</w:t>
            </w:r>
          </w:p>
        </w:tc>
      </w:tr>
      <w:tr w:rsidR="00FE399D" w:rsidRPr="00D1707B" w14:paraId="3426869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F846C74" w14:textId="77777777" w:rsidR="00FE399D" w:rsidRPr="00D1707B" w:rsidRDefault="00FE399D" w:rsidP="00582303">
            <w:pPr>
              <w:pStyle w:val="CBDTableNormal"/>
              <w:spacing w:before="0" w:after="0"/>
              <w:rPr>
                <w:sz w:val="18"/>
                <w:szCs w:val="18"/>
              </w:rPr>
            </w:pPr>
            <w:r>
              <w:rPr>
                <w:sz w:val="18"/>
              </w:rPr>
              <w:t>Chipre</w:t>
            </w:r>
          </w:p>
        </w:tc>
        <w:tc>
          <w:tcPr>
            <w:tcW w:w="1628" w:type="dxa"/>
            <w:tcBorders>
              <w:top w:val="nil"/>
              <w:left w:val="nil"/>
              <w:bottom w:val="single" w:sz="4" w:space="0" w:color="auto"/>
              <w:right w:val="single" w:sz="4" w:space="0" w:color="auto"/>
            </w:tcBorders>
            <w:shd w:val="clear" w:color="auto" w:fill="auto"/>
            <w:vAlign w:val="bottom"/>
            <w:hideMark/>
          </w:tcPr>
          <w:p w14:paraId="76417BF3" w14:textId="77777777" w:rsidR="00FE399D" w:rsidRPr="00D1707B" w:rsidRDefault="00FE399D" w:rsidP="00582303">
            <w:pPr>
              <w:pStyle w:val="CBDTableNormal"/>
              <w:spacing w:before="0" w:after="0"/>
              <w:jc w:val="right"/>
              <w:rPr>
                <w:sz w:val="18"/>
                <w:szCs w:val="18"/>
              </w:rPr>
            </w:pPr>
            <w:r>
              <w:rPr>
                <w:sz w:val="18"/>
              </w:rPr>
              <w:t>0,036</w:t>
            </w:r>
          </w:p>
        </w:tc>
        <w:tc>
          <w:tcPr>
            <w:tcW w:w="2198" w:type="dxa"/>
            <w:tcBorders>
              <w:top w:val="nil"/>
              <w:left w:val="nil"/>
              <w:bottom w:val="single" w:sz="4" w:space="0" w:color="auto"/>
              <w:right w:val="single" w:sz="4" w:space="0" w:color="auto"/>
            </w:tcBorders>
            <w:shd w:val="clear" w:color="auto" w:fill="auto"/>
            <w:noWrap/>
            <w:vAlign w:val="bottom"/>
            <w:hideMark/>
          </w:tcPr>
          <w:p w14:paraId="493D0300" w14:textId="77777777" w:rsidR="00FE399D" w:rsidRPr="00D1707B" w:rsidRDefault="00FE399D" w:rsidP="00582303">
            <w:pPr>
              <w:pStyle w:val="CBDTableNormal"/>
              <w:spacing w:before="0" w:after="0"/>
              <w:jc w:val="right"/>
              <w:rPr>
                <w:sz w:val="18"/>
                <w:szCs w:val="18"/>
              </w:rPr>
            </w:pPr>
            <w:r>
              <w:rPr>
                <w:sz w:val="18"/>
              </w:rPr>
              <w:t>0,045</w:t>
            </w:r>
          </w:p>
        </w:tc>
        <w:tc>
          <w:tcPr>
            <w:tcW w:w="1176" w:type="dxa"/>
            <w:tcBorders>
              <w:top w:val="nil"/>
              <w:left w:val="nil"/>
              <w:bottom w:val="single" w:sz="4" w:space="0" w:color="auto"/>
              <w:right w:val="single" w:sz="4" w:space="0" w:color="auto"/>
            </w:tcBorders>
            <w:shd w:val="clear" w:color="auto" w:fill="auto"/>
            <w:noWrap/>
            <w:vAlign w:val="bottom"/>
            <w:hideMark/>
          </w:tcPr>
          <w:p w14:paraId="44A8FC3A" w14:textId="77777777" w:rsidR="00FE399D" w:rsidRPr="00D1707B" w:rsidRDefault="00FE399D" w:rsidP="00582303">
            <w:pPr>
              <w:pStyle w:val="CBDTableNormal"/>
              <w:spacing w:before="0" w:after="0"/>
              <w:jc w:val="right"/>
              <w:rPr>
                <w:sz w:val="18"/>
                <w:szCs w:val="18"/>
              </w:rPr>
            </w:pPr>
            <w:r>
              <w:rPr>
                <w:sz w:val="18"/>
              </w:rPr>
              <w:t>6 336</w:t>
            </w:r>
          </w:p>
        </w:tc>
        <w:tc>
          <w:tcPr>
            <w:tcW w:w="1461" w:type="dxa"/>
            <w:tcBorders>
              <w:top w:val="nil"/>
              <w:left w:val="nil"/>
              <w:bottom w:val="single" w:sz="4" w:space="0" w:color="auto"/>
              <w:right w:val="single" w:sz="4" w:space="0" w:color="auto"/>
            </w:tcBorders>
            <w:shd w:val="clear" w:color="auto" w:fill="auto"/>
            <w:noWrap/>
            <w:vAlign w:val="bottom"/>
            <w:hideMark/>
          </w:tcPr>
          <w:p w14:paraId="21E1261F" w14:textId="77777777" w:rsidR="00FE399D" w:rsidRPr="00D1707B" w:rsidRDefault="00FE399D" w:rsidP="00582303">
            <w:pPr>
              <w:pStyle w:val="CBDTableNormal"/>
              <w:spacing w:before="0" w:after="0"/>
              <w:jc w:val="right"/>
              <w:rPr>
                <w:sz w:val="18"/>
                <w:szCs w:val="18"/>
              </w:rPr>
            </w:pPr>
            <w:r>
              <w:rPr>
                <w:sz w:val="18"/>
              </w:rPr>
              <w:t>6 769</w:t>
            </w:r>
          </w:p>
        </w:tc>
        <w:tc>
          <w:tcPr>
            <w:tcW w:w="1080" w:type="dxa"/>
            <w:tcBorders>
              <w:top w:val="nil"/>
              <w:left w:val="nil"/>
              <w:bottom w:val="single" w:sz="4" w:space="0" w:color="auto"/>
              <w:right w:val="single" w:sz="4" w:space="0" w:color="auto"/>
            </w:tcBorders>
            <w:shd w:val="clear" w:color="auto" w:fill="auto"/>
            <w:noWrap/>
            <w:vAlign w:val="bottom"/>
            <w:hideMark/>
          </w:tcPr>
          <w:p w14:paraId="55804010" w14:textId="77777777" w:rsidR="00FE399D" w:rsidRPr="00D1707B" w:rsidRDefault="00FE399D" w:rsidP="00582303">
            <w:pPr>
              <w:pStyle w:val="CBDTableNormal"/>
              <w:spacing w:before="0" w:after="0"/>
              <w:jc w:val="right"/>
              <w:rPr>
                <w:sz w:val="18"/>
                <w:szCs w:val="18"/>
              </w:rPr>
            </w:pPr>
            <w:r>
              <w:rPr>
                <w:sz w:val="18"/>
              </w:rPr>
              <w:t>13 105</w:t>
            </w:r>
          </w:p>
        </w:tc>
      </w:tr>
      <w:tr w:rsidR="00FE399D" w:rsidRPr="00D1707B" w14:paraId="59AF00F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5074F50" w14:textId="77777777" w:rsidR="00FE399D" w:rsidRPr="00D1707B" w:rsidRDefault="00FE399D" w:rsidP="00582303">
            <w:pPr>
              <w:pStyle w:val="CBDTableNormal"/>
              <w:spacing w:before="0" w:after="0"/>
              <w:rPr>
                <w:sz w:val="18"/>
                <w:szCs w:val="18"/>
              </w:rPr>
            </w:pPr>
            <w:r>
              <w:rPr>
                <w:sz w:val="18"/>
              </w:rPr>
              <w:t>Colombia</w:t>
            </w:r>
          </w:p>
        </w:tc>
        <w:tc>
          <w:tcPr>
            <w:tcW w:w="1628" w:type="dxa"/>
            <w:tcBorders>
              <w:top w:val="nil"/>
              <w:left w:val="nil"/>
              <w:bottom w:val="single" w:sz="4" w:space="0" w:color="auto"/>
              <w:right w:val="single" w:sz="4" w:space="0" w:color="auto"/>
            </w:tcBorders>
            <w:shd w:val="clear" w:color="auto" w:fill="auto"/>
            <w:vAlign w:val="bottom"/>
            <w:hideMark/>
          </w:tcPr>
          <w:p w14:paraId="447A89D4" w14:textId="77777777" w:rsidR="00FE399D" w:rsidRPr="00D1707B" w:rsidRDefault="00FE399D" w:rsidP="00582303">
            <w:pPr>
              <w:pStyle w:val="CBDTableNormal"/>
              <w:spacing w:before="0" w:after="0"/>
              <w:jc w:val="right"/>
              <w:rPr>
                <w:sz w:val="18"/>
                <w:szCs w:val="18"/>
              </w:rPr>
            </w:pPr>
            <w:r>
              <w:rPr>
                <w:sz w:val="18"/>
              </w:rPr>
              <w:t>0,246</w:t>
            </w:r>
          </w:p>
        </w:tc>
        <w:tc>
          <w:tcPr>
            <w:tcW w:w="2198" w:type="dxa"/>
            <w:tcBorders>
              <w:top w:val="nil"/>
              <w:left w:val="nil"/>
              <w:bottom w:val="single" w:sz="4" w:space="0" w:color="auto"/>
              <w:right w:val="single" w:sz="4" w:space="0" w:color="auto"/>
            </w:tcBorders>
            <w:shd w:val="clear" w:color="auto" w:fill="auto"/>
            <w:noWrap/>
            <w:vAlign w:val="bottom"/>
            <w:hideMark/>
          </w:tcPr>
          <w:p w14:paraId="2C0654B8" w14:textId="77777777" w:rsidR="00FE399D" w:rsidRPr="00D1707B" w:rsidRDefault="00FE399D" w:rsidP="00582303">
            <w:pPr>
              <w:pStyle w:val="CBDTableNormal"/>
              <w:spacing w:before="0" w:after="0"/>
              <w:jc w:val="right"/>
              <w:rPr>
                <w:sz w:val="18"/>
                <w:szCs w:val="18"/>
              </w:rPr>
            </w:pPr>
            <w:r>
              <w:rPr>
                <w:sz w:val="18"/>
              </w:rPr>
              <w:t>0,308</w:t>
            </w:r>
          </w:p>
        </w:tc>
        <w:tc>
          <w:tcPr>
            <w:tcW w:w="1176" w:type="dxa"/>
            <w:tcBorders>
              <w:top w:val="nil"/>
              <w:left w:val="nil"/>
              <w:bottom w:val="single" w:sz="4" w:space="0" w:color="auto"/>
              <w:right w:val="single" w:sz="4" w:space="0" w:color="auto"/>
            </w:tcBorders>
            <w:shd w:val="clear" w:color="auto" w:fill="auto"/>
            <w:noWrap/>
            <w:vAlign w:val="bottom"/>
            <w:hideMark/>
          </w:tcPr>
          <w:p w14:paraId="09ECF45C" w14:textId="77777777" w:rsidR="00FE399D" w:rsidRPr="00D1707B" w:rsidRDefault="00FE399D" w:rsidP="00582303">
            <w:pPr>
              <w:pStyle w:val="CBDTableNormal"/>
              <w:spacing w:before="0" w:after="0"/>
              <w:jc w:val="right"/>
              <w:rPr>
                <w:sz w:val="18"/>
                <w:szCs w:val="18"/>
              </w:rPr>
            </w:pPr>
            <w:r>
              <w:rPr>
                <w:sz w:val="18"/>
              </w:rPr>
              <w:t>43 295</w:t>
            </w:r>
          </w:p>
        </w:tc>
        <w:tc>
          <w:tcPr>
            <w:tcW w:w="1461" w:type="dxa"/>
            <w:tcBorders>
              <w:top w:val="nil"/>
              <w:left w:val="nil"/>
              <w:bottom w:val="single" w:sz="4" w:space="0" w:color="auto"/>
              <w:right w:val="single" w:sz="4" w:space="0" w:color="auto"/>
            </w:tcBorders>
            <w:shd w:val="clear" w:color="auto" w:fill="auto"/>
            <w:noWrap/>
            <w:vAlign w:val="bottom"/>
            <w:hideMark/>
          </w:tcPr>
          <w:p w14:paraId="626714E8" w14:textId="77777777" w:rsidR="00FE399D" w:rsidRPr="00D1707B" w:rsidRDefault="00FE399D" w:rsidP="00582303">
            <w:pPr>
              <w:pStyle w:val="CBDTableNormal"/>
              <w:spacing w:before="0" w:after="0"/>
              <w:jc w:val="right"/>
              <w:rPr>
                <w:sz w:val="18"/>
                <w:szCs w:val="18"/>
              </w:rPr>
            </w:pPr>
            <w:r>
              <w:rPr>
                <w:sz w:val="18"/>
              </w:rPr>
              <w:t>46 257</w:t>
            </w:r>
          </w:p>
        </w:tc>
        <w:tc>
          <w:tcPr>
            <w:tcW w:w="1080" w:type="dxa"/>
            <w:tcBorders>
              <w:top w:val="nil"/>
              <w:left w:val="nil"/>
              <w:bottom w:val="single" w:sz="4" w:space="0" w:color="auto"/>
              <w:right w:val="single" w:sz="4" w:space="0" w:color="auto"/>
            </w:tcBorders>
            <w:shd w:val="clear" w:color="auto" w:fill="auto"/>
            <w:noWrap/>
            <w:vAlign w:val="bottom"/>
            <w:hideMark/>
          </w:tcPr>
          <w:p w14:paraId="2799FDEC" w14:textId="77777777" w:rsidR="00FE399D" w:rsidRPr="00D1707B" w:rsidRDefault="00FE399D" w:rsidP="00582303">
            <w:pPr>
              <w:pStyle w:val="CBDTableNormal"/>
              <w:spacing w:before="0" w:after="0"/>
              <w:jc w:val="right"/>
              <w:rPr>
                <w:sz w:val="18"/>
                <w:szCs w:val="18"/>
              </w:rPr>
            </w:pPr>
            <w:r>
              <w:rPr>
                <w:sz w:val="18"/>
              </w:rPr>
              <w:t>89 552</w:t>
            </w:r>
          </w:p>
        </w:tc>
      </w:tr>
      <w:tr w:rsidR="00FE399D" w:rsidRPr="00D1707B" w14:paraId="5F9CC95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9C46FA7" w14:textId="77777777" w:rsidR="00FE399D" w:rsidRPr="00D1707B" w:rsidRDefault="00FE399D" w:rsidP="00582303">
            <w:pPr>
              <w:pStyle w:val="CBDTableNormal"/>
              <w:spacing w:before="0" w:after="0"/>
              <w:rPr>
                <w:sz w:val="18"/>
                <w:szCs w:val="18"/>
              </w:rPr>
            </w:pPr>
            <w:r>
              <w:rPr>
                <w:sz w:val="18"/>
              </w:rPr>
              <w:t>Comoras</w:t>
            </w:r>
          </w:p>
        </w:tc>
        <w:tc>
          <w:tcPr>
            <w:tcW w:w="1628" w:type="dxa"/>
            <w:tcBorders>
              <w:top w:val="nil"/>
              <w:left w:val="nil"/>
              <w:bottom w:val="single" w:sz="4" w:space="0" w:color="auto"/>
              <w:right w:val="single" w:sz="4" w:space="0" w:color="auto"/>
            </w:tcBorders>
            <w:shd w:val="clear" w:color="auto" w:fill="auto"/>
            <w:vAlign w:val="bottom"/>
            <w:hideMark/>
          </w:tcPr>
          <w:p w14:paraId="6FFC196E"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356880E8"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05260626"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1EC68652"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411BB934"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366220C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CE428EE" w14:textId="77777777" w:rsidR="00FE399D" w:rsidRPr="00D1707B" w:rsidRDefault="00FE399D" w:rsidP="00582303">
            <w:pPr>
              <w:pStyle w:val="CBDTableNormal"/>
              <w:spacing w:before="0" w:after="0"/>
              <w:rPr>
                <w:sz w:val="18"/>
                <w:szCs w:val="18"/>
              </w:rPr>
            </w:pPr>
            <w:r>
              <w:rPr>
                <w:sz w:val="18"/>
              </w:rPr>
              <w:t>Congo</w:t>
            </w:r>
          </w:p>
        </w:tc>
        <w:tc>
          <w:tcPr>
            <w:tcW w:w="1628" w:type="dxa"/>
            <w:tcBorders>
              <w:top w:val="nil"/>
              <w:left w:val="nil"/>
              <w:bottom w:val="single" w:sz="4" w:space="0" w:color="auto"/>
              <w:right w:val="single" w:sz="4" w:space="0" w:color="auto"/>
            </w:tcBorders>
            <w:shd w:val="clear" w:color="auto" w:fill="auto"/>
            <w:vAlign w:val="bottom"/>
            <w:hideMark/>
          </w:tcPr>
          <w:p w14:paraId="7802F9A4" w14:textId="77777777" w:rsidR="00FE399D" w:rsidRPr="00D1707B" w:rsidRDefault="00FE399D" w:rsidP="00582303">
            <w:pPr>
              <w:pStyle w:val="CBDTableNormal"/>
              <w:spacing w:before="0" w:after="0"/>
              <w:jc w:val="right"/>
              <w:rPr>
                <w:sz w:val="18"/>
                <w:szCs w:val="18"/>
              </w:rPr>
            </w:pPr>
            <w:r>
              <w:rPr>
                <w:sz w:val="18"/>
              </w:rPr>
              <w:t>0,005</w:t>
            </w:r>
          </w:p>
        </w:tc>
        <w:tc>
          <w:tcPr>
            <w:tcW w:w="2198" w:type="dxa"/>
            <w:tcBorders>
              <w:top w:val="nil"/>
              <w:left w:val="nil"/>
              <w:bottom w:val="single" w:sz="4" w:space="0" w:color="auto"/>
              <w:right w:val="single" w:sz="4" w:space="0" w:color="auto"/>
            </w:tcBorders>
            <w:shd w:val="clear" w:color="auto" w:fill="auto"/>
            <w:noWrap/>
            <w:vAlign w:val="bottom"/>
            <w:hideMark/>
          </w:tcPr>
          <w:p w14:paraId="252FF7D9" w14:textId="77777777" w:rsidR="00FE399D" w:rsidRPr="00D1707B" w:rsidRDefault="00FE399D" w:rsidP="00582303">
            <w:pPr>
              <w:pStyle w:val="CBDTableNormal"/>
              <w:spacing w:before="0" w:after="0"/>
              <w:jc w:val="right"/>
              <w:rPr>
                <w:sz w:val="18"/>
                <w:szCs w:val="18"/>
              </w:rPr>
            </w:pPr>
            <w:r>
              <w:rPr>
                <w:sz w:val="18"/>
              </w:rPr>
              <w:t>0,006</w:t>
            </w:r>
          </w:p>
        </w:tc>
        <w:tc>
          <w:tcPr>
            <w:tcW w:w="1176" w:type="dxa"/>
            <w:tcBorders>
              <w:top w:val="nil"/>
              <w:left w:val="nil"/>
              <w:bottom w:val="single" w:sz="4" w:space="0" w:color="auto"/>
              <w:right w:val="single" w:sz="4" w:space="0" w:color="auto"/>
            </w:tcBorders>
            <w:shd w:val="clear" w:color="auto" w:fill="auto"/>
            <w:noWrap/>
            <w:vAlign w:val="bottom"/>
            <w:hideMark/>
          </w:tcPr>
          <w:p w14:paraId="3C440FA2" w14:textId="77777777" w:rsidR="00FE399D" w:rsidRPr="00D1707B" w:rsidRDefault="00FE399D" w:rsidP="00582303">
            <w:pPr>
              <w:pStyle w:val="CBDTableNormal"/>
              <w:spacing w:before="0" w:after="0"/>
              <w:jc w:val="right"/>
              <w:rPr>
                <w:sz w:val="18"/>
                <w:szCs w:val="18"/>
              </w:rPr>
            </w:pPr>
            <w:r>
              <w:rPr>
                <w:sz w:val="18"/>
              </w:rPr>
              <w:t>880</w:t>
            </w:r>
          </w:p>
        </w:tc>
        <w:tc>
          <w:tcPr>
            <w:tcW w:w="1461" w:type="dxa"/>
            <w:tcBorders>
              <w:top w:val="nil"/>
              <w:left w:val="nil"/>
              <w:bottom w:val="single" w:sz="4" w:space="0" w:color="auto"/>
              <w:right w:val="single" w:sz="4" w:space="0" w:color="auto"/>
            </w:tcBorders>
            <w:shd w:val="clear" w:color="auto" w:fill="auto"/>
            <w:noWrap/>
            <w:vAlign w:val="bottom"/>
            <w:hideMark/>
          </w:tcPr>
          <w:p w14:paraId="1A187E7D" w14:textId="77777777" w:rsidR="00FE399D" w:rsidRPr="00D1707B" w:rsidRDefault="00FE399D" w:rsidP="00582303">
            <w:pPr>
              <w:pStyle w:val="CBDTableNormal"/>
              <w:spacing w:before="0" w:after="0"/>
              <w:jc w:val="right"/>
              <w:rPr>
                <w:sz w:val="18"/>
                <w:szCs w:val="18"/>
              </w:rPr>
            </w:pPr>
            <w:r>
              <w:rPr>
                <w:sz w:val="18"/>
              </w:rPr>
              <w:t>940</w:t>
            </w:r>
          </w:p>
        </w:tc>
        <w:tc>
          <w:tcPr>
            <w:tcW w:w="1080" w:type="dxa"/>
            <w:tcBorders>
              <w:top w:val="nil"/>
              <w:left w:val="nil"/>
              <w:bottom w:val="single" w:sz="4" w:space="0" w:color="auto"/>
              <w:right w:val="single" w:sz="4" w:space="0" w:color="auto"/>
            </w:tcBorders>
            <w:shd w:val="clear" w:color="auto" w:fill="auto"/>
            <w:noWrap/>
            <w:vAlign w:val="bottom"/>
            <w:hideMark/>
          </w:tcPr>
          <w:p w14:paraId="38B94393" w14:textId="77777777" w:rsidR="00FE399D" w:rsidRPr="00D1707B" w:rsidRDefault="00FE399D" w:rsidP="00582303">
            <w:pPr>
              <w:pStyle w:val="CBDTableNormal"/>
              <w:spacing w:before="0" w:after="0"/>
              <w:jc w:val="right"/>
              <w:rPr>
                <w:sz w:val="18"/>
                <w:szCs w:val="18"/>
              </w:rPr>
            </w:pPr>
            <w:r>
              <w:rPr>
                <w:sz w:val="18"/>
              </w:rPr>
              <w:t>1 820</w:t>
            </w:r>
          </w:p>
        </w:tc>
      </w:tr>
      <w:tr w:rsidR="00FE399D" w:rsidRPr="00D1707B" w14:paraId="662F7F8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D90BCAC" w14:textId="77777777" w:rsidR="00FE399D" w:rsidRPr="00D1707B" w:rsidRDefault="00FE399D" w:rsidP="00582303">
            <w:pPr>
              <w:pStyle w:val="CBDTableNormal"/>
              <w:spacing w:before="0" w:after="0"/>
              <w:rPr>
                <w:sz w:val="18"/>
                <w:szCs w:val="18"/>
              </w:rPr>
            </w:pPr>
            <w:r>
              <w:rPr>
                <w:sz w:val="18"/>
              </w:rPr>
              <w:t>Costa Rica</w:t>
            </w:r>
          </w:p>
        </w:tc>
        <w:tc>
          <w:tcPr>
            <w:tcW w:w="1628" w:type="dxa"/>
            <w:tcBorders>
              <w:top w:val="nil"/>
              <w:left w:val="nil"/>
              <w:bottom w:val="single" w:sz="4" w:space="0" w:color="auto"/>
              <w:right w:val="single" w:sz="4" w:space="0" w:color="auto"/>
            </w:tcBorders>
            <w:shd w:val="clear" w:color="auto" w:fill="auto"/>
            <w:vAlign w:val="bottom"/>
            <w:hideMark/>
          </w:tcPr>
          <w:p w14:paraId="64A303C6" w14:textId="77777777" w:rsidR="00FE399D" w:rsidRPr="00D1707B" w:rsidRDefault="00FE399D" w:rsidP="00582303">
            <w:pPr>
              <w:pStyle w:val="CBDTableNormal"/>
              <w:spacing w:before="0" w:after="0"/>
              <w:jc w:val="right"/>
              <w:rPr>
                <w:sz w:val="18"/>
                <w:szCs w:val="18"/>
              </w:rPr>
            </w:pPr>
            <w:r>
              <w:rPr>
                <w:sz w:val="18"/>
              </w:rPr>
              <w:t>0,069</w:t>
            </w:r>
          </w:p>
        </w:tc>
        <w:tc>
          <w:tcPr>
            <w:tcW w:w="2198" w:type="dxa"/>
            <w:tcBorders>
              <w:top w:val="nil"/>
              <w:left w:val="nil"/>
              <w:bottom w:val="single" w:sz="4" w:space="0" w:color="auto"/>
              <w:right w:val="single" w:sz="4" w:space="0" w:color="auto"/>
            </w:tcBorders>
            <w:shd w:val="clear" w:color="auto" w:fill="auto"/>
            <w:noWrap/>
            <w:vAlign w:val="bottom"/>
            <w:hideMark/>
          </w:tcPr>
          <w:p w14:paraId="5CD4B558" w14:textId="77777777" w:rsidR="00FE399D" w:rsidRPr="00D1707B" w:rsidRDefault="00FE399D" w:rsidP="00582303">
            <w:pPr>
              <w:pStyle w:val="CBDTableNormal"/>
              <w:spacing w:before="0" w:after="0"/>
              <w:jc w:val="right"/>
              <w:rPr>
                <w:sz w:val="18"/>
                <w:szCs w:val="18"/>
              </w:rPr>
            </w:pPr>
            <w:r>
              <w:rPr>
                <w:sz w:val="18"/>
              </w:rPr>
              <w:t>0,086</w:t>
            </w:r>
          </w:p>
        </w:tc>
        <w:tc>
          <w:tcPr>
            <w:tcW w:w="1176" w:type="dxa"/>
            <w:tcBorders>
              <w:top w:val="nil"/>
              <w:left w:val="nil"/>
              <w:bottom w:val="single" w:sz="4" w:space="0" w:color="auto"/>
              <w:right w:val="single" w:sz="4" w:space="0" w:color="auto"/>
            </w:tcBorders>
            <w:shd w:val="clear" w:color="auto" w:fill="auto"/>
            <w:noWrap/>
            <w:vAlign w:val="bottom"/>
            <w:hideMark/>
          </w:tcPr>
          <w:p w14:paraId="673DD8D1" w14:textId="77777777" w:rsidR="00FE399D" w:rsidRPr="00D1707B" w:rsidRDefault="00FE399D" w:rsidP="00582303">
            <w:pPr>
              <w:pStyle w:val="CBDTableNormal"/>
              <w:spacing w:before="0" w:after="0"/>
              <w:jc w:val="right"/>
              <w:rPr>
                <w:sz w:val="18"/>
                <w:szCs w:val="18"/>
              </w:rPr>
            </w:pPr>
            <w:r>
              <w:rPr>
                <w:sz w:val="18"/>
              </w:rPr>
              <w:t>12 144</w:t>
            </w:r>
          </w:p>
        </w:tc>
        <w:tc>
          <w:tcPr>
            <w:tcW w:w="1461" w:type="dxa"/>
            <w:tcBorders>
              <w:top w:val="nil"/>
              <w:left w:val="nil"/>
              <w:bottom w:val="single" w:sz="4" w:space="0" w:color="auto"/>
              <w:right w:val="single" w:sz="4" w:space="0" w:color="auto"/>
            </w:tcBorders>
            <w:shd w:val="clear" w:color="auto" w:fill="auto"/>
            <w:noWrap/>
            <w:vAlign w:val="bottom"/>
            <w:hideMark/>
          </w:tcPr>
          <w:p w14:paraId="4AB3C0B0" w14:textId="77777777" w:rsidR="00FE399D" w:rsidRPr="00D1707B" w:rsidRDefault="00FE399D" w:rsidP="00582303">
            <w:pPr>
              <w:pStyle w:val="CBDTableNormal"/>
              <w:spacing w:before="0" w:after="0"/>
              <w:jc w:val="right"/>
              <w:rPr>
                <w:sz w:val="18"/>
                <w:szCs w:val="18"/>
              </w:rPr>
            </w:pPr>
            <w:r>
              <w:rPr>
                <w:sz w:val="18"/>
              </w:rPr>
              <w:t>12 975</w:t>
            </w:r>
          </w:p>
        </w:tc>
        <w:tc>
          <w:tcPr>
            <w:tcW w:w="1080" w:type="dxa"/>
            <w:tcBorders>
              <w:top w:val="nil"/>
              <w:left w:val="nil"/>
              <w:bottom w:val="single" w:sz="4" w:space="0" w:color="auto"/>
              <w:right w:val="single" w:sz="4" w:space="0" w:color="auto"/>
            </w:tcBorders>
            <w:shd w:val="clear" w:color="auto" w:fill="auto"/>
            <w:noWrap/>
            <w:vAlign w:val="bottom"/>
            <w:hideMark/>
          </w:tcPr>
          <w:p w14:paraId="6CF3F5F4" w14:textId="77777777" w:rsidR="00FE399D" w:rsidRPr="00D1707B" w:rsidRDefault="00FE399D" w:rsidP="00582303">
            <w:pPr>
              <w:pStyle w:val="CBDTableNormal"/>
              <w:spacing w:before="0" w:after="0"/>
              <w:jc w:val="right"/>
              <w:rPr>
                <w:sz w:val="18"/>
                <w:szCs w:val="18"/>
              </w:rPr>
            </w:pPr>
            <w:r>
              <w:rPr>
                <w:sz w:val="18"/>
              </w:rPr>
              <w:t>25 118</w:t>
            </w:r>
          </w:p>
        </w:tc>
      </w:tr>
      <w:tr w:rsidR="00FE399D" w:rsidRPr="00D1707B" w14:paraId="5DFCBB0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73D7CC5" w14:textId="77777777" w:rsidR="00FE399D" w:rsidRPr="00D1707B" w:rsidRDefault="00FE399D" w:rsidP="00582303">
            <w:pPr>
              <w:pStyle w:val="CBDTableNormal"/>
              <w:spacing w:before="0" w:after="0"/>
              <w:rPr>
                <w:sz w:val="18"/>
                <w:szCs w:val="18"/>
              </w:rPr>
            </w:pPr>
            <w:r>
              <w:rPr>
                <w:sz w:val="18"/>
              </w:rPr>
              <w:t>Côte d’Ivoire</w:t>
            </w:r>
          </w:p>
        </w:tc>
        <w:tc>
          <w:tcPr>
            <w:tcW w:w="1628" w:type="dxa"/>
            <w:tcBorders>
              <w:top w:val="nil"/>
              <w:left w:val="nil"/>
              <w:bottom w:val="single" w:sz="4" w:space="0" w:color="auto"/>
              <w:right w:val="single" w:sz="4" w:space="0" w:color="auto"/>
            </w:tcBorders>
            <w:shd w:val="clear" w:color="auto" w:fill="auto"/>
            <w:vAlign w:val="bottom"/>
            <w:hideMark/>
          </w:tcPr>
          <w:p w14:paraId="1CE87A05" w14:textId="77777777" w:rsidR="00FE399D" w:rsidRPr="00D1707B" w:rsidRDefault="00FE399D" w:rsidP="00582303">
            <w:pPr>
              <w:pStyle w:val="CBDTableNormal"/>
              <w:spacing w:before="0" w:after="0"/>
              <w:jc w:val="right"/>
              <w:rPr>
                <w:sz w:val="18"/>
                <w:szCs w:val="18"/>
              </w:rPr>
            </w:pPr>
            <w:r>
              <w:rPr>
                <w:sz w:val="18"/>
              </w:rPr>
              <w:t>0,022</w:t>
            </w:r>
          </w:p>
        </w:tc>
        <w:tc>
          <w:tcPr>
            <w:tcW w:w="2198" w:type="dxa"/>
            <w:tcBorders>
              <w:top w:val="nil"/>
              <w:left w:val="nil"/>
              <w:bottom w:val="single" w:sz="4" w:space="0" w:color="auto"/>
              <w:right w:val="single" w:sz="4" w:space="0" w:color="auto"/>
            </w:tcBorders>
            <w:shd w:val="clear" w:color="auto" w:fill="auto"/>
            <w:noWrap/>
            <w:vAlign w:val="bottom"/>
            <w:hideMark/>
          </w:tcPr>
          <w:p w14:paraId="1D9DCD3D" w14:textId="77777777" w:rsidR="00FE399D" w:rsidRPr="00D1707B" w:rsidRDefault="00FE399D" w:rsidP="00582303">
            <w:pPr>
              <w:pStyle w:val="CBDTableNormal"/>
              <w:spacing w:before="0" w:after="0"/>
              <w:jc w:val="right"/>
              <w:rPr>
                <w:sz w:val="18"/>
                <w:szCs w:val="18"/>
              </w:rPr>
            </w:pPr>
            <w:r>
              <w:rPr>
                <w:sz w:val="18"/>
              </w:rPr>
              <w:t>0,028</w:t>
            </w:r>
          </w:p>
        </w:tc>
        <w:tc>
          <w:tcPr>
            <w:tcW w:w="1176" w:type="dxa"/>
            <w:tcBorders>
              <w:top w:val="nil"/>
              <w:left w:val="nil"/>
              <w:bottom w:val="single" w:sz="4" w:space="0" w:color="auto"/>
              <w:right w:val="single" w:sz="4" w:space="0" w:color="auto"/>
            </w:tcBorders>
            <w:shd w:val="clear" w:color="auto" w:fill="auto"/>
            <w:noWrap/>
            <w:vAlign w:val="bottom"/>
            <w:hideMark/>
          </w:tcPr>
          <w:p w14:paraId="49D75236" w14:textId="77777777" w:rsidR="00FE399D" w:rsidRPr="00D1707B" w:rsidRDefault="00FE399D" w:rsidP="00582303">
            <w:pPr>
              <w:pStyle w:val="CBDTableNormal"/>
              <w:spacing w:before="0" w:after="0"/>
              <w:jc w:val="right"/>
              <w:rPr>
                <w:sz w:val="18"/>
                <w:szCs w:val="18"/>
              </w:rPr>
            </w:pPr>
            <w:r>
              <w:rPr>
                <w:sz w:val="18"/>
              </w:rPr>
              <w:t>3 872</w:t>
            </w:r>
          </w:p>
        </w:tc>
        <w:tc>
          <w:tcPr>
            <w:tcW w:w="1461" w:type="dxa"/>
            <w:tcBorders>
              <w:top w:val="nil"/>
              <w:left w:val="nil"/>
              <w:bottom w:val="single" w:sz="4" w:space="0" w:color="auto"/>
              <w:right w:val="single" w:sz="4" w:space="0" w:color="auto"/>
            </w:tcBorders>
            <w:shd w:val="clear" w:color="auto" w:fill="auto"/>
            <w:noWrap/>
            <w:vAlign w:val="bottom"/>
            <w:hideMark/>
          </w:tcPr>
          <w:p w14:paraId="6479AC2B" w14:textId="77777777" w:rsidR="00FE399D" w:rsidRPr="00D1707B" w:rsidRDefault="00FE399D" w:rsidP="00582303">
            <w:pPr>
              <w:pStyle w:val="CBDTableNormal"/>
              <w:spacing w:before="0" w:after="0"/>
              <w:jc w:val="right"/>
              <w:rPr>
                <w:sz w:val="18"/>
                <w:szCs w:val="18"/>
              </w:rPr>
            </w:pPr>
            <w:r>
              <w:rPr>
                <w:sz w:val="18"/>
              </w:rPr>
              <w:t>4 137</w:t>
            </w:r>
          </w:p>
        </w:tc>
        <w:tc>
          <w:tcPr>
            <w:tcW w:w="1080" w:type="dxa"/>
            <w:tcBorders>
              <w:top w:val="nil"/>
              <w:left w:val="nil"/>
              <w:bottom w:val="single" w:sz="4" w:space="0" w:color="auto"/>
              <w:right w:val="single" w:sz="4" w:space="0" w:color="auto"/>
            </w:tcBorders>
            <w:shd w:val="clear" w:color="auto" w:fill="auto"/>
            <w:noWrap/>
            <w:vAlign w:val="bottom"/>
            <w:hideMark/>
          </w:tcPr>
          <w:p w14:paraId="2ACEE38F" w14:textId="77777777" w:rsidR="00FE399D" w:rsidRPr="00D1707B" w:rsidRDefault="00FE399D" w:rsidP="00582303">
            <w:pPr>
              <w:pStyle w:val="CBDTableNormal"/>
              <w:spacing w:before="0" w:after="0"/>
              <w:jc w:val="right"/>
              <w:rPr>
                <w:sz w:val="18"/>
                <w:szCs w:val="18"/>
              </w:rPr>
            </w:pPr>
            <w:r>
              <w:rPr>
                <w:sz w:val="18"/>
              </w:rPr>
              <w:t>8 009</w:t>
            </w:r>
          </w:p>
        </w:tc>
      </w:tr>
      <w:tr w:rsidR="00FE399D" w:rsidRPr="00D1707B" w14:paraId="2B1AC3F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3A06385" w14:textId="77777777" w:rsidR="00FE399D" w:rsidRPr="00D1707B" w:rsidRDefault="00FE399D" w:rsidP="00582303">
            <w:pPr>
              <w:pStyle w:val="CBDTableNormal"/>
              <w:spacing w:before="0" w:after="0"/>
              <w:rPr>
                <w:sz w:val="18"/>
                <w:szCs w:val="18"/>
              </w:rPr>
            </w:pPr>
            <w:r>
              <w:rPr>
                <w:sz w:val="18"/>
              </w:rPr>
              <w:t>Croacia</w:t>
            </w:r>
          </w:p>
        </w:tc>
        <w:tc>
          <w:tcPr>
            <w:tcW w:w="1628" w:type="dxa"/>
            <w:tcBorders>
              <w:top w:val="nil"/>
              <w:left w:val="nil"/>
              <w:bottom w:val="single" w:sz="4" w:space="0" w:color="auto"/>
              <w:right w:val="single" w:sz="4" w:space="0" w:color="auto"/>
            </w:tcBorders>
            <w:shd w:val="clear" w:color="auto" w:fill="auto"/>
            <w:vAlign w:val="bottom"/>
            <w:hideMark/>
          </w:tcPr>
          <w:p w14:paraId="7B16CCF0" w14:textId="77777777" w:rsidR="00FE399D" w:rsidRPr="00D1707B" w:rsidRDefault="00FE399D" w:rsidP="00582303">
            <w:pPr>
              <w:pStyle w:val="CBDTableNormal"/>
              <w:spacing w:before="0" w:after="0"/>
              <w:jc w:val="right"/>
              <w:rPr>
                <w:sz w:val="18"/>
                <w:szCs w:val="18"/>
              </w:rPr>
            </w:pPr>
            <w:r>
              <w:rPr>
                <w:sz w:val="18"/>
              </w:rPr>
              <w:t>0,091</w:t>
            </w:r>
          </w:p>
        </w:tc>
        <w:tc>
          <w:tcPr>
            <w:tcW w:w="2198" w:type="dxa"/>
            <w:tcBorders>
              <w:top w:val="nil"/>
              <w:left w:val="nil"/>
              <w:bottom w:val="single" w:sz="4" w:space="0" w:color="auto"/>
              <w:right w:val="single" w:sz="4" w:space="0" w:color="auto"/>
            </w:tcBorders>
            <w:shd w:val="clear" w:color="auto" w:fill="auto"/>
            <w:noWrap/>
            <w:vAlign w:val="bottom"/>
            <w:hideMark/>
          </w:tcPr>
          <w:p w14:paraId="34C11B68" w14:textId="77777777" w:rsidR="00FE399D" w:rsidRPr="00D1707B" w:rsidRDefault="00FE399D" w:rsidP="00582303">
            <w:pPr>
              <w:pStyle w:val="CBDTableNormal"/>
              <w:spacing w:before="0" w:after="0"/>
              <w:jc w:val="right"/>
              <w:rPr>
                <w:sz w:val="18"/>
                <w:szCs w:val="18"/>
              </w:rPr>
            </w:pPr>
            <w:r>
              <w:rPr>
                <w:sz w:val="18"/>
              </w:rPr>
              <w:t>0,114</w:t>
            </w:r>
          </w:p>
        </w:tc>
        <w:tc>
          <w:tcPr>
            <w:tcW w:w="1176" w:type="dxa"/>
            <w:tcBorders>
              <w:top w:val="nil"/>
              <w:left w:val="nil"/>
              <w:bottom w:val="single" w:sz="4" w:space="0" w:color="auto"/>
              <w:right w:val="single" w:sz="4" w:space="0" w:color="auto"/>
            </w:tcBorders>
            <w:shd w:val="clear" w:color="auto" w:fill="auto"/>
            <w:noWrap/>
            <w:vAlign w:val="bottom"/>
            <w:hideMark/>
          </w:tcPr>
          <w:p w14:paraId="6F45474F" w14:textId="77777777" w:rsidR="00FE399D" w:rsidRPr="00D1707B" w:rsidRDefault="00FE399D" w:rsidP="00582303">
            <w:pPr>
              <w:pStyle w:val="CBDTableNormal"/>
              <w:spacing w:before="0" w:after="0"/>
              <w:jc w:val="right"/>
              <w:rPr>
                <w:sz w:val="18"/>
                <w:szCs w:val="18"/>
              </w:rPr>
            </w:pPr>
            <w:r>
              <w:rPr>
                <w:sz w:val="18"/>
              </w:rPr>
              <w:t>16 015</w:t>
            </w:r>
          </w:p>
        </w:tc>
        <w:tc>
          <w:tcPr>
            <w:tcW w:w="1461" w:type="dxa"/>
            <w:tcBorders>
              <w:top w:val="nil"/>
              <w:left w:val="nil"/>
              <w:bottom w:val="single" w:sz="4" w:space="0" w:color="auto"/>
              <w:right w:val="single" w:sz="4" w:space="0" w:color="auto"/>
            </w:tcBorders>
            <w:shd w:val="clear" w:color="auto" w:fill="auto"/>
            <w:noWrap/>
            <w:vAlign w:val="bottom"/>
            <w:hideMark/>
          </w:tcPr>
          <w:p w14:paraId="4FCD9C6E" w14:textId="77777777" w:rsidR="00FE399D" w:rsidRPr="00D1707B" w:rsidRDefault="00FE399D" w:rsidP="00582303">
            <w:pPr>
              <w:pStyle w:val="CBDTableNormal"/>
              <w:spacing w:before="0" w:after="0"/>
              <w:jc w:val="right"/>
              <w:rPr>
                <w:sz w:val="18"/>
                <w:szCs w:val="18"/>
              </w:rPr>
            </w:pPr>
            <w:r>
              <w:rPr>
                <w:sz w:val="18"/>
              </w:rPr>
              <w:t>17 111</w:t>
            </w:r>
          </w:p>
        </w:tc>
        <w:tc>
          <w:tcPr>
            <w:tcW w:w="1080" w:type="dxa"/>
            <w:tcBorders>
              <w:top w:val="nil"/>
              <w:left w:val="nil"/>
              <w:bottom w:val="single" w:sz="4" w:space="0" w:color="auto"/>
              <w:right w:val="single" w:sz="4" w:space="0" w:color="auto"/>
            </w:tcBorders>
            <w:shd w:val="clear" w:color="auto" w:fill="auto"/>
            <w:noWrap/>
            <w:vAlign w:val="bottom"/>
            <w:hideMark/>
          </w:tcPr>
          <w:p w14:paraId="1DF7162F" w14:textId="77777777" w:rsidR="00FE399D" w:rsidRPr="00D1707B" w:rsidRDefault="00FE399D" w:rsidP="00582303">
            <w:pPr>
              <w:pStyle w:val="CBDTableNormal"/>
              <w:spacing w:before="0" w:after="0"/>
              <w:jc w:val="right"/>
              <w:rPr>
                <w:sz w:val="18"/>
                <w:szCs w:val="18"/>
              </w:rPr>
            </w:pPr>
            <w:r>
              <w:rPr>
                <w:sz w:val="18"/>
              </w:rPr>
              <w:t>33 127</w:t>
            </w:r>
          </w:p>
        </w:tc>
      </w:tr>
      <w:tr w:rsidR="00FE399D" w:rsidRPr="00D1707B" w14:paraId="092D579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CDCD217" w14:textId="77777777" w:rsidR="00FE399D" w:rsidRPr="00D1707B" w:rsidRDefault="00FE399D" w:rsidP="00582303">
            <w:pPr>
              <w:pStyle w:val="CBDTableNormal"/>
              <w:spacing w:before="0" w:after="0"/>
              <w:rPr>
                <w:sz w:val="18"/>
                <w:szCs w:val="18"/>
              </w:rPr>
            </w:pPr>
            <w:r>
              <w:rPr>
                <w:sz w:val="18"/>
              </w:rPr>
              <w:t>Cuba</w:t>
            </w:r>
          </w:p>
        </w:tc>
        <w:tc>
          <w:tcPr>
            <w:tcW w:w="1628" w:type="dxa"/>
            <w:tcBorders>
              <w:top w:val="nil"/>
              <w:left w:val="nil"/>
              <w:bottom w:val="single" w:sz="4" w:space="0" w:color="auto"/>
              <w:right w:val="single" w:sz="4" w:space="0" w:color="auto"/>
            </w:tcBorders>
            <w:shd w:val="clear" w:color="auto" w:fill="auto"/>
            <w:vAlign w:val="bottom"/>
            <w:hideMark/>
          </w:tcPr>
          <w:p w14:paraId="7E74A3C1" w14:textId="77777777" w:rsidR="00FE399D" w:rsidRPr="00D1707B" w:rsidRDefault="00FE399D" w:rsidP="00582303">
            <w:pPr>
              <w:pStyle w:val="CBDTableNormal"/>
              <w:spacing w:before="0" w:after="0"/>
              <w:jc w:val="right"/>
              <w:rPr>
                <w:sz w:val="18"/>
                <w:szCs w:val="18"/>
              </w:rPr>
            </w:pPr>
            <w:r>
              <w:rPr>
                <w:sz w:val="18"/>
              </w:rPr>
              <w:t>0,095</w:t>
            </w:r>
          </w:p>
        </w:tc>
        <w:tc>
          <w:tcPr>
            <w:tcW w:w="2198" w:type="dxa"/>
            <w:tcBorders>
              <w:top w:val="nil"/>
              <w:left w:val="nil"/>
              <w:bottom w:val="single" w:sz="4" w:space="0" w:color="auto"/>
              <w:right w:val="single" w:sz="4" w:space="0" w:color="auto"/>
            </w:tcBorders>
            <w:shd w:val="clear" w:color="auto" w:fill="auto"/>
            <w:noWrap/>
            <w:vAlign w:val="bottom"/>
            <w:hideMark/>
          </w:tcPr>
          <w:p w14:paraId="5BBB166D" w14:textId="77777777" w:rsidR="00FE399D" w:rsidRPr="00D1707B" w:rsidRDefault="00FE399D" w:rsidP="00582303">
            <w:pPr>
              <w:pStyle w:val="CBDTableNormal"/>
              <w:spacing w:before="0" w:after="0"/>
              <w:jc w:val="right"/>
              <w:rPr>
                <w:sz w:val="18"/>
                <w:szCs w:val="18"/>
              </w:rPr>
            </w:pPr>
            <w:r>
              <w:rPr>
                <w:sz w:val="18"/>
              </w:rPr>
              <w:t>0,119</w:t>
            </w:r>
          </w:p>
        </w:tc>
        <w:tc>
          <w:tcPr>
            <w:tcW w:w="1176" w:type="dxa"/>
            <w:tcBorders>
              <w:top w:val="nil"/>
              <w:left w:val="nil"/>
              <w:bottom w:val="single" w:sz="4" w:space="0" w:color="auto"/>
              <w:right w:val="single" w:sz="4" w:space="0" w:color="auto"/>
            </w:tcBorders>
            <w:shd w:val="clear" w:color="auto" w:fill="auto"/>
            <w:noWrap/>
            <w:vAlign w:val="bottom"/>
            <w:hideMark/>
          </w:tcPr>
          <w:p w14:paraId="3358426B" w14:textId="77777777" w:rsidR="00FE399D" w:rsidRPr="00D1707B" w:rsidRDefault="00FE399D" w:rsidP="00582303">
            <w:pPr>
              <w:pStyle w:val="CBDTableNormal"/>
              <w:spacing w:before="0" w:after="0"/>
              <w:jc w:val="right"/>
              <w:rPr>
                <w:sz w:val="18"/>
                <w:szCs w:val="18"/>
              </w:rPr>
            </w:pPr>
            <w:r>
              <w:rPr>
                <w:sz w:val="18"/>
              </w:rPr>
              <w:t>16 719</w:t>
            </w:r>
          </w:p>
        </w:tc>
        <w:tc>
          <w:tcPr>
            <w:tcW w:w="1461" w:type="dxa"/>
            <w:tcBorders>
              <w:top w:val="nil"/>
              <w:left w:val="nil"/>
              <w:bottom w:val="single" w:sz="4" w:space="0" w:color="auto"/>
              <w:right w:val="single" w:sz="4" w:space="0" w:color="auto"/>
            </w:tcBorders>
            <w:shd w:val="clear" w:color="auto" w:fill="auto"/>
            <w:noWrap/>
            <w:vAlign w:val="bottom"/>
            <w:hideMark/>
          </w:tcPr>
          <w:p w14:paraId="5BF8CF26" w14:textId="77777777" w:rsidR="00FE399D" w:rsidRPr="00D1707B" w:rsidRDefault="00FE399D" w:rsidP="00582303">
            <w:pPr>
              <w:pStyle w:val="CBDTableNormal"/>
              <w:spacing w:before="0" w:after="0"/>
              <w:jc w:val="right"/>
              <w:rPr>
                <w:sz w:val="18"/>
                <w:szCs w:val="18"/>
              </w:rPr>
            </w:pPr>
            <w:r>
              <w:rPr>
                <w:sz w:val="18"/>
              </w:rPr>
              <w:t>17 863</w:t>
            </w:r>
          </w:p>
        </w:tc>
        <w:tc>
          <w:tcPr>
            <w:tcW w:w="1080" w:type="dxa"/>
            <w:tcBorders>
              <w:top w:val="nil"/>
              <w:left w:val="nil"/>
              <w:bottom w:val="single" w:sz="4" w:space="0" w:color="auto"/>
              <w:right w:val="single" w:sz="4" w:space="0" w:color="auto"/>
            </w:tcBorders>
            <w:shd w:val="clear" w:color="auto" w:fill="auto"/>
            <w:noWrap/>
            <w:vAlign w:val="bottom"/>
            <w:hideMark/>
          </w:tcPr>
          <w:p w14:paraId="732FBB32" w14:textId="77777777" w:rsidR="00FE399D" w:rsidRPr="00D1707B" w:rsidRDefault="00FE399D" w:rsidP="00582303">
            <w:pPr>
              <w:pStyle w:val="CBDTableNormal"/>
              <w:spacing w:before="0" w:after="0"/>
              <w:jc w:val="right"/>
              <w:rPr>
                <w:sz w:val="18"/>
                <w:szCs w:val="18"/>
              </w:rPr>
            </w:pPr>
            <w:r>
              <w:rPr>
                <w:sz w:val="18"/>
              </w:rPr>
              <w:t>34 583</w:t>
            </w:r>
          </w:p>
        </w:tc>
      </w:tr>
      <w:tr w:rsidR="00FE399D" w:rsidRPr="00D1707B" w14:paraId="0998977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B850675" w14:textId="77777777" w:rsidR="00FE399D" w:rsidRPr="00D1707B" w:rsidRDefault="00FE399D" w:rsidP="00582303">
            <w:pPr>
              <w:pStyle w:val="CBDTableNormal"/>
              <w:spacing w:before="0" w:after="0"/>
              <w:rPr>
                <w:sz w:val="18"/>
                <w:szCs w:val="18"/>
              </w:rPr>
            </w:pPr>
            <w:r>
              <w:rPr>
                <w:sz w:val="18"/>
              </w:rPr>
              <w:t>Dinamarca</w:t>
            </w:r>
          </w:p>
        </w:tc>
        <w:tc>
          <w:tcPr>
            <w:tcW w:w="1628" w:type="dxa"/>
            <w:tcBorders>
              <w:top w:val="nil"/>
              <w:left w:val="nil"/>
              <w:bottom w:val="single" w:sz="4" w:space="0" w:color="auto"/>
              <w:right w:val="single" w:sz="4" w:space="0" w:color="auto"/>
            </w:tcBorders>
            <w:shd w:val="clear" w:color="auto" w:fill="auto"/>
            <w:vAlign w:val="bottom"/>
            <w:hideMark/>
          </w:tcPr>
          <w:p w14:paraId="2955737F" w14:textId="77777777" w:rsidR="00FE399D" w:rsidRPr="00D1707B" w:rsidRDefault="00FE399D" w:rsidP="00582303">
            <w:pPr>
              <w:pStyle w:val="CBDTableNormal"/>
              <w:spacing w:before="0" w:after="0"/>
              <w:jc w:val="right"/>
              <w:rPr>
                <w:sz w:val="18"/>
                <w:szCs w:val="18"/>
              </w:rPr>
            </w:pPr>
            <w:r>
              <w:rPr>
                <w:sz w:val="18"/>
              </w:rPr>
              <w:t>0,553</w:t>
            </w:r>
          </w:p>
        </w:tc>
        <w:tc>
          <w:tcPr>
            <w:tcW w:w="2198" w:type="dxa"/>
            <w:tcBorders>
              <w:top w:val="nil"/>
              <w:left w:val="nil"/>
              <w:bottom w:val="single" w:sz="4" w:space="0" w:color="auto"/>
              <w:right w:val="single" w:sz="4" w:space="0" w:color="auto"/>
            </w:tcBorders>
            <w:shd w:val="clear" w:color="auto" w:fill="auto"/>
            <w:noWrap/>
            <w:vAlign w:val="bottom"/>
            <w:hideMark/>
          </w:tcPr>
          <w:p w14:paraId="4E3CA36E" w14:textId="77777777" w:rsidR="00FE399D" w:rsidRPr="00D1707B" w:rsidRDefault="00FE399D" w:rsidP="00582303">
            <w:pPr>
              <w:pStyle w:val="CBDTableNormal"/>
              <w:spacing w:before="0" w:after="0"/>
              <w:jc w:val="right"/>
              <w:rPr>
                <w:sz w:val="18"/>
                <w:szCs w:val="18"/>
              </w:rPr>
            </w:pPr>
            <w:r>
              <w:rPr>
                <w:sz w:val="18"/>
              </w:rPr>
              <w:t>0,691</w:t>
            </w:r>
          </w:p>
        </w:tc>
        <w:tc>
          <w:tcPr>
            <w:tcW w:w="1176" w:type="dxa"/>
            <w:tcBorders>
              <w:top w:val="nil"/>
              <w:left w:val="nil"/>
              <w:bottom w:val="single" w:sz="4" w:space="0" w:color="auto"/>
              <w:right w:val="single" w:sz="4" w:space="0" w:color="auto"/>
            </w:tcBorders>
            <w:shd w:val="clear" w:color="auto" w:fill="auto"/>
            <w:noWrap/>
            <w:vAlign w:val="bottom"/>
            <w:hideMark/>
          </w:tcPr>
          <w:p w14:paraId="07569A11" w14:textId="77777777" w:rsidR="00FE399D" w:rsidRPr="00D1707B" w:rsidRDefault="00FE399D" w:rsidP="00582303">
            <w:pPr>
              <w:pStyle w:val="CBDTableNormal"/>
              <w:spacing w:before="0" w:after="0"/>
              <w:jc w:val="right"/>
              <w:rPr>
                <w:sz w:val="18"/>
                <w:szCs w:val="18"/>
              </w:rPr>
            </w:pPr>
            <w:r>
              <w:rPr>
                <w:sz w:val="18"/>
              </w:rPr>
              <w:t>97 325</w:t>
            </w:r>
          </w:p>
        </w:tc>
        <w:tc>
          <w:tcPr>
            <w:tcW w:w="1461" w:type="dxa"/>
            <w:tcBorders>
              <w:top w:val="nil"/>
              <w:left w:val="nil"/>
              <w:bottom w:val="single" w:sz="4" w:space="0" w:color="auto"/>
              <w:right w:val="single" w:sz="4" w:space="0" w:color="auto"/>
            </w:tcBorders>
            <w:shd w:val="clear" w:color="auto" w:fill="auto"/>
            <w:noWrap/>
            <w:vAlign w:val="bottom"/>
            <w:hideMark/>
          </w:tcPr>
          <w:p w14:paraId="20612F42" w14:textId="77777777" w:rsidR="00FE399D" w:rsidRPr="00D1707B" w:rsidRDefault="00FE399D" w:rsidP="00582303">
            <w:pPr>
              <w:pStyle w:val="CBDTableNormal"/>
              <w:spacing w:before="0" w:after="0"/>
              <w:jc w:val="right"/>
              <w:rPr>
                <w:sz w:val="18"/>
                <w:szCs w:val="18"/>
              </w:rPr>
            </w:pPr>
            <w:r>
              <w:rPr>
                <w:sz w:val="18"/>
              </w:rPr>
              <w:t>103 984</w:t>
            </w:r>
          </w:p>
        </w:tc>
        <w:tc>
          <w:tcPr>
            <w:tcW w:w="1080" w:type="dxa"/>
            <w:tcBorders>
              <w:top w:val="nil"/>
              <w:left w:val="nil"/>
              <w:bottom w:val="single" w:sz="4" w:space="0" w:color="auto"/>
              <w:right w:val="single" w:sz="4" w:space="0" w:color="auto"/>
            </w:tcBorders>
            <w:shd w:val="clear" w:color="auto" w:fill="auto"/>
            <w:noWrap/>
            <w:vAlign w:val="bottom"/>
            <w:hideMark/>
          </w:tcPr>
          <w:p w14:paraId="4B5EA97A" w14:textId="77777777" w:rsidR="00FE399D" w:rsidRPr="00D1707B" w:rsidRDefault="00FE399D" w:rsidP="00582303">
            <w:pPr>
              <w:pStyle w:val="CBDTableNormal"/>
              <w:spacing w:before="0" w:after="0"/>
              <w:jc w:val="right"/>
              <w:rPr>
                <w:sz w:val="18"/>
                <w:szCs w:val="18"/>
              </w:rPr>
            </w:pPr>
            <w:r>
              <w:rPr>
                <w:sz w:val="18"/>
              </w:rPr>
              <w:t>201 309</w:t>
            </w:r>
          </w:p>
        </w:tc>
      </w:tr>
      <w:tr w:rsidR="00FE399D" w:rsidRPr="00D1707B" w14:paraId="46022C0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DF8A560" w14:textId="77777777" w:rsidR="00FE399D" w:rsidRPr="00D1707B" w:rsidRDefault="00FE399D" w:rsidP="00582303">
            <w:pPr>
              <w:pStyle w:val="CBDTableNormal"/>
              <w:spacing w:before="0" w:after="0"/>
              <w:rPr>
                <w:sz w:val="18"/>
                <w:szCs w:val="18"/>
              </w:rPr>
            </w:pPr>
            <w:r>
              <w:rPr>
                <w:sz w:val="18"/>
              </w:rPr>
              <w:t>Djibouti</w:t>
            </w:r>
          </w:p>
        </w:tc>
        <w:tc>
          <w:tcPr>
            <w:tcW w:w="1628" w:type="dxa"/>
            <w:tcBorders>
              <w:top w:val="nil"/>
              <w:left w:val="nil"/>
              <w:bottom w:val="single" w:sz="4" w:space="0" w:color="auto"/>
              <w:right w:val="single" w:sz="4" w:space="0" w:color="auto"/>
            </w:tcBorders>
            <w:shd w:val="clear" w:color="auto" w:fill="auto"/>
            <w:vAlign w:val="bottom"/>
            <w:hideMark/>
          </w:tcPr>
          <w:p w14:paraId="06ED1D3C"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5187339A"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4AD38C9C"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30C62B91"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3D822CEC"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7D598C3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C5F0D22" w14:textId="77777777" w:rsidR="00FE399D" w:rsidRPr="00D1707B" w:rsidRDefault="00FE399D" w:rsidP="00582303">
            <w:pPr>
              <w:pStyle w:val="CBDTableNormal"/>
              <w:spacing w:before="0" w:after="0"/>
              <w:rPr>
                <w:sz w:val="18"/>
                <w:szCs w:val="18"/>
              </w:rPr>
            </w:pPr>
            <w:r>
              <w:rPr>
                <w:sz w:val="18"/>
              </w:rPr>
              <w:t>Dominica</w:t>
            </w:r>
          </w:p>
        </w:tc>
        <w:tc>
          <w:tcPr>
            <w:tcW w:w="1628" w:type="dxa"/>
            <w:tcBorders>
              <w:top w:val="nil"/>
              <w:left w:val="nil"/>
              <w:bottom w:val="single" w:sz="4" w:space="0" w:color="auto"/>
              <w:right w:val="single" w:sz="4" w:space="0" w:color="auto"/>
            </w:tcBorders>
            <w:shd w:val="clear" w:color="auto" w:fill="auto"/>
            <w:vAlign w:val="bottom"/>
            <w:hideMark/>
          </w:tcPr>
          <w:p w14:paraId="4587CB56"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059070FF"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114B9672"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1BD7428C"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2C20B201"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0AC05B9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F65924A" w14:textId="77777777" w:rsidR="00FE399D" w:rsidRPr="00D1707B" w:rsidRDefault="00FE399D" w:rsidP="00582303">
            <w:pPr>
              <w:pStyle w:val="CBDTableNormal"/>
              <w:spacing w:before="0" w:after="0"/>
              <w:rPr>
                <w:sz w:val="18"/>
                <w:szCs w:val="18"/>
              </w:rPr>
            </w:pPr>
            <w:r>
              <w:rPr>
                <w:sz w:val="18"/>
              </w:rPr>
              <w:t>Ecuador</w:t>
            </w:r>
          </w:p>
        </w:tc>
        <w:tc>
          <w:tcPr>
            <w:tcW w:w="1628" w:type="dxa"/>
            <w:tcBorders>
              <w:top w:val="nil"/>
              <w:left w:val="nil"/>
              <w:bottom w:val="single" w:sz="4" w:space="0" w:color="auto"/>
              <w:right w:val="single" w:sz="4" w:space="0" w:color="auto"/>
            </w:tcBorders>
            <w:shd w:val="clear" w:color="auto" w:fill="auto"/>
            <w:vAlign w:val="bottom"/>
            <w:hideMark/>
          </w:tcPr>
          <w:p w14:paraId="26AA1F97" w14:textId="77777777" w:rsidR="00FE399D" w:rsidRPr="00D1707B" w:rsidRDefault="00FE399D" w:rsidP="00582303">
            <w:pPr>
              <w:pStyle w:val="CBDTableNormal"/>
              <w:spacing w:before="0" w:after="0"/>
              <w:jc w:val="right"/>
              <w:rPr>
                <w:sz w:val="18"/>
                <w:szCs w:val="18"/>
              </w:rPr>
            </w:pPr>
            <w:r>
              <w:rPr>
                <w:sz w:val="18"/>
              </w:rPr>
              <w:t>0,077</w:t>
            </w:r>
          </w:p>
        </w:tc>
        <w:tc>
          <w:tcPr>
            <w:tcW w:w="2198" w:type="dxa"/>
            <w:tcBorders>
              <w:top w:val="nil"/>
              <w:left w:val="nil"/>
              <w:bottom w:val="single" w:sz="4" w:space="0" w:color="auto"/>
              <w:right w:val="single" w:sz="4" w:space="0" w:color="auto"/>
            </w:tcBorders>
            <w:shd w:val="clear" w:color="auto" w:fill="auto"/>
            <w:noWrap/>
            <w:vAlign w:val="bottom"/>
            <w:hideMark/>
          </w:tcPr>
          <w:p w14:paraId="678A9D53" w14:textId="77777777" w:rsidR="00FE399D" w:rsidRPr="00D1707B" w:rsidRDefault="00FE399D" w:rsidP="00582303">
            <w:pPr>
              <w:pStyle w:val="CBDTableNormal"/>
              <w:spacing w:before="0" w:after="0"/>
              <w:jc w:val="right"/>
              <w:rPr>
                <w:sz w:val="18"/>
                <w:szCs w:val="18"/>
              </w:rPr>
            </w:pPr>
            <w:r>
              <w:rPr>
                <w:sz w:val="18"/>
              </w:rPr>
              <w:t>0,096</w:t>
            </w:r>
          </w:p>
        </w:tc>
        <w:tc>
          <w:tcPr>
            <w:tcW w:w="1176" w:type="dxa"/>
            <w:tcBorders>
              <w:top w:val="nil"/>
              <w:left w:val="nil"/>
              <w:bottom w:val="single" w:sz="4" w:space="0" w:color="auto"/>
              <w:right w:val="single" w:sz="4" w:space="0" w:color="auto"/>
            </w:tcBorders>
            <w:shd w:val="clear" w:color="auto" w:fill="auto"/>
            <w:noWrap/>
            <w:vAlign w:val="bottom"/>
            <w:hideMark/>
          </w:tcPr>
          <w:p w14:paraId="4BC25F34" w14:textId="77777777" w:rsidR="00FE399D" w:rsidRPr="00D1707B" w:rsidRDefault="00FE399D" w:rsidP="00582303">
            <w:pPr>
              <w:pStyle w:val="CBDTableNormal"/>
              <w:spacing w:before="0" w:after="0"/>
              <w:jc w:val="right"/>
              <w:rPr>
                <w:sz w:val="18"/>
                <w:szCs w:val="18"/>
              </w:rPr>
            </w:pPr>
            <w:r>
              <w:rPr>
                <w:sz w:val="18"/>
              </w:rPr>
              <w:t>13 552</w:t>
            </w:r>
          </w:p>
        </w:tc>
        <w:tc>
          <w:tcPr>
            <w:tcW w:w="1461" w:type="dxa"/>
            <w:tcBorders>
              <w:top w:val="nil"/>
              <w:left w:val="nil"/>
              <w:bottom w:val="single" w:sz="4" w:space="0" w:color="auto"/>
              <w:right w:val="single" w:sz="4" w:space="0" w:color="auto"/>
            </w:tcBorders>
            <w:shd w:val="clear" w:color="auto" w:fill="auto"/>
            <w:noWrap/>
            <w:vAlign w:val="bottom"/>
            <w:hideMark/>
          </w:tcPr>
          <w:p w14:paraId="7ACB36DD" w14:textId="77777777" w:rsidR="00FE399D" w:rsidRPr="00D1707B" w:rsidRDefault="00FE399D" w:rsidP="00582303">
            <w:pPr>
              <w:pStyle w:val="CBDTableNormal"/>
              <w:spacing w:before="0" w:after="0"/>
              <w:jc w:val="right"/>
              <w:rPr>
                <w:sz w:val="18"/>
                <w:szCs w:val="18"/>
              </w:rPr>
            </w:pPr>
            <w:r>
              <w:rPr>
                <w:sz w:val="18"/>
              </w:rPr>
              <w:t>14 479</w:t>
            </w:r>
          </w:p>
        </w:tc>
        <w:tc>
          <w:tcPr>
            <w:tcW w:w="1080" w:type="dxa"/>
            <w:tcBorders>
              <w:top w:val="nil"/>
              <w:left w:val="nil"/>
              <w:bottom w:val="single" w:sz="4" w:space="0" w:color="auto"/>
              <w:right w:val="single" w:sz="4" w:space="0" w:color="auto"/>
            </w:tcBorders>
            <w:shd w:val="clear" w:color="auto" w:fill="auto"/>
            <w:noWrap/>
            <w:vAlign w:val="bottom"/>
            <w:hideMark/>
          </w:tcPr>
          <w:p w14:paraId="6104A87B" w14:textId="77777777" w:rsidR="00FE399D" w:rsidRPr="00D1707B" w:rsidRDefault="00FE399D" w:rsidP="00582303">
            <w:pPr>
              <w:pStyle w:val="CBDTableNormal"/>
              <w:spacing w:before="0" w:after="0"/>
              <w:jc w:val="right"/>
              <w:rPr>
                <w:sz w:val="18"/>
                <w:szCs w:val="18"/>
              </w:rPr>
            </w:pPr>
            <w:r>
              <w:rPr>
                <w:sz w:val="18"/>
              </w:rPr>
              <w:t>28 030</w:t>
            </w:r>
          </w:p>
        </w:tc>
      </w:tr>
      <w:tr w:rsidR="00FE399D" w:rsidRPr="00D1707B" w14:paraId="32A0268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0876337" w14:textId="77777777" w:rsidR="00FE399D" w:rsidRPr="00D1707B" w:rsidRDefault="00FE399D" w:rsidP="00582303">
            <w:pPr>
              <w:pStyle w:val="CBDTableNormal"/>
              <w:spacing w:before="0" w:after="0"/>
              <w:rPr>
                <w:sz w:val="18"/>
                <w:szCs w:val="18"/>
              </w:rPr>
            </w:pPr>
            <w:r>
              <w:rPr>
                <w:sz w:val="18"/>
              </w:rPr>
              <w:t>Egipto</w:t>
            </w:r>
          </w:p>
        </w:tc>
        <w:tc>
          <w:tcPr>
            <w:tcW w:w="1628" w:type="dxa"/>
            <w:tcBorders>
              <w:top w:val="nil"/>
              <w:left w:val="nil"/>
              <w:bottom w:val="single" w:sz="4" w:space="0" w:color="auto"/>
              <w:right w:val="single" w:sz="4" w:space="0" w:color="auto"/>
            </w:tcBorders>
            <w:shd w:val="clear" w:color="auto" w:fill="auto"/>
            <w:vAlign w:val="bottom"/>
            <w:hideMark/>
          </w:tcPr>
          <w:p w14:paraId="34F5EBE7" w14:textId="77777777" w:rsidR="00FE399D" w:rsidRPr="00D1707B" w:rsidRDefault="00FE399D" w:rsidP="00582303">
            <w:pPr>
              <w:pStyle w:val="CBDTableNormal"/>
              <w:spacing w:before="0" w:after="0"/>
              <w:jc w:val="right"/>
              <w:rPr>
                <w:sz w:val="18"/>
                <w:szCs w:val="18"/>
              </w:rPr>
            </w:pPr>
            <w:r>
              <w:rPr>
                <w:sz w:val="18"/>
              </w:rPr>
              <w:t>0,139</w:t>
            </w:r>
          </w:p>
        </w:tc>
        <w:tc>
          <w:tcPr>
            <w:tcW w:w="2198" w:type="dxa"/>
            <w:tcBorders>
              <w:top w:val="nil"/>
              <w:left w:val="nil"/>
              <w:bottom w:val="single" w:sz="4" w:space="0" w:color="auto"/>
              <w:right w:val="single" w:sz="4" w:space="0" w:color="auto"/>
            </w:tcBorders>
            <w:shd w:val="clear" w:color="auto" w:fill="auto"/>
            <w:noWrap/>
            <w:vAlign w:val="bottom"/>
            <w:hideMark/>
          </w:tcPr>
          <w:p w14:paraId="5967DC3A" w14:textId="77777777" w:rsidR="00FE399D" w:rsidRPr="00D1707B" w:rsidRDefault="00FE399D" w:rsidP="00582303">
            <w:pPr>
              <w:pStyle w:val="CBDTableNormal"/>
              <w:spacing w:before="0" w:after="0"/>
              <w:jc w:val="right"/>
              <w:rPr>
                <w:sz w:val="18"/>
                <w:szCs w:val="18"/>
              </w:rPr>
            </w:pPr>
            <w:r>
              <w:rPr>
                <w:sz w:val="18"/>
              </w:rPr>
              <w:t>0,174</w:t>
            </w:r>
          </w:p>
        </w:tc>
        <w:tc>
          <w:tcPr>
            <w:tcW w:w="1176" w:type="dxa"/>
            <w:tcBorders>
              <w:top w:val="nil"/>
              <w:left w:val="nil"/>
              <w:bottom w:val="single" w:sz="4" w:space="0" w:color="auto"/>
              <w:right w:val="single" w:sz="4" w:space="0" w:color="auto"/>
            </w:tcBorders>
            <w:shd w:val="clear" w:color="auto" w:fill="auto"/>
            <w:noWrap/>
            <w:vAlign w:val="bottom"/>
            <w:hideMark/>
          </w:tcPr>
          <w:p w14:paraId="007878B6" w14:textId="77777777" w:rsidR="00FE399D" w:rsidRPr="00D1707B" w:rsidRDefault="00FE399D" w:rsidP="00582303">
            <w:pPr>
              <w:pStyle w:val="CBDTableNormal"/>
              <w:spacing w:before="0" w:after="0"/>
              <w:jc w:val="right"/>
              <w:rPr>
                <w:sz w:val="18"/>
                <w:szCs w:val="18"/>
              </w:rPr>
            </w:pPr>
            <w:r>
              <w:rPr>
                <w:sz w:val="18"/>
              </w:rPr>
              <w:t>24 463</w:t>
            </w:r>
          </w:p>
        </w:tc>
        <w:tc>
          <w:tcPr>
            <w:tcW w:w="1461" w:type="dxa"/>
            <w:tcBorders>
              <w:top w:val="nil"/>
              <w:left w:val="nil"/>
              <w:bottom w:val="single" w:sz="4" w:space="0" w:color="auto"/>
              <w:right w:val="single" w:sz="4" w:space="0" w:color="auto"/>
            </w:tcBorders>
            <w:shd w:val="clear" w:color="auto" w:fill="auto"/>
            <w:noWrap/>
            <w:vAlign w:val="bottom"/>
            <w:hideMark/>
          </w:tcPr>
          <w:p w14:paraId="28BB9737" w14:textId="77777777" w:rsidR="00FE399D" w:rsidRPr="00D1707B" w:rsidRDefault="00FE399D" w:rsidP="00582303">
            <w:pPr>
              <w:pStyle w:val="CBDTableNormal"/>
              <w:spacing w:before="0" w:after="0"/>
              <w:jc w:val="right"/>
              <w:rPr>
                <w:sz w:val="18"/>
                <w:szCs w:val="18"/>
              </w:rPr>
            </w:pPr>
            <w:r>
              <w:rPr>
                <w:sz w:val="18"/>
              </w:rPr>
              <w:t>26 137</w:t>
            </w:r>
          </w:p>
        </w:tc>
        <w:tc>
          <w:tcPr>
            <w:tcW w:w="1080" w:type="dxa"/>
            <w:tcBorders>
              <w:top w:val="nil"/>
              <w:left w:val="nil"/>
              <w:bottom w:val="single" w:sz="4" w:space="0" w:color="auto"/>
              <w:right w:val="single" w:sz="4" w:space="0" w:color="auto"/>
            </w:tcBorders>
            <w:shd w:val="clear" w:color="auto" w:fill="auto"/>
            <w:noWrap/>
            <w:vAlign w:val="bottom"/>
            <w:hideMark/>
          </w:tcPr>
          <w:p w14:paraId="3FA4DC31" w14:textId="77777777" w:rsidR="00FE399D" w:rsidRPr="00D1707B" w:rsidRDefault="00FE399D" w:rsidP="00582303">
            <w:pPr>
              <w:pStyle w:val="CBDTableNormal"/>
              <w:spacing w:before="0" w:after="0"/>
              <w:jc w:val="right"/>
              <w:rPr>
                <w:sz w:val="18"/>
                <w:szCs w:val="18"/>
              </w:rPr>
            </w:pPr>
            <w:r>
              <w:rPr>
                <w:sz w:val="18"/>
              </w:rPr>
              <w:t>50 600</w:t>
            </w:r>
          </w:p>
        </w:tc>
      </w:tr>
      <w:tr w:rsidR="00FE399D" w:rsidRPr="00D1707B" w14:paraId="416F632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4F28EE3" w14:textId="77777777" w:rsidR="00FE399D" w:rsidRPr="00D1707B" w:rsidRDefault="00FE399D" w:rsidP="00582303">
            <w:pPr>
              <w:pStyle w:val="CBDTableNormal"/>
              <w:spacing w:before="0" w:after="0"/>
              <w:rPr>
                <w:sz w:val="18"/>
                <w:szCs w:val="18"/>
              </w:rPr>
            </w:pPr>
            <w:r>
              <w:rPr>
                <w:sz w:val="18"/>
              </w:rPr>
              <w:t>El Salvador</w:t>
            </w:r>
          </w:p>
        </w:tc>
        <w:tc>
          <w:tcPr>
            <w:tcW w:w="1628" w:type="dxa"/>
            <w:tcBorders>
              <w:top w:val="nil"/>
              <w:left w:val="nil"/>
              <w:bottom w:val="single" w:sz="4" w:space="0" w:color="auto"/>
              <w:right w:val="single" w:sz="4" w:space="0" w:color="auto"/>
            </w:tcBorders>
            <w:shd w:val="clear" w:color="auto" w:fill="auto"/>
            <w:vAlign w:val="bottom"/>
            <w:hideMark/>
          </w:tcPr>
          <w:p w14:paraId="28607AC0" w14:textId="77777777" w:rsidR="00FE399D" w:rsidRPr="00D1707B" w:rsidRDefault="00FE399D" w:rsidP="00582303">
            <w:pPr>
              <w:pStyle w:val="CBDTableNormal"/>
              <w:spacing w:before="0" w:after="0"/>
              <w:jc w:val="right"/>
              <w:rPr>
                <w:sz w:val="18"/>
                <w:szCs w:val="18"/>
              </w:rPr>
            </w:pPr>
            <w:r>
              <w:rPr>
                <w:sz w:val="18"/>
              </w:rPr>
              <w:t>0,013</w:t>
            </w:r>
          </w:p>
        </w:tc>
        <w:tc>
          <w:tcPr>
            <w:tcW w:w="2198" w:type="dxa"/>
            <w:tcBorders>
              <w:top w:val="nil"/>
              <w:left w:val="nil"/>
              <w:bottom w:val="single" w:sz="4" w:space="0" w:color="auto"/>
              <w:right w:val="single" w:sz="4" w:space="0" w:color="auto"/>
            </w:tcBorders>
            <w:shd w:val="clear" w:color="auto" w:fill="auto"/>
            <w:noWrap/>
            <w:vAlign w:val="bottom"/>
            <w:hideMark/>
          </w:tcPr>
          <w:p w14:paraId="1851DAE3" w14:textId="77777777" w:rsidR="00FE399D" w:rsidRPr="00D1707B" w:rsidRDefault="00FE399D" w:rsidP="00582303">
            <w:pPr>
              <w:pStyle w:val="CBDTableNormal"/>
              <w:spacing w:before="0" w:after="0"/>
              <w:jc w:val="right"/>
              <w:rPr>
                <w:sz w:val="18"/>
                <w:szCs w:val="18"/>
              </w:rPr>
            </w:pPr>
            <w:r>
              <w:rPr>
                <w:sz w:val="18"/>
              </w:rPr>
              <w:t>0,016</w:t>
            </w:r>
          </w:p>
        </w:tc>
        <w:tc>
          <w:tcPr>
            <w:tcW w:w="1176" w:type="dxa"/>
            <w:tcBorders>
              <w:top w:val="nil"/>
              <w:left w:val="nil"/>
              <w:bottom w:val="single" w:sz="4" w:space="0" w:color="auto"/>
              <w:right w:val="single" w:sz="4" w:space="0" w:color="auto"/>
            </w:tcBorders>
            <w:shd w:val="clear" w:color="auto" w:fill="auto"/>
            <w:noWrap/>
            <w:vAlign w:val="bottom"/>
            <w:hideMark/>
          </w:tcPr>
          <w:p w14:paraId="174706B7" w14:textId="77777777" w:rsidR="00FE399D" w:rsidRPr="00D1707B" w:rsidRDefault="00FE399D" w:rsidP="00582303">
            <w:pPr>
              <w:pStyle w:val="CBDTableNormal"/>
              <w:spacing w:before="0" w:after="0"/>
              <w:jc w:val="right"/>
              <w:rPr>
                <w:sz w:val="18"/>
                <w:szCs w:val="18"/>
              </w:rPr>
            </w:pPr>
            <w:r>
              <w:rPr>
                <w:sz w:val="18"/>
              </w:rPr>
              <w:t>2 288</w:t>
            </w:r>
          </w:p>
        </w:tc>
        <w:tc>
          <w:tcPr>
            <w:tcW w:w="1461" w:type="dxa"/>
            <w:tcBorders>
              <w:top w:val="nil"/>
              <w:left w:val="nil"/>
              <w:bottom w:val="single" w:sz="4" w:space="0" w:color="auto"/>
              <w:right w:val="single" w:sz="4" w:space="0" w:color="auto"/>
            </w:tcBorders>
            <w:shd w:val="clear" w:color="auto" w:fill="auto"/>
            <w:noWrap/>
            <w:vAlign w:val="bottom"/>
            <w:hideMark/>
          </w:tcPr>
          <w:p w14:paraId="1AD96290" w14:textId="77777777" w:rsidR="00FE399D" w:rsidRPr="00D1707B" w:rsidRDefault="00FE399D" w:rsidP="00582303">
            <w:pPr>
              <w:pStyle w:val="CBDTableNormal"/>
              <w:spacing w:before="0" w:after="0"/>
              <w:jc w:val="right"/>
              <w:rPr>
                <w:sz w:val="18"/>
                <w:szCs w:val="18"/>
              </w:rPr>
            </w:pPr>
            <w:r>
              <w:rPr>
                <w:sz w:val="18"/>
              </w:rPr>
              <w:t>2 444</w:t>
            </w:r>
          </w:p>
        </w:tc>
        <w:tc>
          <w:tcPr>
            <w:tcW w:w="1080" w:type="dxa"/>
            <w:tcBorders>
              <w:top w:val="nil"/>
              <w:left w:val="nil"/>
              <w:bottom w:val="single" w:sz="4" w:space="0" w:color="auto"/>
              <w:right w:val="single" w:sz="4" w:space="0" w:color="auto"/>
            </w:tcBorders>
            <w:shd w:val="clear" w:color="auto" w:fill="auto"/>
            <w:noWrap/>
            <w:vAlign w:val="bottom"/>
            <w:hideMark/>
          </w:tcPr>
          <w:p w14:paraId="20A6FE1D" w14:textId="77777777" w:rsidR="00FE399D" w:rsidRPr="00D1707B" w:rsidRDefault="00FE399D" w:rsidP="00582303">
            <w:pPr>
              <w:pStyle w:val="CBDTableNormal"/>
              <w:spacing w:before="0" w:after="0"/>
              <w:jc w:val="right"/>
              <w:rPr>
                <w:sz w:val="18"/>
                <w:szCs w:val="18"/>
              </w:rPr>
            </w:pPr>
            <w:r>
              <w:rPr>
                <w:sz w:val="18"/>
              </w:rPr>
              <w:t>4 732</w:t>
            </w:r>
          </w:p>
        </w:tc>
      </w:tr>
      <w:tr w:rsidR="00FE399D" w:rsidRPr="00D1707B" w14:paraId="33E6843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93C5125" w14:textId="77777777" w:rsidR="00FE399D" w:rsidRPr="00D1707B" w:rsidRDefault="00FE399D" w:rsidP="00582303">
            <w:pPr>
              <w:pStyle w:val="CBDTableNormal"/>
              <w:spacing w:before="0" w:after="0"/>
              <w:rPr>
                <w:sz w:val="18"/>
                <w:szCs w:val="18"/>
              </w:rPr>
            </w:pPr>
            <w:r>
              <w:rPr>
                <w:sz w:val="18"/>
              </w:rPr>
              <w:lastRenderedPageBreak/>
              <w:t>Emiratos Árabes Unidos</w:t>
            </w:r>
          </w:p>
        </w:tc>
        <w:tc>
          <w:tcPr>
            <w:tcW w:w="1628" w:type="dxa"/>
            <w:tcBorders>
              <w:top w:val="nil"/>
              <w:left w:val="nil"/>
              <w:bottom w:val="single" w:sz="4" w:space="0" w:color="auto"/>
              <w:right w:val="single" w:sz="4" w:space="0" w:color="auto"/>
            </w:tcBorders>
            <w:shd w:val="clear" w:color="auto" w:fill="auto"/>
            <w:vAlign w:val="bottom"/>
            <w:hideMark/>
          </w:tcPr>
          <w:p w14:paraId="4A01E131" w14:textId="77777777" w:rsidR="00FE399D" w:rsidRPr="00D1707B" w:rsidRDefault="00FE399D" w:rsidP="00582303">
            <w:pPr>
              <w:pStyle w:val="CBDTableNormal"/>
              <w:spacing w:before="0" w:after="0"/>
              <w:jc w:val="right"/>
              <w:rPr>
                <w:sz w:val="18"/>
                <w:szCs w:val="18"/>
              </w:rPr>
            </w:pPr>
            <w:r>
              <w:rPr>
                <w:sz w:val="18"/>
              </w:rPr>
              <w:t>0,635</w:t>
            </w:r>
          </w:p>
        </w:tc>
        <w:tc>
          <w:tcPr>
            <w:tcW w:w="2198" w:type="dxa"/>
            <w:tcBorders>
              <w:top w:val="nil"/>
              <w:left w:val="nil"/>
              <w:bottom w:val="single" w:sz="4" w:space="0" w:color="auto"/>
              <w:right w:val="single" w:sz="4" w:space="0" w:color="auto"/>
            </w:tcBorders>
            <w:shd w:val="clear" w:color="auto" w:fill="auto"/>
            <w:noWrap/>
            <w:vAlign w:val="bottom"/>
            <w:hideMark/>
          </w:tcPr>
          <w:p w14:paraId="4528EC18" w14:textId="77777777" w:rsidR="00FE399D" w:rsidRPr="00D1707B" w:rsidRDefault="00FE399D" w:rsidP="00582303">
            <w:pPr>
              <w:pStyle w:val="CBDTableNormal"/>
              <w:spacing w:before="0" w:after="0"/>
              <w:jc w:val="right"/>
              <w:rPr>
                <w:sz w:val="18"/>
                <w:szCs w:val="18"/>
              </w:rPr>
            </w:pPr>
            <w:r>
              <w:rPr>
                <w:sz w:val="18"/>
              </w:rPr>
              <w:t>0,794</w:t>
            </w:r>
          </w:p>
        </w:tc>
        <w:tc>
          <w:tcPr>
            <w:tcW w:w="1176" w:type="dxa"/>
            <w:tcBorders>
              <w:top w:val="nil"/>
              <w:left w:val="nil"/>
              <w:bottom w:val="single" w:sz="4" w:space="0" w:color="auto"/>
              <w:right w:val="single" w:sz="4" w:space="0" w:color="auto"/>
            </w:tcBorders>
            <w:shd w:val="clear" w:color="auto" w:fill="auto"/>
            <w:noWrap/>
            <w:vAlign w:val="bottom"/>
            <w:hideMark/>
          </w:tcPr>
          <w:p w14:paraId="4DF61FA6" w14:textId="77777777" w:rsidR="00FE399D" w:rsidRPr="00D1707B" w:rsidRDefault="00FE399D" w:rsidP="00582303">
            <w:pPr>
              <w:pStyle w:val="CBDTableNormal"/>
              <w:spacing w:before="0" w:after="0"/>
              <w:jc w:val="right"/>
              <w:rPr>
                <w:sz w:val="18"/>
                <w:szCs w:val="18"/>
              </w:rPr>
            </w:pPr>
            <w:r>
              <w:rPr>
                <w:sz w:val="18"/>
              </w:rPr>
              <w:t>111 756</w:t>
            </w:r>
          </w:p>
        </w:tc>
        <w:tc>
          <w:tcPr>
            <w:tcW w:w="1461" w:type="dxa"/>
            <w:tcBorders>
              <w:top w:val="nil"/>
              <w:left w:val="nil"/>
              <w:bottom w:val="single" w:sz="4" w:space="0" w:color="auto"/>
              <w:right w:val="single" w:sz="4" w:space="0" w:color="auto"/>
            </w:tcBorders>
            <w:shd w:val="clear" w:color="auto" w:fill="auto"/>
            <w:noWrap/>
            <w:vAlign w:val="bottom"/>
            <w:hideMark/>
          </w:tcPr>
          <w:p w14:paraId="7628EF5B" w14:textId="77777777" w:rsidR="00FE399D" w:rsidRPr="00D1707B" w:rsidRDefault="00FE399D" w:rsidP="00582303">
            <w:pPr>
              <w:pStyle w:val="CBDTableNormal"/>
              <w:spacing w:before="0" w:after="0"/>
              <w:jc w:val="right"/>
              <w:rPr>
                <w:sz w:val="18"/>
                <w:szCs w:val="18"/>
              </w:rPr>
            </w:pPr>
            <w:r>
              <w:rPr>
                <w:sz w:val="18"/>
              </w:rPr>
              <w:t>119 403</w:t>
            </w:r>
          </w:p>
        </w:tc>
        <w:tc>
          <w:tcPr>
            <w:tcW w:w="1080" w:type="dxa"/>
            <w:tcBorders>
              <w:top w:val="nil"/>
              <w:left w:val="nil"/>
              <w:bottom w:val="single" w:sz="4" w:space="0" w:color="auto"/>
              <w:right w:val="single" w:sz="4" w:space="0" w:color="auto"/>
            </w:tcBorders>
            <w:shd w:val="clear" w:color="auto" w:fill="auto"/>
            <w:noWrap/>
            <w:vAlign w:val="bottom"/>
            <w:hideMark/>
          </w:tcPr>
          <w:p w14:paraId="1B735DE9" w14:textId="77777777" w:rsidR="00FE399D" w:rsidRPr="00D1707B" w:rsidRDefault="00FE399D" w:rsidP="00582303">
            <w:pPr>
              <w:pStyle w:val="CBDTableNormal"/>
              <w:spacing w:before="0" w:after="0"/>
              <w:jc w:val="right"/>
              <w:rPr>
                <w:sz w:val="18"/>
                <w:szCs w:val="18"/>
              </w:rPr>
            </w:pPr>
            <w:r>
              <w:rPr>
                <w:sz w:val="18"/>
              </w:rPr>
              <w:t>231 160</w:t>
            </w:r>
          </w:p>
        </w:tc>
      </w:tr>
      <w:tr w:rsidR="00FE399D" w:rsidRPr="00D1707B" w14:paraId="7FEB4A1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D6A2FC2" w14:textId="77777777" w:rsidR="00FE399D" w:rsidRPr="00D1707B" w:rsidRDefault="00FE399D" w:rsidP="00582303">
            <w:pPr>
              <w:pStyle w:val="CBDTableNormal"/>
              <w:spacing w:before="0" w:after="0"/>
              <w:rPr>
                <w:sz w:val="18"/>
                <w:szCs w:val="18"/>
              </w:rPr>
            </w:pPr>
            <w:r>
              <w:rPr>
                <w:sz w:val="18"/>
              </w:rPr>
              <w:t>Eritrea</w:t>
            </w:r>
          </w:p>
        </w:tc>
        <w:tc>
          <w:tcPr>
            <w:tcW w:w="1628" w:type="dxa"/>
            <w:tcBorders>
              <w:top w:val="nil"/>
              <w:left w:val="nil"/>
              <w:bottom w:val="single" w:sz="4" w:space="0" w:color="auto"/>
              <w:right w:val="single" w:sz="4" w:space="0" w:color="auto"/>
            </w:tcBorders>
            <w:shd w:val="clear" w:color="auto" w:fill="auto"/>
            <w:vAlign w:val="bottom"/>
            <w:hideMark/>
          </w:tcPr>
          <w:p w14:paraId="5DB6E4CA"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4C7405E1"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1A12632E"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4E739867"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43AA8634"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50400F6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087107B" w14:textId="77777777" w:rsidR="00FE399D" w:rsidRPr="00D1707B" w:rsidRDefault="00FE399D" w:rsidP="00582303">
            <w:pPr>
              <w:pStyle w:val="CBDTableNormal"/>
              <w:spacing w:before="0" w:after="0"/>
              <w:rPr>
                <w:sz w:val="18"/>
                <w:szCs w:val="18"/>
              </w:rPr>
            </w:pPr>
            <w:r>
              <w:rPr>
                <w:sz w:val="18"/>
              </w:rPr>
              <w:t>Eslovaquia</w:t>
            </w:r>
          </w:p>
        </w:tc>
        <w:tc>
          <w:tcPr>
            <w:tcW w:w="1628" w:type="dxa"/>
            <w:tcBorders>
              <w:top w:val="nil"/>
              <w:left w:val="nil"/>
              <w:bottom w:val="single" w:sz="4" w:space="0" w:color="auto"/>
              <w:right w:val="single" w:sz="4" w:space="0" w:color="auto"/>
            </w:tcBorders>
            <w:shd w:val="clear" w:color="auto" w:fill="auto"/>
            <w:vAlign w:val="bottom"/>
            <w:hideMark/>
          </w:tcPr>
          <w:p w14:paraId="588FFF58" w14:textId="77777777" w:rsidR="00FE399D" w:rsidRPr="00D1707B" w:rsidRDefault="00FE399D" w:rsidP="00582303">
            <w:pPr>
              <w:pStyle w:val="CBDTableNormal"/>
              <w:spacing w:before="0" w:after="0"/>
              <w:jc w:val="right"/>
              <w:rPr>
                <w:sz w:val="18"/>
                <w:szCs w:val="18"/>
              </w:rPr>
            </w:pPr>
            <w:r>
              <w:rPr>
                <w:sz w:val="18"/>
              </w:rPr>
              <w:t>0,155</w:t>
            </w:r>
          </w:p>
        </w:tc>
        <w:tc>
          <w:tcPr>
            <w:tcW w:w="2198" w:type="dxa"/>
            <w:tcBorders>
              <w:top w:val="nil"/>
              <w:left w:val="nil"/>
              <w:bottom w:val="single" w:sz="4" w:space="0" w:color="auto"/>
              <w:right w:val="single" w:sz="4" w:space="0" w:color="auto"/>
            </w:tcBorders>
            <w:shd w:val="clear" w:color="auto" w:fill="auto"/>
            <w:noWrap/>
            <w:vAlign w:val="bottom"/>
            <w:hideMark/>
          </w:tcPr>
          <w:p w14:paraId="2743C9CF" w14:textId="77777777" w:rsidR="00FE399D" w:rsidRPr="00D1707B" w:rsidRDefault="00FE399D" w:rsidP="00582303">
            <w:pPr>
              <w:pStyle w:val="CBDTableNormal"/>
              <w:spacing w:before="0" w:after="0"/>
              <w:jc w:val="right"/>
              <w:rPr>
                <w:sz w:val="18"/>
                <w:szCs w:val="18"/>
              </w:rPr>
            </w:pPr>
            <w:r>
              <w:rPr>
                <w:sz w:val="18"/>
              </w:rPr>
              <w:t>0,194</w:t>
            </w:r>
          </w:p>
        </w:tc>
        <w:tc>
          <w:tcPr>
            <w:tcW w:w="1176" w:type="dxa"/>
            <w:tcBorders>
              <w:top w:val="nil"/>
              <w:left w:val="nil"/>
              <w:bottom w:val="single" w:sz="4" w:space="0" w:color="auto"/>
              <w:right w:val="single" w:sz="4" w:space="0" w:color="auto"/>
            </w:tcBorders>
            <w:shd w:val="clear" w:color="auto" w:fill="auto"/>
            <w:noWrap/>
            <w:vAlign w:val="bottom"/>
            <w:hideMark/>
          </w:tcPr>
          <w:p w14:paraId="6EA1CC49" w14:textId="77777777" w:rsidR="00FE399D" w:rsidRPr="00D1707B" w:rsidRDefault="00FE399D" w:rsidP="00582303">
            <w:pPr>
              <w:pStyle w:val="CBDTableNormal"/>
              <w:spacing w:before="0" w:after="0"/>
              <w:jc w:val="right"/>
              <w:rPr>
                <w:sz w:val="18"/>
                <w:szCs w:val="18"/>
              </w:rPr>
            </w:pPr>
            <w:r>
              <w:rPr>
                <w:sz w:val="18"/>
              </w:rPr>
              <w:t>27 279</w:t>
            </w:r>
          </w:p>
        </w:tc>
        <w:tc>
          <w:tcPr>
            <w:tcW w:w="1461" w:type="dxa"/>
            <w:tcBorders>
              <w:top w:val="nil"/>
              <w:left w:val="nil"/>
              <w:bottom w:val="single" w:sz="4" w:space="0" w:color="auto"/>
              <w:right w:val="single" w:sz="4" w:space="0" w:color="auto"/>
            </w:tcBorders>
            <w:shd w:val="clear" w:color="auto" w:fill="auto"/>
            <w:noWrap/>
            <w:vAlign w:val="bottom"/>
            <w:hideMark/>
          </w:tcPr>
          <w:p w14:paraId="5026EE4D" w14:textId="77777777" w:rsidR="00FE399D" w:rsidRPr="00D1707B" w:rsidRDefault="00FE399D" w:rsidP="00582303">
            <w:pPr>
              <w:pStyle w:val="CBDTableNormal"/>
              <w:spacing w:before="0" w:after="0"/>
              <w:jc w:val="right"/>
              <w:rPr>
                <w:sz w:val="18"/>
                <w:szCs w:val="18"/>
              </w:rPr>
            </w:pPr>
            <w:r>
              <w:rPr>
                <w:sz w:val="18"/>
              </w:rPr>
              <w:t>29 146</w:t>
            </w:r>
          </w:p>
        </w:tc>
        <w:tc>
          <w:tcPr>
            <w:tcW w:w="1080" w:type="dxa"/>
            <w:tcBorders>
              <w:top w:val="nil"/>
              <w:left w:val="nil"/>
              <w:bottom w:val="single" w:sz="4" w:space="0" w:color="auto"/>
              <w:right w:val="single" w:sz="4" w:space="0" w:color="auto"/>
            </w:tcBorders>
            <w:shd w:val="clear" w:color="auto" w:fill="auto"/>
            <w:noWrap/>
            <w:vAlign w:val="bottom"/>
            <w:hideMark/>
          </w:tcPr>
          <w:p w14:paraId="0090DB77" w14:textId="77777777" w:rsidR="00FE399D" w:rsidRPr="00D1707B" w:rsidRDefault="00FE399D" w:rsidP="00582303">
            <w:pPr>
              <w:pStyle w:val="CBDTableNormal"/>
              <w:spacing w:before="0" w:after="0"/>
              <w:jc w:val="right"/>
              <w:rPr>
                <w:sz w:val="18"/>
                <w:szCs w:val="18"/>
              </w:rPr>
            </w:pPr>
            <w:r>
              <w:rPr>
                <w:sz w:val="18"/>
              </w:rPr>
              <w:t>56 425</w:t>
            </w:r>
          </w:p>
        </w:tc>
      </w:tr>
      <w:tr w:rsidR="00FE399D" w:rsidRPr="00D1707B" w14:paraId="4754FC7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49B3AC8" w14:textId="77777777" w:rsidR="00FE399D" w:rsidRPr="00D1707B" w:rsidRDefault="00FE399D" w:rsidP="00582303">
            <w:pPr>
              <w:pStyle w:val="CBDTableNormal"/>
              <w:spacing w:before="0" w:after="0"/>
              <w:rPr>
                <w:sz w:val="18"/>
                <w:szCs w:val="18"/>
              </w:rPr>
            </w:pPr>
            <w:r>
              <w:rPr>
                <w:sz w:val="18"/>
              </w:rPr>
              <w:t>Eslovenia</w:t>
            </w:r>
          </w:p>
        </w:tc>
        <w:tc>
          <w:tcPr>
            <w:tcW w:w="1628" w:type="dxa"/>
            <w:tcBorders>
              <w:top w:val="nil"/>
              <w:left w:val="nil"/>
              <w:bottom w:val="single" w:sz="4" w:space="0" w:color="auto"/>
              <w:right w:val="single" w:sz="4" w:space="0" w:color="auto"/>
            </w:tcBorders>
            <w:shd w:val="clear" w:color="auto" w:fill="auto"/>
            <w:vAlign w:val="bottom"/>
            <w:hideMark/>
          </w:tcPr>
          <w:p w14:paraId="122AEC97" w14:textId="77777777" w:rsidR="00FE399D" w:rsidRPr="00D1707B" w:rsidRDefault="00FE399D" w:rsidP="00582303">
            <w:pPr>
              <w:pStyle w:val="CBDTableNormal"/>
              <w:spacing w:before="0" w:after="0"/>
              <w:jc w:val="right"/>
              <w:rPr>
                <w:sz w:val="18"/>
                <w:szCs w:val="18"/>
              </w:rPr>
            </w:pPr>
            <w:r>
              <w:rPr>
                <w:sz w:val="18"/>
              </w:rPr>
              <w:t>0,079</w:t>
            </w:r>
          </w:p>
        </w:tc>
        <w:tc>
          <w:tcPr>
            <w:tcW w:w="2198" w:type="dxa"/>
            <w:tcBorders>
              <w:top w:val="nil"/>
              <w:left w:val="nil"/>
              <w:bottom w:val="single" w:sz="4" w:space="0" w:color="auto"/>
              <w:right w:val="single" w:sz="4" w:space="0" w:color="auto"/>
            </w:tcBorders>
            <w:shd w:val="clear" w:color="auto" w:fill="auto"/>
            <w:noWrap/>
            <w:vAlign w:val="bottom"/>
            <w:hideMark/>
          </w:tcPr>
          <w:p w14:paraId="13C31FD8" w14:textId="77777777" w:rsidR="00FE399D" w:rsidRPr="00D1707B" w:rsidRDefault="00FE399D" w:rsidP="00582303">
            <w:pPr>
              <w:pStyle w:val="CBDTableNormal"/>
              <w:spacing w:before="0" w:after="0"/>
              <w:jc w:val="right"/>
              <w:rPr>
                <w:sz w:val="18"/>
                <w:szCs w:val="18"/>
              </w:rPr>
            </w:pPr>
            <w:r>
              <w:rPr>
                <w:sz w:val="18"/>
              </w:rPr>
              <w:t>0,099</w:t>
            </w:r>
          </w:p>
        </w:tc>
        <w:tc>
          <w:tcPr>
            <w:tcW w:w="1176" w:type="dxa"/>
            <w:tcBorders>
              <w:top w:val="nil"/>
              <w:left w:val="nil"/>
              <w:bottom w:val="single" w:sz="4" w:space="0" w:color="auto"/>
              <w:right w:val="single" w:sz="4" w:space="0" w:color="auto"/>
            </w:tcBorders>
            <w:shd w:val="clear" w:color="auto" w:fill="auto"/>
            <w:noWrap/>
            <w:vAlign w:val="bottom"/>
            <w:hideMark/>
          </w:tcPr>
          <w:p w14:paraId="3FA963C8" w14:textId="77777777" w:rsidR="00FE399D" w:rsidRPr="00D1707B" w:rsidRDefault="00FE399D" w:rsidP="00582303">
            <w:pPr>
              <w:pStyle w:val="CBDTableNormal"/>
              <w:spacing w:before="0" w:after="0"/>
              <w:jc w:val="right"/>
              <w:rPr>
                <w:sz w:val="18"/>
                <w:szCs w:val="18"/>
              </w:rPr>
            </w:pPr>
            <w:r>
              <w:rPr>
                <w:sz w:val="18"/>
              </w:rPr>
              <w:t>13 904</w:t>
            </w:r>
          </w:p>
        </w:tc>
        <w:tc>
          <w:tcPr>
            <w:tcW w:w="1461" w:type="dxa"/>
            <w:tcBorders>
              <w:top w:val="nil"/>
              <w:left w:val="nil"/>
              <w:bottom w:val="single" w:sz="4" w:space="0" w:color="auto"/>
              <w:right w:val="single" w:sz="4" w:space="0" w:color="auto"/>
            </w:tcBorders>
            <w:shd w:val="clear" w:color="auto" w:fill="auto"/>
            <w:noWrap/>
            <w:vAlign w:val="bottom"/>
            <w:hideMark/>
          </w:tcPr>
          <w:p w14:paraId="6065BFFA" w14:textId="77777777" w:rsidR="00FE399D" w:rsidRPr="00D1707B" w:rsidRDefault="00FE399D" w:rsidP="00582303">
            <w:pPr>
              <w:pStyle w:val="CBDTableNormal"/>
              <w:spacing w:before="0" w:after="0"/>
              <w:jc w:val="right"/>
              <w:rPr>
                <w:sz w:val="18"/>
                <w:szCs w:val="18"/>
              </w:rPr>
            </w:pPr>
            <w:r>
              <w:rPr>
                <w:sz w:val="18"/>
              </w:rPr>
              <w:t>14 855</w:t>
            </w:r>
          </w:p>
        </w:tc>
        <w:tc>
          <w:tcPr>
            <w:tcW w:w="1080" w:type="dxa"/>
            <w:tcBorders>
              <w:top w:val="nil"/>
              <w:left w:val="nil"/>
              <w:bottom w:val="single" w:sz="4" w:space="0" w:color="auto"/>
              <w:right w:val="single" w:sz="4" w:space="0" w:color="auto"/>
            </w:tcBorders>
            <w:shd w:val="clear" w:color="auto" w:fill="auto"/>
            <w:noWrap/>
            <w:vAlign w:val="bottom"/>
            <w:hideMark/>
          </w:tcPr>
          <w:p w14:paraId="3A82CF3C" w14:textId="77777777" w:rsidR="00FE399D" w:rsidRPr="00D1707B" w:rsidRDefault="00FE399D" w:rsidP="00582303">
            <w:pPr>
              <w:pStyle w:val="CBDTableNormal"/>
              <w:spacing w:before="0" w:after="0"/>
              <w:jc w:val="right"/>
              <w:rPr>
                <w:sz w:val="18"/>
                <w:szCs w:val="18"/>
              </w:rPr>
            </w:pPr>
            <w:r>
              <w:rPr>
                <w:sz w:val="18"/>
              </w:rPr>
              <w:t>28 758</w:t>
            </w:r>
          </w:p>
        </w:tc>
      </w:tr>
      <w:tr w:rsidR="00FE399D" w:rsidRPr="00D1707B" w14:paraId="741FAF4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2669955" w14:textId="77777777" w:rsidR="00FE399D" w:rsidRPr="00D1707B" w:rsidRDefault="00FE399D" w:rsidP="00582303">
            <w:pPr>
              <w:pStyle w:val="CBDTableNormal"/>
              <w:spacing w:before="0" w:after="0"/>
              <w:rPr>
                <w:sz w:val="18"/>
                <w:szCs w:val="18"/>
              </w:rPr>
            </w:pPr>
            <w:r>
              <w:rPr>
                <w:sz w:val="18"/>
              </w:rPr>
              <w:t>España</w:t>
            </w:r>
          </w:p>
        </w:tc>
        <w:tc>
          <w:tcPr>
            <w:tcW w:w="1628" w:type="dxa"/>
            <w:tcBorders>
              <w:top w:val="nil"/>
              <w:left w:val="nil"/>
              <w:bottom w:val="single" w:sz="4" w:space="0" w:color="auto"/>
              <w:right w:val="single" w:sz="4" w:space="0" w:color="auto"/>
            </w:tcBorders>
            <w:shd w:val="clear" w:color="auto" w:fill="auto"/>
            <w:vAlign w:val="bottom"/>
            <w:hideMark/>
          </w:tcPr>
          <w:p w14:paraId="55151085" w14:textId="77777777" w:rsidR="00FE399D" w:rsidRPr="00D1707B" w:rsidRDefault="00FE399D" w:rsidP="00582303">
            <w:pPr>
              <w:pStyle w:val="CBDTableNormal"/>
              <w:spacing w:before="0" w:after="0"/>
              <w:jc w:val="right"/>
              <w:rPr>
                <w:sz w:val="18"/>
                <w:szCs w:val="18"/>
              </w:rPr>
            </w:pPr>
            <w:r>
              <w:rPr>
                <w:sz w:val="18"/>
              </w:rPr>
              <w:t>2,134</w:t>
            </w:r>
          </w:p>
        </w:tc>
        <w:tc>
          <w:tcPr>
            <w:tcW w:w="2198" w:type="dxa"/>
            <w:tcBorders>
              <w:top w:val="nil"/>
              <w:left w:val="nil"/>
              <w:bottom w:val="single" w:sz="4" w:space="0" w:color="auto"/>
              <w:right w:val="single" w:sz="4" w:space="0" w:color="auto"/>
            </w:tcBorders>
            <w:shd w:val="clear" w:color="auto" w:fill="auto"/>
            <w:noWrap/>
            <w:vAlign w:val="bottom"/>
            <w:hideMark/>
          </w:tcPr>
          <w:p w14:paraId="24279277" w14:textId="77777777" w:rsidR="00FE399D" w:rsidRPr="00D1707B" w:rsidRDefault="00FE399D" w:rsidP="00582303">
            <w:pPr>
              <w:pStyle w:val="CBDTableNormal"/>
              <w:spacing w:before="0" w:after="0"/>
              <w:jc w:val="right"/>
              <w:rPr>
                <w:sz w:val="18"/>
                <w:szCs w:val="18"/>
              </w:rPr>
            </w:pPr>
            <w:r>
              <w:rPr>
                <w:sz w:val="18"/>
              </w:rPr>
              <w:t>2,668</w:t>
            </w:r>
          </w:p>
        </w:tc>
        <w:tc>
          <w:tcPr>
            <w:tcW w:w="1176" w:type="dxa"/>
            <w:tcBorders>
              <w:top w:val="nil"/>
              <w:left w:val="nil"/>
              <w:bottom w:val="single" w:sz="4" w:space="0" w:color="auto"/>
              <w:right w:val="single" w:sz="4" w:space="0" w:color="auto"/>
            </w:tcBorders>
            <w:shd w:val="clear" w:color="auto" w:fill="auto"/>
            <w:noWrap/>
            <w:vAlign w:val="bottom"/>
            <w:hideMark/>
          </w:tcPr>
          <w:p w14:paraId="1D2A9209" w14:textId="77777777" w:rsidR="00FE399D" w:rsidRPr="00D1707B" w:rsidRDefault="00FE399D" w:rsidP="00582303">
            <w:pPr>
              <w:pStyle w:val="CBDTableNormal"/>
              <w:spacing w:before="0" w:after="0"/>
              <w:jc w:val="right"/>
              <w:rPr>
                <w:sz w:val="18"/>
                <w:szCs w:val="18"/>
              </w:rPr>
            </w:pPr>
            <w:r>
              <w:rPr>
                <w:sz w:val="18"/>
              </w:rPr>
              <w:t>375 572</w:t>
            </w:r>
          </w:p>
        </w:tc>
        <w:tc>
          <w:tcPr>
            <w:tcW w:w="1461" w:type="dxa"/>
            <w:tcBorders>
              <w:top w:val="nil"/>
              <w:left w:val="nil"/>
              <w:bottom w:val="single" w:sz="4" w:space="0" w:color="auto"/>
              <w:right w:val="single" w:sz="4" w:space="0" w:color="auto"/>
            </w:tcBorders>
            <w:shd w:val="clear" w:color="auto" w:fill="auto"/>
            <w:noWrap/>
            <w:vAlign w:val="bottom"/>
            <w:hideMark/>
          </w:tcPr>
          <w:p w14:paraId="05311C98" w14:textId="77777777" w:rsidR="00FE399D" w:rsidRPr="00D1707B" w:rsidRDefault="00FE399D" w:rsidP="00582303">
            <w:pPr>
              <w:pStyle w:val="CBDTableNormal"/>
              <w:spacing w:before="0" w:after="0"/>
              <w:jc w:val="right"/>
              <w:rPr>
                <w:sz w:val="18"/>
                <w:szCs w:val="18"/>
              </w:rPr>
            </w:pPr>
            <w:r>
              <w:rPr>
                <w:sz w:val="18"/>
              </w:rPr>
              <w:t>401 270</w:t>
            </w:r>
          </w:p>
        </w:tc>
        <w:tc>
          <w:tcPr>
            <w:tcW w:w="1080" w:type="dxa"/>
            <w:tcBorders>
              <w:top w:val="nil"/>
              <w:left w:val="nil"/>
              <w:bottom w:val="single" w:sz="4" w:space="0" w:color="auto"/>
              <w:right w:val="single" w:sz="4" w:space="0" w:color="auto"/>
            </w:tcBorders>
            <w:shd w:val="clear" w:color="auto" w:fill="auto"/>
            <w:noWrap/>
            <w:vAlign w:val="bottom"/>
            <w:hideMark/>
          </w:tcPr>
          <w:p w14:paraId="4822A4F9" w14:textId="77777777" w:rsidR="00FE399D" w:rsidRPr="00D1707B" w:rsidRDefault="00FE399D" w:rsidP="00582303">
            <w:pPr>
              <w:pStyle w:val="CBDTableNormal"/>
              <w:spacing w:before="0" w:after="0"/>
              <w:jc w:val="right"/>
              <w:rPr>
                <w:sz w:val="18"/>
                <w:szCs w:val="18"/>
              </w:rPr>
            </w:pPr>
            <w:r>
              <w:rPr>
                <w:sz w:val="18"/>
              </w:rPr>
              <w:t>776 842</w:t>
            </w:r>
          </w:p>
        </w:tc>
      </w:tr>
      <w:tr w:rsidR="00FE399D" w:rsidRPr="00D1707B" w14:paraId="7175621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E955525" w14:textId="77777777" w:rsidR="00FE399D" w:rsidRPr="00D1707B" w:rsidRDefault="00FE399D" w:rsidP="00582303">
            <w:pPr>
              <w:pStyle w:val="CBDTableNormal"/>
              <w:spacing w:before="0" w:after="0"/>
              <w:rPr>
                <w:sz w:val="18"/>
                <w:szCs w:val="18"/>
              </w:rPr>
            </w:pPr>
            <w:r>
              <w:rPr>
                <w:sz w:val="18"/>
              </w:rPr>
              <w:t>Estado de Palestina</w:t>
            </w:r>
          </w:p>
        </w:tc>
        <w:tc>
          <w:tcPr>
            <w:tcW w:w="1628" w:type="dxa"/>
            <w:tcBorders>
              <w:top w:val="nil"/>
              <w:left w:val="nil"/>
              <w:bottom w:val="single" w:sz="4" w:space="0" w:color="auto"/>
              <w:right w:val="single" w:sz="4" w:space="0" w:color="auto"/>
            </w:tcBorders>
            <w:shd w:val="clear" w:color="auto" w:fill="auto"/>
            <w:vAlign w:val="bottom"/>
            <w:hideMark/>
          </w:tcPr>
          <w:p w14:paraId="41F05890" w14:textId="77777777" w:rsidR="00FE399D" w:rsidRPr="00D1707B" w:rsidRDefault="00FE399D" w:rsidP="00582303">
            <w:pPr>
              <w:pStyle w:val="CBDTableNormal"/>
              <w:spacing w:before="0" w:after="0"/>
              <w:jc w:val="right"/>
              <w:rPr>
                <w:sz w:val="18"/>
                <w:szCs w:val="18"/>
              </w:rPr>
            </w:pPr>
            <w:r>
              <w:rPr>
                <w:sz w:val="18"/>
              </w:rPr>
              <w:t>0,011</w:t>
            </w:r>
          </w:p>
        </w:tc>
        <w:tc>
          <w:tcPr>
            <w:tcW w:w="2198" w:type="dxa"/>
            <w:tcBorders>
              <w:top w:val="nil"/>
              <w:left w:val="nil"/>
              <w:bottom w:val="single" w:sz="4" w:space="0" w:color="auto"/>
              <w:right w:val="single" w:sz="4" w:space="0" w:color="auto"/>
            </w:tcBorders>
            <w:shd w:val="clear" w:color="auto" w:fill="auto"/>
            <w:noWrap/>
            <w:vAlign w:val="bottom"/>
            <w:hideMark/>
          </w:tcPr>
          <w:p w14:paraId="3C826A59" w14:textId="77777777" w:rsidR="00FE399D" w:rsidRPr="00D1707B" w:rsidRDefault="00FE399D" w:rsidP="00582303">
            <w:pPr>
              <w:pStyle w:val="CBDTableNormal"/>
              <w:spacing w:before="0" w:after="0"/>
              <w:jc w:val="right"/>
              <w:rPr>
                <w:sz w:val="18"/>
                <w:szCs w:val="18"/>
              </w:rPr>
            </w:pPr>
            <w:r>
              <w:rPr>
                <w:sz w:val="18"/>
              </w:rPr>
              <w:t>0,014</w:t>
            </w:r>
          </w:p>
        </w:tc>
        <w:tc>
          <w:tcPr>
            <w:tcW w:w="1176" w:type="dxa"/>
            <w:tcBorders>
              <w:top w:val="nil"/>
              <w:left w:val="nil"/>
              <w:bottom w:val="single" w:sz="4" w:space="0" w:color="auto"/>
              <w:right w:val="single" w:sz="4" w:space="0" w:color="auto"/>
            </w:tcBorders>
            <w:shd w:val="clear" w:color="auto" w:fill="auto"/>
            <w:noWrap/>
            <w:vAlign w:val="bottom"/>
            <w:hideMark/>
          </w:tcPr>
          <w:p w14:paraId="7236B098" w14:textId="77777777" w:rsidR="00FE399D" w:rsidRPr="00D1707B" w:rsidRDefault="00FE399D" w:rsidP="00582303">
            <w:pPr>
              <w:pStyle w:val="CBDTableNormal"/>
              <w:spacing w:before="0" w:after="0"/>
              <w:jc w:val="right"/>
              <w:rPr>
                <w:sz w:val="18"/>
                <w:szCs w:val="18"/>
              </w:rPr>
            </w:pPr>
            <w:r>
              <w:rPr>
                <w:sz w:val="18"/>
              </w:rPr>
              <w:t>1 936</w:t>
            </w:r>
          </w:p>
        </w:tc>
        <w:tc>
          <w:tcPr>
            <w:tcW w:w="1461" w:type="dxa"/>
            <w:tcBorders>
              <w:top w:val="nil"/>
              <w:left w:val="nil"/>
              <w:bottom w:val="single" w:sz="4" w:space="0" w:color="auto"/>
              <w:right w:val="single" w:sz="4" w:space="0" w:color="auto"/>
            </w:tcBorders>
            <w:shd w:val="clear" w:color="auto" w:fill="auto"/>
            <w:noWrap/>
            <w:vAlign w:val="bottom"/>
            <w:hideMark/>
          </w:tcPr>
          <w:p w14:paraId="3721B65F" w14:textId="77777777" w:rsidR="00FE399D" w:rsidRPr="00D1707B" w:rsidRDefault="00FE399D" w:rsidP="00582303">
            <w:pPr>
              <w:pStyle w:val="CBDTableNormal"/>
              <w:spacing w:before="0" w:after="0"/>
              <w:jc w:val="right"/>
              <w:rPr>
                <w:sz w:val="18"/>
                <w:szCs w:val="18"/>
              </w:rPr>
            </w:pPr>
            <w:r>
              <w:rPr>
                <w:sz w:val="18"/>
              </w:rPr>
              <w:t>2 068</w:t>
            </w:r>
          </w:p>
        </w:tc>
        <w:tc>
          <w:tcPr>
            <w:tcW w:w="1080" w:type="dxa"/>
            <w:tcBorders>
              <w:top w:val="nil"/>
              <w:left w:val="nil"/>
              <w:bottom w:val="single" w:sz="4" w:space="0" w:color="auto"/>
              <w:right w:val="single" w:sz="4" w:space="0" w:color="auto"/>
            </w:tcBorders>
            <w:shd w:val="clear" w:color="auto" w:fill="auto"/>
            <w:noWrap/>
            <w:vAlign w:val="bottom"/>
            <w:hideMark/>
          </w:tcPr>
          <w:p w14:paraId="235E3DCB" w14:textId="77777777" w:rsidR="00FE399D" w:rsidRPr="00D1707B" w:rsidRDefault="00FE399D" w:rsidP="00582303">
            <w:pPr>
              <w:pStyle w:val="CBDTableNormal"/>
              <w:spacing w:before="0" w:after="0"/>
              <w:jc w:val="right"/>
              <w:rPr>
                <w:sz w:val="18"/>
                <w:szCs w:val="18"/>
              </w:rPr>
            </w:pPr>
            <w:r>
              <w:rPr>
                <w:sz w:val="18"/>
              </w:rPr>
              <w:t>4 004</w:t>
            </w:r>
          </w:p>
        </w:tc>
      </w:tr>
      <w:tr w:rsidR="00FE399D" w:rsidRPr="00D1707B" w14:paraId="07DEFE7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F4037C3" w14:textId="77777777" w:rsidR="00FE399D" w:rsidRPr="00D1707B" w:rsidRDefault="00FE399D" w:rsidP="00582303">
            <w:pPr>
              <w:pStyle w:val="CBDTableNormal"/>
              <w:spacing w:before="0" w:after="0"/>
              <w:rPr>
                <w:sz w:val="18"/>
                <w:szCs w:val="18"/>
              </w:rPr>
            </w:pPr>
            <w:r>
              <w:rPr>
                <w:sz w:val="18"/>
              </w:rPr>
              <w:t>Estonia</w:t>
            </w:r>
          </w:p>
        </w:tc>
        <w:tc>
          <w:tcPr>
            <w:tcW w:w="1628" w:type="dxa"/>
            <w:tcBorders>
              <w:top w:val="nil"/>
              <w:left w:val="nil"/>
              <w:bottom w:val="single" w:sz="4" w:space="0" w:color="auto"/>
              <w:right w:val="single" w:sz="4" w:space="0" w:color="auto"/>
            </w:tcBorders>
            <w:shd w:val="clear" w:color="auto" w:fill="auto"/>
            <w:vAlign w:val="bottom"/>
            <w:hideMark/>
          </w:tcPr>
          <w:p w14:paraId="1DA80AFC" w14:textId="77777777" w:rsidR="00FE399D" w:rsidRPr="00D1707B" w:rsidRDefault="00FE399D" w:rsidP="00582303">
            <w:pPr>
              <w:pStyle w:val="CBDTableNormal"/>
              <w:spacing w:before="0" w:after="0"/>
              <w:jc w:val="right"/>
              <w:rPr>
                <w:sz w:val="18"/>
                <w:szCs w:val="18"/>
              </w:rPr>
            </w:pPr>
            <w:r>
              <w:rPr>
                <w:sz w:val="18"/>
              </w:rPr>
              <w:t>0,044</w:t>
            </w:r>
          </w:p>
        </w:tc>
        <w:tc>
          <w:tcPr>
            <w:tcW w:w="2198" w:type="dxa"/>
            <w:tcBorders>
              <w:top w:val="nil"/>
              <w:left w:val="nil"/>
              <w:bottom w:val="single" w:sz="4" w:space="0" w:color="auto"/>
              <w:right w:val="single" w:sz="4" w:space="0" w:color="auto"/>
            </w:tcBorders>
            <w:shd w:val="clear" w:color="auto" w:fill="auto"/>
            <w:noWrap/>
            <w:vAlign w:val="bottom"/>
            <w:hideMark/>
          </w:tcPr>
          <w:p w14:paraId="52BA228A" w14:textId="77777777" w:rsidR="00FE399D" w:rsidRPr="00D1707B" w:rsidRDefault="00FE399D" w:rsidP="00582303">
            <w:pPr>
              <w:pStyle w:val="CBDTableNormal"/>
              <w:spacing w:before="0" w:after="0"/>
              <w:jc w:val="right"/>
              <w:rPr>
                <w:sz w:val="18"/>
                <w:szCs w:val="18"/>
              </w:rPr>
            </w:pPr>
            <w:r>
              <w:rPr>
                <w:sz w:val="18"/>
              </w:rPr>
              <w:t>0,055</w:t>
            </w:r>
          </w:p>
        </w:tc>
        <w:tc>
          <w:tcPr>
            <w:tcW w:w="1176" w:type="dxa"/>
            <w:tcBorders>
              <w:top w:val="nil"/>
              <w:left w:val="nil"/>
              <w:bottom w:val="single" w:sz="4" w:space="0" w:color="auto"/>
              <w:right w:val="single" w:sz="4" w:space="0" w:color="auto"/>
            </w:tcBorders>
            <w:shd w:val="clear" w:color="auto" w:fill="auto"/>
            <w:noWrap/>
            <w:vAlign w:val="bottom"/>
            <w:hideMark/>
          </w:tcPr>
          <w:p w14:paraId="49CBDC6D" w14:textId="77777777" w:rsidR="00FE399D" w:rsidRPr="00D1707B" w:rsidRDefault="00FE399D" w:rsidP="00582303">
            <w:pPr>
              <w:pStyle w:val="CBDTableNormal"/>
              <w:spacing w:before="0" w:after="0"/>
              <w:jc w:val="right"/>
              <w:rPr>
                <w:sz w:val="18"/>
                <w:szCs w:val="18"/>
              </w:rPr>
            </w:pPr>
            <w:r>
              <w:rPr>
                <w:sz w:val="18"/>
              </w:rPr>
              <w:t>7 744</w:t>
            </w:r>
          </w:p>
        </w:tc>
        <w:tc>
          <w:tcPr>
            <w:tcW w:w="1461" w:type="dxa"/>
            <w:tcBorders>
              <w:top w:val="nil"/>
              <w:left w:val="nil"/>
              <w:bottom w:val="single" w:sz="4" w:space="0" w:color="auto"/>
              <w:right w:val="single" w:sz="4" w:space="0" w:color="auto"/>
            </w:tcBorders>
            <w:shd w:val="clear" w:color="auto" w:fill="auto"/>
            <w:noWrap/>
            <w:vAlign w:val="bottom"/>
            <w:hideMark/>
          </w:tcPr>
          <w:p w14:paraId="2CD428B3" w14:textId="77777777" w:rsidR="00FE399D" w:rsidRPr="00D1707B" w:rsidRDefault="00FE399D" w:rsidP="00582303">
            <w:pPr>
              <w:pStyle w:val="CBDTableNormal"/>
              <w:spacing w:before="0" w:after="0"/>
              <w:jc w:val="right"/>
              <w:rPr>
                <w:sz w:val="18"/>
                <w:szCs w:val="18"/>
              </w:rPr>
            </w:pPr>
            <w:r>
              <w:rPr>
                <w:sz w:val="18"/>
              </w:rPr>
              <w:t>8 274</w:t>
            </w:r>
          </w:p>
        </w:tc>
        <w:tc>
          <w:tcPr>
            <w:tcW w:w="1080" w:type="dxa"/>
            <w:tcBorders>
              <w:top w:val="nil"/>
              <w:left w:val="nil"/>
              <w:bottom w:val="single" w:sz="4" w:space="0" w:color="auto"/>
              <w:right w:val="single" w:sz="4" w:space="0" w:color="auto"/>
            </w:tcBorders>
            <w:shd w:val="clear" w:color="auto" w:fill="auto"/>
            <w:noWrap/>
            <w:vAlign w:val="bottom"/>
            <w:hideMark/>
          </w:tcPr>
          <w:p w14:paraId="622A3278" w14:textId="77777777" w:rsidR="00FE399D" w:rsidRPr="00D1707B" w:rsidRDefault="00FE399D" w:rsidP="00582303">
            <w:pPr>
              <w:pStyle w:val="CBDTableNormal"/>
              <w:spacing w:before="0" w:after="0"/>
              <w:jc w:val="right"/>
              <w:rPr>
                <w:sz w:val="18"/>
                <w:szCs w:val="18"/>
              </w:rPr>
            </w:pPr>
            <w:r>
              <w:rPr>
                <w:sz w:val="18"/>
              </w:rPr>
              <w:t>16 017</w:t>
            </w:r>
          </w:p>
        </w:tc>
      </w:tr>
      <w:tr w:rsidR="00FE399D" w:rsidRPr="00D1707B" w14:paraId="7EC57A6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0D4B8AE" w14:textId="77777777" w:rsidR="00FE399D" w:rsidRPr="00D1707B" w:rsidRDefault="00FE399D" w:rsidP="00582303">
            <w:pPr>
              <w:pStyle w:val="CBDTableNormal"/>
              <w:spacing w:before="0" w:after="0"/>
              <w:rPr>
                <w:sz w:val="18"/>
                <w:szCs w:val="18"/>
              </w:rPr>
            </w:pPr>
            <w:r>
              <w:rPr>
                <w:sz w:val="18"/>
              </w:rPr>
              <w:t>Eswatini</w:t>
            </w:r>
          </w:p>
        </w:tc>
        <w:tc>
          <w:tcPr>
            <w:tcW w:w="1628" w:type="dxa"/>
            <w:tcBorders>
              <w:top w:val="nil"/>
              <w:left w:val="nil"/>
              <w:bottom w:val="single" w:sz="4" w:space="0" w:color="auto"/>
              <w:right w:val="single" w:sz="4" w:space="0" w:color="auto"/>
            </w:tcBorders>
            <w:shd w:val="clear" w:color="auto" w:fill="auto"/>
            <w:vAlign w:val="bottom"/>
            <w:hideMark/>
          </w:tcPr>
          <w:p w14:paraId="4BBDAD72" w14:textId="77777777" w:rsidR="00FE399D" w:rsidRPr="00D1707B" w:rsidRDefault="00FE399D" w:rsidP="00582303">
            <w:pPr>
              <w:pStyle w:val="CBDTableNormal"/>
              <w:spacing w:before="0" w:after="0"/>
              <w:jc w:val="right"/>
              <w:rPr>
                <w:sz w:val="18"/>
                <w:szCs w:val="18"/>
              </w:rPr>
            </w:pPr>
            <w:r>
              <w:rPr>
                <w:sz w:val="18"/>
              </w:rPr>
              <w:t>0,002</w:t>
            </w:r>
          </w:p>
        </w:tc>
        <w:tc>
          <w:tcPr>
            <w:tcW w:w="2198" w:type="dxa"/>
            <w:tcBorders>
              <w:top w:val="nil"/>
              <w:left w:val="nil"/>
              <w:bottom w:val="single" w:sz="4" w:space="0" w:color="auto"/>
              <w:right w:val="single" w:sz="4" w:space="0" w:color="auto"/>
            </w:tcBorders>
            <w:shd w:val="clear" w:color="auto" w:fill="auto"/>
            <w:noWrap/>
            <w:vAlign w:val="bottom"/>
            <w:hideMark/>
          </w:tcPr>
          <w:p w14:paraId="46B3DE22" w14:textId="77777777" w:rsidR="00FE399D" w:rsidRPr="00D1707B" w:rsidRDefault="00FE399D" w:rsidP="00582303">
            <w:pPr>
              <w:pStyle w:val="CBDTableNormal"/>
              <w:spacing w:before="0" w:after="0"/>
              <w:jc w:val="right"/>
              <w:rPr>
                <w:sz w:val="18"/>
                <w:szCs w:val="18"/>
              </w:rPr>
            </w:pPr>
            <w:r>
              <w:rPr>
                <w:sz w:val="18"/>
              </w:rPr>
              <w:t>0,003</w:t>
            </w:r>
          </w:p>
        </w:tc>
        <w:tc>
          <w:tcPr>
            <w:tcW w:w="1176" w:type="dxa"/>
            <w:tcBorders>
              <w:top w:val="nil"/>
              <w:left w:val="nil"/>
              <w:bottom w:val="single" w:sz="4" w:space="0" w:color="auto"/>
              <w:right w:val="single" w:sz="4" w:space="0" w:color="auto"/>
            </w:tcBorders>
            <w:shd w:val="clear" w:color="auto" w:fill="auto"/>
            <w:noWrap/>
            <w:vAlign w:val="bottom"/>
            <w:hideMark/>
          </w:tcPr>
          <w:p w14:paraId="7D5D9185" w14:textId="77777777" w:rsidR="00FE399D" w:rsidRPr="00D1707B" w:rsidRDefault="00FE399D" w:rsidP="00582303">
            <w:pPr>
              <w:pStyle w:val="CBDTableNormal"/>
              <w:spacing w:before="0" w:after="0"/>
              <w:jc w:val="right"/>
              <w:rPr>
                <w:sz w:val="18"/>
                <w:szCs w:val="18"/>
              </w:rPr>
            </w:pPr>
            <w:r>
              <w:rPr>
                <w:sz w:val="18"/>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09A48CFC" w14:textId="77777777" w:rsidR="00FE399D" w:rsidRPr="00D1707B" w:rsidRDefault="00FE399D" w:rsidP="00582303">
            <w:pPr>
              <w:pStyle w:val="CBDTableNormal"/>
              <w:spacing w:before="0" w:after="0"/>
              <w:jc w:val="right"/>
              <w:rPr>
                <w:sz w:val="18"/>
                <w:szCs w:val="18"/>
              </w:rPr>
            </w:pPr>
            <w:r>
              <w:rPr>
                <w:sz w:val="18"/>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08C16828" w14:textId="77777777" w:rsidR="00FE399D" w:rsidRPr="00D1707B" w:rsidRDefault="00FE399D" w:rsidP="00582303">
            <w:pPr>
              <w:pStyle w:val="CBDTableNormal"/>
              <w:spacing w:before="0" w:after="0"/>
              <w:jc w:val="right"/>
              <w:rPr>
                <w:sz w:val="18"/>
                <w:szCs w:val="18"/>
              </w:rPr>
            </w:pPr>
            <w:r>
              <w:rPr>
                <w:sz w:val="18"/>
              </w:rPr>
              <w:t>728</w:t>
            </w:r>
          </w:p>
        </w:tc>
      </w:tr>
      <w:tr w:rsidR="00FE399D" w:rsidRPr="00D1707B" w14:paraId="4A1F487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8F4CFC0" w14:textId="77777777" w:rsidR="00FE399D" w:rsidRPr="00D1707B" w:rsidRDefault="00FE399D" w:rsidP="00582303">
            <w:pPr>
              <w:pStyle w:val="CBDTableNormal"/>
              <w:spacing w:before="0" w:after="0"/>
              <w:rPr>
                <w:sz w:val="18"/>
                <w:szCs w:val="18"/>
              </w:rPr>
            </w:pPr>
            <w:r>
              <w:rPr>
                <w:sz w:val="18"/>
              </w:rPr>
              <w:t>Etiopía</w:t>
            </w:r>
          </w:p>
        </w:tc>
        <w:tc>
          <w:tcPr>
            <w:tcW w:w="1628" w:type="dxa"/>
            <w:tcBorders>
              <w:top w:val="nil"/>
              <w:left w:val="nil"/>
              <w:bottom w:val="single" w:sz="4" w:space="0" w:color="auto"/>
              <w:right w:val="single" w:sz="4" w:space="0" w:color="auto"/>
            </w:tcBorders>
            <w:shd w:val="clear" w:color="auto" w:fill="auto"/>
            <w:vAlign w:val="bottom"/>
            <w:hideMark/>
          </w:tcPr>
          <w:p w14:paraId="62D2E3F8" w14:textId="77777777" w:rsidR="00FE399D" w:rsidRPr="00D1707B" w:rsidRDefault="00FE399D" w:rsidP="00582303">
            <w:pPr>
              <w:pStyle w:val="CBDTableNormal"/>
              <w:spacing w:before="0" w:after="0"/>
              <w:jc w:val="right"/>
              <w:rPr>
                <w:sz w:val="18"/>
                <w:szCs w:val="18"/>
              </w:rPr>
            </w:pPr>
            <w:r>
              <w:rPr>
                <w:sz w:val="18"/>
              </w:rPr>
              <w:t>0,010</w:t>
            </w:r>
          </w:p>
        </w:tc>
        <w:tc>
          <w:tcPr>
            <w:tcW w:w="2198" w:type="dxa"/>
            <w:tcBorders>
              <w:top w:val="nil"/>
              <w:left w:val="nil"/>
              <w:bottom w:val="single" w:sz="4" w:space="0" w:color="auto"/>
              <w:right w:val="single" w:sz="4" w:space="0" w:color="auto"/>
            </w:tcBorders>
            <w:shd w:val="clear" w:color="auto" w:fill="auto"/>
            <w:noWrap/>
            <w:vAlign w:val="bottom"/>
            <w:hideMark/>
          </w:tcPr>
          <w:p w14:paraId="4F809E99" w14:textId="77777777" w:rsidR="00FE399D" w:rsidRPr="00D1707B" w:rsidRDefault="00FE399D" w:rsidP="00582303">
            <w:pPr>
              <w:pStyle w:val="CBDTableNormal"/>
              <w:spacing w:before="0" w:after="0"/>
              <w:jc w:val="right"/>
              <w:rPr>
                <w:sz w:val="18"/>
                <w:szCs w:val="18"/>
              </w:rPr>
            </w:pPr>
            <w:r>
              <w:rPr>
                <w:sz w:val="18"/>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145136F1" w14:textId="77777777" w:rsidR="00FE399D" w:rsidRPr="00D1707B" w:rsidRDefault="00FE399D" w:rsidP="00582303">
            <w:pPr>
              <w:pStyle w:val="CBDTableNormal"/>
              <w:spacing w:before="0" w:after="0"/>
              <w:jc w:val="right"/>
              <w:rPr>
                <w:sz w:val="18"/>
                <w:szCs w:val="18"/>
              </w:rPr>
            </w:pPr>
            <w:r>
              <w:rPr>
                <w:sz w:val="18"/>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0AB5697C" w14:textId="77777777" w:rsidR="00FE399D" w:rsidRPr="00D1707B" w:rsidRDefault="00FE399D" w:rsidP="00582303">
            <w:pPr>
              <w:pStyle w:val="CBDTableNormal"/>
              <w:spacing w:before="0" w:after="0"/>
              <w:jc w:val="right"/>
              <w:rPr>
                <w:sz w:val="18"/>
                <w:szCs w:val="18"/>
              </w:rPr>
            </w:pPr>
            <w:r>
              <w:rPr>
                <w:sz w:val="18"/>
              </w:rPr>
              <w:t>1 504</w:t>
            </w:r>
          </w:p>
        </w:tc>
        <w:tc>
          <w:tcPr>
            <w:tcW w:w="1080" w:type="dxa"/>
            <w:tcBorders>
              <w:top w:val="nil"/>
              <w:left w:val="nil"/>
              <w:bottom w:val="single" w:sz="4" w:space="0" w:color="auto"/>
              <w:right w:val="single" w:sz="4" w:space="0" w:color="auto"/>
            </w:tcBorders>
            <w:shd w:val="clear" w:color="auto" w:fill="auto"/>
            <w:noWrap/>
            <w:vAlign w:val="bottom"/>
            <w:hideMark/>
          </w:tcPr>
          <w:p w14:paraId="6C9C7AC8" w14:textId="77777777" w:rsidR="00FE399D" w:rsidRPr="00D1707B" w:rsidRDefault="00FE399D" w:rsidP="00582303">
            <w:pPr>
              <w:pStyle w:val="CBDTableNormal"/>
              <w:spacing w:before="0" w:after="0"/>
              <w:jc w:val="right"/>
              <w:rPr>
                <w:sz w:val="18"/>
                <w:szCs w:val="18"/>
              </w:rPr>
            </w:pPr>
            <w:r>
              <w:rPr>
                <w:sz w:val="18"/>
              </w:rPr>
              <w:t>2 912</w:t>
            </w:r>
          </w:p>
        </w:tc>
      </w:tr>
      <w:tr w:rsidR="00FE399D" w:rsidRPr="00D1707B" w14:paraId="0A9CDDD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D2BAFCF" w14:textId="77777777" w:rsidR="00FE399D" w:rsidRPr="00D1707B" w:rsidRDefault="00FE399D" w:rsidP="00582303">
            <w:pPr>
              <w:pStyle w:val="CBDTableNormal"/>
              <w:spacing w:before="0" w:after="0"/>
              <w:rPr>
                <w:sz w:val="18"/>
                <w:szCs w:val="18"/>
              </w:rPr>
            </w:pPr>
            <w:r>
              <w:rPr>
                <w:sz w:val="18"/>
              </w:rPr>
              <w:t>Federación de Rusia</w:t>
            </w:r>
          </w:p>
        </w:tc>
        <w:tc>
          <w:tcPr>
            <w:tcW w:w="1628" w:type="dxa"/>
            <w:tcBorders>
              <w:top w:val="nil"/>
              <w:left w:val="nil"/>
              <w:bottom w:val="single" w:sz="4" w:space="0" w:color="auto"/>
              <w:right w:val="single" w:sz="4" w:space="0" w:color="auto"/>
            </w:tcBorders>
            <w:shd w:val="clear" w:color="auto" w:fill="auto"/>
            <w:vAlign w:val="bottom"/>
            <w:hideMark/>
          </w:tcPr>
          <w:p w14:paraId="000462FB" w14:textId="77777777" w:rsidR="00FE399D" w:rsidRPr="00D1707B" w:rsidRDefault="00FE399D" w:rsidP="00582303">
            <w:pPr>
              <w:pStyle w:val="CBDTableNormal"/>
              <w:spacing w:before="0" w:after="0"/>
              <w:jc w:val="right"/>
              <w:rPr>
                <w:sz w:val="18"/>
                <w:szCs w:val="18"/>
              </w:rPr>
            </w:pPr>
            <w:r>
              <w:rPr>
                <w:sz w:val="18"/>
              </w:rPr>
              <w:t>1,866</w:t>
            </w:r>
          </w:p>
        </w:tc>
        <w:tc>
          <w:tcPr>
            <w:tcW w:w="2198" w:type="dxa"/>
            <w:tcBorders>
              <w:top w:val="nil"/>
              <w:left w:val="nil"/>
              <w:bottom w:val="single" w:sz="4" w:space="0" w:color="auto"/>
              <w:right w:val="single" w:sz="4" w:space="0" w:color="auto"/>
            </w:tcBorders>
            <w:shd w:val="clear" w:color="auto" w:fill="auto"/>
            <w:noWrap/>
            <w:vAlign w:val="bottom"/>
            <w:hideMark/>
          </w:tcPr>
          <w:p w14:paraId="4355F54D" w14:textId="77777777" w:rsidR="00FE399D" w:rsidRPr="00D1707B" w:rsidRDefault="00FE399D" w:rsidP="00582303">
            <w:pPr>
              <w:pStyle w:val="CBDTableNormal"/>
              <w:spacing w:before="0" w:after="0"/>
              <w:jc w:val="right"/>
              <w:rPr>
                <w:sz w:val="18"/>
                <w:szCs w:val="18"/>
              </w:rPr>
            </w:pPr>
            <w:r>
              <w:rPr>
                <w:sz w:val="18"/>
              </w:rPr>
              <w:t>2,333</w:t>
            </w:r>
          </w:p>
        </w:tc>
        <w:tc>
          <w:tcPr>
            <w:tcW w:w="1176" w:type="dxa"/>
            <w:tcBorders>
              <w:top w:val="nil"/>
              <w:left w:val="nil"/>
              <w:bottom w:val="single" w:sz="4" w:space="0" w:color="auto"/>
              <w:right w:val="single" w:sz="4" w:space="0" w:color="auto"/>
            </w:tcBorders>
            <w:shd w:val="clear" w:color="auto" w:fill="auto"/>
            <w:noWrap/>
            <w:vAlign w:val="bottom"/>
            <w:hideMark/>
          </w:tcPr>
          <w:p w14:paraId="53B054B4" w14:textId="77777777" w:rsidR="00FE399D" w:rsidRPr="00D1707B" w:rsidRDefault="00FE399D" w:rsidP="00582303">
            <w:pPr>
              <w:pStyle w:val="CBDTableNormal"/>
              <w:spacing w:before="0" w:after="0"/>
              <w:jc w:val="right"/>
              <w:rPr>
                <w:sz w:val="18"/>
                <w:szCs w:val="18"/>
              </w:rPr>
            </w:pPr>
            <w:r>
              <w:rPr>
                <w:sz w:val="18"/>
              </w:rPr>
              <w:t>328 406</w:t>
            </w:r>
          </w:p>
        </w:tc>
        <w:tc>
          <w:tcPr>
            <w:tcW w:w="1461" w:type="dxa"/>
            <w:tcBorders>
              <w:top w:val="nil"/>
              <w:left w:val="nil"/>
              <w:bottom w:val="single" w:sz="4" w:space="0" w:color="auto"/>
              <w:right w:val="single" w:sz="4" w:space="0" w:color="auto"/>
            </w:tcBorders>
            <w:shd w:val="clear" w:color="auto" w:fill="auto"/>
            <w:noWrap/>
            <w:vAlign w:val="bottom"/>
            <w:hideMark/>
          </w:tcPr>
          <w:p w14:paraId="2EAE5AE7" w14:textId="77777777" w:rsidR="00FE399D" w:rsidRPr="00D1707B" w:rsidRDefault="00FE399D" w:rsidP="00582303">
            <w:pPr>
              <w:pStyle w:val="CBDTableNormal"/>
              <w:spacing w:before="0" w:after="0"/>
              <w:jc w:val="right"/>
              <w:rPr>
                <w:sz w:val="18"/>
                <w:szCs w:val="18"/>
              </w:rPr>
            </w:pPr>
            <w:r>
              <w:rPr>
                <w:sz w:val="18"/>
              </w:rPr>
              <w:t>350 876</w:t>
            </w:r>
          </w:p>
        </w:tc>
        <w:tc>
          <w:tcPr>
            <w:tcW w:w="1080" w:type="dxa"/>
            <w:tcBorders>
              <w:top w:val="nil"/>
              <w:left w:val="nil"/>
              <w:bottom w:val="single" w:sz="4" w:space="0" w:color="auto"/>
              <w:right w:val="single" w:sz="4" w:space="0" w:color="auto"/>
            </w:tcBorders>
            <w:shd w:val="clear" w:color="auto" w:fill="auto"/>
            <w:noWrap/>
            <w:vAlign w:val="bottom"/>
            <w:hideMark/>
          </w:tcPr>
          <w:p w14:paraId="71E21DC4" w14:textId="77777777" w:rsidR="00FE399D" w:rsidRPr="00D1707B" w:rsidRDefault="00FE399D" w:rsidP="00582303">
            <w:pPr>
              <w:pStyle w:val="CBDTableNormal"/>
              <w:spacing w:before="0" w:after="0"/>
              <w:jc w:val="right"/>
              <w:rPr>
                <w:sz w:val="18"/>
                <w:szCs w:val="18"/>
              </w:rPr>
            </w:pPr>
            <w:r>
              <w:rPr>
                <w:sz w:val="18"/>
              </w:rPr>
              <w:t>679 282</w:t>
            </w:r>
          </w:p>
        </w:tc>
      </w:tr>
      <w:tr w:rsidR="00FE399D" w:rsidRPr="00D1707B" w14:paraId="1F0E983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EF761D7" w14:textId="77777777" w:rsidR="00FE399D" w:rsidRPr="00D1707B" w:rsidRDefault="00FE399D" w:rsidP="00582303">
            <w:pPr>
              <w:pStyle w:val="CBDTableNormal"/>
              <w:spacing w:before="0" w:after="0"/>
              <w:rPr>
                <w:sz w:val="18"/>
                <w:szCs w:val="18"/>
              </w:rPr>
            </w:pPr>
            <w:r>
              <w:rPr>
                <w:sz w:val="18"/>
              </w:rPr>
              <w:t>Fiji</w:t>
            </w:r>
          </w:p>
        </w:tc>
        <w:tc>
          <w:tcPr>
            <w:tcW w:w="1628" w:type="dxa"/>
            <w:tcBorders>
              <w:top w:val="nil"/>
              <w:left w:val="nil"/>
              <w:bottom w:val="single" w:sz="4" w:space="0" w:color="auto"/>
              <w:right w:val="single" w:sz="4" w:space="0" w:color="auto"/>
            </w:tcBorders>
            <w:shd w:val="clear" w:color="auto" w:fill="auto"/>
            <w:vAlign w:val="bottom"/>
            <w:hideMark/>
          </w:tcPr>
          <w:p w14:paraId="33713BB0" w14:textId="77777777" w:rsidR="00FE399D" w:rsidRPr="00D1707B" w:rsidRDefault="00FE399D" w:rsidP="00582303">
            <w:pPr>
              <w:pStyle w:val="CBDTableNormal"/>
              <w:spacing w:before="0" w:after="0"/>
              <w:jc w:val="right"/>
              <w:rPr>
                <w:sz w:val="18"/>
                <w:szCs w:val="18"/>
              </w:rPr>
            </w:pPr>
            <w:r>
              <w:rPr>
                <w:sz w:val="18"/>
              </w:rPr>
              <w:t>0,004</w:t>
            </w:r>
          </w:p>
        </w:tc>
        <w:tc>
          <w:tcPr>
            <w:tcW w:w="2198" w:type="dxa"/>
            <w:tcBorders>
              <w:top w:val="nil"/>
              <w:left w:val="nil"/>
              <w:bottom w:val="single" w:sz="4" w:space="0" w:color="auto"/>
              <w:right w:val="single" w:sz="4" w:space="0" w:color="auto"/>
            </w:tcBorders>
            <w:shd w:val="clear" w:color="auto" w:fill="auto"/>
            <w:noWrap/>
            <w:vAlign w:val="bottom"/>
            <w:hideMark/>
          </w:tcPr>
          <w:p w14:paraId="1A0BACD3" w14:textId="77777777" w:rsidR="00FE399D" w:rsidRPr="00D1707B" w:rsidRDefault="00FE399D" w:rsidP="00582303">
            <w:pPr>
              <w:pStyle w:val="CBDTableNormal"/>
              <w:spacing w:before="0" w:after="0"/>
              <w:jc w:val="right"/>
              <w:rPr>
                <w:sz w:val="18"/>
                <w:szCs w:val="18"/>
              </w:rPr>
            </w:pPr>
            <w:r>
              <w:rPr>
                <w:sz w:val="18"/>
              </w:rPr>
              <w:t>0,005</w:t>
            </w:r>
          </w:p>
        </w:tc>
        <w:tc>
          <w:tcPr>
            <w:tcW w:w="1176" w:type="dxa"/>
            <w:tcBorders>
              <w:top w:val="nil"/>
              <w:left w:val="nil"/>
              <w:bottom w:val="single" w:sz="4" w:space="0" w:color="auto"/>
              <w:right w:val="single" w:sz="4" w:space="0" w:color="auto"/>
            </w:tcBorders>
            <w:shd w:val="clear" w:color="auto" w:fill="auto"/>
            <w:noWrap/>
            <w:vAlign w:val="bottom"/>
            <w:hideMark/>
          </w:tcPr>
          <w:p w14:paraId="4CF1E4FB" w14:textId="77777777" w:rsidR="00FE399D" w:rsidRPr="00D1707B" w:rsidRDefault="00FE399D" w:rsidP="00582303">
            <w:pPr>
              <w:pStyle w:val="CBDTableNormal"/>
              <w:spacing w:before="0" w:after="0"/>
              <w:jc w:val="right"/>
              <w:rPr>
                <w:sz w:val="18"/>
                <w:szCs w:val="18"/>
              </w:rPr>
            </w:pPr>
            <w:r>
              <w:rPr>
                <w:sz w:val="18"/>
              </w:rPr>
              <w:t>704</w:t>
            </w:r>
          </w:p>
        </w:tc>
        <w:tc>
          <w:tcPr>
            <w:tcW w:w="1461" w:type="dxa"/>
            <w:tcBorders>
              <w:top w:val="nil"/>
              <w:left w:val="nil"/>
              <w:bottom w:val="single" w:sz="4" w:space="0" w:color="auto"/>
              <w:right w:val="single" w:sz="4" w:space="0" w:color="auto"/>
            </w:tcBorders>
            <w:shd w:val="clear" w:color="auto" w:fill="auto"/>
            <w:noWrap/>
            <w:vAlign w:val="bottom"/>
            <w:hideMark/>
          </w:tcPr>
          <w:p w14:paraId="76EA5236" w14:textId="77777777" w:rsidR="00FE399D" w:rsidRPr="00D1707B" w:rsidRDefault="00FE399D" w:rsidP="00582303">
            <w:pPr>
              <w:pStyle w:val="CBDTableNormal"/>
              <w:spacing w:before="0" w:after="0"/>
              <w:jc w:val="right"/>
              <w:rPr>
                <w:sz w:val="18"/>
                <w:szCs w:val="18"/>
              </w:rPr>
            </w:pPr>
            <w:r>
              <w:rPr>
                <w:sz w:val="18"/>
              </w:rPr>
              <w:t>752</w:t>
            </w:r>
          </w:p>
        </w:tc>
        <w:tc>
          <w:tcPr>
            <w:tcW w:w="1080" w:type="dxa"/>
            <w:tcBorders>
              <w:top w:val="nil"/>
              <w:left w:val="nil"/>
              <w:bottom w:val="single" w:sz="4" w:space="0" w:color="auto"/>
              <w:right w:val="single" w:sz="4" w:space="0" w:color="auto"/>
            </w:tcBorders>
            <w:shd w:val="clear" w:color="auto" w:fill="auto"/>
            <w:noWrap/>
            <w:vAlign w:val="bottom"/>
            <w:hideMark/>
          </w:tcPr>
          <w:p w14:paraId="1660EA70" w14:textId="77777777" w:rsidR="00FE399D" w:rsidRPr="00D1707B" w:rsidRDefault="00FE399D" w:rsidP="00582303">
            <w:pPr>
              <w:pStyle w:val="CBDTableNormal"/>
              <w:spacing w:before="0" w:after="0"/>
              <w:jc w:val="right"/>
              <w:rPr>
                <w:sz w:val="18"/>
                <w:szCs w:val="18"/>
              </w:rPr>
            </w:pPr>
            <w:r>
              <w:rPr>
                <w:sz w:val="18"/>
              </w:rPr>
              <w:t>1 456</w:t>
            </w:r>
          </w:p>
        </w:tc>
      </w:tr>
      <w:tr w:rsidR="00FE399D" w:rsidRPr="00D1707B" w14:paraId="375E8E1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DF335ED" w14:textId="77777777" w:rsidR="00FE399D" w:rsidRPr="00D1707B" w:rsidRDefault="00FE399D" w:rsidP="00582303">
            <w:pPr>
              <w:pStyle w:val="CBDTableNormal"/>
              <w:spacing w:before="0" w:after="0"/>
              <w:rPr>
                <w:sz w:val="18"/>
                <w:szCs w:val="18"/>
              </w:rPr>
            </w:pPr>
            <w:r>
              <w:rPr>
                <w:sz w:val="18"/>
              </w:rPr>
              <w:t>Filipinas</w:t>
            </w:r>
          </w:p>
        </w:tc>
        <w:tc>
          <w:tcPr>
            <w:tcW w:w="1628" w:type="dxa"/>
            <w:tcBorders>
              <w:top w:val="nil"/>
              <w:left w:val="nil"/>
              <w:bottom w:val="single" w:sz="4" w:space="0" w:color="auto"/>
              <w:right w:val="single" w:sz="4" w:space="0" w:color="auto"/>
            </w:tcBorders>
            <w:shd w:val="clear" w:color="auto" w:fill="auto"/>
            <w:vAlign w:val="bottom"/>
            <w:hideMark/>
          </w:tcPr>
          <w:p w14:paraId="46688FCD" w14:textId="77777777" w:rsidR="00FE399D" w:rsidRPr="00D1707B" w:rsidRDefault="00FE399D" w:rsidP="00582303">
            <w:pPr>
              <w:pStyle w:val="CBDTableNormal"/>
              <w:spacing w:before="0" w:after="0"/>
              <w:jc w:val="right"/>
              <w:rPr>
                <w:sz w:val="18"/>
                <w:szCs w:val="18"/>
              </w:rPr>
            </w:pPr>
            <w:r>
              <w:rPr>
                <w:sz w:val="18"/>
              </w:rPr>
              <w:t>0,212</w:t>
            </w:r>
          </w:p>
        </w:tc>
        <w:tc>
          <w:tcPr>
            <w:tcW w:w="2198" w:type="dxa"/>
            <w:tcBorders>
              <w:top w:val="nil"/>
              <w:left w:val="nil"/>
              <w:bottom w:val="single" w:sz="4" w:space="0" w:color="auto"/>
              <w:right w:val="single" w:sz="4" w:space="0" w:color="auto"/>
            </w:tcBorders>
            <w:shd w:val="clear" w:color="auto" w:fill="auto"/>
            <w:noWrap/>
            <w:vAlign w:val="bottom"/>
            <w:hideMark/>
          </w:tcPr>
          <w:p w14:paraId="346188FC" w14:textId="77777777" w:rsidR="00FE399D" w:rsidRPr="00D1707B" w:rsidRDefault="00FE399D" w:rsidP="00582303">
            <w:pPr>
              <w:pStyle w:val="CBDTableNormal"/>
              <w:spacing w:before="0" w:after="0"/>
              <w:jc w:val="right"/>
              <w:rPr>
                <w:sz w:val="18"/>
                <w:szCs w:val="18"/>
              </w:rPr>
            </w:pPr>
            <w:r>
              <w:rPr>
                <w:sz w:val="18"/>
              </w:rPr>
              <w:t>0,265</w:t>
            </w:r>
          </w:p>
        </w:tc>
        <w:tc>
          <w:tcPr>
            <w:tcW w:w="1176" w:type="dxa"/>
            <w:tcBorders>
              <w:top w:val="nil"/>
              <w:left w:val="nil"/>
              <w:bottom w:val="single" w:sz="4" w:space="0" w:color="auto"/>
              <w:right w:val="single" w:sz="4" w:space="0" w:color="auto"/>
            </w:tcBorders>
            <w:shd w:val="clear" w:color="auto" w:fill="auto"/>
            <w:noWrap/>
            <w:vAlign w:val="bottom"/>
            <w:hideMark/>
          </w:tcPr>
          <w:p w14:paraId="1CD0F966" w14:textId="77777777" w:rsidR="00FE399D" w:rsidRPr="00D1707B" w:rsidRDefault="00FE399D" w:rsidP="00582303">
            <w:pPr>
              <w:pStyle w:val="CBDTableNormal"/>
              <w:spacing w:before="0" w:after="0"/>
              <w:jc w:val="right"/>
              <w:rPr>
                <w:sz w:val="18"/>
                <w:szCs w:val="18"/>
              </w:rPr>
            </w:pPr>
            <w:r>
              <w:rPr>
                <w:sz w:val="18"/>
              </w:rPr>
              <w:t>37 311</w:t>
            </w:r>
          </w:p>
        </w:tc>
        <w:tc>
          <w:tcPr>
            <w:tcW w:w="1461" w:type="dxa"/>
            <w:tcBorders>
              <w:top w:val="nil"/>
              <w:left w:val="nil"/>
              <w:bottom w:val="single" w:sz="4" w:space="0" w:color="auto"/>
              <w:right w:val="single" w:sz="4" w:space="0" w:color="auto"/>
            </w:tcBorders>
            <w:shd w:val="clear" w:color="auto" w:fill="auto"/>
            <w:noWrap/>
            <w:vAlign w:val="bottom"/>
            <w:hideMark/>
          </w:tcPr>
          <w:p w14:paraId="17FC8D55" w14:textId="77777777" w:rsidR="00FE399D" w:rsidRPr="00D1707B" w:rsidRDefault="00FE399D" w:rsidP="00582303">
            <w:pPr>
              <w:pStyle w:val="CBDTableNormal"/>
              <w:spacing w:before="0" w:after="0"/>
              <w:jc w:val="right"/>
              <w:rPr>
                <w:sz w:val="18"/>
                <w:szCs w:val="18"/>
              </w:rPr>
            </w:pPr>
            <w:r>
              <w:rPr>
                <w:sz w:val="18"/>
              </w:rPr>
              <w:t>39 864</w:t>
            </w:r>
          </w:p>
        </w:tc>
        <w:tc>
          <w:tcPr>
            <w:tcW w:w="1080" w:type="dxa"/>
            <w:tcBorders>
              <w:top w:val="nil"/>
              <w:left w:val="nil"/>
              <w:bottom w:val="single" w:sz="4" w:space="0" w:color="auto"/>
              <w:right w:val="single" w:sz="4" w:space="0" w:color="auto"/>
            </w:tcBorders>
            <w:shd w:val="clear" w:color="auto" w:fill="auto"/>
            <w:noWrap/>
            <w:vAlign w:val="bottom"/>
            <w:hideMark/>
          </w:tcPr>
          <w:p w14:paraId="4EC6B019" w14:textId="77777777" w:rsidR="00FE399D" w:rsidRPr="00D1707B" w:rsidRDefault="00FE399D" w:rsidP="00582303">
            <w:pPr>
              <w:pStyle w:val="CBDTableNormal"/>
              <w:spacing w:before="0" w:after="0"/>
              <w:jc w:val="right"/>
              <w:rPr>
                <w:sz w:val="18"/>
                <w:szCs w:val="18"/>
              </w:rPr>
            </w:pPr>
            <w:r>
              <w:rPr>
                <w:sz w:val="18"/>
              </w:rPr>
              <w:t>77 175</w:t>
            </w:r>
          </w:p>
        </w:tc>
      </w:tr>
      <w:tr w:rsidR="00FE399D" w:rsidRPr="00D1707B" w14:paraId="0E2BD87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17DEE7C" w14:textId="77777777" w:rsidR="00FE399D" w:rsidRPr="00D1707B" w:rsidRDefault="00FE399D" w:rsidP="00582303">
            <w:pPr>
              <w:pStyle w:val="CBDTableNormal"/>
              <w:spacing w:before="0" w:after="0"/>
              <w:rPr>
                <w:sz w:val="18"/>
                <w:szCs w:val="18"/>
              </w:rPr>
            </w:pPr>
            <w:r>
              <w:rPr>
                <w:sz w:val="18"/>
              </w:rPr>
              <w:t>Finlandia</w:t>
            </w:r>
          </w:p>
        </w:tc>
        <w:tc>
          <w:tcPr>
            <w:tcW w:w="1628" w:type="dxa"/>
            <w:tcBorders>
              <w:top w:val="nil"/>
              <w:left w:val="nil"/>
              <w:bottom w:val="single" w:sz="4" w:space="0" w:color="auto"/>
              <w:right w:val="single" w:sz="4" w:space="0" w:color="auto"/>
            </w:tcBorders>
            <w:shd w:val="clear" w:color="auto" w:fill="auto"/>
            <w:vAlign w:val="bottom"/>
            <w:hideMark/>
          </w:tcPr>
          <w:p w14:paraId="1732D4A1" w14:textId="77777777" w:rsidR="00FE399D" w:rsidRPr="00D1707B" w:rsidRDefault="00FE399D" w:rsidP="00582303">
            <w:pPr>
              <w:pStyle w:val="CBDTableNormal"/>
              <w:spacing w:before="0" w:after="0"/>
              <w:jc w:val="right"/>
              <w:rPr>
                <w:sz w:val="18"/>
                <w:szCs w:val="18"/>
              </w:rPr>
            </w:pPr>
            <w:r>
              <w:rPr>
                <w:sz w:val="18"/>
              </w:rPr>
              <w:t>0,417</w:t>
            </w:r>
          </w:p>
        </w:tc>
        <w:tc>
          <w:tcPr>
            <w:tcW w:w="2198" w:type="dxa"/>
            <w:tcBorders>
              <w:top w:val="nil"/>
              <w:left w:val="nil"/>
              <w:bottom w:val="single" w:sz="4" w:space="0" w:color="auto"/>
              <w:right w:val="single" w:sz="4" w:space="0" w:color="auto"/>
            </w:tcBorders>
            <w:shd w:val="clear" w:color="auto" w:fill="auto"/>
            <w:noWrap/>
            <w:vAlign w:val="bottom"/>
            <w:hideMark/>
          </w:tcPr>
          <w:p w14:paraId="1413E634" w14:textId="77777777" w:rsidR="00FE399D" w:rsidRPr="00D1707B" w:rsidRDefault="00FE399D" w:rsidP="00582303">
            <w:pPr>
              <w:pStyle w:val="CBDTableNormal"/>
              <w:spacing w:before="0" w:after="0"/>
              <w:jc w:val="right"/>
              <w:rPr>
                <w:sz w:val="18"/>
                <w:szCs w:val="18"/>
              </w:rPr>
            </w:pPr>
            <w:r>
              <w:rPr>
                <w:sz w:val="18"/>
              </w:rPr>
              <w:t>0,521</w:t>
            </w:r>
          </w:p>
        </w:tc>
        <w:tc>
          <w:tcPr>
            <w:tcW w:w="1176" w:type="dxa"/>
            <w:tcBorders>
              <w:top w:val="nil"/>
              <w:left w:val="nil"/>
              <w:bottom w:val="single" w:sz="4" w:space="0" w:color="auto"/>
              <w:right w:val="single" w:sz="4" w:space="0" w:color="auto"/>
            </w:tcBorders>
            <w:shd w:val="clear" w:color="auto" w:fill="auto"/>
            <w:noWrap/>
            <w:vAlign w:val="bottom"/>
            <w:hideMark/>
          </w:tcPr>
          <w:p w14:paraId="5A7317D4" w14:textId="77777777" w:rsidR="00FE399D" w:rsidRPr="00D1707B" w:rsidRDefault="00FE399D" w:rsidP="00582303">
            <w:pPr>
              <w:pStyle w:val="CBDTableNormal"/>
              <w:spacing w:before="0" w:after="0"/>
              <w:jc w:val="right"/>
              <w:rPr>
                <w:sz w:val="18"/>
                <w:szCs w:val="18"/>
              </w:rPr>
            </w:pPr>
            <w:r>
              <w:rPr>
                <w:sz w:val="18"/>
              </w:rPr>
              <w:t>73 390</w:t>
            </w:r>
          </w:p>
        </w:tc>
        <w:tc>
          <w:tcPr>
            <w:tcW w:w="1461" w:type="dxa"/>
            <w:tcBorders>
              <w:top w:val="nil"/>
              <w:left w:val="nil"/>
              <w:bottom w:val="single" w:sz="4" w:space="0" w:color="auto"/>
              <w:right w:val="single" w:sz="4" w:space="0" w:color="auto"/>
            </w:tcBorders>
            <w:shd w:val="clear" w:color="auto" w:fill="auto"/>
            <w:noWrap/>
            <w:vAlign w:val="bottom"/>
            <w:hideMark/>
          </w:tcPr>
          <w:p w14:paraId="0C661009" w14:textId="77777777" w:rsidR="00FE399D" w:rsidRPr="00D1707B" w:rsidRDefault="00FE399D" w:rsidP="00582303">
            <w:pPr>
              <w:pStyle w:val="CBDTableNormal"/>
              <w:spacing w:before="0" w:after="0"/>
              <w:jc w:val="right"/>
              <w:rPr>
                <w:sz w:val="18"/>
                <w:szCs w:val="18"/>
              </w:rPr>
            </w:pPr>
            <w:r>
              <w:rPr>
                <w:sz w:val="18"/>
              </w:rPr>
              <w:t>78 411</w:t>
            </w:r>
          </w:p>
        </w:tc>
        <w:tc>
          <w:tcPr>
            <w:tcW w:w="1080" w:type="dxa"/>
            <w:tcBorders>
              <w:top w:val="nil"/>
              <w:left w:val="nil"/>
              <w:bottom w:val="single" w:sz="4" w:space="0" w:color="auto"/>
              <w:right w:val="single" w:sz="4" w:space="0" w:color="auto"/>
            </w:tcBorders>
            <w:shd w:val="clear" w:color="auto" w:fill="auto"/>
            <w:noWrap/>
            <w:vAlign w:val="bottom"/>
            <w:hideMark/>
          </w:tcPr>
          <w:p w14:paraId="4281F1F3" w14:textId="77777777" w:rsidR="00FE399D" w:rsidRPr="00D1707B" w:rsidRDefault="00FE399D" w:rsidP="00582303">
            <w:pPr>
              <w:pStyle w:val="CBDTableNormal"/>
              <w:spacing w:before="0" w:after="0"/>
              <w:jc w:val="right"/>
              <w:rPr>
                <w:sz w:val="18"/>
                <w:szCs w:val="18"/>
              </w:rPr>
            </w:pPr>
            <w:r>
              <w:rPr>
                <w:sz w:val="18"/>
              </w:rPr>
              <w:t>151 801</w:t>
            </w:r>
          </w:p>
        </w:tc>
      </w:tr>
      <w:tr w:rsidR="00FE399D" w:rsidRPr="00D1707B" w14:paraId="2210C95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31BF0E5" w14:textId="77777777" w:rsidR="00FE399D" w:rsidRPr="00D1707B" w:rsidRDefault="00FE399D" w:rsidP="00582303">
            <w:pPr>
              <w:pStyle w:val="CBDTableNormal"/>
              <w:spacing w:before="0" w:after="0"/>
              <w:rPr>
                <w:sz w:val="18"/>
                <w:szCs w:val="18"/>
              </w:rPr>
            </w:pPr>
            <w:r>
              <w:rPr>
                <w:sz w:val="18"/>
              </w:rPr>
              <w:t>Francia</w:t>
            </w:r>
          </w:p>
        </w:tc>
        <w:tc>
          <w:tcPr>
            <w:tcW w:w="1628" w:type="dxa"/>
            <w:tcBorders>
              <w:top w:val="nil"/>
              <w:left w:val="nil"/>
              <w:bottom w:val="single" w:sz="4" w:space="0" w:color="auto"/>
              <w:right w:val="single" w:sz="4" w:space="0" w:color="auto"/>
            </w:tcBorders>
            <w:shd w:val="clear" w:color="auto" w:fill="auto"/>
            <w:vAlign w:val="bottom"/>
            <w:hideMark/>
          </w:tcPr>
          <w:p w14:paraId="21F56CB7" w14:textId="77777777" w:rsidR="00FE399D" w:rsidRPr="00D1707B" w:rsidRDefault="00FE399D" w:rsidP="00582303">
            <w:pPr>
              <w:pStyle w:val="CBDTableNormal"/>
              <w:spacing w:before="0" w:after="0"/>
              <w:jc w:val="right"/>
              <w:rPr>
                <w:sz w:val="18"/>
                <w:szCs w:val="18"/>
              </w:rPr>
            </w:pPr>
            <w:r>
              <w:rPr>
                <w:sz w:val="18"/>
              </w:rPr>
              <w:t>4,318</w:t>
            </w:r>
          </w:p>
        </w:tc>
        <w:tc>
          <w:tcPr>
            <w:tcW w:w="2198" w:type="dxa"/>
            <w:tcBorders>
              <w:top w:val="nil"/>
              <w:left w:val="nil"/>
              <w:bottom w:val="single" w:sz="4" w:space="0" w:color="auto"/>
              <w:right w:val="single" w:sz="4" w:space="0" w:color="auto"/>
            </w:tcBorders>
            <w:shd w:val="clear" w:color="auto" w:fill="auto"/>
            <w:noWrap/>
            <w:vAlign w:val="bottom"/>
            <w:hideMark/>
          </w:tcPr>
          <w:p w14:paraId="5F58750E" w14:textId="77777777" w:rsidR="00FE399D" w:rsidRPr="00D1707B" w:rsidRDefault="00FE399D" w:rsidP="00582303">
            <w:pPr>
              <w:pStyle w:val="CBDTableNormal"/>
              <w:spacing w:before="0" w:after="0"/>
              <w:jc w:val="right"/>
              <w:rPr>
                <w:sz w:val="18"/>
                <w:szCs w:val="18"/>
              </w:rPr>
            </w:pPr>
            <w:r>
              <w:rPr>
                <w:sz w:val="18"/>
              </w:rPr>
              <w:t>5,398</w:t>
            </w:r>
          </w:p>
        </w:tc>
        <w:tc>
          <w:tcPr>
            <w:tcW w:w="1176" w:type="dxa"/>
            <w:tcBorders>
              <w:top w:val="nil"/>
              <w:left w:val="nil"/>
              <w:bottom w:val="single" w:sz="4" w:space="0" w:color="auto"/>
              <w:right w:val="single" w:sz="4" w:space="0" w:color="auto"/>
            </w:tcBorders>
            <w:shd w:val="clear" w:color="auto" w:fill="auto"/>
            <w:noWrap/>
            <w:vAlign w:val="bottom"/>
            <w:hideMark/>
          </w:tcPr>
          <w:p w14:paraId="5F8F8C5A" w14:textId="77777777" w:rsidR="00FE399D" w:rsidRPr="00D1707B" w:rsidRDefault="00FE399D" w:rsidP="00582303">
            <w:pPr>
              <w:pStyle w:val="CBDTableNormal"/>
              <w:spacing w:before="0" w:after="0"/>
              <w:jc w:val="right"/>
              <w:rPr>
                <w:sz w:val="18"/>
                <w:szCs w:val="18"/>
              </w:rPr>
            </w:pPr>
            <w:r>
              <w:rPr>
                <w:sz w:val="18"/>
              </w:rPr>
              <w:t>759 944</w:t>
            </w:r>
          </w:p>
        </w:tc>
        <w:tc>
          <w:tcPr>
            <w:tcW w:w="1461" w:type="dxa"/>
            <w:tcBorders>
              <w:top w:val="nil"/>
              <w:left w:val="nil"/>
              <w:bottom w:val="single" w:sz="4" w:space="0" w:color="auto"/>
              <w:right w:val="single" w:sz="4" w:space="0" w:color="auto"/>
            </w:tcBorders>
            <w:shd w:val="clear" w:color="auto" w:fill="auto"/>
            <w:noWrap/>
            <w:vAlign w:val="bottom"/>
            <w:hideMark/>
          </w:tcPr>
          <w:p w14:paraId="2108329D" w14:textId="77777777" w:rsidR="00FE399D" w:rsidRPr="00D1707B" w:rsidRDefault="00FE399D" w:rsidP="00582303">
            <w:pPr>
              <w:pStyle w:val="CBDTableNormal"/>
              <w:spacing w:before="0" w:after="0"/>
              <w:jc w:val="right"/>
              <w:rPr>
                <w:sz w:val="18"/>
                <w:szCs w:val="18"/>
              </w:rPr>
            </w:pPr>
            <w:r>
              <w:rPr>
                <w:sz w:val="18"/>
              </w:rPr>
              <w:t>811 942</w:t>
            </w:r>
          </w:p>
        </w:tc>
        <w:tc>
          <w:tcPr>
            <w:tcW w:w="1080" w:type="dxa"/>
            <w:tcBorders>
              <w:top w:val="nil"/>
              <w:left w:val="nil"/>
              <w:bottom w:val="single" w:sz="4" w:space="0" w:color="auto"/>
              <w:right w:val="single" w:sz="4" w:space="0" w:color="auto"/>
            </w:tcBorders>
            <w:shd w:val="clear" w:color="auto" w:fill="auto"/>
            <w:noWrap/>
            <w:vAlign w:val="bottom"/>
            <w:hideMark/>
          </w:tcPr>
          <w:p w14:paraId="528A6350" w14:textId="77777777" w:rsidR="00FE399D" w:rsidRPr="00D1707B" w:rsidRDefault="00FE399D" w:rsidP="00582303">
            <w:pPr>
              <w:pStyle w:val="CBDTableNormal"/>
              <w:spacing w:before="0" w:after="0"/>
              <w:jc w:val="right"/>
              <w:rPr>
                <w:sz w:val="18"/>
                <w:szCs w:val="18"/>
              </w:rPr>
            </w:pPr>
            <w:r>
              <w:rPr>
                <w:sz w:val="18"/>
              </w:rPr>
              <w:t>1 571 886</w:t>
            </w:r>
          </w:p>
        </w:tc>
      </w:tr>
      <w:tr w:rsidR="00FE399D" w:rsidRPr="00D1707B" w14:paraId="64A205E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908907A" w14:textId="77777777" w:rsidR="00FE399D" w:rsidRPr="00D1707B" w:rsidRDefault="00FE399D" w:rsidP="00582303">
            <w:pPr>
              <w:pStyle w:val="CBDTableNormal"/>
              <w:spacing w:before="0" w:after="0"/>
              <w:rPr>
                <w:sz w:val="18"/>
                <w:szCs w:val="18"/>
              </w:rPr>
            </w:pPr>
            <w:r>
              <w:rPr>
                <w:sz w:val="18"/>
              </w:rPr>
              <w:t>Gabón</w:t>
            </w:r>
          </w:p>
        </w:tc>
        <w:tc>
          <w:tcPr>
            <w:tcW w:w="1628" w:type="dxa"/>
            <w:tcBorders>
              <w:top w:val="nil"/>
              <w:left w:val="nil"/>
              <w:bottom w:val="single" w:sz="4" w:space="0" w:color="auto"/>
              <w:right w:val="single" w:sz="4" w:space="0" w:color="auto"/>
            </w:tcBorders>
            <w:shd w:val="clear" w:color="auto" w:fill="auto"/>
            <w:vAlign w:val="bottom"/>
            <w:hideMark/>
          </w:tcPr>
          <w:p w14:paraId="589B86EA" w14:textId="77777777" w:rsidR="00FE399D" w:rsidRPr="00D1707B" w:rsidRDefault="00FE399D" w:rsidP="00582303">
            <w:pPr>
              <w:pStyle w:val="CBDTableNormal"/>
              <w:spacing w:before="0" w:after="0"/>
              <w:jc w:val="right"/>
              <w:rPr>
                <w:sz w:val="18"/>
                <w:szCs w:val="18"/>
              </w:rPr>
            </w:pPr>
            <w:r>
              <w:rPr>
                <w:sz w:val="18"/>
              </w:rPr>
              <w:t>0,013</w:t>
            </w:r>
          </w:p>
        </w:tc>
        <w:tc>
          <w:tcPr>
            <w:tcW w:w="2198" w:type="dxa"/>
            <w:tcBorders>
              <w:top w:val="nil"/>
              <w:left w:val="nil"/>
              <w:bottom w:val="single" w:sz="4" w:space="0" w:color="auto"/>
              <w:right w:val="single" w:sz="4" w:space="0" w:color="auto"/>
            </w:tcBorders>
            <w:shd w:val="clear" w:color="auto" w:fill="auto"/>
            <w:noWrap/>
            <w:vAlign w:val="bottom"/>
            <w:hideMark/>
          </w:tcPr>
          <w:p w14:paraId="61939CBE" w14:textId="77777777" w:rsidR="00FE399D" w:rsidRPr="00D1707B" w:rsidRDefault="00FE399D" w:rsidP="00582303">
            <w:pPr>
              <w:pStyle w:val="CBDTableNormal"/>
              <w:spacing w:before="0" w:after="0"/>
              <w:jc w:val="right"/>
              <w:rPr>
                <w:sz w:val="18"/>
                <w:szCs w:val="18"/>
              </w:rPr>
            </w:pPr>
            <w:r>
              <w:rPr>
                <w:sz w:val="18"/>
              </w:rPr>
              <w:t>0,016</w:t>
            </w:r>
          </w:p>
        </w:tc>
        <w:tc>
          <w:tcPr>
            <w:tcW w:w="1176" w:type="dxa"/>
            <w:tcBorders>
              <w:top w:val="nil"/>
              <w:left w:val="nil"/>
              <w:bottom w:val="single" w:sz="4" w:space="0" w:color="auto"/>
              <w:right w:val="single" w:sz="4" w:space="0" w:color="auto"/>
            </w:tcBorders>
            <w:shd w:val="clear" w:color="auto" w:fill="auto"/>
            <w:noWrap/>
            <w:vAlign w:val="bottom"/>
            <w:hideMark/>
          </w:tcPr>
          <w:p w14:paraId="76F107C7" w14:textId="77777777" w:rsidR="00FE399D" w:rsidRPr="00D1707B" w:rsidRDefault="00FE399D" w:rsidP="00582303">
            <w:pPr>
              <w:pStyle w:val="CBDTableNormal"/>
              <w:spacing w:before="0" w:after="0"/>
              <w:jc w:val="right"/>
              <w:rPr>
                <w:sz w:val="18"/>
                <w:szCs w:val="18"/>
              </w:rPr>
            </w:pPr>
            <w:r>
              <w:rPr>
                <w:sz w:val="18"/>
              </w:rPr>
              <w:t>2 288</w:t>
            </w:r>
          </w:p>
        </w:tc>
        <w:tc>
          <w:tcPr>
            <w:tcW w:w="1461" w:type="dxa"/>
            <w:tcBorders>
              <w:top w:val="nil"/>
              <w:left w:val="nil"/>
              <w:bottom w:val="single" w:sz="4" w:space="0" w:color="auto"/>
              <w:right w:val="single" w:sz="4" w:space="0" w:color="auto"/>
            </w:tcBorders>
            <w:shd w:val="clear" w:color="auto" w:fill="auto"/>
            <w:noWrap/>
            <w:vAlign w:val="bottom"/>
            <w:hideMark/>
          </w:tcPr>
          <w:p w14:paraId="17C44692" w14:textId="77777777" w:rsidR="00FE399D" w:rsidRPr="00D1707B" w:rsidRDefault="00FE399D" w:rsidP="00582303">
            <w:pPr>
              <w:pStyle w:val="CBDTableNormal"/>
              <w:spacing w:before="0" w:after="0"/>
              <w:jc w:val="right"/>
              <w:rPr>
                <w:sz w:val="18"/>
                <w:szCs w:val="18"/>
              </w:rPr>
            </w:pPr>
            <w:r>
              <w:rPr>
                <w:sz w:val="18"/>
              </w:rPr>
              <w:t>2 444</w:t>
            </w:r>
          </w:p>
        </w:tc>
        <w:tc>
          <w:tcPr>
            <w:tcW w:w="1080" w:type="dxa"/>
            <w:tcBorders>
              <w:top w:val="nil"/>
              <w:left w:val="nil"/>
              <w:bottom w:val="single" w:sz="4" w:space="0" w:color="auto"/>
              <w:right w:val="single" w:sz="4" w:space="0" w:color="auto"/>
            </w:tcBorders>
            <w:shd w:val="clear" w:color="auto" w:fill="auto"/>
            <w:noWrap/>
            <w:vAlign w:val="bottom"/>
            <w:hideMark/>
          </w:tcPr>
          <w:p w14:paraId="5FD40A75" w14:textId="77777777" w:rsidR="00FE399D" w:rsidRPr="00D1707B" w:rsidRDefault="00FE399D" w:rsidP="00582303">
            <w:pPr>
              <w:pStyle w:val="CBDTableNormal"/>
              <w:spacing w:before="0" w:after="0"/>
              <w:jc w:val="right"/>
              <w:rPr>
                <w:sz w:val="18"/>
                <w:szCs w:val="18"/>
              </w:rPr>
            </w:pPr>
            <w:r>
              <w:rPr>
                <w:sz w:val="18"/>
              </w:rPr>
              <w:t>4 732</w:t>
            </w:r>
          </w:p>
        </w:tc>
      </w:tr>
      <w:tr w:rsidR="00FE399D" w:rsidRPr="00D1707B" w14:paraId="0A273037"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6C9D2ED" w14:textId="77777777" w:rsidR="00FE399D" w:rsidRPr="00D1707B" w:rsidRDefault="00FE399D" w:rsidP="00582303">
            <w:pPr>
              <w:pStyle w:val="CBDTableNormal"/>
              <w:spacing w:before="0" w:after="0"/>
              <w:rPr>
                <w:sz w:val="18"/>
                <w:szCs w:val="18"/>
              </w:rPr>
            </w:pPr>
            <w:r>
              <w:rPr>
                <w:sz w:val="18"/>
              </w:rPr>
              <w:t>Gambia</w:t>
            </w:r>
          </w:p>
        </w:tc>
        <w:tc>
          <w:tcPr>
            <w:tcW w:w="1628" w:type="dxa"/>
            <w:tcBorders>
              <w:top w:val="nil"/>
              <w:left w:val="nil"/>
              <w:bottom w:val="single" w:sz="4" w:space="0" w:color="auto"/>
              <w:right w:val="single" w:sz="4" w:space="0" w:color="auto"/>
            </w:tcBorders>
            <w:shd w:val="clear" w:color="auto" w:fill="auto"/>
            <w:vAlign w:val="bottom"/>
            <w:hideMark/>
          </w:tcPr>
          <w:p w14:paraId="77AD9DAB"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5A86A593"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7A8AED5D"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3EC0F761"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0BDF21FA"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7A931C5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C7170E5" w14:textId="77777777" w:rsidR="00FE399D" w:rsidRPr="00D1707B" w:rsidRDefault="00FE399D" w:rsidP="00582303">
            <w:pPr>
              <w:pStyle w:val="CBDTableNormal"/>
              <w:spacing w:before="0" w:after="0"/>
              <w:rPr>
                <w:sz w:val="18"/>
                <w:szCs w:val="18"/>
              </w:rPr>
            </w:pPr>
            <w:r>
              <w:rPr>
                <w:sz w:val="18"/>
              </w:rPr>
              <w:t>Georgia</w:t>
            </w:r>
          </w:p>
        </w:tc>
        <w:tc>
          <w:tcPr>
            <w:tcW w:w="1628" w:type="dxa"/>
            <w:tcBorders>
              <w:top w:val="nil"/>
              <w:left w:val="nil"/>
              <w:bottom w:val="single" w:sz="4" w:space="0" w:color="auto"/>
              <w:right w:val="single" w:sz="4" w:space="0" w:color="auto"/>
            </w:tcBorders>
            <w:shd w:val="clear" w:color="auto" w:fill="auto"/>
            <w:vAlign w:val="bottom"/>
            <w:hideMark/>
          </w:tcPr>
          <w:p w14:paraId="4704BC89" w14:textId="77777777" w:rsidR="00FE399D" w:rsidRPr="00D1707B" w:rsidRDefault="00FE399D" w:rsidP="00582303">
            <w:pPr>
              <w:pStyle w:val="CBDTableNormal"/>
              <w:spacing w:before="0" w:after="0"/>
              <w:jc w:val="right"/>
              <w:rPr>
                <w:sz w:val="18"/>
                <w:szCs w:val="18"/>
              </w:rPr>
            </w:pPr>
            <w:r>
              <w:rPr>
                <w:sz w:val="18"/>
              </w:rPr>
              <w:t>0,008</w:t>
            </w:r>
          </w:p>
        </w:tc>
        <w:tc>
          <w:tcPr>
            <w:tcW w:w="2198" w:type="dxa"/>
            <w:tcBorders>
              <w:top w:val="nil"/>
              <w:left w:val="nil"/>
              <w:bottom w:val="single" w:sz="4" w:space="0" w:color="auto"/>
              <w:right w:val="single" w:sz="4" w:space="0" w:color="auto"/>
            </w:tcBorders>
            <w:shd w:val="clear" w:color="auto" w:fill="auto"/>
            <w:noWrap/>
            <w:vAlign w:val="bottom"/>
            <w:hideMark/>
          </w:tcPr>
          <w:p w14:paraId="1BC1A837" w14:textId="77777777" w:rsidR="00FE399D" w:rsidRPr="00D1707B" w:rsidRDefault="00FE399D" w:rsidP="00582303">
            <w:pPr>
              <w:pStyle w:val="CBDTableNormal"/>
              <w:spacing w:before="0" w:after="0"/>
              <w:jc w:val="right"/>
              <w:rPr>
                <w:sz w:val="18"/>
                <w:szCs w:val="18"/>
              </w:rPr>
            </w:pPr>
            <w:r>
              <w:rPr>
                <w:sz w:val="18"/>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6F5F14A7" w14:textId="77777777" w:rsidR="00FE399D" w:rsidRPr="00D1707B" w:rsidRDefault="00FE399D" w:rsidP="00582303">
            <w:pPr>
              <w:pStyle w:val="CBDTableNormal"/>
              <w:spacing w:before="0" w:after="0"/>
              <w:jc w:val="right"/>
              <w:rPr>
                <w:sz w:val="18"/>
                <w:szCs w:val="18"/>
              </w:rPr>
            </w:pPr>
            <w:r>
              <w:rPr>
                <w:sz w:val="18"/>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2DA8403B" w14:textId="77777777" w:rsidR="00FE399D" w:rsidRPr="00D1707B" w:rsidRDefault="00FE399D" w:rsidP="00582303">
            <w:pPr>
              <w:pStyle w:val="CBDTableNormal"/>
              <w:spacing w:before="0" w:after="0"/>
              <w:jc w:val="right"/>
              <w:rPr>
                <w:sz w:val="18"/>
                <w:szCs w:val="18"/>
              </w:rPr>
            </w:pPr>
            <w:r>
              <w:rPr>
                <w:sz w:val="18"/>
              </w:rPr>
              <w:t>1 504</w:t>
            </w:r>
          </w:p>
        </w:tc>
        <w:tc>
          <w:tcPr>
            <w:tcW w:w="1080" w:type="dxa"/>
            <w:tcBorders>
              <w:top w:val="nil"/>
              <w:left w:val="nil"/>
              <w:bottom w:val="single" w:sz="4" w:space="0" w:color="auto"/>
              <w:right w:val="single" w:sz="4" w:space="0" w:color="auto"/>
            </w:tcBorders>
            <w:shd w:val="clear" w:color="auto" w:fill="auto"/>
            <w:noWrap/>
            <w:vAlign w:val="bottom"/>
            <w:hideMark/>
          </w:tcPr>
          <w:p w14:paraId="2AB4F120" w14:textId="77777777" w:rsidR="00FE399D" w:rsidRPr="00D1707B" w:rsidRDefault="00FE399D" w:rsidP="00582303">
            <w:pPr>
              <w:pStyle w:val="CBDTableNormal"/>
              <w:spacing w:before="0" w:after="0"/>
              <w:jc w:val="right"/>
              <w:rPr>
                <w:sz w:val="18"/>
                <w:szCs w:val="18"/>
              </w:rPr>
            </w:pPr>
            <w:r>
              <w:rPr>
                <w:sz w:val="18"/>
              </w:rPr>
              <w:t>2 912</w:t>
            </w:r>
          </w:p>
        </w:tc>
      </w:tr>
      <w:tr w:rsidR="00FE399D" w:rsidRPr="00D1707B" w14:paraId="6F0CE02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8B3D70D" w14:textId="77777777" w:rsidR="00FE399D" w:rsidRPr="00D1707B" w:rsidRDefault="00FE399D" w:rsidP="00582303">
            <w:pPr>
              <w:pStyle w:val="CBDTableNormal"/>
              <w:spacing w:before="0" w:after="0"/>
              <w:rPr>
                <w:sz w:val="18"/>
                <w:szCs w:val="18"/>
              </w:rPr>
            </w:pPr>
            <w:r>
              <w:rPr>
                <w:sz w:val="18"/>
              </w:rPr>
              <w:t>Ghana</w:t>
            </w:r>
          </w:p>
        </w:tc>
        <w:tc>
          <w:tcPr>
            <w:tcW w:w="1628" w:type="dxa"/>
            <w:tcBorders>
              <w:top w:val="nil"/>
              <w:left w:val="nil"/>
              <w:bottom w:val="single" w:sz="4" w:space="0" w:color="auto"/>
              <w:right w:val="single" w:sz="4" w:space="0" w:color="auto"/>
            </w:tcBorders>
            <w:shd w:val="clear" w:color="auto" w:fill="auto"/>
            <w:vAlign w:val="bottom"/>
            <w:hideMark/>
          </w:tcPr>
          <w:p w14:paraId="264E01A3" w14:textId="77777777" w:rsidR="00FE399D" w:rsidRPr="00D1707B" w:rsidRDefault="00FE399D" w:rsidP="00582303">
            <w:pPr>
              <w:pStyle w:val="CBDTableNormal"/>
              <w:spacing w:before="0" w:after="0"/>
              <w:jc w:val="right"/>
              <w:rPr>
                <w:sz w:val="18"/>
                <w:szCs w:val="18"/>
              </w:rPr>
            </w:pPr>
            <w:r>
              <w:rPr>
                <w:sz w:val="18"/>
              </w:rPr>
              <w:t>0,024</w:t>
            </w:r>
          </w:p>
        </w:tc>
        <w:tc>
          <w:tcPr>
            <w:tcW w:w="2198" w:type="dxa"/>
            <w:tcBorders>
              <w:top w:val="nil"/>
              <w:left w:val="nil"/>
              <w:bottom w:val="single" w:sz="4" w:space="0" w:color="auto"/>
              <w:right w:val="single" w:sz="4" w:space="0" w:color="auto"/>
            </w:tcBorders>
            <w:shd w:val="clear" w:color="auto" w:fill="auto"/>
            <w:noWrap/>
            <w:vAlign w:val="bottom"/>
            <w:hideMark/>
          </w:tcPr>
          <w:p w14:paraId="19A1A40E" w14:textId="77777777" w:rsidR="00FE399D" w:rsidRPr="00D1707B" w:rsidRDefault="00FE399D" w:rsidP="00582303">
            <w:pPr>
              <w:pStyle w:val="CBDTableNormal"/>
              <w:spacing w:before="0" w:after="0"/>
              <w:jc w:val="right"/>
              <w:rPr>
                <w:sz w:val="18"/>
                <w:szCs w:val="18"/>
              </w:rPr>
            </w:pPr>
            <w:r>
              <w:rPr>
                <w:sz w:val="18"/>
              </w:rPr>
              <w:t>0,030</w:t>
            </w:r>
          </w:p>
        </w:tc>
        <w:tc>
          <w:tcPr>
            <w:tcW w:w="1176" w:type="dxa"/>
            <w:tcBorders>
              <w:top w:val="nil"/>
              <w:left w:val="nil"/>
              <w:bottom w:val="single" w:sz="4" w:space="0" w:color="auto"/>
              <w:right w:val="single" w:sz="4" w:space="0" w:color="auto"/>
            </w:tcBorders>
            <w:shd w:val="clear" w:color="auto" w:fill="auto"/>
            <w:noWrap/>
            <w:vAlign w:val="bottom"/>
            <w:hideMark/>
          </w:tcPr>
          <w:p w14:paraId="691F7EC1" w14:textId="77777777" w:rsidR="00FE399D" w:rsidRPr="00D1707B" w:rsidRDefault="00FE399D" w:rsidP="00582303">
            <w:pPr>
              <w:pStyle w:val="CBDTableNormal"/>
              <w:spacing w:before="0" w:after="0"/>
              <w:jc w:val="right"/>
              <w:rPr>
                <w:sz w:val="18"/>
                <w:szCs w:val="18"/>
              </w:rPr>
            </w:pPr>
            <w:r>
              <w:rPr>
                <w:sz w:val="18"/>
              </w:rPr>
              <w:t>4 224</w:t>
            </w:r>
          </w:p>
        </w:tc>
        <w:tc>
          <w:tcPr>
            <w:tcW w:w="1461" w:type="dxa"/>
            <w:tcBorders>
              <w:top w:val="nil"/>
              <w:left w:val="nil"/>
              <w:bottom w:val="single" w:sz="4" w:space="0" w:color="auto"/>
              <w:right w:val="single" w:sz="4" w:space="0" w:color="auto"/>
            </w:tcBorders>
            <w:shd w:val="clear" w:color="auto" w:fill="auto"/>
            <w:noWrap/>
            <w:vAlign w:val="bottom"/>
            <w:hideMark/>
          </w:tcPr>
          <w:p w14:paraId="784EB1DD" w14:textId="77777777" w:rsidR="00FE399D" w:rsidRPr="00D1707B" w:rsidRDefault="00FE399D" w:rsidP="00582303">
            <w:pPr>
              <w:pStyle w:val="CBDTableNormal"/>
              <w:spacing w:before="0" w:after="0"/>
              <w:jc w:val="right"/>
              <w:rPr>
                <w:sz w:val="18"/>
                <w:szCs w:val="18"/>
              </w:rPr>
            </w:pPr>
            <w:r>
              <w:rPr>
                <w:sz w:val="18"/>
              </w:rPr>
              <w:t>4 513</w:t>
            </w:r>
          </w:p>
        </w:tc>
        <w:tc>
          <w:tcPr>
            <w:tcW w:w="1080" w:type="dxa"/>
            <w:tcBorders>
              <w:top w:val="nil"/>
              <w:left w:val="nil"/>
              <w:bottom w:val="single" w:sz="4" w:space="0" w:color="auto"/>
              <w:right w:val="single" w:sz="4" w:space="0" w:color="auto"/>
            </w:tcBorders>
            <w:shd w:val="clear" w:color="auto" w:fill="auto"/>
            <w:noWrap/>
            <w:vAlign w:val="bottom"/>
            <w:hideMark/>
          </w:tcPr>
          <w:p w14:paraId="7E0A5FDF" w14:textId="77777777" w:rsidR="00FE399D" w:rsidRPr="00D1707B" w:rsidRDefault="00FE399D" w:rsidP="00582303">
            <w:pPr>
              <w:pStyle w:val="CBDTableNormal"/>
              <w:spacing w:before="0" w:after="0"/>
              <w:jc w:val="right"/>
              <w:rPr>
                <w:sz w:val="18"/>
                <w:szCs w:val="18"/>
              </w:rPr>
            </w:pPr>
            <w:r>
              <w:rPr>
                <w:sz w:val="18"/>
              </w:rPr>
              <w:t>8 737</w:t>
            </w:r>
          </w:p>
        </w:tc>
      </w:tr>
      <w:tr w:rsidR="00FE399D" w:rsidRPr="00D1707B" w14:paraId="01FAB67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BFF1E0A" w14:textId="77777777" w:rsidR="00FE399D" w:rsidRPr="00D1707B" w:rsidRDefault="00FE399D" w:rsidP="00582303">
            <w:pPr>
              <w:pStyle w:val="CBDTableNormal"/>
              <w:spacing w:before="0" w:after="0"/>
              <w:rPr>
                <w:sz w:val="18"/>
                <w:szCs w:val="18"/>
              </w:rPr>
            </w:pPr>
            <w:r>
              <w:rPr>
                <w:sz w:val="18"/>
              </w:rPr>
              <w:t>Granada</w:t>
            </w:r>
          </w:p>
        </w:tc>
        <w:tc>
          <w:tcPr>
            <w:tcW w:w="1628" w:type="dxa"/>
            <w:tcBorders>
              <w:top w:val="nil"/>
              <w:left w:val="nil"/>
              <w:bottom w:val="single" w:sz="4" w:space="0" w:color="auto"/>
              <w:right w:val="single" w:sz="4" w:space="0" w:color="auto"/>
            </w:tcBorders>
            <w:shd w:val="clear" w:color="auto" w:fill="auto"/>
            <w:vAlign w:val="bottom"/>
            <w:hideMark/>
          </w:tcPr>
          <w:p w14:paraId="65304D8E"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091C3E52"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1B8F7B53"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6A7AE715"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07FFF8DC"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5608605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A35A81A" w14:textId="77777777" w:rsidR="00FE399D" w:rsidRPr="00D1707B" w:rsidRDefault="00FE399D" w:rsidP="00582303">
            <w:pPr>
              <w:pStyle w:val="CBDTableNormal"/>
              <w:spacing w:before="0" w:after="0"/>
              <w:rPr>
                <w:sz w:val="18"/>
                <w:szCs w:val="18"/>
              </w:rPr>
            </w:pPr>
            <w:r>
              <w:rPr>
                <w:sz w:val="18"/>
              </w:rPr>
              <w:t>Grecia</w:t>
            </w:r>
          </w:p>
        </w:tc>
        <w:tc>
          <w:tcPr>
            <w:tcW w:w="1628" w:type="dxa"/>
            <w:tcBorders>
              <w:top w:val="nil"/>
              <w:left w:val="nil"/>
              <w:bottom w:val="single" w:sz="4" w:space="0" w:color="auto"/>
              <w:right w:val="single" w:sz="4" w:space="0" w:color="auto"/>
            </w:tcBorders>
            <w:shd w:val="clear" w:color="auto" w:fill="auto"/>
            <w:vAlign w:val="bottom"/>
            <w:hideMark/>
          </w:tcPr>
          <w:p w14:paraId="477EB6E1" w14:textId="77777777" w:rsidR="00FE399D" w:rsidRPr="00D1707B" w:rsidRDefault="00FE399D" w:rsidP="00582303">
            <w:pPr>
              <w:pStyle w:val="CBDTableNormal"/>
              <w:spacing w:before="0" w:after="0"/>
              <w:jc w:val="right"/>
              <w:rPr>
                <w:sz w:val="18"/>
                <w:szCs w:val="18"/>
              </w:rPr>
            </w:pPr>
            <w:r>
              <w:rPr>
                <w:sz w:val="18"/>
              </w:rPr>
              <w:t>0,325</w:t>
            </w:r>
          </w:p>
        </w:tc>
        <w:tc>
          <w:tcPr>
            <w:tcW w:w="2198" w:type="dxa"/>
            <w:tcBorders>
              <w:top w:val="nil"/>
              <w:left w:val="nil"/>
              <w:bottom w:val="single" w:sz="4" w:space="0" w:color="auto"/>
              <w:right w:val="single" w:sz="4" w:space="0" w:color="auto"/>
            </w:tcBorders>
            <w:shd w:val="clear" w:color="auto" w:fill="auto"/>
            <w:noWrap/>
            <w:vAlign w:val="bottom"/>
            <w:hideMark/>
          </w:tcPr>
          <w:p w14:paraId="633AA081" w14:textId="77777777" w:rsidR="00FE399D" w:rsidRPr="00D1707B" w:rsidRDefault="00FE399D" w:rsidP="00582303">
            <w:pPr>
              <w:pStyle w:val="CBDTableNormal"/>
              <w:spacing w:before="0" w:after="0"/>
              <w:jc w:val="right"/>
              <w:rPr>
                <w:sz w:val="18"/>
                <w:szCs w:val="18"/>
              </w:rPr>
            </w:pPr>
            <w:r>
              <w:rPr>
                <w:sz w:val="18"/>
              </w:rPr>
              <w:t>0,406</w:t>
            </w:r>
          </w:p>
        </w:tc>
        <w:tc>
          <w:tcPr>
            <w:tcW w:w="1176" w:type="dxa"/>
            <w:tcBorders>
              <w:top w:val="nil"/>
              <w:left w:val="nil"/>
              <w:bottom w:val="single" w:sz="4" w:space="0" w:color="auto"/>
              <w:right w:val="single" w:sz="4" w:space="0" w:color="auto"/>
            </w:tcBorders>
            <w:shd w:val="clear" w:color="auto" w:fill="auto"/>
            <w:noWrap/>
            <w:vAlign w:val="bottom"/>
            <w:hideMark/>
          </w:tcPr>
          <w:p w14:paraId="5B2C706B" w14:textId="77777777" w:rsidR="00FE399D" w:rsidRPr="00D1707B" w:rsidRDefault="00FE399D" w:rsidP="00582303">
            <w:pPr>
              <w:pStyle w:val="CBDTableNormal"/>
              <w:spacing w:before="0" w:after="0"/>
              <w:jc w:val="right"/>
              <w:rPr>
                <w:sz w:val="18"/>
                <w:szCs w:val="18"/>
              </w:rPr>
            </w:pPr>
            <w:r>
              <w:rPr>
                <w:sz w:val="18"/>
              </w:rPr>
              <w:t>57 198</w:t>
            </w:r>
          </w:p>
        </w:tc>
        <w:tc>
          <w:tcPr>
            <w:tcW w:w="1461" w:type="dxa"/>
            <w:tcBorders>
              <w:top w:val="nil"/>
              <w:left w:val="nil"/>
              <w:bottom w:val="single" w:sz="4" w:space="0" w:color="auto"/>
              <w:right w:val="single" w:sz="4" w:space="0" w:color="auto"/>
            </w:tcBorders>
            <w:shd w:val="clear" w:color="auto" w:fill="auto"/>
            <w:noWrap/>
            <w:vAlign w:val="bottom"/>
            <w:hideMark/>
          </w:tcPr>
          <w:p w14:paraId="52E1A6DD" w14:textId="77777777" w:rsidR="00FE399D" w:rsidRPr="00D1707B" w:rsidRDefault="00FE399D" w:rsidP="00582303">
            <w:pPr>
              <w:pStyle w:val="CBDTableNormal"/>
              <w:spacing w:before="0" w:after="0"/>
              <w:jc w:val="right"/>
              <w:rPr>
                <w:sz w:val="18"/>
                <w:szCs w:val="18"/>
              </w:rPr>
            </w:pPr>
            <w:r>
              <w:rPr>
                <w:sz w:val="18"/>
              </w:rPr>
              <w:t>61 112</w:t>
            </w:r>
          </w:p>
        </w:tc>
        <w:tc>
          <w:tcPr>
            <w:tcW w:w="1080" w:type="dxa"/>
            <w:tcBorders>
              <w:top w:val="nil"/>
              <w:left w:val="nil"/>
              <w:bottom w:val="single" w:sz="4" w:space="0" w:color="auto"/>
              <w:right w:val="single" w:sz="4" w:space="0" w:color="auto"/>
            </w:tcBorders>
            <w:shd w:val="clear" w:color="auto" w:fill="auto"/>
            <w:noWrap/>
            <w:vAlign w:val="bottom"/>
            <w:hideMark/>
          </w:tcPr>
          <w:p w14:paraId="35CB5F00" w14:textId="77777777" w:rsidR="00FE399D" w:rsidRPr="00D1707B" w:rsidRDefault="00FE399D" w:rsidP="00582303">
            <w:pPr>
              <w:pStyle w:val="CBDTableNormal"/>
              <w:spacing w:before="0" w:after="0"/>
              <w:jc w:val="right"/>
              <w:rPr>
                <w:sz w:val="18"/>
                <w:szCs w:val="18"/>
              </w:rPr>
            </w:pPr>
            <w:r>
              <w:rPr>
                <w:sz w:val="18"/>
              </w:rPr>
              <w:t>118 310</w:t>
            </w:r>
          </w:p>
        </w:tc>
      </w:tr>
      <w:tr w:rsidR="00FE399D" w:rsidRPr="00D1707B" w14:paraId="1FA6E36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A658FB4" w14:textId="77777777" w:rsidR="00FE399D" w:rsidRPr="00D1707B" w:rsidRDefault="00FE399D" w:rsidP="00582303">
            <w:pPr>
              <w:pStyle w:val="CBDTableNormal"/>
              <w:spacing w:before="0" w:after="0"/>
              <w:rPr>
                <w:sz w:val="18"/>
                <w:szCs w:val="18"/>
              </w:rPr>
            </w:pPr>
            <w:r>
              <w:rPr>
                <w:sz w:val="18"/>
              </w:rPr>
              <w:t>Guatemala</w:t>
            </w:r>
          </w:p>
        </w:tc>
        <w:tc>
          <w:tcPr>
            <w:tcW w:w="1628" w:type="dxa"/>
            <w:tcBorders>
              <w:top w:val="nil"/>
              <w:left w:val="nil"/>
              <w:bottom w:val="single" w:sz="4" w:space="0" w:color="auto"/>
              <w:right w:val="single" w:sz="4" w:space="0" w:color="auto"/>
            </w:tcBorders>
            <w:shd w:val="clear" w:color="auto" w:fill="auto"/>
            <w:vAlign w:val="bottom"/>
            <w:hideMark/>
          </w:tcPr>
          <w:p w14:paraId="45469D8B" w14:textId="77777777" w:rsidR="00FE399D" w:rsidRPr="00D1707B" w:rsidRDefault="00FE399D" w:rsidP="00582303">
            <w:pPr>
              <w:pStyle w:val="CBDTableNormal"/>
              <w:spacing w:before="0" w:after="0"/>
              <w:jc w:val="right"/>
              <w:rPr>
                <w:sz w:val="18"/>
                <w:szCs w:val="18"/>
              </w:rPr>
            </w:pPr>
            <w:r>
              <w:rPr>
                <w:sz w:val="18"/>
              </w:rPr>
              <w:t>0,041</w:t>
            </w:r>
          </w:p>
        </w:tc>
        <w:tc>
          <w:tcPr>
            <w:tcW w:w="2198" w:type="dxa"/>
            <w:tcBorders>
              <w:top w:val="nil"/>
              <w:left w:val="nil"/>
              <w:bottom w:val="single" w:sz="4" w:space="0" w:color="auto"/>
              <w:right w:val="single" w:sz="4" w:space="0" w:color="auto"/>
            </w:tcBorders>
            <w:shd w:val="clear" w:color="auto" w:fill="auto"/>
            <w:noWrap/>
            <w:vAlign w:val="bottom"/>
            <w:hideMark/>
          </w:tcPr>
          <w:p w14:paraId="4116BD54" w14:textId="77777777" w:rsidR="00FE399D" w:rsidRPr="00D1707B" w:rsidRDefault="00FE399D" w:rsidP="00582303">
            <w:pPr>
              <w:pStyle w:val="CBDTableNormal"/>
              <w:spacing w:before="0" w:after="0"/>
              <w:jc w:val="right"/>
              <w:rPr>
                <w:sz w:val="18"/>
                <w:szCs w:val="18"/>
              </w:rPr>
            </w:pPr>
            <w:r>
              <w:rPr>
                <w:sz w:val="18"/>
              </w:rPr>
              <w:t>0,051</w:t>
            </w:r>
          </w:p>
        </w:tc>
        <w:tc>
          <w:tcPr>
            <w:tcW w:w="1176" w:type="dxa"/>
            <w:tcBorders>
              <w:top w:val="nil"/>
              <w:left w:val="nil"/>
              <w:bottom w:val="single" w:sz="4" w:space="0" w:color="auto"/>
              <w:right w:val="single" w:sz="4" w:space="0" w:color="auto"/>
            </w:tcBorders>
            <w:shd w:val="clear" w:color="auto" w:fill="auto"/>
            <w:noWrap/>
            <w:vAlign w:val="bottom"/>
            <w:hideMark/>
          </w:tcPr>
          <w:p w14:paraId="206A2592" w14:textId="77777777" w:rsidR="00FE399D" w:rsidRPr="00D1707B" w:rsidRDefault="00FE399D" w:rsidP="00582303">
            <w:pPr>
              <w:pStyle w:val="CBDTableNormal"/>
              <w:spacing w:before="0" w:after="0"/>
              <w:jc w:val="right"/>
              <w:rPr>
                <w:sz w:val="18"/>
                <w:szCs w:val="18"/>
              </w:rPr>
            </w:pPr>
            <w:r>
              <w:rPr>
                <w:sz w:val="18"/>
              </w:rPr>
              <w:t>7 216</w:t>
            </w:r>
          </w:p>
        </w:tc>
        <w:tc>
          <w:tcPr>
            <w:tcW w:w="1461" w:type="dxa"/>
            <w:tcBorders>
              <w:top w:val="nil"/>
              <w:left w:val="nil"/>
              <w:bottom w:val="single" w:sz="4" w:space="0" w:color="auto"/>
              <w:right w:val="single" w:sz="4" w:space="0" w:color="auto"/>
            </w:tcBorders>
            <w:shd w:val="clear" w:color="auto" w:fill="auto"/>
            <w:noWrap/>
            <w:vAlign w:val="bottom"/>
            <w:hideMark/>
          </w:tcPr>
          <w:p w14:paraId="233014A7" w14:textId="77777777" w:rsidR="00FE399D" w:rsidRPr="00D1707B" w:rsidRDefault="00FE399D" w:rsidP="00582303">
            <w:pPr>
              <w:pStyle w:val="CBDTableNormal"/>
              <w:spacing w:before="0" w:after="0"/>
              <w:jc w:val="right"/>
              <w:rPr>
                <w:sz w:val="18"/>
                <w:szCs w:val="18"/>
              </w:rPr>
            </w:pPr>
            <w:r>
              <w:rPr>
                <w:sz w:val="18"/>
              </w:rPr>
              <w:t>7 709</w:t>
            </w:r>
          </w:p>
        </w:tc>
        <w:tc>
          <w:tcPr>
            <w:tcW w:w="1080" w:type="dxa"/>
            <w:tcBorders>
              <w:top w:val="nil"/>
              <w:left w:val="nil"/>
              <w:bottom w:val="single" w:sz="4" w:space="0" w:color="auto"/>
              <w:right w:val="single" w:sz="4" w:space="0" w:color="auto"/>
            </w:tcBorders>
            <w:shd w:val="clear" w:color="auto" w:fill="auto"/>
            <w:noWrap/>
            <w:vAlign w:val="bottom"/>
            <w:hideMark/>
          </w:tcPr>
          <w:p w14:paraId="06951081" w14:textId="77777777" w:rsidR="00FE399D" w:rsidRPr="00D1707B" w:rsidRDefault="00FE399D" w:rsidP="00582303">
            <w:pPr>
              <w:pStyle w:val="CBDTableNormal"/>
              <w:spacing w:before="0" w:after="0"/>
              <w:jc w:val="right"/>
              <w:rPr>
                <w:sz w:val="18"/>
                <w:szCs w:val="18"/>
              </w:rPr>
            </w:pPr>
            <w:r>
              <w:rPr>
                <w:sz w:val="18"/>
              </w:rPr>
              <w:t>14 925</w:t>
            </w:r>
          </w:p>
        </w:tc>
      </w:tr>
      <w:tr w:rsidR="00FE399D" w:rsidRPr="00D1707B" w14:paraId="6EF2BE2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06FC023" w14:textId="77777777" w:rsidR="00FE399D" w:rsidRPr="00D1707B" w:rsidRDefault="00FE399D" w:rsidP="00582303">
            <w:pPr>
              <w:pStyle w:val="CBDTableNormal"/>
              <w:spacing w:before="0" w:after="0"/>
              <w:rPr>
                <w:sz w:val="18"/>
                <w:szCs w:val="18"/>
              </w:rPr>
            </w:pPr>
            <w:r>
              <w:rPr>
                <w:sz w:val="18"/>
              </w:rPr>
              <w:t>Guinea</w:t>
            </w:r>
          </w:p>
        </w:tc>
        <w:tc>
          <w:tcPr>
            <w:tcW w:w="1628" w:type="dxa"/>
            <w:tcBorders>
              <w:top w:val="nil"/>
              <w:left w:val="nil"/>
              <w:bottom w:val="single" w:sz="4" w:space="0" w:color="auto"/>
              <w:right w:val="single" w:sz="4" w:space="0" w:color="auto"/>
            </w:tcBorders>
            <w:shd w:val="clear" w:color="auto" w:fill="auto"/>
            <w:vAlign w:val="bottom"/>
            <w:hideMark/>
          </w:tcPr>
          <w:p w14:paraId="3A2ADC00" w14:textId="77777777" w:rsidR="00FE399D" w:rsidRPr="00D1707B" w:rsidRDefault="00FE399D" w:rsidP="00582303">
            <w:pPr>
              <w:pStyle w:val="CBDTableNormal"/>
              <w:spacing w:before="0" w:after="0"/>
              <w:jc w:val="right"/>
              <w:rPr>
                <w:sz w:val="18"/>
                <w:szCs w:val="18"/>
              </w:rPr>
            </w:pPr>
            <w:r>
              <w:rPr>
                <w:sz w:val="18"/>
              </w:rPr>
              <w:t>0,003</w:t>
            </w:r>
          </w:p>
        </w:tc>
        <w:tc>
          <w:tcPr>
            <w:tcW w:w="2198" w:type="dxa"/>
            <w:tcBorders>
              <w:top w:val="nil"/>
              <w:left w:val="nil"/>
              <w:bottom w:val="single" w:sz="4" w:space="0" w:color="auto"/>
              <w:right w:val="single" w:sz="4" w:space="0" w:color="auto"/>
            </w:tcBorders>
            <w:shd w:val="clear" w:color="auto" w:fill="auto"/>
            <w:noWrap/>
            <w:vAlign w:val="bottom"/>
            <w:hideMark/>
          </w:tcPr>
          <w:p w14:paraId="1946CB50" w14:textId="77777777" w:rsidR="00FE399D" w:rsidRPr="00D1707B" w:rsidRDefault="00FE399D" w:rsidP="00582303">
            <w:pPr>
              <w:pStyle w:val="CBDTableNormal"/>
              <w:spacing w:before="0" w:after="0"/>
              <w:jc w:val="right"/>
              <w:rPr>
                <w:sz w:val="18"/>
                <w:szCs w:val="18"/>
              </w:rPr>
            </w:pPr>
            <w:r>
              <w:rPr>
                <w:sz w:val="18"/>
              </w:rPr>
              <w:t>0,004</w:t>
            </w:r>
          </w:p>
        </w:tc>
        <w:tc>
          <w:tcPr>
            <w:tcW w:w="1176" w:type="dxa"/>
            <w:tcBorders>
              <w:top w:val="nil"/>
              <w:left w:val="nil"/>
              <w:bottom w:val="single" w:sz="4" w:space="0" w:color="auto"/>
              <w:right w:val="single" w:sz="4" w:space="0" w:color="auto"/>
            </w:tcBorders>
            <w:shd w:val="clear" w:color="auto" w:fill="auto"/>
            <w:noWrap/>
            <w:vAlign w:val="bottom"/>
            <w:hideMark/>
          </w:tcPr>
          <w:p w14:paraId="4BF27156" w14:textId="77777777" w:rsidR="00FE399D" w:rsidRPr="00D1707B" w:rsidRDefault="00FE399D" w:rsidP="00582303">
            <w:pPr>
              <w:pStyle w:val="CBDTableNormal"/>
              <w:spacing w:before="0" w:after="0"/>
              <w:jc w:val="right"/>
              <w:rPr>
                <w:sz w:val="18"/>
                <w:szCs w:val="18"/>
              </w:rPr>
            </w:pPr>
            <w:r>
              <w:rPr>
                <w:sz w:val="18"/>
              </w:rPr>
              <w:t>528</w:t>
            </w:r>
          </w:p>
        </w:tc>
        <w:tc>
          <w:tcPr>
            <w:tcW w:w="1461" w:type="dxa"/>
            <w:tcBorders>
              <w:top w:val="nil"/>
              <w:left w:val="nil"/>
              <w:bottom w:val="single" w:sz="4" w:space="0" w:color="auto"/>
              <w:right w:val="single" w:sz="4" w:space="0" w:color="auto"/>
            </w:tcBorders>
            <w:shd w:val="clear" w:color="auto" w:fill="auto"/>
            <w:noWrap/>
            <w:vAlign w:val="bottom"/>
            <w:hideMark/>
          </w:tcPr>
          <w:p w14:paraId="2EF2CFB4" w14:textId="77777777" w:rsidR="00FE399D" w:rsidRPr="00D1707B" w:rsidRDefault="00FE399D" w:rsidP="00582303">
            <w:pPr>
              <w:pStyle w:val="CBDTableNormal"/>
              <w:spacing w:before="0" w:after="0"/>
              <w:jc w:val="right"/>
              <w:rPr>
                <w:sz w:val="18"/>
                <w:szCs w:val="18"/>
              </w:rPr>
            </w:pPr>
            <w:r>
              <w:rPr>
                <w:sz w:val="18"/>
              </w:rPr>
              <w:t>564</w:t>
            </w:r>
          </w:p>
        </w:tc>
        <w:tc>
          <w:tcPr>
            <w:tcW w:w="1080" w:type="dxa"/>
            <w:tcBorders>
              <w:top w:val="nil"/>
              <w:left w:val="nil"/>
              <w:bottom w:val="single" w:sz="4" w:space="0" w:color="auto"/>
              <w:right w:val="single" w:sz="4" w:space="0" w:color="auto"/>
            </w:tcBorders>
            <w:shd w:val="clear" w:color="auto" w:fill="auto"/>
            <w:noWrap/>
            <w:vAlign w:val="bottom"/>
            <w:hideMark/>
          </w:tcPr>
          <w:p w14:paraId="3416EF9A" w14:textId="77777777" w:rsidR="00FE399D" w:rsidRPr="00D1707B" w:rsidRDefault="00FE399D" w:rsidP="00582303">
            <w:pPr>
              <w:pStyle w:val="CBDTableNormal"/>
              <w:spacing w:before="0" w:after="0"/>
              <w:jc w:val="right"/>
              <w:rPr>
                <w:sz w:val="18"/>
                <w:szCs w:val="18"/>
              </w:rPr>
            </w:pPr>
            <w:r>
              <w:rPr>
                <w:sz w:val="18"/>
              </w:rPr>
              <w:t>1 092</w:t>
            </w:r>
          </w:p>
        </w:tc>
      </w:tr>
      <w:tr w:rsidR="00FE399D" w:rsidRPr="00D1707B" w14:paraId="1633EA31" w14:textId="77777777" w:rsidTr="00FE399D">
        <w:tc>
          <w:tcPr>
            <w:tcW w:w="1880" w:type="dxa"/>
            <w:tcBorders>
              <w:top w:val="nil"/>
              <w:left w:val="single" w:sz="4" w:space="0" w:color="auto"/>
              <w:bottom w:val="single" w:sz="4" w:space="0" w:color="auto"/>
              <w:right w:val="single" w:sz="4" w:space="0" w:color="auto"/>
            </w:tcBorders>
            <w:shd w:val="clear" w:color="auto" w:fill="auto"/>
            <w:vAlign w:val="bottom"/>
            <w:hideMark/>
          </w:tcPr>
          <w:p w14:paraId="79128485" w14:textId="77777777" w:rsidR="00FE399D" w:rsidRPr="00D1707B" w:rsidRDefault="00FE399D" w:rsidP="00016AE3">
            <w:pPr>
              <w:pStyle w:val="CBDTableNormal"/>
              <w:spacing w:before="0" w:after="0"/>
              <w:rPr>
                <w:sz w:val="18"/>
                <w:szCs w:val="18"/>
              </w:rPr>
            </w:pPr>
            <w:r>
              <w:rPr>
                <w:sz w:val="18"/>
              </w:rPr>
              <w:t>Guinea-Bissau</w:t>
            </w:r>
          </w:p>
        </w:tc>
        <w:tc>
          <w:tcPr>
            <w:tcW w:w="1628" w:type="dxa"/>
            <w:tcBorders>
              <w:top w:val="nil"/>
              <w:left w:val="nil"/>
              <w:bottom w:val="single" w:sz="4" w:space="0" w:color="auto"/>
              <w:right w:val="single" w:sz="4" w:space="0" w:color="auto"/>
            </w:tcBorders>
            <w:shd w:val="clear" w:color="auto" w:fill="auto"/>
            <w:vAlign w:val="bottom"/>
            <w:hideMark/>
          </w:tcPr>
          <w:p w14:paraId="5672EB49" w14:textId="77777777" w:rsidR="00FE399D" w:rsidRPr="00D1707B" w:rsidRDefault="00FE399D" w:rsidP="00016AE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11B92ADC" w14:textId="77777777" w:rsidR="00FE399D" w:rsidRPr="00D1707B" w:rsidRDefault="00FE399D" w:rsidP="00016AE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07ADFD83" w14:textId="77777777" w:rsidR="00FE399D" w:rsidRPr="00D1707B" w:rsidRDefault="00FE399D" w:rsidP="00016AE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38E337EC" w14:textId="77777777" w:rsidR="00FE399D" w:rsidRPr="00D1707B" w:rsidRDefault="00FE399D" w:rsidP="00016AE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7FE52E73" w14:textId="77777777" w:rsidR="00FE399D" w:rsidRPr="00D1707B" w:rsidRDefault="00FE399D" w:rsidP="00016AE3">
            <w:pPr>
              <w:pStyle w:val="CBDTableNormal"/>
              <w:spacing w:before="0" w:after="0"/>
              <w:jc w:val="right"/>
              <w:rPr>
                <w:sz w:val="18"/>
                <w:szCs w:val="18"/>
              </w:rPr>
            </w:pPr>
            <w:r>
              <w:rPr>
                <w:sz w:val="18"/>
              </w:rPr>
              <w:t>364</w:t>
            </w:r>
          </w:p>
        </w:tc>
      </w:tr>
      <w:tr w:rsidR="00FE399D" w:rsidRPr="00D1707B" w14:paraId="7EBA7AD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1761537" w14:textId="77777777" w:rsidR="00FE399D" w:rsidRPr="00D1707B" w:rsidRDefault="00FE399D" w:rsidP="00582303">
            <w:pPr>
              <w:pStyle w:val="CBDTableNormal"/>
              <w:spacing w:before="0" w:after="0"/>
              <w:rPr>
                <w:sz w:val="18"/>
                <w:szCs w:val="18"/>
              </w:rPr>
            </w:pPr>
            <w:r>
              <w:rPr>
                <w:sz w:val="18"/>
              </w:rPr>
              <w:t>Guinea Ecuatorial</w:t>
            </w:r>
          </w:p>
        </w:tc>
        <w:tc>
          <w:tcPr>
            <w:tcW w:w="1628" w:type="dxa"/>
            <w:tcBorders>
              <w:top w:val="nil"/>
              <w:left w:val="nil"/>
              <w:bottom w:val="single" w:sz="4" w:space="0" w:color="auto"/>
              <w:right w:val="single" w:sz="4" w:space="0" w:color="auto"/>
            </w:tcBorders>
            <w:shd w:val="clear" w:color="auto" w:fill="auto"/>
            <w:vAlign w:val="bottom"/>
            <w:hideMark/>
          </w:tcPr>
          <w:p w14:paraId="5A18D597" w14:textId="77777777" w:rsidR="00FE399D" w:rsidRPr="00D1707B" w:rsidRDefault="00FE399D" w:rsidP="00582303">
            <w:pPr>
              <w:pStyle w:val="CBDTableNormal"/>
              <w:spacing w:before="0" w:after="0"/>
              <w:jc w:val="right"/>
              <w:rPr>
                <w:sz w:val="18"/>
                <w:szCs w:val="18"/>
              </w:rPr>
            </w:pPr>
            <w:r>
              <w:rPr>
                <w:sz w:val="18"/>
              </w:rPr>
              <w:t>0,012</w:t>
            </w:r>
          </w:p>
        </w:tc>
        <w:tc>
          <w:tcPr>
            <w:tcW w:w="2198" w:type="dxa"/>
            <w:tcBorders>
              <w:top w:val="nil"/>
              <w:left w:val="nil"/>
              <w:bottom w:val="single" w:sz="4" w:space="0" w:color="auto"/>
              <w:right w:val="single" w:sz="4" w:space="0" w:color="auto"/>
            </w:tcBorders>
            <w:shd w:val="clear" w:color="auto" w:fill="auto"/>
            <w:noWrap/>
            <w:vAlign w:val="bottom"/>
            <w:hideMark/>
          </w:tcPr>
          <w:p w14:paraId="05C6F061" w14:textId="77777777" w:rsidR="00FE399D" w:rsidRPr="00D1707B" w:rsidRDefault="00FE399D" w:rsidP="00582303">
            <w:pPr>
              <w:pStyle w:val="CBDTableNormal"/>
              <w:spacing w:before="0" w:after="0"/>
              <w:jc w:val="right"/>
              <w:rPr>
                <w:sz w:val="18"/>
                <w:szCs w:val="18"/>
              </w:rPr>
            </w:pPr>
            <w:r>
              <w:rPr>
                <w:sz w:val="18"/>
              </w:rPr>
              <w:t>0,015</w:t>
            </w:r>
          </w:p>
        </w:tc>
        <w:tc>
          <w:tcPr>
            <w:tcW w:w="1176" w:type="dxa"/>
            <w:tcBorders>
              <w:top w:val="nil"/>
              <w:left w:val="nil"/>
              <w:bottom w:val="single" w:sz="4" w:space="0" w:color="auto"/>
              <w:right w:val="single" w:sz="4" w:space="0" w:color="auto"/>
            </w:tcBorders>
            <w:shd w:val="clear" w:color="auto" w:fill="auto"/>
            <w:noWrap/>
            <w:vAlign w:val="bottom"/>
            <w:hideMark/>
          </w:tcPr>
          <w:p w14:paraId="3C0069A4" w14:textId="77777777" w:rsidR="00FE399D" w:rsidRPr="00D1707B" w:rsidRDefault="00FE399D" w:rsidP="00582303">
            <w:pPr>
              <w:pStyle w:val="CBDTableNormal"/>
              <w:spacing w:before="0" w:after="0"/>
              <w:jc w:val="right"/>
              <w:rPr>
                <w:sz w:val="18"/>
                <w:szCs w:val="18"/>
              </w:rPr>
            </w:pPr>
            <w:r>
              <w:rPr>
                <w:sz w:val="18"/>
              </w:rPr>
              <w:t>2 112</w:t>
            </w:r>
          </w:p>
        </w:tc>
        <w:tc>
          <w:tcPr>
            <w:tcW w:w="1461" w:type="dxa"/>
            <w:tcBorders>
              <w:top w:val="nil"/>
              <w:left w:val="nil"/>
              <w:bottom w:val="single" w:sz="4" w:space="0" w:color="auto"/>
              <w:right w:val="single" w:sz="4" w:space="0" w:color="auto"/>
            </w:tcBorders>
            <w:shd w:val="clear" w:color="auto" w:fill="auto"/>
            <w:noWrap/>
            <w:vAlign w:val="bottom"/>
            <w:hideMark/>
          </w:tcPr>
          <w:p w14:paraId="76E19F74" w14:textId="77777777" w:rsidR="00FE399D" w:rsidRPr="00D1707B" w:rsidRDefault="00FE399D" w:rsidP="00582303">
            <w:pPr>
              <w:pStyle w:val="CBDTableNormal"/>
              <w:spacing w:before="0" w:after="0"/>
              <w:jc w:val="right"/>
              <w:rPr>
                <w:sz w:val="18"/>
                <w:szCs w:val="18"/>
              </w:rPr>
            </w:pPr>
            <w:r>
              <w:rPr>
                <w:sz w:val="18"/>
              </w:rPr>
              <w:t>2 256</w:t>
            </w:r>
          </w:p>
        </w:tc>
        <w:tc>
          <w:tcPr>
            <w:tcW w:w="1080" w:type="dxa"/>
            <w:tcBorders>
              <w:top w:val="nil"/>
              <w:left w:val="nil"/>
              <w:bottom w:val="single" w:sz="4" w:space="0" w:color="auto"/>
              <w:right w:val="single" w:sz="4" w:space="0" w:color="auto"/>
            </w:tcBorders>
            <w:shd w:val="clear" w:color="auto" w:fill="auto"/>
            <w:noWrap/>
            <w:vAlign w:val="bottom"/>
            <w:hideMark/>
          </w:tcPr>
          <w:p w14:paraId="48AF0E0A" w14:textId="77777777" w:rsidR="00FE399D" w:rsidRPr="00D1707B" w:rsidRDefault="00FE399D" w:rsidP="00582303">
            <w:pPr>
              <w:pStyle w:val="CBDTableNormal"/>
              <w:spacing w:before="0" w:after="0"/>
              <w:jc w:val="right"/>
              <w:rPr>
                <w:sz w:val="18"/>
                <w:szCs w:val="18"/>
              </w:rPr>
            </w:pPr>
            <w:r>
              <w:rPr>
                <w:sz w:val="18"/>
              </w:rPr>
              <w:t>4 368</w:t>
            </w:r>
          </w:p>
        </w:tc>
      </w:tr>
      <w:tr w:rsidR="00FE399D" w:rsidRPr="00D1707B" w14:paraId="28550757"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549E80A" w14:textId="77777777" w:rsidR="00FE399D" w:rsidRPr="00D1707B" w:rsidRDefault="00FE399D" w:rsidP="00582303">
            <w:pPr>
              <w:pStyle w:val="CBDTableNormal"/>
              <w:spacing w:before="0" w:after="0"/>
              <w:rPr>
                <w:sz w:val="18"/>
                <w:szCs w:val="18"/>
              </w:rPr>
            </w:pPr>
            <w:r>
              <w:rPr>
                <w:sz w:val="18"/>
              </w:rPr>
              <w:t>Guyana</w:t>
            </w:r>
          </w:p>
        </w:tc>
        <w:tc>
          <w:tcPr>
            <w:tcW w:w="1628" w:type="dxa"/>
            <w:tcBorders>
              <w:top w:val="nil"/>
              <w:left w:val="nil"/>
              <w:bottom w:val="single" w:sz="4" w:space="0" w:color="auto"/>
              <w:right w:val="single" w:sz="4" w:space="0" w:color="auto"/>
            </w:tcBorders>
            <w:shd w:val="clear" w:color="auto" w:fill="auto"/>
            <w:vAlign w:val="bottom"/>
            <w:hideMark/>
          </w:tcPr>
          <w:p w14:paraId="0F57BA0D" w14:textId="77777777" w:rsidR="00FE399D" w:rsidRPr="00D1707B" w:rsidRDefault="00FE399D" w:rsidP="00582303">
            <w:pPr>
              <w:pStyle w:val="CBDTableNormal"/>
              <w:spacing w:before="0" w:after="0"/>
              <w:jc w:val="right"/>
              <w:rPr>
                <w:sz w:val="18"/>
                <w:szCs w:val="18"/>
              </w:rPr>
            </w:pPr>
            <w:r>
              <w:rPr>
                <w:sz w:val="18"/>
              </w:rPr>
              <w:t>0,004</w:t>
            </w:r>
          </w:p>
        </w:tc>
        <w:tc>
          <w:tcPr>
            <w:tcW w:w="2198" w:type="dxa"/>
            <w:tcBorders>
              <w:top w:val="nil"/>
              <w:left w:val="nil"/>
              <w:bottom w:val="single" w:sz="4" w:space="0" w:color="auto"/>
              <w:right w:val="single" w:sz="4" w:space="0" w:color="auto"/>
            </w:tcBorders>
            <w:shd w:val="clear" w:color="auto" w:fill="auto"/>
            <w:noWrap/>
            <w:vAlign w:val="bottom"/>
            <w:hideMark/>
          </w:tcPr>
          <w:p w14:paraId="33894636" w14:textId="77777777" w:rsidR="00FE399D" w:rsidRPr="00D1707B" w:rsidRDefault="00FE399D" w:rsidP="00582303">
            <w:pPr>
              <w:pStyle w:val="CBDTableNormal"/>
              <w:spacing w:before="0" w:after="0"/>
              <w:jc w:val="right"/>
              <w:rPr>
                <w:sz w:val="18"/>
                <w:szCs w:val="18"/>
              </w:rPr>
            </w:pPr>
            <w:r>
              <w:rPr>
                <w:sz w:val="18"/>
              </w:rPr>
              <w:t>0,005</w:t>
            </w:r>
          </w:p>
        </w:tc>
        <w:tc>
          <w:tcPr>
            <w:tcW w:w="1176" w:type="dxa"/>
            <w:tcBorders>
              <w:top w:val="nil"/>
              <w:left w:val="nil"/>
              <w:bottom w:val="single" w:sz="4" w:space="0" w:color="auto"/>
              <w:right w:val="single" w:sz="4" w:space="0" w:color="auto"/>
            </w:tcBorders>
            <w:shd w:val="clear" w:color="auto" w:fill="auto"/>
            <w:noWrap/>
            <w:vAlign w:val="bottom"/>
            <w:hideMark/>
          </w:tcPr>
          <w:p w14:paraId="34575604" w14:textId="77777777" w:rsidR="00FE399D" w:rsidRPr="00D1707B" w:rsidRDefault="00FE399D" w:rsidP="00582303">
            <w:pPr>
              <w:pStyle w:val="CBDTableNormal"/>
              <w:spacing w:before="0" w:after="0"/>
              <w:jc w:val="right"/>
              <w:rPr>
                <w:sz w:val="18"/>
                <w:szCs w:val="18"/>
              </w:rPr>
            </w:pPr>
            <w:r>
              <w:rPr>
                <w:sz w:val="18"/>
              </w:rPr>
              <w:t>704</w:t>
            </w:r>
          </w:p>
        </w:tc>
        <w:tc>
          <w:tcPr>
            <w:tcW w:w="1461" w:type="dxa"/>
            <w:tcBorders>
              <w:top w:val="nil"/>
              <w:left w:val="nil"/>
              <w:bottom w:val="single" w:sz="4" w:space="0" w:color="auto"/>
              <w:right w:val="single" w:sz="4" w:space="0" w:color="auto"/>
            </w:tcBorders>
            <w:shd w:val="clear" w:color="auto" w:fill="auto"/>
            <w:noWrap/>
            <w:vAlign w:val="bottom"/>
            <w:hideMark/>
          </w:tcPr>
          <w:p w14:paraId="158BAD79" w14:textId="77777777" w:rsidR="00FE399D" w:rsidRPr="00D1707B" w:rsidRDefault="00FE399D" w:rsidP="00582303">
            <w:pPr>
              <w:pStyle w:val="CBDTableNormal"/>
              <w:spacing w:before="0" w:after="0"/>
              <w:jc w:val="right"/>
              <w:rPr>
                <w:sz w:val="18"/>
                <w:szCs w:val="18"/>
              </w:rPr>
            </w:pPr>
            <w:r>
              <w:rPr>
                <w:sz w:val="18"/>
              </w:rPr>
              <w:t>752</w:t>
            </w:r>
          </w:p>
        </w:tc>
        <w:tc>
          <w:tcPr>
            <w:tcW w:w="1080" w:type="dxa"/>
            <w:tcBorders>
              <w:top w:val="nil"/>
              <w:left w:val="nil"/>
              <w:bottom w:val="single" w:sz="4" w:space="0" w:color="auto"/>
              <w:right w:val="single" w:sz="4" w:space="0" w:color="auto"/>
            </w:tcBorders>
            <w:shd w:val="clear" w:color="auto" w:fill="auto"/>
            <w:noWrap/>
            <w:vAlign w:val="bottom"/>
            <w:hideMark/>
          </w:tcPr>
          <w:p w14:paraId="2A8AC284" w14:textId="77777777" w:rsidR="00FE399D" w:rsidRPr="00D1707B" w:rsidRDefault="00FE399D" w:rsidP="00582303">
            <w:pPr>
              <w:pStyle w:val="CBDTableNormal"/>
              <w:spacing w:before="0" w:after="0"/>
              <w:jc w:val="right"/>
              <w:rPr>
                <w:sz w:val="18"/>
                <w:szCs w:val="18"/>
              </w:rPr>
            </w:pPr>
            <w:r>
              <w:rPr>
                <w:sz w:val="18"/>
              </w:rPr>
              <w:t>1 456</w:t>
            </w:r>
          </w:p>
        </w:tc>
      </w:tr>
      <w:tr w:rsidR="00FE399D" w:rsidRPr="00D1707B" w14:paraId="4C94025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1074FB9" w14:textId="77777777" w:rsidR="00FE399D" w:rsidRPr="00D1707B" w:rsidRDefault="00FE399D" w:rsidP="00582303">
            <w:pPr>
              <w:pStyle w:val="CBDTableNormal"/>
              <w:spacing w:before="0" w:after="0"/>
              <w:rPr>
                <w:sz w:val="18"/>
                <w:szCs w:val="18"/>
              </w:rPr>
            </w:pPr>
            <w:r>
              <w:rPr>
                <w:sz w:val="18"/>
              </w:rPr>
              <w:t>Haití</w:t>
            </w:r>
          </w:p>
        </w:tc>
        <w:tc>
          <w:tcPr>
            <w:tcW w:w="1628" w:type="dxa"/>
            <w:tcBorders>
              <w:top w:val="nil"/>
              <w:left w:val="nil"/>
              <w:bottom w:val="single" w:sz="4" w:space="0" w:color="auto"/>
              <w:right w:val="single" w:sz="4" w:space="0" w:color="auto"/>
            </w:tcBorders>
            <w:shd w:val="clear" w:color="auto" w:fill="auto"/>
            <w:vAlign w:val="bottom"/>
            <w:hideMark/>
          </w:tcPr>
          <w:p w14:paraId="708A521B" w14:textId="77777777" w:rsidR="00FE399D" w:rsidRPr="00D1707B" w:rsidRDefault="00FE399D" w:rsidP="00582303">
            <w:pPr>
              <w:pStyle w:val="CBDTableNormal"/>
              <w:spacing w:before="0" w:after="0"/>
              <w:jc w:val="right"/>
              <w:rPr>
                <w:sz w:val="18"/>
                <w:szCs w:val="18"/>
              </w:rPr>
            </w:pPr>
            <w:r>
              <w:rPr>
                <w:sz w:val="18"/>
              </w:rPr>
              <w:t>0,006</w:t>
            </w:r>
          </w:p>
        </w:tc>
        <w:tc>
          <w:tcPr>
            <w:tcW w:w="2198" w:type="dxa"/>
            <w:tcBorders>
              <w:top w:val="nil"/>
              <w:left w:val="nil"/>
              <w:bottom w:val="single" w:sz="4" w:space="0" w:color="auto"/>
              <w:right w:val="single" w:sz="4" w:space="0" w:color="auto"/>
            </w:tcBorders>
            <w:shd w:val="clear" w:color="auto" w:fill="auto"/>
            <w:noWrap/>
            <w:vAlign w:val="bottom"/>
            <w:hideMark/>
          </w:tcPr>
          <w:p w14:paraId="057CD737" w14:textId="77777777" w:rsidR="00FE399D" w:rsidRPr="00D1707B" w:rsidRDefault="00FE399D" w:rsidP="00582303">
            <w:pPr>
              <w:pStyle w:val="CBDTableNormal"/>
              <w:spacing w:before="0" w:after="0"/>
              <w:jc w:val="right"/>
              <w:rPr>
                <w:sz w:val="18"/>
                <w:szCs w:val="18"/>
              </w:rPr>
            </w:pPr>
            <w:r>
              <w:rPr>
                <w:sz w:val="18"/>
              </w:rPr>
              <w:t>0,008</w:t>
            </w:r>
          </w:p>
        </w:tc>
        <w:tc>
          <w:tcPr>
            <w:tcW w:w="1176" w:type="dxa"/>
            <w:tcBorders>
              <w:top w:val="nil"/>
              <w:left w:val="nil"/>
              <w:bottom w:val="single" w:sz="4" w:space="0" w:color="auto"/>
              <w:right w:val="single" w:sz="4" w:space="0" w:color="auto"/>
            </w:tcBorders>
            <w:shd w:val="clear" w:color="auto" w:fill="auto"/>
            <w:noWrap/>
            <w:vAlign w:val="bottom"/>
            <w:hideMark/>
          </w:tcPr>
          <w:p w14:paraId="215900C5" w14:textId="77777777" w:rsidR="00FE399D" w:rsidRPr="00D1707B" w:rsidRDefault="00FE399D" w:rsidP="00582303">
            <w:pPr>
              <w:pStyle w:val="CBDTableNormal"/>
              <w:spacing w:before="0" w:after="0"/>
              <w:jc w:val="right"/>
              <w:rPr>
                <w:sz w:val="18"/>
                <w:szCs w:val="18"/>
              </w:rPr>
            </w:pPr>
            <w:r>
              <w:rPr>
                <w:sz w:val="18"/>
              </w:rPr>
              <w:t>1 056</w:t>
            </w:r>
          </w:p>
        </w:tc>
        <w:tc>
          <w:tcPr>
            <w:tcW w:w="1461" w:type="dxa"/>
            <w:tcBorders>
              <w:top w:val="nil"/>
              <w:left w:val="nil"/>
              <w:bottom w:val="single" w:sz="4" w:space="0" w:color="auto"/>
              <w:right w:val="single" w:sz="4" w:space="0" w:color="auto"/>
            </w:tcBorders>
            <w:shd w:val="clear" w:color="auto" w:fill="auto"/>
            <w:noWrap/>
            <w:vAlign w:val="bottom"/>
            <w:hideMark/>
          </w:tcPr>
          <w:p w14:paraId="6E7F4A59" w14:textId="77777777" w:rsidR="00FE399D" w:rsidRPr="00D1707B" w:rsidRDefault="00FE399D" w:rsidP="00582303">
            <w:pPr>
              <w:pStyle w:val="CBDTableNormal"/>
              <w:spacing w:before="0" w:after="0"/>
              <w:jc w:val="right"/>
              <w:rPr>
                <w:sz w:val="18"/>
                <w:szCs w:val="18"/>
              </w:rPr>
            </w:pPr>
            <w:r>
              <w:rPr>
                <w:sz w:val="18"/>
              </w:rPr>
              <w:t>1 128</w:t>
            </w:r>
          </w:p>
        </w:tc>
        <w:tc>
          <w:tcPr>
            <w:tcW w:w="1080" w:type="dxa"/>
            <w:tcBorders>
              <w:top w:val="nil"/>
              <w:left w:val="nil"/>
              <w:bottom w:val="single" w:sz="4" w:space="0" w:color="auto"/>
              <w:right w:val="single" w:sz="4" w:space="0" w:color="auto"/>
            </w:tcBorders>
            <w:shd w:val="clear" w:color="auto" w:fill="auto"/>
            <w:noWrap/>
            <w:vAlign w:val="bottom"/>
            <w:hideMark/>
          </w:tcPr>
          <w:p w14:paraId="24542ECC" w14:textId="77777777" w:rsidR="00FE399D" w:rsidRPr="00D1707B" w:rsidRDefault="00FE399D" w:rsidP="00582303">
            <w:pPr>
              <w:pStyle w:val="CBDTableNormal"/>
              <w:spacing w:before="0" w:after="0"/>
              <w:jc w:val="right"/>
              <w:rPr>
                <w:sz w:val="18"/>
                <w:szCs w:val="18"/>
              </w:rPr>
            </w:pPr>
            <w:r>
              <w:rPr>
                <w:sz w:val="18"/>
              </w:rPr>
              <w:t>2 184</w:t>
            </w:r>
          </w:p>
        </w:tc>
      </w:tr>
      <w:tr w:rsidR="00FE399D" w:rsidRPr="00D1707B" w14:paraId="6F804FA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52A2F86" w14:textId="77777777" w:rsidR="00FE399D" w:rsidRPr="00D1707B" w:rsidRDefault="00FE399D" w:rsidP="00582303">
            <w:pPr>
              <w:pStyle w:val="CBDTableNormal"/>
              <w:spacing w:before="0" w:after="0"/>
              <w:rPr>
                <w:sz w:val="18"/>
                <w:szCs w:val="18"/>
              </w:rPr>
            </w:pPr>
            <w:r>
              <w:rPr>
                <w:sz w:val="18"/>
              </w:rPr>
              <w:t>Honduras</w:t>
            </w:r>
          </w:p>
        </w:tc>
        <w:tc>
          <w:tcPr>
            <w:tcW w:w="1628" w:type="dxa"/>
            <w:tcBorders>
              <w:top w:val="nil"/>
              <w:left w:val="nil"/>
              <w:bottom w:val="single" w:sz="4" w:space="0" w:color="auto"/>
              <w:right w:val="single" w:sz="4" w:space="0" w:color="auto"/>
            </w:tcBorders>
            <w:shd w:val="clear" w:color="auto" w:fill="auto"/>
            <w:vAlign w:val="bottom"/>
            <w:hideMark/>
          </w:tcPr>
          <w:p w14:paraId="1E6E0DCF" w14:textId="77777777" w:rsidR="00FE399D" w:rsidRPr="00D1707B" w:rsidRDefault="00FE399D" w:rsidP="00582303">
            <w:pPr>
              <w:pStyle w:val="CBDTableNormal"/>
              <w:spacing w:before="0" w:after="0"/>
              <w:jc w:val="right"/>
              <w:rPr>
                <w:sz w:val="18"/>
                <w:szCs w:val="18"/>
              </w:rPr>
            </w:pPr>
            <w:r>
              <w:rPr>
                <w:sz w:val="18"/>
              </w:rPr>
              <w:t>0,009</w:t>
            </w:r>
          </w:p>
        </w:tc>
        <w:tc>
          <w:tcPr>
            <w:tcW w:w="2198" w:type="dxa"/>
            <w:tcBorders>
              <w:top w:val="nil"/>
              <w:left w:val="nil"/>
              <w:bottom w:val="single" w:sz="4" w:space="0" w:color="auto"/>
              <w:right w:val="single" w:sz="4" w:space="0" w:color="auto"/>
            </w:tcBorders>
            <w:shd w:val="clear" w:color="auto" w:fill="auto"/>
            <w:noWrap/>
            <w:vAlign w:val="bottom"/>
            <w:hideMark/>
          </w:tcPr>
          <w:p w14:paraId="7F1487C6" w14:textId="77777777" w:rsidR="00FE399D" w:rsidRPr="00D1707B" w:rsidRDefault="00FE399D" w:rsidP="00582303">
            <w:pPr>
              <w:pStyle w:val="CBDTableNormal"/>
              <w:spacing w:before="0" w:after="0"/>
              <w:jc w:val="right"/>
              <w:rPr>
                <w:sz w:val="18"/>
                <w:szCs w:val="18"/>
              </w:rPr>
            </w:pPr>
            <w:r>
              <w:rPr>
                <w:sz w:val="18"/>
              </w:rPr>
              <w:t>0,011</w:t>
            </w:r>
          </w:p>
        </w:tc>
        <w:tc>
          <w:tcPr>
            <w:tcW w:w="1176" w:type="dxa"/>
            <w:tcBorders>
              <w:top w:val="nil"/>
              <w:left w:val="nil"/>
              <w:bottom w:val="single" w:sz="4" w:space="0" w:color="auto"/>
              <w:right w:val="single" w:sz="4" w:space="0" w:color="auto"/>
            </w:tcBorders>
            <w:shd w:val="clear" w:color="auto" w:fill="auto"/>
            <w:noWrap/>
            <w:vAlign w:val="bottom"/>
            <w:hideMark/>
          </w:tcPr>
          <w:p w14:paraId="51A9C55E" w14:textId="77777777" w:rsidR="00FE399D" w:rsidRPr="00D1707B" w:rsidRDefault="00FE399D" w:rsidP="00582303">
            <w:pPr>
              <w:pStyle w:val="CBDTableNormal"/>
              <w:spacing w:before="0" w:after="0"/>
              <w:jc w:val="right"/>
              <w:rPr>
                <w:sz w:val="18"/>
                <w:szCs w:val="18"/>
              </w:rPr>
            </w:pPr>
            <w:r>
              <w:rPr>
                <w:sz w:val="18"/>
              </w:rPr>
              <w:t>1 584</w:t>
            </w:r>
          </w:p>
        </w:tc>
        <w:tc>
          <w:tcPr>
            <w:tcW w:w="1461" w:type="dxa"/>
            <w:tcBorders>
              <w:top w:val="nil"/>
              <w:left w:val="nil"/>
              <w:bottom w:val="single" w:sz="4" w:space="0" w:color="auto"/>
              <w:right w:val="single" w:sz="4" w:space="0" w:color="auto"/>
            </w:tcBorders>
            <w:shd w:val="clear" w:color="auto" w:fill="auto"/>
            <w:noWrap/>
            <w:vAlign w:val="bottom"/>
            <w:hideMark/>
          </w:tcPr>
          <w:p w14:paraId="79058C86" w14:textId="77777777" w:rsidR="00FE399D" w:rsidRPr="00D1707B" w:rsidRDefault="00FE399D" w:rsidP="00582303">
            <w:pPr>
              <w:pStyle w:val="CBDTableNormal"/>
              <w:spacing w:before="0" w:after="0"/>
              <w:jc w:val="right"/>
              <w:rPr>
                <w:sz w:val="18"/>
                <w:szCs w:val="18"/>
              </w:rPr>
            </w:pPr>
            <w:r>
              <w:rPr>
                <w:sz w:val="18"/>
              </w:rPr>
              <w:t>1 692</w:t>
            </w:r>
          </w:p>
        </w:tc>
        <w:tc>
          <w:tcPr>
            <w:tcW w:w="1080" w:type="dxa"/>
            <w:tcBorders>
              <w:top w:val="nil"/>
              <w:left w:val="nil"/>
              <w:bottom w:val="single" w:sz="4" w:space="0" w:color="auto"/>
              <w:right w:val="single" w:sz="4" w:space="0" w:color="auto"/>
            </w:tcBorders>
            <w:shd w:val="clear" w:color="auto" w:fill="auto"/>
            <w:noWrap/>
            <w:vAlign w:val="bottom"/>
            <w:hideMark/>
          </w:tcPr>
          <w:p w14:paraId="64ECE7AA" w14:textId="77777777" w:rsidR="00FE399D" w:rsidRPr="00D1707B" w:rsidRDefault="00FE399D" w:rsidP="00582303">
            <w:pPr>
              <w:pStyle w:val="CBDTableNormal"/>
              <w:spacing w:before="0" w:after="0"/>
              <w:jc w:val="right"/>
              <w:rPr>
                <w:sz w:val="18"/>
                <w:szCs w:val="18"/>
              </w:rPr>
            </w:pPr>
            <w:r>
              <w:rPr>
                <w:sz w:val="18"/>
              </w:rPr>
              <w:t>3 276</w:t>
            </w:r>
          </w:p>
        </w:tc>
      </w:tr>
      <w:tr w:rsidR="00FE399D" w:rsidRPr="00D1707B" w14:paraId="51A76F6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87DA7C5" w14:textId="77777777" w:rsidR="00FE399D" w:rsidRPr="00D1707B" w:rsidRDefault="00FE399D" w:rsidP="00582303">
            <w:pPr>
              <w:pStyle w:val="CBDTableNormal"/>
              <w:spacing w:before="0" w:after="0"/>
              <w:rPr>
                <w:sz w:val="18"/>
                <w:szCs w:val="18"/>
              </w:rPr>
            </w:pPr>
            <w:r>
              <w:rPr>
                <w:sz w:val="18"/>
              </w:rPr>
              <w:t>Hungría</w:t>
            </w:r>
          </w:p>
        </w:tc>
        <w:tc>
          <w:tcPr>
            <w:tcW w:w="1628" w:type="dxa"/>
            <w:tcBorders>
              <w:top w:val="nil"/>
              <w:left w:val="nil"/>
              <w:bottom w:val="single" w:sz="4" w:space="0" w:color="auto"/>
              <w:right w:val="single" w:sz="4" w:space="0" w:color="auto"/>
            </w:tcBorders>
            <w:shd w:val="clear" w:color="auto" w:fill="auto"/>
            <w:vAlign w:val="bottom"/>
            <w:hideMark/>
          </w:tcPr>
          <w:p w14:paraId="7799F739" w14:textId="77777777" w:rsidR="00FE399D" w:rsidRPr="00D1707B" w:rsidRDefault="00FE399D" w:rsidP="00582303">
            <w:pPr>
              <w:pStyle w:val="CBDTableNormal"/>
              <w:spacing w:before="0" w:after="0"/>
              <w:jc w:val="right"/>
              <w:rPr>
                <w:sz w:val="18"/>
                <w:szCs w:val="18"/>
              </w:rPr>
            </w:pPr>
            <w:r>
              <w:rPr>
                <w:sz w:val="18"/>
              </w:rPr>
              <w:t>0,228</w:t>
            </w:r>
          </w:p>
        </w:tc>
        <w:tc>
          <w:tcPr>
            <w:tcW w:w="2198" w:type="dxa"/>
            <w:tcBorders>
              <w:top w:val="nil"/>
              <w:left w:val="nil"/>
              <w:bottom w:val="single" w:sz="4" w:space="0" w:color="auto"/>
              <w:right w:val="single" w:sz="4" w:space="0" w:color="auto"/>
            </w:tcBorders>
            <w:shd w:val="clear" w:color="auto" w:fill="auto"/>
            <w:noWrap/>
            <w:vAlign w:val="bottom"/>
            <w:hideMark/>
          </w:tcPr>
          <w:p w14:paraId="68AE2A8F" w14:textId="77777777" w:rsidR="00FE399D" w:rsidRPr="00D1707B" w:rsidRDefault="00FE399D" w:rsidP="00582303">
            <w:pPr>
              <w:pStyle w:val="CBDTableNormal"/>
              <w:spacing w:before="0" w:after="0"/>
              <w:jc w:val="right"/>
              <w:rPr>
                <w:sz w:val="18"/>
                <w:szCs w:val="18"/>
              </w:rPr>
            </w:pPr>
            <w:r>
              <w:rPr>
                <w:sz w:val="18"/>
              </w:rPr>
              <w:t>0,285</w:t>
            </w:r>
          </w:p>
        </w:tc>
        <w:tc>
          <w:tcPr>
            <w:tcW w:w="1176" w:type="dxa"/>
            <w:tcBorders>
              <w:top w:val="nil"/>
              <w:left w:val="nil"/>
              <w:bottom w:val="single" w:sz="4" w:space="0" w:color="auto"/>
              <w:right w:val="single" w:sz="4" w:space="0" w:color="auto"/>
            </w:tcBorders>
            <w:shd w:val="clear" w:color="auto" w:fill="auto"/>
            <w:noWrap/>
            <w:vAlign w:val="bottom"/>
            <w:hideMark/>
          </w:tcPr>
          <w:p w14:paraId="7CA39CAB" w14:textId="77777777" w:rsidR="00FE399D" w:rsidRPr="00D1707B" w:rsidRDefault="00FE399D" w:rsidP="00582303">
            <w:pPr>
              <w:pStyle w:val="CBDTableNormal"/>
              <w:spacing w:before="0" w:after="0"/>
              <w:jc w:val="right"/>
              <w:rPr>
                <w:sz w:val="18"/>
                <w:szCs w:val="18"/>
              </w:rPr>
            </w:pPr>
            <w:r>
              <w:rPr>
                <w:sz w:val="18"/>
              </w:rPr>
              <w:t>40 127</w:t>
            </w:r>
          </w:p>
        </w:tc>
        <w:tc>
          <w:tcPr>
            <w:tcW w:w="1461" w:type="dxa"/>
            <w:tcBorders>
              <w:top w:val="nil"/>
              <w:left w:val="nil"/>
              <w:bottom w:val="single" w:sz="4" w:space="0" w:color="auto"/>
              <w:right w:val="single" w:sz="4" w:space="0" w:color="auto"/>
            </w:tcBorders>
            <w:shd w:val="clear" w:color="auto" w:fill="auto"/>
            <w:noWrap/>
            <w:vAlign w:val="bottom"/>
            <w:hideMark/>
          </w:tcPr>
          <w:p w14:paraId="2BBE3B77" w14:textId="77777777" w:rsidR="00FE399D" w:rsidRPr="00D1707B" w:rsidRDefault="00FE399D" w:rsidP="00582303">
            <w:pPr>
              <w:pStyle w:val="CBDTableNormal"/>
              <w:spacing w:before="0" w:after="0"/>
              <w:jc w:val="right"/>
              <w:rPr>
                <w:sz w:val="18"/>
                <w:szCs w:val="18"/>
              </w:rPr>
            </w:pPr>
            <w:r>
              <w:rPr>
                <w:sz w:val="18"/>
              </w:rPr>
              <w:t>42 872</w:t>
            </w:r>
          </w:p>
        </w:tc>
        <w:tc>
          <w:tcPr>
            <w:tcW w:w="1080" w:type="dxa"/>
            <w:tcBorders>
              <w:top w:val="nil"/>
              <w:left w:val="nil"/>
              <w:bottom w:val="single" w:sz="4" w:space="0" w:color="auto"/>
              <w:right w:val="single" w:sz="4" w:space="0" w:color="auto"/>
            </w:tcBorders>
            <w:shd w:val="clear" w:color="auto" w:fill="auto"/>
            <w:noWrap/>
            <w:vAlign w:val="bottom"/>
            <w:hideMark/>
          </w:tcPr>
          <w:p w14:paraId="3BFC1B13" w14:textId="77777777" w:rsidR="00FE399D" w:rsidRPr="00D1707B" w:rsidRDefault="00FE399D" w:rsidP="00582303">
            <w:pPr>
              <w:pStyle w:val="CBDTableNormal"/>
              <w:spacing w:before="0" w:after="0"/>
              <w:jc w:val="right"/>
              <w:rPr>
                <w:sz w:val="18"/>
                <w:szCs w:val="18"/>
              </w:rPr>
            </w:pPr>
            <w:r>
              <w:rPr>
                <w:sz w:val="18"/>
              </w:rPr>
              <w:t>82 999</w:t>
            </w:r>
          </w:p>
        </w:tc>
      </w:tr>
      <w:tr w:rsidR="00FE399D" w:rsidRPr="00D1707B" w14:paraId="1143C99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F68E762" w14:textId="77777777" w:rsidR="00FE399D" w:rsidRPr="00D1707B" w:rsidRDefault="00FE399D" w:rsidP="00582303">
            <w:pPr>
              <w:pStyle w:val="CBDTableNormal"/>
              <w:spacing w:before="0" w:after="0"/>
              <w:rPr>
                <w:sz w:val="18"/>
                <w:szCs w:val="18"/>
              </w:rPr>
            </w:pPr>
            <w:r>
              <w:rPr>
                <w:sz w:val="18"/>
              </w:rPr>
              <w:t>India</w:t>
            </w:r>
          </w:p>
        </w:tc>
        <w:tc>
          <w:tcPr>
            <w:tcW w:w="1628" w:type="dxa"/>
            <w:tcBorders>
              <w:top w:val="nil"/>
              <w:left w:val="nil"/>
              <w:bottom w:val="single" w:sz="4" w:space="0" w:color="auto"/>
              <w:right w:val="single" w:sz="4" w:space="0" w:color="auto"/>
            </w:tcBorders>
            <w:shd w:val="clear" w:color="auto" w:fill="auto"/>
            <w:vAlign w:val="bottom"/>
            <w:hideMark/>
          </w:tcPr>
          <w:p w14:paraId="168159D8" w14:textId="77777777" w:rsidR="00FE399D" w:rsidRPr="00D1707B" w:rsidRDefault="00FE399D" w:rsidP="00582303">
            <w:pPr>
              <w:pStyle w:val="CBDTableNormal"/>
              <w:spacing w:before="0" w:after="0"/>
              <w:jc w:val="right"/>
              <w:rPr>
                <w:sz w:val="18"/>
                <w:szCs w:val="18"/>
              </w:rPr>
            </w:pPr>
            <w:r>
              <w:rPr>
                <w:sz w:val="18"/>
              </w:rPr>
              <w:t>1,044</w:t>
            </w:r>
          </w:p>
        </w:tc>
        <w:tc>
          <w:tcPr>
            <w:tcW w:w="2198" w:type="dxa"/>
            <w:tcBorders>
              <w:top w:val="nil"/>
              <w:left w:val="nil"/>
              <w:bottom w:val="single" w:sz="4" w:space="0" w:color="auto"/>
              <w:right w:val="single" w:sz="4" w:space="0" w:color="auto"/>
            </w:tcBorders>
            <w:shd w:val="clear" w:color="auto" w:fill="auto"/>
            <w:noWrap/>
            <w:vAlign w:val="bottom"/>
            <w:hideMark/>
          </w:tcPr>
          <w:p w14:paraId="7B6072A1" w14:textId="77777777" w:rsidR="00FE399D" w:rsidRPr="00D1707B" w:rsidRDefault="00FE399D" w:rsidP="00582303">
            <w:pPr>
              <w:pStyle w:val="CBDTableNormal"/>
              <w:spacing w:before="0" w:after="0"/>
              <w:jc w:val="right"/>
              <w:rPr>
                <w:sz w:val="18"/>
                <w:szCs w:val="18"/>
              </w:rPr>
            </w:pPr>
            <w:r>
              <w:rPr>
                <w:sz w:val="18"/>
              </w:rPr>
              <w:t>1,305</w:t>
            </w:r>
          </w:p>
        </w:tc>
        <w:tc>
          <w:tcPr>
            <w:tcW w:w="1176" w:type="dxa"/>
            <w:tcBorders>
              <w:top w:val="nil"/>
              <w:left w:val="nil"/>
              <w:bottom w:val="single" w:sz="4" w:space="0" w:color="auto"/>
              <w:right w:val="single" w:sz="4" w:space="0" w:color="auto"/>
            </w:tcBorders>
            <w:shd w:val="clear" w:color="auto" w:fill="auto"/>
            <w:noWrap/>
            <w:vAlign w:val="bottom"/>
            <w:hideMark/>
          </w:tcPr>
          <w:p w14:paraId="3E1A8F69" w14:textId="77777777" w:rsidR="00FE399D" w:rsidRPr="00D1707B" w:rsidRDefault="00FE399D" w:rsidP="00582303">
            <w:pPr>
              <w:pStyle w:val="CBDTableNormal"/>
              <w:spacing w:before="0" w:after="0"/>
              <w:jc w:val="right"/>
              <w:rPr>
                <w:sz w:val="18"/>
                <w:szCs w:val="18"/>
              </w:rPr>
            </w:pPr>
            <w:r>
              <w:rPr>
                <w:sz w:val="18"/>
              </w:rPr>
              <w:t>183 738</w:t>
            </w:r>
          </w:p>
        </w:tc>
        <w:tc>
          <w:tcPr>
            <w:tcW w:w="1461" w:type="dxa"/>
            <w:tcBorders>
              <w:top w:val="nil"/>
              <w:left w:val="nil"/>
              <w:bottom w:val="single" w:sz="4" w:space="0" w:color="auto"/>
              <w:right w:val="single" w:sz="4" w:space="0" w:color="auto"/>
            </w:tcBorders>
            <w:shd w:val="clear" w:color="auto" w:fill="auto"/>
            <w:noWrap/>
            <w:vAlign w:val="bottom"/>
            <w:hideMark/>
          </w:tcPr>
          <w:p w14:paraId="1BFC91FA" w14:textId="77777777" w:rsidR="00FE399D" w:rsidRPr="00D1707B" w:rsidRDefault="00FE399D" w:rsidP="00582303">
            <w:pPr>
              <w:pStyle w:val="CBDTableNormal"/>
              <w:spacing w:before="0" w:after="0"/>
              <w:jc w:val="right"/>
              <w:rPr>
                <w:sz w:val="18"/>
                <w:szCs w:val="18"/>
              </w:rPr>
            </w:pPr>
            <w:r>
              <w:rPr>
                <w:sz w:val="18"/>
              </w:rPr>
              <w:t>196 310</w:t>
            </w:r>
          </w:p>
        </w:tc>
        <w:tc>
          <w:tcPr>
            <w:tcW w:w="1080" w:type="dxa"/>
            <w:tcBorders>
              <w:top w:val="nil"/>
              <w:left w:val="nil"/>
              <w:bottom w:val="single" w:sz="4" w:space="0" w:color="auto"/>
              <w:right w:val="single" w:sz="4" w:space="0" w:color="auto"/>
            </w:tcBorders>
            <w:shd w:val="clear" w:color="auto" w:fill="auto"/>
            <w:noWrap/>
            <w:vAlign w:val="bottom"/>
            <w:hideMark/>
          </w:tcPr>
          <w:p w14:paraId="4378EDB3" w14:textId="77777777" w:rsidR="00FE399D" w:rsidRPr="00D1707B" w:rsidRDefault="00FE399D" w:rsidP="00582303">
            <w:pPr>
              <w:pStyle w:val="CBDTableNormal"/>
              <w:spacing w:before="0" w:after="0"/>
              <w:jc w:val="right"/>
              <w:rPr>
                <w:sz w:val="18"/>
                <w:szCs w:val="18"/>
              </w:rPr>
            </w:pPr>
            <w:r>
              <w:rPr>
                <w:sz w:val="18"/>
              </w:rPr>
              <w:t>380 048</w:t>
            </w:r>
          </w:p>
        </w:tc>
      </w:tr>
      <w:tr w:rsidR="00FE399D" w:rsidRPr="00D1707B" w14:paraId="5E8BD85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09A60DA" w14:textId="77777777" w:rsidR="00FE399D" w:rsidRPr="00D1707B" w:rsidRDefault="00FE399D" w:rsidP="00582303">
            <w:pPr>
              <w:pStyle w:val="CBDTableNormal"/>
              <w:spacing w:before="0" w:after="0"/>
              <w:rPr>
                <w:sz w:val="18"/>
                <w:szCs w:val="18"/>
              </w:rPr>
            </w:pPr>
            <w:r>
              <w:rPr>
                <w:sz w:val="18"/>
              </w:rPr>
              <w:t>Indonesia</w:t>
            </w:r>
          </w:p>
        </w:tc>
        <w:tc>
          <w:tcPr>
            <w:tcW w:w="1628" w:type="dxa"/>
            <w:tcBorders>
              <w:top w:val="nil"/>
              <w:left w:val="nil"/>
              <w:bottom w:val="single" w:sz="4" w:space="0" w:color="auto"/>
              <w:right w:val="single" w:sz="4" w:space="0" w:color="auto"/>
            </w:tcBorders>
            <w:shd w:val="clear" w:color="auto" w:fill="auto"/>
            <w:vAlign w:val="bottom"/>
            <w:hideMark/>
          </w:tcPr>
          <w:p w14:paraId="6D827CB6" w14:textId="77777777" w:rsidR="00FE399D" w:rsidRPr="00D1707B" w:rsidRDefault="00FE399D" w:rsidP="00582303">
            <w:pPr>
              <w:pStyle w:val="CBDTableNormal"/>
              <w:spacing w:before="0" w:after="0"/>
              <w:jc w:val="right"/>
              <w:rPr>
                <w:sz w:val="18"/>
                <w:szCs w:val="18"/>
              </w:rPr>
            </w:pPr>
            <w:r>
              <w:rPr>
                <w:sz w:val="18"/>
              </w:rPr>
              <w:t>0,549</w:t>
            </w:r>
          </w:p>
        </w:tc>
        <w:tc>
          <w:tcPr>
            <w:tcW w:w="2198" w:type="dxa"/>
            <w:tcBorders>
              <w:top w:val="nil"/>
              <w:left w:val="nil"/>
              <w:bottom w:val="single" w:sz="4" w:space="0" w:color="auto"/>
              <w:right w:val="single" w:sz="4" w:space="0" w:color="auto"/>
            </w:tcBorders>
            <w:shd w:val="clear" w:color="auto" w:fill="auto"/>
            <w:noWrap/>
            <w:vAlign w:val="bottom"/>
            <w:hideMark/>
          </w:tcPr>
          <w:p w14:paraId="41F73326" w14:textId="77777777" w:rsidR="00FE399D" w:rsidRPr="00D1707B" w:rsidRDefault="00FE399D" w:rsidP="00582303">
            <w:pPr>
              <w:pStyle w:val="CBDTableNormal"/>
              <w:spacing w:before="0" w:after="0"/>
              <w:jc w:val="right"/>
              <w:rPr>
                <w:sz w:val="18"/>
                <w:szCs w:val="18"/>
              </w:rPr>
            </w:pPr>
            <w:r>
              <w:rPr>
                <w:sz w:val="18"/>
              </w:rPr>
              <w:t>0,686</w:t>
            </w:r>
          </w:p>
        </w:tc>
        <w:tc>
          <w:tcPr>
            <w:tcW w:w="1176" w:type="dxa"/>
            <w:tcBorders>
              <w:top w:val="nil"/>
              <w:left w:val="nil"/>
              <w:bottom w:val="single" w:sz="4" w:space="0" w:color="auto"/>
              <w:right w:val="single" w:sz="4" w:space="0" w:color="auto"/>
            </w:tcBorders>
            <w:shd w:val="clear" w:color="auto" w:fill="auto"/>
            <w:noWrap/>
            <w:vAlign w:val="bottom"/>
            <w:hideMark/>
          </w:tcPr>
          <w:p w14:paraId="43721B56" w14:textId="77777777" w:rsidR="00FE399D" w:rsidRPr="00D1707B" w:rsidRDefault="00FE399D" w:rsidP="00582303">
            <w:pPr>
              <w:pStyle w:val="CBDTableNormal"/>
              <w:spacing w:before="0" w:after="0"/>
              <w:jc w:val="right"/>
              <w:rPr>
                <w:sz w:val="18"/>
                <w:szCs w:val="18"/>
              </w:rPr>
            </w:pPr>
            <w:r>
              <w:rPr>
                <w:sz w:val="18"/>
              </w:rPr>
              <w:t>96 621</w:t>
            </w:r>
          </w:p>
        </w:tc>
        <w:tc>
          <w:tcPr>
            <w:tcW w:w="1461" w:type="dxa"/>
            <w:tcBorders>
              <w:top w:val="nil"/>
              <w:left w:val="nil"/>
              <w:bottom w:val="single" w:sz="4" w:space="0" w:color="auto"/>
              <w:right w:val="single" w:sz="4" w:space="0" w:color="auto"/>
            </w:tcBorders>
            <w:shd w:val="clear" w:color="auto" w:fill="auto"/>
            <w:noWrap/>
            <w:vAlign w:val="bottom"/>
            <w:hideMark/>
          </w:tcPr>
          <w:p w14:paraId="0B8F869D" w14:textId="77777777" w:rsidR="00FE399D" w:rsidRPr="00D1707B" w:rsidRDefault="00FE399D" w:rsidP="00582303">
            <w:pPr>
              <w:pStyle w:val="CBDTableNormal"/>
              <w:spacing w:before="0" w:after="0"/>
              <w:jc w:val="right"/>
              <w:rPr>
                <w:sz w:val="18"/>
                <w:szCs w:val="18"/>
              </w:rPr>
            </w:pPr>
            <w:r>
              <w:rPr>
                <w:sz w:val="18"/>
              </w:rPr>
              <w:t>103 232</w:t>
            </w:r>
          </w:p>
        </w:tc>
        <w:tc>
          <w:tcPr>
            <w:tcW w:w="1080" w:type="dxa"/>
            <w:tcBorders>
              <w:top w:val="nil"/>
              <w:left w:val="nil"/>
              <w:bottom w:val="single" w:sz="4" w:space="0" w:color="auto"/>
              <w:right w:val="single" w:sz="4" w:space="0" w:color="auto"/>
            </w:tcBorders>
            <w:shd w:val="clear" w:color="auto" w:fill="auto"/>
            <w:noWrap/>
            <w:vAlign w:val="bottom"/>
            <w:hideMark/>
          </w:tcPr>
          <w:p w14:paraId="1C2BFCBE" w14:textId="77777777" w:rsidR="00FE399D" w:rsidRPr="00D1707B" w:rsidRDefault="00FE399D" w:rsidP="00582303">
            <w:pPr>
              <w:pStyle w:val="CBDTableNormal"/>
              <w:spacing w:before="0" w:after="0"/>
              <w:jc w:val="right"/>
              <w:rPr>
                <w:sz w:val="18"/>
                <w:szCs w:val="18"/>
              </w:rPr>
            </w:pPr>
            <w:r>
              <w:rPr>
                <w:sz w:val="18"/>
              </w:rPr>
              <w:t>199 853</w:t>
            </w:r>
          </w:p>
        </w:tc>
      </w:tr>
      <w:tr w:rsidR="00FE399D" w:rsidRPr="00D1707B" w14:paraId="19A8346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5F78136" w14:textId="77777777" w:rsidR="00FE399D" w:rsidRPr="00D1707B" w:rsidRDefault="00FE399D" w:rsidP="00582303">
            <w:pPr>
              <w:pStyle w:val="CBDTableNormal"/>
              <w:tabs>
                <w:tab w:val="clear" w:pos="567"/>
                <w:tab w:val="left" w:pos="178"/>
              </w:tabs>
              <w:spacing w:before="0" w:after="0"/>
              <w:ind w:left="144" w:hanging="144"/>
              <w:rPr>
                <w:sz w:val="18"/>
                <w:szCs w:val="18"/>
              </w:rPr>
            </w:pPr>
            <w:r>
              <w:rPr>
                <w:sz w:val="18"/>
              </w:rPr>
              <w:t>Irán (República Islámica del)</w:t>
            </w:r>
          </w:p>
        </w:tc>
        <w:tc>
          <w:tcPr>
            <w:tcW w:w="1628" w:type="dxa"/>
            <w:tcBorders>
              <w:top w:val="nil"/>
              <w:left w:val="nil"/>
              <w:bottom w:val="single" w:sz="4" w:space="0" w:color="auto"/>
              <w:right w:val="single" w:sz="4" w:space="0" w:color="auto"/>
            </w:tcBorders>
            <w:shd w:val="clear" w:color="auto" w:fill="auto"/>
            <w:vAlign w:val="bottom"/>
            <w:hideMark/>
          </w:tcPr>
          <w:p w14:paraId="7324B4E7" w14:textId="77777777" w:rsidR="00FE399D" w:rsidRPr="00D1707B" w:rsidRDefault="00FE399D" w:rsidP="00582303">
            <w:pPr>
              <w:pStyle w:val="CBDTableNormal"/>
              <w:spacing w:before="0" w:after="0"/>
              <w:jc w:val="right"/>
              <w:rPr>
                <w:sz w:val="18"/>
                <w:szCs w:val="18"/>
              </w:rPr>
            </w:pPr>
            <w:r>
              <w:rPr>
                <w:sz w:val="18"/>
              </w:rPr>
              <w:t>0,371</w:t>
            </w:r>
          </w:p>
        </w:tc>
        <w:tc>
          <w:tcPr>
            <w:tcW w:w="2198" w:type="dxa"/>
            <w:tcBorders>
              <w:top w:val="nil"/>
              <w:left w:val="nil"/>
              <w:bottom w:val="single" w:sz="4" w:space="0" w:color="auto"/>
              <w:right w:val="single" w:sz="4" w:space="0" w:color="auto"/>
            </w:tcBorders>
            <w:shd w:val="clear" w:color="auto" w:fill="auto"/>
            <w:noWrap/>
            <w:vAlign w:val="bottom"/>
            <w:hideMark/>
          </w:tcPr>
          <w:p w14:paraId="623CFC46" w14:textId="77777777" w:rsidR="00FE399D" w:rsidRPr="00D1707B" w:rsidRDefault="00FE399D" w:rsidP="00582303">
            <w:pPr>
              <w:pStyle w:val="CBDTableNormal"/>
              <w:spacing w:before="0" w:after="0"/>
              <w:jc w:val="right"/>
              <w:rPr>
                <w:sz w:val="18"/>
                <w:szCs w:val="18"/>
              </w:rPr>
            </w:pPr>
            <w:r>
              <w:rPr>
                <w:sz w:val="18"/>
              </w:rPr>
              <w:t>0,464</w:t>
            </w:r>
          </w:p>
        </w:tc>
        <w:tc>
          <w:tcPr>
            <w:tcW w:w="1176" w:type="dxa"/>
            <w:tcBorders>
              <w:top w:val="nil"/>
              <w:left w:val="nil"/>
              <w:bottom w:val="single" w:sz="4" w:space="0" w:color="auto"/>
              <w:right w:val="single" w:sz="4" w:space="0" w:color="auto"/>
            </w:tcBorders>
            <w:shd w:val="clear" w:color="auto" w:fill="auto"/>
            <w:noWrap/>
            <w:vAlign w:val="bottom"/>
            <w:hideMark/>
          </w:tcPr>
          <w:p w14:paraId="58A6FB18" w14:textId="77777777" w:rsidR="00FE399D" w:rsidRPr="00D1707B" w:rsidRDefault="00FE399D" w:rsidP="00582303">
            <w:pPr>
              <w:pStyle w:val="CBDTableNormal"/>
              <w:spacing w:before="0" w:after="0"/>
              <w:jc w:val="right"/>
              <w:rPr>
                <w:sz w:val="18"/>
                <w:szCs w:val="18"/>
              </w:rPr>
            </w:pPr>
            <w:r>
              <w:rPr>
                <w:sz w:val="18"/>
              </w:rPr>
              <w:t>65 294</w:t>
            </w:r>
          </w:p>
        </w:tc>
        <w:tc>
          <w:tcPr>
            <w:tcW w:w="1461" w:type="dxa"/>
            <w:tcBorders>
              <w:top w:val="nil"/>
              <w:left w:val="nil"/>
              <w:bottom w:val="single" w:sz="4" w:space="0" w:color="auto"/>
              <w:right w:val="single" w:sz="4" w:space="0" w:color="auto"/>
            </w:tcBorders>
            <w:shd w:val="clear" w:color="auto" w:fill="auto"/>
            <w:noWrap/>
            <w:vAlign w:val="bottom"/>
            <w:hideMark/>
          </w:tcPr>
          <w:p w14:paraId="18FBB69E" w14:textId="77777777" w:rsidR="00FE399D" w:rsidRPr="00D1707B" w:rsidRDefault="00FE399D" w:rsidP="00582303">
            <w:pPr>
              <w:pStyle w:val="CBDTableNormal"/>
              <w:spacing w:before="0" w:after="0"/>
              <w:jc w:val="right"/>
              <w:rPr>
                <w:sz w:val="18"/>
                <w:szCs w:val="18"/>
              </w:rPr>
            </w:pPr>
            <w:r>
              <w:rPr>
                <w:sz w:val="18"/>
              </w:rPr>
              <w:t>69 762</w:t>
            </w:r>
          </w:p>
        </w:tc>
        <w:tc>
          <w:tcPr>
            <w:tcW w:w="1080" w:type="dxa"/>
            <w:tcBorders>
              <w:top w:val="nil"/>
              <w:left w:val="nil"/>
              <w:bottom w:val="single" w:sz="4" w:space="0" w:color="auto"/>
              <w:right w:val="single" w:sz="4" w:space="0" w:color="auto"/>
            </w:tcBorders>
            <w:shd w:val="clear" w:color="auto" w:fill="auto"/>
            <w:noWrap/>
            <w:vAlign w:val="bottom"/>
            <w:hideMark/>
          </w:tcPr>
          <w:p w14:paraId="0B997849" w14:textId="77777777" w:rsidR="00FE399D" w:rsidRPr="00D1707B" w:rsidRDefault="00FE399D" w:rsidP="00582303">
            <w:pPr>
              <w:pStyle w:val="CBDTableNormal"/>
              <w:spacing w:before="0" w:after="0"/>
              <w:jc w:val="right"/>
              <w:rPr>
                <w:sz w:val="18"/>
                <w:szCs w:val="18"/>
              </w:rPr>
            </w:pPr>
            <w:r>
              <w:rPr>
                <w:sz w:val="18"/>
              </w:rPr>
              <w:t>135 055</w:t>
            </w:r>
          </w:p>
        </w:tc>
      </w:tr>
      <w:tr w:rsidR="00FE399D" w:rsidRPr="00D1707B" w14:paraId="1BDDE14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4F0245E" w14:textId="77777777" w:rsidR="00FE399D" w:rsidRPr="00D1707B" w:rsidRDefault="00FE399D" w:rsidP="00582303">
            <w:pPr>
              <w:pStyle w:val="CBDTableNormal"/>
              <w:spacing w:before="0" w:after="0"/>
              <w:rPr>
                <w:sz w:val="18"/>
                <w:szCs w:val="18"/>
              </w:rPr>
            </w:pPr>
            <w:r>
              <w:rPr>
                <w:sz w:val="18"/>
              </w:rPr>
              <w:t>Iraq</w:t>
            </w:r>
          </w:p>
        </w:tc>
        <w:tc>
          <w:tcPr>
            <w:tcW w:w="1628" w:type="dxa"/>
            <w:tcBorders>
              <w:top w:val="nil"/>
              <w:left w:val="nil"/>
              <w:bottom w:val="single" w:sz="4" w:space="0" w:color="auto"/>
              <w:right w:val="single" w:sz="4" w:space="0" w:color="auto"/>
            </w:tcBorders>
            <w:shd w:val="clear" w:color="auto" w:fill="auto"/>
            <w:vAlign w:val="bottom"/>
            <w:hideMark/>
          </w:tcPr>
          <w:p w14:paraId="6BB02421" w14:textId="77777777" w:rsidR="00FE399D" w:rsidRPr="00D1707B" w:rsidRDefault="00FE399D" w:rsidP="00582303">
            <w:pPr>
              <w:pStyle w:val="CBDTableNormal"/>
              <w:spacing w:before="0" w:after="0"/>
              <w:jc w:val="right"/>
              <w:rPr>
                <w:sz w:val="18"/>
                <w:szCs w:val="18"/>
              </w:rPr>
            </w:pPr>
            <w:r>
              <w:rPr>
                <w:sz w:val="18"/>
              </w:rPr>
              <w:t>0,128</w:t>
            </w:r>
          </w:p>
        </w:tc>
        <w:tc>
          <w:tcPr>
            <w:tcW w:w="2198" w:type="dxa"/>
            <w:tcBorders>
              <w:top w:val="nil"/>
              <w:left w:val="nil"/>
              <w:bottom w:val="single" w:sz="4" w:space="0" w:color="auto"/>
              <w:right w:val="single" w:sz="4" w:space="0" w:color="auto"/>
            </w:tcBorders>
            <w:shd w:val="clear" w:color="auto" w:fill="auto"/>
            <w:noWrap/>
            <w:vAlign w:val="bottom"/>
            <w:hideMark/>
          </w:tcPr>
          <w:p w14:paraId="5F66FB1A" w14:textId="77777777" w:rsidR="00FE399D" w:rsidRPr="00D1707B" w:rsidRDefault="00FE399D" w:rsidP="00582303">
            <w:pPr>
              <w:pStyle w:val="CBDTableNormal"/>
              <w:spacing w:before="0" w:after="0"/>
              <w:jc w:val="right"/>
              <w:rPr>
                <w:sz w:val="18"/>
                <w:szCs w:val="18"/>
              </w:rPr>
            </w:pPr>
            <w:r>
              <w:rPr>
                <w:sz w:val="18"/>
              </w:rPr>
              <w:t>0,160</w:t>
            </w:r>
          </w:p>
        </w:tc>
        <w:tc>
          <w:tcPr>
            <w:tcW w:w="1176" w:type="dxa"/>
            <w:tcBorders>
              <w:top w:val="nil"/>
              <w:left w:val="nil"/>
              <w:bottom w:val="single" w:sz="4" w:space="0" w:color="auto"/>
              <w:right w:val="single" w:sz="4" w:space="0" w:color="auto"/>
            </w:tcBorders>
            <w:shd w:val="clear" w:color="auto" w:fill="auto"/>
            <w:noWrap/>
            <w:vAlign w:val="bottom"/>
            <w:hideMark/>
          </w:tcPr>
          <w:p w14:paraId="0CBBEAB1" w14:textId="77777777" w:rsidR="00FE399D" w:rsidRPr="00D1707B" w:rsidRDefault="00FE399D" w:rsidP="00582303">
            <w:pPr>
              <w:pStyle w:val="CBDTableNormal"/>
              <w:spacing w:before="0" w:after="0"/>
              <w:jc w:val="right"/>
              <w:rPr>
                <w:sz w:val="18"/>
                <w:szCs w:val="18"/>
              </w:rPr>
            </w:pPr>
            <w:r>
              <w:rPr>
                <w:sz w:val="18"/>
              </w:rPr>
              <w:t>22 527</w:t>
            </w:r>
          </w:p>
        </w:tc>
        <w:tc>
          <w:tcPr>
            <w:tcW w:w="1461" w:type="dxa"/>
            <w:tcBorders>
              <w:top w:val="nil"/>
              <w:left w:val="nil"/>
              <w:bottom w:val="single" w:sz="4" w:space="0" w:color="auto"/>
              <w:right w:val="single" w:sz="4" w:space="0" w:color="auto"/>
            </w:tcBorders>
            <w:shd w:val="clear" w:color="auto" w:fill="auto"/>
            <w:noWrap/>
            <w:vAlign w:val="bottom"/>
            <w:hideMark/>
          </w:tcPr>
          <w:p w14:paraId="20273E67" w14:textId="77777777" w:rsidR="00FE399D" w:rsidRPr="00D1707B" w:rsidRDefault="00FE399D" w:rsidP="00582303">
            <w:pPr>
              <w:pStyle w:val="CBDTableNormal"/>
              <w:spacing w:before="0" w:after="0"/>
              <w:jc w:val="right"/>
              <w:rPr>
                <w:sz w:val="18"/>
                <w:szCs w:val="18"/>
              </w:rPr>
            </w:pPr>
            <w:r>
              <w:rPr>
                <w:sz w:val="18"/>
              </w:rPr>
              <w:t>24 069</w:t>
            </w:r>
          </w:p>
        </w:tc>
        <w:tc>
          <w:tcPr>
            <w:tcW w:w="1080" w:type="dxa"/>
            <w:tcBorders>
              <w:top w:val="nil"/>
              <w:left w:val="nil"/>
              <w:bottom w:val="single" w:sz="4" w:space="0" w:color="auto"/>
              <w:right w:val="single" w:sz="4" w:space="0" w:color="auto"/>
            </w:tcBorders>
            <w:shd w:val="clear" w:color="auto" w:fill="auto"/>
            <w:noWrap/>
            <w:vAlign w:val="bottom"/>
            <w:hideMark/>
          </w:tcPr>
          <w:p w14:paraId="1C91AE71" w14:textId="77777777" w:rsidR="00FE399D" w:rsidRPr="00D1707B" w:rsidRDefault="00FE399D" w:rsidP="00582303">
            <w:pPr>
              <w:pStyle w:val="CBDTableNormal"/>
              <w:spacing w:before="0" w:after="0"/>
              <w:jc w:val="right"/>
              <w:rPr>
                <w:sz w:val="18"/>
                <w:szCs w:val="18"/>
              </w:rPr>
            </w:pPr>
            <w:r>
              <w:rPr>
                <w:sz w:val="18"/>
              </w:rPr>
              <w:t>46 596</w:t>
            </w:r>
          </w:p>
        </w:tc>
      </w:tr>
      <w:tr w:rsidR="00FE399D" w:rsidRPr="00D1707B" w14:paraId="499EA17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A18D596" w14:textId="77777777" w:rsidR="00FE399D" w:rsidRPr="00D1707B" w:rsidRDefault="00FE399D" w:rsidP="00582303">
            <w:pPr>
              <w:pStyle w:val="CBDTableNormal"/>
              <w:spacing w:before="0" w:after="0"/>
              <w:rPr>
                <w:sz w:val="18"/>
                <w:szCs w:val="18"/>
              </w:rPr>
            </w:pPr>
            <w:r>
              <w:rPr>
                <w:sz w:val="18"/>
              </w:rPr>
              <w:t>Irlanda</w:t>
            </w:r>
          </w:p>
        </w:tc>
        <w:tc>
          <w:tcPr>
            <w:tcW w:w="1628" w:type="dxa"/>
            <w:tcBorders>
              <w:top w:val="nil"/>
              <w:left w:val="nil"/>
              <w:bottom w:val="single" w:sz="4" w:space="0" w:color="auto"/>
              <w:right w:val="single" w:sz="4" w:space="0" w:color="auto"/>
            </w:tcBorders>
            <w:shd w:val="clear" w:color="auto" w:fill="auto"/>
            <w:vAlign w:val="bottom"/>
            <w:hideMark/>
          </w:tcPr>
          <w:p w14:paraId="15C69F15" w14:textId="77777777" w:rsidR="00FE399D" w:rsidRPr="00D1707B" w:rsidRDefault="00FE399D" w:rsidP="00582303">
            <w:pPr>
              <w:pStyle w:val="CBDTableNormal"/>
              <w:spacing w:before="0" w:after="0"/>
              <w:jc w:val="right"/>
              <w:rPr>
                <w:sz w:val="18"/>
                <w:szCs w:val="18"/>
              </w:rPr>
            </w:pPr>
            <w:r>
              <w:rPr>
                <w:sz w:val="18"/>
              </w:rPr>
              <w:t>0,439</w:t>
            </w:r>
          </w:p>
        </w:tc>
        <w:tc>
          <w:tcPr>
            <w:tcW w:w="2198" w:type="dxa"/>
            <w:tcBorders>
              <w:top w:val="nil"/>
              <w:left w:val="nil"/>
              <w:bottom w:val="single" w:sz="4" w:space="0" w:color="auto"/>
              <w:right w:val="single" w:sz="4" w:space="0" w:color="auto"/>
            </w:tcBorders>
            <w:shd w:val="clear" w:color="auto" w:fill="auto"/>
            <w:noWrap/>
            <w:vAlign w:val="bottom"/>
            <w:hideMark/>
          </w:tcPr>
          <w:p w14:paraId="7FD195F5" w14:textId="77777777" w:rsidR="00FE399D" w:rsidRPr="00D1707B" w:rsidRDefault="00FE399D" w:rsidP="00582303">
            <w:pPr>
              <w:pStyle w:val="CBDTableNormal"/>
              <w:spacing w:before="0" w:after="0"/>
              <w:jc w:val="right"/>
              <w:rPr>
                <w:sz w:val="18"/>
                <w:szCs w:val="18"/>
              </w:rPr>
            </w:pPr>
            <w:r>
              <w:rPr>
                <w:sz w:val="18"/>
              </w:rPr>
              <w:t>0,549</w:t>
            </w:r>
          </w:p>
        </w:tc>
        <w:tc>
          <w:tcPr>
            <w:tcW w:w="1176" w:type="dxa"/>
            <w:tcBorders>
              <w:top w:val="nil"/>
              <w:left w:val="nil"/>
              <w:bottom w:val="single" w:sz="4" w:space="0" w:color="auto"/>
              <w:right w:val="single" w:sz="4" w:space="0" w:color="auto"/>
            </w:tcBorders>
            <w:shd w:val="clear" w:color="auto" w:fill="auto"/>
            <w:noWrap/>
            <w:vAlign w:val="bottom"/>
            <w:hideMark/>
          </w:tcPr>
          <w:p w14:paraId="2672D416" w14:textId="77777777" w:rsidR="00FE399D" w:rsidRPr="00D1707B" w:rsidRDefault="00FE399D" w:rsidP="00582303">
            <w:pPr>
              <w:pStyle w:val="CBDTableNormal"/>
              <w:spacing w:before="0" w:after="0"/>
              <w:jc w:val="right"/>
              <w:rPr>
                <w:sz w:val="18"/>
                <w:szCs w:val="18"/>
              </w:rPr>
            </w:pPr>
            <w:r>
              <w:rPr>
                <w:sz w:val="18"/>
              </w:rPr>
              <w:t>77 262</w:t>
            </w:r>
          </w:p>
        </w:tc>
        <w:tc>
          <w:tcPr>
            <w:tcW w:w="1461" w:type="dxa"/>
            <w:tcBorders>
              <w:top w:val="nil"/>
              <w:left w:val="nil"/>
              <w:bottom w:val="single" w:sz="4" w:space="0" w:color="auto"/>
              <w:right w:val="single" w:sz="4" w:space="0" w:color="auto"/>
            </w:tcBorders>
            <w:shd w:val="clear" w:color="auto" w:fill="auto"/>
            <w:noWrap/>
            <w:vAlign w:val="bottom"/>
            <w:hideMark/>
          </w:tcPr>
          <w:p w14:paraId="1E3F220B" w14:textId="77777777" w:rsidR="00FE399D" w:rsidRPr="00D1707B" w:rsidRDefault="00FE399D" w:rsidP="00582303">
            <w:pPr>
              <w:pStyle w:val="CBDTableNormal"/>
              <w:spacing w:before="0" w:after="0"/>
              <w:jc w:val="right"/>
              <w:rPr>
                <w:sz w:val="18"/>
                <w:szCs w:val="18"/>
              </w:rPr>
            </w:pPr>
            <w:r>
              <w:rPr>
                <w:sz w:val="18"/>
              </w:rPr>
              <w:t>82 548</w:t>
            </w:r>
          </w:p>
        </w:tc>
        <w:tc>
          <w:tcPr>
            <w:tcW w:w="1080" w:type="dxa"/>
            <w:tcBorders>
              <w:top w:val="nil"/>
              <w:left w:val="nil"/>
              <w:bottom w:val="single" w:sz="4" w:space="0" w:color="auto"/>
              <w:right w:val="single" w:sz="4" w:space="0" w:color="auto"/>
            </w:tcBorders>
            <w:shd w:val="clear" w:color="auto" w:fill="auto"/>
            <w:noWrap/>
            <w:vAlign w:val="bottom"/>
            <w:hideMark/>
          </w:tcPr>
          <w:p w14:paraId="7709AF7F" w14:textId="77777777" w:rsidR="00FE399D" w:rsidRPr="00D1707B" w:rsidRDefault="00FE399D" w:rsidP="00582303">
            <w:pPr>
              <w:pStyle w:val="CBDTableNormal"/>
              <w:spacing w:before="0" w:after="0"/>
              <w:jc w:val="right"/>
              <w:rPr>
                <w:sz w:val="18"/>
                <w:szCs w:val="18"/>
              </w:rPr>
            </w:pPr>
            <w:r>
              <w:rPr>
                <w:sz w:val="18"/>
              </w:rPr>
              <w:t>159 810</w:t>
            </w:r>
          </w:p>
        </w:tc>
      </w:tr>
      <w:tr w:rsidR="00FE399D" w:rsidRPr="00D1707B" w14:paraId="767FC84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5A5DFBF" w14:textId="77777777" w:rsidR="00FE399D" w:rsidRPr="00D1707B" w:rsidRDefault="00FE399D" w:rsidP="00582303">
            <w:pPr>
              <w:pStyle w:val="CBDTableNormal"/>
              <w:spacing w:before="0" w:after="0"/>
              <w:rPr>
                <w:sz w:val="18"/>
                <w:szCs w:val="18"/>
              </w:rPr>
            </w:pPr>
            <w:r>
              <w:rPr>
                <w:sz w:val="18"/>
              </w:rPr>
              <w:t>Islandia</w:t>
            </w:r>
          </w:p>
        </w:tc>
        <w:tc>
          <w:tcPr>
            <w:tcW w:w="1628" w:type="dxa"/>
            <w:tcBorders>
              <w:top w:val="nil"/>
              <w:left w:val="nil"/>
              <w:bottom w:val="single" w:sz="4" w:space="0" w:color="auto"/>
              <w:right w:val="single" w:sz="4" w:space="0" w:color="auto"/>
            </w:tcBorders>
            <w:shd w:val="clear" w:color="auto" w:fill="auto"/>
            <w:vAlign w:val="bottom"/>
            <w:hideMark/>
          </w:tcPr>
          <w:p w14:paraId="27858A17" w14:textId="77777777" w:rsidR="00FE399D" w:rsidRPr="00D1707B" w:rsidRDefault="00FE399D" w:rsidP="00582303">
            <w:pPr>
              <w:pStyle w:val="CBDTableNormal"/>
              <w:spacing w:before="0" w:after="0"/>
              <w:jc w:val="right"/>
              <w:rPr>
                <w:sz w:val="18"/>
                <w:szCs w:val="18"/>
              </w:rPr>
            </w:pPr>
            <w:r>
              <w:rPr>
                <w:sz w:val="18"/>
              </w:rPr>
              <w:t>0,036</w:t>
            </w:r>
          </w:p>
        </w:tc>
        <w:tc>
          <w:tcPr>
            <w:tcW w:w="2198" w:type="dxa"/>
            <w:tcBorders>
              <w:top w:val="nil"/>
              <w:left w:val="nil"/>
              <w:bottom w:val="single" w:sz="4" w:space="0" w:color="auto"/>
              <w:right w:val="single" w:sz="4" w:space="0" w:color="auto"/>
            </w:tcBorders>
            <w:shd w:val="clear" w:color="auto" w:fill="auto"/>
            <w:noWrap/>
            <w:vAlign w:val="bottom"/>
            <w:hideMark/>
          </w:tcPr>
          <w:p w14:paraId="490F56D1" w14:textId="77777777" w:rsidR="00FE399D" w:rsidRPr="00D1707B" w:rsidRDefault="00FE399D" w:rsidP="00582303">
            <w:pPr>
              <w:pStyle w:val="CBDTableNormal"/>
              <w:spacing w:before="0" w:after="0"/>
              <w:jc w:val="right"/>
              <w:rPr>
                <w:sz w:val="18"/>
                <w:szCs w:val="18"/>
              </w:rPr>
            </w:pPr>
            <w:r>
              <w:rPr>
                <w:sz w:val="18"/>
              </w:rPr>
              <w:t>0,045</w:t>
            </w:r>
          </w:p>
        </w:tc>
        <w:tc>
          <w:tcPr>
            <w:tcW w:w="1176" w:type="dxa"/>
            <w:tcBorders>
              <w:top w:val="nil"/>
              <w:left w:val="nil"/>
              <w:bottom w:val="single" w:sz="4" w:space="0" w:color="auto"/>
              <w:right w:val="single" w:sz="4" w:space="0" w:color="auto"/>
            </w:tcBorders>
            <w:shd w:val="clear" w:color="auto" w:fill="auto"/>
            <w:noWrap/>
            <w:vAlign w:val="bottom"/>
            <w:hideMark/>
          </w:tcPr>
          <w:p w14:paraId="6C826E2F" w14:textId="77777777" w:rsidR="00FE399D" w:rsidRPr="00D1707B" w:rsidRDefault="00FE399D" w:rsidP="00582303">
            <w:pPr>
              <w:pStyle w:val="CBDTableNormal"/>
              <w:spacing w:before="0" w:after="0"/>
              <w:jc w:val="right"/>
              <w:rPr>
                <w:sz w:val="18"/>
                <w:szCs w:val="18"/>
              </w:rPr>
            </w:pPr>
            <w:r>
              <w:rPr>
                <w:sz w:val="18"/>
              </w:rPr>
              <w:t>6 336</w:t>
            </w:r>
          </w:p>
        </w:tc>
        <w:tc>
          <w:tcPr>
            <w:tcW w:w="1461" w:type="dxa"/>
            <w:tcBorders>
              <w:top w:val="nil"/>
              <w:left w:val="nil"/>
              <w:bottom w:val="single" w:sz="4" w:space="0" w:color="auto"/>
              <w:right w:val="single" w:sz="4" w:space="0" w:color="auto"/>
            </w:tcBorders>
            <w:shd w:val="clear" w:color="auto" w:fill="auto"/>
            <w:noWrap/>
            <w:vAlign w:val="bottom"/>
            <w:hideMark/>
          </w:tcPr>
          <w:p w14:paraId="62C9EE3E" w14:textId="77777777" w:rsidR="00FE399D" w:rsidRPr="00D1707B" w:rsidRDefault="00FE399D" w:rsidP="00582303">
            <w:pPr>
              <w:pStyle w:val="CBDTableNormal"/>
              <w:spacing w:before="0" w:after="0"/>
              <w:jc w:val="right"/>
              <w:rPr>
                <w:sz w:val="18"/>
                <w:szCs w:val="18"/>
              </w:rPr>
            </w:pPr>
            <w:r>
              <w:rPr>
                <w:sz w:val="18"/>
              </w:rPr>
              <w:t>6 769</w:t>
            </w:r>
          </w:p>
        </w:tc>
        <w:tc>
          <w:tcPr>
            <w:tcW w:w="1080" w:type="dxa"/>
            <w:tcBorders>
              <w:top w:val="nil"/>
              <w:left w:val="nil"/>
              <w:bottom w:val="single" w:sz="4" w:space="0" w:color="auto"/>
              <w:right w:val="single" w:sz="4" w:space="0" w:color="auto"/>
            </w:tcBorders>
            <w:shd w:val="clear" w:color="auto" w:fill="auto"/>
            <w:noWrap/>
            <w:vAlign w:val="bottom"/>
            <w:hideMark/>
          </w:tcPr>
          <w:p w14:paraId="77C5B363" w14:textId="77777777" w:rsidR="00FE399D" w:rsidRPr="00D1707B" w:rsidRDefault="00FE399D" w:rsidP="00582303">
            <w:pPr>
              <w:pStyle w:val="CBDTableNormal"/>
              <w:spacing w:before="0" w:after="0"/>
              <w:jc w:val="right"/>
              <w:rPr>
                <w:sz w:val="18"/>
                <w:szCs w:val="18"/>
              </w:rPr>
            </w:pPr>
            <w:r>
              <w:rPr>
                <w:sz w:val="18"/>
              </w:rPr>
              <w:t>13 105</w:t>
            </w:r>
          </w:p>
        </w:tc>
      </w:tr>
      <w:tr w:rsidR="00FE399D" w:rsidRPr="00D1707B" w14:paraId="011704B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F329061" w14:textId="77777777" w:rsidR="00FE399D" w:rsidRPr="00D1707B" w:rsidRDefault="00FE399D" w:rsidP="00582303">
            <w:pPr>
              <w:pStyle w:val="CBDTableNormal"/>
              <w:spacing w:before="0" w:after="0"/>
              <w:rPr>
                <w:sz w:val="18"/>
                <w:szCs w:val="18"/>
              </w:rPr>
            </w:pPr>
            <w:r>
              <w:rPr>
                <w:sz w:val="18"/>
              </w:rPr>
              <w:t>Islas Cook</w:t>
            </w:r>
          </w:p>
        </w:tc>
        <w:tc>
          <w:tcPr>
            <w:tcW w:w="1628" w:type="dxa"/>
            <w:tcBorders>
              <w:top w:val="nil"/>
              <w:left w:val="nil"/>
              <w:bottom w:val="single" w:sz="4" w:space="0" w:color="auto"/>
              <w:right w:val="single" w:sz="4" w:space="0" w:color="auto"/>
            </w:tcBorders>
            <w:shd w:val="clear" w:color="auto" w:fill="auto"/>
            <w:vAlign w:val="bottom"/>
            <w:hideMark/>
          </w:tcPr>
          <w:p w14:paraId="71D98B36"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41BE9CBD"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488FDDE5"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52406EDC"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0CE9D181"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39572E9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B1C21C3" w14:textId="77777777" w:rsidR="00FE399D" w:rsidRPr="00D1707B" w:rsidRDefault="00FE399D" w:rsidP="00582303">
            <w:pPr>
              <w:pStyle w:val="CBDTableNormal"/>
              <w:spacing w:before="0" w:after="0"/>
              <w:rPr>
                <w:sz w:val="18"/>
                <w:szCs w:val="18"/>
              </w:rPr>
            </w:pPr>
            <w:r>
              <w:rPr>
                <w:sz w:val="18"/>
              </w:rPr>
              <w:t>Islas Marshall</w:t>
            </w:r>
          </w:p>
        </w:tc>
        <w:tc>
          <w:tcPr>
            <w:tcW w:w="1628" w:type="dxa"/>
            <w:tcBorders>
              <w:top w:val="nil"/>
              <w:left w:val="nil"/>
              <w:bottom w:val="single" w:sz="4" w:space="0" w:color="auto"/>
              <w:right w:val="single" w:sz="4" w:space="0" w:color="auto"/>
            </w:tcBorders>
            <w:shd w:val="clear" w:color="auto" w:fill="auto"/>
            <w:vAlign w:val="bottom"/>
            <w:hideMark/>
          </w:tcPr>
          <w:p w14:paraId="314834C5"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3A1D4368"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0FAFBE75"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642A4187"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4420CCA2"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0F4241A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0A3BC49" w14:textId="77777777" w:rsidR="00FE399D" w:rsidRPr="00D1707B" w:rsidRDefault="00FE399D" w:rsidP="00582303">
            <w:pPr>
              <w:pStyle w:val="CBDTableNormal"/>
              <w:spacing w:before="0" w:after="0"/>
              <w:rPr>
                <w:sz w:val="18"/>
                <w:szCs w:val="18"/>
              </w:rPr>
            </w:pPr>
            <w:r>
              <w:rPr>
                <w:sz w:val="18"/>
              </w:rPr>
              <w:t>Islas Salomón</w:t>
            </w:r>
          </w:p>
        </w:tc>
        <w:tc>
          <w:tcPr>
            <w:tcW w:w="1628" w:type="dxa"/>
            <w:tcBorders>
              <w:top w:val="nil"/>
              <w:left w:val="nil"/>
              <w:bottom w:val="single" w:sz="4" w:space="0" w:color="auto"/>
              <w:right w:val="single" w:sz="4" w:space="0" w:color="auto"/>
            </w:tcBorders>
            <w:shd w:val="clear" w:color="auto" w:fill="auto"/>
            <w:vAlign w:val="bottom"/>
            <w:hideMark/>
          </w:tcPr>
          <w:p w14:paraId="047B1D68"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0223CCF1"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3279E8D5"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09E5FE77"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575FBF7F"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34981AA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BDE822E" w14:textId="77777777" w:rsidR="00FE399D" w:rsidRPr="00D1707B" w:rsidRDefault="00FE399D" w:rsidP="00582303">
            <w:pPr>
              <w:pStyle w:val="CBDTableNormal"/>
              <w:spacing w:before="0" w:after="0"/>
              <w:rPr>
                <w:sz w:val="18"/>
                <w:szCs w:val="18"/>
              </w:rPr>
            </w:pPr>
            <w:r>
              <w:rPr>
                <w:sz w:val="18"/>
              </w:rPr>
              <w:t>Israel</w:t>
            </w:r>
          </w:p>
        </w:tc>
        <w:tc>
          <w:tcPr>
            <w:tcW w:w="1628" w:type="dxa"/>
            <w:tcBorders>
              <w:top w:val="nil"/>
              <w:left w:val="nil"/>
              <w:bottom w:val="single" w:sz="4" w:space="0" w:color="auto"/>
              <w:right w:val="single" w:sz="4" w:space="0" w:color="auto"/>
            </w:tcBorders>
            <w:shd w:val="clear" w:color="auto" w:fill="auto"/>
            <w:vAlign w:val="bottom"/>
            <w:hideMark/>
          </w:tcPr>
          <w:p w14:paraId="223513FA" w14:textId="77777777" w:rsidR="00FE399D" w:rsidRPr="00D1707B" w:rsidRDefault="00FE399D" w:rsidP="00582303">
            <w:pPr>
              <w:pStyle w:val="CBDTableNormal"/>
              <w:spacing w:before="0" w:after="0"/>
              <w:jc w:val="right"/>
              <w:rPr>
                <w:sz w:val="18"/>
                <w:szCs w:val="18"/>
              </w:rPr>
            </w:pPr>
            <w:r>
              <w:rPr>
                <w:sz w:val="18"/>
              </w:rPr>
              <w:t>0,561</w:t>
            </w:r>
          </w:p>
        </w:tc>
        <w:tc>
          <w:tcPr>
            <w:tcW w:w="2198" w:type="dxa"/>
            <w:tcBorders>
              <w:top w:val="nil"/>
              <w:left w:val="nil"/>
              <w:bottom w:val="single" w:sz="4" w:space="0" w:color="auto"/>
              <w:right w:val="single" w:sz="4" w:space="0" w:color="auto"/>
            </w:tcBorders>
            <w:shd w:val="clear" w:color="auto" w:fill="auto"/>
            <w:noWrap/>
            <w:vAlign w:val="bottom"/>
            <w:hideMark/>
          </w:tcPr>
          <w:p w14:paraId="694C1BA2" w14:textId="77777777" w:rsidR="00FE399D" w:rsidRPr="00D1707B" w:rsidRDefault="00FE399D" w:rsidP="00582303">
            <w:pPr>
              <w:pStyle w:val="CBDTableNormal"/>
              <w:spacing w:before="0" w:after="0"/>
              <w:jc w:val="right"/>
              <w:rPr>
                <w:sz w:val="18"/>
                <w:szCs w:val="18"/>
              </w:rPr>
            </w:pPr>
            <w:r>
              <w:rPr>
                <w:sz w:val="18"/>
              </w:rPr>
              <w:t>0,701</w:t>
            </w:r>
          </w:p>
        </w:tc>
        <w:tc>
          <w:tcPr>
            <w:tcW w:w="1176" w:type="dxa"/>
            <w:tcBorders>
              <w:top w:val="nil"/>
              <w:left w:val="nil"/>
              <w:bottom w:val="single" w:sz="4" w:space="0" w:color="auto"/>
              <w:right w:val="single" w:sz="4" w:space="0" w:color="auto"/>
            </w:tcBorders>
            <w:shd w:val="clear" w:color="auto" w:fill="auto"/>
            <w:noWrap/>
            <w:vAlign w:val="bottom"/>
            <w:hideMark/>
          </w:tcPr>
          <w:p w14:paraId="27CD1070" w14:textId="77777777" w:rsidR="00FE399D" w:rsidRPr="00D1707B" w:rsidRDefault="00FE399D" w:rsidP="00582303">
            <w:pPr>
              <w:pStyle w:val="CBDTableNormal"/>
              <w:spacing w:before="0" w:after="0"/>
              <w:jc w:val="right"/>
              <w:rPr>
                <w:sz w:val="18"/>
                <w:szCs w:val="18"/>
              </w:rPr>
            </w:pPr>
            <w:r>
              <w:rPr>
                <w:sz w:val="18"/>
              </w:rPr>
              <w:t>98 733</w:t>
            </w:r>
          </w:p>
        </w:tc>
        <w:tc>
          <w:tcPr>
            <w:tcW w:w="1461" w:type="dxa"/>
            <w:tcBorders>
              <w:top w:val="nil"/>
              <w:left w:val="nil"/>
              <w:bottom w:val="single" w:sz="4" w:space="0" w:color="auto"/>
              <w:right w:val="single" w:sz="4" w:space="0" w:color="auto"/>
            </w:tcBorders>
            <w:shd w:val="clear" w:color="auto" w:fill="auto"/>
            <w:noWrap/>
            <w:vAlign w:val="bottom"/>
            <w:hideMark/>
          </w:tcPr>
          <w:p w14:paraId="00FC5276" w14:textId="77777777" w:rsidR="00FE399D" w:rsidRPr="00D1707B" w:rsidRDefault="00FE399D" w:rsidP="00582303">
            <w:pPr>
              <w:pStyle w:val="CBDTableNormal"/>
              <w:spacing w:before="0" w:after="0"/>
              <w:jc w:val="right"/>
              <w:rPr>
                <w:sz w:val="18"/>
                <w:szCs w:val="18"/>
              </w:rPr>
            </w:pPr>
            <w:r>
              <w:rPr>
                <w:sz w:val="18"/>
              </w:rPr>
              <w:t>105 488</w:t>
            </w:r>
          </w:p>
        </w:tc>
        <w:tc>
          <w:tcPr>
            <w:tcW w:w="1080" w:type="dxa"/>
            <w:tcBorders>
              <w:top w:val="nil"/>
              <w:left w:val="nil"/>
              <w:bottom w:val="single" w:sz="4" w:space="0" w:color="auto"/>
              <w:right w:val="single" w:sz="4" w:space="0" w:color="auto"/>
            </w:tcBorders>
            <w:shd w:val="clear" w:color="auto" w:fill="auto"/>
            <w:noWrap/>
            <w:vAlign w:val="bottom"/>
            <w:hideMark/>
          </w:tcPr>
          <w:p w14:paraId="6AF42E10" w14:textId="77777777" w:rsidR="00FE399D" w:rsidRPr="00D1707B" w:rsidRDefault="00FE399D" w:rsidP="00582303">
            <w:pPr>
              <w:pStyle w:val="CBDTableNormal"/>
              <w:spacing w:before="0" w:after="0"/>
              <w:jc w:val="right"/>
              <w:rPr>
                <w:sz w:val="18"/>
                <w:szCs w:val="18"/>
              </w:rPr>
            </w:pPr>
            <w:r>
              <w:rPr>
                <w:sz w:val="18"/>
              </w:rPr>
              <w:t>204 221</w:t>
            </w:r>
          </w:p>
        </w:tc>
      </w:tr>
      <w:tr w:rsidR="00FE399D" w:rsidRPr="00D1707B" w14:paraId="7F85E50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A43E511" w14:textId="77777777" w:rsidR="00FE399D" w:rsidRPr="00D1707B" w:rsidRDefault="00FE399D" w:rsidP="00582303">
            <w:pPr>
              <w:pStyle w:val="CBDTableNormal"/>
              <w:spacing w:before="0" w:after="0"/>
              <w:rPr>
                <w:sz w:val="18"/>
                <w:szCs w:val="18"/>
              </w:rPr>
            </w:pPr>
            <w:r>
              <w:rPr>
                <w:sz w:val="18"/>
              </w:rPr>
              <w:t>Italia</w:t>
            </w:r>
          </w:p>
        </w:tc>
        <w:tc>
          <w:tcPr>
            <w:tcW w:w="1628" w:type="dxa"/>
            <w:tcBorders>
              <w:top w:val="nil"/>
              <w:left w:val="nil"/>
              <w:bottom w:val="single" w:sz="4" w:space="0" w:color="auto"/>
              <w:right w:val="single" w:sz="4" w:space="0" w:color="auto"/>
            </w:tcBorders>
            <w:shd w:val="clear" w:color="auto" w:fill="auto"/>
            <w:vAlign w:val="bottom"/>
            <w:hideMark/>
          </w:tcPr>
          <w:p w14:paraId="29B799F0" w14:textId="77777777" w:rsidR="00FE399D" w:rsidRPr="00D1707B" w:rsidRDefault="00FE399D" w:rsidP="00582303">
            <w:pPr>
              <w:pStyle w:val="CBDTableNormal"/>
              <w:spacing w:before="0" w:after="0"/>
              <w:jc w:val="right"/>
              <w:rPr>
                <w:sz w:val="18"/>
                <w:szCs w:val="18"/>
              </w:rPr>
            </w:pPr>
            <w:r>
              <w:rPr>
                <w:sz w:val="18"/>
              </w:rPr>
              <w:t>3,189</w:t>
            </w:r>
          </w:p>
        </w:tc>
        <w:tc>
          <w:tcPr>
            <w:tcW w:w="2198" w:type="dxa"/>
            <w:tcBorders>
              <w:top w:val="nil"/>
              <w:left w:val="nil"/>
              <w:bottom w:val="single" w:sz="4" w:space="0" w:color="auto"/>
              <w:right w:val="single" w:sz="4" w:space="0" w:color="auto"/>
            </w:tcBorders>
            <w:shd w:val="clear" w:color="auto" w:fill="auto"/>
            <w:noWrap/>
            <w:vAlign w:val="bottom"/>
            <w:hideMark/>
          </w:tcPr>
          <w:p w14:paraId="03996116" w14:textId="77777777" w:rsidR="00FE399D" w:rsidRPr="00D1707B" w:rsidRDefault="00FE399D" w:rsidP="00582303">
            <w:pPr>
              <w:pStyle w:val="CBDTableNormal"/>
              <w:spacing w:before="0" w:after="0"/>
              <w:jc w:val="right"/>
              <w:rPr>
                <w:sz w:val="18"/>
                <w:szCs w:val="18"/>
              </w:rPr>
            </w:pPr>
            <w:r>
              <w:rPr>
                <w:sz w:val="18"/>
              </w:rPr>
              <w:t>3,987</w:t>
            </w:r>
          </w:p>
        </w:tc>
        <w:tc>
          <w:tcPr>
            <w:tcW w:w="1176" w:type="dxa"/>
            <w:tcBorders>
              <w:top w:val="nil"/>
              <w:left w:val="nil"/>
              <w:bottom w:val="single" w:sz="4" w:space="0" w:color="auto"/>
              <w:right w:val="single" w:sz="4" w:space="0" w:color="auto"/>
            </w:tcBorders>
            <w:shd w:val="clear" w:color="auto" w:fill="auto"/>
            <w:noWrap/>
            <w:vAlign w:val="bottom"/>
            <w:hideMark/>
          </w:tcPr>
          <w:p w14:paraId="2E2E34C0" w14:textId="77777777" w:rsidR="00FE399D" w:rsidRPr="00D1707B" w:rsidRDefault="00FE399D" w:rsidP="00582303">
            <w:pPr>
              <w:pStyle w:val="CBDTableNormal"/>
              <w:spacing w:before="0" w:after="0"/>
              <w:jc w:val="right"/>
              <w:rPr>
                <w:sz w:val="18"/>
                <w:szCs w:val="18"/>
              </w:rPr>
            </w:pPr>
            <w:r>
              <w:rPr>
                <w:sz w:val="18"/>
              </w:rPr>
              <w:t>561 246</w:t>
            </w:r>
          </w:p>
        </w:tc>
        <w:tc>
          <w:tcPr>
            <w:tcW w:w="1461" w:type="dxa"/>
            <w:tcBorders>
              <w:top w:val="nil"/>
              <w:left w:val="nil"/>
              <w:bottom w:val="single" w:sz="4" w:space="0" w:color="auto"/>
              <w:right w:val="single" w:sz="4" w:space="0" w:color="auto"/>
            </w:tcBorders>
            <w:shd w:val="clear" w:color="auto" w:fill="auto"/>
            <w:noWrap/>
            <w:vAlign w:val="bottom"/>
            <w:hideMark/>
          </w:tcPr>
          <w:p w14:paraId="3DAA8696" w14:textId="77777777" w:rsidR="00FE399D" w:rsidRPr="00D1707B" w:rsidRDefault="00FE399D" w:rsidP="00582303">
            <w:pPr>
              <w:pStyle w:val="CBDTableNormal"/>
              <w:spacing w:before="0" w:after="0"/>
              <w:jc w:val="right"/>
              <w:rPr>
                <w:sz w:val="18"/>
                <w:szCs w:val="18"/>
              </w:rPr>
            </w:pPr>
            <w:r>
              <w:rPr>
                <w:sz w:val="18"/>
              </w:rPr>
              <w:t>599 648</w:t>
            </w:r>
          </w:p>
        </w:tc>
        <w:tc>
          <w:tcPr>
            <w:tcW w:w="1080" w:type="dxa"/>
            <w:tcBorders>
              <w:top w:val="nil"/>
              <w:left w:val="nil"/>
              <w:bottom w:val="single" w:sz="4" w:space="0" w:color="auto"/>
              <w:right w:val="single" w:sz="4" w:space="0" w:color="auto"/>
            </w:tcBorders>
            <w:shd w:val="clear" w:color="auto" w:fill="auto"/>
            <w:noWrap/>
            <w:vAlign w:val="bottom"/>
            <w:hideMark/>
          </w:tcPr>
          <w:p w14:paraId="51FA045A" w14:textId="77777777" w:rsidR="00FE399D" w:rsidRPr="00D1707B" w:rsidRDefault="00FE399D" w:rsidP="00582303">
            <w:pPr>
              <w:pStyle w:val="CBDTableNormal"/>
              <w:spacing w:before="0" w:after="0"/>
              <w:jc w:val="right"/>
              <w:rPr>
                <w:sz w:val="18"/>
                <w:szCs w:val="18"/>
              </w:rPr>
            </w:pPr>
            <w:r>
              <w:rPr>
                <w:sz w:val="18"/>
              </w:rPr>
              <w:t>1 160 895</w:t>
            </w:r>
          </w:p>
        </w:tc>
      </w:tr>
      <w:tr w:rsidR="00FE399D" w:rsidRPr="00D1707B" w14:paraId="59082CD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EB14DA9" w14:textId="77777777" w:rsidR="00FE399D" w:rsidRPr="00D1707B" w:rsidRDefault="00FE399D" w:rsidP="00582303">
            <w:pPr>
              <w:pStyle w:val="CBDTableNormal"/>
              <w:spacing w:before="0" w:after="0"/>
              <w:rPr>
                <w:sz w:val="18"/>
                <w:szCs w:val="18"/>
              </w:rPr>
            </w:pPr>
            <w:r>
              <w:rPr>
                <w:sz w:val="18"/>
              </w:rPr>
              <w:t>Jamaica</w:t>
            </w:r>
          </w:p>
        </w:tc>
        <w:tc>
          <w:tcPr>
            <w:tcW w:w="1628" w:type="dxa"/>
            <w:tcBorders>
              <w:top w:val="nil"/>
              <w:left w:val="nil"/>
              <w:bottom w:val="single" w:sz="4" w:space="0" w:color="auto"/>
              <w:right w:val="single" w:sz="4" w:space="0" w:color="auto"/>
            </w:tcBorders>
            <w:shd w:val="clear" w:color="auto" w:fill="auto"/>
            <w:vAlign w:val="bottom"/>
            <w:hideMark/>
          </w:tcPr>
          <w:p w14:paraId="02FD24BD" w14:textId="77777777" w:rsidR="00FE399D" w:rsidRPr="00D1707B" w:rsidRDefault="00FE399D" w:rsidP="00582303">
            <w:pPr>
              <w:pStyle w:val="CBDTableNormal"/>
              <w:spacing w:before="0" w:after="0"/>
              <w:jc w:val="right"/>
              <w:rPr>
                <w:sz w:val="18"/>
                <w:szCs w:val="18"/>
              </w:rPr>
            </w:pPr>
            <w:r>
              <w:rPr>
                <w:sz w:val="18"/>
              </w:rPr>
              <w:t>0,008</w:t>
            </w:r>
          </w:p>
        </w:tc>
        <w:tc>
          <w:tcPr>
            <w:tcW w:w="2198" w:type="dxa"/>
            <w:tcBorders>
              <w:top w:val="nil"/>
              <w:left w:val="nil"/>
              <w:bottom w:val="single" w:sz="4" w:space="0" w:color="auto"/>
              <w:right w:val="single" w:sz="4" w:space="0" w:color="auto"/>
            </w:tcBorders>
            <w:shd w:val="clear" w:color="auto" w:fill="auto"/>
            <w:noWrap/>
            <w:vAlign w:val="bottom"/>
            <w:hideMark/>
          </w:tcPr>
          <w:p w14:paraId="4477200E" w14:textId="77777777" w:rsidR="00FE399D" w:rsidRPr="00D1707B" w:rsidRDefault="00FE399D" w:rsidP="00582303">
            <w:pPr>
              <w:pStyle w:val="CBDTableNormal"/>
              <w:spacing w:before="0" w:after="0"/>
              <w:jc w:val="right"/>
              <w:rPr>
                <w:sz w:val="18"/>
                <w:szCs w:val="18"/>
              </w:rPr>
            </w:pPr>
            <w:r>
              <w:rPr>
                <w:sz w:val="18"/>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2915982D" w14:textId="77777777" w:rsidR="00FE399D" w:rsidRPr="00D1707B" w:rsidRDefault="00FE399D" w:rsidP="00582303">
            <w:pPr>
              <w:pStyle w:val="CBDTableNormal"/>
              <w:spacing w:before="0" w:after="0"/>
              <w:jc w:val="right"/>
              <w:rPr>
                <w:sz w:val="18"/>
                <w:szCs w:val="18"/>
              </w:rPr>
            </w:pPr>
            <w:r>
              <w:rPr>
                <w:sz w:val="18"/>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3C7BADB8" w14:textId="77777777" w:rsidR="00FE399D" w:rsidRPr="00D1707B" w:rsidRDefault="00FE399D" w:rsidP="00582303">
            <w:pPr>
              <w:pStyle w:val="CBDTableNormal"/>
              <w:spacing w:before="0" w:after="0"/>
              <w:jc w:val="right"/>
              <w:rPr>
                <w:sz w:val="18"/>
                <w:szCs w:val="18"/>
              </w:rPr>
            </w:pPr>
            <w:r>
              <w:rPr>
                <w:sz w:val="18"/>
              </w:rPr>
              <w:t>1 504</w:t>
            </w:r>
          </w:p>
        </w:tc>
        <w:tc>
          <w:tcPr>
            <w:tcW w:w="1080" w:type="dxa"/>
            <w:tcBorders>
              <w:top w:val="nil"/>
              <w:left w:val="nil"/>
              <w:bottom w:val="single" w:sz="4" w:space="0" w:color="auto"/>
              <w:right w:val="single" w:sz="4" w:space="0" w:color="auto"/>
            </w:tcBorders>
            <w:shd w:val="clear" w:color="auto" w:fill="auto"/>
            <w:noWrap/>
            <w:vAlign w:val="bottom"/>
            <w:hideMark/>
          </w:tcPr>
          <w:p w14:paraId="6FC44E99" w14:textId="77777777" w:rsidR="00FE399D" w:rsidRPr="00D1707B" w:rsidRDefault="00FE399D" w:rsidP="00582303">
            <w:pPr>
              <w:pStyle w:val="CBDTableNormal"/>
              <w:spacing w:before="0" w:after="0"/>
              <w:jc w:val="right"/>
              <w:rPr>
                <w:sz w:val="18"/>
                <w:szCs w:val="18"/>
              </w:rPr>
            </w:pPr>
            <w:r>
              <w:rPr>
                <w:sz w:val="18"/>
              </w:rPr>
              <w:t>2 912</w:t>
            </w:r>
          </w:p>
        </w:tc>
      </w:tr>
      <w:tr w:rsidR="00FE399D" w:rsidRPr="00D1707B" w14:paraId="0C63B187"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9ADAF57" w14:textId="77777777" w:rsidR="00FE399D" w:rsidRPr="00D1707B" w:rsidRDefault="00FE399D" w:rsidP="00582303">
            <w:pPr>
              <w:pStyle w:val="CBDTableNormal"/>
              <w:spacing w:before="0" w:after="0"/>
              <w:rPr>
                <w:sz w:val="18"/>
                <w:szCs w:val="18"/>
              </w:rPr>
            </w:pPr>
            <w:r>
              <w:rPr>
                <w:sz w:val="18"/>
              </w:rPr>
              <w:t>Japón</w:t>
            </w:r>
          </w:p>
        </w:tc>
        <w:tc>
          <w:tcPr>
            <w:tcW w:w="1628" w:type="dxa"/>
            <w:tcBorders>
              <w:top w:val="nil"/>
              <w:left w:val="nil"/>
              <w:bottom w:val="single" w:sz="4" w:space="0" w:color="auto"/>
              <w:right w:val="single" w:sz="4" w:space="0" w:color="auto"/>
            </w:tcBorders>
            <w:shd w:val="clear" w:color="auto" w:fill="auto"/>
            <w:noWrap/>
            <w:vAlign w:val="bottom"/>
            <w:hideMark/>
          </w:tcPr>
          <w:p w14:paraId="072C7806" w14:textId="77777777" w:rsidR="00FE399D" w:rsidRPr="00D1707B" w:rsidRDefault="00FE399D" w:rsidP="00582303">
            <w:pPr>
              <w:pStyle w:val="CBDTableNormal"/>
              <w:spacing w:before="0" w:after="0"/>
              <w:jc w:val="right"/>
              <w:rPr>
                <w:sz w:val="18"/>
                <w:szCs w:val="18"/>
              </w:rPr>
            </w:pPr>
            <w:r>
              <w:rPr>
                <w:sz w:val="18"/>
              </w:rPr>
              <w:t>8,033</w:t>
            </w:r>
          </w:p>
        </w:tc>
        <w:tc>
          <w:tcPr>
            <w:tcW w:w="2198" w:type="dxa"/>
            <w:tcBorders>
              <w:top w:val="nil"/>
              <w:left w:val="nil"/>
              <w:bottom w:val="single" w:sz="4" w:space="0" w:color="auto"/>
              <w:right w:val="single" w:sz="4" w:space="0" w:color="auto"/>
            </w:tcBorders>
            <w:shd w:val="clear" w:color="auto" w:fill="auto"/>
            <w:noWrap/>
            <w:vAlign w:val="bottom"/>
            <w:hideMark/>
          </w:tcPr>
          <w:p w14:paraId="5005225F" w14:textId="77777777" w:rsidR="00FE399D" w:rsidRPr="00D1707B" w:rsidRDefault="00FE399D" w:rsidP="00582303">
            <w:pPr>
              <w:pStyle w:val="CBDTableNormal"/>
              <w:spacing w:before="0" w:after="0"/>
              <w:jc w:val="right"/>
              <w:rPr>
                <w:sz w:val="18"/>
                <w:szCs w:val="18"/>
              </w:rPr>
            </w:pPr>
            <w:r>
              <w:rPr>
                <w:sz w:val="18"/>
              </w:rPr>
              <w:t>10,042</w:t>
            </w:r>
          </w:p>
        </w:tc>
        <w:tc>
          <w:tcPr>
            <w:tcW w:w="1176" w:type="dxa"/>
            <w:tcBorders>
              <w:top w:val="nil"/>
              <w:left w:val="nil"/>
              <w:bottom w:val="single" w:sz="4" w:space="0" w:color="auto"/>
              <w:right w:val="single" w:sz="4" w:space="0" w:color="auto"/>
            </w:tcBorders>
            <w:shd w:val="clear" w:color="auto" w:fill="auto"/>
            <w:noWrap/>
            <w:vAlign w:val="bottom"/>
            <w:hideMark/>
          </w:tcPr>
          <w:p w14:paraId="70046615" w14:textId="77777777" w:rsidR="00FE399D" w:rsidRPr="00D1707B" w:rsidRDefault="00FE399D" w:rsidP="00582303">
            <w:pPr>
              <w:pStyle w:val="CBDTableNormal"/>
              <w:spacing w:before="0" w:after="0"/>
              <w:jc w:val="right"/>
              <w:rPr>
                <w:sz w:val="18"/>
                <w:szCs w:val="18"/>
              </w:rPr>
            </w:pPr>
            <w:r>
              <w:rPr>
                <w:sz w:val="18"/>
              </w:rPr>
              <w:t>1 413 763</w:t>
            </w:r>
          </w:p>
        </w:tc>
        <w:tc>
          <w:tcPr>
            <w:tcW w:w="1461" w:type="dxa"/>
            <w:tcBorders>
              <w:top w:val="nil"/>
              <w:left w:val="nil"/>
              <w:bottom w:val="single" w:sz="4" w:space="0" w:color="auto"/>
              <w:right w:val="single" w:sz="4" w:space="0" w:color="auto"/>
            </w:tcBorders>
            <w:shd w:val="clear" w:color="auto" w:fill="auto"/>
            <w:noWrap/>
            <w:vAlign w:val="bottom"/>
            <w:hideMark/>
          </w:tcPr>
          <w:p w14:paraId="73CD3015" w14:textId="77777777" w:rsidR="00FE399D" w:rsidRPr="00D1707B" w:rsidRDefault="00FE399D" w:rsidP="00582303">
            <w:pPr>
              <w:pStyle w:val="CBDTableNormal"/>
              <w:spacing w:before="0" w:after="0"/>
              <w:jc w:val="right"/>
              <w:rPr>
                <w:sz w:val="18"/>
                <w:szCs w:val="18"/>
              </w:rPr>
            </w:pPr>
            <w:r>
              <w:rPr>
                <w:sz w:val="18"/>
              </w:rPr>
              <w:t>1 510 497</w:t>
            </w:r>
          </w:p>
        </w:tc>
        <w:tc>
          <w:tcPr>
            <w:tcW w:w="1080" w:type="dxa"/>
            <w:tcBorders>
              <w:top w:val="nil"/>
              <w:left w:val="nil"/>
              <w:bottom w:val="single" w:sz="4" w:space="0" w:color="auto"/>
              <w:right w:val="single" w:sz="4" w:space="0" w:color="auto"/>
            </w:tcBorders>
            <w:shd w:val="clear" w:color="auto" w:fill="auto"/>
            <w:noWrap/>
            <w:vAlign w:val="bottom"/>
            <w:hideMark/>
          </w:tcPr>
          <w:p w14:paraId="21BA8A98" w14:textId="77777777" w:rsidR="00FE399D" w:rsidRPr="00D1707B" w:rsidRDefault="00FE399D" w:rsidP="00582303">
            <w:pPr>
              <w:pStyle w:val="CBDTableNormal"/>
              <w:spacing w:before="0" w:after="0"/>
              <w:jc w:val="right"/>
              <w:rPr>
                <w:sz w:val="18"/>
                <w:szCs w:val="18"/>
              </w:rPr>
            </w:pPr>
            <w:r>
              <w:rPr>
                <w:sz w:val="18"/>
              </w:rPr>
              <w:t>2 924 260</w:t>
            </w:r>
          </w:p>
        </w:tc>
      </w:tr>
      <w:tr w:rsidR="00FE399D" w:rsidRPr="00D1707B" w14:paraId="67C3288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79E4662" w14:textId="77777777" w:rsidR="00FE399D" w:rsidRPr="00D1707B" w:rsidRDefault="00FE399D" w:rsidP="00582303">
            <w:pPr>
              <w:pStyle w:val="CBDTableNormal"/>
              <w:spacing w:before="0" w:after="0"/>
              <w:rPr>
                <w:sz w:val="18"/>
                <w:szCs w:val="18"/>
              </w:rPr>
            </w:pPr>
            <w:r>
              <w:rPr>
                <w:sz w:val="18"/>
              </w:rPr>
              <w:t>Jordania</w:t>
            </w:r>
          </w:p>
        </w:tc>
        <w:tc>
          <w:tcPr>
            <w:tcW w:w="1628" w:type="dxa"/>
            <w:tcBorders>
              <w:top w:val="nil"/>
              <w:left w:val="nil"/>
              <w:bottom w:val="single" w:sz="4" w:space="0" w:color="auto"/>
              <w:right w:val="single" w:sz="4" w:space="0" w:color="auto"/>
            </w:tcBorders>
            <w:shd w:val="clear" w:color="auto" w:fill="auto"/>
            <w:vAlign w:val="bottom"/>
            <w:hideMark/>
          </w:tcPr>
          <w:p w14:paraId="3DFEFC3D" w14:textId="77777777" w:rsidR="00FE399D" w:rsidRPr="00D1707B" w:rsidRDefault="00FE399D" w:rsidP="00582303">
            <w:pPr>
              <w:pStyle w:val="CBDTableNormal"/>
              <w:spacing w:before="0" w:after="0"/>
              <w:jc w:val="right"/>
              <w:rPr>
                <w:sz w:val="18"/>
                <w:szCs w:val="18"/>
              </w:rPr>
            </w:pPr>
            <w:r>
              <w:rPr>
                <w:sz w:val="18"/>
              </w:rPr>
              <w:t>0,022</w:t>
            </w:r>
          </w:p>
        </w:tc>
        <w:tc>
          <w:tcPr>
            <w:tcW w:w="2198" w:type="dxa"/>
            <w:tcBorders>
              <w:top w:val="nil"/>
              <w:left w:val="nil"/>
              <w:bottom w:val="single" w:sz="4" w:space="0" w:color="auto"/>
              <w:right w:val="single" w:sz="4" w:space="0" w:color="auto"/>
            </w:tcBorders>
            <w:shd w:val="clear" w:color="auto" w:fill="auto"/>
            <w:noWrap/>
            <w:vAlign w:val="bottom"/>
            <w:hideMark/>
          </w:tcPr>
          <w:p w14:paraId="7A1F7371" w14:textId="77777777" w:rsidR="00FE399D" w:rsidRPr="00D1707B" w:rsidRDefault="00FE399D" w:rsidP="00582303">
            <w:pPr>
              <w:pStyle w:val="CBDTableNormal"/>
              <w:spacing w:before="0" w:after="0"/>
              <w:jc w:val="right"/>
              <w:rPr>
                <w:sz w:val="18"/>
                <w:szCs w:val="18"/>
              </w:rPr>
            </w:pPr>
            <w:r>
              <w:rPr>
                <w:sz w:val="18"/>
              </w:rPr>
              <w:t>0,028</w:t>
            </w:r>
          </w:p>
        </w:tc>
        <w:tc>
          <w:tcPr>
            <w:tcW w:w="1176" w:type="dxa"/>
            <w:tcBorders>
              <w:top w:val="nil"/>
              <w:left w:val="nil"/>
              <w:bottom w:val="single" w:sz="4" w:space="0" w:color="auto"/>
              <w:right w:val="single" w:sz="4" w:space="0" w:color="auto"/>
            </w:tcBorders>
            <w:shd w:val="clear" w:color="auto" w:fill="auto"/>
            <w:noWrap/>
            <w:vAlign w:val="bottom"/>
            <w:hideMark/>
          </w:tcPr>
          <w:p w14:paraId="239CBA9A" w14:textId="77777777" w:rsidR="00FE399D" w:rsidRPr="00D1707B" w:rsidRDefault="00FE399D" w:rsidP="00582303">
            <w:pPr>
              <w:pStyle w:val="CBDTableNormal"/>
              <w:spacing w:before="0" w:after="0"/>
              <w:jc w:val="right"/>
              <w:rPr>
                <w:sz w:val="18"/>
                <w:szCs w:val="18"/>
              </w:rPr>
            </w:pPr>
            <w:r>
              <w:rPr>
                <w:sz w:val="18"/>
              </w:rPr>
              <w:t>3 872</w:t>
            </w:r>
          </w:p>
        </w:tc>
        <w:tc>
          <w:tcPr>
            <w:tcW w:w="1461" w:type="dxa"/>
            <w:tcBorders>
              <w:top w:val="nil"/>
              <w:left w:val="nil"/>
              <w:bottom w:val="single" w:sz="4" w:space="0" w:color="auto"/>
              <w:right w:val="single" w:sz="4" w:space="0" w:color="auto"/>
            </w:tcBorders>
            <w:shd w:val="clear" w:color="auto" w:fill="auto"/>
            <w:noWrap/>
            <w:vAlign w:val="bottom"/>
            <w:hideMark/>
          </w:tcPr>
          <w:p w14:paraId="4EAF65DC" w14:textId="77777777" w:rsidR="00FE399D" w:rsidRPr="00D1707B" w:rsidRDefault="00FE399D" w:rsidP="00582303">
            <w:pPr>
              <w:pStyle w:val="CBDTableNormal"/>
              <w:spacing w:before="0" w:after="0"/>
              <w:jc w:val="right"/>
              <w:rPr>
                <w:sz w:val="18"/>
                <w:szCs w:val="18"/>
              </w:rPr>
            </w:pPr>
            <w:r>
              <w:rPr>
                <w:sz w:val="18"/>
              </w:rPr>
              <w:t>4 137</w:t>
            </w:r>
          </w:p>
        </w:tc>
        <w:tc>
          <w:tcPr>
            <w:tcW w:w="1080" w:type="dxa"/>
            <w:tcBorders>
              <w:top w:val="nil"/>
              <w:left w:val="nil"/>
              <w:bottom w:val="single" w:sz="4" w:space="0" w:color="auto"/>
              <w:right w:val="single" w:sz="4" w:space="0" w:color="auto"/>
            </w:tcBorders>
            <w:shd w:val="clear" w:color="auto" w:fill="auto"/>
            <w:noWrap/>
            <w:vAlign w:val="bottom"/>
            <w:hideMark/>
          </w:tcPr>
          <w:p w14:paraId="39E38070" w14:textId="77777777" w:rsidR="00FE399D" w:rsidRPr="00D1707B" w:rsidRDefault="00FE399D" w:rsidP="00582303">
            <w:pPr>
              <w:pStyle w:val="CBDTableNormal"/>
              <w:spacing w:before="0" w:after="0"/>
              <w:jc w:val="right"/>
              <w:rPr>
                <w:sz w:val="18"/>
                <w:szCs w:val="18"/>
              </w:rPr>
            </w:pPr>
            <w:r>
              <w:rPr>
                <w:sz w:val="18"/>
              </w:rPr>
              <w:t>8 009</w:t>
            </w:r>
          </w:p>
        </w:tc>
      </w:tr>
      <w:tr w:rsidR="00FE399D" w:rsidRPr="00D1707B" w14:paraId="6BFFB55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4F65C5E" w14:textId="77777777" w:rsidR="00FE399D" w:rsidRPr="00D1707B" w:rsidRDefault="00FE399D" w:rsidP="00582303">
            <w:pPr>
              <w:pStyle w:val="CBDTableNormal"/>
              <w:spacing w:before="0" w:after="0"/>
              <w:rPr>
                <w:sz w:val="18"/>
                <w:szCs w:val="18"/>
              </w:rPr>
            </w:pPr>
            <w:r>
              <w:rPr>
                <w:sz w:val="18"/>
              </w:rPr>
              <w:t>Kazajstán</w:t>
            </w:r>
          </w:p>
        </w:tc>
        <w:tc>
          <w:tcPr>
            <w:tcW w:w="1628" w:type="dxa"/>
            <w:tcBorders>
              <w:top w:val="nil"/>
              <w:left w:val="nil"/>
              <w:bottom w:val="single" w:sz="4" w:space="0" w:color="auto"/>
              <w:right w:val="single" w:sz="4" w:space="0" w:color="auto"/>
            </w:tcBorders>
            <w:shd w:val="clear" w:color="auto" w:fill="auto"/>
            <w:vAlign w:val="bottom"/>
            <w:hideMark/>
          </w:tcPr>
          <w:p w14:paraId="3A426B20" w14:textId="77777777" w:rsidR="00FE399D" w:rsidRPr="00D1707B" w:rsidRDefault="00FE399D" w:rsidP="00582303">
            <w:pPr>
              <w:pStyle w:val="CBDTableNormal"/>
              <w:spacing w:before="0" w:after="0"/>
              <w:jc w:val="right"/>
              <w:rPr>
                <w:sz w:val="18"/>
                <w:szCs w:val="18"/>
              </w:rPr>
            </w:pPr>
            <w:r>
              <w:rPr>
                <w:sz w:val="18"/>
              </w:rPr>
              <w:t>0,133</w:t>
            </w:r>
          </w:p>
        </w:tc>
        <w:tc>
          <w:tcPr>
            <w:tcW w:w="2198" w:type="dxa"/>
            <w:tcBorders>
              <w:top w:val="nil"/>
              <w:left w:val="nil"/>
              <w:bottom w:val="single" w:sz="4" w:space="0" w:color="auto"/>
              <w:right w:val="single" w:sz="4" w:space="0" w:color="auto"/>
            </w:tcBorders>
            <w:shd w:val="clear" w:color="auto" w:fill="auto"/>
            <w:noWrap/>
            <w:vAlign w:val="bottom"/>
            <w:hideMark/>
          </w:tcPr>
          <w:p w14:paraId="21147076" w14:textId="77777777" w:rsidR="00FE399D" w:rsidRPr="00D1707B" w:rsidRDefault="00FE399D" w:rsidP="00582303">
            <w:pPr>
              <w:pStyle w:val="CBDTableNormal"/>
              <w:spacing w:before="0" w:after="0"/>
              <w:jc w:val="right"/>
              <w:rPr>
                <w:sz w:val="18"/>
                <w:szCs w:val="18"/>
              </w:rPr>
            </w:pPr>
            <w:r>
              <w:rPr>
                <w:sz w:val="18"/>
              </w:rPr>
              <w:t>0,166</w:t>
            </w:r>
          </w:p>
        </w:tc>
        <w:tc>
          <w:tcPr>
            <w:tcW w:w="1176" w:type="dxa"/>
            <w:tcBorders>
              <w:top w:val="nil"/>
              <w:left w:val="nil"/>
              <w:bottom w:val="single" w:sz="4" w:space="0" w:color="auto"/>
              <w:right w:val="single" w:sz="4" w:space="0" w:color="auto"/>
            </w:tcBorders>
            <w:shd w:val="clear" w:color="auto" w:fill="auto"/>
            <w:noWrap/>
            <w:vAlign w:val="bottom"/>
            <w:hideMark/>
          </w:tcPr>
          <w:p w14:paraId="282B1D6F" w14:textId="77777777" w:rsidR="00FE399D" w:rsidRPr="00D1707B" w:rsidRDefault="00FE399D" w:rsidP="00582303">
            <w:pPr>
              <w:pStyle w:val="CBDTableNormal"/>
              <w:spacing w:before="0" w:after="0"/>
              <w:jc w:val="right"/>
              <w:rPr>
                <w:sz w:val="18"/>
                <w:szCs w:val="18"/>
              </w:rPr>
            </w:pPr>
            <w:r>
              <w:rPr>
                <w:sz w:val="18"/>
              </w:rPr>
              <w:t>23 407</w:t>
            </w:r>
          </w:p>
        </w:tc>
        <w:tc>
          <w:tcPr>
            <w:tcW w:w="1461" w:type="dxa"/>
            <w:tcBorders>
              <w:top w:val="nil"/>
              <w:left w:val="nil"/>
              <w:bottom w:val="single" w:sz="4" w:space="0" w:color="auto"/>
              <w:right w:val="single" w:sz="4" w:space="0" w:color="auto"/>
            </w:tcBorders>
            <w:shd w:val="clear" w:color="auto" w:fill="auto"/>
            <w:noWrap/>
            <w:vAlign w:val="bottom"/>
            <w:hideMark/>
          </w:tcPr>
          <w:p w14:paraId="1914F881" w14:textId="77777777" w:rsidR="00FE399D" w:rsidRPr="00D1707B" w:rsidRDefault="00FE399D" w:rsidP="00582303">
            <w:pPr>
              <w:pStyle w:val="CBDTableNormal"/>
              <w:spacing w:before="0" w:after="0"/>
              <w:jc w:val="right"/>
              <w:rPr>
                <w:sz w:val="18"/>
                <w:szCs w:val="18"/>
              </w:rPr>
            </w:pPr>
            <w:r>
              <w:rPr>
                <w:sz w:val="18"/>
              </w:rPr>
              <w:t>25 009</w:t>
            </w:r>
          </w:p>
        </w:tc>
        <w:tc>
          <w:tcPr>
            <w:tcW w:w="1080" w:type="dxa"/>
            <w:tcBorders>
              <w:top w:val="nil"/>
              <w:left w:val="nil"/>
              <w:bottom w:val="single" w:sz="4" w:space="0" w:color="auto"/>
              <w:right w:val="single" w:sz="4" w:space="0" w:color="auto"/>
            </w:tcBorders>
            <w:shd w:val="clear" w:color="auto" w:fill="auto"/>
            <w:noWrap/>
            <w:vAlign w:val="bottom"/>
            <w:hideMark/>
          </w:tcPr>
          <w:p w14:paraId="548E23C9" w14:textId="77777777" w:rsidR="00FE399D" w:rsidRPr="00D1707B" w:rsidRDefault="00FE399D" w:rsidP="00582303">
            <w:pPr>
              <w:pStyle w:val="CBDTableNormal"/>
              <w:spacing w:before="0" w:after="0"/>
              <w:jc w:val="right"/>
              <w:rPr>
                <w:sz w:val="18"/>
                <w:szCs w:val="18"/>
              </w:rPr>
            </w:pPr>
            <w:r>
              <w:rPr>
                <w:sz w:val="18"/>
              </w:rPr>
              <w:t>48 416</w:t>
            </w:r>
          </w:p>
        </w:tc>
      </w:tr>
      <w:tr w:rsidR="00FE399D" w:rsidRPr="00D1707B" w14:paraId="770D10B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BDC3327" w14:textId="77777777" w:rsidR="00FE399D" w:rsidRPr="00D1707B" w:rsidRDefault="00FE399D" w:rsidP="00582303">
            <w:pPr>
              <w:pStyle w:val="CBDTableNormal"/>
              <w:spacing w:before="0" w:after="0"/>
              <w:rPr>
                <w:sz w:val="18"/>
                <w:szCs w:val="18"/>
              </w:rPr>
            </w:pPr>
            <w:r>
              <w:rPr>
                <w:sz w:val="18"/>
              </w:rPr>
              <w:t>Kenya</w:t>
            </w:r>
          </w:p>
        </w:tc>
        <w:tc>
          <w:tcPr>
            <w:tcW w:w="1628" w:type="dxa"/>
            <w:tcBorders>
              <w:top w:val="nil"/>
              <w:left w:val="nil"/>
              <w:bottom w:val="single" w:sz="4" w:space="0" w:color="auto"/>
              <w:right w:val="single" w:sz="4" w:space="0" w:color="auto"/>
            </w:tcBorders>
            <w:shd w:val="clear" w:color="auto" w:fill="auto"/>
            <w:vAlign w:val="bottom"/>
            <w:hideMark/>
          </w:tcPr>
          <w:p w14:paraId="59A33EB3" w14:textId="77777777" w:rsidR="00FE399D" w:rsidRPr="00D1707B" w:rsidRDefault="00FE399D" w:rsidP="00582303">
            <w:pPr>
              <w:pStyle w:val="CBDTableNormal"/>
              <w:spacing w:before="0" w:after="0"/>
              <w:jc w:val="right"/>
              <w:rPr>
                <w:sz w:val="18"/>
                <w:szCs w:val="18"/>
              </w:rPr>
            </w:pPr>
            <w:r>
              <w:rPr>
                <w:sz w:val="18"/>
              </w:rPr>
              <w:t>0,030</w:t>
            </w:r>
          </w:p>
        </w:tc>
        <w:tc>
          <w:tcPr>
            <w:tcW w:w="2198" w:type="dxa"/>
            <w:tcBorders>
              <w:top w:val="nil"/>
              <w:left w:val="nil"/>
              <w:bottom w:val="single" w:sz="4" w:space="0" w:color="auto"/>
              <w:right w:val="single" w:sz="4" w:space="0" w:color="auto"/>
            </w:tcBorders>
            <w:shd w:val="clear" w:color="auto" w:fill="auto"/>
            <w:noWrap/>
            <w:vAlign w:val="bottom"/>
            <w:hideMark/>
          </w:tcPr>
          <w:p w14:paraId="66A94991" w14:textId="77777777" w:rsidR="00FE399D" w:rsidRPr="00D1707B" w:rsidRDefault="00FE399D" w:rsidP="00582303">
            <w:pPr>
              <w:pStyle w:val="CBDTableNormal"/>
              <w:spacing w:before="0" w:after="0"/>
              <w:jc w:val="right"/>
              <w:rPr>
                <w:sz w:val="18"/>
                <w:szCs w:val="18"/>
              </w:rPr>
            </w:pPr>
            <w:r>
              <w:rPr>
                <w:sz w:val="18"/>
              </w:rPr>
              <w:t>0,038</w:t>
            </w:r>
          </w:p>
        </w:tc>
        <w:tc>
          <w:tcPr>
            <w:tcW w:w="1176" w:type="dxa"/>
            <w:tcBorders>
              <w:top w:val="nil"/>
              <w:left w:val="nil"/>
              <w:bottom w:val="single" w:sz="4" w:space="0" w:color="auto"/>
              <w:right w:val="single" w:sz="4" w:space="0" w:color="auto"/>
            </w:tcBorders>
            <w:shd w:val="clear" w:color="auto" w:fill="auto"/>
            <w:noWrap/>
            <w:vAlign w:val="bottom"/>
            <w:hideMark/>
          </w:tcPr>
          <w:p w14:paraId="07783923" w14:textId="77777777" w:rsidR="00FE399D" w:rsidRPr="00D1707B" w:rsidRDefault="00FE399D" w:rsidP="00582303">
            <w:pPr>
              <w:pStyle w:val="CBDTableNormal"/>
              <w:spacing w:before="0" w:after="0"/>
              <w:jc w:val="right"/>
              <w:rPr>
                <w:sz w:val="18"/>
                <w:szCs w:val="18"/>
              </w:rPr>
            </w:pPr>
            <w:r>
              <w:rPr>
                <w:sz w:val="18"/>
              </w:rPr>
              <w:t>5 280</w:t>
            </w:r>
          </w:p>
        </w:tc>
        <w:tc>
          <w:tcPr>
            <w:tcW w:w="1461" w:type="dxa"/>
            <w:tcBorders>
              <w:top w:val="nil"/>
              <w:left w:val="nil"/>
              <w:bottom w:val="single" w:sz="4" w:space="0" w:color="auto"/>
              <w:right w:val="single" w:sz="4" w:space="0" w:color="auto"/>
            </w:tcBorders>
            <w:shd w:val="clear" w:color="auto" w:fill="auto"/>
            <w:noWrap/>
            <w:vAlign w:val="bottom"/>
            <w:hideMark/>
          </w:tcPr>
          <w:p w14:paraId="2A34B80D" w14:textId="77777777" w:rsidR="00FE399D" w:rsidRPr="00D1707B" w:rsidRDefault="00FE399D" w:rsidP="00582303">
            <w:pPr>
              <w:pStyle w:val="CBDTableNormal"/>
              <w:spacing w:before="0" w:after="0"/>
              <w:jc w:val="right"/>
              <w:rPr>
                <w:sz w:val="18"/>
                <w:szCs w:val="18"/>
              </w:rPr>
            </w:pPr>
            <w:r>
              <w:rPr>
                <w:sz w:val="18"/>
              </w:rPr>
              <w:t>5 641</w:t>
            </w:r>
          </w:p>
        </w:tc>
        <w:tc>
          <w:tcPr>
            <w:tcW w:w="1080" w:type="dxa"/>
            <w:tcBorders>
              <w:top w:val="nil"/>
              <w:left w:val="nil"/>
              <w:bottom w:val="single" w:sz="4" w:space="0" w:color="auto"/>
              <w:right w:val="single" w:sz="4" w:space="0" w:color="auto"/>
            </w:tcBorders>
            <w:shd w:val="clear" w:color="auto" w:fill="auto"/>
            <w:noWrap/>
            <w:vAlign w:val="bottom"/>
            <w:hideMark/>
          </w:tcPr>
          <w:p w14:paraId="43859760" w14:textId="77777777" w:rsidR="00FE399D" w:rsidRPr="00D1707B" w:rsidRDefault="00FE399D" w:rsidP="00582303">
            <w:pPr>
              <w:pStyle w:val="CBDTableNormal"/>
              <w:spacing w:before="0" w:after="0"/>
              <w:jc w:val="right"/>
              <w:rPr>
                <w:sz w:val="18"/>
                <w:szCs w:val="18"/>
              </w:rPr>
            </w:pPr>
            <w:r>
              <w:rPr>
                <w:sz w:val="18"/>
              </w:rPr>
              <w:t>10 921</w:t>
            </w:r>
          </w:p>
        </w:tc>
      </w:tr>
      <w:tr w:rsidR="00FE399D" w:rsidRPr="00D1707B" w14:paraId="5689098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B48452E" w14:textId="77777777" w:rsidR="00FE399D" w:rsidRPr="00D1707B" w:rsidRDefault="00FE399D" w:rsidP="00582303">
            <w:pPr>
              <w:pStyle w:val="CBDTableNormal"/>
              <w:spacing w:before="0" w:after="0"/>
              <w:rPr>
                <w:sz w:val="18"/>
                <w:szCs w:val="18"/>
              </w:rPr>
            </w:pPr>
            <w:r>
              <w:rPr>
                <w:sz w:val="18"/>
              </w:rPr>
              <w:t>Kirguistán</w:t>
            </w:r>
          </w:p>
        </w:tc>
        <w:tc>
          <w:tcPr>
            <w:tcW w:w="1628" w:type="dxa"/>
            <w:tcBorders>
              <w:top w:val="nil"/>
              <w:left w:val="nil"/>
              <w:bottom w:val="single" w:sz="4" w:space="0" w:color="auto"/>
              <w:right w:val="single" w:sz="4" w:space="0" w:color="auto"/>
            </w:tcBorders>
            <w:shd w:val="clear" w:color="auto" w:fill="auto"/>
            <w:vAlign w:val="bottom"/>
            <w:hideMark/>
          </w:tcPr>
          <w:p w14:paraId="2E92CECD" w14:textId="77777777" w:rsidR="00FE399D" w:rsidRPr="00D1707B" w:rsidRDefault="00FE399D" w:rsidP="00582303">
            <w:pPr>
              <w:pStyle w:val="CBDTableNormal"/>
              <w:spacing w:before="0" w:after="0"/>
              <w:jc w:val="right"/>
              <w:rPr>
                <w:sz w:val="18"/>
                <w:szCs w:val="18"/>
              </w:rPr>
            </w:pPr>
            <w:r>
              <w:rPr>
                <w:sz w:val="18"/>
              </w:rPr>
              <w:t>0,002</w:t>
            </w:r>
          </w:p>
        </w:tc>
        <w:tc>
          <w:tcPr>
            <w:tcW w:w="2198" w:type="dxa"/>
            <w:tcBorders>
              <w:top w:val="nil"/>
              <w:left w:val="nil"/>
              <w:bottom w:val="single" w:sz="4" w:space="0" w:color="auto"/>
              <w:right w:val="single" w:sz="4" w:space="0" w:color="auto"/>
            </w:tcBorders>
            <w:shd w:val="clear" w:color="auto" w:fill="auto"/>
            <w:noWrap/>
            <w:vAlign w:val="bottom"/>
            <w:hideMark/>
          </w:tcPr>
          <w:p w14:paraId="51146730" w14:textId="77777777" w:rsidR="00FE399D" w:rsidRPr="00D1707B" w:rsidRDefault="00FE399D" w:rsidP="00582303">
            <w:pPr>
              <w:pStyle w:val="CBDTableNormal"/>
              <w:spacing w:before="0" w:after="0"/>
              <w:jc w:val="right"/>
              <w:rPr>
                <w:sz w:val="18"/>
                <w:szCs w:val="18"/>
              </w:rPr>
            </w:pPr>
            <w:r>
              <w:rPr>
                <w:sz w:val="18"/>
              </w:rPr>
              <w:t>0,003</w:t>
            </w:r>
          </w:p>
        </w:tc>
        <w:tc>
          <w:tcPr>
            <w:tcW w:w="1176" w:type="dxa"/>
            <w:tcBorders>
              <w:top w:val="nil"/>
              <w:left w:val="nil"/>
              <w:bottom w:val="single" w:sz="4" w:space="0" w:color="auto"/>
              <w:right w:val="single" w:sz="4" w:space="0" w:color="auto"/>
            </w:tcBorders>
            <w:shd w:val="clear" w:color="auto" w:fill="auto"/>
            <w:noWrap/>
            <w:vAlign w:val="bottom"/>
            <w:hideMark/>
          </w:tcPr>
          <w:p w14:paraId="16C778AD" w14:textId="77777777" w:rsidR="00FE399D" w:rsidRPr="00D1707B" w:rsidRDefault="00FE399D" w:rsidP="00582303">
            <w:pPr>
              <w:pStyle w:val="CBDTableNormal"/>
              <w:spacing w:before="0" w:after="0"/>
              <w:jc w:val="right"/>
              <w:rPr>
                <w:sz w:val="18"/>
                <w:szCs w:val="18"/>
              </w:rPr>
            </w:pPr>
            <w:r>
              <w:rPr>
                <w:sz w:val="18"/>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7D6D4F53" w14:textId="77777777" w:rsidR="00FE399D" w:rsidRPr="00D1707B" w:rsidRDefault="00FE399D" w:rsidP="00582303">
            <w:pPr>
              <w:pStyle w:val="CBDTableNormal"/>
              <w:spacing w:before="0" w:after="0"/>
              <w:jc w:val="right"/>
              <w:rPr>
                <w:sz w:val="18"/>
                <w:szCs w:val="18"/>
              </w:rPr>
            </w:pPr>
            <w:r>
              <w:rPr>
                <w:sz w:val="18"/>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6589121F" w14:textId="77777777" w:rsidR="00FE399D" w:rsidRPr="00D1707B" w:rsidRDefault="00FE399D" w:rsidP="00582303">
            <w:pPr>
              <w:pStyle w:val="CBDTableNormal"/>
              <w:spacing w:before="0" w:after="0"/>
              <w:jc w:val="right"/>
              <w:rPr>
                <w:sz w:val="18"/>
                <w:szCs w:val="18"/>
              </w:rPr>
            </w:pPr>
            <w:r>
              <w:rPr>
                <w:sz w:val="18"/>
              </w:rPr>
              <w:t>728</w:t>
            </w:r>
          </w:p>
        </w:tc>
      </w:tr>
      <w:tr w:rsidR="00FE399D" w:rsidRPr="00D1707B" w14:paraId="365B001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2403B57" w14:textId="77777777" w:rsidR="00FE399D" w:rsidRPr="00D1707B" w:rsidRDefault="00FE399D" w:rsidP="00582303">
            <w:pPr>
              <w:pStyle w:val="CBDTableNormal"/>
              <w:spacing w:before="0" w:after="0"/>
              <w:rPr>
                <w:sz w:val="18"/>
                <w:szCs w:val="18"/>
              </w:rPr>
            </w:pPr>
            <w:r>
              <w:rPr>
                <w:sz w:val="18"/>
              </w:rPr>
              <w:t>Kiribati</w:t>
            </w:r>
          </w:p>
        </w:tc>
        <w:tc>
          <w:tcPr>
            <w:tcW w:w="1628" w:type="dxa"/>
            <w:tcBorders>
              <w:top w:val="nil"/>
              <w:left w:val="nil"/>
              <w:bottom w:val="single" w:sz="4" w:space="0" w:color="auto"/>
              <w:right w:val="single" w:sz="4" w:space="0" w:color="auto"/>
            </w:tcBorders>
            <w:shd w:val="clear" w:color="auto" w:fill="auto"/>
            <w:vAlign w:val="bottom"/>
            <w:hideMark/>
          </w:tcPr>
          <w:p w14:paraId="55315FA2"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622E9A53"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30E33F24"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18FA0B84"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4B988CB6"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3B087A2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C1ED090" w14:textId="77777777" w:rsidR="00FE399D" w:rsidRPr="00D1707B" w:rsidRDefault="00FE399D" w:rsidP="00582303">
            <w:pPr>
              <w:pStyle w:val="CBDTableNormal"/>
              <w:spacing w:before="0" w:after="0"/>
              <w:rPr>
                <w:sz w:val="18"/>
                <w:szCs w:val="18"/>
              </w:rPr>
            </w:pPr>
            <w:r>
              <w:rPr>
                <w:sz w:val="18"/>
              </w:rPr>
              <w:t>Kuwait</w:t>
            </w:r>
          </w:p>
        </w:tc>
        <w:tc>
          <w:tcPr>
            <w:tcW w:w="1628" w:type="dxa"/>
            <w:tcBorders>
              <w:top w:val="nil"/>
              <w:left w:val="nil"/>
              <w:bottom w:val="single" w:sz="4" w:space="0" w:color="auto"/>
              <w:right w:val="single" w:sz="4" w:space="0" w:color="auto"/>
            </w:tcBorders>
            <w:shd w:val="clear" w:color="auto" w:fill="auto"/>
            <w:vAlign w:val="bottom"/>
            <w:hideMark/>
          </w:tcPr>
          <w:p w14:paraId="2534013A" w14:textId="77777777" w:rsidR="00FE399D" w:rsidRPr="00D1707B" w:rsidRDefault="00FE399D" w:rsidP="00582303">
            <w:pPr>
              <w:pStyle w:val="CBDTableNormal"/>
              <w:spacing w:before="0" w:after="0"/>
              <w:jc w:val="right"/>
              <w:rPr>
                <w:sz w:val="18"/>
                <w:szCs w:val="18"/>
              </w:rPr>
            </w:pPr>
            <w:r>
              <w:rPr>
                <w:sz w:val="18"/>
              </w:rPr>
              <w:t>0,234</w:t>
            </w:r>
          </w:p>
        </w:tc>
        <w:tc>
          <w:tcPr>
            <w:tcW w:w="2198" w:type="dxa"/>
            <w:tcBorders>
              <w:top w:val="nil"/>
              <w:left w:val="nil"/>
              <w:bottom w:val="single" w:sz="4" w:space="0" w:color="auto"/>
              <w:right w:val="single" w:sz="4" w:space="0" w:color="auto"/>
            </w:tcBorders>
            <w:shd w:val="clear" w:color="auto" w:fill="auto"/>
            <w:noWrap/>
            <w:vAlign w:val="bottom"/>
            <w:hideMark/>
          </w:tcPr>
          <w:p w14:paraId="571FCA89" w14:textId="77777777" w:rsidR="00FE399D" w:rsidRPr="00D1707B" w:rsidRDefault="00FE399D" w:rsidP="00582303">
            <w:pPr>
              <w:pStyle w:val="CBDTableNormal"/>
              <w:spacing w:before="0" w:after="0"/>
              <w:jc w:val="right"/>
              <w:rPr>
                <w:sz w:val="18"/>
                <w:szCs w:val="18"/>
              </w:rPr>
            </w:pPr>
            <w:r>
              <w:rPr>
                <w:sz w:val="18"/>
              </w:rPr>
              <w:t>0,293</w:t>
            </w:r>
          </w:p>
        </w:tc>
        <w:tc>
          <w:tcPr>
            <w:tcW w:w="1176" w:type="dxa"/>
            <w:tcBorders>
              <w:top w:val="nil"/>
              <w:left w:val="nil"/>
              <w:bottom w:val="single" w:sz="4" w:space="0" w:color="auto"/>
              <w:right w:val="single" w:sz="4" w:space="0" w:color="auto"/>
            </w:tcBorders>
            <w:shd w:val="clear" w:color="auto" w:fill="auto"/>
            <w:noWrap/>
            <w:vAlign w:val="bottom"/>
            <w:hideMark/>
          </w:tcPr>
          <w:p w14:paraId="79A9DA02" w14:textId="77777777" w:rsidR="00FE399D" w:rsidRPr="00D1707B" w:rsidRDefault="00FE399D" w:rsidP="00582303">
            <w:pPr>
              <w:pStyle w:val="CBDTableNormal"/>
              <w:spacing w:before="0" w:after="0"/>
              <w:jc w:val="right"/>
              <w:rPr>
                <w:sz w:val="18"/>
                <w:szCs w:val="18"/>
              </w:rPr>
            </w:pPr>
            <w:r>
              <w:rPr>
                <w:sz w:val="18"/>
              </w:rPr>
              <w:t>41 183</w:t>
            </w:r>
          </w:p>
        </w:tc>
        <w:tc>
          <w:tcPr>
            <w:tcW w:w="1461" w:type="dxa"/>
            <w:tcBorders>
              <w:top w:val="nil"/>
              <w:left w:val="nil"/>
              <w:bottom w:val="single" w:sz="4" w:space="0" w:color="auto"/>
              <w:right w:val="single" w:sz="4" w:space="0" w:color="auto"/>
            </w:tcBorders>
            <w:shd w:val="clear" w:color="auto" w:fill="auto"/>
            <w:noWrap/>
            <w:vAlign w:val="bottom"/>
            <w:hideMark/>
          </w:tcPr>
          <w:p w14:paraId="041D82AE" w14:textId="77777777" w:rsidR="00FE399D" w:rsidRPr="00D1707B" w:rsidRDefault="00FE399D" w:rsidP="00582303">
            <w:pPr>
              <w:pStyle w:val="CBDTableNormal"/>
              <w:spacing w:before="0" w:after="0"/>
              <w:jc w:val="right"/>
              <w:rPr>
                <w:sz w:val="18"/>
                <w:szCs w:val="18"/>
              </w:rPr>
            </w:pPr>
            <w:r>
              <w:rPr>
                <w:sz w:val="18"/>
              </w:rPr>
              <w:t>44 001</w:t>
            </w:r>
          </w:p>
        </w:tc>
        <w:tc>
          <w:tcPr>
            <w:tcW w:w="1080" w:type="dxa"/>
            <w:tcBorders>
              <w:top w:val="nil"/>
              <w:left w:val="nil"/>
              <w:bottom w:val="single" w:sz="4" w:space="0" w:color="auto"/>
              <w:right w:val="single" w:sz="4" w:space="0" w:color="auto"/>
            </w:tcBorders>
            <w:shd w:val="clear" w:color="auto" w:fill="auto"/>
            <w:noWrap/>
            <w:vAlign w:val="bottom"/>
            <w:hideMark/>
          </w:tcPr>
          <w:p w14:paraId="7B2AFBBD" w14:textId="77777777" w:rsidR="00FE399D" w:rsidRPr="00D1707B" w:rsidRDefault="00FE399D" w:rsidP="00582303">
            <w:pPr>
              <w:pStyle w:val="CBDTableNormal"/>
              <w:spacing w:before="0" w:after="0"/>
              <w:jc w:val="right"/>
              <w:rPr>
                <w:sz w:val="18"/>
                <w:szCs w:val="18"/>
              </w:rPr>
            </w:pPr>
            <w:r>
              <w:rPr>
                <w:sz w:val="18"/>
              </w:rPr>
              <w:t>85 183</w:t>
            </w:r>
          </w:p>
        </w:tc>
      </w:tr>
      <w:tr w:rsidR="00FE399D" w:rsidRPr="00D1707B" w14:paraId="71EA545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F42BA47" w14:textId="77777777" w:rsidR="00FE399D" w:rsidRPr="00D1707B" w:rsidRDefault="00FE399D" w:rsidP="00582303">
            <w:pPr>
              <w:pStyle w:val="CBDTableNormal"/>
              <w:spacing w:before="0" w:after="0"/>
              <w:rPr>
                <w:sz w:val="18"/>
                <w:szCs w:val="18"/>
              </w:rPr>
            </w:pPr>
            <w:r>
              <w:rPr>
                <w:sz w:val="18"/>
              </w:rPr>
              <w:t>Lesotho</w:t>
            </w:r>
          </w:p>
        </w:tc>
        <w:tc>
          <w:tcPr>
            <w:tcW w:w="1628" w:type="dxa"/>
            <w:tcBorders>
              <w:top w:val="nil"/>
              <w:left w:val="nil"/>
              <w:bottom w:val="single" w:sz="4" w:space="0" w:color="auto"/>
              <w:right w:val="single" w:sz="4" w:space="0" w:color="auto"/>
            </w:tcBorders>
            <w:shd w:val="clear" w:color="auto" w:fill="auto"/>
            <w:vAlign w:val="bottom"/>
            <w:hideMark/>
          </w:tcPr>
          <w:p w14:paraId="4DF111A8"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343F2808"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75EF981D"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03AB8F3E"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67A2F6FE"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3390D20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5B1DD20" w14:textId="77777777" w:rsidR="00FE399D" w:rsidRPr="00D1707B" w:rsidRDefault="00FE399D" w:rsidP="00582303">
            <w:pPr>
              <w:pStyle w:val="CBDTableNormal"/>
              <w:spacing w:before="0" w:after="0"/>
              <w:rPr>
                <w:sz w:val="18"/>
                <w:szCs w:val="18"/>
              </w:rPr>
            </w:pPr>
            <w:r>
              <w:rPr>
                <w:sz w:val="18"/>
              </w:rPr>
              <w:t>Letonia</w:t>
            </w:r>
          </w:p>
        </w:tc>
        <w:tc>
          <w:tcPr>
            <w:tcW w:w="1628" w:type="dxa"/>
            <w:tcBorders>
              <w:top w:val="nil"/>
              <w:left w:val="nil"/>
              <w:bottom w:val="single" w:sz="4" w:space="0" w:color="auto"/>
              <w:right w:val="single" w:sz="4" w:space="0" w:color="auto"/>
            </w:tcBorders>
            <w:shd w:val="clear" w:color="auto" w:fill="auto"/>
            <w:vAlign w:val="bottom"/>
            <w:hideMark/>
          </w:tcPr>
          <w:p w14:paraId="537D00E5" w14:textId="77777777" w:rsidR="00FE399D" w:rsidRPr="00D1707B" w:rsidRDefault="00FE399D" w:rsidP="00582303">
            <w:pPr>
              <w:pStyle w:val="CBDTableNormal"/>
              <w:spacing w:before="0" w:after="0"/>
              <w:jc w:val="right"/>
              <w:rPr>
                <w:sz w:val="18"/>
                <w:szCs w:val="18"/>
              </w:rPr>
            </w:pPr>
            <w:r>
              <w:rPr>
                <w:sz w:val="18"/>
              </w:rPr>
              <w:t>0,050</w:t>
            </w:r>
          </w:p>
        </w:tc>
        <w:tc>
          <w:tcPr>
            <w:tcW w:w="2198" w:type="dxa"/>
            <w:tcBorders>
              <w:top w:val="nil"/>
              <w:left w:val="nil"/>
              <w:bottom w:val="single" w:sz="4" w:space="0" w:color="auto"/>
              <w:right w:val="single" w:sz="4" w:space="0" w:color="auto"/>
            </w:tcBorders>
            <w:shd w:val="clear" w:color="auto" w:fill="auto"/>
            <w:noWrap/>
            <w:vAlign w:val="bottom"/>
            <w:hideMark/>
          </w:tcPr>
          <w:p w14:paraId="7D983D16" w14:textId="77777777" w:rsidR="00FE399D" w:rsidRPr="00D1707B" w:rsidRDefault="00FE399D" w:rsidP="00582303">
            <w:pPr>
              <w:pStyle w:val="CBDTableNormal"/>
              <w:spacing w:before="0" w:after="0"/>
              <w:jc w:val="right"/>
              <w:rPr>
                <w:sz w:val="18"/>
                <w:szCs w:val="18"/>
              </w:rPr>
            </w:pPr>
            <w:r>
              <w:rPr>
                <w:sz w:val="18"/>
              </w:rPr>
              <w:t>0,063</w:t>
            </w:r>
          </w:p>
        </w:tc>
        <w:tc>
          <w:tcPr>
            <w:tcW w:w="1176" w:type="dxa"/>
            <w:tcBorders>
              <w:top w:val="nil"/>
              <w:left w:val="nil"/>
              <w:bottom w:val="single" w:sz="4" w:space="0" w:color="auto"/>
              <w:right w:val="single" w:sz="4" w:space="0" w:color="auto"/>
            </w:tcBorders>
            <w:shd w:val="clear" w:color="auto" w:fill="auto"/>
            <w:noWrap/>
            <w:vAlign w:val="bottom"/>
            <w:hideMark/>
          </w:tcPr>
          <w:p w14:paraId="546C6469" w14:textId="77777777" w:rsidR="00FE399D" w:rsidRPr="00D1707B" w:rsidRDefault="00FE399D" w:rsidP="00582303">
            <w:pPr>
              <w:pStyle w:val="CBDTableNormal"/>
              <w:spacing w:before="0" w:after="0"/>
              <w:jc w:val="right"/>
              <w:rPr>
                <w:sz w:val="18"/>
                <w:szCs w:val="18"/>
              </w:rPr>
            </w:pPr>
            <w:r>
              <w:rPr>
                <w:sz w:val="18"/>
              </w:rPr>
              <w:t>8 800</w:t>
            </w:r>
          </w:p>
        </w:tc>
        <w:tc>
          <w:tcPr>
            <w:tcW w:w="1461" w:type="dxa"/>
            <w:tcBorders>
              <w:top w:val="nil"/>
              <w:left w:val="nil"/>
              <w:bottom w:val="single" w:sz="4" w:space="0" w:color="auto"/>
              <w:right w:val="single" w:sz="4" w:space="0" w:color="auto"/>
            </w:tcBorders>
            <w:shd w:val="clear" w:color="auto" w:fill="auto"/>
            <w:noWrap/>
            <w:vAlign w:val="bottom"/>
            <w:hideMark/>
          </w:tcPr>
          <w:p w14:paraId="5D54EDE1" w14:textId="77777777" w:rsidR="00FE399D" w:rsidRPr="00D1707B" w:rsidRDefault="00FE399D" w:rsidP="00582303">
            <w:pPr>
              <w:pStyle w:val="CBDTableNormal"/>
              <w:spacing w:before="0" w:after="0"/>
              <w:jc w:val="right"/>
              <w:rPr>
                <w:sz w:val="18"/>
                <w:szCs w:val="18"/>
              </w:rPr>
            </w:pPr>
            <w:r>
              <w:rPr>
                <w:sz w:val="18"/>
              </w:rPr>
              <w:t>9 402</w:t>
            </w:r>
          </w:p>
        </w:tc>
        <w:tc>
          <w:tcPr>
            <w:tcW w:w="1080" w:type="dxa"/>
            <w:tcBorders>
              <w:top w:val="nil"/>
              <w:left w:val="nil"/>
              <w:bottom w:val="single" w:sz="4" w:space="0" w:color="auto"/>
              <w:right w:val="single" w:sz="4" w:space="0" w:color="auto"/>
            </w:tcBorders>
            <w:shd w:val="clear" w:color="auto" w:fill="auto"/>
            <w:noWrap/>
            <w:vAlign w:val="bottom"/>
            <w:hideMark/>
          </w:tcPr>
          <w:p w14:paraId="1E36B37F" w14:textId="77777777" w:rsidR="00FE399D" w:rsidRPr="00D1707B" w:rsidRDefault="00FE399D" w:rsidP="00582303">
            <w:pPr>
              <w:pStyle w:val="CBDTableNormal"/>
              <w:spacing w:before="0" w:after="0"/>
              <w:jc w:val="right"/>
              <w:rPr>
                <w:sz w:val="18"/>
                <w:szCs w:val="18"/>
              </w:rPr>
            </w:pPr>
            <w:r>
              <w:rPr>
                <w:sz w:val="18"/>
              </w:rPr>
              <w:t>18 202</w:t>
            </w:r>
          </w:p>
        </w:tc>
      </w:tr>
      <w:tr w:rsidR="00FE399D" w:rsidRPr="00D1707B" w14:paraId="1AFBBD7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5D6F811" w14:textId="77777777" w:rsidR="00FE399D" w:rsidRPr="00D1707B" w:rsidRDefault="00FE399D" w:rsidP="00582303">
            <w:pPr>
              <w:pStyle w:val="CBDTableNormal"/>
              <w:spacing w:before="0" w:after="0"/>
              <w:rPr>
                <w:sz w:val="18"/>
                <w:szCs w:val="18"/>
              </w:rPr>
            </w:pPr>
            <w:r>
              <w:rPr>
                <w:sz w:val="18"/>
              </w:rPr>
              <w:t>Líbano</w:t>
            </w:r>
          </w:p>
        </w:tc>
        <w:tc>
          <w:tcPr>
            <w:tcW w:w="1628" w:type="dxa"/>
            <w:tcBorders>
              <w:top w:val="nil"/>
              <w:left w:val="nil"/>
              <w:bottom w:val="single" w:sz="4" w:space="0" w:color="auto"/>
              <w:right w:val="single" w:sz="4" w:space="0" w:color="auto"/>
            </w:tcBorders>
            <w:shd w:val="clear" w:color="auto" w:fill="auto"/>
            <w:vAlign w:val="bottom"/>
            <w:hideMark/>
          </w:tcPr>
          <w:p w14:paraId="32F7789F" w14:textId="77777777" w:rsidR="00FE399D" w:rsidRPr="00D1707B" w:rsidRDefault="00FE399D" w:rsidP="00582303">
            <w:pPr>
              <w:pStyle w:val="CBDTableNormal"/>
              <w:spacing w:before="0" w:after="0"/>
              <w:jc w:val="right"/>
              <w:rPr>
                <w:sz w:val="18"/>
                <w:szCs w:val="18"/>
              </w:rPr>
            </w:pPr>
            <w:r>
              <w:rPr>
                <w:sz w:val="18"/>
              </w:rPr>
              <w:t>0,036</w:t>
            </w:r>
          </w:p>
        </w:tc>
        <w:tc>
          <w:tcPr>
            <w:tcW w:w="2198" w:type="dxa"/>
            <w:tcBorders>
              <w:top w:val="nil"/>
              <w:left w:val="nil"/>
              <w:bottom w:val="single" w:sz="4" w:space="0" w:color="auto"/>
              <w:right w:val="single" w:sz="4" w:space="0" w:color="auto"/>
            </w:tcBorders>
            <w:shd w:val="clear" w:color="auto" w:fill="auto"/>
            <w:noWrap/>
            <w:vAlign w:val="bottom"/>
            <w:hideMark/>
          </w:tcPr>
          <w:p w14:paraId="5ADB3A6F" w14:textId="77777777" w:rsidR="00FE399D" w:rsidRPr="00D1707B" w:rsidRDefault="00FE399D" w:rsidP="00582303">
            <w:pPr>
              <w:pStyle w:val="CBDTableNormal"/>
              <w:spacing w:before="0" w:after="0"/>
              <w:jc w:val="right"/>
              <w:rPr>
                <w:sz w:val="18"/>
                <w:szCs w:val="18"/>
              </w:rPr>
            </w:pPr>
            <w:r>
              <w:rPr>
                <w:sz w:val="18"/>
              </w:rPr>
              <w:t>0,045</w:t>
            </w:r>
          </w:p>
        </w:tc>
        <w:tc>
          <w:tcPr>
            <w:tcW w:w="1176" w:type="dxa"/>
            <w:tcBorders>
              <w:top w:val="nil"/>
              <w:left w:val="nil"/>
              <w:bottom w:val="single" w:sz="4" w:space="0" w:color="auto"/>
              <w:right w:val="single" w:sz="4" w:space="0" w:color="auto"/>
            </w:tcBorders>
            <w:shd w:val="clear" w:color="auto" w:fill="auto"/>
            <w:noWrap/>
            <w:vAlign w:val="bottom"/>
            <w:hideMark/>
          </w:tcPr>
          <w:p w14:paraId="275DA9E3" w14:textId="77777777" w:rsidR="00FE399D" w:rsidRPr="00D1707B" w:rsidRDefault="00FE399D" w:rsidP="00582303">
            <w:pPr>
              <w:pStyle w:val="CBDTableNormal"/>
              <w:spacing w:before="0" w:after="0"/>
              <w:jc w:val="right"/>
              <w:rPr>
                <w:sz w:val="18"/>
                <w:szCs w:val="18"/>
              </w:rPr>
            </w:pPr>
            <w:r>
              <w:rPr>
                <w:sz w:val="18"/>
              </w:rPr>
              <w:t>6 336</w:t>
            </w:r>
          </w:p>
        </w:tc>
        <w:tc>
          <w:tcPr>
            <w:tcW w:w="1461" w:type="dxa"/>
            <w:tcBorders>
              <w:top w:val="nil"/>
              <w:left w:val="nil"/>
              <w:bottom w:val="single" w:sz="4" w:space="0" w:color="auto"/>
              <w:right w:val="single" w:sz="4" w:space="0" w:color="auto"/>
            </w:tcBorders>
            <w:shd w:val="clear" w:color="auto" w:fill="auto"/>
            <w:noWrap/>
            <w:vAlign w:val="bottom"/>
            <w:hideMark/>
          </w:tcPr>
          <w:p w14:paraId="4F4B4314" w14:textId="77777777" w:rsidR="00FE399D" w:rsidRPr="00D1707B" w:rsidRDefault="00FE399D" w:rsidP="00582303">
            <w:pPr>
              <w:pStyle w:val="CBDTableNormal"/>
              <w:spacing w:before="0" w:after="0"/>
              <w:jc w:val="right"/>
              <w:rPr>
                <w:sz w:val="18"/>
                <w:szCs w:val="18"/>
              </w:rPr>
            </w:pPr>
            <w:r>
              <w:rPr>
                <w:sz w:val="18"/>
              </w:rPr>
              <w:t>6 769</w:t>
            </w:r>
          </w:p>
        </w:tc>
        <w:tc>
          <w:tcPr>
            <w:tcW w:w="1080" w:type="dxa"/>
            <w:tcBorders>
              <w:top w:val="nil"/>
              <w:left w:val="nil"/>
              <w:bottom w:val="single" w:sz="4" w:space="0" w:color="auto"/>
              <w:right w:val="single" w:sz="4" w:space="0" w:color="auto"/>
            </w:tcBorders>
            <w:shd w:val="clear" w:color="auto" w:fill="auto"/>
            <w:noWrap/>
            <w:vAlign w:val="bottom"/>
            <w:hideMark/>
          </w:tcPr>
          <w:p w14:paraId="15593966" w14:textId="77777777" w:rsidR="00FE399D" w:rsidRPr="00D1707B" w:rsidRDefault="00FE399D" w:rsidP="00582303">
            <w:pPr>
              <w:pStyle w:val="CBDTableNormal"/>
              <w:spacing w:before="0" w:after="0"/>
              <w:jc w:val="right"/>
              <w:rPr>
                <w:sz w:val="18"/>
                <w:szCs w:val="18"/>
              </w:rPr>
            </w:pPr>
            <w:r>
              <w:rPr>
                <w:sz w:val="18"/>
              </w:rPr>
              <w:t>13 105</w:t>
            </w:r>
          </w:p>
        </w:tc>
      </w:tr>
      <w:tr w:rsidR="00FE399D" w:rsidRPr="00D1707B" w14:paraId="6A676C8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69F8B84" w14:textId="77777777" w:rsidR="00FE399D" w:rsidRPr="00D1707B" w:rsidRDefault="00FE399D" w:rsidP="00582303">
            <w:pPr>
              <w:pStyle w:val="CBDTableNormal"/>
              <w:spacing w:before="0" w:after="0"/>
              <w:rPr>
                <w:sz w:val="18"/>
                <w:szCs w:val="18"/>
              </w:rPr>
            </w:pPr>
            <w:r>
              <w:rPr>
                <w:sz w:val="18"/>
              </w:rPr>
              <w:t>Liberia</w:t>
            </w:r>
          </w:p>
        </w:tc>
        <w:tc>
          <w:tcPr>
            <w:tcW w:w="1628" w:type="dxa"/>
            <w:tcBorders>
              <w:top w:val="nil"/>
              <w:left w:val="nil"/>
              <w:bottom w:val="single" w:sz="4" w:space="0" w:color="auto"/>
              <w:right w:val="single" w:sz="4" w:space="0" w:color="auto"/>
            </w:tcBorders>
            <w:shd w:val="clear" w:color="auto" w:fill="auto"/>
            <w:vAlign w:val="bottom"/>
            <w:hideMark/>
          </w:tcPr>
          <w:p w14:paraId="71B81D45"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3F47C37F"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3F23BA7A"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58B59DE8"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4A77A0FA"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45554B5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CBBBC2F" w14:textId="77777777" w:rsidR="00FE399D" w:rsidRPr="00D1707B" w:rsidRDefault="00FE399D" w:rsidP="00582303">
            <w:pPr>
              <w:pStyle w:val="CBDTableNormal"/>
              <w:spacing w:before="0" w:after="0"/>
              <w:rPr>
                <w:sz w:val="18"/>
                <w:szCs w:val="18"/>
              </w:rPr>
            </w:pPr>
            <w:r>
              <w:rPr>
                <w:sz w:val="18"/>
              </w:rPr>
              <w:t>Libia</w:t>
            </w:r>
          </w:p>
        </w:tc>
        <w:tc>
          <w:tcPr>
            <w:tcW w:w="1628" w:type="dxa"/>
            <w:tcBorders>
              <w:top w:val="nil"/>
              <w:left w:val="nil"/>
              <w:bottom w:val="single" w:sz="4" w:space="0" w:color="auto"/>
              <w:right w:val="single" w:sz="4" w:space="0" w:color="auto"/>
            </w:tcBorders>
            <w:shd w:val="clear" w:color="auto" w:fill="auto"/>
            <w:vAlign w:val="bottom"/>
            <w:hideMark/>
          </w:tcPr>
          <w:p w14:paraId="692F0694" w14:textId="77777777" w:rsidR="00FE399D" w:rsidRPr="00D1707B" w:rsidRDefault="00FE399D" w:rsidP="00582303">
            <w:pPr>
              <w:pStyle w:val="CBDTableNormal"/>
              <w:spacing w:before="0" w:after="0"/>
              <w:jc w:val="right"/>
              <w:rPr>
                <w:sz w:val="18"/>
                <w:szCs w:val="18"/>
              </w:rPr>
            </w:pPr>
            <w:r>
              <w:rPr>
                <w:sz w:val="18"/>
              </w:rPr>
              <w:t>0,018</w:t>
            </w:r>
          </w:p>
        </w:tc>
        <w:tc>
          <w:tcPr>
            <w:tcW w:w="2198" w:type="dxa"/>
            <w:tcBorders>
              <w:top w:val="nil"/>
              <w:left w:val="nil"/>
              <w:bottom w:val="single" w:sz="4" w:space="0" w:color="auto"/>
              <w:right w:val="single" w:sz="4" w:space="0" w:color="auto"/>
            </w:tcBorders>
            <w:shd w:val="clear" w:color="auto" w:fill="auto"/>
            <w:noWrap/>
            <w:vAlign w:val="bottom"/>
            <w:hideMark/>
          </w:tcPr>
          <w:p w14:paraId="4C1C3BC0" w14:textId="77777777" w:rsidR="00FE399D" w:rsidRPr="00D1707B" w:rsidRDefault="00FE399D" w:rsidP="00582303">
            <w:pPr>
              <w:pStyle w:val="CBDTableNormal"/>
              <w:spacing w:before="0" w:after="0"/>
              <w:jc w:val="right"/>
              <w:rPr>
                <w:sz w:val="18"/>
                <w:szCs w:val="18"/>
              </w:rPr>
            </w:pPr>
            <w:r>
              <w:rPr>
                <w:sz w:val="18"/>
              </w:rPr>
              <w:t>0,023</w:t>
            </w:r>
          </w:p>
        </w:tc>
        <w:tc>
          <w:tcPr>
            <w:tcW w:w="1176" w:type="dxa"/>
            <w:tcBorders>
              <w:top w:val="nil"/>
              <w:left w:val="nil"/>
              <w:bottom w:val="single" w:sz="4" w:space="0" w:color="auto"/>
              <w:right w:val="single" w:sz="4" w:space="0" w:color="auto"/>
            </w:tcBorders>
            <w:shd w:val="clear" w:color="auto" w:fill="auto"/>
            <w:noWrap/>
            <w:vAlign w:val="bottom"/>
            <w:hideMark/>
          </w:tcPr>
          <w:p w14:paraId="722D025F" w14:textId="77777777" w:rsidR="00FE399D" w:rsidRPr="00D1707B" w:rsidRDefault="00FE399D" w:rsidP="00582303">
            <w:pPr>
              <w:pStyle w:val="CBDTableNormal"/>
              <w:spacing w:before="0" w:after="0"/>
              <w:jc w:val="right"/>
              <w:rPr>
                <w:sz w:val="18"/>
                <w:szCs w:val="18"/>
              </w:rPr>
            </w:pPr>
            <w:r>
              <w:rPr>
                <w:sz w:val="18"/>
              </w:rPr>
              <w:t>3 168</w:t>
            </w:r>
          </w:p>
        </w:tc>
        <w:tc>
          <w:tcPr>
            <w:tcW w:w="1461" w:type="dxa"/>
            <w:tcBorders>
              <w:top w:val="nil"/>
              <w:left w:val="nil"/>
              <w:bottom w:val="single" w:sz="4" w:space="0" w:color="auto"/>
              <w:right w:val="single" w:sz="4" w:space="0" w:color="auto"/>
            </w:tcBorders>
            <w:shd w:val="clear" w:color="auto" w:fill="auto"/>
            <w:noWrap/>
            <w:vAlign w:val="bottom"/>
            <w:hideMark/>
          </w:tcPr>
          <w:p w14:paraId="43C0FD9C" w14:textId="77777777" w:rsidR="00FE399D" w:rsidRPr="00D1707B" w:rsidRDefault="00FE399D" w:rsidP="00582303">
            <w:pPr>
              <w:pStyle w:val="CBDTableNormal"/>
              <w:spacing w:before="0" w:after="0"/>
              <w:jc w:val="right"/>
              <w:rPr>
                <w:sz w:val="18"/>
                <w:szCs w:val="18"/>
              </w:rPr>
            </w:pPr>
            <w:r>
              <w:rPr>
                <w:sz w:val="18"/>
              </w:rPr>
              <w:t>3 385</w:t>
            </w:r>
          </w:p>
        </w:tc>
        <w:tc>
          <w:tcPr>
            <w:tcW w:w="1080" w:type="dxa"/>
            <w:tcBorders>
              <w:top w:val="nil"/>
              <w:left w:val="nil"/>
              <w:bottom w:val="single" w:sz="4" w:space="0" w:color="auto"/>
              <w:right w:val="single" w:sz="4" w:space="0" w:color="auto"/>
            </w:tcBorders>
            <w:shd w:val="clear" w:color="auto" w:fill="auto"/>
            <w:noWrap/>
            <w:vAlign w:val="bottom"/>
            <w:hideMark/>
          </w:tcPr>
          <w:p w14:paraId="5DCE1054" w14:textId="77777777" w:rsidR="00FE399D" w:rsidRPr="00D1707B" w:rsidRDefault="00FE399D" w:rsidP="00582303">
            <w:pPr>
              <w:pStyle w:val="CBDTableNormal"/>
              <w:spacing w:before="0" w:after="0"/>
              <w:jc w:val="right"/>
              <w:rPr>
                <w:sz w:val="18"/>
                <w:szCs w:val="18"/>
              </w:rPr>
            </w:pPr>
            <w:r>
              <w:rPr>
                <w:sz w:val="18"/>
              </w:rPr>
              <w:t>6 553</w:t>
            </w:r>
          </w:p>
        </w:tc>
      </w:tr>
      <w:tr w:rsidR="00FE399D" w:rsidRPr="00D1707B" w14:paraId="0FD7A95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43941B7" w14:textId="77777777" w:rsidR="00FE399D" w:rsidRPr="00D1707B" w:rsidRDefault="00FE399D" w:rsidP="00582303">
            <w:pPr>
              <w:pStyle w:val="CBDTableNormal"/>
              <w:spacing w:before="0" w:after="0"/>
              <w:rPr>
                <w:sz w:val="18"/>
                <w:szCs w:val="18"/>
              </w:rPr>
            </w:pPr>
            <w:r>
              <w:rPr>
                <w:sz w:val="18"/>
              </w:rPr>
              <w:t>Liechtenstein</w:t>
            </w:r>
          </w:p>
        </w:tc>
        <w:tc>
          <w:tcPr>
            <w:tcW w:w="1628" w:type="dxa"/>
            <w:tcBorders>
              <w:top w:val="nil"/>
              <w:left w:val="nil"/>
              <w:bottom w:val="single" w:sz="4" w:space="0" w:color="auto"/>
              <w:right w:val="single" w:sz="4" w:space="0" w:color="auto"/>
            </w:tcBorders>
            <w:shd w:val="clear" w:color="auto" w:fill="auto"/>
            <w:vAlign w:val="bottom"/>
            <w:hideMark/>
          </w:tcPr>
          <w:p w14:paraId="539B1140" w14:textId="77777777" w:rsidR="00FE399D" w:rsidRPr="00D1707B" w:rsidRDefault="00FE399D" w:rsidP="00582303">
            <w:pPr>
              <w:pStyle w:val="CBDTableNormal"/>
              <w:spacing w:before="0" w:after="0"/>
              <w:jc w:val="right"/>
              <w:rPr>
                <w:sz w:val="18"/>
                <w:szCs w:val="18"/>
              </w:rPr>
            </w:pPr>
            <w:r>
              <w:rPr>
                <w:sz w:val="18"/>
              </w:rPr>
              <w:t>0,010</w:t>
            </w:r>
          </w:p>
        </w:tc>
        <w:tc>
          <w:tcPr>
            <w:tcW w:w="2198" w:type="dxa"/>
            <w:tcBorders>
              <w:top w:val="nil"/>
              <w:left w:val="nil"/>
              <w:bottom w:val="single" w:sz="4" w:space="0" w:color="auto"/>
              <w:right w:val="single" w:sz="4" w:space="0" w:color="auto"/>
            </w:tcBorders>
            <w:shd w:val="clear" w:color="auto" w:fill="auto"/>
            <w:noWrap/>
            <w:vAlign w:val="bottom"/>
            <w:hideMark/>
          </w:tcPr>
          <w:p w14:paraId="7EF1A32E" w14:textId="77777777" w:rsidR="00FE399D" w:rsidRPr="00D1707B" w:rsidRDefault="00FE399D" w:rsidP="00582303">
            <w:pPr>
              <w:pStyle w:val="CBDTableNormal"/>
              <w:spacing w:before="0" w:after="0"/>
              <w:jc w:val="right"/>
              <w:rPr>
                <w:sz w:val="18"/>
                <w:szCs w:val="18"/>
              </w:rPr>
            </w:pPr>
            <w:r>
              <w:rPr>
                <w:sz w:val="18"/>
              </w:rPr>
              <w:t>0,013</w:t>
            </w:r>
          </w:p>
        </w:tc>
        <w:tc>
          <w:tcPr>
            <w:tcW w:w="1176" w:type="dxa"/>
            <w:tcBorders>
              <w:top w:val="nil"/>
              <w:left w:val="nil"/>
              <w:bottom w:val="single" w:sz="4" w:space="0" w:color="auto"/>
              <w:right w:val="single" w:sz="4" w:space="0" w:color="auto"/>
            </w:tcBorders>
            <w:shd w:val="clear" w:color="auto" w:fill="auto"/>
            <w:noWrap/>
            <w:vAlign w:val="bottom"/>
            <w:hideMark/>
          </w:tcPr>
          <w:p w14:paraId="170E213C" w14:textId="77777777" w:rsidR="00FE399D" w:rsidRPr="00D1707B" w:rsidRDefault="00FE399D" w:rsidP="00582303">
            <w:pPr>
              <w:pStyle w:val="CBDTableNormal"/>
              <w:spacing w:before="0" w:after="0"/>
              <w:jc w:val="right"/>
              <w:rPr>
                <w:sz w:val="18"/>
                <w:szCs w:val="18"/>
              </w:rPr>
            </w:pPr>
            <w:r>
              <w:rPr>
                <w:sz w:val="18"/>
              </w:rPr>
              <w:t>1 760</w:t>
            </w:r>
          </w:p>
        </w:tc>
        <w:tc>
          <w:tcPr>
            <w:tcW w:w="1461" w:type="dxa"/>
            <w:tcBorders>
              <w:top w:val="nil"/>
              <w:left w:val="nil"/>
              <w:bottom w:val="single" w:sz="4" w:space="0" w:color="auto"/>
              <w:right w:val="single" w:sz="4" w:space="0" w:color="auto"/>
            </w:tcBorders>
            <w:shd w:val="clear" w:color="auto" w:fill="auto"/>
            <w:noWrap/>
            <w:vAlign w:val="bottom"/>
            <w:hideMark/>
          </w:tcPr>
          <w:p w14:paraId="141DC8A6" w14:textId="77777777" w:rsidR="00FE399D" w:rsidRPr="00D1707B" w:rsidRDefault="00FE399D" w:rsidP="00582303">
            <w:pPr>
              <w:pStyle w:val="CBDTableNormal"/>
              <w:spacing w:before="0" w:after="0"/>
              <w:jc w:val="right"/>
              <w:rPr>
                <w:sz w:val="18"/>
                <w:szCs w:val="18"/>
              </w:rPr>
            </w:pPr>
            <w:r>
              <w:rPr>
                <w:sz w:val="18"/>
              </w:rPr>
              <w:t>1 880</w:t>
            </w:r>
          </w:p>
        </w:tc>
        <w:tc>
          <w:tcPr>
            <w:tcW w:w="1080" w:type="dxa"/>
            <w:tcBorders>
              <w:top w:val="nil"/>
              <w:left w:val="nil"/>
              <w:bottom w:val="single" w:sz="4" w:space="0" w:color="auto"/>
              <w:right w:val="single" w:sz="4" w:space="0" w:color="auto"/>
            </w:tcBorders>
            <w:shd w:val="clear" w:color="auto" w:fill="auto"/>
            <w:noWrap/>
            <w:vAlign w:val="bottom"/>
            <w:hideMark/>
          </w:tcPr>
          <w:p w14:paraId="55A75794" w14:textId="77777777" w:rsidR="00FE399D" w:rsidRPr="00D1707B" w:rsidRDefault="00FE399D" w:rsidP="00582303">
            <w:pPr>
              <w:pStyle w:val="CBDTableNormal"/>
              <w:spacing w:before="0" w:after="0"/>
              <w:jc w:val="right"/>
              <w:rPr>
                <w:sz w:val="18"/>
                <w:szCs w:val="18"/>
              </w:rPr>
            </w:pPr>
            <w:r>
              <w:rPr>
                <w:sz w:val="18"/>
              </w:rPr>
              <w:t>3 640</w:t>
            </w:r>
          </w:p>
        </w:tc>
      </w:tr>
      <w:tr w:rsidR="00FE399D" w:rsidRPr="00D1707B" w14:paraId="35D1243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F889A57" w14:textId="77777777" w:rsidR="00FE399D" w:rsidRPr="00D1707B" w:rsidRDefault="00FE399D" w:rsidP="00582303">
            <w:pPr>
              <w:pStyle w:val="CBDTableNormal"/>
              <w:spacing w:before="0" w:after="0"/>
              <w:rPr>
                <w:sz w:val="18"/>
                <w:szCs w:val="18"/>
              </w:rPr>
            </w:pPr>
            <w:r>
              <w:rPr>
                <w:sz w:val="18"/>
              </w:rPr>
              <w:t>Lituania</w:t>
            </w:r>
          </w:p>
        </w:tc>
        <w:tc>
          <w:tcPr>
            <w:tcW w:w="1628" w:type="dxa"/>
            <w:tcBorders>
              <w:top w:val="nil"/>
              <w:left w:val="nil"/>
              <w:bottom w:val="single" w:sz="4" w:space="0" w:color="auto"/>
              <w:right w:val="single" w:sz="4" w:space="0" w:color="auto"/>
            </w:tcBorders>
            <w:shd w:val="clear" w:color="auto" w:fill="auto"/>
            <w:vAlign w:val="bottom"/>
            <w:hideMark/>
          </w:tcPr>
          <w:p w14:paraId="1695E1BC" w14:textId="77777777" w:rsidR="00FE399D" w:rsidRPr="00D1707B" w:rsidRDefault="00FE399D" w:rsidP="00582303">
            <w:pPr>
              <w:pStyle w:val="CBDTableNormal"/>
              <w:spacing w:before="0" w:after="0"/>
              <w:jc w:val="right"/>
              <w:rPr>
                <w:sz w:val="18"/>
                <w:szCs w:val="18"/>
              </w:rPr>
            </w:pPr>
            <w:r>
              <w:rPr>
                <w:sz w:val="18"/>
              </w:rPr>
              <w:t>0,077</w:t>
            </w:r>
          </w:p>
        </w:tc>
        <w:tc>
          <w:tcPr>
            <w:tcW w:w="2198" w:type="dxa"/>
            <w:tcBorders>
              <w:top w:val="nil"/>
              <w:left w:val="nil"/>
              <w:bottom w:val="single" w:sz="4" w:space="0" w:color="auto"/>
              <w:right w:val="single" w:sz="4" w:space="0" w:color="auto"/>
            </w:tcBorders>
            <w:shd w:val="clear" w:color="auto" w:fill="auto"/>
            <w:noWrap/>
            <w:vAlign w:val="bottom"/>
            <w:hideMark/>
          </w:tcPr>
          <w:p w14:paraId="0F01B2E1" w14:textId="77777777" w:rsidR="00FE399D" w:rsidRPr="00D1707B" w:rsidRDefault="00FE399D" w:rsidP="00582303">
            <w:pPr>
              <w:pStyle w:val="CBDTableNormal"/>
              <w:spacing w:before="0" w:after="0"/>
              <w:jc w:val="right"/>
              <w:rPr>
                <w:sz w:val="18"/>
                <w:szCs w:val="18"/>
              </w:rPr>
            </w:pPr>
            <w:r>
              <w:rPr>
                <w:sz w:val="18"/>
              </w:rPr>
              <w:t>0,096</w:t>
            </w:r>
          </w:p>
        </w:tc>
        <w:tc>
          <w:tcPr>
            <w:tcW w:w="1176" w:type="dxa"/>
            <w:tcBorders>
              <w:top w:val="nil"/>
              <w:left w:val="nil"/>
              <w:bottom w:val="single" w:sz="4" w:space="0" w:color="auto"/>
              <w:right w:val="single" w:sz="4" w:space="0" w:color="auto"/>
            </w:tcBorders>
            <w:shd w:val="clear" w:color="auto" w:fill="auto"/>
            <w:noWrap/>
            <w:vAlign w:val="bottom"/>
            <w:hideMark/>
          </w:tcPr>
          <w:p w14:paraId="4F382373" w14:textId="77777777" w:rsidR="00FE399D" w:rsidRPr="00D1707B" w:rsidRDefault="00FE399D" w:rsidP="00582303">
            <w:pPr>
              <w:pStyle w:val="CBDTableNormal"/>
              <w:spacing w:before="0" w:after="0"/>
              <w:jc w:val="right"/>
              <w:rPr>
                <w:sz w:val="18"/>
                <w:szCs w:val="18"/>
              </w:rPr>
            </w:pPr>
            <w:r>
              <w:rPr>
                <w:sz w:val="18"/>
              </w:rPr>
              <w:t>13 552</w:t>
            </w:r>
          </w:p>
        </w:tc>
        <w:tc>
          <w:tcPr>
            <w:tcW w:w="1461" w:type="dxa"/>
            <w:tcBorders>
              <w:top w:val="nil"/>
              <w:left w:val="nil"/>
              <w:bottom w:val="single" w:sz="4" w:space="0" w:color="auto"/>
              <w:right w:val="single" w:sz="4" w:space="0" w:color="auto"/>
            </w:tcBorders>
            <w:shd w:val="clear" w:color="auto" w:fill="auto"/>
            <w:noWrap/>
            <w:vAlign w:val="bottom"/>
            <w:hideMark/>
          </w:tcPr>
          <w:p w14:paraId="37B4D815" w14:textId="77777777" w:rsidR="00FE399D" w:rsidRPr="00D1707B" w:rsidRDefault="00FE399D" w:rsidP="00582303">
            <w:pPr>
              <w:pStyle w:val="CBDTableNormal"/>
              <w:spacing w:before="0" w:after="0"/>
              <w:jc w:val="right"/>
              <w:rPr>
                <w:sz w:val="18"/>
                <w:szCs w:val="18"/>
              </w:rPr>
            </w:pPr>
            <w:r>
              <w:rPr>
                <w:sz w:val="18"/>
              </w:rPr>
              <w:t>14 479</w:t>
            </w:r>
          </w:p>
        </w:tc>
        <w:tc>
          <w:tcPr>
            <w:tcW w:w="1080" w:type="dxa"/>
            <w:tcBorders>
              <w:top w:val="nil"/>
              <w:left w:val="nil"/>
              <w:bottom w:val="single" w:sz="4" w:space="0" w:color="auto"/>
              <w:right w:val="single" w:sz="4" w:space="0" w:color="auto"/>
            </w:tcBorders>
            <w:shd w:val="clear" w:color="auto" w:fill="auto"/>
            <w:noWrap/>
            <w:vAlign w:val="bottom"/>
            <w:hideMark/>
          </w:tcPr>
          <w:p w14:paraId="2FD26749" w14:textId="77777777" w:rsidR="00FE399D" w:rsidRPr="00D1707B" w:rsidRDefault="00FE399D" w:rsidP="00582303">
            <w:pPr>
              <w:pStyle w:val="CBDTableNormal"/>
              <w:spacing w:before="0" w:after="0"/>
              <w:jc w:val="right"/>
              <w:rPr>
                <w:sz w:val="18"/>
                <w:szCs w:val="18"/>
              </w:rPr>
            </w:pPr>
            <w:r>
              <w:rPr>
                <w:sz w:val="18"/>
              </w:rPr>
              <w:t>28 030</w:t>
            </w:r>
          </w:p>
        </w:tc>
      </w:tr>
      <w:tr w:rsidR="00FE399D" w:rsidRPr="00D1707B" w14:paraId="56FC3EF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36699B6" w14:textId="77777777" w:rsidR="00FE399D" w:rsidRPr="00D1707B" w:rsidRDefault="00FE399D" w:rsidP="00582303">
            <w:pPr>
              <w:pStyle w:val="CBDTableNormal"/>
              <w:spacing w:before="0" w:after="0"/>
              <w:rPr>
                <w:sz w:val="18"/>
                <w:szCs w:val="18"/>
              </w:rPr>
            </w:pPr>
            <w:r>
              <w:rPr>
                <w:sz w:val="18"/>
              </w:rPr>
              <w:lastRenderedPageBreak/>
              <w:t>Luxemburgo</w:t>
            </w:r>
          </w:p>
        </w:tc>
        <w:tc>
          <w:tcPr>
            <w:tcW w:w="1628" w:type="dxa"/>
            <w:tcBorders>
              <w:top w:val="nil"/>
              <w:left w:val="nil"/>
              <w:bottom w:val="single" w:sz="4" w:space="0" w:color="auto"/>
              <w:right w:val="single" w:sz="4" w:space="0" w:color="auto"/>
            </w:tcBorders>
            <w:shd w:val="clear" w:color="auto" w:fill="auto"/>
            <w:vAlign w:val="bottom"/>
            <w:hideMark/>
          </w:tcPr>
          <w:p w14:paraId="0223A527" w14:textId="77777777" w:rsidR="00FE399D" w:rsidRPr="00D1707B" w:rsidRDefault="00FE399D" w:rsidP="00582303">
            <w:pPr>
              <w:pStyle w:val="CBDTableNormal"/>
              <w:spacing w:before="0" w:after="0"/>
              <w:jc w:val="right"/>
              <w:rPr>
                <w:sz w:val="18"/>
                <w:szCs w:val="18"/>
              </w:rPr>
            </w:pPr>
            <w:r>
              <w:rPr>
                <w:sz w:val="18"/>
              </w:rPr>
              <w:t>0,068</w:t>
            </w:r>
          </w:p>
        </w:tc>
        <w:tc>
          <w:tcPr>
            <w:tcW w:w="2198" w:type="dxa"/>
            <w:tcBorders>
              <w:top w:val="nil"/>
              <w:left w:val="nil"/>
              <w:bottom w:val="single" w:sz="4" w:space="0" w:color="auto"/>
              <w:right w:val="single" w:sz="4" w:space="0" w:color="auto"/>
            </w:tcBorders>
            <w:shd w:val="clear" w:color="auto" w:fill="auto"/>
            <w:noWrap/>
            <w:vAlign w:val="bottom"/>
            <w:hideMark/>
          </w:tcPr>
          <w:p w14:paraId="2C8367F7" w14:textId="77777777" w:rsidR="00FE399D" w:rsidRPr="00D1707B" w:rsidRDefault="00FE399D" w:rsidP="00582303">
            <w:pPr>
              <w:pStyle w:val="CBDTableNormal"/>
              <w:spacing w:before="0" w:after="0"/>
              <w:jc w:val="right"/>
              <w:rPr>
                <w:sz w:val="18"/>
                <w:szCs w:val="18"/>
              </w:rPr>
            </w:pPr>
            <w:r>
              <w:rPr>
                <w:sz w:val="18"/>
              </w:rPr>
              <w:t>0,085</w:t>
            </w:r>
          </w:p>
        </w:tc>
        <w:tc>
          <w:tcPr>
            <w:tcW w:w="1176" w:type="dxa"/>
            <w:tcBorders>
              <w:top w:val="nil"/>
              <w:left w:val="nil"/>
              <w:bottom w:val="single" w:sz="4" w:space="0" w:color="auto"/>
              <w:right w:val="single" w:sz="4" w:space="0" w:color="auto"/>
            </w:tcBorders>
            <w:shd w:val="clear" w:color="auto" w:fill="auto"/>
            <w:noWrap/>
            <w:vAlign w:val="bottom"/>
            <w:hideMark/>
          </w:tcPr>
          <w:p w14:paraId="48383B4F" w14:textId="77777777" w:rsidR="00FE399D" w:rsidRPr="00D1707B" w:rsidRDefault="00FE399D" w:rsidP="00582303">
            <w:pPr>
              <w:pStyle w:val="CBDTableNormal"/>
              <w:spacing w:before="0" w:after="0"/>
              <w:jc w:val="right"/>
              <w:rPr>
                <w:sz w:val="18"/>
                <w:szCs w:val="18"/>
              </w:rPr>
            </w:pPr>
            <w:r>
              <w:rPr>
                <w:sz w:val="18"/>
              </w:rPr>
              <w:t>11 968</w:t>
            </w:r>
          </w:p>
        </w:tc>
        <w:tc>
          <w:tcPr>
            <w:tcW w:w="1461" w:type="dxa"/>
            <w:tcBorders>
              <w:top w:val="nil"/>
              <w:left w:val="nil"/>
              <w:bottom w:val="single" w:sz="4" w:space="0" w:color="auto"/>
              <w:right w:val="single" w:sz="4" w:space="0" w:color="auto"/>
            </w:tcBorders>
            <w:shd w:val="clear" w:color="auto" w:fill="auto"/>
            <w:noWrap/>
            <w:vAlign w:val="bottom"/>
            <w:hideMark/>
          </w:tcPr>
          <w:p w14:paraId="3048289B" w14:textId="77777777" w:rsidR="00FE399D" w:rsidRPr="00D1707B" w:rsidRDefault="00FE399D" w:rsidP="00582303">
            <w:pPr>
              <w:pStyle w:val="CBDTableNormal"/>
              <w:spacing w:before="0" w:after="0"/>
              <w:jc w:val="right"/>
              <w:rPr>
                <w:sz w:val="18"/>
                <w:szCs w:val="18"/>
              </w:rPr>
            </w:pPr>
            <w:r>
              <w:rPr>
                <w:sz w:val="18"/>
              </w:rPr>
              <w:t>12 786</w:t>
            </w:r>
          </w:p>
        </w:tc>
        <w:tc>
          <w:tcPr>
            <w:tcW w:w="1080" w:type="dxa"/>
            <w:tcBorders>
              <w:top w:val="nil"/>
              <w:left w:val="nil"/>
              <w:bottom w:val="single" w:sz="4" w:space="0" w:color="auto"/>
              <w:right w:val="single" w:sz="4" w:space="0" w:color="auto"/>
            </w:tcBorders>
            <w:shd w:val="clear" w:color="auto" w:fill="auto"/>
            <w:noWrap/>
            <w:vAlign w:val="bottom"/>
            <w:hideMark/>
          </w:tcPr>
          <w:p w14:paraId="5B4A9328" w14:textId="77777777" w:rsidR="00FE399D" w:rsidRPr="00D1707B" w:rsidRDefault="00FE399D" w:rsidP="00582303">
            <w:pPr>
              <w:pStyle w:val="CBDTableNormal"/>
              <w:spacing w:before="0" w:after="0"/>
              <w:jc w:val="right"/>
              <w:rPr>
                <w:sz w:val="18"/>
                <w:szCs w:val="18"/>
              </w:rPr>
            </w:pPr>
            <w:r>
              <w:rPr>
                <w:sz w:val="18"/>
              </w:rPr>
              <w:t>24 754</w:t>
            </w:r>
          </w:p>
        </w:tc>
      </w:tr>
      <w:tr w:rsidR="00FE399D" w:rsidRPr="00D1707B" w14:paraId="4361509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60991D5" w14:textId="77777777" w:rsidR="00FE399D" w:rsidRPr="00D1707B" w:rsidRDefault="00FE399D" w:rsidP="00582303">
            <w:pPr>
              <w:pStyle w:val="CBDTableNormal"/>
              <w:spacing w:before="0" w:after="0"/>
              <w:rPr>
                <w:sz w:val="18"/>
                <w:szCs w:val="18"/>
              </w:rPr>
            </w:pPr>
            <w:r>
              <w:rPr>
                <w:sz w:val="18"/>
              </w:rPr>
              <w:t>Macedonia del Norte</w:t>
            </w:r>
          </w:p>
        </w:tc>
        <w:tc>
          <w:tcPr>
            <w:tcW w:w="1628" w:type="dxa"/>
            <w:tcBorders>
              <w:top w:val="nil"/>
              <w:left w:val="nil"/>
              <w:bottom w:val="single" w:sz="4" w:space="0" w:color="auto"/>
              <w:right w:val="single" w:sz="4" w:space="0" w:color="auto"/>
            </w:tcBorders>
            <w:shd w:val="clear" w:color="auto" w:fill="auto"/>
            <w:vAlign w:val="bottom"/>
            <w:hideMark/>
          </w:tcPr>
          <w:p w14:paraId="582C6002" w14:textId="77777777" w:rsidR="00FE399D" w:rsidRPr="00D1707B" w:rsidRDefault="00FE399D" w:rsidP="00582303">
            <w:pPr>
              <w:pStyle w:val="CBDTableNormal"/>
              <w:spacing w:before="0" w:after="0"/>
              <w:jc w:val="right"/>
              <w:rPr>
                <w:sz w:val="18"/>
                <w:szCs w:val="18"/>
              </w:rPr>
            </w:pPr>
            <w:r>
              <w:rPr>
                <w:sz w:val="18"/>
              </w:rPr>
              <w:t>0,007</w:t>
            </w:r>
          </w:p>
        </w:tc>
        <w:tc>
          <w:tcPr>
            <w:tcW w:w="2198" w:type="dxa"/>
            <w:tcBorders>
              <w:top w:val="nil"/>
              <w:left w:val="nil"/>
              <w:bottom w:val="single" w:sz="4" w:space="0" w:color="auto"/>
              <w:right w:val="single" w:sz="4" w:space="0" w:color="auto"/>
            </w:tcBorders>
            <w:shd w:val="clear" w:color="auto" w:fill="auto"/>
            <w:noWrap/>
            <w:vAlign w:val="bottom"/>
            <w:hideMark/>
          </w:tcPr>
          <w:p w14:paraId="396C1F71" w14:textId="77777777" w:rsidR="00FE399D" w:rsidRPr="00D1707B" w:rsidRDefault="00FE399D" w:rsidP="00582303">
            <w:pPr>
              <w:pStyle w:val="CBDTableNormal"/>
              <w:spacing w:before="0" w:after="0"/>
              <w:jc w:val="right"/>
              <w:rPr>
                <w:sz w:val="18"/>
                <w:szCs w:val="18"/>
              </w:rPr>
            </w:pPr>
            <w:r>
              <w:rPr>
                <w:sz w:val="18"/>
              </w:rPr>
              <w:t>0,009</w:t>
            </w:r>
          </w:p>
        </w:tc>
        <w:tc>
          <w:tcPr>
            <w:tcW w:w="1176" w:type="dxa"/>
            <w:tcBorders>
              <w:top w:val="nil"/>
              <w:left w:val="nil"/>
              <w:bottom w:val="single" w:sz="4" w:space="0" w:color="auto"/>
              <w:right w:val="single" w:sz="4" w:space="0" w:color="auto"/>
            </w:tcBorders>
            <w:shd w:val="clear" w:color="auto" w:fill="auto"/>
            <w:noWrap/>
            <w:vAlign w:val="bottom"/>
            <w:hideMark/>
          </w:tcPr>
          <w:p w14:paraId="03FF0F6A" w14:textId="77777777" w:rsidR="00FE399D" w:rsidRPr="00D1707B" w:rsidRDefault="00FE399D" w:rsidP="00582303">
            <w:pPr>
              <w:pStyle w:val="CBDTableNormal"/>
              <w:spacing w:before="0" w:after="0"/>
              <w:jc w:val="right"/>
              <w:rPr>
                <w:sz w:val="18"/>
                <w:szCs w:val="18"/>
              </w:rPr>
            </w:pPr>
            <w:r>
              <w:rPr>
                <w:sz w:val="18"/>
              </w:rPr>
              <w:t>1 232</w:t>
            </w:r>
          </w:p>
        </w:tc>
        <w:tc>
          <w:tcPr>
            <w:tcW w:w="1461" w:type="dxa"/>
            <w:tcBorders>
              <w:top w:val="nil"/>
              <w:left w:val="nil"/>
              <w:bottom w:val="single" w:sz="4" w:space="0" w:color="auto"/>
              <w:right w:val="single" w:sz="4" w:space="0" w:color="auto"/>
            </w:tcBorders>
            <w:shd w:val="clear" w:color="auto" w:fill="auto"/>
            <w:noWrap/>
            <w:vAlign w:val="bottom"/>
            <w:hideMark/>
          </w:tcPr>
          <w:p w14:paraId="6AFF156B" w14:textId="77777777" w:rsidR="00FE399D" w:rsidRPr="00D1707B" w:rsidRDefault="00FE399D" w:rsidP="00582303">
            <w:pPr>
              <w:pStyle w:val="CBDTableNormal"/>
              <w:spacing w:before="0" w:after="0"/>
              <w:jc w:val="right"/>
              <w:rPr>
                <w:sz w:val="18"/>
                <w:szCs w:val="18"/>
              </w:rPr>
            </w:pPr>
            <w:r>
              <w:rPr>
                <w:sz w:val="18"/>
              </w:rPr>
              <w:t>1 316</w:t>
            </w:r>
          </w:p>
        </w:tc>
        <w:tc>
          <w:tcPr>
            <w:tcW w:w="1080" w:type="dxa"/>
            <w:tcBorders>
              <w:top w:val="nil"/>
              <w:left w:val="nil"/>
              <w:bottom w:val="single" w:sz="4" w:space="0" w:color="auto"/>
              <w:right w:val="single" w:sz="4" w:space="0" w:color="auto"/>
            </w:tcBorders>
            <w:shd w:val="clear" w:color="auto" w:fill="auto"/>
            <w:noWrap/>
            <w:vAlign w:val="bottom"/>
            <w:hideMark/>
          </w:tcPr>
          <w:p w14:paraId="56E5A7C0" w14:textId="77777777" w:rsidR="00FE399D" w:rsidRPr="00D1707B" w:rsidRDefault="00FE399D" w:rsidP="00582303">
            <w:pPr>
              <w:pStyle w:val="CBDTableNormal"/>
              <w:spacing w:before="0" w:after="0"/>
              <w:jc w:val="right"/>
              <w:rPr>
                <w:sz w:val="18"/>
                <w:szCs w:val="18"/>
              </w:rPr>
            </w:pPr>
            <w:r>
              <w:rPr>
                <w:sz w:val="18"/>
              </w:rPr>
              <w:t>2 548</w:t>
            </w:r>
          </w:p>
        </w:tc>
      </w:tr>
      <w:tr w:rsidR="00FE399D" w:rsidRPr="00D1707B" w14:paraId="5655EEA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75D4A2F" w14:textId="77777777" w:rsidR="00FE399D" w:rsidRPr="00D1707B" w:rsidRDefault="00FE399D" w:rsidP="00582303">
            <w:pPr>
              <w:pStyle w:val="CBDTableNormal"/>
              <w:spacing w:before="0" w:after="0"/>
              <w:rPr>
                <w:sz w:val="18"/>
                <w:szCs w:val="18"/>
              </w:rPr>
            </w:pPr>
            <w:r>
              <w:rPr>
                <w:sz w:val="18"/>
              </w:rPr>
              <w:t>Madagascar</w:t>
            </w:r>
          </w:p>
        </w:tc>
        <w:tc>
          <w:tcPr>
            <w:tcW w:w="1628" w:type="dxa"/>
            <w:tcBorders>
              <w:top w:val="nil"/>
              <w:left w:val="nil"/>
              <w:bottom w:val="single" w:sz="4" w:space="0" w:color="auto"/>
              <w:right w:val="single" w:sz="4" w:space="0" w:color="auto"/>
            </w:tcBorders>
            <w:shd w:val="clear" w:color="auto" w:fill="auto"/>
            <w:vAlign w:val="bottom"/>
            <w:hideMark/>
          </w:tcPr>
          <w:p w14:paraId="20F3AFB0" w14:textId="77777777" w:rsidR="00FE399D" w:rsidRPr="00D1707B" w:rsidRDefault="00FE399D" w:rsidP="00582303">
            <w:pPr>
              <w:pStyle w:val="CBDTableNormal"/>
              <w:spacing w:before="0" w:after="0"/>
              <w:jc w:val="right"/>
              <w:rPr>
                <w:sz w:val="18"/>
                <w:szCs w:val="18"/>
              </w:rPr>
            </w:pPr>
            <w:r>
              <w:rPr>
                <w:sz w:val="18"/>
              </w:rPr>
              <w:t>0,004</w:t>
            </w:r>
          </w:p>
        </w:tc>
        <w:tc>
          <w:tcPr>
            <w:tcW w:w="2198" w:type="dxa"/>
            <w:tcBorders>
              <w:top w:val="nil"/>
              <w:left w:val="nil"/>
              <w:bottom w:val="single" w:sz="4" w:space="0" w:color="auto"/>
              <w:right w:val="single" w:sz="4" w:space="0" w:color="auto"/>
            </w:tcBorders>
            <w:shd w:val="clear" w:color="auto" w:fill="auto"/>
            <w:noWrap/>
            <w:vAlign w:val="bottom"/>
            <w:hideMark/>
          </w:tcPr>
          <w:p w14:paraId="3FA7B8C5" w14:textId="77777777" w:rsidR="00FE399D" w:rsidRPr="00D1707B" w:rsidRDefault="00FE399D" w:rsidP="00582303">
            <w:pPr>
              <w:pStyle w:val="CBDTableNormal"/>
              <w:spacing w:before="0" w:after="0"/>
              <w:jc w:val="right"/>
              <w:rPr>
                <w:sz w:val="18"/>
                <w:szCs w:val="18"/>
              </w:rPr>
            </w:pPr>
            <w:r>
              <w:rPr>
                <w:sz w:val="18"/>
              </w:rPr>
              <w:t>0,005</w:t>
            </w:r>
          </w:p>
        </w:tc>
        <w:tc>
          <w:tcPr>
            <w:tcW w:w="1176" w:type="dxa"/>
            <w:tcBorders>
              <w:top w:val="nil"/>
              <w:left w:val="nil"/>
              <w:bottom w:val="single" w:sz="4" w:space="0" w:color="auto"/>
              <w:right w:val="single" w:sz="4" w:space="0" w:color="auto"/>
            </w:tcBorders>
            <w:shd w:val="clear" w:color="auto" w:fill="auto"/>
            <w:noWrap/>
            <w:vAlign w:val="bottom"/>
            <w:hideMark/>
          </w:tcPr>
          <w:p w14:paraId="2068427F" w14:textId="77777777" w:rsidR="00FE399D" w:rsidRPr="00D1707B" w:rsidRDefault="00FE399D" w:rsidP="00582303">
            <w:pPr>
              <w:pStyle w:val="CBDTableNormal"/>
              <w:spacing w:before="0" w:after="0"/>
              <w:jc w:val="right"/>
              <w:rPr>
                <w:sz w:val="18"/>
                <w:szCs w:val="18"/>
              </w:rPr>
            </w:pPr>
            <w:r>
              <w:rPr>
                <w:sz w:val="18"/>
              </w:rPr>
              <w:t>704</w:t>
            </w:r>
          </w:p>
        </w:tc>
        <w:tc>
          <w:tcPr>
            <w:tcW w:w="1461" w:type="dxa"/>
            <w:tcBorders>
              <w:top w:val="nil"/>
              <w:left w:val="nil"/>
              <w:bottom w:val="single" w:sz="4" w:space="0" w:color="auto"/>
              <w:right w:val="single" w:sz="4" w:space="0" w:color="auto"/>
            </w:tcBorders>
            <w:shd w:val="clear" w:color="auto" w:fill="auto"/>
            <w:noWrap/>
            <w:vAlign w:val="bottom"/>
            <w:hideMark/>
          </w:tcPr>
          <w:p w14:paraId="5ACBCF50" w14:textId="77777777" w:rsidR="00FE399D" w:rsidRPr="00D1707B" w:rsidRDefault="00FE399D" w:rsidP="00582303">
            <w:pPr>
              <w:pStyle w:val="CBDTableNormal"/>
              <w:spacing w:before="0" w:after="0"/>
              <w:jc w:val="right"/>
              <w:rPr>
                <w:sz w:val="18"/>
                <w:szCs w:val="18"/>
              </w:rPr>
            </w:pPr>
            <w:r>
              <w:rPr>
                <w:sz w:val="18"/>
              </w:rPr>
              <w:t>752</w:t>
            </w:r>
          </w:p>
        </w:tc>
        <w:tc>
          <w:tcPr>
            <w:tcW w:w="1080" w:type="dxa"/>
            <w:tcBorders>
              <w:top w:val="nil"/>
              <w:left w:val="nil"/>
              <w:bottom w:val="single" w:sz="4" w:space="0" w:color="auto"/>
              <w:right w:val="single" w:sz="4" w:space="0" w:color="auto"/>
            </w:tcBorders>
            <w:shd w:val="clear" w:color="auto" w:fill="auto"/>
            <w:noWrap/>
            <w:vAlign w:val="bottom"/>
            <w:hideMark/>
          </w:tcPr>
          <w:p w14:paraId="57DD0D59" w14:textId="77777777" w:rsidR="00FE399D" w:rsidRPr="00D1707B" w:rsidRDefault="00FE399D" w:rsidP="00582303">
            <w:pPr>
              <w:pStyle w:val="CBDTableNormal"/>
              <w:spacing w:before="0" w:after="0"/>
              <w:jc w:val="right"/>
              <w:rPr>
                <w:sz w:val="18"/>
                <w:szCs w:val="18"/>
              </w:rPr>
            </w:pPr>
            <w:r>
              <w:rPr>
                <w:sz w:val="18"/>
              </w:rPr>
              <w:t>1 456</w:t>
            </w:r>
          </w:p>
        </w:tc>
      </w:tr>
      <w:tr w:rsidR="00FE399D" w:rsidRPr="00D1707B" w14:paraId="7B6C114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9B0E537" w14:textId="77777777" w:rsidR="00FE399D" w:rsidRPr="00D1707B" w:rsidRDefault="00FE399D" w:rsidP="00582303">
            <w:pPr>
              <w:pStyle w:val="CBDTableNormal"/>
              <w:spacing w:before="0" w:after="0"/>
              <w:rPr>
                <w:sz w:val="18"/>
                <w:szCs w:val="18"/>
              </w:rPr>
            </w:pPr>
            <w:r>
              <w:rPr>
                <w:sz w:val="18"/>
              </w:rPr>
              <w:t>Malasia</w:t>
            </w:r>
          </w:p>
        </w:tc>
        <w:tc>
          <w:tcPr>
            <w:tcW w:w="1628" w:type="dxa"/>
            <w:tcBorders>
              <w:top w:val="nil"/>
              <w:left w:val="nil"/>
              <w:bottom w:val="single" w:sz="4" w:space="0" w:color="auto"/>
              <w:right w:val="single" w:sz="4" w:space="0" w:color="auto"/>
            </w:tcBorders>
            <w:shd w:val="clear" w:color="auto" w:fill="auto"/>
            <w:vAlign w:val="bottom"/>
            <w:hideMark/>
          </w:tcPr>
          <w:p w14:paraId="52564E70" w14:textId="77777777" w:rsidR="00FE399D" w:rsidRPr="00D1707B" w:rsidRDefault="00FE399D" w:rsidP="00582303">
            <w:pPr>
              <w:pStyle w:val="CBDTableNormal"/>
              <w:spacing w:before="0" w:after="0"/>
              <w:jc w:val="right"/>
              <w:rPr>
                <w:sz w:val="18"/>
                <w:szCs w:val="18"/>
              </w:rPr>
            </w:pPr>
            <w:r>
              <w:rPr>
                <w:sz w:val="18"/>
              </w:rPr>
              <w:t>0,348</w:t>
            </w:r>
          </w:p>
        </w:tc>
        <w:tc>
          <w:tcPr>
            <w:tcW w:w="2198" w:type="dxa"/>
            <w:tcBorders>
              <w:top w:val="nil"/>
              <w:left w:val="nil"/>
              <w:bottom w:val="single" w:sz="4" w:space="0" w:color="auto"/>
              <w:right w:val="single" w:sz="4" w:space="0" w:color="auto"/>
            </w:tcBorders>
            <w:shd w:val="clear" w:color="auto" w:fill="auto"/>
            <w:noWrap/>
            <w:vAlign w:val="bottom"/>
            <w:hideMark/>
          </w:tcPr>
          <w:p w14:paraId="540C0843" w14:textId="77777777" w:rsidR="00FE399D" w:rsidRPr="00D1707B" w:rsidRDefault="00FE399D" w:rsidP="00582303">
            <w:pPr>
              <w:pStyle w:val="CBDTableNormal"/>
              <w:spacing w:before="0" w:after="0"/>
              <w:jc w:val="right"/>
              <w:rPr>
                <w:sz w:val="18"/>
                <w:szCs w:val="18"/>
              </w:rPr>
            </w:pPr>
            <w:r>
              <w:rPr>
                <w:sz w:val="18"/>
              </w:rPr>
              <w:t>0,435</w:t>
            </w:r>
          </w:p>
        </w:tc>
        <w:tc>
          <w:tcPr>
            <w:tcW w:w="1176" w:type="dxa"/>
            <w:tcBorders>
              <w:top w:val="nil"/>
              <w:left w:val="nil"/>
              <w:bottom w:val="single" w:sz="4" w:space="0" w:color="auto"/>
              <w:right w:val="single" w:sz="4" w:space="0" w:color="auto"/>
            </w:tcBorders>
            <w:shd w:val="clear" w:color="auto" w:fill="auto"/>
            <w:noWrap/>
            <w:vAlign w:val="bottom"/>
            <w:hideMark/>
          </w:tcPr>
          <w:p w14:paraId="6CA5C98E" w14:textId="77777777" w:rsidR="00FE399D" w:rsidRPr="00D1707B" w:rsidRDefault="00FE399D" w:rsidP="00582303">
            <w:pPr>
              <w:pStyle w:val="CBDTableNormal"/>
              <w:spacing w:before="0" w:after="0"/>
              <w:jc w:val="right"/>
              <w:rPr>
                <w:sz w:val="18"/>
                <w:szCs w:val="18"/>
              </w:rPr>
            </w:pPr>
            <w:r>
              <w:rPr>
                <w:sz w:val="18"/>
              </w:rPr>
              <w:t>61 246</w:t>
            </w:r>
          </w:p>
        </w:tc>
        <w:tc>
          <w:tcPr>
            <w:tcW w:w="1461" w:type="dxa"/>
            <w:tcBorders>
              <w:top w:val="nil"/>
              <w:left w:val="nil"/>
              <w:bottom w:val="single" w:sz="4" w:space="0" w:color="auto"/>
              <w:right w:val="single" w:sz="4" w:space="0" w:color="auto"/>
            </w:tcBorders>
            <w:shd w:val="clear" w:color="auto" w:fill="auto"/>
            <w:noWrap/>
            <w:vAlign w:val="bottom"/>
            <w:hideMark/>
          </w:tcPr>
          <w:p w14:paraId="2F3236E9" w14:textId="77777777" w:rsidR="00FE399D" w:rsidRPr="00D1707B" w:rsidRDefault="00FE399D" w:rsidP="00582303">
            <w:pPr>
              <w:pStyle w:val="CBDTableNormal"/>
              <w:spacing w:before="0" w:after="0"/>
              <w:jc w:val="right"/>
              <w:rPr>
                <w:sz w:val="18"/>
                <w:szCs w:val="18"/>
              </w:rPr>
            </w:pPr>
            <w:r>
              <w:rPr>
                <w:sz w:val="18"/>
              </w:rPr>
              <w:t>65 437</w:t>
            </w:r>
          </w:p>
        </w:tc>
        <w:tc>
          <w:tcPr>
            <w:tcW w:w="1080" w:type="dxa"/>
            <w:tcBorders>
              <w:top w:val="nil"/>
              <w:left w:val="nil"/>
              <w:bottom w:val="single" w:sz="4" w:space="0" w:color="auto"/>
              <w:right w:val="single" w:sz="4" w:space="0" w:color="auto"/>
            </w:tcBorders>
            <w:shd w:val="clear" w:color="auto" w:fill="auto"/>
            <w:noWrap/>
            <w:vAlign w:val="bottom"/>
            <w:hideMark/>
          </w:tcPr>
          <w:p w14:paraId="347158E5" w14:textId="77777777" w:rsidR="00FE399D" w:rsidRPr="00D1707B" w:rsidRDefault="00FE399D" w:rsidP="00582303">
            <w:pPr>
              <w:pStyle w:val="CBDTableNormal"/>
              <w:spacing w:before="0" w:after="0"/>
              <w:jc w:val="right"/>
              <w:rPr>
                <w:sz w:val="18"/>
                <w:szCs w:val="18"/>
              </w:rPr>
            </w:pPr>
            <w:r>
              <w:rPr>
                <w:sz w:val="18"/>
              </w:rPr>
              <w:t>126 683</w:t>
            </w:r>
          </w:p>
        </w:tc>
      </w:tr>
      <w:tr w:rsidR="00FE399D" w:rsidRPr="00D1707B" w14:paraId="7622888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BDF7A3A" w14:textId="77777777" w:rsidR="00FE399D" w:rsidRPr="00D1707B" w:rsidRDefault="00FE399D" w:rsidP="00582303">
            <w:pPr>
              <w:pStyle w:val="CBDTableNormal"/>
              <w:spacing w:before="0" w:after="0"/>
              <w:rPr>
                <w:sz w:val="18"/>
                <w:szCs w:val="18"/>
              </w:rPr>
            </w:pPr>
            <w:r>
              <w:rPr>
                <w:sz w:val="18"/>
              </w:rPr>
              <w:t>Malawi</w:t>
            </w:r>
          </w:p>
        </w:tc>
        <w:tc>
          <w:tcPr>
            <w:tcW w:w="1628" w:type="dxa"/>
            <w:tcBorders>
              <w:top w:val="nil"/>
              <w:left w:val="nil"/>
              <w:bottom w:val="single" w:sz="4" w:space="0" w:color="auto"/>
              <w:right w:val="single" w:sz="4" w:space="0" w:color="auto"/>
            </w:tcBorders>
            <w:shd w:val="clear" w:color="auto" w:fill="auto"/>
            <w:vAlign w:val="bottom"/>
            <w:hideMark/>
          </w:tcPr>
          <w:p w14:paraId="4760EE25" w14:textId="77777777" w:rsidR="00FE399D" w:rsidRPr="00D1707B" w:rsidRDefault="00FE399D" w:rsidP="00582303">
            <w:pPr>
              <w:pStyle w:val="CBDTableNormal"/>
              <w:spacing w:before="0" w:after="0"/>
              <w:jc w:val="right"/>
              <w:rPr>
                <w:sz w:val="18"/>
                <w:szCs w:val="18"/>
              </w:rPr>
            </w:pPr>
            <w:r>
              <w:rPr>
                <w:sz w:val="18"/>
              </w:rPr>
              <w:t>0,002</w:t>
            </w:r>
          </w:p>
        </w:tc>
        <w:tc>
          <w:tcPr>
            <w:tcW w:w="2198" w:type="dxa"/>
            <w:tcBorders>
              <w:top w:val="nil"/>
              <w:left w:val="nil"/>
              <w:bottom w:val="single" w:sz="4" w:space="0" w:color="auto"/>
              <w:right w:val="single" w:sz="4" w:space="0" w:color="auto"/>
            </w:tcBorders>
            <w:shd w:val="clear" w:color="auto" w:fill="auto"/>
            <w:noWrap/>
            <w:vAlign w:val="bottom"/>
            <w:hideMark/>
          </w:tcPr>
          <w:p w14:paraId="6C9CCAA5" w14:textId="77777777" w:rsidR="00FE399D" w:rsidRPr="00D1707B" w:rsidRDefault="00FE399D" w:rsidP="00582303">
            <w:pPr>
              <w:pStyle w:val="CBDTableNormal"/>
              <w:spacing w:before="0" w:after="0"/>
              <w:jc w:val="right"/>
              <w:rPr>
                <w:sz w:val="18"/>
                <w:szCs w:val="18"/>
              </w:rPr>
            </w:pPr>
            <w:r>
              <w:rPr>
                <w:sz w:val="18"/>
              </w:rPr>
              <w:t>0,003</w:t>
            </w:r>
          </w:p>
        </w:tc>
        <w:tc>
          <w:tcPr>
            <w:tcW w:w="1176" w:type="dxa"/>
            <w:tcBorders>
              <w:top w:val="nil"/>
              <w:left w:val="nil"/>
              <w:bottom w:val="single" w:sz="4" w:space="0" w:color="auto"/>
              <w:right w:val="single" w:sz="4" w:space="0" w:color="auto"/>
            </w:tcBorders>
            <w:shd w:val="clear" w:color="auto" w:fill="auto"/>
            <w:noWrap/>
            <w:vAlign w:val="bottom"/>
            <w:hideMark/>
          </w:tcPr>
          <w:p w14:paraId="5617078A" w14:textId="77777777" w:rsidR="00FE399D" w:rsidRPr="00D1707B" w:rsidRDefault="00FE399D" w:rsidP="00582303">
            <w:pPr>
              <w:pStyle w:val="CBDTableNormal"/>
              <w:spacing w:before="0" w:after="0"/>
              <w:jc w:val="right"/>
              <w:rPr>
                <w:sz w:val="18"/>
                <w:szCs w:val="18"/>
              </w:rPr>
            </w:pPr>
            <w:r>
              <w:rPr>
                <w:sz w:val="18"/>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4C890CAD" w14:textId="77777777" w:rsidR="00FE399D" w:rsidRPr="00D1707B" w:rsidRDefault="00FE399D" w:rsidP="00582303">
            <w:pPr>
              <w:pStyle w:val="CBDTableNormal"/>
              <w:spacing w:before="0" w:after="0"/>
              <w:jc w:val="right"/>
              <w:rPr>
                <w:sz w:val="18"/>
                <w:szCs w:val="18"/>
              </w:rPr>
            </w:pPr>
            <w:r>
              <w:rPr>
                <w:sz w:val="18"/>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40B836FE" w14:textId="77777777" w:rsidR="00FE399D" w:rsidRPr="00D1707B" w:rsidRDefault="00FE399D" w:rsidP="00582303">
            <w:pPr>
              <w:pStyle w:val="CBDTableNormal"/>
              <w:spacing w:before="0" w:after="0"/>
              <w:jc w:val="right"/>
              <w:rPr>
                <w:sz w:val="18"/>
                <w:szCs w:val="18"/>
              </w:rPr>
            </w:pPr>
            <w:r>
              <w:rPr>
                <w:sz w:val="18"/>
              </w:rPr>
              <w:t>728</w:t>
            </w:r>
          </w:p>
        </w:tc>
      </w:tr>
      <w:tr w:rsidR="00FE399D" w:rsidRPr="00D1707B" w14:paraId="28A4585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5DDD16F" w14:textId="77777777" w:rsidR="00FE399D" w:rsidRPr="00D1707B" w:rsidRDefault="00FE399D" w:rsidP="00582303">
            <w:pPr>
              <w:pStyle w:val="CBDTableNormal"/>
              <w:spacing w:before="0" w:after="0"/>
              <w:rPr>
                <w:sz w:val="18"/>
                <w:szCs w:val="18"/>
              </w:rPr>
            </w:pPr>
            <w:r>
              <w:rPr>
                <w:sz w:val="18"/>
              </w:rPr>
              <w:t>Maldivas</w:t>
            </w:r>
          </w:p>
        </w:tc>
        <w:tc>
          <w:tcPr>
            <w:tcW w:w="1628" w:type="dxa"/>
            <w:tcBorders>
              <w:top w:val="nil"/>
              <w:left w:val="nil"/>
              <w:bottom w:val="single" w:sz="4" w:space="0" w:color="auto"/>
              <w:right w:val="single" w:sz="4" w:space="0" w:color="auto"/>
            </w:tcBorders>
            <w:shd w:val="clear" w:color="auto" w:fill="auto"/>
            <w:vAlign w:val="bottom"/>
            <w:hideMark/>
          </w:tcPr>
          <w:p w14:paraId="49B84FFD" w14:textId="77777777" w:rsidR="00FE399D" w:rsidRPr="00D1707B" w:rsidRDefault="00FE399D" w:rsidP="00582303">
            <w:pPr>
              <w:pStyle w:val="CBDTableNormal"/>
              <w:spacing w:before="0" w:after="0"/>
              <w:jc w:val="right"/>
              <w:rPr>
                <w:sz w:val="18"/>
                <w:szCs w:val="18"/>
              </w:rPr>
            </w:pPr>
            <w:r>
              <w:rPr>
                <w:sz w:val="18"/>
              </w:rPr>
              <w:t>0,004</w:t>
            </w:r>
          </w:p>
        </w:tc>
        <w:tc>
          <w:tcPr>
            <w:tcW w:w="2198" w:type="dxa"/>
            <w:tcBorders>
              <w:top w:val="nil"/>
              <w:left w:val="nil"/>
              <w:bottom w:val="single" w:sz="4" w:space="0" w:color="auto"/>
              <w:right w:val="single" w:sz="4" w:space="0" w:color="auto"/>
            </w:tcBorders>
            <w:shd w:val="clear" w:color="auto" w:fill="auto"/>
            <w:noWrap/>
            <w:vAlign w:val="bottom"/>
            <w:hideMark/>
          </w:tcPr>
          <w:p w14:paraId="3EE16D62" w14:textId="77777777" w:rsidR="00FE399D" w:rsidRPr="00D1707B" w:rsidRDefault="00FE399D" w:rsidP="00582303">
            <w:pPr>
              <w:pStyle w:val="CBDTableNormal"/>
              <w:spacing w:before="0" w:after="0"/>
              <w:jc w:val="right"/>
              <w:rPr>
                <w:sz w:val="18"/>
                <w:szCs w:val="18"/>
              </w:rPr>
            </w:pPr>
            <w:r>
              <w:rPr>
                <w:sz w:val="18"/>
              </w:rPr>
              <w:t>0,005</w:t>
            </w:r>
          </w:p>
        </w:tc>
        <w:tc>
          <w:tcPr>
            <w:tcW w:w="1176" w:type="dxa"/>
            <w:tcBorders>
              <w:top w:val="nil"/>
              <w:left w:val="nil"/>
              <w:bottom w:val="single" w:sz="4" w:space="0" w:color="auto"/>
              <w:right w:val="single" w:sz="4" w:space="0" w:color="auto"/>
            </w:tcBorders>
            <w:shd w:val="clear" w:color="auto" w:fill="auto"/>
            <w:noWrap/>
            <w:vAlign w:val="bottom"/>
            <w:hideMark/>
          </w:tcPr>
          <w:p w14:paraId="692E2596" w14:textId="77777777" w:rsidR="00FE399D" w:rsidRPr="00D1707B" w:rsidRDefault="00FE399D" w:rsidP="00582303">
            <w:pPr>
              <w:pStyle w:val="CBDTableNormal"/>
              <w:spacing w:before="0" w:after="0"/>
              <w:jc w:val="right"/>
              <w:rPr>
                <w:sz w:val="18"/>
                <w:szCs w:val="18"/>
              </w:rPr>
            </w:pPr>
            <w:r>
              <w:rPr>
                <w:sz w:val="18"/>
              </w:rPr>
              <w:t>704</w:t>
            </w:r>
          </w:p>
        </w:tc>
        <w:tc>
          <w:tcPr>
            <w:tcW w:w="1461" w:type="dxa"/>
            <w:tcBorders>
              <w:top w:val="nil"/>
              <w:left w:val="nil"/>
              <w:bottom w:val="single" w:sz="4" w:space="0" w:color="auto"/>
              <w:right w:val="single" w:sz="4" w:space="0" w:color="auto"/>
            </w:tcBorders>
            <w:shd w:val="clear" w:color="auto" w:fill="auto"/>
            <w:noWrap/>
            <w:vAlign w:val="bottom"/>
            <w:hideMark/>
          </w:tcPr>
          <w:p w14:paraId="2A64D54B" w14:textId="77777777" w:rsidR="00FE399D" w:rsidRPr="00D1707B" w:rsidRDefault="00FE399D" w:rsidP="00582303">
            <w:pPr>
              <w:pStyle w:val="CBDTableNormal"/>
              <w:spacing w:before="0" w:after="0"/>
              <w:jc w:val="right"/>
              <w:rPr>
                <w:sz w:val="18"/>
                <w:szCs w:val="18"/>
              </w:rPr>
            </w:pPr>
            <w:r>
              <w:rPr>
                <w:sz w:val="18"/>
              </w:rPr>
              <w:t>752</w:t>
            </w:r>
          </w:p>
        </w:tc>
        <w:tc>
          <w:tcPr>
            <w:tcW w:w="1080" w:type="dxa"/>
            <w:tcBorders>
              <w:top w:val="nil"/>
              <w:left w:val="nil"/>
              <w:bottom w:val="single" w:sz="4" w:space="0" w:color="auto"/>
              <w:right w:val="single" w:sz="4" w:space="0" w:color="auto"/>
            </w:tcBorders>
            <w:shd w:val="clear" w:color="auto" w:fill="auto"/>
            <w:noWrap/>
            <w:vAlign w:val="bottom"/>
            <w:hideMark/>
          </w:tcPr>
          <w:p w14:paraId="79576400" w14:textId="77777777" w:rsidR="00FE399D" w:rsidRPr="00D1707B" w:rsidRDefault="00FE399D" w:rsidP="00582303">
            <w:pPr>
              <w:pStyle w:val="CBDTableNormal"/>
              <w:spacing w:before="0" w:after="0"/>
              <w:jc w:val="right"/>
              <w:rPr>
                <w:sz w:val="18"/>
                <w:szCs w:val="18"/>
              </w:rPr>
            </w:pPr>
            <w:r>
              <w:rPr>
                <w:sz w:val="18"/>
              </w:rPr>
              <w:t>1 456</w:t>
            </w:r>
          </w:p>
        </w:tc>
      </w:tr>
      <w:tr w:rsidR="00FE399D" w:rsidRPr="00D1707B" w14:paraId="69EEC8C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3DD3999" w14:textId="77777777" w:rsidR="00FE399D" w:rsidRPr="00D1707B" w:rsidRDefault="00FE399D" w:rsidP="00582303">
            <w:pPr>
              <w:pStyle w:val="CBDTableNormal"/>
              <w:spacing w:before="0" w:after="0"/>
              <w:rPr>
                <w:sz w:val="18"/>
                <w:szCs w:val="18"/>
              </w:rPr>
            </w:pPr>
            <w:r>
              <w:rPr>
                <w:sz w:val="18"/>
              </w:rPr>
              <w:t>Malí</w:t>
            </w:r>
          </w:p>
        </w:tc>
        <w:tc>
          <w:tcPr>
            <w:tcW w:w="1628" w:type="dxa"/>
            <w:tcBorders>
              <w:top w:val="nil"/>
              <w:left w:val="nil"/>
              <w:bottom w:val="single" w:sz="4" w:space="0" w:color="auto"/>
              <w:right w:val="single" w:sz="4" w:space="0" w:color="auto"/>
            </w:tcBorders>
            <w:shd w:val="clear" w:color="auto" w:fill="auto"/>
            <w:vAlign w:val="bottom"/>
            <w:hideMark/>
          </w:tcPr>
          <w:p w14:paraId="18F78D6F" w14:textId="77777777" w:rsidR="00FE399D" w:rsidRPr="00D1707B" w:rsidRDefault="00FE399D" w:rsidP="00582303">
            <w:pPr>
              <w:pStyle w:val="CBDTableNormal"/>
              <w:spacing w:before="0" w:after="0"/>
              <w:jc w:val="right"/>
              <w:rPr>
                <w:sz w:val="18"/>
                <w:szCs w:val="18"/>
              </w:rPr>
            </w:pPr>
            <w:r>
              <w:rPr>
                <w:sz w:val="18"/>
              </w:rPr>
              <w:t>0,005</w:t>
            </w:r>
          </w:p>
        </w:tc>
        <w:tc>
          <w:tcPr>
            <w:tcW w:w="2198" w:type="dxa"/>
            <w:tcBorders>
              <w:top w:val="nil"/>
              <w:left w:val="nil"/>
              <w:bottom w:val="single" w:sz="4" w:space="0" w:color="auto"/>
              <w:right w:val="single" w:sz="4" w:space="0" w:color="auto"/>
            </w:tcBorders>
            <w:shd w:val="clear" w:color="auto" w:fill="auto"/>
            <w:noWrap/>
            <w:vAlign w:val="bottom"/>
            <w:hideMark/>
          </w:tcPr>
          <w:p w14:paraId="6BF98F8C" w14:textId="77777777" w:rsidR="00FE399D" w:rsidRPr="00D1707B" w:rsidRDefault="00FE399D" w:rsidP="00582303">
            <w:pPr>
              <w:pStyle w:val="CBDTableNormal"/>
              <w:spacing w:before="0" w:after="0"/>
              <w:jc w:val="right"/>
              <w:rPr>
                <w:sz w:val="18"/>
                <w:szCs w:val="18"/>
              </w:rPr>
            </w:pPr>
            <w:r>
              <w:rPr>
                <w:sz w:val="18"/>
              </w:rPr>
              <w:t>0,006</w:t>
            </w:r>
          </w:p>
        </w:tc>
        <w:tc>
          <w:tcPr>
            <w:tcW w:w="1176" w:type="dxa"/>
            <w:tcBorders>
              <w:top w:val="nil"/>
              <w:left w:val="nil"/>
              <w:bottom w:val="single" w:sz="4" w:space="0" w:color="auto"/>
              <w:right w:val="single" w:sz="4" w:space="0" w:color="auto"/>
            </w:tcBorders>
            <w:shd w:val="clear" w:color="auto" w:fill="auto"/>
            <w:noWrap/>
            <w:vAlign w:val="bottom"/>
            <w:hideMark/>
          </w:tcPr>
          <w:p w14:paraId="6004DED9" w14:textId="77777777" w:rsidR="00FE399D" w:rsidRPr="00D1707B" w:rsidRDefault="00FE399D" w:rsidP="00582303">
            <w:pPr>
              <w:pStyle w:val="CBDTableNormal"/>
              <w:spacing w:before="0" w:after="0"/>
              <w:jc w:val="right"/>
              <w:rPr>
                <w:sz w:val="18"/>
                <w:szCs w:val="18"/>
              </w:rPr>
            </w:pPr>
            <w:r>
              <w:rPr>
                <w:sz w:val="18"/>
              </w:rPr>
              <w:t>880</w:t>
            </w:r>
          </w:p>
        </w:tc>
        <w:tc>
          <w:tcPr>
            <w:tcW w:w="1461" w:type="dxa"/>
            <w:tcBorders>
              <w:top w:val="nil"/>
              <w:left w:val="nil"/>
              <w:bottom w:val="single" w:sz="4" w:space="0" w:color="auto"/>
              <w:right w:val="single" w:sz="4" w:space="0" w:color="auto"/>
            </w:tcBorders>
            <w:shd w:val="clear" w:color="auto" w:fill="auto"/>
            <w:noWrap/>
            <w:vAlign w:val="bottom"/>
            <w:hideMark/>
          </w:tcPr>
          <w:p w14:paraId="35E627BD" w14:textId="77777777" w:rsidR="00FE399D" w:rsidRPr="00D1707B" w:rsidRDefault="00FE399D" w:rsidP="00582303">
            <w:pPr>
              <w:pStyle w:val="CBDTableNormal"/>
              <w:spacing w:before="0" w:after="0"/>
              <w:jc w:val="right"/>
              <w:rPr>
                <w:sz w:val="18"/>
                <w:szCs w:val="18"/>
              </w:rPr>
            </w:pPr>
            <w:r>
              <w:rPr>
                <w:sz w:val="18"/>
              </w:rPr>
              <w:t>940</w:t>
            </w:r>
          </w:p>
        </w:tc>
        <w:tc>
          <w:tcPr>
            <w:tcW w:w="1080" w:type="dxa"/>
            <w:tcBorders>
              <w:top w:val="nil"/>
              <w:left w:val="nil"/>
              <w:bottom w:val="single" w:sz="4" w:space="0" w:color="auto"/>
              <w:right w:val="single" w:sz="4" w:space="0" w:color="auto"/>
            </w:tcBorders>
            <w:shd w:val="clear" w:color="auto" w:fill="auto"/>
            <w:noWrap/>
            <w:vAlign w:val="bottom"/>
            <w:hideMark/>
          </w:tcPr>
          <w:p w14:paraId="598F4FA1" w14:textId="77777777" w:rsidR="00FE399D" w:rsidRPr="00D1707B" w:rsidRDefault="00FE399D" w:rsidP="00582303">
            <w:pPr>
              <w:pStyle w:val="CBDTableNormal"/>
              <w:spacing w:before="0" w:after="0"/>
              <w:jc w:val="right"/>
              <w:rPr>
                <w:sz w:val="18"/>
                <w:szCs w:val="18"/>
              </w:rPr>
            </w:pPr>
            <w:r>
              <w:rPr>
                <w:sz w:val="18"/>
              </w:rPr>
              <w:t>1 820</w:t>
            </w:r>
          </w:p>
        </w:tc>
      </w:tr>
      <w:tr w:rsidR="00FE399D" w:rsidRPr="00D1707B" w14:paraId="206A8B2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89851DC" w14:textId="77777777" w:rsidR="00FE399D" w:rsidRPr="00D1707B" w:rsidRDefault="00FE399D" w:rsidP="00582303">
            <w:pPr>
              <w:pStyle w:val="CBDTableNormal"/>
              <w:spacing w:before="0" w:after="0"/>
              <w:rPr>
                <w:sz w:val="18"/>
                <w:szCs w:val="18"/>
              </w:rPr>
            </w:pPr>
            <w:r>
              <w:rPr>
                <w:sz w:val="18"/>
              </w:rPr>
              <w:t>Malta</w:t>
            </w:r>
          </w:p>
        </w:tc>
        <w:tc>
          <w:tcPr>
            <w:tcW w:w="1628" w:type="dxa"/>
            <w:tcBorders>
              <w:top w:val="nil"/>
              <w:left w:val="nil"/>
              <w:bottom w:val="single" w:sz="4" w:space="0" w:color="auto"/>
              <w:right w:val="single" w:sz="4" w:space="0" w:color="auto"/>
            </w:tcBorders>
            <w:shd w:val="clear" w:color="auto" w:fill="auto"/>
            <w:vAlign w:val="bottom"/>
            <w:hideMark/>
          </w:tcPr>
          <w:p w14:paraId="56890BCF" w14:textId="77777777" w:rsidR="00FE399D" w:rsidRPr="00D1707B" w:rsidRDefault="00FE399D" w:rsidP="00582303">
            <w:pPr>
              <w:pStyle w:val="CBDTableNormal"/>
              <w:spacing w:before="0" w:after="0"/>
              <w:jc w:val="right"/>
              <w:rPr>
                <w:sz w:val="18"/>
                <w:szCs w:val="18"/>
              </w:rPr>
            </w:pPr>
            <w:r>
              <w:rPr>
                <w:sz w:val="18"/>
              </w:rPr>
              <w:t>0,019</w:t>
            </w:r>
          </w:p>
        </w:tc>
        <w:tc>
          <w:tcPr>
            <w:tcW w:w="2198" w:type="dxa"/>
            <w:tcBorders>
              <w:top w:val="nil"/>
              <w:left w:val="nil"/>
              <w:bottom w:val="single" w:sz="4" w:space="0" w:color="auto"/>
              <w:right w:val="single" w:sz="4" w:space="0" w:color="auto"/>
            </w:tcBorders>
            <w:shd w:val="clear" w:color="auto" w:fill="auto"/>
            <w:noWrap/>
            <w:vAlign w:val="bottom"/>
            <w:hideMark/>
          </w:tcPr>
          <w:p w14:paraId="6296E874" w14:textId="77777777" w:rsidR="00FE399D" w:rsidRPr="00D1707B" w:rsidRDefault="00FE399D" w:rsidP="00582303">
            <w:pPr>
              <w:pStyle w:val="CBDTableNormal"/>
              <w:spacing w:before="0" w:after="0"/>
              <w:jc w:val="right"/>
              <w:rPr>
                <w:sz w:val="18"/>
                <w:szCs w:val="18"/>
              </w:rPr>
            </w:pPr>
            <w:r>
              <w:rPr>
                <w:sz w:val="18"/>
              </w:rPr>
              <w:t>0,024</w:t>
            </w:r>
          </w:p>
        </w:tc>
        <w:tc>
          <w:tcPr>
            <w:tcW w:w="1176" w:type="dxa"/>
            <w:tcBorders>
              <w:top w:val="nil"/>
              <w:left w:val="nil"/>
              <w:bottom w:val="single" w:sz="4" w:space="0" w:color="auto"/>
              <w:right w:val="single" w:sz="4" w:space="0" w:color="auto"/>
            </w:tcBorders>
            <w:shd w:val="clear" w:color="auto" w:fill="auto"/>
            <w:noWrap/>
            <w:vAlign w:val="bottom"/>
            <w:hideMark/>
          </w:tcPr>
          <w:p w14:paraId="52608554" w14:textId="77777777" w:rsidR="00FE399D" w:rsidRPr="00D1707B" w:rsidRDefault="00FE399D" w:rsidP="00582303">
            <w:pPr>
              <w:pStyle w:val="CBDTableNormal"/>
              <w:spacing w:before="0" w:after="0"/>
              <w:jc w:val="right"/>
              <w:rPr>
                <w:sz w:val="18"/>
                <w:szCs w:val="18"/>
              </w:rPr>
            </w:pPr>
            <w:r>
              <w:rPr>
                <w:sz w:val="18"/>
              </w:rPr>
              <w:t>3 344</w:t>
            </w:r>
          </w:p>
        </w:tc>
        <w:tc>
          <w:tcPr>
            <w:tcW w:w="1461" w:type="dxa"/>
            <w:tcBorders>
              <w:top w:val="nil"/>
              <w:left w:val="nil"/>
              <w:bottom w:val="single" w:sz="4" w:space="0" w:color="auto"/>
              <w:right w:val="single" w:sz="4" w:space="0" w:color="auto"/>
            </w:tcBorders>
            <w:shd w:val="clear" w:color="auto" w:fill="auto"/>
            <w:noWrap/>
            <w:vAlign w:val="bottom"/>
            <w:hideMark/>
          </w:tcPr>
          <w:p w14:paraId="5BE7C387" w14:textId="77777777" w:rsidR="00FE399D" w:rsidRPr="00D1707B" w:rsidRDefault="00FE399D" w:rsidP="00582303">
            <w:pPr>
              <w:pStyle w:val="CBDTableNormal"/>
              <w:spacing w:before="0" w:after="0"/>
              <w:jc w:val="right"/>
              <w:rPr>
                <w:sz w:val="18"/>
                <w:szCs w:val="18"/>
              </w:rPr>
            </w:pPr>
            <w:r>
              <w:rPr>
                <w:sz w:val="18"/>
              </w:rPr>
              <w:t>3 573</w:t>
            </w:r>
          </w:p>
        </w:tc>
        <w:tc>
          <w:tcPr>
            <w:tcW w:w="1080" w:type="dxa"/>
            <w:tcBorders>
              <w:top w:val="nil"/>
              <w:left w:val="nil"/>
              <w:bottom w:val="single" w:sz="4" w:space="0" w:color="auto"/>
              <w:right w:val="single" w:sz="4" w:space="0" w:color="auto"/>
            </w:tcBorders>
            <w:shd w:val="clear" w:color="auto" w:fill="auto"/>
            <w:noWrap/>
            <w:vAlign w:val="bottom"/>
            <w:hideMark/>
          </w:tcPr>
          <w:p w14:paraId="6544EDFA" w14:textId="77777777" w:rsidR="00FE399D" w:rsidRPr="00D1707B" w:rsidRDefault="00FE399D" w:rsidP="00582303">
            <w:pPr>
              <w:pStyle w:val="CBDTableNormal"/>
              <w:spacing w:before="0" w:after="0"/>
              <w:jc w:val="right"/>
              <w:rPr>
                <w:sz w:val="18"/>
                <w:szCs w:val="18"/>
              </w:rPr>
            </w:pPr>
            <w:r>
              <w:rPr>
                <w:sz w:val="18"/>
              </w:rPr>
              <w:t>6 917</w:t>
            </w:r>
          </w:p>
        </w:tc>
      </w:tr>
      <w:tr w:rsidR="00FE399D" w:rsidRPr="00D1707B" w14:paraId="4F24EFE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2693042" w14:textId="77777777" w:rsidR="00FE399D" w:rsidRPr="00D1707B" w:rsidRDefault="00FE399D" w:rsidP="00582303">
            <w:pPr>
              <w:pStyle w:val="CBDTableNormal"/>
              <w:spacing w:before="0" w:after="0"/>
              <w:rPr>
                <w:sz w:val="18"/>
                <w:szCs w:val="18"/>
              </w:rPr>
            </w:pPr>
            <w:r>
              <w:rPr>
                <w:sz w:val="18"/>
              </w:rPr>
              <w:t>Marruecos</w:t>
            </w:r>
          </w:p>
        </w:tc>
        <w:tc>
          <w:tcPr>
            <w:tcW w:w="1628" w:type="dxa"/>
            <w:tcBorders>
              <w:top w:val="nil"/>
              <w:left w:val="nil"/>
              <w:bottom w:val="single" w:sz="4" w:space="0" w:color="auto"/>
              <w:right w:val="single" w:sz="4" w:space="0" w:color="auto"/>
            </w:tcBorders>
            <w:shd w:val="clear" w:color="auto" w:fill="auto"/>
            <w:vAlign w:val="bottom"/>
            <w:hideMark/>
          </w:tcPr>
          <w:p w14:paraId="086D2CB2" w14:textId="77777777" w:rsidR="00FE399D" w:rsidRPr="00D1707B" w:rsidRDefault="00FE399D" w:rsidP="00582303">
            <w:pPr>
              <w:pStyle w:val="CBDTableNormal"/>
              <w:spacing w:before="0" w:after="0"/>
              <w:jc w:val="right"/>
              <w:rPr>
                <w:sz w:val="18"/>
                <w:szCs w:val="18"/>
              </w:rPr>
            </w:pPr>
            <w:r>
              <w:rPr>
                <w:sz w:val="18"/>
              </w:rPr>
              <w:t>0,055</w:t>
            </w:r>
          </w:p>
        </w:tc>
        <w:tc>
          <w:tcPr>
            <w:tcW w:w="2198" w:type="dxa"/>
            <w:tcBorders>
              <w:top w:val="nil"/>
              <w:left w:val="nil"/>
              <w:bottom w:val="single" w:sz="4" w:space="0" w:color="auto"/>
              <w:right w:val="single" w:sz="4" w:space="0" w:color="auto"/>
            </w:tcBorders>
            <w:shd w:val="clear" w:color="auto" w:fill="auto"/>
            <w:noWrap/>
            <w:vAlign w:val="bottom"/>
            <w:hideMark/>
          </w:tcPr>
          <w:p w14:paraId="5F585E89" w14:textId="77777777" w:rsidR="00FE399D" w:rsidRPr="00D1707B" w:rsidRDefault="00FE399D" w:rsidP="00582303">
            <w:pPr>
              <w:pStyle w:val="CBDTableNormal"/>
              <w:spacing w:before="0" w:after="0"/>
              <w:jc w:val="right"/>
              <w:rPr>
                <w:sz w:val="18"/>
                <w:szCs w:val="18"/>
              </w:rPr>
            </w:pPr>
            <w:r>
              <w:rPr>
                <w:sz w:val="18"/>
              </w:rPr>
              <w:t>0,069</w:t>
            </w:r>
          </w:p>
        </w:tc>
        <w:tc>
          <w:tcPr>
            <w:tcW w:w="1176" w:type="dxa"/>
            <w:tcBorders>
              <w:top w:val="nil"/>
              <w:left w:val="nil"/>
              <w:bottom w:val="single" w:sz="4" w:space="0" w:color="auto"/>
              <w:right w:val="single" w:sz="4" w:space="0" w:color="auto"/>
            </w:tcBorders>
            <w:shd w:val="clear" w:color="auto" w:fill="auto"/>
            <w:noWrap/>
            <w:vAlign w:val="bottom"/>
            <w:hideMark/>
          </w:tcPr>
          <w:p w14:paraId="5C2F9E9C" w14:textId="77777777" w:rsidR="00FE399D" w:rsidRPr="00D1707B" w:rsidRDefault="00FE399D" w:rsidP="00582303">
            <w:pPr>
              <w:pStyle w:val="CBDTableNormal"/>
              <w:spacing w:before="0" w:after="0"/>
              <w:jc w:val="right"/>
              <w:rPr>
                <w:sz w:val="18"/>
                <w:szCs w:val="18"/>
              </w:rPr>
            </w:pPr>
            <w:r>
              <w:rPr>
                <w:sz w:val="18"/>
              </w:rPr>
              <w:t>9 680</w:t>
            </w:r>
          </w:p>
        </w:tc>
        <w:tc>
          <w:tcPr>
            <w:tcW w:w="1461" w:type="dxa"/>
            <w:tcBorders>
              <w:top w:val="nil"/>
              <w:left w:val="nil"/>
              <w:bottom w:val="single" w:sz="4" w:space="0" w:color="auto"/>
              <w:right w:val="single" w:sz="4" w:space="0" w:color="auto"/>
            </w:tcBorders>
            <w:shd w:val="clear" w:color="auto" w:fill="auto"/>
            <w:noWrap/>
            <w:vAlign w:val="bottom"/>
            <w:hideMark/>
          </w:tcPr>
          <w:p w14:paraId="29E4B5A4" w14:textId="77777777" w:rsidR="00FE399D" w:rsidRPr="00D1707B" w:rsidRDefault="00FE399D" w:rsidP="00582303">
            <w:pPr>
              <w:pStyle w:val="CBDTableNormal"/>
              <w:spacing w:before="0" w:after="0"/>
              <w:jc w:val="right"/>
              <w:rPr>
                <w:sz w:val="18"/>
                <w:szCs w:val="18"/>
              </w:rPr>
            </w:pPr>
            <w:r>
              <w:rPr>
                <w:sz w:val="18"/>
              </w:rPr>
              <w:t>10 342</w:t>
            </w:r>
          </w:p>
        </w:tc>
        <w:tc>
          <w:tcPr>
            <w:tcW w:w="1080" w:type="dxa"/>
            <w:tcBorders>
              <w:top w:val="nil"/>
              <w:left w:val="nil"/>
              <w:bottom w:val="single" w:sz="4" w:space="0" w:color="auto"/>
              <w:right w:val="single" w:sz="4" w:space="0" w:color="auto"/>
            </w:tcBorders>
            <w:shd w:val="clear" w:color="auto" w:fill="auto"/>
            <w:noWrap/>
            <w:vAlign w:val="bottom"/>
            <w:hideMark/>
          </w:tcPr>
          <w:p w14:paraId="46192ECB" w14:textId="77777777" w:rsidR="00FE399D" w:rsidRPr="00D1707B" w:rsidRDefault="00FE399D" w:rsidP="00582303">
            <w:pPr>
              <w:pStyle w:val="CBDTableNormal"/>
              <w:spacing w:before="0" w:after="0"/>
              <w:jc w:val="right"/>
              <w:rPr>
                <w:sz w:val="18"/>
                <w:szCs w:val="18"/>
              </w:rPr>
            </w:pPr>
            <w:r>
              <w:rPr>
                <w:sz w:val="18"/>
              </w:rPr>
              <w:t>20 022</w:t>
            </w:r>
          </w:p>
        </w:tc>
      </w:tr>
      <w:tr w:rsidR="00FE399D" w:rsidRPr="00D1707B" w14:paraId="550EBAB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7140F56" w14:textId="77777777" w:rsidR="00FE399D" w:rsidRPr="00D1707B" w:rsidRDefault="00FE399D" w:rsidP="00582303">
            <w:pPr>
              <w:pStyle w:val="CBDTableNormal"/>
              <w:spacing w:before="0" w:after="0"/>
              <w:rPr>
                <w:sz w:val="18"/>
                <w:szCs w:val="18"/>
              </w:rPr>
            </w:pPr>
            <w:r>
              <w:rPr>
                <w:sz w:val="18"/>
              </w:rPr>
              <w:t>Mauricio</w:t>
            </w:r>
          </w:p>
        </w:tc>
        <w:tc>
          <w:tcPr>
            <w:tcW w:w="1628" w:type="dxa"/>
            <w:tcBorders>
              <w:top w:val="nil"/>
              <w:left w:val="nil"/>
              <w:bottom w:val="single" w:sz="4" w:space="0" w:color="auto"/>
              <w:right w:val="single" w:sz="4" w:space="0" w:color="auto"/>
            </w:tcBorders>
            <w:shd w:val="clear" w:color="auto" w:fill="auto"/>
            <w:vAlign w:val="bottom"/>
            <w:hideMark/>
          </w:tcPr>
          <w:p w14:paraId="379D4CB4" w14:textId="77777777" w:rsidR="00FE399D" w:rsidRPr="00D1707B" w:rsidRDefault="00FE399D" w:rsidP="00582303">
            <w:pPr>
              <w:pStyle w:val="CBDTableNormal"/>
              <w:spacing w:before="0" w:after="0"/>
              <w:jc w:val="right"/>
              <w:rPr>
                <w:sz w:val="18"/>
                <w:szCs w:val="18"/>
              </w:rPr>
            </w:pPr>
            <w:r>
              <w:rPr>
                <w:sz w:val="18"/>
              </w:rPr>
              <w:t>0,019</w:t>
            </w:r>
          </w:p>
        </w:tc>
        <w:tc>
          <w:tcPr>
            <w:tcW w:w="2198" w:type="dxa"/>
            <w:tcBorders>
              <w:top w:val="nil"/>
              <w:left w:val="nil"/>
              <w:bottom w:val="single" w:sz="4" w:space="0" w:color="auto"/>
              <w:right w:val="single" w:sz="4" w:space="0" w:color="auto"/>
            </w:tcBorders>
            <w:shd w:val="clear" w:color="auto" w:fill="auto"/>
            <w:noWrap/>
            <w:vAlign w:val="bottom"/>
            <w:hideMark/>
          </w:tcPr>
          <w:p w14:paraId="289475E6" w14:textId="77777777" w:rsidR="00FE399D" w:rsidRPr="00D1707B" w:rsidRDefault="00FE399D" w:rsidP="00582303">
            <w:pPr>
              <w:pStyle w:val="CBDTableNormal"/>
              <w:spacing w:before="0" w:after="0"/>
              <w:jc w:val="right"/>
              <w:rPr>
                <w:sz w:val="18"/>
                <w:szCs w:val="18"/>
              </w:rPr>
            </w:pPr>
            <w:r>
              <w:rPr>
                <w:sz w:val="18"/>
              </w:rPr>
              <w:t>0,024</w:t>
            </w:r>
          </w:p>
        </w:tc>
        <w:tc>
          <w:tcPr>
            <w:tcW w:w="1176" w:type="dxa"/>
            <w:tcBorders>
              <w:top w:val="nil"/>
              <w:left w:val="nil"/>
              <w:bottom w:val="single" w:sz="4" w:space="0" w:color="auto"/>
              <w:right w:val="single" w:sz="4" w:space="0" w:color="auto"/>
            </w:tcBorders>
            <w:shd w:val="clear" w:color="auto" w:fill="auto"/>
            <w:noWrap/>
            <w:vAlign w:val="bottom"/>
            <w:hideMark/>
          </w:tcPr>
          <w:p w14:paraId="627BD098" w14:textId="77777777" w:rsidR="00FE399D" w:rsidRPr="00D1707B" w:rsidRDefault="00FE399D" w:rsidP="00582303">
            <w:pPr>
              <w:pStyle w:val="CBDTableNormal"/>
              <w:spacing w:before="0" w:after="0"/>
              <w:jc w:val="right"/>
              <w:rPr>
                <w:sz w:val="18"/>
                <w:szCs w:val="18"/>
              </w:rPr>
            </w:pPr>
            <w:r>
              <w:rPr>
                <w:sz w:val="18"/>
              </w:rPr>
              <w:t>3 344</w:t>
            </w:r>
          </w:p>
        </w:tc>
        <w:tc>
          <w:tcPr>
            <w:tcW w:w="1461" w:type="dxa"/>
            <w:tcBorders>
              <w:top w:val="nil"/>
              <w:left w:val="nil"/>
              <w:bottom w:val="single" w:sz="4" w:space="0" w:color="auto"/>
              <w:right w:val="single" w:sz="4" w:space="0" w:color="auto"/>
            </w:tcBorders>
            <w:shd w:val="clear" w:color="auto" w:fill="auto"/>
            <w:noWrap/>
            <w:vAlign w:val="bottom"/>
            <w:hideMark/>
          </w:tcPr>
          <w:p w14:paraId="42FE4178" w14:textId="77777777" w:rsidR="00FE399D" w:rsidRPr="00D1707B" w:rsidRDefault="00FE399D" w:rsidP="00582303">
            <w:pPr>
              <w:pStyle w:val="CBDTableNormal"/>
              <w:spacing w:before="0" w:after="0"/>
              <w:jc w:val="right"/>
              <w:rPr>
                <w:sz w:val="18"/>
                <w:szCs w:val="18"/>
              </w:rPr>
            </w:pPr>
            <w:r>
              <w:rPr>
                <w:sz w:val="18"/>
              </w:rPr>
              <w:t>3 573</w:t>
            </w:r>
          </w:p>
        </w:tc>
        <w:tc>
          <w:tcPr>
            <w:tcW w:w="1080" w:type="dxa"/>
            <w:tcBorders>
              <w:top w:val="nil"/>
              <w:left w:val="nil"/>
              <w:bottom w:val="single" w:sz="4" w:space="0" w:color="auto"/>
              <w:right w:val="single" w:sz="4" w:space="0" w:color="auto"/>
            </w:tcBorders>
            <w:shd w:val="clear" w:color="auto" w:fill="auto"/>
            <w:noWrap/>
            <w:vAlign w:val="bottom"/>
            <w:hideMark/>
          </w:tcPr>
          <w:p w14:paraId="2F2261CD" w14:textId="77777777" w:rsidR="00FE399D" w:rsidRPr="00D1707B" w:rsidRDefault="00FE399D" w:rsidP="00582303">
            <w:pPr>
              <w:pStyle w:val="CBDTableNormal"/>
              <w:spacing w:before="0" w:after="0"/>
              <w:jc w:val="right"/>
              <w:rPr>
                <w:sz w:val="18"/>
                <w:szCs w:val="18"/>
              </w:rPr>
            </w:pPr>
            <w:r>
              <w:rPr>
                <w:sz w:val="18"/>
              </w:rPr>
              <w:t>6 917</w:t>
            </w:r>
          </w:p>
        </w:tc>
      </w:tr>
      <w:tr w:rsidR="00FE399D" w:rsidRPr="00D1707B" w14:paraId="3C4CFD1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11D854D" w14:textId="77777777" w:rsidR="00FE399D" w:rsidRPr="00D1707B" w:rsidRDefault="00FE399D" w:rsidP="00582303">
            <w:pPr>
              <w:pStyle w:val="CBDTableNormal"/>
              <w:spacing w:before="0" w:after="0"/>
              <w:rPr>
                <w:sz w:val="18"/>
                <w:szCs w:val="18"/>
              </w:rPr>
            </w:pPr>
            <w:r>
              <w:rPr>
                <w:sz w:val="18"/>
              </w:rPr>
              <w:t>Mauritania</w:t>
            </w:r>
          </w:p>
        </w:tc>
        <w:tc>
          <w:tcPr>
            <w:tcW w:w="1628" w:type="dxa"/>
            <w:tcBorders>
              <w:top w:val="nil"/>
              <w:left w:val="nil"/>
              <w:bottom w:val="single" w:sz="4" w:space="0" w:color="auto"/>
              <w:right w:val="single" w:sz="4" w:space="0" w:color="auto"/>
            </w:tcBorders>
            <w:shd w:val="clear" w:color="auto" w:fill="auto"/>
            <w:vAlign w:val="bottom"/>
            <w:hideMark/>
          </w:tcPr>
          <w:p w14:paraId="548FA2C1" w14:textId="77777777" w:rsidR="00FE399D" w:rsidRPr="00D1707B" w:rsidRDefault="00FE399D" w:rsidP="00582303">
            <w:pPr>
              <w:pStyle w:val="CBDTableNormal"/>
              <w:spacing w:before="0" w:after="0"/>
              <w:jc w:val="right"/>
              <w:rPr>
                <w:sz w:val="18"/>
                <w:szCs w:val="18"/>
              </w:rPr>
            </w:pPr>
            <w:r>
              <w:rPr>
                <w:sz w:val="18"/>
              </w:rPr>
              <w:t>0,002</w:t>
            </w:r>
          </w:p>
        </w:tc>
        <w:tc>
          <w:tcPr>
            <w:tcW w:w="2198" w:type="dxa"/>
            <w:tcBorders>
              <w:top w:val="nil"/>
              <w:left w:val="nil"/>
              <w:bottom w:val="single" w:sz="4" w:space="0" w:color="auto"/>
              <w:right w:val="single" w:sz="4" w:space="0" w:color="auto"/>
            </w:tcBorders>
            <w:shd w:val="clear" w:color="auto" w:fill="auto"/>
            <w:noWrap/>
            <w:vAlign w:val="bottom"/>
            <w:hideMark/>
          </w:tcPr>
          <w:p w14:paraId="2563A067" w14:textId="77777777" w:rsidR="00FE399D" w:rsidRPr="00D1707B" w:rsidRDefault="00FE399D" w:rsidP="00582303">
            <w:pPr>
              <w:pStyle w:val="CBDTableNormal"/>
              <w:spacing w:before="0" w:after="0"/>
              <w:jc w:val="right"/>
              <w:rPr>
                <w:sz w:val="18"/>
                <w:szCs w:val="18"/>
              </w:rPr>
            </w:pPr>
            <w:r>
              <w:rPr>
                <w:sz w:val="18"/>
              </w:rPr>
              <w:t>0,003</w:t>
            </w:r>
          </w:p>
        </w:tc>
        <w:tc>
          <w:tcPr>
            <w:tcW w:w="1176" w:type="dxa"/>
            <w:tcBorders>
              <w:top w:val="nil"/>
              <w:left w:val="nil"/>
              <w:bottom w:val="single" w:sz="4" w:space="0" w:color="auto"/>
              <w:right w:val="single" w:sz="4" w:space="0" w:color="auto"/>
            </w:tcBorders>
            <w:shd w:val="clear" w:color="auto" w:fill="auto"/>
            <w:noWrap/>
            <w:vAlign w:val="bottom"/>
            <w:hideMark/>
          </w:tcPr>
          <w:p w14:paraId="7A0D6489" w14:textId="77777777" w:rsidR="00FE399D" w:rsidRPr="00D1707B" w:rsidRDefault="00FE399D" w:rsidP="00582303">
            <w:pPr>
              <w:pStyle w:val="CBDTableNormal"/>
              <w:spacing w:before="0" w:after="0"/>
              <w:jc w:val="right"/>
              <w:rPr>
                <w:sz w:val="18"/>
                <w:szCs w:val="18"/>
              </w:rPr>
            </w:pPr>
            <w:r>
              <w:rPr>
                <w:sz w:val="18"/>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6ED6C2CB" w14:textId="77777777" w:rsidR="00FE399D" w:rsidRPr="00D1707B" w:rsidRDefault="00FE399D" w:rsidP="00582303">
            <w:pPr>
              <w:pStyle w:val="CBDTableNormal"/>
              <w:spacing w:before="0" w:after="0"/>
              <w:jc w:val="right"/>
              <w:rPr>
                <w:sz w:val="18"/>
                <w:szCs w:val="18"/>
              </w:rPr>
            </w:pPr>
            <w:r>
              <w:rPr>
                <w:sz w:val="18"/>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3FFBDCA8" w14:textId="77777777" w:rsidR="00FE399D" w:rsidRPr="00D1707B" w:rsidRDefault="00FE399D" w:rsidP="00582303">
            <w:pPr>
              <w:pStyle w:val="CBDTableNormal"/>
              <w:spacing w:before="0" w:after="0"/>
              <w:jc w:val="right"/>
              <w:rPr>
                <w:sz w:val="18"/>
                <w:szCs w:val="18"/>
              </w:rPr>
            </w:pPr>
            <w:r>
              <w:rPr>
                <w:sz w:val="18"/>
              </w:rPr>
              <w:t>728</w:t>
            </w:r>
          </w:p>
        </w:tc>
      </w:tr>
      <w:tr w:rsidR="00FE399D" w:rsidRPr="00D1707B" w14:paraId="18A79F9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0951518" w14:textId="77777777" w:rsidR="00FE399D" w:rsidRPr="00D1707B" w:rsidRDefault="00FE399D" w:rsidP="00582303">
            <w:pPr>
              <w:pStyle w:val="CBDTableNormal"/>
              <w:spacing w:before="0" w:after="0"/>
              <w:rPr>
                <w:sz w:val="18"/>
                <w:szCs w:val="18"/>
              </w:rPr>
            </w:pPr>
            <w:r>
              <w:rPr>
                <w:sz w:val="18"/>
              </w:rPr>
              <w:t>México</w:t>
            </w:r>
          </w:p>
        </w:tc>
        <w:tc>
          <w:tcPr>
            <w:tcW w:w="1628" w:type="dxa"/>
            <w:tcBorders>
              <w:top w:val="nil"/>
              <w:left w:val="nil"/>
              <w:bottom w:val="single" w:sz="4" w:space="0" w:color="auto"/>
              <w:right w:val="single" w:sz="4" w:space="0" w:color="auto"/>
            </w:tcBorders>
            <w:shd w:val="clear" w:color="auto" w:fill="auto"/>
            <w:vAlign w:val="bottom"/>
            <w:hideMark/>
          </w:tcPr>
          <w:p w14:paraId="22572219" w14:textId="77777777" w:rsidR="00FE399D" w:rsidRPr="00D1707B" w:rsidRDefault="00FE399D" w:rsidP="00582303">
            <w:pPr>
              <w:pStyle w:val="CBDTableNormal"/>
              <w:spacing w:before="0" w:after="0"/>
              <w:jc w:val="right"/>
              <w:rPr>
                <w:sz w:val="18"/>
                <w:szCs w:val="18"/>
              </w:rPr>
            </w:pPr>
            <w:r>
              <w:rPr>
                <w:sz w:val="18"/>
              </w:rPr>
              <w:t>1,221</w:t>
            </w:r>
          </w:p>
        </w:tc>
        <w:tc>
          <w:tcPr>
            <w:tcW w:w="2198" w:type="dxa"/>
            <w:tcBorders>
              <w:top w:val="nil"/>
              <w:left w:val="nil"/>
              <w:bottom w:val="single" w:sz="4" w:space="0" w:color="auto"/>
              <w:right w:val="single" w:sz="4" w:space="0" w:color="auto"/>
            </w:tcBorders>
            <w:shd w:val="clear" w:color="auto" w:fill="auto"/>
            <w:noWrap/>
            <w:vAlign w:val="bottom"/>
            <w:hideMark/>
          </w:tcPr>
          <w:p w14:paraId="03C3CD9C" w14:textId="77777777" w:rsidR="00FE399D" w:rsidRPr="00D1707B" w:rsidRDefault="00FE399D" w:rsidP="00582303">
            <w:pPr>
              <w:pStyle w:val="CBDTableNormal"/>
              <w:spacing w:before="0" w:after="0"/>
              <w:jc w:val="right"/>
              <w:rPr>
                <w:sz w:val="18"/>
                <w:szCs w:val="18"/>
              </w:rPr>
            </w:pPr>
            <w:r>
              <w:rPr>
                <w:sz w:val="18"/>
              </w:rPr>
              <w:t>1,526</w:t>
            </w:r>
          </w:p>
        </w:tc>
        <w:tc>
          <w:tcPr>
            <w:tcW w:w="1176" w:type="dxa"/>
            <w:tcBorders>
              <w:top w:val="nil"/>
              <w:left w:val="nil"/>
              <w:bottom w:val="single" w:sz="4" w:space="0" w:color="auto"/>
              <w:right w:val="single" w:sz="4" w:space="0" w:color="auto"/>
            </w:tcBorders>
            <w:shd w:val="clear" w:color="auto" w:fill="auto"/>
            <w:noWrap/>
            <w:vAlign w:val="bottom"/>
            <w:hideMark/>
          </w:tcPr>
          <w:p w14:paraId="09B399D0" w14:textId="77777777" w:rsidR="00FE399D" w:rsidRPr="00D1707B" w:rsidRDefault="00FE399D" w:rsidP="00582303">
            <w:pPr>
              <w:pStyle w:val="CBDTableNormal"/>
              <w:spacing w:before="0" w:after="0"/>
              <w:jc w:val="right"/>
              <w:rPr>
                <w:sz w:val="18"/>
                <w:szCs w:val="18"/>
              </w:rPr>
            </w:pPr>
            <w:r>
              <w:rPr>
                <w:sz w:val="18"/>
              </w:rPr>
              <w:t>214 889</w:t>
            </w:r>
          </w:p>
        </w:tc>
        <w:tc>
          <w:tcPr>
            <w:tcW w:w="1461" w:type="dxa"/>
            <w:tcBorders>
              <w:top w:val="nil"/>
              <w:left w:val="nil"/>
              <w:bottom w:val="single" w:sz="4" w:space="0" w:color="auto"/>
              <w:right w:val="single" w:sz="4" w:space="0" w:color="auto"/>
            </w:tcBorders>
            <w:shd w:val="clear" w:color="auto" w:fill="auto"/>
            <w:noWrap/>
            <w:vAlign w:val="bottom"/>
            <w:hideMark/>
          </w:tcPr>
          <w:p w14:paraId="4A20869F" w14:textId="77777777" w:rsidR="00FE399D" w:rsidRPr="00D1707B" w:rsidRDefault="00FE399D" w:rsidP="00582303">
            <w:pPr>
              <w:pStyle w:val="CBDTableNormal"/>
              <w:spacing w:before="0" w:after="0"/>
              <w:jc w:val="right"/>
              <w:rPr>
                <w:sz w:val="18"/>
                <w:szCs w:val="18"/>
              </w:rPr>
            </w:pPr>
            <w:r>
              <w:rPr>
                <w:sz w:val="18"/>
              </w:rPr>
              <w:t>229 593</w:t>
            </w:r>
          </w:p>
        </w:tc>
        <w:tc>
          <w:tcPr>
            <w:tcW w:w="1080" w:type="dxa"/>
            <w:tcBorders>
              <w:top w:val="nil"/>
              <w:left w:val="nil"/>
              <w:bottom w:val="single" w:sz="4" w:space="0" w:color="auto"/>
              <w:right w:val="single" w:sz="4" w:space="0" w:color="auto"/>
            </w:tcBorders>
            <w:shd w:val="clear" w:color="auto" w:fill="auto"/>
            <w:noWrap/>
            <w:vAlign w:val="bottom"/>
            <w:hideMark/>
          </w:tcPr>
          <w:p w14:paraId="5CD9553B" w14:textId="77777777" w:rsidR="00FE399D" w:rsidRPr="00D1707B" w:rsidRDefault="00FE399D" w:rsidP="00582303">
            <w:pPr>
              <w:pStyle w:val="CBDTableNormal"/>
              <w:spacing w:before="0" w:after="0"/>
              <w:jc w:val="right"/>
              <w:rPr>
                <w:sz w:val="18"/>
                <w:szCs w:val="18"/>
              </w:rPr>
            </w:pPr>
            <w:r>
              <w:rPr>
                <w:sz w:val="18"/>
              </w:rPr>
              <w:t>444 482</w:t>
            </w:r>
          </w:p>
        </w:tc>
      </w:tr>
      <w:tr w:rsidR="00FE399D" w:rsidRPr="00D1707B" w14:paraId="2659DAD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1A30214" w14:textId="77777777" w:rsidR="00FE399D" w:rsidRPr="00D1707B" w:rsidRDefault="00FE399D" w:rsidP="00582303">
            <w:pPr>
              <w:pStyle w:val="CBDTableNormal"/>
              <w:tabs>
                <w:tab w:val="clear" w:pos="567"/>
                <w:tab w:val="left" w:pos="178"/>
              </w:tabs>
              <w:spacing w:before="0" w:after="0"/>
              <w:ind w:left="144" w:hanging="144"/>
              <w:rPr>
                <w:sz w:val="18"/>
                <w:szCs w:val="18"/>
              </w:rPr>
            </w:pPr>
            <w:r>
              <w:rPr>
                <w:sz w:val="18"/>
              </w:rPr>
              <w:t>Micronesia (Estados Federados de)</w:t>
            </w:r>
          </w:p>
        </w:tc>
        <w:tc>
          <w:tcPr>
            <w:tcW w:w="1628" w:type="dxa"/>
            <w:tcBorders>
              <w:top w:val="nil"/>
              <w:left w:val="nil"/>
              <w:bottom w:val="single" w:sz="4" w:space="0" w:color="auto"/>
              <w:right w:val="single" w:sz="4" w:space="0" w:color="auto"/>
            </w:tcBorders>
            <w:shd w:val="clear" w:color="auto" w:fill="auto"/>
            <w:vAlign w:val="bottom"/>
            <w:hideMark/>
          </w:tcPr>
          <w:p w14:paraId="1593B460"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5E7B8B22"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44958366"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36DEB70C"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19211CC8"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387C215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02CDD5E" w14:textId="77777777" w:rsidR="00FE399D" w:rsidRPr="00D1707B" w:rsidRDefault="00FE399D" w:rsidP="00582303">
            <w:pPr>
              <w:pStyle w:val="CBDTableNormal"/>
              <w:spacing w:before="0" w:after="0"/>
              <w:rPr>
                <w:sz w:val="18"/>
                <w:szCs w:val="18"/>
              </w:rPr>
            </w:pPr>
            <w:r>
              <w:rPr>
                <w:sz w:val="18"/>
              </w:rPr>
              <w:t>Mónaco</w:t>
            </w:r>
          </w:p>
        </w:tc>
        <w:tc>
          <w:tcPr>
            <w:tcW w:w="1628" w:type="dxa"/>
            <w:tcBorders>
              <w:top w:val="nil"/>
              <w:left w:val="nil"/>
              <w:bottom w:val="single" w:sz="4" w:space="0" w:color="auto"/>
              <w:right w:val="single" w:sz="4" w:space="0" w:color="auto"/>
            </w:tcBorders>
            <w:shd w:val="clear" w:color="auto" w:fill="auto"/>
            <w:vAlign w:val="bottom"/>
            <w:hideMark/>
          </w:tcPr>
          <w:p w14:paraId="34353DA2" w14:textId="77777777" w:rsidR="00FE399D" w:rsidRPr="00D1707B" w:rsidRDefault="00FE399D" w:rsidP="00582303">
            <w:pPr>
              <w:pStyle w:val="CBDTableNormal"/>
              <w:spacing w:before="0" w:after="0"/>
              <w:jc w:val="right"/>
              <w:rPr>
                <w:sz w:val="18"/>
                <w:szCs w:val="18"/>
              </w:rPr>
            </w:pPr>
            <w:r>
              <w:rPr>
                <w:sz w:val="18"/>
              </w:rPr>
              <w:t>0,011</w:t>
            </w:r>
          </w:p>
        </w:tc>
        <w:tc>
          <w:tcPr>
            <w:tcW w:w="2198" w:type="dxa"/>
            <w:tcBorders>
              <w:top w:val="nil"/>
              <w:left w:val="nil"/>
              <w:bottom w:val="single" w:sz="4" w:space="0" w:color="auto"/>
              <w:right w:val="single" w:sz="4" w:space="0" w:color="auto"/>
            </w:tcBorders>
            <w:shd w:val="clear" w:color="auto" w:fill="auto"/>
            <w:noWrap/>
            <w:vAlign w:val="bottom"/>
            <w:hideMark/>
          </w:tcPr>
          <w:p w14:paraId="798A4B90" w14:textId="77777777" w:rsidR="00FE399D" w:rsidRPr="00D1707B" w:rsidRDefault="00FE399D" w:rsidP="00582303">
            <w:pPr>
              <w:pStyle w:val="CBDTableNormal"/>
              <w:spacing w:before="0" w:after="0"/>
              <w:jc w:val="right"/>
              <w:rPr>
                <w:sz w:val="18"/>
                <w:szCs w:val="18"/>
              </w:rPr>
            </w:pPr>
            <w:r>
              <w:rPr>
                <w:sz w:val="18"/>
              </w:rPr>
              <w:t>0,014</w:t>
            </w:r>
          </w:p>
        </w:tc>
        <w:tc>
          <w:tcPr>
            <w:tcW w:w="1176" w:type="dxa"/>
            <w:tcBorders>
              <w:top w:val="nil"/>
              <w:left w:val="nil"/>
              <w:bottom w:val="single" w:sz="4" w:space="0" w:color="auto"/>
              <w:right w:val="single" w:sz="4" w:space="0" w:color="auto"/>
            </w:tcBorders>
            <w:shd w:val="clear" w:color="auto" w:fill="auto"/>
            <w:noWrap/>
            <w:vAlign w:val="bottom"/>
            <w:hideMark/>
          </w:tcPr>
          <w:p w14:paraId="4981B9BD" w14:textId="77777777" w:rsidR="00FE399D" w:rsidRPr="00D1707B" w:rsidRDefault="00FE399D" w:rsidP="00582303">
            <w:pPr>
              <w:pStyle w:val="CBDTableNormal"/>
              <w:spacing w:before="0" w:after="0"/>
              <w:jc w:val="right"/>
              <w:rPr>
                <w:sz w:val="18"/>
                <w:szCs w:val="18"/>
              </w:rPr>
            </w:pPr>
            <w:r>
              <w:rPr>
                <w:sz w:val="18"/>
              </w:rPr>
              <w:t>1 936</w:t>
            </w:r>
          </w:p>
        </w:tc>
        <w:tc>
          <w:tcPr>
            <w:tcW w:w="1461" w:type="dxa"/>
            <w:tcBorders>
              <w:top w:val="nil"/>
              <w:left w:val="nil"/>
              <w:bottom w:val="single" w:sz="4" w:space="0" w:color="auto"/>
              <w:right w:val="single" w:sz="4" w:space="0" w:color="auto"/>
            </w:tcBorders>
            <w:shd w:val="clear" w:color="auto" w:fill="auto"/>
            <w:noWrap/>
            <w:vAlign w:val="bottom"/>
            <w:hideMark/>
          </w:tcPr>
          <w:p w14:paraId="10BF6D31" w14:textId="77777777" w:rsidR="00FE399D" w:rsidRPr="00D1707B" w:rsidRDefault="00FE399D" w:rsidP="00582303">
            <w:pPr>
              <w:pStyle w:val="CBDTableNormal"/>
              <w:spacing w:before="0" w:after="0"/>
              <w:jc w:val="right"/>
              <w:rPr>
                <w:sz w:val="18"/>
                <w:szCs w:val="18"/>
              </w:rPr>
            </w:pPr>
            <w:r>
              <w:rPr>
                <w:sz w:val="18"/>
              </w:rPr>
              <w:t>2 068</w:t>
            </w:r>
          </w:p>
        </w:tc>
        <w:tc>
          <w:tcPr>
            <w:tcW w:w="1080" w:type="dxa"/>
            <w:tcBorders>
              <w:top w:val="nil"/>
              <w:left w:val="nil"/>
              <w:bottom w:val="single" w:sz="4" w:space="0" w:color="auto"/>
              <w:right w:val="single" w:sz="4" w:space="0" w:color="auto"/>
            </w:tcBorders>
            <w:shd w:val="clear" w:color="auto" w:fill="auto"/>
            <w:noWrap/>
            <w:vAlign w:val="bottom"/>
            <w:hideMark/>
          </w:tcPr>
          <w:p w14:paraId="1ACCA900" w14:textId="77777777" w:rsidR="00FE399D" w:rsidRPr="00D1707B" w:rsidRDefault="00FE399D" w:rsidP="00582303">
            <w:pPr>
              <w:pStyle w:val="CBDTableNormal"/>
              <w:spacing w:before="0" w:after="0"/>
              <w:jc w:val="right"/>
              <w:rPr>
                <w:sz w:val="18"/>
                <w:szCs w:val="18"/>
              </w:rPr>
            </w:pPr>
            <w:r>
              <w:rPr>
                <w:sz w:val="18"/>
              </w:rPr>
              <w:t>4 004</w:t>
            </w:r>
          </w:p>
        </w:tc>
      </w:tr>
      <w:tr w:rsidR="00FE399D" w:rsidRPr="00D1707B" w14:paraId="27E58A57"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D1702BC" w14:textId="77777777" w:rsidR="00FE399D" w:rsidRPr="00D1707B" w:rsidRDefault="00FE399D" w:rsidP="00582303">
            <w:pPr>
              <w:pStyle w:val="CBDTableNormal"/>
              <w:spacing w:before="0" w:after="0"/>
              <w:rPr>
                <w:sz w:val="18"/>
                <w:szCs w:val="18"/>
              </w:rPr>
            </w:pPr>
            <w:r>
              <w:rPr>
                <w:sz w:val="18"/>
              </w:rPr>
              <w:t>Mongolia</w:t>
            </w:r>
          </w:p>
        </w:tc>
        <w:tc>
          <w:tcPr>
            <w:tcW w:w="1628" w:type="dxa"/>
            <w:tcBorders>
              <w:top w:val="nil"/>
              <w:left w:val="nil"/>
              <w:bottom w:val="single" w:sz="4" w:space="0" w:color="auto"/>
              <w:right w:val="single" w:sz="4" w:space="0" w:color="auto"/>
            </w:tcBorders>
            <w:shd w:val="clear" w:color="auto" w:fill="auto"/>
            <w:vAlign w:val="bottom"/>
            <w:hideMark/>
          </w:tcPr>
          <w:p w14:paraId="46D0A5C3" w14:textId="77777777" w:rsidR="00FE399D" w:rsidRPr="00D1707B" w:rsidRDefault="00FE399D" w:rsidP="00582303">
            <w:pPr>
              <w:pStyle w:val="CBDTableNormal"/>
              <w:spacing w:before="0" w:after="0"/>
              <w:jc w:val="right"/>
              <w:rPr>
                <w:sz w:val="18"/>
                <w:szCs w:val="18"/>
              </w:rPr>
            </w:pPr>
            <w:r>
              <w:rPr>
                <w:sz w:val="18"/>
              </w:rPr>
              <w:t>0,004</w:t>
            </w:r>
          </w:p>
        </w:tc>
        <w:tc>
          <w:tcPr>
            <w:tcW w:w="2198" w:type="dxa"/>
            <w:tcBorders>
              <w:top w:val="nil"/>
              <w:left w:val="nil"/>
              <w:bottom w:val="single" w:sz="4" w:space="0" w:color="auto"/>
              <w:right w:val="single" w:sz="4" w:space="0" w:color="auto"/>
            </w:tcBorders>
            <w:shd w:val="clear" w:color="auto" w:fill="auto"/>
            <w:noWrap/>
            <w:vAlign w:val="bottom"/>
            <w:hideMark/>
          </w:tcPr>
          <w:p w14:paraId="4D73FDE9" w14:textId="77777777" w:rsidR="00FE399D" w:rsidRPr="00D1707B" w:rsidRDefault="00FE399D" w:rsidP="00582303">
            <w:pPr>
              <w:pStyle w:val="CBDTableNormal"/>
              <w:spacing w:before="0" w:after="0"/>
              <w:jc w:val="right"/>
              <w:rPr>
                <w:sz w:val="18"/>
                <w:szCs w:val="18"/>
              </w:rPr>
            </w:pPr>
            <w:r>
              <w:rPr>
                <w:sz w:val="18"/>
              </w:rPr>
              <w:t>0,005</w:t>
            </w:r>
          </w:p>
        </w:tc>
        <w:tc>
          <w:tcPr>
            <w:tcW w:w="1176" w:type="dxa"/>
            <w:tcBorders>
              <w:top w:val="nil"/>
              <w:left w:val="nil"/>
              <w:bottom w:val="single" w:sz="4" w:space="0" w:color="auto"/>
              <w:right w:val="single" w:sz="4" w:space="0" w:color="auto"/>
            </w:tcBorders>
            <w:shd w:val="clear" w:color="auto" w:fill="auto"/>
            <w:noWrap/>
            <w:vAlign w:val="bottom"/>
            <w:hideMark/>
          </w:tcPr>
          <w:p w14:paraId="75E0A5D7" w14:textId="77777777" w:rsidR="00FE399D" w:rsidRPr="00D1707B" w:rsidRDefault="00FE399D" w:rsidP="00582303">
            <w:pPr>
              <w:pStyle w:val="CBDTableNormal"/>
              <w:spacing w:before="0" w:after="0"/>
              <w:jc w:val="right"/>
              <w:rPr>
                <w:sz w:val="18"/>
                <w:szCs w:val="18"/>
              </w:rPr>
            </w:pPr>
            <w:r>
              <w:rPr>
                <w:sz w:val="18"/>
              </w:rPr>
              <w:t>704</w:t>
            </w:r>
          </w:p>
        </w:tc>
        <w:tc>
          <w:tcPr>
            <w:tcW w:w="1461" w:type="dxa"/>
            <w:tcBorders>
              <w:top w:val="nil"/>
              <w:left w:val="nil"/>
              <w:bottom w:val="single" w:sz="4" w:space="0" w:color="auto"/>
              <w:right w:val="single" w:sz="4" w:space="0" w:color="auto"/>
            </w:tcBorders>
            <w:shd w:val="clear" w:color="auto" w:fill="auto"/>
            <w:noWrap/>
            <w:vAlign w:val="bottom"/>
            <w:hideMark/>
          </w:tcPr>
          <w:p w14:paraId="46470CE9" w14:textId="77777777" w:rsidR="00FE399D" w:rsidRPr="00D1707B" w:rsidRDefault="00FE399D" w:rsidP="00582303">
            <w:pPr>
              <w:pStyle w:val="CBDTableNormal"/>
              <w:spacing w:before="0" w:after="0"/>
              <w:jc w:val="right"/>
              <w:rPr>
                <w:sz w:val="18"/>
                <w:szCs w:val="18"/>
              </w:rPr>
            </w:pPr>
            <w:r>
              <w:rPr>
                <w:sz w:val="18"/>
              </w:rPr>
              <w:t>752</w:t>
            </w:r>
          </w:p>
        </w:tc>
        <w:tc>
          <w:tcPr>
            <w:tcW w:w="1080" w:type="dxa"/>
            <w:tcBorders>
              <w:top w:val="nil"/>
              <w:left w:val="nil"/>
              <w:bottom w:val="single" w:sz="4" w:space="0" w:color="auto"/>
              <w:right w:val="single" w:sz="4" w:space="0" w:color="auto"/>
            </w:tcBorders>
            <w:shd w:val="clear" w:color="auto" w:fill="auto"/>
            <w:noWrap/>
            <w:vAlign w:val="bottom"/>
            <w:hideMark/>
          </w:tcPr>
          <w:p w14:paraId="2EC71E63" w14:textId="77777777" w:rsidR="00FE399D" w:rsidRPr="00D1707B" w:rsidRDefault="00FE399D" w:rsidP="00582303">
            <w:pPr>
              <w:pStyle w:val="CBDTableNormal"/>
              <w:spacing w:before="0" w:after="0"/>
              <w:jc w:val="right"/>
              <w:rPr>
                <w:sz w:val="18"/>
                <w:szCs w:val="18"/>
              </w:rPr>
            </w:pPr>
            <w:r>
              <w:rPr>
                <w:sz w:val="18"/>
              </w:rPr>
              <w:t>1 456</w:t>
            </w:r>
          </w:p>
        </w:tc>
      </w:tr>
      <w:tr w:rsidR="00FE399D" w:rsidRPr="00D1707B" w14:paraId="01A1B01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BF9054C" w14:textId="77777777" w:rsidR="00FE399D" w:rsidRPr="00D1707B" w:rsidRDefault="00FE399D" w:rsidP="00582303">
            <w:pPr>
              <w:pStyle w:val="CBDTableNormal"/>
              <w:spacing w:before="0" w:after="0"/>
              <w:rPr>
                <w:sz w:val="18"/>
                <w:szCs w:val="18"/>
              </w:rPr>
            </w:pPr>
            <w:r>
              <w:rPr>
                <w:sz w:val="18"/>
              </w:rPr>
              <w:t>Montenegro</w:t>
            </w:r>
          </w:p>
        </w:tc>
        <w:tc>
          <w:tcPr>
            <w:tcW w:w="1628" w:type="dxa"/>
            <w:tcBorders>
              <w:top w:val="nil"/>
              <w:left w:val="nil"/>
              <w:bottom w:val="single" w:sz="4" w:space="0" w:color="auto"/>
              <w:right w:val="single" w:sz="4" w:space="0" w:color="auto"/>
            </w:tcBorders>
            <w:shd w:val="clear" w:color="auto" w:fill="auto"/>
            <w:vAlign w:val="bottom"/>
            <w:hideMark/>
          </w:tcPr>
          <w:p w14:paraId="0B4CF859" w14:textId="77777777" w:rsidR="00FE399D" w:rsidRPr="00D1707B" w:rsidRDefault="00FE399D" w:rsidP="00582303">
            <w:pPr>
              <w:pStyle w:val="CBDTableNormal"/>
              <w:spacing w:before="0" w:after="0"/>
              <w:jc w:val="right"/>
              <w:rPr>
                <w:sz w:val="18"/>
                <w:szCs w:val="18"/>
              </w:rPr>
            </w:pPr>
            <w:r>
              <w:rPr>
                <w:sz w:val="18"/>
              </w:rPr>
              <w:t>0,004</w:t>
            </w:r>
          </w:p>
        </w:tc>
        <w:tc>
          <w:tcPr>
            <w:tcW w:w="2198" w:type="dxa"/>
            <w:tcBorders>
              <w:top w:val="nil"/>
              <w:left w:val="nil"/>
              <w:bottom w:val="single" w:sz="4" w:space="0" w:color="auto"/>
              <w:right w:val="single" w:sz="4" w:space="0" w:color="auto"/>
            </w:tcBorders>
            <w:shd w:val="clear" w:color="auto" w:fill="auto"/>
            <w:noWrap/>
            <w:vAlign w:val="bottom"/>
            <w:hideMark/>
          </w:tcPr>
          <w:p w14:paraId="22E0299A" w14:textId="77777777" w:rsidR="00FE399D" w:rsidRPr="00D1707B" w:rsidRDefault="00FE399D" w:rsidP="00582303">
            <w:pPr>
              <w:pStyle w:val="CBDTableNormal"/>
              <w:spacing w:before="0" w:after="0"/>
              <w:jc w:val="right"/>
              <w:rPr>
                <w:sz w:val="18"/>
                <w:szCs w:val="18"/>
              </w:rPr>
            </w:pPr>
            <w:r>
              <w:rPr>
                <w:sz w:val="18"/>
              </w:rPr>
              <w:t>0,005</w:t>
            </w:r>
          </w:p>
        </w:tc>
        <w:tc>
          <w:tcPr>
            <w:tcW w:w="1176" w:type="dxa"/>
            <w:tcBorders>
              <w:top w:val="nil"/>
              <w:left w:val="nil"/>
              <w:bottom w:val="single" w:sz="4" w:space="0" w:color="auto"/>
              <w:right w:val="single" w:sz="4" w:space="0" w:color="auto"/>
            </w:tcBorders>
            <w:shd w:val="clear" w:color="auto" w:fill="auto"/>
            <w:noWrap/>
            <w:vAlign w:val="bottom"/>
            <w:hideMark/>
          </w:tcPr>
          <w:p w14:paraId="0CA8C66D" w14:textId="77777777" w:rsidR="00FE399D" w:rsidRPr="00D1707B" w:rsidRDefault="00FE399D" w:rsidP="00582303">
            <w:pPr>
              <w:pStyle w:val="CBDTableNormal"/>
              <w:spacing w:before="0" w:after="0"/>
              <w:jc w:val="right"/>
              <w:rPr>
                <w:sz w:val="18"/>
                <w:szCs w:val="18"/>
              </w:rPr>
            </w:pPr>
            <w:r>
              <w:rPr>
                <w:sz w:val="18"/>
              </w:rPr>
              <w:t>704</w:t>
            </w:r>
          </w:p>
        </w:tc>
        <w:tc>
          <w:tcPr>
            <w:tcW w:w="1461" w:type="dxa"/>
            <w:tcBorders>
              <w:top w:val="nil"/>
              <w:left w:val="nil"/>
              <w:bottom w:val="single" w:sz="4" w:space="0" w:color="auto"/>
              <w:right w:val="single" w:sz="4" w:space="0" w:color="auto"/>
            </w:tcBorders>
            <w:shd w:val="clear" w:color="auto" w:fill="auto"/>
            <w:noWrap/>
            <w:vAlign w:val="bottom"/>
            <w:hideMark/>
          </w:tcPr>
          <w:p w14:paraId="41D0F008" w14:textId="77777777" w:rsidR="00FE399D" w:rsidRPr="00D1707B" w:rsidRDefault="00FE399D" w:rsidP="00582303">
            <w:pPr>
              <w:pStyle w:val="CBDTableNormal"/>
              <w:spacing w:before="0" w:after="0"/>
              <w:jc w:val="right"/>
              <w:rPr>
                <w:sz w:val="18"/>
                <w:szCs w:val="18"/>
              </w:rPr>
            </w:pPr>
            <w:r>
              <w:rPr>
                <w:sz w:val="18"/>
              </w:rPr>
              <w:t>752</w:t>
            </w:r>
          </w:p>
        </w:tc>
        <w:tc>
          <w:tcPr>
            <w:tcW w:w="1080" w:type="dxa"/>
            <w:tcBorders>
              <w:top w:val="nil"/>
              <w:left w:val="nil"/>
              <w:bottom w:val="single" w:sz="4" w:space="0" w:color="auto"/>
              <w:right w:val="single" w:sz="4" w:space="0" w:color="auto"/>
            </w:tcBorders>
            <w:shd w:val="clear" w:color="auto" w:fill="auto"/>
            <w:noWrap/>
            <w:vAlign w:val="bottom"/>
            <w:hideMark/>
          </w:tcPr>
          <w:p w14:paraId="079531BC" w14:textId="77777777" w:rsidR="00FE399D" w:rsidRPr="00D1707B" w:rsidRDefault="00FE399D" w:rsidP="00582303">
            <w:pPr>
              <w:pStyle w:val="CBDTableNormal"/>
              <w:spacing w:before="0" w:after="0"/>
              <w:jc w:val="right"/>
              <w:rPr>
                <w:sz w:val="18"/>
                <w:szCs w:val="18"/>
              </w:rPr>
            </w:pPr>
            <w:r>
              <w:rPr>
                <w:sz w:val="18"/>
              </w:rPr>
              <w:t>1 456</w:t>
            </w:r>
          </w:p>
        </w:tc>
      </w:tr>
      <w:tr w:rsidR="00FE399D" w:rsidRPr="00D1707B" w14:paraId="7F10EE3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2EC73EA" w14:textId="77777777" w:rsidR="00FE399D" w:rsidRPr="00D1707B" w:rsidRDefault="00FE399D" w:rsidP="00582303">
            <w:pPr>
              <w:pStyle w:val="CBDTableNormal"/>
              <w:spacing w:before="0" w:after="0"/>
              <w:rPr>
                <w:sz w:val="18"/>
                <w:szCs w:val="18"/>
              </w:rPr>
            </w:pPr>
            <w:r>
              <w:rPr>
                <w:sz w:val="18"/>
              </w:rPr>
              <w:t>Mozambique</w:t>
            </w:r>
          </w:p>
        </w:tc>
        <w:tc>
          <w:tcPr>
            <w:tcW w:w="1628" w:type="dxa"/>
            <w:tcBorders>
              <w:top w:val="nil"/>
              <w:left w:val="nil"/>
              <w:bottom w:val="single" w:sz="4" w:space="0" w:color="auto"/>
              <w:right w:val="single" w:sz="4" w:space="0" w:color="auto"/>
            </w:tcBorders>
            <w:shd w:val="clear" w:color="auto" w:fill="auto"/>
            <w:vAlign w:val="bottom"/>
            <w:hideMark/>
          </w:tcPr>
          <w:p w14:paraId="34279587" w14:textId="77777777" w:rsidR="00FE399D" w:rsidRPr="00D1707B" w:rsidRDefault="00FE399D" w:rsidP="00582303">
            <w:pPr>
              <w:pStyle w:val="CBDTableNormal"/>
              <w:spacing w:before="0" w:after="0"/>
              <w:jc w:val="right"/>
              <w:rPr>
                <w:sz w:val="18"/>
                <w:szCs w:val="18"/>
              </w:rPr>
            </w:pPr>
            <w:r>
              <w:rPr>
                <w:sz w:val="18"/>
              </w:rPr>
              <w:t>0,004</w:t>
            </w:r>
          </w:p>
        </w:tc>
        <w:tc>
          <w:tcPr>
            <w:tcW w:w="2198" w:type="dxa"/>
            <w:tcBorders>
              <w:top w:val="nil"/>
              <w:left w:val="nil"/>
              <w:bottom w:val="single" w:sz="4" w:space="0" w:color="auto"/>
              <w:right w:val="single" w:sz="4" w:space="0" w:color="auto"/>
            </w:tcBorders>
            <w:shd w:val="clear" w:color="auto" w:fill="auto"/>
            <w:noWrap/>
            <w:vAlign w:val="bottom"/>
            <w:hideMark/>
          </w:tcPr>
          <w:p w14:paraId="6DA01FE3" w14:textId="77777777" w:rsidR="00FE399D" w:rsidRPr="00D1707B" w:rsidRDefault="00FE399D" w:rsidP="00582303">
            <w:pPr>
              <w:pStyle w:val="CBDTableNormal"/>
              <w:spacing w:before="0" w:after="0"/>
              <w:jc w:val="right"/>
              <w:rPr>
                <w:sz w:val="18"/>
                <w:szCs w:val="18"/>
              </w:rPr>
            </w:pPr>
            <w:r>
              <w:rPr>
                <w:sz w:val="18"/>
              </w:rPr>
              <w:t>0,005</w:t>
            </w:r>
          </w:p>
        </w:tc>
        <w:tc>
          <w:tcPr>
            <w:tcW w:w="1176" w:type="dxa"/>
            <w:tcBorders>
              <w:top w:val="nil"/>
              <w:left w:val="nil"/>
              <w:bottom w:val="single" w:sz="4" w:space="0" w:color="auto"/>
              <w:right w:val="single" w:sz="4" w:space="0" w:color="auto"/>
            </w:tcBorders>
            <w:shd w:val="clear" w:color="auto" w:fill="auto"/>
            <w:noWrap/>
            <w:vAlign w:val="bottom"/>
            <w:hideMark/>
          </w:tcPr>
          <w:p w14:paraId="32F446BB" w14:textId="77777777" w:rsidR="00FE399D" w:rsidRPr="00D1707B" w:rsidRDefault="00FE399D" w:rsidP="00582303">
            <w:pPr>
              <w:pStyle w:val="CBDTableNormal"/>
              <w:spacing w:before="0" w:after="0"/>
              <w:jc w:val="right"/>
              <w:rPr>
                <w:sz w:val="18"/>
                <w:szCs w:val="18"/>
              </w:rPr>
            </w:pPr>
            <w:r>
              <w:rPr>
                <w:sz w:val="18"/>
              </w:rPr>
              <w:t>704</w:t>
            </w:r>
          </w:p>
        </w:tc>
        <w:tc>
          <w:tcPr>
            <w:tcW w:w="1461" w:type="dxa"/>
            <w:tcBorders>
              <w:top w:val="nil"/>
              <w:left w:val="nil"/>
              <w:bottom w:val="single" w:sz="4" w:space="0" w:color="auto"/>
              <w:right w:val="single" w:sz="4" w:space="0" w:color="auto"/>
            </w:tcBorders>
            <w:shd w:val="clear" w:color="auto" w:fill="auto"/>
            <w:noWrap/>
            <w:vAlign w:val="bottom"/>
            <w:hideMark/>
          </w:tcPr>
          <w:p w14:paraId="604A4E85" w14:textId="77777777" w:rsidR="00FE399D" w:rsidRPr="00D1707B" w:rsidRDefault="00FE399D" w:rsidP="00582303">
            <w:pPr>
              <w:pStyle w:val="CBDTableNormal"/>
              <w:spacing w:before="0" w:after="0"/>
              <w:jc w:val="right"/>
              <w:rPr>
                <w:sz w:val="18"/>
                <w:szCs w:val="18"/>
              </w:rPr>
            </w:pPr>
            <w:r>
              <w:rPr>
                <w:sz w:val="18"/>
              </w:rPr>
              <w:t>752</w:t>
            </w:r>
          </w:p>
        </w:tc>
        <w:tc>
          <w:tcPr>
            <w:tcW w:w="1080" w:type="dxa"/>
            <w:tcBorders>
              <w:top w:val="nil"/>
              <w:left w:val="nil"/>
              <w:bottom w:val="single" w:sz="4" w:space="0" w:color="auto"/>
              <w:right w:val="single" w:sz="4" w:space="0" w:color="auto"/>
            </w:tcBorders>
            <w:shd w:val="clear" w:color="auto" w:fill="auto"/>
            <w:noWrap/>
            <w:vAlign w:val="bottom"/>
            <w:hideMark/>
          </w:tcPr>
          <w:p w14:paraId="1DB33550" w14:textId="77777777" w:rsidR="00FE399D" w:rsidRPr="00D1707B" w:rsidRDefault="00FE399D" w:rsidP="00582303">
            <w:pPr>
              <w:pStyle w:val="CBDTableNormal"/>
              <w:spacing w:before="0" w:after="0"/>
              <w:jc w:val="right"/>
              <w:rPr>
                <w:sz w:val="18"/>
                <w:szCs w:val="18"/>
              </w:rPr>
            </w:pPr>
            <w:r>
              <w:rPr>
                <w:sz w:val="18"/>
              </w:rPr>
              <w:t>1 456</w:t>
            </w:r>
          </w:p>
        </w:tc>
      </w:tr>
      <w:tr w:rsidR="00FE399D" w:rsidRPr="00D1707B" w14:paraId="09F860E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790927F" w14:textId="77777777" w:rsidR="00FE399D" w:rsidRPr="00D1707B" w:rsidRDefault="00FE399D" w:rsidP="00582303">
            <w:pPr>
              <w:pStyle w:val="CBDTableNormal"/>
              <w:spacing w:before="0" w:after="0"/>
              <w:rPr>
                <w:sz w:val="18"/>
                <w:szCs w:val="18"/>
              </w:rPr>
            </w:pPr>
            <w:r>
              <w:rPr>
                <w:sz w:val="18"/>
              </w:rPr>
              <w:t>Myanmar</w:t>
            </w:r>
          </w:p>
        </w:tc>
        <w:tc>
          <w:tcPr>
            <w:tcW w:w="1628" w:type="dxa"/>
            <w:tcBorders>
              <w:top w:val="nil"/>
              <w:left w:val="nil"/>
              <w:bottom w:val="single" w:sz="4" w:space="0" w:color="auto"/>
              <w:right w:val="single" w:sz="4" w:space="0" w:color="auto"/>
            </w:tcBorders>
            <w:shd w:val="clear" w:color="auto" w:fill="auto"/>
            <w:vAlign w:val="bottom"/>
            <w:hideMark/>
          </w:tcPr>
          <w:p w14:paraId="1050E130" w14:textId="77777777" w:rsidR="00FE399D" w:rsidRPr="00D1707B" w:rsidRDefault="00FE399D" w:rsidP="00582303">
            <w:pPr>
              <w:pStyle w:val="CBDTableNormal"/>
              <w:spacing w:before="0" w:after="0"/>
              <w:jc w:val="right"/>
              <w:rPr>
                <w:sz w:val="18"/>
                <w:szCs w:val="18"/>
              </w:rPr>
            </w:pPr>
            <w:r>
              <w:rPr>
                <w:sz w:val="18"/>
              </w:rPr>
              <w:t>0,010</w:t>
            </w:r>
          </w:p>
        </w:tc>
        <w:tc>
          <w:tcPr>
            <w:tcW w:w="2198" w:type="dxa"/>
            <w:tcBorders>
              <w:top w:val="nil"/>
              <w:left w:val="nil"/>
              <w:bottom w:val="single" w:sz="4" w:space="0" w:color="auto"/>
              <w:right w:val="single" w:sz="4" w:space="0" w:color="auto"/>
            </w:tcBorders>
            <w:shd w:val="clear" w:color="auto" w:fill="auto"/>
            <w:noWrap/>
            <w:vAlign w:val="bottom"/>
            <w:hideMark/>
          </w:tcPr>
          <w:p w14:paraId="09DBBA1E" w14:textId="77777777" w:rsidR="00FE399D" w:rsidRPr="00D1707B" w:rsidRDefault="00FE399D" w:rsidP="00582303">
            <w:pPr>
              <w:pStyle w:val="CBDTableNormal"/>
              <w:spacing w:before="0" w:after="0"/>
              <w:jc w:val="right"/>
              <w:rPr>
                <w:sz w:val="18"/>
                <w:szCs w:val="18"/>
              </w:rPr>
            </w:pPr>
            <w:r>
              <w:rPr>
                <w:sz w:val="18"/>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4D7FD5E8" w14:textId="77777777" w:rsidR="00FE399D" w:rsidRPr="00D1707B" w:rsidRDefault="00FE399D" w:rsidP="00582303">
            <w:pPr>
              <w:pStyle w:val="CBDTableNormal"/>
              <w:spacing w:before="0" w:after="0"/>
              <w:jc w:val="right"/>
              <w:rPr>
                <w:sz w:val="18"/>
                <w:szCs w:val="18"/>
              </w:rPr>
            </w:pPr>
            <w:r>
              <w:rPr>
                <w:sz w:val="18"/>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3C3E0A49" w14:textId="77777777" w:rsidR="00FE399D" w:rsidRPr="00D1707B" w:rsidRDefault="00FE399D" w:rsidP="00582303">
            <w:pPr>
              <w:pStyle w:val="CBDTableNormal"/>
              <w:spacing w:before="0" w:after="0"/>
              <w:jc w:val="right"/>
              <w:rPr>
                <w:sz w:val="18"/>
                <w:szCs w:val="18"/>
              </w:rPr>
            </w:pPr>
            <w:r>
              <w:rPr>
                <w:sz w:val="18"/>
              </w:rPr>
              <w:t>1 504</w:t>
            </w:r>
          </w:p>
        </w:tc>
        <w:tc>
          <w:tcPr>
            <w:tcW w:w="1080" w:type="dxa"/>
            <w:tcBorders>
              <w:top w:val="nil"/>
              <w:left w:val="nil"/>
              <w:bottom w:val="single" w:sz="4" w:space="0" w:color="auto"/>
              <w:right w:val="single" w:sz="4" w:space="0" w:color="auto"/>
            </w:tcBorders>
            <w:shd w:val="clear" w:color="auto" w:fill="auto"/>
            <w:noWrap/>
            <w:vAlign w:val="bottom"/>
            <w:hideMark/>
          </w:tcPr>
          <w:p w14:paraId="331D66AA" w14:textId="77777777" w:rsidR="00FE399D" w:rsidRPr="00D1707B" w:rsidRDefault="00FE399D" w:rsidP="00582303">
            <w:pPr>
              <w:pStyle w:val="CBDTableNormal"/>
              <w:spacing w:before="0" w:after="0"/>
              <w:jc w:val="right"/>
              <w:rPr>
                <w:sz w:val="18"/>
                <w:szCs w:val="18"/>
              </w:rPr>
            </w:pPr>
            <w:r>
              <w:rPr>
                <w:sz w:val="18"/>
              </w:rPr>
              <w:t>2 912</w:t>
            </w:r>
          </w:p>
        </w:tc>
      </w:tr>
      <w:tr w:rsidR="00FE399D" w:rsidRPr="00D1707B" w14:paraId="7EADA1D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8AB1D6C" w14:textId="77777777" w:rsidR="00FE399D" w:rsidRPr="00D1707B" w:rsidRDefault="00FE399D" w:rsidP="00582303">
            <w:pPr>
              <w:pStyle w:val="CBDTableNormal"/>
              <w:spacing w:before="0" w:after="0"/>
              <w:rPr>
                <w:sz w:val="18"/>
                <w:szCs w:val="18"/>
              </w:rPr>
            </w:pPr>
            <w:r>
              <w:rPr>
                <w:sz w:val="18"/>
              </w:rPr>
              <w:t>Namibia</w:t>
            </w:r>
          </w:p>
        </w:tc>
        <w:tc>
          <w:tcPr>
            <w:tcW w:w="1628" w:type="dxa"/>
            <w:tcBorders>
              <w:top w:val="nil"/>
              <w:left w:val="nil"/>
              <w:bottom w:val="single" w:sz="4" w:space="0" w:color="auto"/>
              <w:right w:val="single" w:sz="4" w:space="0" w:color="auto"/>
            </w:tcBorders>
            <w:shd w:val="clear" w:color="auto" w:fill="auto"/>
            <w:vAlign w:val="bottom"/>
            <w:hideMark/>
          </w:tcPr>
          <w:p w14:paraId="779469FC" w14:textId="77777777" w:rsidR="00FE399D" w:rsidRPr="00D1707B" w:rsidRDefault="00FE399D" w:rsidP="00582303">
            <w:pPr>
              <w:pStyle w:val="CBDTableNormal"/>
              <w:spacing w:before="0" w:after="0"/>
              <w:jc w:val="right"/>
              <w:rPr>
                <w:sz w:val="18"/>
                <w:szCs w:val="18"/>
              </w:rPr>
            </w:pPr>
            <w:r>
              <w:rPr>
                <w:sz w:val="18"/>
              </w:rPr>
              <w:t>0,009</w:t>
            </w:r>
          </w:p>
        </w:tc>
        <w:tc>
          <w:tcPr>
            <w:tcW w:w="2198" w:type="dxa"/>
            <w:tcBorders>
              <w:top w:val="nil"/>
              <w:left w:val="nil"/>
              <w:bottom w:val="single" w:sz="4" w:space="0" w:color="auto"/>
              <w:right w:val="single" w:sz="4" w:space="0" w:color="auto"/>
            </w:tcBorders>
            <w:shd w:val="clear" w:color="auto" w:fill="auto"/>
            <w:noWrap/>
            <w:vAlign w:val="bottom"/>
            <w:hideMark/>
          </w:tcPr>
          <w:p w14:paraId="13B2D9C4" w14:textId="77777777" w:rsidR="00FE399D" w:rsidRPr="00D1707B" w:rsidRDefault="00FE399D" w:rsidP="00582303">
            <w:pPr>
              <w:pStyle w:val="CBDTableNormal"/>
              <w:spacing w:before="0" w:after="0"/>
              <w:jc w:val="right"/>
              <w:rPr>
                <w:sz w:val="18"/>
                <w:szCs w:val="18"/>
              </w:rPr>
            </w:pPr>
            <w:r>
              <w:rPr>
                <w:sz w:val="18"/>
              </w:rPr>
              <w:t>0,011</w:t>
            </w:r>
          </w:p>
        </w:tc>
        <w:tc>
          <w:tcPr>
            <w:tcW w:w="1176" w:type="dxa"/>
            <w:tcBorders>
              <w:top w:val="nil"/>
              <w:left w:val="nil"/>
              <w:bottom w:val="single" w:sz="4" w:space="0" w:color="auto"/>
              <w:right w:val="single" w:sz="4" w:space="0" w:color="auto"/>
            </w:tcBorders>
            <w:shd w:val="clear" w:color="auto" w:fill="auto"/>
            <w:noWrap/>
            <w:vAlign w:val="bottom"/>
            <w:hideMark/>
          </w:tcPr>
          <w:p w14:paraId="4F58F95D" w14:textId="77777777" w:rsidR="00FE399D" w:rsidRPr="00D1707B" w:rsidRDefault="00FE399D" w:rsidP="00582303">
            <w:pPr>
              <w:pStyle w:val="CBDTableNormal"/>
              <w:spacing w:before="0" w:after="0"/>
              <w:jc w:val="right"/>
              <w:rPr>
                <w:sz w:val="18"/>
                <w:szCs w:val="18"/>
              </w:rPr>
            </w:pPr>
            <w:r>
              <w:rPr>
                <w:sz w:val="18"/>
              </w:rPr>
              <w:t>1 584</w:t>
            </w:r>
          </w:p>
        </w:tc>
        <w:tc>
          <w:tcPr>
            <w:tcW w:w="1461" w:type="dxa"/>
            <w:tcBorders>
              <w:top w:val="nil"/>
              <w:left w:val="nil"/>
              <w:bottom w:val="single" w:sz="4" w:space="0" w:color="auto"/>
              <w:right w:val="single" w:sz="4" w:space="0" w:color="auto"/>
            </w:tcBorders>
            <w:shd w:val="clear" w:color="auto" w:fill="auto"/>
            <w:noWrap/>
            <w:vAlign w:val="bottom"/>
            <w:hideMark/>
          </w:tcPr>
          <w:p w14:paraId="2363315D" w14:textId="77777777" w:rsidR="00FE399D" w:rsidRPr="00D1707B" w:rsidRDefault="00FE399D" w:rsidP="00582303">
            <w:pPr>
              <w:pStyle w:val="CBDTableNormal"/>
              <w:spacing w:before="0" w:after="0"/>
              <w:jc w:val="right"/>
              <w:rPr>
                <w:sz w:val="18"/>
                <w:szCs w:val="18"/>
              </w:rPr>
            </w:pPr>
            <w:r>
              <w:rPr>
                <w:sz w:val="18"/>
              </w:rPr>
              <w:t>1 692</w:t>
            </w:r>
          </w:p>
        </w:tc>
        <w:tc>
          <w:tcPr>
            <w:tcW w:w="1080" w:type="dxa"/>
            <w:tcBorders>
              <w:top w:val="nil"/>
              <w:left w:val="nil"/>
              <w:bottom w:val="single" w:sz="4" w:space="0" w:color="auto"/>
              <w:right w:val="single" w:sz="4" w:space="0" w:color="auto"/>
            </w:tcBorders>
            <w:shd w:val="clear" w:color="auto" w:fill="auto"/>
            <w:noWrap/>
            <w:vAlign w:val="bottom"/>
            <w:hideMark/>
          </w:tcPr>
          <w:p w14:paraId="2F6988B0" w14:textId="77777777" w:rsidR="00FE399D" w:rsidRPr="00D1707B" w:rsidRDefault="00FE399D" w:rsidP="00582303">
            <w:pPr>
              <w:pStyle w:val="CBDTableNormal"/>
              <w:spacing w:before="0" w:after="0"/>
              <w:jc w:val="right"/>
              <w:rPr>
                <w:sz w:val="18"/>
                <w:szCs w:val="18"/>
              </w:rPr>
            </w:pPr>
            <w:r>
              <w:rPr>
                <w:sz w:val="18"/>
              </w:rPr>
              <w:t>3 276</w:t>
            </w:r>
          </w:p>
        </w:tc>
      </w:tr>
      <w:tr w:rsidR="00FE399D" w:rsidRPr="00D1707B" w14:paraId="484949E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62700D5" w14:textId="77777777" w:rsidR="00FE399D" w:rsidRPr="00D1707B" w:rsidRDefault="00FE399D" w:rsidP="00582303">
            <w:pPr>
              <w:pStyle w:val="CBDTableNormal"/>
              <w:spacing w:before="0" w:after="0"/>
              <w:rPr>
                <w:sz w:val="18"/>
                <w:szCs w:val="18"/>
              </w:rPr>
            </w:pPr>
            <w:r>
              <w:rPr>
                <w:sz w:val="18"/>
              </w:rPr>
              <w:t>Nauru</w:t>
            </w:r>
          </w:p>
        </w:tc>
        <w:tc>
          <w:tcPr>
            <w:tcW w:w="1628" w:type="dxa"/>
            <w:tcBorders>
              <w:top w:val="nil"/>
              <w:left w:val="nil"/>
              <w:bottom w:val="single" w:sz="4" w:space="0" w:color="auto"/>
              <w:right w:val="single" w:sz="4" w:space="0" w:color="auto"/>
            </w:tcBorders>
            <w:shd w:val="clear" w:color="auto" w:fill="auto"/>
            <w:vAlign w:val="bottom"/>
            <w:hideMark/>
          </w:tcPr>
          <w:p w14:paraId="0157E717"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24490C90"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2173B46D"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6EDD7CD8"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420B585A"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6EE4046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EA47776" w14:textId="77777777" w:rsidR="00FE399D" w:rsidRPr="00D1707B" w:rsidRDefault="00FE399D" w:rsidP="00582303">
            <w:pPr>
              <w:pStyle w:val="CBDTableNormal"/>
              <w:spacing w:before="0" w:after="0"/>
              <w:rPr>
                <w:sz w:val="18"/>
                <w:szCs w:val="18"/>
              </w:rPr>
            </w:pPr>
            <w:r>
              <w:rPr>
                <w:sz w:val="18"/>
              </w:rPr>
              <w:t>Nepal</w:t>
            </w:r>
          </w:p>
        </w:tc>
        <w:tc>
          <w:tcPr>
            <w:tcW w:w="1628" w:type="dxa"/>
            <w:tcBorders>
              <w:top w:val="nil"/>
              <w:left w:val="nil"/>
              <w:bottom w:val="single" w:sz="4" w:space="0" w:color="auto"/>
              <w:right w:val="single" w:sz="4" w:space="0" w:color="auto"/>
            </w:tcBorders>
            <w:shd w:val="clear" w:color="auto" w:fill="auto"/>
            <w:vAlign w:val="bottom"/>
            <w:hideMark/>
          </w:tcPr>
          <w:p w14:paraId="4687B638" w14:textId="77777777" w:rsidR="00FE399D" w:rsidRPr="00D1707B" w:rsidRDefault="00FE399D" w:rsidP="00582303">
            <w:pPr>
              <w:pStyle w:val="CBDTableNormal"/>
              <w:spacing w:before="0" w:after="0"/>
              <w:jc w:val="right"/>
              <w:rPr>
                <w:sz w:val="18"/>
                <w:szCs w:val="18"/>
              </w:rPr>
            </w:pPr>
            <w:r>
              <w:rPr>
                <w:sz w:val="18"/>
              </w:rPr>
              <w:t>0,010</w:t>
            </w:r>
          </w:p>
        </w:tc>
        <w:tc>
          <w:tcPr>
            <w:tcW w:w="2198" w:type="dxa"/>
            <w:tcBorders>
              <w:top w:val="nil"/>
              <w:left w:val="nil"/>
              <w:bottom w:val="single" w:sz="4" w:space="0" w:color="auto"/>
              <w:right w:val="single" w:sz="4" w:space="0" w:color="auto"/>
            </w:tcBorders>
            <w:shd w:val="clear" w:color="auto" w:fill="auto"/>
            <w:noWrap/>
            <w:vAlign w:val="bottom"/>
            <w:hideMark/>
          </w:tcPr>
          <w:p w14:paraId="5F665FB4" w14:textId="77777777" w:rsidR="00FE399D" w:rsidRPr="00D1707B" w:rsidRDefault="00FE399D" w:rsidP="00582303">
            <w:pPr>
              <w:pStyle w:val="CBDTableNormal"/>
              <w:spacing w:before="0" w:after="0"/>
              <w:jc w:val="right"/>
              <w:rPr>
                <w:sz w:val="18"/>
                <w:szCs w:val="18"/>
              </w:rPr>
            </w:pPr>
            <w:r>
              <w:rPr>
                <w:sz w:val="18"/>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757262AA" w14:textId="77777777" w:rsidR="00FE399D" w:rsidRPr="00D1707B" w:rsidRDefault="00FE399D" w:rsidP="00582303">
            <w:pPr>
              <w:pStyle w:val="CBDTableNormal"/>
              <w:spacing w:before="0" w:after="0"/>
              <w:jc w:val="right"/>
              <w:rPr>
                <w:sz w:val="18"/>
                <w:szCs w:val="18"/>
              </w:rPr>
            </w:pPr>
            <w:r>
              <w:rPr>
                <w:sz w:val="18"/>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404011A3" w14:textId="77777777" w:rsidR="00FE399D" w:rsidRPr="00D1707B" w:rsidRDefault="00FE399D" w:rsidP="00582303">
            <w:pPr>
              <w:pStyle w:val="CBDTableNormal"/>
              <w:spacing w:before="0" w:after="0"/>
              <w:jc w:val="right"/>
              <w:rPr>
                <w:sz w:val="18"/>
                <w:szCs w:val="18"/>
              </w:rPr>
            </w:pPr>
            <w:r>
              <w:rPr>
                <w:sz w:val="18"/>
              </w:rPr>
              <w:t>1 504</w:t>
            </w:r>
          </w:p>
        </w:tc>
        <w:tc>
          <w:tcPr>
            <w:tcW w:w="1080" w:type="dxa"/>
            <w:tcBorders>
              <w:top w:val="nil"/>
              <w:left w:val="nil"/>
              <w:bottom w:val="single" w:sz="4" w:space="0" w:color="auto"/>
              <w:right w:val="single" w:sz="4" w:space="0" w:color="auto"/>
            </w:tcBorders>
            <w:shd w:val="clear" w:color="auto" w:fill="auto"/>
            <w:noWrap/>
            <w:vAlign w:val="bottom"/>
            <w:hideMark/>
          </w:tcPr>
          <w:p w14:paraId="74F17A0C" w14:textId="77777777" w:rsidR="00FE399D" w:rsidRPr="00D1707B" w:rsidRDefault="00FE399D" w:rsidP="00582303">
            <w:pPr>
              <w:pStyle w:val="CBDTableNormal"/>
              <w:spacing w:before="0" w:after="0"/>
              <w:jc w:val="right"/>
              <w:rPr>
                <w:sz w:val="18"/>
                <w:szCs w:val="18"/>
              </w:rPr>
            </w:pPr>
            <w:r>
              <w:rPr>
                <w:sz w:val="18"/>
              </w:rPr>
              <w:t>2 912</w:t>
            </w:r>
          </w:p>
        </w:tc>
      </w:tr>
      <w:tr w:rsidR="00FE399D" w:rsidRPr="00D1707B" w14:paraId="1A46244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C8A1945" w14:textId="77777777" w:rsidR="00FE399D" w:rsidRPr="00D1707B" w:rsidRDefault="00FE399D" w:rsidP="00582303">
            <w:pPr>
              <w:pStyle w:val="CBDTableNormal"/>
              <w:spacing w:before="0" w:after="0"/>
              <w:rPr>
                <w:sz w:val="18"/>
                <w:szCs w:val="18"/>
              </w:rPr>
            </w:pPr>
            <w:r>
              <w:rPr>
                <w:sz w:val="18"/>
              </w:rPr>
              <w:t>Nicaragua</w:t>
            </w:r>
          </w:p>
        </w:tc>
        <w:tc>
          <w:tcPr>
            <w:tcW w:w="1628" w:type="dxa"/>
            <w:tcBorders>
              <w:top w:val="nil"/>
              <w:left w:val="nil"/>
              <w:bottom w:val="single" w:sz="4" w:space="0" w:color="auto"/>
              <w:right w:val="single" w:sz="4" w:space="0" w:color="auto"/>
            </w:tcBorders>
            <w:shd w:val="clear" w:color="auto" w:fill="auto"/>
            <w:vAlign w:val="bottom"/>
            <w:hideMark/>
          </w:tcPr>
          <w:p w14:paraId="18F83FEA" w14:textId="77777777" w:rsidR="00FE399D" w:rsidRPr="00D1707B" w:rsidRDefault="00FE399D" w:rsidP="00582303">
            <w:pPr>
              <w:pStyle w:val="CBDTableNormal"/>
              <w:spacing w:before="0" w:after="0"/>
              <w:jc w:val="right"/>
              <w:rPr>
                <w:sz w:val="18"/>
                <w:szCs w:val="18"/>
              </w:rPr>
            </w:pPr>
            <w:r>
              <w:rPr>
                <w:sz w:val="18"/>
              </w:rPr>
              <w:t>0,005</w:t>
            </w:r>
          </w:p>
        </w:tc>
        <w:tc>
          <w:tcPr>
            <w:tcW w:w="2198" w:type="dxa"/>
            <w:tcBorders>
              <w:top w:val="nil"/>
              <w:left w:val="nil"/>
              <w:bottom w:val="single" w:sz="4" w:space="0" w:color="auto"/>
              <w:right w:val="single" w:sz="4" w:space="0" w:color="auto"/>
            </w:tcBorders>
            <w:shd w:val="clear" w:color="auto" w:fill="auto"/>
            <w:noWrap/>
            <w:vAlign w:val="bottom"/>
            <w:hideMark/>
          </w:tcPr>
          <w:p w14:paraId="06B8B14E" w14:textId="77777777" w:rsidR="00FE399D" w:rsidRPr="00D1707B" w:rsidRDefault="00FE399D" w:rsidP="00582303">
            <w:pPr>
              <w:pStyle w:val="CBDTableNormal"/>
              <w:spacing w:before="0" w:after="0"/>
              <w:jc w:val="right"/>
              <w:rPr>
                <w:sz w:val="18"/>
                <w:szCs w:val="18"/>
              </w:rPr>
            </w:pPr>
            <w:r>
              <w:rPr>
                <w:sz w:val="18"/>
              </w:rPr>
              <w:t>0,006</w:t>
            </w:r>
          </w:p>
        </w:tc>
        <w:tc>
          <w:tcPr>
            <w:tcW w:w="1176" w:type="dxa"/>
            <w:tcBorders>
              <w:top w:val="nil"/>
              <w:left w:val="nil"/>
              <w:bottom w:val="single" w:sz="4" w:space="0" w:color="auto"/>
              <w:right w:val="single" w:sz="4" w:space="0" w:color="auto"/>
            </w:tcBorders>
            <w:shd w:val="clear" w:color="auto" w:fill="auto"/>
            <w:noWrap/>
            <w:vAlign w:val="bottom"/>
            <w:hideMark/>
          </w:tcPr>
          <w:p w14:paraId="7676A0C6" w14:textId="77777777" w:rsidR="00FE399D" w:rsidRPr="00D1707B" w:rsidRDefault="00FE399D" w:rsidP="00582303">
            <w:pPr>
              <w:pStyle w:val="CBDTableNormal"/>
              <w:spacing w:before="0" w:after="0"/>
              <w:jc w:val="right"/>
              <w:rPr>
                <w:sz w:val="18"/>
                <w:szCs w:val="18"/>
              </w:rPr>
            </w:pPr>
            <w:r>
              <w:rPr>
                <w:sz w:val="18"/>
              </w:rPr>
              <w:t>880</w:t>
            </w:r>
          </w:p>
        </w:tc>
        <w:tc>
          <w:tcPr>
            <w:tcW w:w="1461" w:type="dxa"/>
            <w:tcBorders>
              <w:top w:val="nil"/>
              <w:left w:val="nil"/>
              <w:bottom w:val="single" w:sz="4" w:space="0" w:color="auto"/>
              <w:right w:val="single" w:sz="4" w:space="0" w:color="auto"/>
            </w:tcBorders>
            <w:shd w:val="clear" w:color="auto" w:fill="auto"/>
            <w:noWrap/>
            <w:vAlign w:val="bottom"/>
            <w:hideMark/>
          </w:tcPr>
          <w:p w14:paraId="4002C8E9" w14:textId="77777777" w:rsidR="00FE399D" w:rsidRPr="00D1707B" w:rsidRDefault="00FE399D" w:rsidP="00582303">
            <w:pPr>
              <w:pStyle w:val="CBDTableNormal"/>
              <w:spacing w:before="0" w:after="0"/>
              <w:jc w:val="right"/>
              <w:rPr>
                <w:sz w:val="18"/>
                <w:szCs w:val="18"/>
              </w:rPr>
            </w:pPr>
            <w:r>
              <w:rPr>
                <w:sz w:val="18"/>
              </w:rPr>
              <w:t>940</w:t>
            </w:r>
          </w:p>
        </w:tc>
        <w:tc>
          <w:tcPr>
            <w:tcW w:w="1080" w:type="dxa"/>
            <w:tcBorders>
              <w:top w:val="nil"/>
              <w:left w:val="nil"/>
              <w:bottom w:val="single" w:sz="4" w:space="0" w:color="auto"/>
              <w:right w:val="single" w:sz="4" w:space="0" w:color="auto"/>
            </w:tcBorders>
            <w:shd w:val="clear" w:color="auto" w:fill="auto"/>
            <w:noWrap/>
            <w:vAlign w:val="bottom"/>
            <w:hideMark/>
          </w:tcPr>
          <w:p w14:paraId="45E26B96" w14:textId="77777777" w:rsidR="00FE399D" w:rsidRPr="00D1707B" w:rsidRDefault="00FE399D" w:rsidP="00582303">
            <w:pPr>
              <w:pStyle w:val="CBDTableNormal"/>
              <w:spacing w:before="0" w:after="0"/>
              <w:jc w:val="right"/>
              <w:rPr>
                <w:sz w:val="18"/>
                <w:szCs w:val="18"/>
              </w:rPr>
            </w:pPr>
            <w:r>
              <w:rPr>
                <w:sz w:val="18"/>
              </w:rPr>
              <w:t>1 820</w:t>
            </w:r>
          </w:p>
        </w:tc>
      </w:tr>
      <w:tr w:rsidR="00FE399D" w:rsidRPr="00D1707B" w14:paraId="03BAD8D7"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FEA4F8C" w14:textId="77777777" w:rsidR="00FE399D" w:rsidRPr="00D1707B" w:rsidRDefault="00FE399D" w:rsidP="00582303">
            <w:pPr>
              <w:pStyle w:val="CBDTableNormal"/>
              <w:spacing w:before="0" w:after="0"/>
              <w:rPr>
                <w:sz w:val="18"/>
                <w:szCs w:val="18"/>
              </w:rPr>
            </w:pPr>
            <w:r>
              <w:rPr>
                <w:sz w:val="18"/>
              </w:rPr>
              <w:t>Níger</w:t>
            </w:r>
          </w:p>
        </w:tc>
        <w:tc>
          <w:tcPr>
            <w:tcW w:w="1628" w:type="dxa"/>
            <w:tcBorders>
              <w:top w:val="nil"/>
              <w:left w:val="nil"/>
              <w:bottom w:val="single" w:sz="4" w:space="0" w:color="auto"/>
              <w:right w:val="single" w:sz="4" w:space="0" w:color="auto"/>
            </w:tcBorders>
            <w:shd w:val="clear" w:color="auto" w:fill="auto"/>
            <w:vAlign w:val="bottom"/>
            <w:hideMark/>
          </w:tcPr>
          <w:p w14:paraId="2AFA7797" w14:textId="77777777" w:rsidR="00FE399D" w:rsidRPr="00D1707B" w:rsidRDefault="00FE399D" w:rsidP="00582303">
            <w:pPr>
              <w:pStyle w:val="CBDTableNormal"/>
              <w:spacing w:before="0" w:after="0"/>
              <w:jc w:val="right"/>
              <w:rPr>
                <w:sz w:val="18"/>
                <w:szCs w:val="18"/>
              </w:rPr>
            </w:pPr>
            <w:r>
              <w:rPr>
                <w:sz w:val="18"/>
              </w:rPr>
              <w:t>0,003</w:t>
            </w:r>
          </w:p>
        </w:tc>
        <w:tc>
          <w:tcPr>
            <w:tcW w:w="2198" w:type="dxa"/>
            <w:tcBorders>
              <w:top w:val="nil"/>
              <w:left w:val="nil"/>
              <w:bottom w:val="single" w:sz="4" w:space="0" w:color="auto"/>
              <w:right w:val="single" w:sz="4" w:space="0" w:color="auto"/>
            </w:tcBorders>
            <w:shd w:val="clear" w:color="auto" w:fill="auto"/>
            <w:noWrap/>
            <w:vAlign w:val="bottom"/>
            <w:hideMark/>
          </w:tcPr>
          <w:p w14:paraId="65CAAB81" w14:textId="77777777" w:rsidR="00FE399D" w:rsidRPr="00D1707B" w:rsidRDefault="00FE399D" w:rsidP="00582303">
            <w:pPr>
              <w:pStyle w:val="CBDTableNormal"/>
              <w:spacing w:before="0" w:after="0"/>
              <w:jc w:val="right"/>
              <w:rPr>
                <w:sz w:val="18"/>
                <w:szCs w:val="18"/>
              </w:rPr>
            </w:pPr>
            <w:r>
              <w:rPr>
                <w:sz w:val="18"/>
              </w:rPr>
              <w:t>0,004</w:t>
            </w:r>
          </w:p>
        </w:tc>
        <w:tc>
          <w:tcPr>
            <w:tcW w:w="1176" w:type="dxa"/>
            <w:tcBorders>
              <w:top w:val="nil"/>
              <w:left w:val="nil"/>
              <w:bottom w:val="single" w:sz="4" w:space="0" w:color="auto"/>
              <w:right w:val="single" w:sz="4" w:space="0" w:color="auto"/>
            </w:tcBorders>
            <w:shd w:val="clear" w:color="auto" w:fill="auto"/>
            <w:noWrap/>
            <w:vAlign w:val="bottom"/>
            <w:hideMark/>
          </w:tcPr>
          <w:p w14:paraId="2B2250ED" w14:textId="77777777" w:rsidR="00FE399D" w:rsidRPr="00D1707B" w:rsidRDefault="00FE399D" w:rsidP="00582303">
            <w:pPr>
              <w:pStyle w:val="CBDTableNormal"/>
              <w:spacing w:before="0" w:after="0"/>
              <w:jc w:val="right"/>
              <w:rPr>
                <w:sz w:val="18"/>
                <w:szCs w:val="18"/>
              </w:rPr>
            </w:pPr>
            <w:r>
              <w:rPr>
                <w:sz w:val="18"/>
              </w:rPr>
              <w:t>528</w:t>
            </w:r>
          </w:p>
        </w:tc>
        <w:tc>
          <w:tcPr>
            <w:tcW w:w="1461" w:type="dxa"/>
            <w:tcBorders>
              <w:top w:val="nil"/>
              <w:left w:val="nil"/>
              <w:bottom w:val="single" w:sz="4" w:space="0" w:color="auto"/>
              <w:right w:val="single" w:sz="4" w:space="0" w:color="auto"/>
            </w:tcBorders>
            <w:shd w:val="clear" w:color="auto" w:fill="auto"/>
            <w:noWrap/>
            <w:vAlign w:val="bottom"/>
            <w:hideMark/>
          </w:tcPr>
          <w:p w14:paraId="5E875E80" w14:textId="77777777" w:rsidR="00FE399D" w:rsidRPr="00D1707B" w:rsidRDefault="00FE399D" w:rsidP="00582303">
            <w:pPr>
              <w:pStyle w:val="CBDTableNormal"/>
              <w:spacing w:before="0" w:after="0"/>
              <w:jc w:val="right"/>
              <w:rPr>
                <w:sz w:val="18"/>
                <w:szCs w:val="18"/>
              </w:rPr>
            </w:pPr>
            <w:r>
              <w:rPr>
                <w:sz w:val="18"/>
              </w:rPr>
              <w:t>564</w:t>
            </w:r>
          </w:p>
        </w:tc>
        <w:tc>
          <w:tcPr>
            <w:tcW w:w="1080" w:type="dxa"/>
            <w:tcBorders>
              <w:top w:val="nil"/>
              <w:left w:val="nil"/>
              <w:bottom w:val="single" w:sz="4" w:space="0" w:color="auto"/>
              <w:right w:val="single" w:sz="4" w:space="0" w:color="auto"/>
            </w:tcBorders>
            <w:shd w:val="clear" w:color="auto" w:fill="auto"/>
            <w:noWrap/>
            <w:vAlign w:val="bottom"/>
            <w:hideMark/>
          </w:tcPr>
          <w:p w14:paraId="0A413C81" w14:textId="77777777" w:rsidR="00FE399D" w:rsidRPr="00D1707B" w:rsidRDefault="00FE399D" w:rsidP="00582303">
            <w:pPr>
              <w:pStyle w:val="CBDTableNormal"/>
              <w:spacing w:before="0" w:after="0"/>
              <w:jc w:val="right"/>
              <w:rPr>
                <w:sz w:val="18"/>
                <w:szCs w:val="18"/>
              </w:rPr>
            </w:pPr>
            <w:r>
              <w:rPr>
                <w:sz w:val="18"/>
              </w:rPr>
              <w:t>1 092</w:t>
            </w:r>
          </w:p>
        </w:tc>
      </w:tr>
      <w:tr w:rsidR="00FE399D" w:rsidRPr="00D1707B" w14:paraId="01F6F8E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21D5785" w14:textId="77777777" w:rsidR="00FE399D" w:rsidRPr="00D1707B" w:rsidRDefault="00FE399D" w:rsidP="00582303">
            <w:pPr>
              <w:pStyle w:val="CBDTableNormal"/>
              <w:spacing w:before="0" w:after="0"/>
              <w:rPr>
                <w:sz w:val="18"/>
                <w:szCs w:val="18"/>
              </w:rPr>
            </w:pPr>
            <w:r>
              <w:rPr>
                <w:sz w:val="18"/>
              </w:rPr>
              <w:t>Nigeria</w:t>
            </w:r>
          </w:p>
        </w:tc>
        <w:tc>
          <w:tcPr>
            <w:tcW w:w="1628" w:type="dxa"/>
            <w:tcBorders>
              <w:top w:val="nil"/>
              <w:left w:val="nil"/>
              <w:bottom w:val="single" w:sz="4" w:space="0" w:color="auto"/>
              <w:right w:val="single" w:sz="4" w:space="0" w:color="auto"/>
            </w:tcBorders>
            <w:shd w:val="clear" w:color="auto" w:fill="auto"/>
            <w:vAlign w:val="bottom"/>
            <w:hideMark/>
          </w:tcPr>
          <w:p w14:paraId="2AB351A0" w14:textId="77777777" w:rsidR="00FE399D" w:rsidRPr="00D1707B" w:rsidRDefault="00FE399D" w:rsidP="00582303">
            <w:pPr>
              <w:pStyle w:val="CBDTableNormal"/>
              <w:spacing w:before="0" w:after="0"/>
              <w:jc w:val="right"/>
              <w:rPr>
                <w:sz w:val="18"/>
                <w:szCs w:val="18"/>
              </w:rPr>
            </w:pPr>
            <w:r>
              <w:rPr>
                <w:sz w:val="18"/>
              </w:rPr>
              <w:t>0,182</w:t>
            </w:r>
          </w:p>
        </w:tc>
        <w:tc>
          <w:tcPr>
            <w:tcW w:w="2198" w:type="dxa"/>
            <w:tcBorders>
              <w:top w:val="nil"/>
              <w:left w:val="nil"/>
              <w:bottom w:val="single" w:sz="4" w:space="0" w:color="auto"/>
              <w:right w:val="single" w:sz="4" w:space="0" w:color="auto"/>
            </w:tcBorders>
            <w:shd w:val="clear" w:color="auto" w:fill="auto"/>
            <w:noWrap/>
            <w:vAlign w:val="bottom"/>
            <w:hideMark/>
          </w:tcPr>
          <w:p w14:paraId="3C4F2577" w14:textId="77777777" w:rsidR="00FE399D" w:rsidRPr="00D1707B" w:rsidRDefault="00FE399D" w:rsidP="00582303">
            <w:pPr>
              <w:pStyle w:val="CBDTableNormal"/>
              <w:spacing w:before="0" w:after="0"/>
              <w:jc w:val="right"/>
              <w:rPr>
                <w:sz w:val="18"/>
                <w:szCs w:val="18"/>
              </w:rPr>
            </w:pPr>
            <w:r>
              <w:rPr>
                <w:sz w:val="18"/>
              </w:rPr>
              <w:t>0,228</w:t>
            </w:r>
          </w:p>
        </w:tc>
        <w:tc>
          <w:tcPr>
            <w:tcW w:w="1176" w:type="dxa"/>
            <w:tcBorders>
              <w:top w:val="nil"/>
              <w:left w:val="nil"/>
              <w:bottom w:val="single" w:sz="4" w:space="0" w:color="auto"/>
              <w:right w:val="single" w:sz="4" w:space="0" w:color="auto"/>
            </w:tcBorders>
            <w:shd w:val="clear" w:color="auto" w:fill="auto"/>
            <w:noWrap/>
            <w:vAlign w:val="bottom"/>
            <w:hideMark/>
          </w:tcPr>
          <w:p w14:paraId="435D24DD" w14:textId="77777777" w:rsidR="00FE399D" w:rsidRPr="00D1707B" w:rsidRDefault="00FE399D" w:rsidP="00582303">
            <w:pPr>
              <w:pStyle w:val="CBDTableNormal"/>
              <w:spacing w:before="0" w:after="0"/>
              <w:jc w:val="right"/>
              <w:rPr>
                <w:sz w:val="18"/>
                <w:szCs w:val="18"/>
              </w:rPr>
            </w:pPr>
            <w:r>
              <w:rPr>
                <w:sz w:val="18"/>
              </w:rPr>
              <w:t>32 031</w:t>
            </w:r>
          </w:p>
        </w:tc>
        <w:tc>
          <w:tcPr>
            <w:tcW w:w="1461" w:type="dxa"/>
            <w:tcBorders>
              <w:top w:val="nil"/>
              <w:left w:val="nil"/>
              <w:bottom w:val="single" w:sz="4" w:space="0" w:color="auto"/>
              <w:right w:val="single" w:sz="4" w:space="0" w:color="auto"/>
            </w:tcBorders>
            <w:shd w:val="clear" w:color="auto" w:fill="auto"/>
            <w:noWrap/>
            <w:vAlign w:val="bottom"/>
            <w:hideMark/>
          </w:tcPr>
          <w:p w14:paraId="675C1BEF" w14:textId="77777777" w:rsidR="00FE399D" w:rsidRPr="00D1707B" w:rsidRDefault="00FE399D" w:rsidP="00582303">
            <w:pPr>
              <w:pStyle w:val="CBDTableNormal"/>
              <w:spacing w:before="0" w:after="0"/>
              <w:jc w:val="right"/>
              <w:rPr>
                <w:sz w:val="18"/>
                <w:szCs w:val="18"/>
              </w:rPr>
            </w:pPr>
            <w:r>
              <w:rPr>
                <w:sz w:val="18"/>
              </w:rPr>
              <w:t>34 223</w:t>
            </w:r>
          </w:p>
        </w:tc>
        <w:tc>
          <w:tcPr>
            <w:tcW w:w="1080" w:type="dxa"/>
            <w:tcBorders>
              <w:top w:val="nil"/>
              <w:left w:val="nil"/>
              <w:bottom w:val="single" w:sz="4" w:space="0" w:color="auto"/>
              <w:right w:val="single" w:sz="4" w:space="0" w:color="auto"/>
            </w:tcBorders>
            <w:shd w:val="clear" w:color="auto" w:fill="auto"/>
            <w:noWrap/>
            <w:vAlign w:val="bottom"/>
            <w:hideMark/>
          </w:tcPr>
          <w:p w14:paraId="53A87E02" w14:textId="77777777" w:rsidR="00FE399D" w:rsidRPr="00D1707B" w:rsidRDefault="00FE399D" w:rsidP="00582303">
            <w:pPr>
              <w:pStyle w:val="CBDTableNormal"/>
              <w:spacing w:before="0" w:after="0"/>
              <w:jc w:val="right"/>
              <w:rPr>
                <w:sz w:val="18"/>
                <w:szCs w:val="18"/>
              </w:rPr>
            </w:pPr>
            <w:r>
              <w:rPr>
                <w:sz w:val="18"/>
              </w:rPr>
              <w:t>66 254</w:t>
            </w:r>
          </w:p>
        </w:tc>
      </w:tr>
      <w:tr w:rsidR="00FE399D" w:rsidRPr="00D1707B" w14:paraId="124FE66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AB89301" w14:textId="77777777" w:rsidR="00FE399D" w:rsidRPr="00D1707B" w:rsidRDefault="00FE399D" w:rsidP="00582303">
            <w:pPr>
              <w:pStyle w:val="CBDTableNormal"/>
              <w:spacing w:before="0" w:after="0"/>
              <w:rPr>
                <w:sz w:val="18"/>
                <w:szCs w:val="18"/>
              </w:rPr>
            </w:pPr>
            <w:r>
              <w:rPr>
                <w:sz w:val="18"/>
              </w:rPr>
              <w:t>Niue</w:t>
            </w:r>
          </w:p>
        </w:tc>
        <w:tc>
          <w:tcPr>
            <w:tcW w:w="1628" w:type="dxa"/>
            <w:tcBorders>
              <w:top w:val="nil"/>
              <w:left w:val="nil"/>
              <w:bottom w:val="single" w:sz="4" w:space="0" w:color="auto"/>
              <w:right w:val="single" w:sz="4" w:space="0" w:color="auto"/>
            </w:tcBorders>
            <w:shd w:val="clear" w:color="auto" w:fill="auto"/>
            <w:vAlign w:val="bottom"/>
            <w:hideMark/>
          </w:tcPr>
          <w:p w14:paraId="15EC97B0"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3083EAF8"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4FD9F021"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76DDF920"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3CAB4A58"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765AC3F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E473F2F" w14:textId="77777777" w:rsidR="00FE399D" w:rsidRPr="00D1707B" w:rsidRDefault="00FE399D" w:rsidP="00582303">
            <w:pPr>
              <w:pStyle w:val="CBDTableNormal"/>
              <w:spacing w:before="0" w:after="0"/>
              <w:rPr>
                <w:sz w:val="18"/>
                <w:szCs w:val="18"/>
              </w:rPr>
            </w:pPr>
            <w:r>
              <w:rPr>
                <w:sz w:val="18"/>
              </w:rPr>
              <w:t>Noruega</w:t>
            </w:r>
          </w:p>
        </w:tc>
        <w:tc>
          <w:tcPr>
            <w:tcW w:w="1628" w:type="dxa"/>
            <w:tcBorders>
              <w:top w:val="nil"/>
              <w:left w:val="nil"/>
              <w:bottom w:val="single" w:sz="4" w:space="0" w:color="auto"/>
              <w:right w:val="single" w:sz="4" w:space="0" w:color="auto"/>
            </w:tcBorders>
            <w:shd w:val="clear" w:color="auto" w:fill="auto"/>
            <w:vAlign w:val="bottom"/>
            <w:hideMark/>
          </w:tcPr>
          <w:p w14:paraId="2E4FBD46" w14:textId="77777777" w:rsidR="00FE399D" w:rsidRPr="00D1707B" w:rsidRDefault="00FE399D" w:rsidP="00582303">
            <w:pPr>
              <w:pStyle w:val="CBDTableNormal"/>
              <w:spacing w:before="0" w:after="0"/>
              <w:jc w:val="right"/>
              <w:rPr>
                <w:sz w:val="18"/>
                <w:szCs w:val="18"/>
              </w:rPr>
            </w:pPr>
            <w:r>
              <w:rPr>
                <w:sz w:val="18"/>
              </w:rPr>
              <w:t>0,679</w:t>
            </w:r>
          </w:p>
        </w:tc>
        <w:tc>
          <w:tcPr>
            <w:tcW w:w="2198" w:type="dxa"/>
            <w:tcBorders>
              <w:top w:val="nil"/>
              <w:left w:val="nil"/>
              <w:bottom w:val="single" w:sz="4" w:space="0" w:color="auto"/>
              <w:right w:val="single" w:sz="4" w:space="0" w:color="auto"/>
            </w:tcBorders>
            <w:shd w:val="clear" w:color="auto" w:fill="auto"/>
            <w:noWrap/>
            <w:vAlign w:val="bottom"/>
            <w:hideMark/>
          </w:tcPr>
          <w:p w14:paraId="441D000B" w14:textId="77777777" w:rsidR="00FE399D" w:rsidRPr="00D1707B" w:rsidRDefault="00FE399D" w:rsidP="00582303">
            <w:pPr>
              <w:pStyle w:val="CBDTableNormal"/>
              <w:spacing w:before="0" w:after="0"/>
              <w:jc w:val="right"/>
              <w:rPr>
                <w:sz w:val="18"/>
                <w:szCs w:val="18"/>
              </w:rPr>
            </w:pPr>
            <w:r>
              <w:rPr>
                <w:sz w:val="18"/>
              </w:rPr>
              <w:t>0,849</w:t>
            </w:r>
          </w:p>
        </w:tc>
        <w:tc>
          <w:tcPr>
            <w:tcW w:w="1176" w:type="dxa"/>
            <w:tcBorders>
              <w:top w:val="nil"/>
              <w:left w:val="nil"/>
              <w:bottom w:val="single" w:sz="4" w:space="0" w:color="auto"/>
              <w:right w:val="single" w:sz="4" w:space="0" w:color="auto"/>
            </w:tcBorders>
            <w:shd w:val="clear" w:color="auto" w:fill="auto"/>
            <w:noWrap/>
            <w:vAlign w:val="bottom"/>
            <w:hideMark/>
          </w:tcPr>
          <w:p w14:paraId="27978921" w14:textId="77777777" w:rsidR="00FE399D" w:rsidRPr="00D1707B" w:rsidRDefault="00FE399D" w:rsidP="00582303">
            <w:pPr>
              <w:pStyle w:val="CBDTableNormal"/>
              <w:spacing w:before="0" w:after="0"/>
              <w:jc w:val="right"/>
              <w:rPr>
                <w:sz w:val="18"/>
                <w:szCs w:val="18"/>
              </w:rPr>
            </w:pPr>
            <w:r>
              <w:rPr>
                <w:sz w:val="18"/>
              </w:rPr>
              <w:t>119 500</w:t>
            </w:r>
          </w:p>
        </w:tc>
        <w:tc>
          <w:tcPr>
            <w:tcW w:w="1461" w:type="dxa"/>
            <w:tcBorders>
              <w:top w:val="nil"/>
              <w:left w:val="nil"/>
              <w:bottom w:val="single" w:sz="4" w:space="0" w:color="auto"/>
              <w:right w:val="single" w:sz="4" w:space="0" w:color="auto"/>
            </w:tcBorders>
            <w:shd w:val="clear" w:color="auto" w:fill="auto"/>
            <w:noWrap/>
            <w:vAlign w:val="bottom"/>
            <w:hideMark/>
          </w:tcPr>
          <w:p w14:paraId="7B747660" w14:textId="77777777" w:rsidR="00FE399D" w:rsidRPr="00D1707B" w:rsidRDefault="00FE399D" w:rsidP="00582303">
            <w:pPr>
              <w:pStyle w:val="CBDTableNormal"/>
              <w:spacing w:before="0" w:after="0"/>
              <w:jc w:val="right"/>
              <w:rPr>
                <w:sz w:val="18"/>
                <w:szCs w:val="18"/>
              </w:rPr>
            </w:pPr>
            <w:r>
              <w:rPr>
                <w:sz w:val="18"/>
              </w:rPr>
              <w:t>127 677</w:t>
            </w:r>
          </w:p>
        </w:tc>
        <w:tc>
          <w:tcPr>
            <w:tcW w:w="1080" w:type="dxa"/>
            <w:tcBorders>
              <w:top w:val="nil"/>
              <w:left w:val="nil"/>
              <w:bottom w:val="single" w:sz="4" w:space="0" w:color="auto"/>
              <w:right w:val="single" w:sz="4" w:space="0" w:color="auto"/>
            </w:tcBorders>
            <w:shd w:val="clear" w:color="auto" w:fill="auto"/>
            <w:noWrap/>
            <w:vAlign w:val="bottom"/>
            <w:hideMark/>
          </w:tcPr>
          <w:p w14:paraId="3DEE3457" w14:textId="77777777" w:rsidR="00FE399D" w:rsidRPr="00D1707B" w:rsidRDefault="00FE399D" w:rsidP="00582303">
            <w:pPr>
              <w:pStyle w:val="CBDTableNormal"/>
              <w:spacing w:before="0" w:after="0"/>
              <w:jc w:val="right"/>
              <w:rPr>
                <w:sz w:val="18"/>
                <w:szCs w:val="18"/>
              </w:rPr>
            </w:pPr>
            <w:r>
              <w:rPr>
                <w:sz w:val="18"/>
              </w:rPr>
              <w:t>247 177</w:t>
            </w:r>
          </w:p>
        </w:tc>
      </w:tr>
      <w:tr w:rsidR="00FE399D" w:rsidRPr="00D1707B" w14:paraId="17BC057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31DF80A" w14:textId="77777777" w:rsidR="00FE399D" w:rsidRPr="00D1707B" w:rsidRDefault="00FE399D" w:rsidP="00582303">
            <w:pPr>
              <w:pStyle w:val="CBDTableNormal"/>
              <w:spacing w:before="0" w:after="0"/>
              <w:rPr>
                <w:sz w:val="18"/>
                <w:szCs w:val="18"/>
              </w:rPr>
            </w:pPr>
            <w:r>
              <w:rPr>
                <w:sz w:val="18"/>
              </w:rPr>
              <w:t>Nueva Zelandia</w:t>
            </w:r>
          </w:p>
        </w:tc>
        <w:tc>
          <w:tcPr>
            <w:tcW w:w="1628" w:type="dxa"/>
            <w:tcBorders>
              <w:top w:val="nil"/>
              <w:left w:val="nil"/>
              <w:bottom w:val="single" w:sz="4" w:space="0" w:color="auto"/>
              <w:right w:val="single" w:sz="4" w:space="0" w:color="auto"/>
            </w:tcBorders>
            <w:shd w:val="clear" w:color="auto" w:fill="auto"/>
            <w:vAlign w:val="bottom"/>
            <w:hideMark/>
          </w:tcPr>
          <w:p w14:paraId="7FC14868" w14:textId="77777777" w:rsidR="00FE399D" w:rsidRPr="00D1707B" w:rsidRDefault="00FE399D" w:rsidP="00582303">
            <w:pPr>
              <w:pStyle w:val="CBDTableNormal"/>
              <w:spacing w:before="0" w:after="0"/>
              <w:jc w:val="right"/>
              <w:rPr>
                <w:sz w:val="18"/>
                <w:szCs w:val="18"/>
              </w:rPr>
            </w:pPr>
            <w:r>
              <w:rPr>
                <w:sz w:val="18"/>
              </w:rPr>
              <w:t>0,309</w:t>
            </w:r>
          </w:p>
        </w:tc>
        <w:tc>
          <w:tcPr>
            <w:tcW w:w="2198" w:type="dxa"/>
            <w:tcBorders>
              <w:top w:val="nil"/>
              <w:left w:val="nil"/>
              <w:bottom w:val="single" w:sz="4" w:space="0" w:color="auto"/>
              <w:right w:val="single" w:sz="4" w:space="0" w:color="auto"/>
            </w:tcBorders>
            <w:shd w:val="clear" w:color="auto" w:fill="auto"/>
            <w:noWrap/>
            <w:vAlign w:val="bottom"/>
            <w:hideMark/>
          </w:tcPr>
          <w:p w14:paraId="3503C780" w14:textId="77777777" w:rsidR="00FE399D" w:rsidRPr="00D1707B" w:rsidRDefault="00FE399D" w:rsidP="00582303">
            <w:pPr>
              <w:pStyle w:val="CBDTableNormal"/>
              <w:spacing w:before="0" w:after="0"/>
              <w:jc w:val="right"/>
              <w:rPr>
                <w:sz w:val="18"/>
                <w:szCs w:val="18"/>
              </w:rPr>
            </w:pPr>
            <w:r>
              <w:rPr>
                <w:sz w:val="18"/>
              </w:rPr>
              <w:t>0,386</w:t>
            </w:r>
          </w:p>
        </w:tc>
        <w:tc>
          <w:tcPr>
            <w:tcW w:w="1176" w:type="dxa"/>
            <w:tcBorders>
              <w:top w:val="nil"/>
              <w:left w:val="nil"/>
              <w:bottom w:val="single" w:sz="4" w:space="0" w:color="auto"/>
              <w:right w:val="single" w:sz="4" w:space="0" w:color="auto"/>
            </w:tcBorders>
            <w:shd w:val="clear" w:color="auto" w:fill="auto"/>
            <w:noWrap/>
            <w:vAlign w:val="bottom"/>
            <w:hideMark/>
          </w:tcPr>
          <w:p w14:paraId="6D094DF1" w14:textId="77777777" w:rsidR="00FE399D" w:rsidRPr="00D1707B" w:rsidRDefault="00FE399D" w:rsidP="00582303">
            <w:pPr>
              <w:pStyle w:val="CBDTableNormal"/>
              <w:spacing w:before="0" w:after="0"/>
              <w:jc w:val="right"/>
              <w:rPr>
                <w:sz w:val="18"/>
                <w:szCs w:val="18"/>
              </w:rPr>
            </w:pPr>
            <w:r>
              <w:rPr>
                <w:sz w:val="18"/>
              </w:rPr>
              <w:t>54 382</w:t>
            </w:r>
          </w:p>
        </w:tc>
        <w:tc>
          <w:tcPr>
            <w:tcW w:w="1461" w:type="dxa"/>
            <w:tcBorders>
              <w:top w:val="nil"/>
              <w:left w:val="nil"/>
              <w:bottom w:val="single" w:sz="4" w:space="0" w:color="auto"/>
              <w:right w:val="single" w:sz="4" w:space="0" w:color="auto"/>
            </w:tcBorders>
            <w:shd w:val="clear" w:color="auto" w:fill="auto"/>
            <w:noWrap/>
            <w:vAlign w:val="bottom"/>
            <w:hideMark/>
          </w:tcPr>
          <w:p w14:paraId="19000B97" w14:textId="77777777" w:rsidR="00FE399D" w:rsidRPr="00D1707B" w:rsidRDefault="00FE399D" w:rsidP="00582303">
            <w:pPr>
              <w:pStyle w:val="CBDTableNormal"/>
              <w:spacing w:before="0" w:after="0"/>
              <w:jc w:val="right"/>
              <w:rPr>
                <w:sz w:val="18"/>
                <w:szCs w:val="18"/>
              </w:rPr>
            </w:pPr>
            <w:r>
              <w:rPr>
                <w:sz w:val="18"/>
              </w:rPr>
              <w:t>58 103</w:t>
            </w:r>
          </w:p>
        </w:tc>
        <w:tc>
          <w:tcPr>
            <w:tcW w:w="1080" w:type="dxa"/>
            <w:tcBorders>
              <w:top w:val="nil"/>
              <w:left w:val="nil"/>
              <w:bottom w:val="single" w:sz="4" w:space="0" w:color="auto"/>
              <w:right w:val="single" w:sz="4" w:space="0" w:color="auto"/>
            </w:tcBorders>
            <w:shd w:val="clear" w:color="auto" w:fill="auto"/>
            <w:noWrap/>
            <w:vAlign w:val="bottom"/>
            <w:hideMark/>
          </w:tcPr>
          <w:p w14:paraId="31C96F35" w14:textId="77777777" w:rsidR="00FE399D" w:rsidRPr="00D1707B" w:rsidRDefault="00FE399D" w:rsidP="00582303">
            <w:pPr>
              <w:pStyle w:val="CBDTableNormal"/>
              <w:spacing w:before="0" w:after="0"/>
              <w:jc w:val="right"/>
              <w:rPr>
                <w:sz w:val="18"/>
                <w:szCs w:val="18"/>
              </w:rPr>
            </w:pPr>
            <w:r>
              <w:rPr>
                <w:sz w:val="18"/>
              </w:rPr>
              <w:t>112 486</w:t>
            </w:r>
          </w:p>
        </w:tc>
      </w:tr>
      <w:tr w:rsidR="00FE399D" w:rsidRPr="00D1707B" w14:paraId="230FA59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3299AF1" w14:textId="77777777" w:rsidR="00FE399D" w:rsidRPr="00D1707B" w:rsidRDefault="00FE399D" w:rsidP="00582303">
            <w:pPr>
              <w:pStyle w:val="CBDTableNormal"/>
              <w:spacing w:before="0" w:after="0"/>
              <w:rPr>
                <w:sz w:val="18"/>
                <w:szCs w:val="18"/>
              </w:rPr>
            </w:pPr>
            <w:r>
              <w:rPr>
                <w:sz w:val="18"/>
              </w:rPr>
              <w:t>Omán</w:t>
            </w:r>
          </w:p>
        </w:tc>
        <w:tc>
          <w:tcPr>
            <w:tcW w:w="1628" w:type="dxa"/>
            <w:tcBorders>
              <w:top w:val="nil"/>
              <w:left w:val="nil"/>
              <w:bottom w:val="single" w:sz="4" w:space="0" w:color="auto"/>
              <w:right w:val="single" w:sz="4" w:space="0" w:color="auto"/>
            </w:tcBorders>
            <w:shd w:val="clear" w:color="auto" w:fill="auto"/>
            <w:vAlign w:val="bottom"/>
            <w:hideMark/>
          </w:tcPr>
          <w:p w14:paraId="0E29CFB1" w14:textId="77777777" w:rsidR="00FE399D" w:rsidRPr="00D1707B" w:rsidRDefault="00FE399D" w:rsidP="00582303">
            <w:pPr>
              <w:pStyle w:val="CBDTableNormal"/>
              <w:spacing w:before="0" w:after="0"/>
              <w:jc w:val="right"/>
              <w:rPr>
                <w:sz w:val="18"/>
                <w:szCs w:val="18"/>
              </w:rPr>
            </w:pPr>
            <w:r>
              <w:rPr>
                <w:sz w:val="18"/>
              </w:rPr>
              <w:t>0,111</w:t>
            </w:r>
          </w:p>
        </w:tc>
        <w:tc>
          <w:tcPr>
            <w:tcW w:w="2198" w:type="dxa"/>
            <w:tcBorders>
              <w:top w:val="nil"/>
              <w:left w:val="nil"/>
              <w:bottom w:val="single" w:sz="4" w:space="0" w:color="auto"/>
              <w:right w:val="single" w:sz="4" w:space="0" w:color="auto"/>
            </w:tcBorders>
            <w:shd w:val="clear" w:color="auto" w:fill="auto"/>
            <w:noWrap/>
            <w:vAlign w:val="bottom"/>
            <w:hideMark/>
          </w:tcPr>
          <w:p w14:paraId="75117F5B" w14:textId="77777777" w:rsidR="00FE399D" w:rsidRPr="00D1707B" w:rsidRDefault="00FE399D" w:rsidP="00582303">
            <w:pPr>
              <w:pStyle w:val="CBDTableNormal"/>
              <w:spacing w:before="0" w:after="0"/>
              <w:jc w:val="right"/>
              <w:rPr>
                <w:sz w:val="18"/>
                <w:szCs w:val="18"/>
              </w:rPr>
            </w:pPr>
            <w:r>
              <w:rPr>
                <w:sz w:val="18"/>
              </w:rPr>
              <w:t>0,139</w:t>
            </w:r>
          </w:p>
        </w:tc>
        <w:tc>
          <w:tcPr>
            <w:tcW w:w="1176" w:type="dxa"/>
            <w:tcBorders>
              <w:top w:val="nil"/>
              <w:left w:val="nil"/>
              <w:bottom w:val="single" w:sz="4" w:space="0" w:color="auto"/>
              <w:right w:val="single" w:sz="4" w:space="0" w:color="auto"/>
            </w:tcBorders>
            <w:shd w:val="clear" w:color="auto" w:fill="auto"/>
            <w:noWrap/>
            <w:vAlign w:val="bottom"/>
            <w:hideMark/>
          </w:tcPr>
          <w:p w14:paraId="3B4FBFE5" w14:textId="77777777" w:rsidR="00FE399D" w:rsidRPr="00D1707B" w:rsidRDefault="00FE399D" w:rsidP="00582303">
            <w:pPr>
              <w:pStyle w:val="CBDTableNormal"/>
              <w:spacing w:before="0" w:after="0"/>
              <w:jc w:val="right"/>
              <w:rPr>
                <w:sz w:val="18"/>
                <w:szCs w:val="18"/>
              </w:rPr>
            </w:pPr>
            <w:r>
              <w:rPr>
                <w:sz w:val="18"/>
              </w:rPr>
              <w:t>19 535</w:t>
            </w:r>
          </w:p>
        </w:tc>
        <w:tc>
          <w:tcPr>
            <w:tcW w:w="1461" w:type="dxa"/>
            <w:tcBorders>
              <w:top w:val="nil"/>
              <w:left w:val="nil"/>
              <w:bottom w:val="single" w:sz="4" w:space="0" w:color="auto"/>
              <w:right w:val="single" w:sz="4" w:space="0" w:color="auto"/>
            </w:tcBorders>
            <w:shd w:val="clear" w:color="auto" w:fill="auto"/>
            <w:noWrap/>
            <w:vAlign w:val="bottom"/>
            <w:hideMark/>
          </w:tcPr>
          <w:p w14:paraId="7D817527" w14:textId="77777777" w:rsidR="00FE399D" w:rsidRPr="00D1707B" w:rsidRDefault="00FE399D" w:rsidP="00582303">
            <w:pPr>
              <w:pStyle w:val="CBDTableNormal"/>
              <w:spacing w:before="0" w:after="0"/>
              <w:jc w:val="right"/>
              <w:rPr>
                <w:sz w:val="18"/>
                <w:szCs w:val="18"/>
              </w:rPr>
            </w:pPr>
            <w:r>
              <w:rPr>
                <w:sz w:val="18"/>
              </w:rPr>
              <w:t>20 872</w:t>
            </w:r>
          </w:p>
        </w:tc>
        <w:tc>
          <w:tcPr>
            <w:tcW w:w="1080" w:type="dxa"/>
            <w:tcBorders>
              <w:top w:val="nil"/>
              <w:left w:val="nil"/>
              <w:bottom w:val="single" w:sz="4" w:space="0" w:color="auto"/>
              <w:right w:val="single" w:sz="4" w:space="0" w:color="auto"/>
            </w:tcBorders>
            <w:shd w:val="clear" w:color="auto" w:fill="auto"/>
            <w:noWrap/>
            <w:vAlign w:val="bottom"/>
            <w:hideMark/>
          </w:tcPr>
          <w:p w14:paraId="6A784583" w14:textId="77777777" w:rsidR="00FE399D" w:rsidRPr="00D1707B" w:rsidRDefault="00FE399D" w:rsidP="00582303">
            <w:pPr>
              <w:pStyle w:val="CBDTableNormal"/>
              <w:spacing w:before="0" w:after="0"/>
              <w:jc w:val="right"/>
              <w:rPr>
                <w:sz w:val="18"/>
                <w:szCs w:val="18"/>
              </w:rPr>
            </w:pPr>
            <w:r>
              <w:rPr>
                <w:sz w:val="18"/>
              </w:rPr>
              <w:t>40 407</w:t>
            </w:r>
          </w:p>
        </w:tc>
      </w:tr>
      <w:tr w:rsidR="00FE399D" w:rsidRPr="00D1707B" w14:paraId="14EF059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A50FE2E" w14:textId="77777777" w:rsidR="00FE399D" w:rsidRPr="00D1707B" w:rsidRDefault="00FE399D" w:rsidP="00582303">
            <w:pPr>
              <w:pStyle w:val="CBDTableNormal"/>
              <w:tabs>
                <w:tab w:val="clear" w:pos="567"/>
                <w:tab w:val="left" w:pos="178"/>
              </w:tabs>
              <w:spacing w:before="0" w:after="0"/>
              <w:ind w:left="144" w:hanging="144"/>
              <w:rPr>
                <w:sz w:val="18"/>
                <w:szCs w:val="18"/>
              </w:rPr>
            </w:pPr>
            <w:r>
              <w:rPr>
                <w:sz w:val="18"/>
              </w:rPr>
              <w:t>Países Bajos (Reino de los)</w:t>
            </w:r>
          </w:p>
        </w:tc>
        <w:tc>
          <w:tcPr>
            <w:tcW w:w="1628" w:type="dxa"/>
            <w:tcBorders>
              <w:top w:val="nil"/>
              <w:left w:val="nil"/>
              <w:bottom w:val="single" w:sz="4" w:space="0" w:color="auto"/>
              <w:right w:val="single" w:sz="4" w:space="0" w:color="auto"/>
            </w:tcBorders>
            <w:shd w:val="clear" w:color="auto" w:fill="auto"/>
            <w:vAlign w:val="bottom"/>
            <w:hideMark/>
          </w:tcPr>
          <w:p w14:paraId="00340082" w14:textId="77777777" w:rsidR="00FE399D" w:rsidRPr="00D1707B" w:rsidRDefault="00FE399D" w:rsidP="00582303">
            <w:pPr>
              <w:pStyle w:val="CBDTableNormal"/>
              <w:spacing w:before="0" w:after="0"/>
              <w:jc w:val="right"/>
              <w:rPr>
                <w:sz w:val="18"/>
                <w:szCs w:val="18"/>
              </w:rPr>
            </w:pPr>
            <w:r>
              <w:rPr>
                <w:sz w:val="18"/>
              </w:rPr>
              <w:t>1,377</w:t>
            </w:r>
          </w:p>
        </w:tc>
        <w:tc>
          <w:tcPr>
            <w:tcW w:w="2198" w:type="dxa"/>
            <w:tcBorders>
              <w:top w:val="nil"/>
              <w:left w:val="nil"/>
              <w:bottom w:val="single" w:sz="4" w:space="0" w:color="auto"/>
              <w:right w:val="single" w:sz="4" w:space="0" w:color="auto"/>
            </w:tcBorders>
            <w:shd w:val="clear" w:color="auto" w:fill="auto"/>
            <w:noWrap/>
            <w:vAlign w:val="bottom"/>
            <w:hideMark/>
          </w:tcPr>
          <w:p w14:paraId="66042DE0" w14:textId="77777777" w:rsidR="00FE399D" w:rsidRPr="00D1707B" w:rsidRDefault="00FE399D" w:rsidP="00582303">
            <w:pPr>
              <w:pStyle w:val="CBDTableNormal"/>
              <w:spacing w:before="0" w:after="0"/>
              <w:jc w:val="right"/>
              <w:rPr>
                <w:sz w:val="18"/>
                <w:szCs w:val="18"/>
              </w:rPr>
            </w:pPr>
            <w:r>
              <w:rPr>
                <w:sz w:val="18"/>
              </w:rPr>
              <w:t>1,721</w:t>
            </w:r>
          </w:p>
        </w:tc>
        <w:tc>
          <w:tcPr>
            <w:tcW w:w="1176" w:type="dxa"/>
            <w:tcBorders>
              <w:top w:val="nil"/>
              <w:left w:val="nil"/>
              <w:bottom w:val="single" w:sz="4" w:space="0" w:color="auto"/>
              <w:right w:val="single" w:sz="4" w:space="0" w:color="auto"/>
            </w:tcBorders>
            <w:shd w:val="clear" w:color="auto" w:fill="auto"/>
            <w:noWrap/>
            <w:vAlign w:val="bottom"/>
            <w:hideMark/>
          </w:tcPr>
          <w:p w14:paraId="4960E27C" w14:textId="77777777" w:rsidR="00FE399D" w:rsidRPr="00D1707B" w:rsidRDefault="00FE399D" w:rsidP="00582303">
            <w:pPr>
              <w:pStyle w:val="CBDTableNormal"/>
              <w:spacing w:before="0" w:after="0"/>
              <w:jc w:val="right"/>
              <w:rPr>
                <w:sz w:val="18"/>
                <w:szCs w:val="18"/>
              </w:rPr>
            </w:pPr>
            <w:r>
              <w:rPr>
                <w:sz w:val="18"/>
              </w:rPr>
              <w:t>242 344</w:t>
            </w:r>
          </w:p>
        </w:tc>
        <w:tc>
          <w:tcPr>
            <w:tcW w:w="1461" w:type="dxa"/>
            <w:tcBorders>
              <w:top w:val="nil"/>
              <w:left w:val="nil"/>
              <w:bottom w:val="single" w:sz="4" w:space="0" w:color="auto"/>
              <w:right w:val="single" w:sz="4" w:space="0" w:color="auto"/>
            </w:tcBorders>
            <w:shd w:val="clear" w:color="auto" w:fill="auto"/>
            <w:noWrap/>
            <w:vAlign w:val="bottom"/>
            <w:hideMark/>
          </w:tcPr>
          <w:p w14:paraId="24DD9DCB" w14:textId="77777777" w:rsidR="00FE399D" w:rsidRPr="00D1707B" w:rsidRDefault="00FE399D" w:rsidP="00582303">
            <w:pPr>
              <w:pStyle w:val="CBDTableNormal"/>
              <w:spacing w:before="0" w:after="0"/>
              <w:jc w:val="right"/>
              <w:rPr>
                <w:sz w:val="18"/>
                <w:szCs w:val="18"/>
              </w:rPr>
            </w:pPr>
            <w:r>
              <w:rPr>
                <w:sz w:val="18"/>
              </w:rPr>
              <w:t>258 926</w:t>
            </w:r>
          </w:p>
        </w:tc>
        <w:tc>
          <w:tcPr>
            <w:tcW w:w="1080" w:type="dxa"/>
            <w:tcBorders>
              <w:top w:val="nil"/>
              <w:left w:val="nil"/>
              <w:bottom w:val="single" w:sz="4" w:space="0" w:color="auto"/>
              <w:right w:val="single" w:sz="4" w:space="0" w:color="auto"/>
            </w:tcBorders>
            <w:shd w:val="clear" w:color="auto" w:fill="auto"/>
            <w:noWrap/>
            <w:vAlign w:val="bottom"/>
            <w:hideMark/>
          </w:tcPr>
          <w:p w14:paraId="64FB3A0E" w14:textId="77777777" w:rsidR="00FE399D" w:rsidRPr="00D1707B" w:rsidRDefault="00FE399D" w:rsidP="00582303">
            <w:pPr>
              <w:pStyle w:val="CBDTableNormal"/>
              <w:spacing w:before="0" w:after="0"/>
              <w:jc w:val="right"/>
              <w:rPr>
                <w:sz w:val="18"/>
                <w:szCs w:val="18"/>
              </w:rPr>
            </w:pPr>
            <w:r>
              <w:rPr>
                <w:sz w:val="18"/>
              </w:rPr>
              <w:t>501 271</w:t>
            </w:r>
          </w:p>
        </w:tc>
      </w:tr>
      <w:tr w:rsidR="00FE399D" w:rsidRPr="00D1707B" w14:paraId="631DCC27"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0B6A89B" w14:textId="77777777" w:rsidR="00FE399D" w:rsidRPr="00D1707B" w:rsidRDefault="00FE399D" w:rsidP="00582303">
            <w:pPr>
              <w:pStyle w:val="CBDTableNormal"/>
              <w:spacing w:before="0" w:after="0"/>
              <w:rPr>
                <w:sz w:val="18"/>
                <w:szCs w:val="18"/>
              </w:rPr>
            </w:pPr>
            <w:r>
              <w:rPr>
                <w:sz w:val="18"/>
              </w:rPr>
              <w:t>Pakistán</w:t>
            </w:r>
          </w:p>
        </w:tc>
        <w:tc>
          <w:tcPr>
            <w:tcW w:w="1628" w:type="dxa"/>
            <w:tcBorders>
              <w:top w:val="nil"/>
              <w:left w:val="nil"/>
              <w:bottom w:val="single" w:sz="4" w:space="0" w:color="auto"/>
              <w:right w:val="single" w:sz="4" w:space="0" w:color="auto"/>
            </w:tcBorders>
            <w:shd w:val="clear" w:color="auto" w:fill="auto"/>
            <w:vAlign w:val="bottom"/>
            <w:hideMark/>
          </w:tcPr>
          <w:p w14:paraId="6A6F1CF8" w14:textId="77777777" w:rsidR="00FE399D" w:rsidRPr="00D1707B" w:rsidRDefault="00FE399D" w:rsidP="00582303">
            <w:pPr>
              <w:pStyle w:val="CBDTableNormal"/>
              <w:spacing w:before="0" w:after="0"/>
              <w:jc w:val="right"/>
              <w:rPr>
                <w:sz w:val="18"/>
                <w:szCs w:val="18"/>
              </w:rPr>
            </w:pPr>
            <w:r>
              <w:rPr>
                <w:sz w:val="18"/>
              </w:rPr>
              <w:t>0,114</w:t>
            </w:r>
          </w:p>
        </w:tc>
        <w:tc>
          <w:tcPr>
            <w:tcW w:w="2198" w:type="dxa"/>
            <w:tcBorders>
              <w:top w:val="nil"/>
              <w:left w:val="nil"/>
              <w:bottom w:val="single" w:sz="4" w:space="0" w:color="auto"/>
              <w:right w:val="single" w:sz="4" w:space="0" w:color="auto"/>
            </w:tcBorders>
            <w:shd w:val="clear" w:color="auto" w:fill="auto"/>
            <w:noWrap/>
            <w:vAlign w:val="bottom"/>
            <w:hideMark/>
          </w:tcPr>
          <w:p w14:paraId="43B74E0E" w14:textId="77777777" w:rsidR="00FE399D" w:rsidRPr="00D1707B" w:rsidRDefault="00FE399D" w:rsidP="00582303">
            <w:pPr>
              <w:pStyle w:val="CBDTableNormal"/>
              <w:spacing w:before="0" w:after="0"/>
              <w:jc w:val="right"/>
              <w:rPr>
                <w:sz w:val="18"/>
                <w:szCs w:val="18"/>
              </w:rPr>
            </w:pPr>
            <w:r>
              <w:rPr>
                <w:sz w:val="18"/>
              </w:rPr>
              <w:t>0,143</w:t>
            </w:r>
          </w:p>
        </w:tc>
        <w:tc>
          <w:tcPr>
            <w:tcW w:w="1176" w:type="dxa"/>
            <w:tcBorders>
              <w:top w:val="nil"/>
              <w:left w:val="nil"/>
              <w:bottom w:val="single" w:sz="4" w:space="0" w:color="auto"/>
              <w:right w:val="single" w:sz="4" w:space="0" w:color="auto"/>
            </w:tcBorders>
            <w:shd w:val="clear" w:color="auto" w:fill="auto"/>
            <w:noWrap/>
            <w:vAlign w:val="bottom"/>
            <w:hideMark/>
          </w:tcPr>
          <w:p w14:paraId="6A3A4181" w14:textId="77777777" w:rsidR="00FE399D" w:rsidRPr="00D1707B" w:rsidRDefault="00FE399D" w:rsidP="00582303">
            <w:pPr>
              <w:pStyle w:val="CBDTableNormal"/>
              <w:spacing w:before="0" w:after="0"/>
              <w:jc w:val="right"/>
              <w:rPr>
                <w:sz w:val="18"/>
                <w:szCs w:val="18"/>
              </w:rPr>
            </w:pPr>
            <w:r>
              <w:rPr>
                <w:sz w:val="18"/>
              </w:rPr>
              <w:t>20 063</w:t>
            </w:r>
          </w:p>
        </w:tc>
        <w:tc>
          <w:tcPr>
            <w:tcW w:w="1461" w:type="dxa"/>
            <w:tcBorders>
              <w:top w:val="nil"/>
              <w:left w:val="nil"/>
              <w:bottom w:val="single" w:sz="4" w:space="0" w:color="auto"/>
              <w:right w:val="single" w:sz="4" w:space="0" w:color="auto"/>
            </w:tcBorders>
            <w:shd w:val="clear" w:color="auto" w:fill="auto"/>
            <w:noWrap/>
            <w:vAlign w:val="bottom"/>
            <w:hideMark/>
          </w:tcPr>
          <w:p w14:paraId="57EFEA92" w14:textId="77777777" w:rsidR="00FE399D" w:rsidRPr="00D1707B" w:rsidRDefault="00FE399D" w:rsidP="00582303">
            <w:pPr>
              <w:pStyle w:val="CBDTableNormal"/>
              <w:spacing w:before="0" w:after="0"/>
              <w:jc w:val="right"/>
              <w:rPr>
                <w:sz w:val="18"/>
                <w:szCs w:val="18"/>
              </w:rPr>
            </w:pPr>
            <w:r>
              <w:rPr>
                <w:sz w:val="18"/>
              </w:rPr>
              <w:t>21 436</w:t>
            </w:r>
          </w:p>
        </w:tc>
        <w:tc>
          <w:tcPr>
            <w:tcW w:w="1080" w:type="dxa"/>
            <w:tcBorders>
              <w:top w:val="nil"/>
              <w:left w:val="nil"/>
              <w:bottom w:val="single" w:sz="4" w:space="0" w:color="auto"/>
              <w:right w:val="single" w:sz="4" w:space="0" w:color="auto"/>
            </w:tcBorders>
            <w:shd w:val="clear" w:color="auto" w:fill="auto"/>
            <w:noWrap/>
            <w:vAlign w:val="bottom"/>
            <w:hideMark/>
          </w:tcPr>
          <w:p w14:paraId="2A06D4C8" w14:textId="77777777" w:rsidR="00FE399D" w:rsidRPr="00D1707B" w:rsidRDefault="00FE399D" w:rsidP="00582303">
            <w:pPr>
              <w:pStyle w:val="CBDTableNormal"/>
              <w:spacing w:before="0" w:after="0"/>
              <w:jc w:val="right"/>
              <w:rPr>
                <w:sz w:val="18"/>
                <w:szCs w:val="18"/>
              </w:rPr>
            </w:pPr>
            <w:r>
              <w:rPr>
                <w:sz w:val="18"/>
              </w:rPr>
              <w:t>41 500</w:t>
            </w:r>
          </w:p>
        </w:tc>
      </w:tr>
      <w:tr w:rsidR="00FE399D" w:rsidRPr="00D1707B" w14:paraId="50A0BF6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92DE9A9" w14:textId="77777777" w:rsidR="00FE399D" w:rsidRPr="00D1707B" w:rsidRDefault="00FE399D" w:rsidP="00582303">
            <w:pPr>
              <w:pStyle w:val="CBDTableNormal"/>
              <w:spacing w:before="0" w:after="0"/>
              <w:rPr>
                <w:sz w:val="18"/>
                <w:szCs w:val="18"/>
              </w:rPr>
            </w:pPr>
            <w:r>
              <w:rPr>
                <w:sz w:val="18"/>
              </w:rPr>
              <w:t>Palau</w:t>
            </w:r>
          </w:p>
        </w:tc>
        <w:tc>
          <w:tcPr>
            <w:tcW w:w="1628" w:type="dxa"/>
            <w:tcBorders>
              <w:top w:val="nil"/>
              <w:left w:val="nil"/>
              <w:bottom w:val="single" w:sz="4" w:space="0" w:color="auto"/>
              <w:right w:val="single" w:sz="4" w:space="0" w:color="auto"/>
            </w:tcBorders>
            <w:shd w:val="clear" w:color="auto" w:fill="auto"/>
            <w:vAlign w:val="bottom"/>
            <w:hideMark/>
          </w:tcPr>
          <w:p w14:paraId="4169A4AD"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0CDF681A"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71A96C75"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0BB2BB7E"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62CF9555"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171F9A9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1DCF232" w14:textId="77777777" w:rsidR="00FE399D" w:rsidRPr="00D1707B" w:rsidRDefault="00FE399D" w:rsidP="00582303">
            <w:pPr>
              <w:pStyle w:val="CBDTableNormal"/>
              <w:spacing w:before="0" w:after="0"/>
              <w:rPr>
                <w:sz w:val="18"/>
                <w:szCs w:val="18"/>
              </w:rPr>
            </w:pPr>
            <w:r>
              <w:rPr>
                <w:sz w:val="18"/>
              </w:rPr>
              <w:t>Panamá</w:t>
            </w:r>
          </w:p>
        </w:tc>
        <w:tc>
          <w:tcPr>
            <w:tcW w:w="1628" w:type="dxa"/>
            <w:tcBorders>
              <w:top w:val="nil"/>
              <w:left w:val="nil"/>
              <w:bottom w:val="single" w:sz="4" w:space="0" w:color="auto"/>
              <w:right w:val="single" w:sz="4" w:space="0" w:color="auto"/>
            </w:tcBorders>
            <w:shd w:val="clear" w:color="auto" w:fill="auto"/>
            <w:vAlign w:val="bottom"/>
            <w:hideMark/>
          </w:tcPr>
          <w:p w14:paraId="54443F14" w14:textId="77777777" w:rsidR="00FE399D" w:rsidRPr="00D1707B" w:rsidRDefault="00FE399D" w:rsidP="00582303">
            <w:pPr>
              <w:pStyle w:val="CBDTableNormal"/>
              <w:spacing w:before="0" w:after="0"/>
              <w:jc w:val="right"/>
              <w:rPr>
                <w:sz w:val="18"/>
                <w:szCs w:val="18"/>
              </w:rPr>
            </w:pPr>
            <w:r>
              <w:rPr>
                <w:sz w:val="18"/>
              </w:rPr>
              <w:t>0,090</w:t>
            </w:r>
          </w:p>
        </w:tc>
        <w:tc>
          <w:tcPr>
            <w:tcW w:w="2198" w:type="dxa"/>
            <w:tcBorders>
              <w:top w:val="nil"/>
              <w:left w:val="nil"/>
              <w:bottom w:val="single" w:sz="4" w:space="0" w:color="auto"/>
              <w:right w:val="single" w:sz="4" w:space="0" w:color="auto"/>
            </w:tcBorders>
            <w:shd w:val="clear" w:color="auto" w:fill="auto"/>
            <w:noWrap/>
            <w:vAlign w:val="bottom"/>
            <w:hideMark/>
          </w:tcPr>
          <w:p w14:paraId="5934D714" w14:textId="77777777" w:rsidR="00FE399D" w:rsidRPr="00D1707B" w:rsidRDefault="00FE399D" w:rsidP="00582303">
            <w:pPr>
              <w:pStyle w:val="CBDTableNormal"/>
              <w:spacing w:before="0" w:after="0"/>
              <w:jc w:val="right"/>
              <w:rPr>
                <w:sz w:val="18"/>
                <w:szCs w:val="18"/>
              </w:rPr>
            </w:pPr>
            <w:r>
              <w:rPr>
                <w:sz w:val="18"/>
              </w:rPr>
              <w:t>0,113</w:t>
            </w:r>
          </w:p>
        </w:tc>
        <w:tc>
          <w:tcPr>
            <w:tcW w:w="1176" w:type="dxa"/>
            <w:tcBorders>
              <w:top w:val="nil"/>
              <w:left w:val="nil"/>
              <w:bottom w:val="single" w:sz="4" w:space="0" w:color="auto"/>
              <w:right w:val="single" w:sz="4" w:space="0" w:color="auto"/>
            </w:tcBorders>
            <w:shd w:val="clear" w:color="auto" w:fill="auto"/>
            <w:noWrap/>
            <w:vAlign w:val="bottom"/>
            <w:hideMark/>
          </w:tcPr>
          <w:p w14:paraId="5B2BFAEC" w14:textId="77777777" w:rsidR="00FE399D" w:rsidRPr="00D1707B" w:rsidRDefault="00FE399D" w:rsidP="00582303">
            <w:pPr>
              <w:pStyle w:val="CBDTableNormal"/>
              <w:spacing w:before="0" w:after="0"/>
              <w:jc w:val="right"/>
              <w:rPr>
                <w:sz w:val="18"/>
                <w:szCs w:val="18"/>
              </w:rPr>
            </w:pPr>
            <w:r>
              <w:rPr>
                <w:sz w:val="18"/>
              </w:rPr>
              <w:t>15 839</w:t>
            </w:r>
          </w:p>
        </w:tc>
        <w:tc>
          <w:tcPr>
            <w:tcW w:w="1461" w:type="dxa"/>
            <w:tcBorders>
              <w:top w:val="nil"/>
              <w:left w:val="nil"/>
              <w:bottom w:val="single" w:sz="4" w:space="0" w:color="auto"/>
              <w:right w:val="single" w:sz="4" w:space="0" w:color="auto"/>
            </w:tcBorders>
            <w:shd w:val="clear" w:color="auto" w:fill="auto"/>
            <w:noWrap/>
            <w:vAlign w:val="bottom"/>
            <w:hideMark/>
          </w:tcPr>
          <w:p w14:paraId="414615B6" w14:textId="77777777" w:rsidR="00FE399D" w:rsidRPr="00D1707B" w:rsidRDefault="00FE399D" w:rsidP="00582303">
            <w:pPr>
              <w:pStyle w:val="CBDTableNormal"/>
              <w:spacing w:before="0" w:after="0"/>
              <w:jc w:val="right"/>
              <w:rPr>
                <w:sz w:val="18"/>
                <w:szCs w:val="18"/>
              </w:rPr>
            </w:pPr>
            <w:r>
              <w:rPr>
                <w:sz w:val="18"/>
              </w:rPr>
              <w:t>16 923</w:t>
            </w:r>
          </w:p>
        </w:tc>
        <w:tc>
          <w:tcPr>
            <w:tcW w:w="1080" w:type="dxa"/>
            <w:tcBorders>
              <w:top w:val="nil"/>
              <w:left w:val="nil"/>
              <w:bottom w:val="single" w:sz="4" w:space="0" w:color="auto"/>
              <w:right w:val="single" w:sz="4" w:space="0" w:color="auto"/>
            </w:tcBorders>
            <w:shd w:val="clear" w:color="auto" w:fill="auto"/>
            <w:noWrap/>
            <w:vAlign w:val="bottom"/>
            <w:hideMark/>
          </w:tcPr>
          <w:p w14:paraId="38BBC920" w14:textId="77777777" w:rsidR="00FE399D" w:rsidRPr="00D1707B" w:rsidRDefault="00FE399D" w:rsidP="00582303">
            <w:pPr>
              <w:pStyle w:val="CBDTableNormal"/>
              <w:spacing w:before="0" w:after="0"/>
              <w:jc w:val="right"/>
              <w:rPr>
                <w:sz w:val="18"/>
                <w:szCs w:val="18"/>
              </w:rPr>
            </w:pPr>
            <w:r>
              <w:rPr>
                <w:sz w:val="18"/>
              </w:rPr>
              <w:t>32 763</w:t>
            </w:r>
          </w:p>
        </w:tc>
      </w:tr>
      <w:tr w:rsidR="00FE399D" w:rsidRPr="00D1707B" w14:paraId="26AE6E3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27A0452" w14:textId="77777777" w:rsidR="00FE399D" w:rsidRPr="00D1707B" w:rsidRDefault="00FE399D" w:rsidP="00582303">
            <w:pPr>
              <w:pStyle w:val="CBDTableNormal"/>
              <w:spacing w:before="0" w:after="0"/>
              <w:rPr>
                <w:sz w:val="18"/>
                <w:szCs w:val="18"/>
              </w:rPr>
            </w:pPr>
            <w:r>
              <w:rPr>
                <w:sz w:val="18"/>
              </w:rPr>
              <w:t>Papua Nueva Guinea</w:t>
            </w:r>
          </w:p>
        </w:tc>
        <w:tc>
          <w:tcPr>
            <w:tcW w:w="1628" w:type="dxa"/>
            <w:tcBorders>
              <w:top w:val="nil"/>
              <w:left w:val="nil"/>
              <w:bottom w:val="single" w:sz="4" w:space="0" w:color="auto"/>
              <w:right w:val="single" w:sz="4" w:space="0" w:color="auto"/>
            </w:tcBorders>
            <w:shd w:val="clear" w:color="auto" w:fill="auto"/>
            <w:vAlign w:val="bottom"/>
            <w:hideMark/>
          </w:tcPr>
          <w:p w14:paraId="0E048E7D" w14:textId="77777777" w:rsidR="00FE399D" w:rsidRPr="00D1707B" w:rsidRDefault="00FE399D" w:rsidP="00582303">
            <w:pPr>
              <w:pStyle w:val="CBDTableNormal"/>
              <w:spacing w:before="0" w:after="0"/>
              <w:jc w:val="right"/>
              <w:rPr>
                <w:sz w:val="18"/>
                <w:szCs w:val="18"/>
              </w:rPr>
            </w:pPr>
            <w:r>
              <w:rPr>
                <w:sz w:val="18"/>
              </w:rPr>
              <w:t>0,010</w:t>
            </w:r>
          </w:p>
        </w:tc>
        <w:tc>
          <w:tcPr>
            <w:tcW w:w="2198" w:type="dxa"/>
            <w:tcBorders>
              <w:top w:val="nil"/>
              <w:left w:val="nil"/>
              <w:bottom w:val="single" w:sz="4" w:space="0" w:color="auto"/>
              <w:right w:val="single" w:sz="4" w:space="0" w:color="auto"/>
            </w:tcBorders>
            <w:shd w:val="clear" w:color="auto" w:fill="auto"/>
            <w:noWrap/>
            <w:vAlign w:val="bottom"/>
            <w:hideMark/>
          </w:tcPr>
          <w:p w14:paraId="5FDB1CF0" w14:textId="77777777" w:rsidR="00FE399D" w:rsidRPr="00D1707B" w:rsidRDefault="00FE399D" w:rsidP="00582303">
            <w:pPr>
              <w:pStyle w:val="CBDTableNormal"/>
              <w:spacing w:before="0" w:after="0"/>
              <w:jc w:val="right"/>
              <w:rPr>
                <w:sz w:val="18"/>
                <w:szCs w:val="18"/>
              </w:rPr>
            </w:pPr>
            <w:r>
              <w:rPr>
                <w:sz w:val="18"/>
              </w:rPr>
              <w:t>0,013</w:t>
            </w:r>
          </w:p>
        </w:tc>
        <w:tc>
          <w:tcPr>
            <w:tcW w:w="1176" w:type="dxa"/>
            <w:tcBorders>
              <w:top w:val="nil"/>
              <w:left w:val="nil"/>
              <w:bottom w:val="single" w:sz="4" w:space="0" w:color="auto"/>
              <w:right w:val="single" w:sz="4" w:space="0" w:color="auto"/>
            </w:tcBorders>
            <w:shd w:val="clear" w:color="auto" w:fill="auto"/>
            <w:noWrap/>
            <w:vAlign w:val="bottom"/>
            <w:hideMark/>
          </w:tcPr>
          <w:p w14:paraId="73F2009F" w14:textId="77777777" w:rsidR="00FE399D" w:rsidRPr="00D1707B" w:rsidRDefault="00FE399D" w:rsidP="00582303">
            <w:pPr>
              <w:pStyle w:val="CBDTableNormal"/>
              <w:spacing w:before="0" w:after="0"/>
              <w:jc w:val="right"/>
              <w:rPr>
                <w:sz w:val="18"/>
                <w:szCs w:val="18"/>
              </w:rPr>
            </w:pPr>
            <w:r>
              <w:rPr>
                <w:sz w:val="18"/>
              </w:rPr>
              <w:t>1 760</w:t>
            </w:r>
          </w:p>
        </w:tc>
        <w:tc>
          <w:tcPr>
            <w:tcW w:w="1461" w:type="dxa"/>
            <w:tcBorders>
              <w:top w:val="nil"/>
              <w:left w:val="nil"/>
              <w:bottom w:val="single" w:sz="4" w:space="0" w:color="auto"/>
              <w:right w:val="single" w:sz="4" w:space="0" w:color="auto"/>
            </w:tcBorders>
            <w:shd w:val="clear" w:color="auto" w:fill="auto"/>
            <w:noWrap/>
            <w:vAlign w:val="bottom"/>
            <w:hideMark/>
          </w:tcPr>
          <w:p w14:paraId="260EC102" w14:textId="77777777" w:rsidR="00FE399D" w:rsidRPr="00D1707B" w:rsidRDefault="00FE399D" w:rsidP="00582303">
            <w:pPr>
              <w:pStyle w:val="CBDTableNormal"/>
              <w:spacing w:before="0" w:after="0"/>
              <w:jc w:val="right"/>
              <w:rPr>
                <w:sz w:val="18"/>
                <w:szCs w:val="18"/>
              </w:rPr>
            </w:pPr>
            <w:r>
              <w:rPr>
                <w:sz w:val="18"/>
              </w:rPr>
              <w:t>1 880</w:t>
            </w:r>
          </w:p>
        </w:tc>
        <w:tc>
          <w:tcPr>
            <w:tcW w:w="1080" w:type="dxa"/>
            <w:tcBorders>
              <w:top w:val="nil"/>
              <w:left w:val="nil"/>
              <w:bottom w:val="single" w:sz="4" w:space="0" w:color="auto"/>
              <w:right w:val="single" w:sz="4" w:space="0" w:color="auto"/>
            </w:tcBorders>
            <w:shd w:val="clear" w:color="auto" w:fill="auto"/>
            <w:noWrap/>
            <w:vAlign w:val="bottom"/>
            <w:hideMark/>
          </w:tcPr>
          <w:p w14:paraId="1F0F3D46" w14:textId="77777777" w:rsidR="00FE399D" w:rsidRPr="00D1707B" w:rsidRDefault="00FE399D" w:rsidP="00582303">
            <w:pPr>
              <w:pStyle w:val="CBDTableNormal"/>
              <w:spacing w:before="0" w:after="0"/>
              <w:jc w:val="right"/>
              <w:rPr>
                <w:sz w:val="18"/>
                <w:szCs w:val="18"/>
              </w:rPr>
            </w:pPr>
            <w:r>
              <w:rPr>
                <w:sz w:val="18"/>
              </w:rPr>
              <w:t>3 640</w:t>
            </w:r>
          </w:p>
        </w:tc>
      </w:tr>
      <w:tr w:rsidR="00FE399D" w:rsidRPr="00D1707B" w14:paraId="6594339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CC6E7E9" w14:textId="77777777" w:rsidR="00FE399D" w:rsidRPr="00D1707B" w:rsidRDefault="00FE399D" w:rsidP="00582303">
            <w:pPr>
              <w:pStyle w:val="CBDTableNormal"/>
              <w:spacing w:before="0" w:after="0"/>
              <w:rPr>
                <w:sz w:val="18"/>
                <w:szCs w:val="18"/>
              </w:rPr>
            </w:pPr>
            <w:r>
              <w:rPr>
                <w:sz w:val="18"/>
              </w:rPr>
              <w:t>Paraguay</w:t>
            </w:r>
          </w:p>
        </w:tc>
        <w:tc>
          <w:tcPr>
            <w:tcW w:w="1628" w:type="dxa"/>
            <w:tcBorders>
              <w:top w:val="nil"/>
              <w:left w:val="nil"/>
              <w:bottom w:val="single" w:sz="4" w:space="0" w:color="auto"/>
              <w:right w:val="single" w:sz="4" w:space="0" w:color="auto"/>
            </w:tcBorders>
            <w:shd w:val="clear" w:color="auto" w:fill="auto"/>
            <w:vAlign w:val="bottom"/>
            <w:hideMark/>
          </w:tcPr>
          <w:p w14:paraId="45BB8466" w14:textId="77777777" w:rsidR="00FE399D" w:rsidRPr="00D1707B" w:rsidRDefault="00FE399D" w:rsidP="00582303">
            <w:pPr>
              <w:pStyle w:val="CBDTableNormal"/>
              <w:spacing w:before="0" w:after="0"/>
              <w:jc w:val="right"/>
              <w:rPr>
                <w:sz w:val="18"/>
                <w:szCs w:val="18"/>
              </w:rPr>
            </w:pPr>
            <w:r>
              <w:rPr>
                <w:sz w:val="18"/>
              </w:rPr>
              <w:t>0,026</w:t>
            </w:r>
          </w:p>
        </w:tc>
        <w:tc>
          <w:tcPr>
            <w:tcW w:w="2198" w:type="dxa"/>
            <w:tcBorders>
              <w:top w:val="nil"/>
              <w:left w:val="nil"/>
              <w:bottom w:val="single" w:sz="4" w:space="0" w:color="auto"/>
              <w:right w:val="single" w:sz="4" w:space="0" w:color="auto"/>
            </w:tcBorders>
            <w:shd w:val="clear" w:color="auto" w:fill="auto"/>
            <w:noWrap/>
            <w:vAlign w:val="bottom"/>
            <w:hideMark/>
          </w:tcPr>
          <w:p w14:paraId="45D32415" w14:textId="77777777" w:rsidR="00FE399D" w:rsidRPr="00D1707B" w:rsidRDefault="00FE399D" w:rsidP="00582303">
            <w:pPr>
              <w:pStyle w:val="CBDTableNormal"/>
              <w:spacing w:before="0" w:after="0"/>
              <w:jc w:val="right"/>
              <w:rPr>
                <w:sz w:val="18"/>
                <w:szCs w:val="18"/>
              </w:rPr>
            </w:pPr>
            <w:r>
              <w:rPr>
                <w:sz w:val="18"/>
              </w:rPr>
              <w:t>0,033</w:t>
            </w:r>
          </w:p>
        </w:tc>
        <w:tc>
          <w:tcPr>
            <w:tcW w:w="1176" w:type="dxa"/>
            <w:tcBorders>
              <w:top w:val="nil"/>
              <w:left w:val="nil"/>
              <w:bottom w:val="single" w:sz="4" w:space="0" w:color="auto"/>
              <w:right w:val="single" w:sz="4" w:space="0" w:color="auto"/>
            </w:tcBorders>
            <w:shd w:val="clear" w:color="auto" w:fill="auto"/>
            <w:noWrap/>
            <w:vAlign w:val="bottom"/>
            <w:hideMark/>
          </w:tcPr>
          <w:p w14:paraId="501C0A1A" w14:textId="77777777" w:rsidR="00FE399D" w:rsidRPr="00D1707B" w:rsidRDefault="00FE399D" w:rsidP="00582303">
            <w:pPr>
              <w:pStyle w:val="CBDTableNormal"/>
              <w:spacing w:before="0" w:after="0"/>
              <w:jc w:val="right"/>
              <w:rPr>
                <w:sz w:val="18"/>
                <w:szCs w:val="18"/>
              </w:rPr>
            </w:pPr>
            <w:r>
              <w:rPr>
                <w:sz w:val="18"/>
              </w:rPr>
              <w:t>4 576</w:t>
            </w:r>
          </w:p>
        </w:tc>
        <w:tc>
          <w:tcPr>
            <w:tcW w:w="1461" w:type="dxa"/>
            <w:tcBorders>
              <w:top w:val="nil"/>
              <w:left w:val="nil"/>
              <w:bottom w:val="single" w:sz="4" w:space="0" w:color="auto"/>
              <w:right w:val="single" w:sz="4" w:space="0" w:color="auto"/>
            </w:tcBorders>
            <w:shd w:val="clear" w:color="auto" w:fill="auto"/>
            <w:noWrap/>
            <w:vAlign w:val="bottom"/>
            <w:hideMark/>
          </w:tcPr>
          <w:p w14:paraId="5EBC646E" w14:textId="77777777" w:rsidR="00FE399D" w:rsidRPr="00D1707B" w:rsidRDefault="00FE399D" w:rsidP="00582303">
            <w:pPr>
              <w:pStyle w:val="CBDTableNormal"/>
              <w:spacing w:before="0" w:after="0"/>
              <w:jc w:val="right"/>
              <w:rPr>
                <w:sz w:val="18"/>
                <w:szCs w:val="18"/>
              </w:rPr>
            </w:pPr>
            <w:r>
              <w:rPr>
                <w:sz w:val="18"/>
              </w:rPr>
              <w:t>4 889</w:t>
            </w:r>
          </w:p>
        </w:tc>
        <w:tc>
          <w:tcPr>
            <w:tcW w:w="1080" w:type="dxa"/>
            <w:tcBorders>
              <w:top w:val="nil"/>
              <w:left w:val="nil"/>
              <w:bottom w:val="single" w:sz="4" w:space="0" w:color="auto"/>
              <w:right w:val="single" w:sz="4" w:space="0" w:color="auto"/>
            </w:tcBorders>
            <w:shd w:val="clear" w:color="auto" w:fill="auto"/>
            <w:noWrap/>
            <w:vAlign w:val="bottom"/>
            <w:hideMark/>
          </w:tcPr>
          <w:p w14:paraId="7C65B9C2" w14:textId="77777777" w:rsidR="00FE399D" w:rsidRPr="00D1707B" w:rsidRDefault="00FE399D" w:rsidP="00582303">
            <w:pPr>
              <w:pStyle w:val="CBDTableNormal"/>
              <w:spacing w:before="0" w:after="0"/>
              <w:jc w:val="right"/>
              <w:rPr>
                <w:sz w:val="18"/>
                <w:szCs w:val="18"/>
              </w:rPr>
            </w:pPr>
            <w:r>
              <w:rPr>
                <w:sz w:val="18"/>
              </w:rPr>
              <w:t>9 465</w:t>
            </w:r>
          </w:p>
        </w:tc>
      </w:tr>
      <w:tr w:rsidR="00FE399D" w:rsidRPr="00D1707B" w14:paraId="0C1908F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18C529F" w14:textId="77777777" w:rsidR="00FE399D" w:rsidRPr="00D1707B" w:rsidRDefault="00FE399D" w:rsidP="00582303">
            <w:pPr>
              <w:pStyle w:val="CBDTableNormal"/>
              <w:spacing w:before="0" w:after="0"/>
              <w:rPr>
                <w:sz w:val="18"/>
                <w:szCs w:val="18"/>
              </w:rPr>
            </w:pPr>
            <w:r>
              <w:rPr>
                <w:sz w:val="18"/>
              </w:rPr>
              <w:t>Perú</w:t>
            </w:r>
          </w:p>
        </w:tc>
        <w:tc>
          <w:tcPr>
            <w:tcW w:w="1628" w:type="dxa"/>
            <w:tcBorders>
              <w:top w:val="nil"/>
              <w:left w:val="nil"/>
              <w:bottom w:val="single" w:sz="4" w:space="0" w:color="auto"/>
              <w:right w:val="single" w:sz="4" w:space="0" w:color="auto"/>
            </w:tcBorders>
            <w:shd w:val="clear" w:color="auto" w:fill="auto"/>
            <w:vAlign w:val="bottom"/>
            <w:hideMark/>
          </w:tcPr>
          <w:p w14:paraId="7F4A4FA9" w14:textId="77777777" w:rsidR="00FE399D" w:rsidRPr="00D1707B" w:rsidRDefault="00FE399D" w:rsidP="00582303">
            <w:pPr>
              <w:pStyle w:val="CBDTableNormal"/>
              <w:spacing w:before="0" w:after="0"/>
              <w:jc w:val="right"/>
              <w:rPr>
                <w:sz w:val="18"/>
                <w:szCs w:val="18"/>
              </w:rPr>
            </w:pPr>
            <w:r>
              <w:rPr>
                <w:sz w:val="18"/>
              </w:rPr>
              <w:t>0,163</w:t>
            </w:r>
          </w:p>
        </w:tc>
        <w:tc>
          <w:tcPr>
            <w:tcW w:w="2198" w:type="dxa"/>
            <w:tcBorders>
              <w:top w:val="nil"/>
              <w:left w:val="nil"/>
              <w:bottom w:val="single" w:sz="4" w:space="0" w:color="auto"/>
              <w:right w:val="single" w:sz="4" w:space="0" w:color="auto"/>
            </w:tcBorders>
            <w:shd w:val="clear" w:color="auto" w:fill="auto"/>
            <w:noWrap/>
            <w:vAlign w:val="bottom"/>
            <w:hideMark/>
          </w:tcPr>
          <w:p w14:paraId="60DF058C" w14:textId="77777777" w:rsidR="00FE399D" w:rsidRPr="00D1707B" w:rsidRDefault="00FE399D" w:rsidP="00582303">
            <w:pPr>
              <w:pStyle w:val="CBDTableNormal"/>
              <w:spacing w:before="0" w:after="0"/>
              <w:jc w:val="right"/>
              <w:rPr>
                <w:sz w:val="18"/>
                <w:szCs w:val="18"/>
              </w:rPr>
            </w:pPr>
            <w:r>
              <w:rPr>
                <w:sz w:val="18"/>
              </w:rPr>
              <w:t>0,204</w:t>
            </w:r>
          </w:p>
        </w:tc>
        <w:tc>
          <w:tcPr>
            <w:tcW w:w="1176" w:type="dxa"/>
            <w:tcBorders>
              <w:top w:val="nil"/>
              <w:left w:val="nil"/>
              <w:bottom w:val="single" w:sz="4" w:space="0" w:color="auto"/>
              <w:right w:val="single" w:sz="4" w:space="0" w:color="auto"/>
            </w:tcBorders>
            <w:shd w:val="clear" w:color="auto" w:fill="auto"/>
            <w:noWrap/>
            <w:vAlign w:val="bottom"/>
            <w:hideMark/>
          </w:tcPr>
          <w:p w14:paraId="66E4BAAD" w14:textId="77777777" w:rsidR="00FE399D" w:rsidRPr="00D1707B" w:rsidRDefault="00FE399D" w:rsidP="00582303">
            <w:pPr>
              <w:pStyle w:val="CBDTableNormal"/>
              <w:spacing w:before="0" w:after="0"/>
              <w:jc w:val="right"/>
              <w:rPr>
                <w:sz w:val="18"/>
                <w:szCs w:val="18"/>
              </w:rPr>
            </w:pPr>
            <w:r>
              <w:rPr>
                <w:sz w:val="18"/>
              </w:rPr>
              <w:t>28 687</w:t>
            </w:r>
          </w:p>
        </w:tc>
        <w:tc>
          <w:tcPr>
            <w:tcW w:w="1461" w:type="dxa"/>
            <w:tcBorders>
              <w:top w:val="nil"/>
              <w:left w:val="nil"/>
              <w:bottom w:val="single" w:sz="4" w:space="0" w:color="auto"/>
              <w:right w:val="single" w:sz="4" w:space="0" w:color="auto"/>
            </w:tcBorders>
            <w:shd w:val="clear" w:color="auto" w:fill="auto"/>
            <w:noWrap/>
            <w:vAlign w:val="bottom"/>
            <w:hideMark/>
          </w:tcPr>
          <w:p w14:paraId="6FDA717C" w14:textId="77777777" w:rsidR="00FE399D" w:rsidRPr="00D1707B" w:rsidRDefault="00FE399D" w:rsidP="00582303">
            <w:pPr>
              <w:pStyle w:val="CBDTableNormal"/>
              <w:spacing w:before="0" w:after="0"/>
              <w:jc w:val="right"/>
              <w:rPr>
                <w:sz w:val="18"/>
                <w:szCs w:val="18"/>
              </w:rPr>
            </w:pPr>
            <w:r>
              <w:rPr>
                <w:sz w:val="18"/>
              </w:rPr>
              <w:t>30 650</w:t>
            </w:r>
          </w:p>
        </w:tc>
        <w:tc>
          <w:tcPr>
            <w:tcW w:w="1080" w:type="dxa"/>
            <w:tcBorders>
              <w:top w:val="nil"/>
              <w:left w:val="nil"/>
              <w:bottom w:val="single" w:sz="4" w:space="0" w:color="auto"/>
              <w:right w:val="single" w:sz="4" w:space="0" w:color="auto"/>
            </w:tcBorders>
            <w:shd w:val="clear" w:color="auto" w:fill="auto"/>
            <w:noWrap/>
            <w:vAlign w:val="bottom"/>
            <w:hideMark/>
          </w:tcPr>
          <w:p w14:paraId="2A409ECE" w14:textId="77777777" w:rsidR="00FE399D" w:rsidRPr="00D1707B" w:rsidRDefault="00FE399D" w:rsidP="00582303">
            <w:pPr>
              <w:pStyle w:val="CBDTableNormal"/>
              <w:spacing w:before="0" w:after="0"/>
              <w:jc w:val="right"/>
              <w:rPr>
                <w:sz w:val="18"/>
                <w:szCs w:val="18"/>
              </w:rPr>
            </w:pPr>
            <w:r>
              <w:rPr>
                <w:sz w:val="18"/>
              </w:rPr>
              <w:t>59 337</w:t>
            </w:r>
          </w:p>
        </w:tc>
      </w:tr>
      <w:tr w:rsidR="00FE399D" w:rsidRPr="00D1707B" w14:paraId="1C3530E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7790A06" w14:textId="77777777" w:rsidR="00FE399D" w:rsidRPr="00D1707B" w:rsidRDefault="00FE399D" w:rsidP="00582303">
            <w:pPr>
              <w:pStyle w:val="CBDTableNormal"/>
              <w:spacing w:before="0" w:after="0"/>
              <w:rPr>
                <w:sz w:val="18"/>
                <w:szCs w:val="18"/>
              </w:rPr>
            </w:pPr>
            <w:r>
              <w:rPr>
                <w:sz w:val="18"/>
              </w:rPr>
              <w:t>Polonia</w:t>
            </w:r>
          </w:p>
        </w:tc>
        <w:tc>
          <w:tcPr>
            <w:tcW w:w="1628" w:type="dxa"/>
            <w:tcBorders>
              <w:top w:val="nil"/>
              <w:left w:val="nil"/>
              <w:bottom w:val="single" w:sz="4" w:space="0" w:color="auto"/>
              <w:right w:val="single" w:sz="4" w:space="0" w:color="auto"/>
            </w:tcBorders>
            <w:shd w:val="clear" w:color="auto" w:fill="auto"/>
            <w:vAlign w:val="bottom"/>
            <w:hideMark/>
          </w:tcPr>
          <w:p w14:paraId="3982676A" w14:textId="77777777" w:rsidR="00FE399D" w:rsidRPr="00D1707B" w:rsidRDefault="00FE399D" w:rsidP="00582303">
            <w:pPr>
              <w:pStyle w:val="CBDTableNormal"/>
              <w:spacing w:before="0" w:after="0"/>
              <w:jc w:val="right"/>
              <w:rPr>
                <w:sz w:val="18"/>
                <w:szCs w:val="18"/>
              </w:rPr>
            </w:pPr>
            <w:r>
              <w:rPr>
                <w:sz w:val="18"/>
              </w:rPr>
              <w:t>0,837</w:t>
            </w:r>
          </w:p>
        </w:tc>
        <w:tc>
          <w:tcPr>
            <w:tcW w:w="2198" w:type="dxa"/>
            <w:tcBorders>
              <w:top w:val="nil"/>
              <w:left w:val="nil"/>
              <w:bottom w:val="single" w:sz="4" w:space="0" w:color="auto"/>
              <w:right w:val="single" w:sz="4" w:space="0" w:color="auto"/>
            </w:tcBorders>
            <w:shd w:val="clear" w:color="auto" w:fill="auto"/>
            <w:noWrap/>
            <w:vAlign w:val="bottom"/>
            <w:hideMark/>
          </w:tcPr>
          <w:p w14:paraId="5AC6222D" w14:textId="77777777" w:rsidR="00FE399D" w:rsidRPr="00D1707B" w:rsidRDefault="00FE399D" w:rsidP="00582303">
            <w:pPr>
              <w:pStyle w:val="CBDTableNormal"/>
              <w:spacing w:before="0" w:after="0"/>
              <w:jc w:val="right"/>
              <w:rPr>
                <w:sz w:val="18"/>
                <w:szCs w:val="18"/>
              </w:rPr>
            </w:pPr>
            <w:r>
              <w:rPr>
                <w:sz w:val="18"/>
              </w:rPr>
              <w:t>1,046</w:t>
            </w:r>
          </w:p>
        </w:tc>
        <w:tc>
          <w:tcPr>
            <w:tcW w:w="1176" w:type="dxa"/>
            <w:tcBorders>
              <w:top w:val="nil"/>
              <w:left w:val="nil"/>
              <w:bottom w:val="single" w:sz="4" w:space="0" w:color="auto"/>
              <w:right w:val="single" w:sz="4" w:space="0" w:color="auto"/>
            </w:tcBorders>
            <w:shd w:val="clear" w:color="auto" w:fill="auto"/>
            <w:noWrap/>
            <w:vAlign w:val="bottom"/>
            <w:hideMark/>
          </w:tcPr>
          <w:p w14:paraId="7E19FBED" w14:textId="77777777" w:rsidR="00FE399D" w:rsidRPr="00D1707B" w:rsidRDefault="00FE399D" w:rsidP="00582303">
            <w:pPr>
              <w:pStyle w:val="CBDTableNormal"/>
              <w:spacing w:before="0" w:after="0"/>
              <w:jc w:val="right"/>
              <w:rPr>
                <w:sz w:val="18"/>
                <w:szCs w:val="18"/>
              </w:rPr>
            </w:pPr>
            <w:r>
              <w:rPr>
                <w:sz w:val="18"/>
              </w:rPr>
              <w:t>147 307</w:t>
            </w:r>
          </w:p>
        </w:tc>
        <w:tc>
          <w:tcPr>
            <w:tcW w:w="1461" w:type="dxa"/>
            <w:tcBorders>
              <w:top w:val="nil"/>
              <w:left w:val="nil"/>
              <w:bottom w:val="single" w:sz="4" w:space="0" w:color="auto"/>
              <w:right w:val="single" w:sz="4" w:space="0" w:color="auto"/>
            </w:tcBorders>
            <w:shd w:val="clear" w:color="auto" w:fill="auto"/>
            <w:noWrap/>
            <w:vAlign w:val="bottom"/>
            <w:hideMark/>
          </w:tcPr>
          <w:p w14:paraId="45E29C4C" w14:textId="77777777" w:rsidR="00FE399D" w:rsidRPr="00D1707B" w:rsidRDefault="00FE399D" w:rsidP="00582303">
            <w:pPr>
              <w:pStyle w:val="CBDTableNormal"/>
              <w:spacing w:before="0" w:after="0"/>
              <w:jc w:val="right"/>
              <w:rPr>
                <w:sz w:val="18"/>
                <w:szCs w:val="18"/>
              </w:rPr>
            </w:pPr>
            <w:r>
              <w:rPr>
                <w:sz w:val="18"/>
              </w:rPr>
              <w:t>157 387</w:t>
            </w:r>
          </w:p>
        </w:tc>
        <w:tc>
          <w:tcPr>
            <w:tcW w:w="1080" w:type="dxa"/>
            <w:tcBorders>
              <w:top w:val="nil"/>
              <w:left w:val="nil"/>
              <w:bottom w:val="single" w:sz="4" w:space="0" w:color="auto"/>
              <w:right w:val="single" w:sz="4" w:space="0" w:color="auto"/>
            </w:tcBorders>
            <w:shd w:val="clear" w:color="auto" w:fill="auto"/>
            <w:noWrap/>
            <w:vAlign w:val="bottom"/>
            <w:hideMark/>
          </w:tcPr>
          <w:p w14:paraId="2192EA5A" w14:textId="77777777" w:rsidR="00FE399D" w:rsidRPr="00D1707B" w:rsidRDefault="00FE399D" w:rsidP="00582303">
            <w:pPr>
              <w:pStyle w:val="CBDTableNormal"/>
              <w:spacing w:before="0" w:after="0"/>
              <w:jc w:val="right"/>
              <w:rPr>
                <w:sz w:val="18"/>
                <w:szCs w:val="18"/>
              </w:rPr>
            </w:pPr>
            <w:r>
              <w:rPr>
                <w:sz w:val="18"/>
              </w:rPr>
              <w:t>304 694</w:t>
            </w:r>
          </w:p>
        </w:tc>
      </w:tr>
      <w:tr w:rsidR="00FE399D" w:rsidRPr="00D1707B" w14:paraId="3ABE635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FA1B5DB" w14:textId="77777777" w:rsidR="00FE399D" w:rsidRPr="00D1707B" w:rsidRDefault="00FE399D" w:rsidP="00582303">
            <w:pPr>
              <w:pStyle w:val="CBDTableNormal"/>
              <w:spacing w:before="0" w:after="0"/>
              <w:rPr>
                <w:sz w:val="18"/>
                <w:szCs w:val="18"/>
              </w:rPr>
            </w:pPr>
            <w:r>
              <w:rPr>
                <w:sz w:val="18"/>
              </w:rPr>
              <w:t>Portugal</w:t>
            </w:r>
          </w:p>
        </w:tc>
        <w:tc>
          <w:tcPr>
            <w:tcW w:w="1628" w:type="dxa"/>
            <w:tcBorders>
              <w:top w:val="nil"/>
              <w:left w:val="nil"/>
              <w:bottom w:val="single" w:sz="4" w:space="0" w:color="auto"/>
              <w:right w:val="single" w:sz="4" w:space="0" w:color="auto"/>
            </w:tcBorders>
            <w:shd w:val="clear" w:color="auto" w:fill="auto"/>
            <w:vAlign w:val="bottom"/>
            <w:hideMark/>
          </w:tcPr>
          <w:p w14:paraId="39CA6548" w14:textId="77777777" w:rsidR="00FE399D" w:rsidRPr="00D1707B" w:rsidRDefault="00FE399D" w:rsidP="00582303">
            <w:pPr>
              <w:pStyle w:val="CBDTableNormal"/>
              <w:spacing w:before="0" w:after="0"/>
              <w:jc w:val="right"/>
              <w:rPr>
                <w:sz w:val="18"/>
                <w:szCs w:val="18"/>
              </w:rPr>
            </w:pPr>
            <w:r>
              <w:rPr>
                <w:sz w:val="18"/>
              </w:rPr>
              <w:t>0,353</w:t>
            </w:r>
          </w:p>
        </w:tc>
        <w:tc>
          <w:tcPr>
            <w:tcW w:w="2198" w:type="dxa"/>
            <w:tcBorders>
              <w:top w:val="nil"/>
              <w:left w:val="nil"/>
              <w:bottom w:val="single" w:sz="4" w:space="0" w:color="auto"/>
              <w:right w:val="single" w:sz="4" w:space="0" w:color="auto"/>
            </w:tcBorders>
            <w:shd w:val="clear" w:color="auto" w:fill="auto"/>
            <w:noWrap/>
            <w:vAlign w:val="bottom"/>
            <w:hideMark/>
          </w:tcPr>
          <w:p w14:paraId="249C4304" w14:textId="77777777" w:rsidR="00FE399D" w:rsidRPr="00D1707B" w:rsidRDefault="00FE399D" w:rsidP="00582303">
            <w:pPr>
              <w:pStyle w:val="CBDTableNormal"/>
              <w:spacing w:before="0" w:after="0"/>
              <w:jc w:val="right"/>
              <w:rPr>
                <w:sz w:val="18"/>
                <w:szCs w:val="18"/>
              </w:rPr>
            </w:pPr>
            <w:r>
              <w:rPr>
                <w:sz w:val="18"/>
              </w:rPr>
              <w:t>0,441</w:t>
            </w:r>
          </w:p>
        </w:tc>
        <w:tc>
          <w:tcPr>
            <w:tcW w:w="1176" w:type="dxa"/>
            <w:tcBorders>
              <w:top w:val="nil"/>
              <w:left w:val="nil"/>
              <w:bottom w:val="single" w:sz="4" w:space="0" w:color="auto"/>
              <w:right w:val="single" w:sz="4" w:space="0" w:color="auto"/>
            </w:tcBorders>
            <w:shd w:val="clear" w:color="auto" w:fill="auto"/>
            <w:noWrap/>
            <w:vAlign w:val="bottom"/>
            <w:hideMark/>
          </w:tcPr>
          <w:p w14:paraId="19C3AB59" w14:textId="77777777" w:rsidR="00FE399D" w:rsidRPr="00D1707B" w:rsidRDefault="00FE399D" w:rsidP="00582303">
            <w:pPr>
              <w:pStyle w:val="CBDTableNormal"/>
              <w:spacing w:before="0" w:after="0"/>
              <w:jc w:val="right"/>
              <w:rPr>
                <w:sz w:val="18"/>
                <w:szCs w:val="18"/>
              </w:rPr>
            </w:pPr>
            <w:r>
              <w:rPr>
                <w:sz w:val="18"/>
              </w:rPr>
              <w:t>62 126</w:t>
            </w:r>
          </w:p>
        </w:tc>
        <w:tc>
          <w:tcPr>
            <w:tcW w:w="1461" w:type="dxa"/>
            <w:tcBorders>
              <w:top w:val="nil"/>
              <w:left w:val="nil"/>
              <w:bottom w:val="single" w:sz="4" w:space="0" w:color="auto"/>
              <w:right w:val="single" w:sz="4" w:space="0" w:color="auto"/>
            </w:tcBorders>
            <w:shd w:val="clear" w:color="auto" w:fill="auto"/>
            <w:noWrap/>
            <w:vAlign w:val="bottom"/>
            <w:hideMark/>
          </w:tcPr>
          <w:p w14:paraId="02914655" w14:textId="77777777" w:rsidR="00FE399D" w:rsidRPr="00D1707B" w:rsidRDefault="00FE399D" w:rsidP="00582303">
            <w:pPr>
              <w:pStyle w:val="CBDTableNormal"/>
              <w:spacing w:before="0" w:after="0"/>
              <w:jc w:val="right"/>
              <w:rPr>
                <w:sz w:val="18"/>
                <w:szCs w:val="18"/>
              </w:rPr>
            </w:pPr>
            <w:r>
              <w:rPr>
                <w:sz w:val="18"/>
              </w:rPr>
              <w:t>66 377</w:t>
            </w:r>
          </w:p>
        </w:tc>
        <w:tc>
          <w:tcPr>
            <w:tcW w:w="1080" w:type="dxa"/>
            <w:tcBorders>
              <w:top w:val="nil"/>
              <w:left w:val="nil"/>
              <w:bottom w:val="single" w:sz="4" w:space="0" w:color="auto"/>
              <w:right w:val="single" w:sz="4" w:space="0" w:color="auto"/>
            </w:tcBorders>
            <w:shd w:val="clear" w:color="auto" w:fill="auto"/>
            <w:noWrap/>
            <w:vAlign w:val="bottom"/>
            <w:hideMark/>
          </w:tcPr>
          <w:p w14:paraId="1A43EBEB" w14:textId="77777777" w:rsidR="00FE399D" w:rsidRPr="00D1707B" w:rsidRDefault="00FE399D" w:rsidP="00582303">
            <w:pPr>
              <w:pStyle w:val="CBDTableNormal"/>
              <w:spacing w:before="0" w:after="0"/>
              <w:jc w:val="right"/>
              <w:rPr>
                <w:sz w:val="18"/>
                <w:szCs w:val="18"/>
              </w:rPr>
            </w:pPr>
            <w:r>
              <w:rPr>
                <w:sz w:val="18"/>
              </w:rPr>
              <w:t>128 503</w:t>
            </w:r>
          </w:p>
        </w:tc>
      </w:tr>
      <w:tr w:rsidR="00FE399D" w:rsidRPr="00D1707B" w14:paraId="5C8A4C7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4F54689" w14:textId="77777777" w:rsidR="00FE399D" w:rsidRPr="00D1707B" w:rsidRDefault="00FE399D" w:rsidP="00582303">
            <w:pPr>
              <w:pStyle w:val="CBDTableNormal"/>
              <w:spacing w:before="0" w:after="0"/>
              <w:rPr>
                <w:sz w:val="18"/>
                <w:szCs w:val="18"/>
              </w:rPr>
            </w:pPr>
            <w:r>
              <w:rPr>
                <w:sz w:val="18"/>
              </w:rPr>
              <w:t>Qatar</w:t>
            </w:r>
          </w:p>
        </w:tc>
        <w:tc>
          <w:tcPr>
            <w:tcW w:w="1628" w:type="dxa"/>
            <w:tcBorders>
              <w:top w:val="nil"/>
              <w:left w:val="nil"/>
              <w:bottom w:val="single" w:sz="4" w:space="0" w:color="auto"/>
              <w:right w:val="single" w:sz="4" w:space="0" w:color="auto"/>
            </w:tcBorders>
            <w:shd w:val="clear" w:color="auto" w:fill="auto"/>
            <w:vAlign w:val="bottom"/>
            <w:hideMark/>
          </w:tcPr>
          <w:p w14:paraId="409FD860" w14:textId="77777777" w:rsidR="00FE399D" w:rsidRPr="00D1707B" w:rsidRDefault="00FE399D" w:rsidP="00582303">
            <w:pPr>
              <w:pStyle w:val="CBDTableNormal"/>
              <w:spacing w:before="0" w:after="0"/>
              <w:jc w:val="right"/>
              <w:rPr>
                <w:sz w:val="18"/>
                <w:szCs w:val="18"/>
              </w:rPr>
            </w:pPr>
            <w:r>
              <w:rPr>
                <w:sz w:val="18"/>
              </w:rPr>
              <w:t>0,269</w:t>
            </w:r>
          </w:p>
        </w:tc>
        <w:tc>
          <w:tcPr>
            <w:tcW w:w="2198" w:type="dxa"/>
            <w:tcBorders>
              <w:top w:val="nil"/>
              <w:left w:val="nil"/>
              <w:bottom w:val="single" w:sz="4" w:space="0" w:color="auto"/>
              <w:right w:val="single" w:sz="4" w:space="0" w:color="auto"/>
            </w:tcBorders>
            <w:shd w:val="clear" w:color="auto" w:fill="auto"/>
            <w:noWrap/>
            <w:vAlign w:val="bottom"/>
            <w:hideMark/>
          </w:tcPr>
          <w:p w14:paraId="4F3CB636" w14:textId="77777777" w:rsidR="00FE399D" w:rsidRPr="00D1707B" w:rsidRDefault="00FE399D" w:rsidP="00582303">
            <w:pPr>
              <w:pStyle w:val="CBDTableNormal"/>
              <w:spacing w:before="0" w:after="0"/>
              <w:jc w:val="right"/>
              <w:rPr>
                <w:sz w:val="18"/>
                <w:szCs w:val="18"/>
              </w:rPr>
            </w:pPr>
            <w:r>
              <w:rPr>
                <w:sz w:val="18"/>
              </w:rPr>
              <w:t>0,336</w:t>
            </w:r>
          </w:p>
        </w:tc>
        <w:tc>
          <w:tcPr>
            <w:tcW w:w="1176" w:type="dxa"/>
            <w:tcBorders>
              <w:top w:val="nil"/>
              <w:left w:val="nil"/>
              <w:bottom w:val="single" w:sz="4" w:space="0" w:color="auto"/>
              <w:right w:val="single" w:sz="4" w:space="0" w:color="auto"/>
            </w:tcBorders>
            <w:shd w:val="clear" w:color="auto" w:fill="auto"/>
            <w:noWrap/>
            <w:vAlign w:val="bottom"/>
            <w:hideMark/>
          </w:tcPr>
          <w:p w14:paraId="67271F90" w14:textId="77777777" w:rsidR="00FE399D" w:rsidRPr="00D1707B" w:rsidRDefault="00FE399D" w:rsidP="00582303">
            <w:pPr>
              <w:pStyle w:val="CBDTableNormal"/>
              <w:spacing w:before="0" w:after="0"/>
              <w:jc w:val="right"/>
              <w:rPr>
                <w:sz w:val="18"/>
                <w:szCs w:val="18"/>
              </w:rPr>
            </w:pPr>
            <w:r>
              <w:rPr>
                <w:sz w:val="18"/>
              </w:rPr>
              <w:t>47 343</w:t>
            </w:r>
          </w:p>
        </w:tc>
        <w:tc>
          <w:tcPr>
            <w:tcW w:w="1461" w:type="dxa"/>
            <w:tcBorders>
              <w:top w:val="nil"/>
              <w:left w:val="nil"/>
              <w:bottom w:val="single" w:sz="4" w:space="0" w:color="auto"/>
              <w:right w:val="single" w:sz="4" w:space="0" w:color="auto"/>
            </w:tcBorders>
            <w:shd w:val="clear" w:color="auto" w:fill="auto"/>
            <w:noWrap/>
            <w:vAlign w:val="bottom"/>
            <w:hideMark/>
          </w:tcPr>
          <w:p w14:paraId="62F2D15E" w14:textId="77777777" w:rsidR="00FE399D" w:rsidRPr="00D1707B" w:rsidRDefault="00FE399D" w:rsidP="00582303">
            <w:pPr>
              <w:pStyle w:val="CBDTableNormal"/>
              <w:spacing w:before="0" w:after="0"/>
              <w:jc w:val="right"/>
              <w:rPr>
                <w:sz w:val="18"/>
                <w:szCs w:val="18"/>
              </w:rPr>
            </w:pPr>
            <w:r>
              <w:rPr>
                <w:sz w:val="18"/>
              </w:rPr>
              <w:t>50 582</w:t>
            </w:r>
          </w:p>
        </w:tc>
        <w:tc>
          <w:tcPr>
            <w:tcW w:w="1080" w:type="dxa"/>
            <w:tcBorders>
              <w:top w:val="nil"/>
              <w:left w:val="nil"/>
              <w:bottom w:val="single" w:sz="4" w:space="0" w:color="auto"/>
              <w:right w:val="single" w:sz="4" w:space="0" w:color="auto"/>
            </w:tcBorders>
            <w:shd w:val="clear" w:color="auto" w:fill="auto"/>
            <w:noWrap/>
            <w:vAlign w:val="bottom"/>
            <w:hideMark/>
          </w:tcPr>
          <w:p w14:paraId="1856FF3C" w14:textId="77777777" w:rsidR="00FE399D" w:rsidRPr="00D1707B" w:rsidRDefault="00FE399D" w:rsidP="00582303">
            <w:pPr>
              <w:pStyle w:val="CBDTableNormal"/>
              <w:spacing w:before="0" w:after="0"/>
              <w:jc w:val="right"/>
              <w:rPr>
                <w:sz w:val="18"/>
                <w:szCs w:val="18"/>
              </w:rPr>
            </w:pPr>
            <w:r>
              <w:rPr>
                <w:sz w:val="18"/>
              </w:rPr>
              <w:t>97 924</w:t>
            </w:r>
          </w:p>
        </w:tc>
      </w:tr>
      <w:tr w:rsidR="00FE399D" w:rsidRPr="00D1707B" w14:paraId="7BEC712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0A4E08D" w14:textId="77777777" w:rsidR="00FE399D" w:rsidRPr="00D1707B" w:rsidRDefault="00FE399D" w:rsidP="00582303">
            <w:pPr>
              <w:pStyle w:val="CBDTableNormal"/>
              <w:tabs>
                <w:tab w:val="clear" w:pos="567"/>
                <w:tab w:val="left" w:pos="178"/>
              </w:tabs>
              <w:spacing w:before="0" w:after="0"/>
              <w:ind w:left="144" w:hanging="144"/>
              <w:rPr>
                <w:sz w:val="18"/>
                <w:szCs w:val="18"/>
              </w:rPr>
            </w:pPr>
            <w:r>
              <w:rPr>
                <w:sz w:val="18"/>
              </w:rPr>
              <w:t>Reino Unido de Gran Bretaña e Irlanda del Norte</w:t>
            </w:r>
          </w:p>
        </w:tc>
        <w:tc>
          <w:tcPr>
            <w:tcW w:w="1628" w:type="dxa"/>
            <w:tcBorders>
              <w:top w:val="nil"/>
              <w:left w:val="nil"/>
              <w:bottom w:val="single" w:sz="4" w:space="0" w:color="auto"/>
              <w:right w:val="single" w:sz="4" w:space="0" w:color="auto"/>
            </w:tcBorders>
            <w:shd w:val="clear" w:color="auto" w:fill="auto"/>
            <w:vAlign w:val="bottom"/>
            <w:hideMark/>
          </w:tcPr>
          <w:p w14:paraId="10476136" w14:textId="77777777" w:rsidR="00FE399D" w:rsidRPr="00D1707B" w:rsidRDefault="00FE399D" w:rsidP="00582303">
            <w:pPr>
              <w:pStyle w:val="CBDTableNormal"/>
              <w:spacing w:before="0" w:after="0"/>
              <w:jc w:val="right"/>
              <w:rPr>
                <w:sz w:val="18"/>
                <w:szCs w:val="18"/>
              </w:rPr>
            </w:pPr>
            <w:r>
              <w:rPr>
                <w:sz w:val="18"/>
              </w:rPr>
              <w:t>4,375</w:t>
            </w:r>
          </w:p>
        </w:tc>
        <w:tc>
          <w:tcPr>
            <w:tcW w:w="2198" w:type="dxa"/>
            <w:tcBorders>
              <w:top w:val="nil"/>
              <w:left w:val="nil"/>
              <w:bottom w:val="single" w:sz="4" w:space="0" w:color="auto"/>
              <w:right w:val="single" w:sz="4" w:space="0" w:color="auto"/>
            </w:tcBorders>
            <w:shd w:val="clear" w:color="auto" w:fill="auto"/>
            <w:noWrap/>
            <w:vAlign w:val="bottom"/>
            <w:hideMark/>
          </w:tcPr>
          <w:p w14:paraId="1D68FBE2" w14:textId="77777777" w:rsidR="00FE399D" w:rsidRPr="00D1707B" w:rsidRDefault="00FE399D" w:rsidP="00582303">
            <w:pPr>
              <w:pStyle w:val="CBDTableNormal"/>
              <w:spacing w:before="0" w:after="0"/>
              <w:jc w:val="right"/>
              <w:rPr>
                <w:sz w:val="18"/>
                <w:szCs w:val="18"/>
              </w:rPr>
            </w:pPr>
            <w:r>
              <w:rPr>
                <w:sz w:val="18"/>
              </w:rPr>
              <w:t>5,469</w:t>
            </w:r>
          </w:p>
        </w:tc>
        <w:tc>
          <w:tcPr>
            <w:tcW w:w="1176" w:type="dxa"/>
            <w:tcBorders>
              <w:top w:val="nil"/>
              <w:left w:val="nil"/>
              <w:bottom w:val="single" w:sz="4" w:space="0" w:color="auto"/>
              <w:right w:val="single" w:sz="4" w:space="0" w:color="auto"/>
            </w:tcBorders>
            <w:shd w:val="clear" w:color="auto" w:fill="auto"/>
            <w:noWrap/>
            <w:vAlign w:val="bottom"/>
            <w:hideMark/>
          </w:tcPr>
          <w:p w14:paraId="5F93C778" w14:textId="77777777" w:rsidR="00FE399D" w:rsidRPr="00D1707B" w:rsidRDefault="00FE399D" w:rsidP="00582303">
            <w:pPr>
              <w:pStyle w:val="CBDTableNormal"/>
              <w:spacing w:before="0" w:after="0"/>
              <w:jc w:val="right"/>
              <w:rPr>
                <w:sz w:val="18"/>
                <w:szCs w:val="18"/>
              </w:rPr>
            </w:pPr>
            <w:r>
              <w:rPr>
                <w:sz w:val="18"/>
              </w:rPr>
              <w:t>769 976</w:t>
            </w:r>
          </w:p>
        </w:tc>
        <w:tc>
          <w:tcPr>
            <w:tcW w:w="1461" w:type="dxa"/>
            <w:tcBorders>
              <w:top w:val="nil"/>
              <w:left w:val="nil"/>
              <w:bottom w:val="single" w:sz="4" w:space="0" w:color="auto"/>
              <w:right w:val="single" w:sz="4" w:space="0" w:color="auto"/>
            </w:tcBorders>
            <w:shd w:val="clear" w:color="auto" w:fill="auto"/>
            <w:noWrap/>
            <w:vAlign w:val="bottom"/>
            <w:hideMark/>
          </w:tcPr>
          <w:p w14:paraId="4358338A" w14:textId="77777777" w:rsidR="00FE399D" w:rsidRPr="00D1707B" w:rsidRDefault="00FE399D" w:rsidP="00582303">
            <w:pPr>
              <w:pStyle w:val="CBDTableNormal"/>
              <w:spacing w:before="0" w:after="0"/>
              <w:jc w:val="right"/>
              <w:rPr>
                <w:sz w:val="18"/>
                <w:szCs w:val="18"/>
              </w:rPr>
            </w:pPr>
            <w:r>
              <w:rPr>
                <w:sz w:val="18"/>
              </w:rPr>
              <w:t>822 660</w:t>
            </w:r>
          </w:p>
        </w:tc>
        <w:tc>
          <w:tcPr>
            <w:tcW w:w="1080" w:type="dxa"/>
            <w:tcBorders>
              <w:top w:val="nil"/>
              <w:left w:val="nil"/>
              <w:bottom w:val="single" w:sz="4" w:space="0" w:color="auto"/>
              <w:right w:val="single" w:sz="4" w:space="0" w:color="auto"/>
            </w:tcBorders>
            <w:shd w:val="clear" w:color="auto" w:fill="auto"/>
            <w:noWrap/>
            <w:vAlign w:val="bottom"/>
            <w:hideMark/>
          </w:tcPr>
          <w:p w14:paraId="29BE1305" w14:textId="77777777" w:rsidR="00FE399D" w:rsidRPr="00D1707B" w:rsidRDefault="00FE399D" w:rsidP="00582303">
            <w:pPr>
              <w:pStyle w:val="CBDTableNormal"/>
              <w:spacing w:before="0" w:after="0"/>
              <w:jc w:val="right"/>
              <w:rPr>
                <w:sz w:val="18"/>
                <w:szCs w:val="18"/>
              </w:rPr>
            </w:pPr>
            <w:r>
              <w:rPr>
                <w:sz w:val="18"/>
              </w:rPr>
              <w:t>1 592 635</w:t>
            </w:r>
          </w:p>
        </w:tc>
      </w:tr>
      <w:tr w:rsidR="00FE399D" w:rsidRPr="00D1707B" w14:paraId="52C4030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8BD7979" w14:textId="77777777" w:rsidR="00FE399D" w:rsidRPr="00D1707B" w:rsidRDefault="00FE399D" w:rsidP="00582303">
            <w:pPr>
              <w:pStyle w:val="CBDTableNormal"/>
              <w:spacing w:before="0" w:after="0"/>
              <w:rPr>
                <w:sz w:val="18"/>
                <w:szCs w:val="18"/>
              </w:rPr>
            </w:pPr>
            <w:r>
              <w:rPr>
                <w:sz w:val="18"/>
              </w:rPr>
              <w:t>República Árabe Siria</w:t>
            </w:r>
          </w:p>
        </w:tc>
        <w:tc>
          <w:tcPr>
            <w:tcW w:w="1628" w:type="dxa"/>
            <w:tcBorders>
              <w:top w:val="nil"/>
              <w:left w:val="nil"/>
              <w:bottom w:val="single" w:sz="4" w:space="0" w:color="auto"/>
              <w:right w:val="single" w:sz="4" w:space="0" w:color="auto"/>
            </w:tcBorders>
            <w:shd w:val="clear" w:color="auto" w:fill="auto"/>
            <w:vAlign w:val="bottom"/>
            <w:hideMark/>
          </w:tcPr>
          <w:p w14:paraId="57E9F97D" w14:textId="77777777" w:rsidR="00FE399D" w:rsidRPr="00D1707B" w:rsidRDefault="00FE399D" w:rsidP="00582303">
            <w:pPr>
              <w:pStyle w:val="CBDTableNormal"/>
              <w:spacing w:before="0" w:after="0"/>
              <w:jc w:val="right"/>
              <w:rPr>
                <w:sz w:val="18"/>
                <w:szCs w:val="18"/>
              </w:rPr>
            </w:pPr>
            <w:r>
              <w:rPr>
                <w:sz w:val="18"/>
              </w:rPr>
              <w:t>0,009</w:t>
            </w:r>
          </w:p>
        </w:tc>
        <w:tc>
          <w:tcPr>
            <w:tcW w:w="2198" w:type="dxa"/>
            <w:tcBorders>
              <w:top w:val="nil"/>
              <w:left w:val="nil"/>
              <w:bottom w:val="single" w:sz="4" w:space="0" w:color="auto"/>
              <w:right w:val="single" w:sz="4" w:space="0" w:color="auto"/>
            </w:tcBorders>
            <w:shd w:val="clear" w:color="auto" w:fill="auto"/>
            <w:noWrap/>
            <w:vAlign w:val="bottom"/>
            <w:hideMark/>
          </w:tcPr>
          <w:p w14:paraId="461504C8" w14:textId="77777777" w:rsidR="00FE399D" w:rsidRPr="00D1707B" w:rsidRDefault="00FE399D" w:rsidP="00582303">
            <w:pPr>
              <w:pStyle w:val="CBDTableNormal"/>
              <w:spacing w:before="0" w:after="0"/>
              <w:jc w:val="right"/>
              <w:rPr>
                <w:sz w:val="18"/>
                <w:szCs w:val="18"/>
              </w:rPr>
            </w:pPr>
            <w:r>
              <w:rPr>
                <w:sz w:val="18"/>
              </w:rPr>
              <w:t>0,011</w:t>
            </w:r>
          </w:p>
        </w:tc>
        <w:tc>
          <w:tcPr>
            <w:tcW w:w="1176" w:type="dxa"/>
            <w:tcBorders>
              <w:top w:val="nil"/>
              <w:left w:val="nil"/>
              <w:bottom w:val="single" w:sz="4" w:space="0" w:color="auto"/>
              <w:right w:val="single" w:sz="4" w:space="0" w:color="auto"/>
            </w:tcBorders>
            <w:shd w:val="clear" w:color="auto" w:fill="auto"/>
            <w:noWrap/>
            <w:vAlign w:val="bottom"/>
            <w:hideMark/>
          </w:tcPr>
          <w:p w14:paraId="2F65345D" w14:textId="77777777" w:rsidR="00FE399D" w:rsidRPr="00D1707B" w:rsidRDefault="00FE399D" w:rsidP="00582303">
            <w:pPr>
              <w:pStyle w:val="CBDTableNormal"/>
              <w:spacing w:before="0" w:after="0"/>
              <w:jc w:val="right"/>
              <w:rPr>
                <w:sz w:val="18"/>
                <w:szCs w:val="18"/>
              </w:rPr>
            </w:pPr>
            <w:r>
              <w:rPr>
                <w:sz w:val="18"/>
              </w:rPr>
              <w:t>1 584</w:t>
            </w:r>
          </w:p>
        </w:tc>
        <w:tc>
          <w:tcPr>
            <w:tcW w:w="1461" w:type="dxa"/>
            <w:tcBorders>
              <w:top w:val="nil"/>
              <w:left w:val="nil"/>
              <w:bottom w:val="single" w:sz="4" w:space="0" w:color="auto"/>
              <w:right w:val="single" w:sz="4" w:space="0" w:color="auto"/>
            </w:tcBorders>
            <w:shd w:val="clear" w:color="auto" w:fill="auto"/>
            <w:noWrap/>
            <w:vAlign w:val="bottom"/>
            <w:hideMark/>
          </w:tcPr>
          <w:p w14:paraId="5896A71B" w14:textId="77777777" w:rsidR="00FE399D" w:rsidRPr="00D1707B" w:rsidRDefault="00FE399D" w:rsidP="00582303">
            <w:pPr>
              <w:pStyle w:val="CBDTableNormal"/>
              <w:spacing w:before="0" w:after="0"/>
              <w:jc w:val="right"/>
              <w:rPr>
                <w:sz w:val="18"/>
                <w:szCs w:val="18"/>
              </w:rPr>
            </w:pPr>
            <w:r>
              <w:rPr>
                <w:sz w:val="18"/>
              </w:rPr>
              <w:t>1 692</w:t>
            </w:r>
          </w:p>
        </w:tc>
        <w:tc>
          <w:tcPr>
            <w:tcW w:w="1080" w:type="dxa"/>
            <w:tcBorders>
              <w:top w:val="nil"/>
              <w:left w:val="nil"/>
              <w:bottom w:val="single" w:sz="4" w:space="0" w:color="auto"/>
              <w:right w:val="single" w:sz="4" w:space="0" w:color="auto"/>
            </w:tcBorders>
            <w:shd w:val="clear" w:color="auto" w:fill="auto"/>
            <w:noWrap/>
            <w:vAlign w:val="bottom"/>
            <w:hideMark/>
          </w:tcPr>
          <w:p w14:paraId="2695900D" w14:textId="77777777" w:rsidR="00FE399D" w:rsidRPr="00D1707B" w:rsidRDefault="00FE399D" w:rsidP="00582303">
            <w:pPr>
              <w:pStyle w:val="CBDTableNormal"/>
              <w:spacing w:before="0" w:after="0"/>
              <w:jc w:val="right"/>
              <w:rPr>
                <w:sz w:val="18"/>
                <w:szCs w:val="18"/>
              </w:rPr>
            </w:pPr>
            <w:r>
              <w:rPr>
                <w:sz w:val="18"/>
              </w:rPr>
              <w:t>3 276</w:t>
            </w:r>
          </w:p>
        </w:tc>
      </w:tr>
      <w:tr w:rsidR="00FE399D" w:rsidRPr="00D1707B" w14:paraId="04F59E7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4B45E16" w14:textId="77777777" w:rsidR="00FE399D" w:rsidRPr="00D1707B" w:rsidRDefault="00FE399D" w:rsidP="00582303">
            <w:pPr>
              <w:pStyle w:val="CBDTableNormal"/>
              <w:tabs>
                <w:tab w:val="clear" w:pos="567"/>
                <w:tab w:val="left" w:pos="178"/>
              </w:tabs>
              <w:spacing w:before="0" w:after="0"/>
              <w:ind w:left="144" w:hanging="144"/>
              <w:rPr>
                <w:sz w:val="18"/>
                <w:szCs w:val="18"/>
              </w:rPr>
            </w:pPr>
            <w:r>
              <w:rPr>
                <w:sz w:val="18"/>
              </w:rPr>
              <w:t>República Centroafricana</w:t>
            </w:r>
          </w:p>
        </w:tc>
        <w:tc>
          <w:tcPr>
            <w:tcW w:w="1628" w:type="dxa"/>
            <w:tcBorders>
              <w:top w:val="nil"/>
              <w:left w:val="nil"/>
              <w:bottom w:val="single" w:sz="4" w:space="0" w:color="auto"/>
              <w:right w:val="single" w:sz="4" w:space="0" w:color="auto"/>
            </w:tcBorders>
            <w:shd w:val="clear" w:color="auto" w:fill="auto"/>
            <w:vAlign w:val="bottom"/>
            <w:hideMark/>
          </w:tcPr>
          <w:p w14:paraId="568A3D38"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105B7546"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1FAEAF6F"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0B8D0739"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3C5ADDA4"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1A4B01C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DCC21ED" w14:textId="77777777" w:rsidR="00FE399D" w:rsidRPr="00D1707B" w:rsidRDefault="00FE399D" w:rsidP="00582303">
            <w:pPr>
              <w:pStyle w:val="CBDTableNormal"/>
              <w:spacing w:before="0" w:after="0"/>
              <w:rPr>
                <w:sz w:val="18"/>
                <w:szCs w:val="18"/>
              </w:rPr>
            </w:pPr>
            <w:r>
              <w:rPr>
                <w:sz w:val="18"/>
              </w:rPr>
              <w:t>República de Corea</w:t>
            </w:r>
          </w:p>
        </w:tc>
        <w:tc>
          <w:tcPr>
            <w:tcW w:w="1628" w:type="dxa"/>
            <w:tcBorders>
              <w:top w:val="nil"/>
              <w:left w:val="nil"/>
              <w:bottom w:val="single" w:sz="4" w:space="0" w:color="auto"/>
              <w:right w:val="single" w:sz="4" w:space="0" w:color="auto"/>
            </w:tcBorders>
            <w:shd w:val="clear" w:color="auto" w:fill="auto"/>
            <w:vAlign w:val="bottom"/>
            <w:hideMark/>
          </w:tcPr>
          <w:p w14:paraId="7B3E68DF" w14:textId="77777777" w:rsidR="00FE399D" w:rsidRPr="00D1707B" w:rsidRDefault="00FE399D" w:rsidP="00582303">
            <w:pPr>
              <w:pStyle w:val="CBDTableNormal"/>
              <w:spacing w:before="0" w:after="0"/>
              <w:jc w:val="right"/>
              <w:rPr>
                <w:sz w:val="18"/>
                <w:szCs w:val="18"/>
              </w:rPr>
            </w:pPr>
            <w:r>
              <w:rPr>
                <w:sz w:val="18"/>
              </w:rPr>
              <w:t>2,574</w:t>
            </w:r>
          </w:p>
        </w:tc>
        <w:tc>
          <w:tcPr>
            <w:tcW w:w="2198" w:type="dxa"/>
            <w:tcBorders>
              <w:top w:val="nil"/>
              <w:left w:val="nil"/>
              <w:bottom w:val="single" w:sz="4" w:space="0" w:color="auto"/>
              <w:right w:val="single" w:sz="4" w:space="0" w:color="auto"/>
            </w:tcBorders>
            <w:shd w:val="clear" w:color="auto" w:fill="auto"/>
            <w:noWrap/>
            <w:vAlign w:val="bottom"/>
            <w:hideMark/>
          </w:tcPr>
          <w:p w14:paraId="244A22CF" w14:textId="77777777" w:rsidR="00FE399D" w:rsidRPr="00D1707B" w:rsidRDefault="00FE399D" w:rsidP="00582303">
            <w:pPr>
              <w:pStyle w:val="CBDTableNormal"/>
              <w:spacing w:before="0" w:after="0"/>
              <w:jc w:val="right"/>
              <w:rPr>
                <w:sz w:val="18"/>
                <w:szCs w:val="18"/>
              </w:rPr>
            </w:pPr>
            <w:r>
              <w:rPr>
                <w:sz w:val="18"/>
              </w:rPr>
              <w:t>3,218</w:t>
            </w:r>
          </w:p>
        </w:tc>
        <w:tc>
          <w:tcPr>
            <w:tcW w:w="1176" w:type="dxa"/>
            <w:tcBorders>
              <w:top w:val="nil"/>
              <w:left w:val="nil"/>
              <w:bottom w:val="single" w:sz="4" w:space="0" w:color="auto"/>
              <w:right w:val="single" w:sz="4" w:space="0" w:color="auto"/>
            </w:tcBorders>
            <w:shd w:val="clear" w:color="auto" w:fill="auto"/>
            <w:noWrap/>
            <w:vAlign w:val="bottom"/>
            <w:hideMark/>
          </w:tcPr>
          <w:p w14:paraId="4B2612F9" w14:textId="77777777" w:rsidR="00FE399D" w:rsidRPr="00D1707B" w:rsidRDefault="00FE399D" w:rsidP="00582303">
            <w:pPr>
              <w:pStyle w:val="CBDTableNormal"/>
              <w:spacing w:before="0" w:after="0"/>
              <w:jc w:val="right"/>
              <w:rPr>
                <w:sz w:val="18"/>
                <w:szCs w:val="18"/>
              </w:rPr>
            </w:pPr>
            <w:r>
              <w:rPr>
                <w:sz w:val="18"/>
              </w:rPr>
              <w:t>453 010</w:t>
            </w:r>
          </w:p>
        </w:tc>
        <w:tc>
          <w:tcPr>
            <w:tcW w:w="1461" w:type="dxa"/>
            <w:tcBorders>
              <w:top w:val="nil"/>
              <w:left w:val="nil"/>
              <w:bottom w:val="single" w:sz="4" w:space="0" w:color="auto"/>
              <w:right w:val="single" w:sz="4" w:space="0" w:color="auto"/>
            </w:tcBorders>
            <w:shd w:val="clear" w:color="auto" w:fill="auto"/>
            <w:noWrap/>
            <w:vAlign w:val="bottom"/>
            <w:hideMark/>
          </w:tcPr>
          <w:p w14:paraId="0EB2C801" w14:textId="77777777" w:rsidR="00FE399D" w:rsidRPr="00D1707B" w:rsidRDefault="00FE399D" w:rsidP="00582303">
            <w:pPr>
              <w:pStyle w:val="CBDTableNormal"/>
              <w:spacing w:before="0" w:after="0"/>
              <w:jc w:val="right"/>
              <w:rPr>
                <w:sz w:val="18"/>
                <w:szCs w:val="18"/>
              </w:rPr>
            </w:pPr>
            <w:r>
              <w:rPr>
                <w:sz w:val="18"/>
              </w:rPr>
              <w:t>484 006</w:t>
            </w:r>
          </w:p>
        </w:tc>
        <w:tc>
          <w:tcPr>
            <w:tcW w:w="1080" w:type="dxa"/>
            <w:tcBorders>
              <w:top w:val="nil"/>
              <w:left w:val="nil"/>
              <w:bottom w:val="single" w:sz="4" w:space="0" w:color="auto"/>
              <w:right w:val="single" w:sz="4" w:space="0" w:color="auto"/>
            </w:tcBorders>
            <w:shd w:val="clear" w:color="auto" w:fill="auto"/>
            <w:noWrap/>
            <w:vAlign w:val="bottom"/>
            <w:hideMark/>
          </w:tcPr>
          <w:p w14:paraId="7BAF9744" w14:textId="77777777" w:rsidR="00FE399D" w:rsidRPr="00D1707B" w:rsidRDefault="00FE399D" w:rsidP="00582303">
            <w:pPr>
              <w:pStyle w:val="CBDTableNormal"/>
              <w:spacing w:before="0" w:after="0"/>
              <w:jc w:val="right"/>
              <w:rPr>
                <w:sz w:val="18"/>
                <w:szCs w:val="18"/>
              </w:rPr>
            </w:pPr>
            <w:r>
              <w:rPr>
                <w:sz w:val="18"/>
              </w:rPr>
              <w:t>937 016</w:t>
            </w:r>
          </w:p>
        </w:tc>
      </w:tr>
      <w:tr w:rsidR="00FE399D" w:rsidRPr="00D1707B" w14:paraId="31836EB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A908669" w14:textId="77777777" w:rsidR="00FE399D" w:rsidRPr="00D1707B" w:rsidRDefault="00FE399D" w:rsidP="00582303">
            <w:pPr>
              <w:pStyle w:val="CBDTableNormal"/>
              <w:spacing w:before="0" w:after="0"/>
              <w:rPr>
                <w:sz w:val="18"/>
                <w:szCs w:val="18"/>
              </w:rPr>
            </w:pPr>
            <w:r>
              <w:rPr>
                <w:sz w:val="18"/>
              </w:rPr>
              <w:t>República de Moldova</w:t>
            </w:r>
          </w:p>
        </w:tc>
        <w:tc>
          <w:tcPr>
            <w:tcW w:w="1628" w:type="dxa"/>
            <w:tcBorders>
              <w:top w:val="nil"/>
              <w:left w:val="nil"/>
              <w:bottom w:val="single" w:sz="4" w:space="0" w:color="auto"/>
              <w:right w:val="single" w:sz="4" w:space="0" w:color="auto"/>
            </w:tcBorders>
            <w:shd w:val="clear" w:color="auto" w:fill="auto"/>
            <w:vAlign w:val="bottom"/>
            <w:hideMark/>
          </w:tcPr>
          <w:p w14:paraId="258156CB" w14:textId="77777777" w:rsidR="00FE399D" w:rsidRPr="00D1707B" w:rsidRDefault="00FE399D" w:rsidP="00582303">
            <w:pPr>
              <w:pStyle w:val="CBDTableNormal"/>
              <w:spacing w:before="0" w:after="0"/>
              <w:jc w:val="right"/>
              <w:rPr>
                <w:sz w:val="18"/>
                <w:szCs w:val="18"/>
              </w:rPr>
            </w:pPr>
            <w:r>
              <w:rPr>
                <w:sz w:val="18"/>
              </w:rPr>
              <w:t>0,005</w:t>
            </w:r>
          </w:p>
        </w:tc>
        <w:tc>
          <w:tcPr>
            <w:tcW w:w="2198" w:type="dxa"/>
            <w:tcBorders>
              <w:top w:val="nil"/>
              <w:left w:val="nil"/>
              <w:bottom w:val="single" w:sz="4" w:space="0" w:color="auto"/>
              <w:right w:val="single" w:sz="4" w:space="0" w:color="auto"/>
            </w:tcBorders>
            <w:shd w:val="clear" w:color="auto" w:fill="auto"/>
            <w:noWrap/>
            <w:vAlign w:val="bottom"/>
            <w:hideMark/>
          </w:tcPr>
          <w:p w14:paraId="6DEB6BC1" w14:textId="77777777" w:rsidR="00FE399D" w:rsidRPr="00D1707B" w:rsidRDefault="00FE399D" w:rsidP="00582303">
            <w:pPr>
              <w:pStyle w:val="CBDTableNormal"/>
              <w:spacing w:before="0" w:after="0"/>
              <w:jc w:val="right"/>
              <w:rPr>
                <w:sz w:val="18"/>
                <w:szCs w:val="18"/>
              </w:rPr>
            </w:pPr>
            <w:r>
              <w:rPr>
                <w:sz w:val="18"/>
              </w:rPr>
              <w:t>0,006</w:t>
            </w:r>
          </w:p>
        </w:tc>
        <w:tc>
          <w:tcPr>
            <w:tcW w:w="1176" w:type="dxa"/>
            <w:tcBorders>
              <w:top w:val="nil"/>
              <w:left w:val="nil"/>
              <w:bottom w:val="single" w:sz="4" w:space="0" w:color="auto"/>
              <w:right w:val="single" w:sz="4" w:space="0" w:color="auto"/>
            </w:tcBorders>
            <w:shd w:val="clear" w:color="auto" w:fill="auto"/>
            <w:noWrap/>
            <w:vAlign w:val="bottom"/>
            <w:hideMark/>
          </w:tcPr>
          <w:p w14:paraId="7B91CC49" w14:textId="77777777" w:rsidR="00FE399D" w:rsidRPr="00D1707B" w:rsidRDefault="00FE399D" w:rsidP="00582303">
            <w:pPr>
              <w:pStyle w:val="CBDTableNormal"/>
              <w:spacing w:before="0" w:after="0"/>
              <w:jc w:val="right"/>
              <w:rPr>
                <w:sz w:val="18"/>
                <w:szCs w:val="18"/>
              </w:rPr>
            </w:pPr>
            <w:r>
              <w:rPr>
                <w:sz w:val="18"/>
              </w:rPr>
              <w:t>880</w:t>
            </w:r>
          </w:p>
        </w:tc>
        <w:tc>
          <w:tcPr>
            <w:tcW w:w="1461" w:type="dxa"/>
            <w:tcBorders>
              <w:top w:val="nil"/>
              <w:left w:val="nil"/>
              <w:bottom w:val="single" w:sz="4" w:space="0" w:color="auto"/>
              <w:right w:val="single" w:sz="4" w:space="0" w:color="auto"/>
            </w:tcBorders>
            <w:shd w:val="clear" w:color="auto" w:fill="auto"/>
            <w:noWrap/>
            <w:vAlign w:val="bottom"/>
            <w:hideMark/>
          </w:tcPr>
          <w:p w14:paraId="2357126B" w14:textId="77777777" w:rsidR="00FE399D" w:rsidRPr="00D1707B" w:rsidRDefault="00FE399D" w:rsidP="00582303">
            <w:pPr>
              <w:pStyle w:val="CBDTableNormal"/>
              <w:spacing w:before="0" w:after="0"/>
              <w:jc w:val="right"/>
              <w:rPr>
                <w:sz w:val="18"/>
                <w:szCs w:val="18"/>
              </w:rPr>
            </w:pPr>
            <w:r>
              <w:rPr>
                <w:sz w:val="18"/>
              </w:rPr>
              <w:t>940</w:t>
            </w:r>
          </w:p>
        </w:tc>
        <w:tc>
          <w:tcPr>
            <w:tcW w:w="1080" w:type="dxa"/>
            <w:tcBorders>
              <w:top w:val="nil"/>
              <w:left w:val="nil"/>
              <w:bottom w:val="single" w:sz="4" w:space="0" w:color="auto"/>
              <w:right w:val="single" w:sz="4" w:space="0" w:color="auto"/>
            </w:tcBorders>
            <w:shd w:val="clear" w:color="auto" w:fill="auto"/>
            <w:noWrap/>
            <w:vAlign w:val="bottom"/>
            <w:hideMark/>
          </w:tcPr>
          <w:p w14:paraId="5E6A5D20" w14:textId="77777777" w:rsidR="00FE399D" w:rsidRPr="00D1707B" w:rsidRDefault="00FE399D" w:rsidP="00582303">
            <w:pPr>
              <w:pStyle w:val="CBDTableNormal"/>
              <w:spacing w:before="0" w:after="0"/>
              <w:jc w:val="right"/>
              <w:rPr>
                <w:sz w:val="18"/>
                <w:szCs w:val="18"/>
              </w:rPr>
            </w:pPr>
            <w:r>
              <w:rPr>
                <w:sz w:val="18"/>
              </w:rPr>
              <w:t>1 820</w:t>
            </w:r>
          </w:p>
        </w:tc>
      </w:tr>
      <w:tr w:rsidR="00FE399D" w:rsidRPr="00D1707B" w14:paraId="247DFCF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A3A3C84" w14:textId="77777777" w:rsidR="00FE399D" w:rsidRPr="00D1707B" w:rsidRDefault="00FE399D" w:rsidP="00582303">
            <w:pPr>
              <w:pStyle w:val="CBDTableNormal"/>
              <w:tabs>
                <w:tab w:val="clear" w:pos="567"/>
                <w:tab w:val="left" w:pos="178"/>
              </w:tabs>
              <w:spacing w:before="0" w:after="0"/>
              <w:ind w:left="144" w:hanging="144"/>
              <w:rPr>
                <w:sz w:val="18"/>
                <w:szCs w:val="18"/>
              </w:rPr>
            </w:pPr>
            <w:r>
              <w:rPr>
                <w:sz w:val="18"/>
              </w:rPr>
              <w:t>República Democrática del Congo</w:t>
            </w:r>
          </w:p>
        </w:tc>
        <w:tc>
          <w:tcPr>
            <w:tcW w:w="1628" w:type="dxa"/>
            <w:tcBorders>
              <w:top w:val="nil"/>
              <w:left w:val="nil"/>
              <w:bottom w:val="single" w:sz="4" w:space="0" w:color="auto"/>
              <w:right w:val="single" w:sz="4" w:space="0" w:color="auto"/>
            </w:tcBorders>
            <w:shd w:val="clear" w:color="auto" w:fill="auto"/>
            <w:vAlign w:val="bottom"/>
            <w:hideMark/>
          </w:tcPr>
          <w:p w14:paraId="473060FB" w14:textId="77777777" w:rsidR="00FE399D" w:rsidRPr="00D1707B" w:rsidRDefault="00FE399D" w:rsidP="00582303">
            <w:pPr>
              <w:pStyle w:val="CBDTableNormal"/>
              <w:spacing w:before="0" w:after="0"/>
              <w:jc w:val="right"/>
              <w:rPr>
                <w:sz w:val="18"/>
                <w:szCs w:val="18"/>
              </w:rPr>
            </w:pPr>
            <w:r>
              <w:rPr>
                <w:sz w:val="18"/>
              </w:rPr>
              <w:t>0,010</w:t>
            </w:r>
          </w:p>
        </w:tc>
        <w:tc>
          <w:tcPr>
            <w:tcW w:w="2198" w:type="dxa"/>
            <w:tcBorders>
              <w:top w:val="nil"/>
              <w:left w:val="nil"/>
              <w:bottom w:val="single" w:sz="4" w:space="0" w:color="auto"/>
              <w:right w:val="single" w:sz="4" w:space="0" w:color="auto"/>
            </w:tcBorders>
            <w:shd w:val="clear" w:color="auto" w:fill="auto"/>
            <w:noWrap/>
            <w:vAlign w:val="bottom"/>
            <w:hideMark/>
          </w:tcPr>
          <w:p w14:paraId="26054C89" w14:textId="77777777" w:rsidR="00FE399D" w:rsidRPr="00D1707B" w:rsidRDefault="00FE399D" w:rsidP="00582303">
            <w:pPr>
              <w:pStyle w:val="CBDTableNormal"/>
              <w:spacing w:before="0" w:after="0"/>
              <w:jc w:val="right"/>
              <w:rPr>
                <w:sz w:val="18"/>
                <w:szCs w:val="18"/>
              </w:rPr>
            </w:pPr>
            <w:r>
              <w:rPr>
                <w:sz w:val="18"/>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3455E4F5" w14:textId="77777777" w:rsidR="00FE399D" w:rsidRPr="00D1707B" w:rsidRDefault="00FE399D" w:rsidP="00582303">
            <w:pPr>
              <w:pStyle w:val="CBDTableNormal"/>
              <w:spacing w:before="0" w:after="0"/>
              <w:jc w:val="right"/>
              <w:rPr>
                <w:sz w:val="18"/>
                <w:szCs w:val="18"/>
              </w:rPr>
            </w:pPr>
            <w:r>
              <w:rPr>
                <w:sz w:val="18"/>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5E3D65E4" w14:textId="77777777" w:rsidR="00FE399D" w:rsidRPr="00D1707B" w:rsidRDefault="00FE399D" w:rsidP="00582303">
            <w:pPr>
              <w:pStyle w:val="CBDTableNormal"/>
              <w:spacing w:before="0" w:after="0"/>
              <w:jc w:val="right"/>
              <w:rPr>
                <w:sz w:val="18"/>
                <w:szCs w:val="18"/>
              </w:rPr>
            </w:pPr>
            <w:r>
              <w:rPr>
                <w:sz w:val="18"/>
              </w:rPr>
              <w:t>1 504</w:t>
            </w:r>
          </w:p>
        </w:tc>
        <w:tc>
          <w:tcPr>
            <w:tcW w:w="1080" w:type="dxa"/>
            <w:tcBorders>
              <w:top w:val="nil"/>
              <w:left w:val="nil"/>
              <w:bottom w:val="single" w:sz="4" w:space="0" w:color="auto"/>
              <w:right w:val="single" w:sz="4" w:space="0" w:color="auto"/>
            </w:tcBorders>
            <w:shd w:val="clear" w:color="auto" w:fill="auto"/>
            <w:noWrap/>
            <w:vAlign w:val="bottom"/>
            <w:hideMark/>
          </w:tcPr>
          <w:p w14:paraId="747AC254" w14:textId="77777777" w:rsidR="00FE399D" w:rsidRPr="00D1707B" w:rsidRDefault="00FE399D" w:rsidP="00582303">
            <w:pPr>
              <w:pStyle w:val="CBDTableNormal"/>
              <w:spacing w:before="0" w:after="0"/>
              <w:jc w:val="right"/>
              <w:rPr>
                <w:sz w:val="18"/>
                <w:szCs w:val="18"/>
              </w:rPr>
            </w:pPr>
            <w:r>
              <w:rPr>
                <w:sz w:val="18"/>
              </w:rPr>
              <w:t>2 912</w:t>
            </w:r>
          </w:p>
        </w:tc>
      </w:tr>
      <w:tr w:rsidR="00FE399D" w:rsidRPr="00D1707B" w14:paraId="265AC0F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05D56BC" w14:textId="77777777" w:rsidR="00FE399D" w:rsidRPr="00D1707B" w:rsidRDefault="00FE399D" w:rsidP="00582303">
            <w:pPr>
              <w:pStyle w:val="CBDTableNormal"/>
              <w:tabs>
                <w:tab w:val="clear" w:pos="567"/>
                <w:tab w:val="left" w:pos="178"/>
              </w:tabs>
              <w:spacing w:before="0" w:after="0"/>
              <w:ind w:left="144" w:hanging="144"/>
              <w:rPr>
                <w:sz w:val="18"/>
                <w:szCs w:val="18"/>
              </w:rPr>
            </w:pPr>
            <w:r>
              <w:rPr>
                <w:sz w:val="18"/>
              </w:rPr>
              <w:t>República Democrática Popular Lao</w:t>
            </w:r>
          </w:p>
        </w:tc>
        <w:tc>
          <w:tcPr>
            <w:tcW w:w="1628" w:type="dxa"/>
            <w:tcBorders>
              <w:top w:val="nil"/>
              <w:left w:val="nil"/>
              <w:bottom w:val="single" w:sz="4" w:space="0" w:color="auto"/>
              <w:right w:val="single" w:sz="4" w:space="0" w:color="auto"/>
            </w:tcBorders>
            <w:shd w:val="clear" w:color="auto" w:fill="auto"/>
            <w:vAlign w:val="bottom"/>
            <w:hideMark/>
          </w:tcPr>
          <w:p w14:paraId="67D53213" w14:textId="77777777" w:rsidR="00FE399D" w:rsidRPr="00D1707B" w:rsidRDefault="00FE399D" w:rsidP="00582303">
            <w:pPr>
              <w:pStyle w:val="CBDTableNormal"/>
              <w:spacing w:before="0" w:after="0"/>
              <w:jc w:val="right"/>
              <w:rPr>
                <w:sz w:val="18"/>
                <w:szCs w:val="18"/>
              </w:rPr>
            </w:pPr>
            <w:r>
              <w:rPr>
                <w:sz w:val="18"/>
              </w:rPr>
              <w:t>0,007</w:t>
            </w:r>
          </w:p>
        </w:tc>
        <w:tc>
          <w:tcPr>
            <w:tcW w:w="2198" w:type="dxa"/>
            <w:tcBorders>
              <w:top w:val="nil"/>
              <w:left w:val="nil"/>
              <w:bottom w:val="single" w:sz="4" w:space="0" w:color="auto"/>
              <w:right w:val="single" w:sz="4" w:space="0" w:color="auto"/>
            </w:tcBorders>
            <w:shd w:val="clear" w:color="auto" w:fill="auto"/>
            <w:noWrap/>
            <w:vAlign w:val="bottom"/>
            <w:hideMark/>
          </w:tcPr>
          <w:p w14:paraId="78EF038D" w14:textId="77777777" w:rsidR="00FE399D" w:rsidRPr="00D1707B" w:rsidRDefault="00FE399D" w:rsidP="00582303">
            <w:pPr>
              <w:pStyle w:val="CBDTableNormal"/>
              <w:spacing w:before="0" w:after="0"/>
              <w:jc w:val="right"/>
              <w:rPr>
                <w:sz w:val="18"/>
                <w:szCs w:val="18"/>
              </w:rPr>
            </w:pPr>
            <w:r>
              <w:rPr>
                <w:sz w:val="18"/>
              </w:rPr>
              <w:t>0,009</w:t>
            </w:r>
          </w:p>
        </w:tc>
        <w:tc>
          <w:tcPr>
            <w:tcW w:w="1176" w:type="dxa"/>
            <w:tcBorders>
              <w:top w:val="nil"/>
              <w:left w:val="nil"/>
              <w:bottom w:val="single" w:sz="4" w:space="0" w:color="auto"/>
              <w:right w:val="single" w:sz="4" w:space="0" w:color="auto"/>
            </w:tcBorders>
            <w:shd w:val="clear" w:color="auto" w:fill="auto"/>
            <w:noWrap/>
            <w:vAlign w:val="bottom"/>
            <w:hideMark/>
          </w:tcPr>
          <w:p w14:paraId="046833B5" w14:textId="77777777" w:rsidR="00FE399D" w:rsidRPr="00D1707B" w:rsidRDefault="00FE399D" w:rsidP="00582303">
            <w:pPr>
              <w:pStyle w:val="CBDTableNormal"/>
              <w:spacing w:before="0" w:after="0"/>
              <w:jc w:val="right"/>
              <w:rPr>
                <w:sz w:val="18"/>
                <w:szCs w:val="18"/>
              </w:rPr>
            </w:pPr>
            <w:r>
              <w:rPr>
                <w:sz w:val="18"/>
              </w:rPr>
              <w:t>1 232</w:t>
            </w:r>
          </w:p>
        </w:tc>
        <w:tc>
          <w:tcPr>
            <w:tcW w:w="1461" w:type="dxa"/>
            <w:tcBorders>
              <w:top w:val="nil"/>
              <w:left w:val="nil"/>
              <w:bottom w:val="single" w:sz="4" w:space="0" w:color="auto"/>
              <w:right w:val="single" w:sz="4" w:space="0" w:color="auto"/>
            </w:tcBorders>
            <w:shd w:val="clear" w:color="auto" w:fill="auto"/>
            <w:noWrap/>
            <w:vAlign w:val="bottom"/>
            <w:hideMark/>
          </w:tcPr>
          <w:p w14:paraId="2C94676B" w14:textId="77777777" w:rsidR="00FE399D" w:rsidRPr="00D1707B" w:rsidRDefault="00FE399D" w:rsidP="00582303">
            <w:pPr>
              <w:pStyle w:val="CBDTableNormal"/>
              <w:spacing w:before="0" w:after="0"/>
              <w:jc w:val="right"/>
              <w:rPr>
                <w:sz w:val="18"/>
                <w:szCs w:val="18"/>
              </w:rPr>
            </w:pPr>
            <w:r>
              <w:rPr>
                <w:sz w:val="18"/>
              </w:rPr>
              <w:t>1 316</w:t>
            </w:r>
          </w:p>
        </w:tc>
        <w:tc>
          <w:tcPr>
            <w:tcW w:w="1080" w:type="dxa"/>
            <w:tcBorders>
              <w:top w:val="nil"/>
              <w:left w:val="nil"/>
              <w:bottom w:val="single" w:sz="4" w:space="0" w:color="auto"/>
              <w:right w:val="single" w:sz="4" w:space="0" w:color="auto"/>
            </w:tcBorders>
            <w:shd w:val="clear" w:color="auto" w:fill="auto"/>
            <w:noWrap/>
            <w:vAlign w:val="bottom"/>
            <w:hideMark/>
          </w:tcPr>
          <w:p w14:paraId="54504458" w14:textId="77777777" w:rsidR="00FE399D" w:rsidRPr="00D1707B" w:rsidRDefault="00FE399D" w:rsidP="00582303">
            <w:pPr>
              <w:pStyle w:val="CBDTableNormal"/>
              <w:spacing w:before="0" w:after="0"/>
              <w:jc w:val="right"/>
              <w:rPr>
                <w:sz w:val="18"/>
                <w:szCs w:val="18"/>
              </w:rPr>
            </w:pPr>
            <w:r>
              <w:rPr>
                <w:sz w:val="18"/>
              </w:rPr>
              <w:t>2 548</w:t>
            </w:r>
          </w:p>
        </w:tc>
      </w:tr>
      <w:tr w:rsidR="00FE399D" w:rsidRPr="00D1707B" w14:paraId="538B2D8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2A93A72" w14:textId="77777777" w:rsidR="00FE399D" w:rsidRPr="00D1707B" w:rsidRDefault="00FE399D" w:rsidP="00582303">
            <w:pPr>
              <w:pStyle w:val="CBDTableNormal"/>
              <w:spacing w:before="0" w:after="0"/>
              <w:rPr>
                <w:sz w:val="18"/>
                <w:szCs w:val="18"/>
              </w:rPr>
            </w:pPr>
            <w:r>
              <w:rPr>
                <w:sz w:val="18"/>
              </w:rPr>
              <w:t>República Dominicana</w:t>
            </w:r>
          </w:p>
        </w:tc>
        <w:tc>
          <w:tcPr>
            <w:tcW w:w="1628" w:type="dxa"/>
            <w:tcBorders>
              <w:top w:val="nil"/>
              <w:left w:val="nil"/>
              <w:bottom w:val="single" w:sz="4" w:space="0" w:color="auto"/>
              <w:right w:val="single" w:sz="4" w:space="0" w:color="auto"/>
            </w:tcBorders>
            <w:shd w:val="clear" w:color="auto" w:fill="auto"/>
            <w:vAlign w:val="bottom"/>
            <w:hideMark/>
          </w:tcPr>
          <w:p w14:paraId="3133C6CF" w14:textId="77777777" w:rsidR="00FE399D" w:rsidRPr="00D1707B" w:rsidRDefault="00FE399D" w:rsidP="00582303">
            <w:pPr>
              <w:pStyle w:val="CBDTableNormal"/>
              <w:spacing w:before="0" w:after="0"/>
              <w:jc w:val="right"/>
              <w:rPr>
                <w:sz w:val="18"/>
                <w:szCs w:val="18"/>
              </w:rPr>
            </w:pPr>
            <w:r>
              <w:rPr>
                <w:sz w:val="18"/>
              </w:rPr>
              <w:t>0,067</w:t>
            </w:r>
          </w:p>
        </w:tc>
        <w:tc>
          <w:tcPr>
            <w:tcW w:w="2198" w:type="dxa"/>
            <w:tcBorders>
              <w:top w:val="nil"/>
              <w:left w:val="nil"/>
              <w:bottom w:val="single" w:sz="4" w:space="0" w:color="auto"/>
              <w:right w:val="single" w:sz="4" w:space="0" w:color="auto"/>
            </w:tcBorders>
            <w:shd w:val="clear" w:color="auto" w:fill="auto"/>
            <w:noWrap/>
            <w:vAlign w:val="bottom"/>
            <w:hideMark/>
          </w:tcPr>
          <w:p w14:paraId="2A5ED12A" w14:textId="77777777" w:rsidR="00FE399D" w:rsidRPr="00D1707B" w:rsidRDefault="00FE399D" w:rsidP="00582303">
            <w:pPr>
              <w:pStyle w:val="CBDTableNormal"/>
              <w:spacing w:before="0" w:after="0"/>
              <w:jc w:val="right"/>
              <w:rPr>
                <w:sz w:val="18"/>
                <w:szCs w:val="18"/>
              </w:rPr>
            </w:pPr>
            <w:r>
              <w:rPr>
                <w:sz w:val="18"/>
              </w:rPr>
              <w:t>0,084</w:t>
            </w:r>
          </w:p>
        </w:tc>
        <w:tc>
          <w:tcPr>
            <w:tcW w:w="1176" w:type="dxa"/>
            <w:tcBorders>
              <w:top w:val="nil"/>
              <w:left w:val="nil"/>
              <w:bottom w:val="single" w:sz="4" w:space="0" w:color="auto"/>
              <w:right w:val="single" w:sz="4" w:space="0" w:color="auto"/>
            </w:tcBorders>
            <w:shd w:val="clear" w:color="auto" w:fill="auto"/>
            <w:noWrap/>
            <w:vAlign w:val="bottom"/>
            <w:hideMark/>
          </w:tcPr>
          <w:p w14:paraId="128AFA33" w14:textId="77777777" w:rsidR="00FE399D" w:rsidRPr="00D1707B" w:rsidRDefault="00FE399D" w:rsidP="00582303">
            <w:pPr>
              <w:pStyle w:val="CBDTableNormal"/>
              <w:spacing w:before="0" w:after="0"/>
              <w:jc w:val="right"/>
              <w:rPr>
                <w:sz w:val="18"/>
                <w:szCs w:val="18"/>
              </w:rPr>
            </w:pPr>
            <w:r>
              <w:rPr>
                <w:sz w:val="18"/>
              </w:rPr>
              <w:t>11 792</w:t>
            </w:r>
          </w:p>
        </w:tc>
        <w:tc>
          <w:tcPr>
            <w:tcW w:w="1461" w:type="dxa"/>
            <w:tcBorders>
              <w:top w:val="nil"/>
              <w:left w:val="nil"/>
              <w:bottom w:val="single" w:sz="4" w:space="0" w:color="auto"/>
              <w:right w:val="single" w:sz="4" w:space="0" w:color="auto"/>
            </w:tcBorders>
            <w:shd w:val="clear" w:color="auto" w:fill="auto"/>
            <w:noWrap/>
            <w:vAlign w:val="bottom"/>
            <w:hideMark/>
          </w:tcPr>
          <w:p w14:paraId="78AD2401" w14:textId="77777777" w:rsidR="00FE399D" w:rsidRPr="00D1707B" w:rsidRDefault="00FE399D" w:rsidP="00582303">
            <w:pPr>
              <w:pStyle w:val="CBDTableNormal"/>
              <w:spacing w:before="0" w:after="0"/>
              <w:jc w:val="right"/>
              <w:rPr>
                <w:sz w:val="18"/>
                <w:szCs w:val="18"/>
              </w:rPr>
            </w:pPr>
            <w:r>
              <w:rPr>
                <w:sz w:val="18"/>
              </w:rPr>
              <w:t>12 598</w:t>
            </w:r>
          </w:p>
        </w:tc>
        <w:tc>
          <w:tcPr>
            <w:tcW w:w="1080" w:type="dxa"/>
            <w:tcBorders>
              <w:top w:val="nil"/>
              <w:left w:val="nil"/>
              <w:bottom w:val="single" w:sz="4" w:space="0" w:color="auto"/>
              <w:right w:val="single" w:sz="4" w:space="0" w:color="auto"/>
            </w:tcBorders>
            <w:shd w:val="clear" w:color="auto" w:fill="auto"/>
            <w:noWrap/>
            <w:vAlign w:val="bottom"/>
            <w:hideMark/>
          </w:tcPr>
          <w:p w14:paraId="254B4462" w14:textId="77777777" w:rsidR="00FE399D" w:rsidRPr="00D1707B" w:rsidRDefault="00FE399D" w:rsidP="00582303">
            <w:pPr>
              <w:pStyle w:val="CBDTableNormal"/>
              <w:spacing w:before="0" w:after="0"/>
              <w:jc w:val="right"/>
              <w:rPr>
                <w:sz w:val="18"/>
                <w:szCs w:val="18"/>
              </w:rPr>
            </w:pPr>
            <w:r>
              <w:rPr>
                <w:sz w:val="18"/>
              </w:rPr>
              <w:t>24 390</w:t>
            </w:r>
          </w:p>
        </w:tc>
      </w:tr>
      <w:tr w:rsidR="00FE399D" w:rsidRPr="00D1707B" w14:paraId="431D4D0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D5F8524" w14:textId="77777777" w:rsidR="00FE399D" w:rsidRPr="00D1707B" w:rsidRDefault="00FE399D" w:rsidP="00582303">
            <w:pPr>
              <w:pStyle w:val="CBDTableNormal"/>
              <w:tabs>
                <w:tab w:val="clear" w:pos="567"/>
                <w:tab w:val="left" w:pos="178"/>
              </w:tabs>
              <w:spacing w:before="0" w:after="0"/>
              <w:ind w:left="144" w:hanging="144"/>
              <w:rPr>
                <w:sz w:val="18"/>
                <w:szCs w:val="18"/>
              </w:rPr>
            </w:pPr>
            <w:r>
              <w:rPr>
                <w:sz w:val="18"/>
              </w:rPr>
              <w:lastRenderedPageBreak/>
              <w:t>República Popular Democrática de Corea</w:t>
            </w:r>
          </w:p>
        </w:tc>
        <w:tc>
          <w:tcPr>
            <w:tcW w:w="1628" w:type="dxa"/>
            <w:tcBorders>
              <w:top w:val="nil"/>
              <w:left w:val="nil"/>
              <w:bottom w:val="single" w:sz="4" w:space="0" w:color="auto"/>
              <w:right w:val="single" w:sz="4" w:space="0" w:color="auto"/>
            </w:tcBorders>
            <w:shd w:val="clear" w:color="auto" w:fill="auto"/>
            <w:vAlign w:val="bottom"/>
            <w:hideMark/>
          </w:tcPr>
          <w:p w14:paraId="748386C6" w14:textId="77777777" w:rsidR="00FE399D" w:rsidRPr="00D1707B" w:rsidRDefault="00FE399D" w:rsidP="00582303">
            <w:pPr>
              <w:pStyle w:val="CBDTableNormal"/>
              <w:spacing w:before="0" w:after="0"/>
              <w:jc w:val="right"/>
              <w:rPr>
                <w:sz w:val="18"/>
                <w:szCs w:val="18"/>
              </w:rPr>
            </w:pPr>
            <w:r>
              <w:rPr>
                <w:sz w:val="18"/>
              </w:rPr>
              <w:t>0,005</w:t>
            </w:r>
          </w:p>
        </w:tc>
        <w:tc>
          <w:tcPr>
            <w:tcW w:w="2198" w:type="dxa"/>
            <w:tcBorders>
              <w:top w:val="nil"/>
              <w:left w:val="nil"/>
              <w:bottom w:val="single" w:sz="4" w:space="0" w:color="auto"/>
              <w:right w:val="single" w:sz="4" w:space="0" w:color="auto"/>
            </w:tcBorders>
            <w:shd w:val="clear" w:color="auto" w:fill="auto"/>
            <w:noWrap/>
            <w:vAlign w:val="bottom"/>
            <w:hideMark/>
          </w:tcPr>
          <w:p w14:paraId="74D64BD1" w14:textId="77777777" w:rsidR="00FE399D" w:rsidRPr="00D1707B" w:rsidRDefault="00FE399D" w:rsidP="00582303">
            <w:pPr>
              <w:pStyle w:val="CBDTableNormal"/>
              <w:spacing w:before="0" w:after="0"/>
              <w:jc w:val="right"/>
              <w:rPr>
                <w:sz w:val="18"/>
                <w:szCs w:val="18"/>
              </w:rPr>
            </w:pPr>
            <w:r>
              <w:rPr>
                <w:sz w:val="18"/>
              </w:rPr>
              <w:t>0,006</w:t>
            </w:r>
          </w:p>
        </w:tc>
        <w:tc>
          <w:tcPr>
            <w:tcW w:w="1176" w:type="dxa"/>
            <w:tcBorders>
              <w:top w:val="nil"/>
              <w:left w:val="nil"/>
              <w:bottom w:val="single" w:sz="4" w:space="0" w:color="auto"/>
              <w:right w:val="single" w:sz="4" w:space="0" w:color="auto"/>
            </w:tcBorders>
            <w:shd w:val="clear" w:color="auto" w:fill="auto"/>
            <w:noWrap/>
            <w:vAlign w:val="bottom"/>
            <w:hideMark/>
          </w:tcPr>
          <w:p w14:paraId="5C2794B9" w14:textId="77777777" w:rsidR="00FE399D" w:rsidRPr="00D1707B" w:rsidRDefault="00FE399D" w:rsidP="00582303">
            <w:pPr>
              <w:pStyle w:val="CBDTableNormal"/>
              <w:spacing w:before="0" w:after="0"/>
              <w:jc w:val="right"/>
              <w:rPr>
                <w:sz w:val="18"/>
                <w:szCs w:val="18"/>
              </w:rPr>
            </w:pPr>
            <w:r>
              <w:rPr>
                <w:sz w:val="18"/>
              </w:rPr>
              <w:t>880</w:t>
            </w:r>
          </w:p>
        </w:tc>
        <w:tc>
          <w:tcPr>
            <w:tcW w:w="1461" w:type="dxa"/>
            <w:tcBorders>
              <w:top w:val="nil"/>
              <w:left w:val="nil"/>
              <w:bottom w:val="single" w:sz="4" w:space="0" w:color="auto"/>
              <w:right w:val="single" w:sz="4" w:space="0" w:color="auto"/>
            </w:tcBorders>
            <w:shd w:val="clear" w:color="auto" w:fill="auto"/>
            <w:noWrap/>
            <w:vAlign w:val="bottom"/>
            <w:hideMark/>
          </w:tcPr>
          <w:p w14:paraId="75816A86" w14:textId="77777777" w:rsidR="00FE399D" w:rsidRPr="00D1707B" w:rsidRDefault="00FE399D" w:rsidP="00582303">
            <w:pPr>
              <w:pStyle w:val="CBDTableNormal"/>
              <w:spacing w:before="0" w:after="0"/>
              <w:jc w:val="right"/>
              <w:rPr>
                <w:sz w:val="18"/>
                <w:szCs w:val="18"/>
              </w:rPr>
            </w:pPr>
            <w:r>
              <w:rPr>
                <w:sz w:val="18"/>
              </w:rPr>
              <w:t>940</w:t>
            </w:r>
          </w:p>
        </w:tc>
        <w:tc>
          <w:tcPr>
            <w:tcW w:w="1080" w:type="dxa"/>
            <w:tcBorders>
              <w:top w:val="nil"/>
              <w:left w:val="nil"/>
              <w:bottom w:val="single" w:sz="4" w:space="0" w:color="auto"/>
              <w:right w:val="single" w:sz="4" w:space="0" w:color="auto"/>
            </w:tcBorders>
            <w:shd w:val="clear" w:color="auto" w:fill="auto"/>
            <w:noWrap/>
            <w:vAlign w:val="bottom"/>
            <w:hideMark/>
          </w:tcPr>
          <w:p w14:paraId="00E09769" w14:textId="77777777" w:rsidR="00FE399D" w:rsidRPr="00D1707B" w:rsidRDefault="00FE399D" w:rsidP="00582303">
            <w:pPr>
              <w:pStyle w:val="CBDTableNormal"/>
              <w:spacing w:before="0" w:after="0"/>
              <w:jc w:val="right"/>
              <w:rPr>
                <w:sz w:val="18"/>
                <w:szCs w:val="18"/>
              </w:rPr>
            </w:pPr>
            <w:r>
              <w:rPr>
                <w:sz w:val="18"/>
              </w:rPr>
              <w:t>1 820</w:t>
            </w:r>
          </w:p>
        </w:tc>
      </w:tr>
      <w:tr w:rsidR="00FE399D" w:rsidRPr="00D1707B" w14:paraId="52F4D78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620834C" w14:textId="77777777" w:rsidR="00FE399D" w:rsidRPr="00D1707B" w:rsidRDefault="00FE399D" w:rsidP="00582303">
            <w:pPr>
              <w:pStyle w:val="CBDTableNormal"/>
              <w:spacing w:before="0" w:after="0"/>
              <w:rPr>
                <w:sz w:val="18"/>
                <w:szCs w:val="18"/>
              </w:rPr>
            </w:pPr>
            <w:r>
              <w:rPr>
                <w:sz w:val="18"/>
              </w:rPr>
              <w:t>República Unida de Tanzanía</w:t>
            </w:r>
          </w:p>
        </w:tc>
        <w:tc>
          <w:tcPr>
            <w:tcW w:w="1628" w:type="dxa"/>
            <w:tcBorders>
              <w:top w:val="nil"/>
              <w:left w:val="nil"/>
              <w:bottom w:val="single" w:sz="4" w:space="0" w:color="auto"/>
              <w:right w:val="single" w:sz="4" w:space="0" w:color="auto"/>
            </w:tcBorders>
            <w:shd w:val="clear" w:color="auto" w:fill="auto"/>
            <w:vAlign w:val="bottom"/>
            <w:hideMark/>
          </w:tcPr>
          <w:p w14:paraId="3859CEAE" w14:textId="77777777" w:rsidR="00FE399D" w:rsidRPr="00D1707B" w:rsidRDefault="00FE399D" w:rsidP="00582303">
            <w:pPr>
              <w:pStyle w:val="CBDTableNormal"/>
              <w:spacing w:before="0" w:after="0"/>
              <w:jc w:val="right"/>
              <w:rPr>
                <w:sz w:val="18"/>
                <w:szCs w:val="18"/>
              </w:rPr>
            </w:pPr>
            <w:r>
              <w:rPr>
                <w:sz w:val="18"/>
              </w:rPr>
              <w:t>0,010</w:t>
            </w:r>
          </w:p>
        </w:tc>
        <w:tc>
          <w:tcPr>
            <w:tcW w:w="2198" w:type="dxa"/>
            <w:tcBorders>
              <w:top w:val="nil"/>
              <w:left w:val="nil"/>
              <w:bottom w:val="single" w:sz="4" w:space="0" w:color="auto"/>
              <w:right w:val="single" w:sz="4" w:space="0" w:color="auto"/>
            </w:tcBorders>
            <w:shd w:val="clear" w:color="auto" w:fill="auto"/>
            <w:noWrap/>
            <w:vAlign w:val="bottom"/>
            <w:hideMark/>
          </w:tcPr>
          <w:p w14:paraId="685ABB68" w14:textId="77777777" w:rsidR="00FE399D" w:rsidRPr="00D1707B" w:rsidRDefault="00FE399D" w:rsidP="00582303">
            <w:pPr>
              <w:pStyle w:val="CBDTableNormal"/>
              <w:spacing w:before="0" w:after="0"/>
              <w:jc w:val="right"/>
              <w:rPr>
                <w:sz w:val="18"/>
                <w:szCs w:val="18"/>
              </w:rPr>
            </w:pPr>
            <w:r>
              <w:rPr>
                <w:sz w:val="18"/>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7BD46895" w14:textId="77777777" w:rsidR="00FE399D" w:rsidRPr="00D1707B" w:rsidRDefault="00FE399D" w:rsidP="00582303">
            <w:pPr>
              <w:pStyle w:val="CBDTableNormal"/>
              <w:spacing w:before="0" w:after="0"/>
              <w:jc w:val="right"/>
              <w:rPr>
                <w:sz w:val="18"/>
                <w:szCs w:val="18"/>
              </w:rPr>
            </w:pPr>
            <w:r>
              <w:rPr>
                <w:sz w:val="18"/>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1EBD1A3C" w14:textId="77777777" w:rsidR="00FE399D" w:rsidRPr="00D1707B" w:rsidRDefault="00FE399D" w:rsidP="00582303">
            <w:pPr>
              <w:pStyle w:val="CBDTableNormal"/>
              <w:spacing w:before="0" w:after="0"/>
              <w:jc w:val="right"/>
              <w:rPr>
                <w:sz w:val="18"/>
                <w:szCs w:val="18"/>
              </w:rPr>
            </w:pPr>
            <w:r>
              <w:rPr>
                <w:sz w:val="18"/>
              </w:rPr>
              <w:t>1 504</w:t>
            </w:r>
          </w:p>
        </w:tc>
        <w:tc>
          <w:tcPr>
            <w:tcW w:w="1080" w:type="dxa"/>
            <w:tcBorders>
              <w:top w:val="nil"/>
              <w:left w:val="nil"/>
              <w:bottom w:val="single" w:sz="4" w:space="0" w:color="auto"/>
              <w:right w:val="single" w:sz="4" w:space="0" w:color="auto"/>
            </w:tcBorders>
            <w:shd w:val="clear" w:color="auto" w:fill="auto"/>
            <w:noWrap/>
            <w:vAlign w:val="bottom"/>
            <w:hideMark/>
          </w:tcPr>
          <w:p w14:paraId="57A43E3F" w14:textId="77777777" w:rsidR="00FE399D" w:rsidRPr="00D1707B" w:rsidRDefault="00FE399D" w:rsidP="00582303">
            <w:pPr>
              <w:pStyle w:val="CBDTableNormal"/>
              <w:spacing w:before="0" w:after="0"/>
              <w:jc w:val="right"/>
              <w:rPr>
                <w:sz w:val="18"/>
                <w:szCs w:val="18"/>
              </w:rPr>
            </w:pPr>
            <w:r>
              <w:rPr>
                <w:sz w:val="18"/>
              </w:rPr>
              <w:t>2 912</w:t>
            </w:r>
          </w:p>
        </w:tc>
      </w:tr>
      <w:tr w:rsidR="00FE399D" w:rsidRPr="00D1707B" w14:paraId="0A012AA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5FDD57A" w14:textId="77777777" w:rsidR="00FE399D" w:rsidRPr="00D1707B" w:rsidRDefault="00FE399D" w:rsidP="00582303">
            <w:pPr>
              <w:pStyle w:val="CBDTableNormal"/>
              <w:spacing w:before="0" w:after="0"/>
              <w:rPr>
                <w:sz w:val="18"/>
                <w:szCs w:val="18"/>
              </w:rPr>
            </w:pPr>
            <w:r>
              <w:rPr>
                <w:sz w:val="18"/>
              </w:rPr>
              <w:t>Rumanía</w:t>
            </w:r>
          </w:p>
        </w:tc>
        <w:tc>
          <w:tcPr>
            <w:tcW w:w="1628" w:type="dxa"/>
            <w:tcBorders>
              <w:top w:val="nil"/>
              <w:left w:val="nil"/>
              <w:bottom w:val="single" w:sz="4" w:space="0" w:color="auto"/>
              <w:right w:val="single" w:sz="4" w:space="0" w:color="auto"/>
            </w:tcBorders>
            <w:shd w:val="clear" w:color="auto" w:fill="auto"/>
            <w:vAlign w:val="bottom"/>
            <w:hideMark/>
          </w:tcPr>
          <w:p w14:paraId="45F364F7" w14:textId="77777777" w:rsidR="00FE399D" w:rsidRPr="00D1707B" w:rsidRDefault="00FE399D" w:rsidP="00582303">
            <w:pPr>
              <w:pStyle w:val="CBDTableNormal"/>
              <w:spacing w:before="0" w:after="0"/>
              <w:jc w:val="right"/>
              <w:rPr>
                <w:sz w:val="18"/>
                <w:szCs w:val="18"/>
              </w:rPr>
            </w:pPr>
            <w:r>
              <w:rPr>
                <w:sz w:val="18"/>
              </w:rPr>
              <w:t>0,312</w:t>
            </w:r>
          </w:p>
        </w:tc>
        <w:tc>
          <w:tcPr>
            <w:tcW w:w="2198" w:type="dxa"/>
            <w:tcBorders>
              <w:top w:val="nil"/>
              <w:left w:val="nil"/>
              <w:bottom w:val="single" w:sz="4" w:space="0" w:color="auto"/>
              <w:right w:val="single" w:sz="4" w:space="0" w:color="auto"/>
            </w:tcBorders>
            <w:shd w:val="clear" w:color="auto" w:fill="auto"/>
            <w:noWrap/>
            <w:vAlign w:val="bottom"/>
            <w:hideMark/>
          </w:tcPr>
          <w:p w14:paraId="257521B0" w14:textId="77777777" w:rsidR="00FE399D" w:rsidRPr="00D1707B" w:rsidRDefault="00FE399D" w:rsidP="00582303">
            <w:pPr>
              <w:pStyle w:val="CBDTableNormal"/>
              <w:spacing w:before="0" w:after="0"/>
              <w:jc w:val="right"/>
              <w:rPr>
                <w:sz w:val="18"/>
                <w:szCs w:val="18"/>
              </w:rPr>
            </w:pPr>
            <w:r>
              <w:rPr>
                <w:sz w:val="18"/>
              </w:rPr>
              <w:t>0,390</w:t>
            </w:r>
          </w:p>
        </w:tc>
        <w:tc>
          <w:tcPr>
            <w:tcW w:w="1176" w:type="dxa"/>
            <w:tcBorders>
              <w:top w:val="nil"/>
              <w:left w:val="nil"/>
              <w:bottom w:val="single" w:sz="4" w:space="0" w:color="auto"/>
              <w:right w:val="single" w:sz="4" w:space="0" w:color="auto"/>
            </w:tcBorders>
            <w:shd w:val="clear" w:color="auto" w:fill="auto"/>
            <w:noWrap/>
            <w:vAlign w:val="bottom"/>
            <w:hideMark/>
          </w:tcPr>
          <w:p w14:paraId="199A1B21" w14:textId="77777777" w:rsidR="00FE399D" w:rsidRPr="00D1707B" w:rsidRDefault="00FE399D" w:rsidP="00582303">
            <w:pPr>
              <w:pStyle w:val="CBDTableNormal"/>
              <w:spacing w:before="0" w:after="0"/>
              <w:jc w:val="right"/>
              <w:rPr>
                <w:sz w:val="18"/>
                <w:szCs w:val="18"/>
              </w:rPr>
            </w:pPr>
            <w:r>
              <w:rPr>
                <w:sz w:val="18"/>
              </w:rPr>
              <w:t>54 910</w:t>
            </w:r>
          </w:p>
        </w:tc>
        <w:tc>
          <w:tcPr>
            <w:tcW w:w="1461" w:type="dxa"/>
            <w:tcBorders>
              <w:top w:val="nil"/>
              <w:left w:val="nil"/>
              <w:bottom w:val="single" w:sz="4" w:space="0" w:color="auto"/>
              <w:right w:val="single" w:sz="4" w:space="0" w:color="auto"/>
            </w:tcBorders>
            <w:shd w:val="clear" w:color="auto" w:fill="auto"/>
            <w:noWrap/>
            <w:vAlign w:val="bottom"/>
            <w:hideMark/>
          </w:tcPr>
          <w:p w14:paraId="480F91B0" w14:textId="77777777" w:rsidR="00FE399D" w:rsidRPr="00D1707B" w:rsidRDefault="00FE399D" w:rsidP="00582303">
            <w:pPr>
              <w:pStyle w:val="CBDTableNormal"/>
              <w:spacing w:before="0" w:after="0"/>
              <w:jc w:val="right"/>
              <w:rPr>
                <w:sz w:val="18"/>
                <w:szCs w:val="18"/>
              </w:rPr>
            </w:pPr>
            <w:r>
              <w:rPr>
                <w:sz w:val="18"/>
              </w:rPr>
              <w:t>58 667</w:t>
            </w:r>
          </w:p>
        </w:tc>
        <w:tc>
          <w:tcPr>
            <w:tcW w:w="1080" w:type="dxa"/>
            <w:tcBorders>
              <w:top w:val="nil"/>
              <w:left w:val="nil"/>
              <w:bottom w:val="single" w:sz="4" w:space="0" w:color="auto"/>
              <w:right w:val="single" w:sz="4" w:space="0" w:color="auto"/>
            </w:tcBorders>
            <w:shd w:val="clear" w:color="auto" w:fill="auto"/>
            <w:noWrap/>
            <w:vAlign w:val="bottom"/>
            <w:hideMark/>
          </w:tcPr>
          <w:p w14:paraId="1854D878" w14:textId="77777777" w:rsidR="00FE399D" w:rsidRPr="00D1707B" w:rsidRDefault="00FE399D" w:rsidP="00582303">
            <w:pPr>
              <w:pStyle w:val="CBDTableNormal"/>
              <w:spacing w:before="0" w:after="0"/>
              <w:jc w:val="right"/>
              <w:rPr>
                <w:sz w:val="18"/>
                <w:szCs w:val="18"/>
              </w:rPr>
            </w:pPr>
            <w:r>
              <w:rPr>
                <w:sz w:val="18"/>
              </w:rPr>
              <w:t>113 578</w:t>
            </w:r>
          </w:p>
        </w:tc>
      </w:tr>
      <w:tr w:rsidR="00FE399D" w:rsidRPr="00D1707B" w14:paraId="05075C3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9CEA900" w14:textId="77777777" w:rsidR="00FE399D" w:rsidRPr="00D1707B" w:rsidRDefault="00FE399D" w:rsidP="00582303">
            <w:pPr>
              <w:pStyle w:val="CBDTableNormal"/>
              <w:spacing w:before="0" w:after="0"/>
              <w:rPr>
                <w:sz w:val="18"/>
                <w:szCs w:val="18"/>
              </w:rPr>
            </w:pPr>
            <w:r>
              <w:rPr>
                <w:sz w:val="18"/>
              </w:rPr>
              <w:t>Rwanda</w:t>
            </w:r>
          </w:p>
        </w:tc>
        <w:tc>
          <w:tcPr>
            <w:tcW w:w="1628" w:type="dxa"/>
            <w:tcBorders>
              <w:top w:val="nil"/>
              <w:left w:val="nil"/>
              <w:bottom w:val="single" w:sz="4" w:space="0" w:color="auto"/>
              <w:right w:val="single" w:sz="4" w:space="0" w:color="auto"/>
            </w:tcBorders>
            <w:shd w:val="clear" w:color="auto" w:fill="auto"/>
            <w:vAlign w:val="bottom"/>
            <w:hideMark/>
          </w:tcPr>
          <w:p w14:paraId="38365EC2" w14:textId="77777777" w:rsidR="00FE399D" w:rsidRPr="00D1707B" w:rsidRDefault="00FE399D" w:rsidP="00582303">
            <w:pPr>
              <w:pStyle w:val="CBDTableNormal"/>
              <w:spacing w:before="0" w:after="0"/>
              <w:jc w:val="right"/>
              <w:rPr>
                <w:sz w:val="18"/>
                <w:szCs w:val="18"/>
              </w:rPr>
            </w:pPr>
            <w:r>
              <w:rPr>
                <w:sz w:val="18"/>
              </w:rPr>
              <w:t>0,003</w:t>
            </w:r>
          </w:p>
        </w:tc>
        <w:tc>
          <w:tcPr>
            <w:tcW w:w="2198" w:type="dxa"/>
            <w:tcBorders>
              <w:top w:val="nil"/>
              <w:left w:val="nil"/>
              <w:bottom w:val="single" w:sz="4" w:space="0" w:color="auto"/>
              <w:right w:val="single" w:sz="4" w:space="0" w:color="auto"/>
            </w:tcBorders>
            <w:shd w:val="clear" w:color="auto" w:fill="auto"/>
            <w:noWrap/>
            <w:vAlign w:val="bottom"/>
            <w:hideMark/>
          </w:tcPr>
          <w:p w14:paraId="18DE18B0" w14:textId="77777777" w:rsidR="00FE399D" w:rsidRPr="00D1707B" w:rsidRDefault="00FE399D" w:rsidP="00582303">
            <w:pPr>
              <w:pStyle w:val="CBDTableNormal"/>
              <w:spacing w:before="0" w:after="0"/>
              <w:jc w:val="right"/>
              <w:rPr>
                <w:sz w:val="18"/>
                <w:szCs w:val="18"/>
              </w:rPr>
            </w:pPr>
            <w:r>
              <w:rPr>
                <w:sz w:val="18"/>
              </w:rPr>
              <w:t>0,004</w:t>
            </w:r>
          </w:p>
        </w:tc>
        <w:tc>
          <w:tcPr>
            <w:tcW w:w="1176" w:type="dxa"/>
            <w:tcBorders>
              <w:top w:val="nil"/>
              <w:left w:val="nil"/>
              <w:bottom w:val="single" w:sz="4" w:space="0" w:color="auto"/>
              <w:right w:val="single" w:sz="4" w:space="0" w:color="auto"/>
            </w:tcBorders>
            <w:shd w:val="clear" w:color="auto" w:fill="auto"/>
            <w:noWrap/>
            <w:vAlign w:val="bottom"/>
            <w:hideMark/>
          </w:tcPr>
          <w:p w14:paraId="1B65D41C" w14:textId="77777777" w:rsidR="00FE399D" w:rsidRPr="00D1707B" w:rsidRDefault="00FE399D" w:rsidP="00582303">
            <w:pPr>
              <w:pStyle w:val="CBDTableNormal"/>
              <w:spacing w:before="0" w:after="0"/>
              <w:jc w:val="right"/>
              <w:rPr>
                <w:sz w:val="18"/>
                <w:szCs w:val="18"/>
              </w:rPr>
            </w:pPr>
            <w:r>
              <w:rPr>
                <w:sz w:val="18"/>
              </w:rPr>
              <w:t>528</w:t>
            </w:r>
          </w:p>
        </w:tc>
        <w:tc>
          <w:tcPr>
            <w:tcW w:w="1461" w:type="dxa"/>
            <w:tcBorders>
              <w:top w:val="nil"/>
              <w:left w:val="nil"/>
              <w:bottom w:val="single" w:sz="4" w:space="0" w:color="auto"/>
              <w:right w:val="single" w:sz="4" w:space="0" w:color="auto"/>
            </w:tcBorders>
            <w:shd w:val="clear" w:color="auto" w:fill="auto"/>
            <w:noWrap/>
            <w:vAlign w:val="bottom"/>
            <w:hideMark/>
          </w:tcPr>
          <w:p w14:paraId="2C86E42E" w14:textId="77777777" w:rsidR="00FE399D" w:rsidRPr="00D1707B" w:rsidRDefault="00FE399D" w:rsidP="00582303">
            <w:pPr>
              <w:pStyle w:val="CBDTableNormal"/>
              <w:spacing w:before="0" w:after="0"/>
              <w:jc w:val="right"/>
              <w:rPr>
                <w:sz w:val="18"/>
                <w:szCs w:val="18"/>
              </w:rPr>
            </w:pPr>
            <w:r>
              <w:rPr>
                <w:sz w:val="18"/>
              </w:rPr>
              <w:t>564</w:t>
            </w:r>
          </w:p>
        </w:tc>
        <w:tc>
          <w:tcPr>
            <w:tcW w:w="1080" w:type="dxa"/>
            <w:tcBorders>
              <w:top w:val="nil"/>
              <w:left w:val="nil"/>
              <w:bottom w:val="single" w:sz="4" w:space="0" w:color="auto"/>
              <w:right w:val="single" w:sz="4" w:space="0" w:color="auto"/>
            </w:tcBorders>
            <w:shd w:val="clear" w:color="auto" w:fill="auto"/>
            <w:noWrap/>
            <w:vAlign w:val="bottom"/>
            <w:hideMark/>
          </w:tcPr>
          <w:p w14:paraId="4DEC806B" w14:textId="77777777" w:rsidR="00FE399D" w:rsidRPr="00D1707B" w:rsidRDefault="00FE399D" w:rsidP="00582303">
            <w:pPr>
              <w:pStyle w:val="CBDTableNormal"/>
              <w:spacing w:before="0" w:after="0"/>
              <w:jc w:val="right"/>
              <w:rPr>
                <w:sz w:val="18"/>
                <w:szCs w:val="18"/>
              </w:rPr>
            </w:pPr>
            <w:r>
              <w:rPr>
                <w:sz w:val="18"/>
              </w:rPr>
              <w:t>1 092</w:t>
            </w:r>
          </w:p>
        </w:tc>
      </w:tr>
      <w:tr w:rsidR="00FE399D" w:rsidRPr="00D1707B" w14:paraId="7B40661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6689D0B" w14:textId="77777777" w:rsidR="00FE399D" w:rsidRPr="00D1707B" w:rsidRDefault="00FE399D" w:rsidP="00582303">
            <w:pPr>
              <w:pStyle w:val="CBDTableNormal"/>
              <w:spacing w:before="0" w:after="0"/>
              <w:rPr>
                <w:sz w:val="18"/>
                <w:szCs w:val="18"/>
              </w:rPr>
            </w:pPr>
            <w:r>
              <w:rPr>
                <w:sz w:val="18"/>
              </w:rPr>
              <w:t>Saint Kitts y Nevis</w:t>
            </w:r>
          </w:p>
        </w:tc>
        <w:tc>
          <w:tcPr>
            <w:tcW w:w="1628" w:type="dxa"/>
            <w:tcBorders>
              <w:top w:val="nil"/>
              <w:left w:val="nil"/>
              <w:bottom w:val="single" w:sz="4" w:space="0" w:color="auto"/>
              <w:right w:val="single" w:sz="4" w:space="0" w:color="auto"/>
            </w:tcBorders>
            <w:shd w:val="clear" w:color="auto" w:fill="auto"/>
            <w:vAlign w:val="bottom"/>
            <w:hideMark/>
          </w:tcPr>
          <w:p w14:paraId="765D6F48" w14:textId="77777777" w:rsidR="00FE399D" w:rsidRPr="00D1707B" w:rsidRDefault="00FE399D" w:rsidP="00582303">
            <w:pPr>
              <w:pStyle w:val="CBDTableNormal"/>
              <w:spacing w:before="0" w:after="0"/>
              <w:jc w:val="right"/>
              <w:rPr>
                <w:sz w:val="18"/>
                <w:szCs w:val="18"/>
              </w:rPr>
            </w:pPr>
            <w:r>
              <w:rPr>
                <w:sz w:val="18"/>
              </w:rPr>
              <w:t>0,002</w:t>
            </w:r>
          </w:p>
        </w:tc>
        <w:tc>
          <w:tcPr>
            <w:tcW w:w="2198" w:type="dxa"/>
            <w:tcBorders>
              <w:top w:val="nil"/>
              <w:left w:val="nil"/>
              <w:bottom w:val="single" w:sz="4" w:space="0" w:color="auto"/>
              <w:right w:val="single" w:sz="4" w:space="0" w:color="auto"/>
            </w:tcBorders>
            <w:shd w:val="clear" w:color="auto" w:fill="auto"/>
            <w:noWrap/>
            <w:vAlign w:val="bottom"/>
            <w:hideMark/>
          </w:tcPr>
          <w:p w14:paraId="79831783" w14:textId="77777777" w:rsidR="00FE399D" w:rsidRPr="00D1707B" w:rsidRDefault="00FE399D" w:rsidP="00582303">
            <w:pPr>
              <w:pStyle w:val="CBDTableNormal"/>
              <w:spacing w:before="0" w:after="0"/>
              <w:jc w:val="right"/>
              <w:rPr>
                <w:sz w:val="18"/>
                <w:szCs w:val="18"/>
              </w:rPr>
            </w:pPr>
            <w:r>
              <w:rPr>
                <w:sz w:val="18"/>
              </w:rPr>
              <w:t>0,003</w:t>
            </w:r>
          </w:p>
        </w:tc>
        <w:tc>
          <w:tcPr>
            <w:tcW w:w="1176" w:type="dxa"/>
            <w:tcBorders>
              <w:top w:val="nil"/>
              <w:left w:val="nil"/>
              <w:bottom w:val="single" w:sz="4" w:space="0" w:color="auto"/>
              <w:right w:val="single" w:sz="4" w:space="0" w:color="auto"/>
            </w:tcBorders>
            <w:shd w:val="clear" w:color="auto" w:fill="auto"/>
            <w:noWrap/>
            <w:vAlign w:val="bottom"/>
            <w:hideMark/>
          </w:tcPr>
          <w:p w14:paraId="3529EE42" w14:textId="77777777" w:rsidR="00FE399D" w:rsidRPr="00D1707B" w:rsidRDefault="00FE399D" w:rsidP="00582303">
            <w:pPr>
              <w:pStyle w:val="CBDTableNormal"/>
              <w:spacing w:before="0" w:after="0"/>
              <w:jc w:val="right"/>
              <w:rPr>
                <w:sz w:val="18"/>
                <w:szCs w:val="18"/>
              </w:rPr>
            </w:pPr>
            <w:r>
              <w:rPr>
                <w:sz w:val="18"/>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24A62296" w14:textId="77777777" w:rsidR="00FE399D" w:rsidRPr="00D1707B" w:rsidRDefault="00FE399D" w:rsidP="00582303">
            <w:pPr>
              <w:pStyle w:val="CBDTableNormal"/>
              <w:spacing w:before="0" w:after="0"/>
              <w:jc w:val="right"/>
              <w:rPr>
                <w:sz w:val="18"/>
                <w:szCs w:val="18"/>
              </w:rPr>
            </w:pPr>
            <w:r>
              <w:rPr>
                <w:sz w:val="18"/>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14898858" w14:textId="77777777" w:rsidR="00FE399D" w:rsidRPr="00D1707B" w:rsidRDefault="00FE399D" w:rsidP="00582303">
            <w:pPr>
              <w:pStyle w:val="CBDTableNormal"/>
              <w:spacing w:before="0" w:after="0"/>
              <w:jc w:val="right"/>
              <w:rPr>
                <w:sz w:val="18"/>
                <w:szCs w:val="18"/>
              </w:rPr>
            </w:pPr>
            <w:r>
              <w:rPr>
                <w:sz w:val="18"/>
              </w:rPr>
              <w:t>728</w:t>
            </w:r>
          </w:p>
        </w:tc>
      </w:tr>
      <w:tr w:rsidR="00FE399D" w:rsidRPr="00D1707B" w14:paraId="4504B1C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09A780B" w14:textId="77777777" w:rsidR="00FE399D" w:rsidRPr="00D1707B" w:rsidRDefault="00FE399D" w:rsidP="00582303">
            <w:pPr>
              <w:pStyle w:val="CBDTableNormal"/>
              <w:spacing w:before="0" w:after="0"/>
              <w:rPr>
                <w:sz w:val="18"/>
                <w:szCs w:val="18"/>
              </w:rPr>
            </w:pPr>
            <w:r>
              <w:rPr>
                <w:sz w:val="18"/>
              </w:rPr>
              <w:t>Samoa</w:t>
            </w:r>
          </w:p>
        </w:tc>
        <w:tc>
          <w:tcPr>
            <w:tcW w:w="1628" w:type="dxa"/>
            <w:tcBorders>
              <w:top w:val="nil"/>
              <w:left w:val="nil"/>
              <w:bottom w:val="single" w:sz="4" w:space="0" w:color="auto"/>
              <w:right w:val="single" w:sz="4" w:space="0" w:color="auto"/>
            </w:tcBorders>
            <w:shd w:val="clear" w:color="auto" w:fill="auto"/>
            <w:vAlign w:val="bottom"/>
            <w:hideMark/>
          </w:tcPr>
          <w:p w14:paraId="70FC349B"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167B0CD5"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09A7F7DC"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0BDC7A68"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2450A633"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27F5779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02491BB" w14:textId="77777777" w:rsidR="00FE399D" w:rsidRPr="00D1707B" w:rsidRDefault="00FE399D" w:rsidP="00582303">
            <w:pPr>
              <w:pStyle w:val="CBDTableNormal"/>
              <w:spacing w:before="0" w:after="0"/>
              <w:rPr>
                <w:sz w:val="18"/>
                <w:szCs w:val="18"/>
              </w:rPr>
            </w:pPr>
            <w:r>
              <w:rPr>
                <w:sz w:val="18"/>
              </w:rPr>
              <w:t>San Marino</w:t>
            </w:r>
          </w:p>
        </w:tc>
        <w:tc>
          <w:tcPr>
            <w:tcW w:w="1628" w:type="dxa"/>
            <w:tcBorders>
              <w:top w:val="nil"/>
              <w:left w:val="nil"/>
              <w:bottom w:val="single" w:sz="4" w:space="0" w:color="auto"/>
              <w:right w:val="single" w:sz="4" w:space="0" w:color="auto"/>
            </w:tcBorders>
            <w:shd w:val="clear" w:color="auto" w:fill="auto"/>
            <w:vAlign w:val="bottom"/>
            <w:hideMark/>
          </w:tcPr>
          <w:p w14:paraId="75F7917D" w14:textId="77777777" w:rsidR="00FE399D" w:rsidRPr="00D1707B" w:rsidRDefault="00FE399D" w:rsidP="00582303">
            <w:pPr>
              <w:pStyle w:val="CBDTableNormal"/>
              <w:spacing w:before="0" w:after="0"/>
              <w:jc w:val="right"/>
              <w:rPr>
                <w:sz w:val="18"/>
                <w:szCs w:val="18"/>
              </w:rPr>
            </w:pPr>
            <w:r>
              <w:rPr>
                <w:sz w:val="18"/>
              </w:rPr>
              <w:t>0,002</w:t>
            </w:r>
          </w:p>
        </w:tc>
        <w:tc>
          <w:tcPr>
            <w:tcW w:w="2198" w:type="dxa"/>
            <w:tcBorders>
              <w:top w:val="nil"/>
              <w:left w:val="nil"/>
              <w:bottom w:val="single" w:sz="4" w:space="0" w:color="auto"/>
              <w:right w:val="single" w:sz="4" w:space="0" w:color="auto"/>
            </w:tcBorders>
            <w:shd w:val="clear" w:color="auto" w:fill="auto"/>
            <w:noWrap/>
            <w:vAlign w:val="bottom"/>
            <w:hideMark/>
          </w:tcPr>
          <w:p w14:paraId="35957174" w14:textId="77777777" w:rsidR="00FE399D" w:rsidRPr="00D1707B" w:rsidRDefault="00FE399D" w:rsidP="00582303">
            <w:pPr>
              <w:pStyle w:val="CBDTableNormal"/>
              <w:spacing w:before="0" w:after="0"/>
              <w:jc w:val="right"/>
              <w:rPr>
                <w:sz w:val="18"/>
                <w:szCs w:val="18"/>
              </w:rPr>
            </w:pPr>
            <w:r>
              <w:rPr>
                <w:sz w:val="18"/>
              </w:rPr>
              <w:t>0,003</w:t>
            </w:r>
          </w:p>
        </w:tc>
        <w:tc>
          <w:tcPr>
            <w:tcW w:w="1176" w:type="dxa"/>
            <w:tcBorders>
              <w:top w:val="nil"/>
              <w:left w:val="nil"/>
              <w:bottom w:val="single" w:sz="4" w:space="0" w:color="auto"/>
              <w:right w:val="single" w:sz="4" w:space="0" w:color="auto"/>
            </w:tcBorders>
            <w:shd w:val="clear" w:color="auto" w:fill="auto"/>
            <w:noWrap/>
            <w:vAlign w:val="bottom"/>
            <w:hideMark/>
          </w:tcPr>
          <w:p w14:paraId="412E5186" w14:textId="77777777" w:rsidR="00FE399D" w:rsidRPr="00D1707B" w:rsidRDefault="00FE399D" w:rsidP="00582303">
            <w:pPr>
              <w:pStyle w:val="CBDTableNormal"/>
              <w:spacing w:before="0" w:after="0"/>
              <w:jc w:val="right"/>
              <w:rPr>
                <w:sz w:val="18"/>
                <w:szCs w:val="18"/>
              </w:rPr>
            </w:pPr>
            <w:r>
              <w:rPr>
                <w:sz w:val="18"/>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28FA481D" w14:textId="77777777" w:rsidR="00FE399D" w:rsidRPr="00D1707B" w:rsidRDefault="00FE399D" w:rsidP="00582303">
            <w:pPr>
              <w:pStyle w:val="CBDTableNormal"/>
              <w:spacing w:before="0" w:after="0"/>
              <w:jc w:val="right"/>
              <w:rPr>
                <w:sz w:val="18"/>
                <w:szCs w:val="18"/>
              </w:rPr>
            </w:pPr>
            <w:r>
              <w:rPr>
                <w:sz w:val="18"/>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24AD507C" w14:textId="77777777" w:rsidR="00FE399D" w:rsidRPr="00D1707B" w:rsidRDefault="00FE399D" w:rsidP="00582303">
            <w:pPr>
              <w:pStyle w:val="CBDTableNormal"/>
              <w:spacing w:before="0" w:after="0"/>
              <w:jc w:val="right"/>
              <w:rPr>
                <w:sz w:val="18"/>
                <w:szCs w:val="18"/>
              </w:rPr>
            </w:pPr>
            <w:r>
              <w:rPr>
                <w:sz w:val="18"/>
              </w:rPr>
              <w:t>728</w:t>
            </w:r>
          </w:p>
        </w:tc>
      </w:tr>
      <w:tr w:rsidR="00FE399D" w:rsidRPr="00D1707B" w14:paraId="3ECB1D7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EFAC8AF" w14:textId="77777777" w:rsidR="00FE399D" w:rsidRPr="00D1707B" w:rsidRDefault="00FE399D" w:rsidP="00582303">
            <w:pPr>
              <w:pStyle w:val="CBDTableNormal"/>
              <w:tabs>
                <w:tab w:val="clear" w:pos="567"/>
                <w:tab w:val="left" w:pos="178"/>
              </w:tabs>
              <w:spacing w:before="0" w:after="0"/>
              <w:ind w:left="144" w:hanging="144"/>
              <w:rPr>
                <w:sz w:val="18"/>
                <w:szCs w:val="18"/>
              </w:rPr>
            </w:pPr>
            <w:r>
              <w:rPr>
                <w:sz w:val="18"/>
              </w:rPr>
              <w:t>San Vicente y las Granadinas</w:t>
            </w:r>
          </w:p>
        </w:tc>
        <w:tc>
          <w:tcPr>
            <w:tcW w:w="1628" w:type="dxa"/>
            <w:tcBorders>
              <w:top w:val="nil"/>
              <w:left w:val="nil"/>
              <w:bottom w:val="single" w:sz="4" w:space="0" w:color="auto"/>
              <w:right w:val="single" w:sz="4" w:space="0" w:color="auto"/>
            </w:tcBorders>
            <w:shd w:val="clear" w:color="auto" w:fill="auto"/>
            <w:vAlign w:val="bottom"/>
            <w:hideMark/>
          </w:tcPr>
          <w:p w14:paraId="45F1A4B6"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6248AA5D"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18BCA03B"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175BC73C"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36F70D6F"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5DAA0C2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13706CD" w14:textId="77777777" w:rsidR="00FE399D" w:rsidRPr="00D1707B" w:rsidRDefault="00FE399D" w:rsidP="00582303">
            <w:pPr>
              <w:pStyle w:val="CBDTableNormal"/>
              <w:spacing w:before="0" w:after="0"/>
              <w:rPr>
                <w:sz w:val="18"/>
                <w:szCs w:val="18"/>
              </w:rPr>
            </w:pPr>
            <w:r>
              <w:rPr>
                <w:sz w:val="18"/>
              </w:rPr>
              <w:t>Santa Lucía</w:t>
            </w:r>
          </w:p>
        </w:tc>
        <w:tc>
          <w:tcPr>
            <w:tcW w:w="1628" w:type="dxa"/>
            <w:tcBorders>
              <w:top w:val="nil"/>
              <w:left w:val="nil"/>
              <w:bottom w:val="single" w:sz="4" w:space="0" w:color="auto"/>
              <w:right w:val="single" w:sz="4" w:space="0" w:color="auto"/>
            </w:tcBorders>
            <w:shd w:val="clear" w:color="auto" w:fill="auto"/>
            <w:vAlign w:val="bottom"/>
            <w:hideMark/>
          </w:tcPr>
          <w:p w14:paraId="070C9768" w14:textId="77777777" w:rsidR="00FE399D" w:rsidRPr="00D1707B" w:rsidRDefault="00FE399D" w:rsidP="00582303">
            <w:pPr>
              <w:pStyle w:val="CBDTableNormal"/>
              <w:spacing w:before="0" w:after="0"/>
              <w:jc w:val="right"/>
              <w:rPr>
                <w:sz w:val="18"/>
                <w:szCs w:val="18"/>
              </w:rPr>
            </w:pPr>
            <w:r>
              <w:rPr>
                <w:sz w:val="18"/>
              </w:rPr>
              <w:t>0,002</w:t>
            </w:r>
          </w:p>
        </w:tc>
        <w:tc>
          <w:tcPr>
            <w:tcW w:w="2198" w:type="dxa"/>
            <w:tcBorders>
              <w:top w:val="nil"/>
              <w:left w:val="nil"/>
              <w:bottom w:val="single" w:sz="4" w:space="0" w:color="auto"/>
              <w:right w:val="single" w:sz="4" w:space="0" w:color="auto"/>
            </w:tcBorders>
            <w:shd w:val="clear" w:color="auto" w:fill="auto"/>
            <w:noWrap/>
            <w:vAlign w:val="bottom"/>
            <w:hideMark/>
          </w:tcPr>
          <w:p w14:paraId="0919155A" w14:textId="77777777" w:rsidR="00FE399D" w:rsidRPr="00D1707B" w:rsidRDefault="00FE399D" w:rsidP="00582303">
            <w:pPr>
              <w:pStyle w:val="CBDTableNormal"/>
              <w:spacing w:before="0" w:after="0"/>
              <w:jc w:val="right"/>
              <w:rPr>
                <w:sz w:val="18"/>
                <w:szCs w:val="18"/>
              </w:rPr>
            </w:pPr>
            <w:r>
              <w:rPr>
                <w:sz w:val="18"/>
              </w:rPr>
              <w:t>0,003</w:t>
            </w:r>
          </w:p>
        </w:tc>
        <w:tc>
          <w:tcPr>
            <w:tcW w:w="1176" w:type="dxa"/>
            <w:tcBorders>
              <w:top w:val="nil"/>
              <w:left w:val="nil"/>
              <w:bottom w:val="single" w:sz="4" w:space="0" w:color="auto"/>
              <w:right w:val="single" w:sz="4" w:space="0" w:color="auto"/>
            </w:tcBorders>
            <w:shd w:val="clear" w:color="auto" w:fill="auto"/>
            <w:noWrap/>
            <w:vAlign w:val="bottom"/>
            <w:hideMark/>
          </w:tcPr>
          <w:p w14:paraId="2254C363" w14:textId="77777777" w:rsidR="00FE399D" w:rsidRPr="00D1707B" w:rsidRDefault="00FE399D" w:rsidP="00582303">
            <w:pPr>
              <w:pStyle w:val="CBDTableNormal"/>
              <w:spacing w:before="0" w:after="0"/>
              <w:jc w:val="right"/>
              <w:rPr>
                <w:sz w:val="18"/>
                <w:szCs w:val="18"/>
              </w:rPr>
            </w:pPr>
            <w:r>
              <w:rPr>
                <w:sz w:val="18"/>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28D86E74" w14:textId="77777777" w:rsidR="00FE399D" w:rsidRPr="00D1707B" w:rsidRDefault="00FE399D" w:rsidP="00582303">
            <w:pPr>
              <w:pStyle w:val="CBDTableNormal"/>
              <w:spacing w:before="0" w:after="0"/>
              <w:jc w:val="right"/>
              <w:rPr>
                <w:sz w:val="18"/>
                <w:szCs w:val="18"/>
              </w:rPr>
            </w:pPr>
            <w:r>
              <w:rPr>
                <w:sz w:val="18"/>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1212288B" w14:textId="77777777" w:rsidR="00FE399D" w:rsidRPr="00D1707B" w:rsidRDefault="00FE399D" w:rsidP="00582303">
            <w:pPr>
              <w:pStyle w:val="CBDTableNormal"/>
              <w:spacing w:before="0" w:after="0"/>
              <w:jc w:val="right"/>
              <w:rPr>
                <w:sz w:val="18"/>
                <w:szCs w:val="18"/>
              </w:rPr>
            </w:pPr>
            <w:r>
              <w:rPr>
                <w:sz w:val="18"/>
              </w:rPr>
              <w:t>728</w:t>
            </w:r>
          </w:p>
        </w:tc>
      </w:tr>
      <w:tr w:rsidR="00FE399D" w:rsidRPr="00D1707B" w14:paraId="6D31E0C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FA0FBB9" w14:textId="77777777" w:rsidR="00FE399D" w:rsidRPr="00D1707B" w:rsidRDefault="00FE399D" w:rsidP="00582303">
            <w:pPr>
              <w:pStyle w:val="CBDTableNormal"/>
              <w:spacing w:before="0" w:after="0"/>
              <w:rPr>
                <w:sz w:val="18"/>
                <w:szCs w:val="18"/>
              </w:rPr>
            </w:pPr>
            <w:r>
              <w:rPr>
                <w:sz w:val="18"/>
              </w:rPr>
              <w:t>Santo Tomé y Príncipe</w:t>
            </w:r>
          </w:p>
        </w:tc>
        <w:tc>
          <w:tcPr>
            <w:tcW w:w="1628" w:type="dxa"/>
            <w:tcBorders>
              <w:top w:val="nil"/>
              <w:left w:val="nil"/>
              <w:bottom w:val="single" w:sz="4" w:space="0" w:color="auto"/>
              <w:right w:val="single" w:sz="4" w:space="0" w:color="auto"/>
            </w:tcBorders>
            <w:shd w:val="clear" w:color="auto" w:fill="auto"/>
            <w:vAlign w:val="bottom"/>
            <w:hideMark/>
          </w:tcPr>
          <w:p w14:paraId="3DE5D3F4"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35011920"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062DA02B"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1F66464C"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31A39FB0"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55A4B17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D882056" w14:textId="77777777" w:rsidR="00FE399D" w:rsidRPr="00D1707B" w:rsidRDefault="00FE399D" w:rsidP="00582303">
            <w:pPr>
              <w:pStyle w:val="CBDTableNormal"/>
              <w:spacing w:before="0" w:after="0"/>
              <w:rPr>
                <w:sz w:val="18"/>
                <w:szCs w:val="18"/>
              </w:rPr>
            </w:pPr>
            <w:r>
              <w:rPr>
                <w:sz w:val="18"/>
              </w:rPr>
              <w:t>Senegal</w:t>
            </w:r>
          </w:p>
        </w:tc>
        <w:tc>
          <w:tcPr>
            <w:tcW w:w="1628" w:type="dxa"/>
            <w:tcBorders>
              <w:top w:val="nil"/>
              <w:left w:val="nil"/>
              <w:bottom w:val="single" w:sz="4" w:space="0" w:color="auto"/>
              <w:right w:val="single" w:sz="4" w:space="0" w:color="auto"/>
            </w:tcBorders>
            <w:shd w:val="clear" w:color="auto" w:fill="auto"/>
            <w:vAlign w:val="bottom"/>
            <w:hideMark/>
          </w:tcPr>
          <w:p w14:paraId="5A4D3D03" w14:textId="77777777" w:rsidR="00FE399D" w:rsidRPr="00D1707B" w:rsidRDefault="00FE399D" w:rsidP="00582303">
            <w:pPr>
              <w:pStyle w:val="CBDTableNormal"/>
              <w:spacing w:before="0" w:after="0"/>
              <w:jc w:val="right"/>
              <w:rPr>
                <w:sz w:val="18"/>
                <w:szCs w:val="18"/>
              </w:rPr>
            </w:pPr>
            <w:r>
              <w:rPr>
                <w:sz w:val="18"/>
              </w:rPr>
              <w:t>0,007</w:t>
            </w:r>
          </w:p>
        </w:tc>
        <w:tc>
          <w:tcPr>
            <w:tcW w:w="2198" w:type="dxa"/>
            <w:tcBorders>
              <w:top w:val="nil"/>
              <w:left w:val="nil"/>
              <w:bottom w:val="single" w:sz="4" w:space="0" w:color="auto"/>
              <w:right w:val="single" w:sz="4" w:space="0" w:color="auto"/>
            </w:tcBorders>
            <w:shd w:val="clear" w:color="auto" w:fill="auto"/>
            <w:noWrap/>
            <w:vAlign w:val="bottom"/>
            <w:hideMark/>
          </w:tcPr>
          <w:p w14:paraId="602A77A7" w14:textId="77777777" w:rsidR="00FE399D" w:rsidRPr="00D1707B" w:rsidRDefault="00FE399D" w:rsidP="00582303">
            <w:pPr>
              <w:pStyle w:val="CBDTableNormal"/>
              <w:spacing w:before="0" w:after="0"/>
              <w:jc w:val="right"/>
              <w:rPr>
                <w:sz w:val="18"/>
                <w:szCs w:val="18"/>
              </w:rPr>
            </w:pPr>
            <w:r>
              <w:rPr>
                <w:sz w:val="18"/>
              </w:rPr>
              <w:t>0,009</w:t>
            </w:r>
          </w:p>
        </w:tc>
        <w:tc>
          <w:tcPr>
            <w:tcW w:w="1176" w:type="dxa"/>
            <w:tcBorders>
              <w:top w:val="nil"/>
              <w:left w:val="nil"/>
              <w:bottom w:val="single" w:sz="4" w:space="0" w:color="auto"/>
              <w:right w:val="single" w:sz="4" w:space="0" w:color="auto"/>
            </w:tcBorders>
            <w:shd w:val="clear" w:color="auto" w:fill="auto"/>
            <w:noWrap/>
            <w:vAlign w:val="bottom"/>
            <w:hideMark/>
          </w:tcPr>
          <w:p w14:paraId="583D1A28" w14:textId="77777777" w:rsidR="00FE399D" w:rsidRPr="00D1707B" w:rsidRDefault="00FE399D" w:rsidP="00582303">
            <w:pPr>
              <w:pStyle w:val="CBDTableNormal"/>
              <w:spacing w:before="0" w:after="0"/>
              <w:jc w:val="right"/>
              <w:rPr>
                <w:sz w:val="18"/>
                <w:szCs w:val="18"/>
              </w:rPr>
            </w:pPr>
            <w:r>
              <w:rPr>
                <w:sz w:val="18"/>
              </w:rPr>
              <w:t>1 232</w:t>
            </w:r>
          </w:p>
        </w:tc>
        <w:tc>
          <w:tcPr>
            <w:tcW w:w="1461" w:type="dxa"/>
            <w:tcBorders>
              <w:top w:val="nil"/>
              <w:left w:val="nil"/>
              <w:bottom w:val="single" w:sz="4" w:space="0" w:color="auto"/>
              <w:right w:val="single" w:sz="4" w:space="0" w:color="auto"/>
            </w:tcBorders>
            <w:shd w:val="clear" w:color="auto" w:fill="auto"/>
            <w:noWrap/>
            <w:vAlign w:val="bottom"/>
            <w:hideMark/>
          </w:tcPr>
          <w:p w14:paraId="3B215E3A" w14:textId="77777777" w:rsidR="00FE399D" w:rsidRPr="00D1707B" w:rsidRDefault="00FE399D" w:rsidP="00582303">
            <w:pPr>
              <w:pStyle w:val="CBDTableNormal"/>
              <w:spacing w:before="0" w:after="0"/>
              <w:jc w:val="right"/>
              <w:rPr>
                <w:sz w:val="18"/>
                <w:szCs w:val="18"/>
              </w:rPr>
            </w:pPr>
            <w:r>
              <w:rPr>
                <w:sz w:val="18"/>
              </w:rPr>
              <w:t>1 316</w:t>
            </w:r>
          </w:p>
        </w:tc>
        <w:tc>
          <w:tcPr>
            <w:tcW w:w="1080" w:type="dxa"/>
            <w:tcBorders>
              <w:top w:val="nil"/>
              <w:left w:val="nil"/>
              <w:bottom w:val="single" w:sz="4" w:space="0" w:color="auto"/>
              <w:right w:val="single" w:sz="4" w:space="0" w:color="auto"/>
            </w:tcBorders>
            <w:shd w:val="clear" w:color="auto" w:fill="auto"/>
            <w:noWrap/>
            <w:vAlign w:val="bottom"/>
            <w:hideMark/>
          </w:tcPr>
          <w:p w14:paraId="0A28ADEA" w14:textId="77777777" w:rsidR="00FE399D" w:rsidRPr="00D1707B" w:rsidRDefault="00FE399D" w:rsidP="00582303">
            <w:pPr>
              <w:pStyle w:val="CBDTableNormal"/>
              <w:spacing w:before="0" w:after="0"/>
              <w:jc w:val="right"/>
              <w:rPr>
                <w:sz w:val="18"/>
                <w:szCs w:val="18"/>
              </w:rPr>
            </w:pPr>
            <w:r>
              <w:rPr>
                <w:sz w:val="18"/>
              </w:rPr>
              <w:t>2 548</w:t>
            </w:r>
          </w:p>
        </w:tc>
      </w:tr>
      <w:tr w:rsidR="00FE399D" w:rsidRPr="00D1707B" w14:paraId="1063B70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A39ED31" w14:textId="77777777" w:rsidR="00FE399D" w:rsidRPr="00D1707B" w:rsidRDefault="00FE399D" w:rsidP="00582303">
            <w:pPr>
              <w:pStyle w:val="CBDTableNormal"/>
              <w:spacing w:before="0" w:after="0"/>
              <w:rPr>
                <w:sz w:val="18"/>
                <w:szCs w:val="18"/>
              </w:rPr>
            </w:pPr>
            <w:r>
              <w:rPr>
                <w:sz w:val="18"/>
              </w:rPr>
              <w:t>Serbia</w:t>
            </w:r>
          </w:p>
        </w:tc>
        <w:tc>
          <w:tcPr>
            <w:tcW w:w="1628" w:type="dxa"/>
            <w:tcBorders>
              <w:top w:val="nil"/>
              <w:left w:val="nil"/>
              <w:bottom w:val="single" w:sz="4" w:space="0" w:color="auto"/>
              <w:right w:val="single" w:sz="4" w:space="0" w:color="auto"/>
            </w:tcBorders>
            <w:shd w:val="clear" w:color="auto" w:fill="auto"/>
            <w:vAlign w:val="bottom"/>
            <w:hideMark/>
          </w:tcPr>
          <w:p w14:paraId="0B4D300B" w14:textId="77777777" w:rsidR="00FE399D" w:rsidRPr="00D1707B" w:rsidRDefault="00FE399D" w:rsidP="00582303">
            <w:pPr>
              <w:pStyle w:val="CBDTableNormal"/>
              <w:spacing w:before="0" w:after="0"/>
              <w:jc w:val="right"/>
              <w:rPr>
                <w:sz w:val="18"/>
                <w:szCs w:val="18"/>
              </w:rPr>
            </w:pPr>
            <w:r>
              <w:rPr>
                <w:sz w:val="18"/>
              </w:rPr>
              <w:t>0,032</w:t>
            </w:r>
          </w:p>
        </w:tc>
        <w:tc>
          <w:tcPr>
            <w:tcW w:w="2198" w:type="dxa"/>
            <w:tcBorders>
              <w:top w:val="nil"/>
              <w:left w:val="nil"/>
              <w:bottom w:val="single" w:sz="4" w:space="0" w:color="auto"/>
              <w:right w:val="single" w:sz="4" w:space="0" w:color="auto"/>
            </w:tcBorders>
            <w:shd w:val="clear" w:color="auto" w:fill="auto"/>
            <w:noWrap/>
            <w:vAlign w:val="bottom"/>
            <w:hideMark/>
          </w:tcPr>
          <w:p w14:paraId="2B38D52A" w14:textId="77777777" w:rsidR="00FE399D" w:rsidRPr="00D1707B" w:rsidRDefault="00FE399D" w:rsidP="00582303">
            <w:pPr>
              <w:pStyle w:val="CBDTableNormal"/>
              <w:spacing w:before="0" w:after="0"/>
              <w:jc w:val="right"/>
              <w:rPr>
                <w:sz w:val="18"/>
                <w:szCs w:val="18"/>
              </w:rPr>
            </w:pPr>
            <w:r>
              <w:rPr>
                <w:sz w:val="18"/>
              </w:rPr>
              <w:t>0,040</w:t>
            </w:r>
          </w:p>
        </w:tc>
        <w:tc>
          <w:tcPr>
            <w:tcW w:w="1176" w:type="dxa"/>
            <w:tcBorders>
              <w:top w:val="nil"/>
              <w:left w:val="nil"/>
              <w:bottom w:val="single" w:sz="4" w:space="0" w:color="auto"/>
              <w:right w:val="single" w:sz="4" w:space="0" w:color="auto"/>
            </w:tcBorders>
            <w:shd w:val="clear" w:color="auto" w:fill="auto"/>
            <w:noWrap/>
            <w:vAlign w:val="bottom"/>
            <w:hideMark/>
          </w:tcPr>
          <w:p w14:paraId="3E566474" w14:textId="77777777" w:rsidR="00FE399D" w:rsidRPr="00D1707B" w:rsidRDefault="00FE399D" w:rsidP="00582303">
            <w:pPr>
              <w:pStyle w:val="CBDTableNormal"/>
              <w:spacing w:before="0" w:after="0"/>
              <w:jc w:val="right"/>
              <w:rPr>
                <w:sz w:val="18"/>
                <w:szCs w:val="18"/>
              </w:rPr>
            </w:pPr>
            <w:r>
              <w:rPr>
                <w:sz w:val="18"/>
              </w:rPr>
              <w:t>5 632</w:t>
            </w:r>
          </w:p>
        </w:tc>
        <w:tc>
          <w:tcPr>
            <w:tcW w:w="1461" w:type="dxa"/>
            <w:tcBorders>
              <w:top w:val="nil"/>
              <w:left w:val="nil"/>
              <w:bottom w:val="single" w:sz="4" w:space="0" w:color="auto"/>
              <w:right w:val="single" w:sz="4" w:space="0" w:color="auto"/>
            </w:tcBorders>
            <w:shd w:val="clear" w:color="auto" w:fill="auto"/>
            <w:noWrap/>
            <w:vAlign w:val="bottom"/>
            <w:hideMark/>
          </w:tcPr>
          <w:p w14:paraId="135898D3" w14:textId="77777777" w:rsidR="00FE399D" w:rsidRPr="00D1707B" w:rsidRDefault="00FE399D" w:rsidP="00582303">
            <w:pPr>
              <w:pStyle w:val="CBDTableNormal"/>
              <w:spacing w:before="0" w:after="0"/>
              <w:jc w:val="right"/>
              <w:rPr>
                <w:sz w:val="18"/>
                <w:szCs w:val="18"/>
              </w:rPr>
            </w:pPr>
            <w:r>
              <w:rPr>
                <w:sz w:val="18"/>
              </w:rPr>
              <w:t>6 017</w:t>
            </w:r>
          </w:p>
        </w:tc>
        <w:tc>
          <w:tcPr>
            <w:tcW w:w="1080" w:type="dxa"/>
            <w:tcBorders>
              <w:top w:val="nil"/>
              <w:left w:val="nil"/>
              <w:bottom w:val="single" w:sz="4" w:space="0" w:color="auto"/>
              <w:right w:val="single" w:sz="4" w:space="0" w:color="auto"/>
            </w:tcBorders>
            <w:shd w:val="clear" w:color="auto" w:fill="auto"/>
            <w:noWrap/>
            <w:vAlign w:val="bottom"/>
            <w:hideMark/>
          </w:tcPr>
          <w:p w14:paraId="48EB9298" w14:textId="77777777" w:rsidR="00FE399D" w:rsidRPr="00D1707B" w:rsidRDefault="00FE399D" w:rsidP="00582303">
            <w:pPr>
              <w:pStyle w:val="CBDTableNormal"/>
              <w:spacing w:before="0" w:after="0"/>
              <w:jc w:val="right"/>
              <w:rPr>
                <w:sz w:val="18"/>
                <w:szCs w:val="18"/>
              </w:rPr>
            </w:pPr>
            <w:r>
              <w:rPr>
                <w:sz w:val="18"/>
              </w:rPr>
              <w:t>11 649</w:t>
            </w:r>
          </w:p>
        </w:tc>
      </w:tr>
      <w:tr w:rsidR="00FE399D" w:rsidRPr="00D1707B" w14:paraId="4C32EA5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C721B6D" w14:textId="77777777" w:rsidR="00FE399D" w:rsidRPr="00D1707B" w:rsidRDefault="00FE399D" w:rsidP="00582303">
            <w:pPr>
              <w:pStyle w:val="CBDTableNormal"/>
              <w:spacing w:before="0" w:after="0"/>
              <w:rPr>
                <w:sz w:val="18"/>
                <w:szCs w:val="18"/>
              </w:rPr>
            </w:pPr>
            <w:r>
              <w:rPr>
                <w:sz w:val="18"/>
              </w:rPr>
              <w:t>Seychelles</w:t>
            </w:r>
          </w:p>
        </w:tc>
        <w:tc>
          <w:tcPr>
            <w:tcW w:w="1628" w:type="dxa"/>
            <w:tcBorders>
              <w:top w:val="nil"/>
              <w:left w:val="nil"/>
              <w:bottom w:val="single" w:sz="4" w:space="0" w:color="auto"/>
              <w:right w:val="single" w:sz="4" w:space="0" w:color="auto"/>
            </w:tcBorders>
            <w:shd w:val="clear" w:color="auto" w:fill="auto"/>
            <w:vAlign w:val="bottom"/>
            <w:hideMark/>
          </w:tcPr>
          <w:p w14:paraId="20931D29" w14:textId="77777777" w:rsidR="00FE399D" w:rsidRPr="00D1707B" w:rsidRDefault="00FE399D" w:rsidP="00582303">
            <w:pPr>
              <w:pStyle w:val="CBDTableNormal"/>
              <w:spacing w:before="0" w:after="0"/>
              <w:jc w:val="right"/>
              <w:rPr>
                <w:sz w:val="18"/>
                <w:szCs w:val="18"/>
              </w:rPr>
            </w:pPr>
            <w:r>
              <w:rPr>
                <w:sz w:val="18"/>
              </w:rPr>
              <w:t>0,002</w:t>
            </w:r>
          </w:p>
        </w:tc>
        <w:tc>
          <w:tcPr>
            <w:tcW w:w="2198" w:type="dxa"/>
            <w:tcBorders>
              <w:top w:val="nil"/>
              <w:left w:val="nil"/>
              <w:bottom w:val="single" w:sz="4" w:space="0" w:color="auto"/>
              <w:right w:val="single" w:sz="4" w:space="0" w:color="auto"/>
            </w:tcBorders>
            <w:shd w:val="clear" w:color="auto" w:fill="auto"/>
            <w:noWrap/>
            <w:vAlign w:val="bottom"/>
            <w:hideMark/>
          </w:tcPr>
          <w:p w14:paraId="46D26B56" w14:textId="77777777" w:rsidR="00FE399D" w:rsidRPr="00D1707B" w:rsidRDefault="00FE399D" w:rsidP="00582303">
            <w:pPr>
              <w:pStyle w:val="CBDTableNormal"/>
              <w:spacing w:before="0" w:after="0"/>
              <w:jc w:val="right"/>
              <w:rPr>
                <w:sz w:val="18"/>
                <w:szCs w:val="18"/>
              </w:rPr>
            </w:pPr>
            <w:r>
              <w:rPr>
                <w:sz w:val="18"/>
              </w:rPr>
              <w:t>0,003</w:t>
            </w:r>
          </w:p>
        </w:tc>
        <w:tc>
          <w:tcPr>
            <w:tcW w:w="1176" w:type="dxa"/>
            <w:tcBorders>
              <w:top w:val="nil"/>
              <w:left w:val="nil"/>
              <w:bottom w:val="single" w:sz="4" w:space="0" w:color="auto"/>
              <w:right w:val="single" w:sz="4" w:space="0" w:color="auto"/>
            </w:tcBorders>
            <w:shd w:val="clear" w:color="auto" w:fill="auto"/>
            <w:noWrap/>
            <w:vAlign w:val="bottom"/>
            <w:hideMark/>
          </w:tcPr>
          <w:p w14:paraId="116C99FD" w14:textId="77777777" w:rsidR="00FE399D" w:rsidRPr="00D1707B" w:rsidRDefault="00FE399D" w:rsidP="00582303">
            <w:pPr>
              <w:pStyle w:val="CBDTableNormal"/>
              <w:spacing w:before="0" w:after="0"/>
              <w:jc w:val="right"/>
              <w:rPr>
                <w:sz w:val="18"/>
                <w:szCs w:val="18"/>
              </w:rPr>
            </w:pPr>
            <w:r>
              <w:rPr>
                <w:sz w:val="18"/>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0E5C26ED" w14:textId="77777777" w:rsidR="00FE399D" w:rsidRPr="00D1707B" w:rsidRDefault="00FE399D" w:rsidP="00582303">
            <w:pPr>
              <w:pStyle w:val="CBDTableNormal"/>
              <w:spacing w:before="0" w:after="0"/>
              <w:jc w:val="right"/>
              <w:rPr>
                <w:sz w:val="18"/>
                <w:szCs w:val="18"/>
              </w:rPr>
            </w:pPr>
            <w:r>
              <w:rPr>
                <w:sz w:val="18"/>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004E056E" w14:textId="77777777" w:rsidR="00FE399D" w:rsidRPr="00D1707B" w:rsidRDefault="00FE399D" w:rsidP="00582303">
            <w:pPr>
              <w:pStyle w:val="CBDTableNormal"/>
              <w:spacing w:before="0" w:after="0"/>
              <w:jc w:val="right"/>
              <w:rPr>
                <w:sz w:val="18"/>
                <w:szCs w:val="18"/>
              </w:rPr>
            </w:pPr>
            <w:r>
              <w:rPr>
                <w:sz w:val="18"/>
              </w:rPr>
              <w:t>728</w:t>
            </w:r>
          </w:p>
        </w:tc>
      </w:tr>
      <w:tr w:rsidR="00FE399D" w:rsidRPr="00D1707B" w14:paraId="4CE3B05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854A083" w14:textId="77777777" w:rsidR="00FE399D" w:rsidRPr="00D1707B" w:rsidRDefault="00FE399D" w:rsidP="00582303">
            <w:pPr>
              <w:pStyle w:val="CBDTableNormal"/>
              <w:spacing w:before="0" w:after="0"/>
              <w:rPr>
                <w:sz w:val="18"/>
                <w:szCs w:val="18"/>
              </w:rPr>
            </w:pPr>
            <w:r>
              <w:rPr>
                <w:sz w:val="18"/>
              </w:rPr>
              <w:t>Sierra Leona</w:t>
            </w:r>
          </w:p>
        </w:tc>
        <w:tc>
          <w:tcPr>
            <w:tcW w:w="1628" w:type="dxa"/>
            <w:tcBorders>
              <w:top w:val="nil"/>
              <w:left w:val="nil"/>
              <w:bottom w:val="single" w:sz="4" w:space="0" w:color="auto"/>
              <w:right w:val="single" w:sz="4" w:space="0" w:color="auto"/>
            </w:tcBorders>
            <w:shd w:val="clear" w:color="auto" w:fill="auto"/>
            <w:vAlign w:val="bottom"/>
            <w:hideMark/>
          </w:tcPr>
          <w:p w14:paraId="419E9D74"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7D0B3923"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329BF74A"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246AAA3A"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2B112C78"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5092F6A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5EFDA28" w14:textId="77777777" w:rsidR="00FE399D" w:rsidRPr="00D1707B" w:rsidRDefault="00FE399D" w:rsidP="00582303">
            <w:pPr>
              <w:pStyle w:val="CBDTableNormal"/>
              <w:spacing w:before="0" w:after="0"/>
              <w:rPr>
                <w:sz w:val="18"/>
                <w:szCs w:val="18"/>
              </w:rPr>
            </w:pPr>
            <w:r>
              <w:rPr>
                <w:sz w:val="18"/>
              </w:rPr>
              <w:t>Singapur</w:t>
            </w:r>
          </w:p>
        </w:tc>
        <w:tc>
          <w:tcPr>
            <w:tcW w:w="1628" w:type="dxa"/>
            <w:tcBorders>
              <w:top w:val="nil"/>
              <w:left w:val="nil"/>
              <w:bottom w:val="single" w:sz="4" w:space="0" w:color="auto"/>
              <w:right w:val="single" w:sz="4" w:space="0" w:color="auto"/>
            </w:tcBorders>
            <w:shd w:val="clear" w:color="auto" w:fill="auto"/>
            <w:vAlign w:val="bottom"/>
            <w:hideMark/>
          </w:tcPr>
          <w:p w14:paraId="6D911C5A" w14:textId="77777777" w:rsidR="00FE399D" w:rsidRPr="00D1707B" w:rsidRDefault="00FE399D" w:rsidP="00582303">
            <w:pPr>
              <w:pStyle w:val="CBDTableNormal"/>
              <w:spacing w:before="0" w:after="0"/>
              <w:jc w:val="right"/>
              <w:rPr>
                <w:sz w:val="18"/>
                <w:szCs w:val="18"/>
              </w:rPr>
            </w:pPr>
            <w:r>
              <w:rPr>
                <w:sz w:val="18"/>
              </w:rPr>
              <w:t>0,504</w:t>
            </w:r>
          </w:p>
        </w:tc>
        <w:tc>
          <w:tcPr>
            <w:tcW w:w="2198" w:type="dxa"/>
            <w:tcBorders>
              <w:top w:val="nil"/>
              <w:left w:val="nil"/>
              <w:bottom w:val="single" w:sz="4" w:space="0" w:color="auto"/>
              <w:right w:val="single" w:sz="4" w:space="0" w:color="auto"/>
            </w:tcBorders>
            <w:shd w:val="clear" w:color="auto" w:fill="auto"/>
            <w:noWrap/>
            <w:vAlign w:val="bottom"/>
            <w:hideMark/>
          </w:tcPr>
          <w:p w14:paraId="72F99125" w14:textId="77777777" w:rsidR="00FE399D" w:rsidRPr="00D1707B" w:rsidRDefault="00FE399D" w:rsidP="00582303">
            <w:pPr>
              <w:pStyle w:val="CBDTableNormal"/>
              <w:spacing w:before="0" w:after="0"/>
              <w:jc w:val="right"/>
              <w:rPr>
                <w:sz w:val="18"/>
                <w:szCs w:val="18"/>
              </w:rPr>
            </w:pPr>
            <w:r>
              <w:rPr>
                <w:sz w:val="18"/>
              </w:rPr>
              <w:t>0,630</w:t>
            </w:r>
          </w:p>
        </w:tc>
        <w:tc>
          <w:tcPr>
            <w:tcW w:w="1176" w:type="dxa"/>
            <w:tcBorders>
              <w:top w:val="nil"/>
              <w:left w:val="nil"/>
              <w:bottom w:val="single" w:sz="4" w:space="0" w:color="auto"/>
              <w:right w:val="single" w:sz="4" w:space="0" w:color="auto"/>
            </w:tcBorders>
            <w:shd w:val="clear" w:color="auto" w:fill="auto"/>
            <w:noWrap/>
            <w:vAlign w:val="bottom"/>
            <w:hideMark/>
          </w:tcPr>
          <w:p w14:paraId="6B421A5F" w14:textId="77777777" w:rsidR="00FE399D" w:rsidRPr="00D1707B" w:rsidRDefault="00FE399D" w:rsidP="00582303">
            <w:pPr>
              <w:pStyle w:val="CBDTableNormal"/>
              <w:spacing w:before="0" w:after="0"/>
              <w:jc w:val="right"/>
              <w:rPr>
                <w:sz w:val="18"/>
                <w:szCs w:val="18"/>
              </w:rPr>
            </w:pPr>
            <w:r>
              <w:rPr>
                <w:sz w:val="18"/>
              </w:rPr>
              <w:t>88 701</w:t>
            </w:r>
          </w:p>
        </w:tc>
        <w:tc>
          <w:tcPr>
            <w:tcW w:w="1461" w:type="dxa"/>
            <w:tcBorders>
              <w:top w:val="nil"/>
              <w:left w:val="nil"/>
              <w:bottom w:val="single" w:sz="4" w:space="0" w:color="auto"/>
              <w:right w:val="single" w:sz="4" w:space="0" w:color="auto"/>
            </w:tcBorders>
            <w:shd w:val="clear" w:color="auto" w:fill="auto"/>
            <w:noWrap/>
            <w:vAlign w:val="bottom"/>
            <w:hideMark/>
          </w:tcPr>
          <w:p w14:paraId="61FA97EF" w14:textId="77777777" w:rsidR="00FE399D" w:rsidRPr="00D1707B" w:rsidRDefault="00FE399D" w:rsidP="00582303">
            <w:pPr>
              <w:pStyle w:val="CBDTableNormal"/>
              <w:spacing w:before="0" w:after="0"/>
              <w:jc w:val="right"/>
              <w:rPr>
                <w:sz w:val="18"/>
                <w:szCs w:val="18"/>
              </w:rPr>
            </w:pPr>
            <w:r>
              <w:rPr>
                <w:sz w:val="18"/>
              </w:rPr>
              <w:t>94 770</w:t>
            </w:r>
          </w:p>
        </w:tc>
        <w:tc>
          <w:tcPr>
            <w:tcW w:w="1080" w:type="dxa"/>
            <w:tcBorders>
              <w:top w:val="nil"/>
              <w:left w:val="nil"/>
              <w:bottom w:val="single" w:sz="4" w:space="0" w:color="auto"/>
              <w:right w:val="single" w:sz="4" w:space="0" w:color="auto"/>
            </w:tcBorders>
            <w:shd w:val="clear" w:color="auto" w:fill="auto"/>
            <w:noWrap/>
            <w:vAlign w:val="bottom"/>
            <w:hideMark/>
          </w:tcPr>
          <w:p w14:paraId="65A39B8A" w14:textId="77777777" w:rsidR="00FE399D" w:rsidRPr="00D1707B" w:rsidRDefault="00FE399D" w:rsidP="00582303">
            <w:pPr>
              <w:pStyle w:val="CBDTableNormal"/>
              <w:spacing w:before="0" w:after="0"/>
              <w:jc w:val="right"/>
              <w:rPr>
                <w:sz w:val="18"/>
                <w:szCs w:val="18"/>
              </w:rPr>
            </w:pPr>
            <w:r>
              <w:rPr>
                <w:sz w:val="18"/>
              </w:rPr>
              <w:t>183 472</w:t>
            </w:r>
          </w:p>
        </w:tc>
      </w:tr>
      <w:tr w:rsidR="00FE399D" w:rsidRPr="00D1707B" w14:paraId="1C4C1B6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10DC96D" w14:textId="77777777" w:rsidR="00FE399D" w:rsidRPr="00D1707B" w:rsidRDefault="00FE399D" w:rsidP="00582303">
            <w:pPr>
              <w:pStyle w:val="CBDTableNormal"/>
              <w:spacing w:before="0" w:after="0"/>
              <w:rPr>
                <w:sz w:val="18"/>
                <w:szCs w:val="18"/>
              </w:rPr>
            </w:pPr>
            <w:r>
              <w:rPr>
                <w:sz w:val="18"/>
              </w:rPr>
              <w:t>Somalia</w:t>
            </w:r>
          </w:p>
        </w:tc>
        <w:tc>
          <w:tcPr>
            <w:tcW w:w="1628" w:type="dxa"/>
            <w:tcBorders>
              <w:top w:val="nil"/>
              <w:left w:val="nil"/>
              <w:bottom w:val="single" w:sz="4" w:space="0" w:color="auto"/>
              <w:right w:val="single" w:sz="4" w:space="0" w:color="auto"/>
            </w:tcBorders>
            <w:shd w:val="clear" w:color="auto" w:fill="auto"/>
            <w:vAlign w:val="bottom"/>
            <w:hideMark/>
          </w:tcPr>
          <w:p w14:paraId="78F52320"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6F517C3B"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2417DC25"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426542E5"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41C421A9"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475ED37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EC3EB14" w14:textId="77777777" w:rsidR="00FE399D" w:rsidRPr="00D1707B" w:rsidRDefault="00FE399D" w:rsidP="00582303">
            <w:pPr>
              <w:pStyle w:val="CBDTableNormal"/>
              <w:spacing w:before="0" w:after="0"/>
              <w:rPr>
                <w:sz w:val="18"/>
                <w:szCs w:val="18"/>
              </w:rPr>
            </w:pPr>
            <w:r>
              <w:rPr>
                <w:sz w:val="18"/>
              </w:rPr>
              <w:t>Sri Lanka</w:t>
            </w:r>
          </w:p>
        </w:tc>
        <w:tc>
          <w:tcPr>
            <w:tcW w:w="1628" w:type="dxa"/>
            <w:tcBorders>
              <w:top w:val="nil"/>
              <w:left w:val="nil"/>
              <w:bottom w:val="single" w:sz="4" w:space="0" w:color="auto"/>
              <w:right w:val="single" w:sz="4" w:space="0" w:color="auto"/>
            </w:tcBorders>
            <w:shd w:val="clear" w:color="auto" w:fill="auto"/>
            <w:vAlign w:val="bottom"/>
            <w:hideMark/>
          </w:tcPr>
          <w:p w14:paraId="2D1E1BA2" w14:textId="77777777" w:rsidR="00FE399D" w:rsidRPr="00D1707B" w:rsidRDefault="00FE399D" w:rsidP="00582303">
            <w:pPr>
              <w:pStyle w:val="CBDTableNormal"/>
              <w:spacing w:before="0" w:after="0"/>
              <w:jc w:val="right"/>
              <w:rPr>
                <w:sz w:val="18"/>
                <w:szCs w:val="18"/>
              </w:rPr>
            </w:pPr>
            <w:r>
              <w:rPr>
                <w:sz w:val="18"/>
              </w:rPr>
              <w:t>0,045</w:t>
            </w:r>
          </w:p>
        </w:tc>
        <w:tc>
          <w:tcPr>
            <w:tcW w:w="2198" w:type="dxa"/>
            <w:tcBorders>
              <w:top w:val="nil"/>
              <w:left w:val="nil"/>
              <w:bottom w:val="single" w:sz="4" w:space="0" w:color="auto"/>
              <w:right w:val="single" w:sz="4" w:space="0" w:color="auto"/>
            </w:tcBorders>
            <w:shd w:val="clear" w:color="auto" w:fill="auto"/>
            <w:noWrap/>
            <w:vAlign w:val="bottom"/>
            <w:hideMark/>
          </w:tcPr>
          <w:p w14:paraId="7716E69F" w14:textId="77777777" w:rsidR="00FE399D" w:rsidRPr="00D1707B" w:rsidRDefault="00FE399D" w:rsidP="00582303">
            <w:pPr>
              <w:pStyle w:val="CBDTableNormal"/>
              <w:spacing w:before="0" w:after="0"/>
              <w:jc w:val="right"/>
              <w:rPr>
                <w:sz w:val="18"/>
                <w:szCs w:val="18"/>
              </w:rPr>
            </w:pPr>
            <w:r>
              <w:rPr>
                <w:sz w:val="18"/>
              </w:rPr>
              <w:t>0,056</w:t>
            </w:r>
          </w:p>
        </w:tc>
        <w:tc>
          <w:tcPr>
            <w:tcW w:w="1176" w:type="dxa"/>
            <w:tcBorders>
              <w:top w:val="nil"/>
              <w:left w:val="nil"/>
              <w:bottom w:val="single" w:sz="4" w:space="0" w:color="auto"/>
              <w:right w:val="single" w:sz="4" w:space="0" w:color="auto"/>
            </w:tcBorders>
            <w:shd w:val="clear" w:color="auto" w:fill="auto"/>
            <w:noWrap/>
            <w:vAlign w:val="bottom"/>
            <w:hideMark/>
          </w:tcPr>
          <w:p w14:paraId="449A5A9F" w14:textId="77777777" w:rsidR="00FE399D" w:rsidRPr="00D1707B" w:rsidRDefault="00FE399D" w:rsidP="00582303">
            <w:pPr>
              <w:pStyle w:val="CBDTableNormal"/>
              <w:spacing w:before="0" w:after="0"/>
              <w:jc w:val="right"/>
              <w:rPr>
                <w:sz w:val="18"/>
                <w:szCs w:val="18"/>
              </w:rPr>
            </w:pPr>
            <w:r>
              <w:rPr>
                <w:sz w:val="18"/>
              </w:rPr>
              <w:t>7 920</w:t>
            </w:r>
          </w:p>
        </w:tc>
        <w:tc>
          <w:tcPr>
            <w:tcW w:w="1461" w:type="dxa"/>
            <w:tcBorders>
              <w:top w:val="nil"/>
              <w:left w:val="nil"/>
              <w:bottom w:val="single" w:sz="4" w:space="0" w:color="auto"/>
              <w:right w:val="single" w:sz="4" w:space="0" w:color="auto"/>
            </w:tcBorders>
            <w:shd w:val="clear" w:color="auto" w:fill="auto"/>
            <w:noWrap/>
            <w:vAlign w:val="bottom"/>
            <w:hideMark/>
          </w:tcPr>
          <w:p w14:paraId="70935F26" w14:textId="77777777" w:rsidR="00FE399D" w:rsidRPr="00D1707B" w:rsidRDefault="00FE399D" w:rsidP="00582303">
            <w:pPr>
              <w:pStyle w:val="CBDTableNormal"/>
              <w:spacing w:before="0" w:after="0"/>
              <w:jc w:val="right"/>
              <w:rPr>
                <w:sz w:val="18"/>
                <w:szCs w:val="18"/>
              </w:rPr>
            </w:pPr>
            <w:r>
              <w:rPr>
                <w:sz w:val="18"/>
              </w:rPr>
              <w:t>8 462</w:t>
            </w:r>
          </w:p>
        </w:tc>
        <w:tc>
          <w:tcPr>
            <w:tcW w:w="1080" w:type="dxa"/>
            <w:tcBorders>
              <w:top w:val="nil"/>
              <w:left w:val="nil"/>
              <w:bottom w:val="single" w:sz="4" w:space="0" w:color="auto"/>
              <w:right w:val="single" w:sz="4" w:space="0" w:color="auto"/>
            </w:tcBorders>
            <w:shd w:val="clear" w:color="auto" w:fill="auto"/>
            <w:noWrap/>
            <w:vAlign w:val="bottom"/>
            <w:hideMark/>
          </w:tcPr>
          <w:p w14:paraId="60B62964" w14:textId="77777777" w:rsidR="00FE399D" w:rsidRPr="00D1707B" w:rsidRDefault="00FE399D" w:rsidP="00582303">
            <w:pPr>
              <w:pStyle w:val="CBDTableNormal"/>
              <w:spacing w:before="0" w:after="0"/>
              <w:jc w:val="right"/>
              <w:rPr>
                <w:sz w:val="18"/>
                <w:szCs w:val="18"/>
              </w:rPr>
            </w:pPr>
            <w:r>
              <w:rPr>
                <w:sz w:val="18"/>
              </w:rPr>
              <w:t>16 381</w:t>
            </w:r>
          </w:p>
        </w:tc>
      </w:tr>
      <w:tr w:rsidR="00FE399D" w:rsidRPr="00D1707B" w14:paraId="68CEA80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BE28865" w14:textId="77777777" w:rsidR="00FE399D" w:rsidRPr="00D1707B" w:rsidRDefault="00FE399D" w:rsidP="00582303">
            <w:pPr>
              <w:pStyle w:val="CBDTableNormal"/>
              <w:spacing w:before="0" w:after="0"/>
              <w:rPr>
                <w:sz w:val="18"/>
                <w:szCs w:val="18"/>
              </w:rPr>
            </w:pPr>
            <w:r>
              <w:rPr>
                <w:sz w:val="18"/>
              </w:rPr>
              <w:t>Sudáfrica</w:t>
            </w:r>
          </w:p>
        </w:tc>
        <w:tc>
          <w:tcPr>
            <w:tcW w:w="1628" w:type="dxa"/>
            <w:tcBorders>
              <w:top w:val="nil"/>
              <w:left w:val="nil"/>
              <w:bottom w:val="single" w:sz="4" w:space="0" w:color="auto"/>
              <w:right w:val="single" w:sz="4" w:space="0" w:color="auto"/>
            </w:tcBorders>
            <w:shd w:val="clear" w:color="auto" w:fill="auto"/>
            <w:vAlign w:val="bottom"/>
            <w:hideMark/>
          </w:tcPr>
          <w:p w14:paraId="5C974536" w14:textId="77777777" w:rsidR="00FE399D" w:rsidRPr="00D1707B" w:rsidRDefault="00FE399D" w:rsidP="00582303">
            <w:pPr>
              <w:pStyle w:val="CBDTableNormal"/>
              <w:spacing w:before="0" w:after="0"/>
              <w:jc w:val="right"/>
              <w:rPr>
                <w:sz w:val="18"/>
                <w:szCs w:val="18"/>
              </w:rPr>
            </w:pPr>
            <w:r>
              <w:rPr>
                <w:sz w:val="18"/>
              </w:rPr>
              <w:t>0,244</w:t>
            </w:r>
          </w:p>
        </w:tc>
        <w:tc>
          <w:tcPr>
            <w:tcW w:w="2198" w:type="dxa"/>
            <w:tcBorders>
              <w:top w:val="nil"/>
              <w:left w:val="nil"/>
              <w:bottom w:val="single" w:sz="4" w:space="0" w:color="auto"/>
              <w:right w:val="single" w:sz="4" w:space="0" w:color="auto"/>
            </w:tcBorders>
            <w:shd w:val="clear" w:color="auto" w:fill="auto"/>
            <w:noWrap/>
            <w:vAlign w:val="bottom"/>
            <w:hideMark/>
          </w:tcPr>
          <w:p w14:paraId="3246FD23" w14:textId="77777777" w:rsidR="00FE399D" w:rsidRPr="00D1707B" w:rsidRDefault="00FE399D" w:rsidP="00582303">
            <w:pPr>
              <w:pStyle w:val="CBDTableNormal"/>
              <w:spacing w:before="0" w:after="0"/>
              <w:jc w:val="right"/>
              <w:rPr>
                <w:sz w:val="18"/>
                <w:szCs w:val="18"/>
              </w:rPr>
            </w:pPr>
            <w:r>
              <w:rPr>
                <w:sz w:val="18"/>
              </w:rPr>
              <w:t>0,305</w:t>
            </w:r>
          </w:p>
        </w:tc>
        <w:tc>
          <w:tcPr>
            <w:tcW w:w="1176" w:type="dxa"/>
            <w:tcBorders>
              <w:top w:val="nil"/>
              <w:left w:val="nil"/>
              <w:bottom w:val="single" w:sz="4" w:space="0" w:color="auto"/>
              <w:right w:val="single" w:sz="4" w:space="0" w:color="auto"/>
            </w:tcBorders>
            <w:shd w:val="clear" w:color="auto" w:fill="auto"/>
            <w:noWrap/>
            <w:vAlign w:val="bottom"/>
            <w:hideMark/>
          </w:tcPr>
          <w:p w14:paraId="6869FD5B" w14:textId="77777777" w:rsidR="00FE399D" w:rsidRPr="00D1707B" w:rsidRDefault="00FE399D" w:rsidP="00582303">
            <w:pPr>
              <w:pStyle w:val="CBDTableNormal"/>
              <w:spacing w:before="0" w:after="0"/>
              <w:jc w:val="right"/>
              <w:rPr>
                <w:sz w:val="18"/>
                <w:szCs w:val="18"/>
              </w:rPr>
            </w:pPr>
            <w:r>
              <w:rPr>
                <w:sz w:val="18"/>
              </w:rPr>
              <w:t>42 943</w:t>
            </w:r>
          </w:p>
        </w:tc>
        <w:tc>
          <w:tcPr>
            <w:tcW w:w="1461" w:type="dxa"/>
            <w:tcBorders>
              <w:top w:val="nil"/>
              <w:left w:val="nil"/>
              <w:bottom w:val="single" w:sz="4" w:space="0" w:color="auto"/>
              <w:right w:val="single" w:sz="4" w:space="0" w:color="auto"/>
            </w:tcBorders>
            <w:shd w:val="clear" w:color="auto" w:fill="auto"/>
            <w:noWrap/>
            <w:vAlign w:val="bottom"/>
            <w:hideMark/>
          </w:tcPr>
          <w:p w14:paraId="45297D80" w14:textId="77777777" w:rsidR="00FE399D" w:rsidRPr="00D1707B" w:rsidRDefault="00FE399D" w:rsidP="00582303">
            <w:pPr>
              <w:pStyle w:val="CBDTableNormal"/>
              <w:spacing w:before="0" w:after="0"/>
              <w:jc w:val="right"/>
              <w:rPr>
                <w:sz w:val="18"/>
                <w:szCs w:val="18"/>
              </w:rPr>
            </w:pPr>
            <w:r>
              <w:rPr>
                <w:sz w:val="18"/>
              </w:rPr>
              <w:t>45 881</w:t>
            </w:r>
          </w:p>
        </w:tc>
        <w:tc>
          <w:tcPr>
            <w:tcW w:w="1080" w:type="dxa"/>
            <w:tcBorders>
              <w:top w:val="nil"/>
              <w:left w:val="nil"/>
              <w:bottom w:val="single" w:sz="4" w:space="0" w:color="auto"/>
              <w:right w:val="single" w:sz="4" w:space="0" w:color="auto"/>
            </w:tcBorders>
            <w:shd w:val="clear" w:color="auto" w:fill="auto"/>
            <w:noWrap/>
            <w:vAlign w:val="bottom"/>
            <w:hideMark/>
          </w:tcPr>
          <w:p w14:paraId="63C0717D" w14:textId="77777777" w:rsidR="00FE399D" w:rsidRPr="00D1707B" w:rsidRDefault="00FE399D" w:rsidP="00582303">
            <w:pPr>
              <w:pStyle w:val="CBDTableNormal"/>
              <w:spacing w:before="0" w:after="0"/>
              <w:jc w:val="right"/>
              <w:rPr>
                <w:sz w:val="18"/>
                <w:szCs w:val="18"/>
              </w:rPr>
            </w:pPr>
            <w:r>
              <w:rPr>
                <w:sz w:val="18"/>
              </w:rPr>
              <w:t>88 824</w:t>
            </w:r>
          </w:p>
        </w:tc>
      </w:tr>
      <w:tr w:rsidR="00FE399D" w:rsidRPr="00D1707B" w14:paraId="2AAC3FE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B1098F6" w14:textId="77777777" w:rsidR="00FE399D" w:rsidRPr="00D1707B" w:rsidRDefault="00FE399D" w:rsidP="00582303">
            <w:pPr>
              <w:pStyle w:val="CBDTableNormal"/>
              <w:spacing w:before="0" w:after="0"/>
              <w:rPr>
                <w:sz w:val="18"/>
                <w:szCs w:val="18"/>
              </w:rPr>
            </w:pPr>
            <w:r>
              <w:rPr>
                <w:sz w:val="18"/>
              </w:rPr>
              <w:t>Sudán</w:t>
            </w:r>
          </w:p>
        </w:tc>
        <w:tc>
          <w:tcPr>
            <w:tcW w:w="1628" w:type="dxa"/>
            <w:tcBorders>
              <w:top w:val="nil"/>
              <w:left w:val="nil"/>
              <w:bottom w:val="single" w:sz="4" w:space="0" w:color="auto"/>
              <w:right w:val="single" w:sz="4" w:space="0" w:color="auto"/>
            </w:tcBorders>
            <w:shd w:val="clear" w:color="auto" w:fill="auto"/>
            <w:vAlign w:val="bottom"/>
            <w:hideMark/>
          </w:tcPr>
          <w:p w14:paraId="26C90AB5" w14:textId="77777777" w:rsidR="00FE399D" w:rsidRPr="00D1707B" w:rsidRDefault="00FE399D" w:rsidP="00582303">
            <w:pPr>
              <w:pStyle w:val="CBDTableNormal"/>
              <w:spacing w:before="0" w:after="0"/>
              <w:jc w:val="right"/>
              <w:rPr>
                <w:sz w:val="18"/>
                <w:szCs w:val="18"/>
              </w:rPr>
            </w:pPr>
            <w:r>
              <w:rPr>
                <w:sz w:val="18"/>
              </w:rPr>
              <w:t>0,010</w:t>
            </w:r>
          </w:p>
        </w:tc>
        <w:tc>
          <w:tcPr>
            <w:tcW w:w="2198" w:type="dxa"/>
            <w:tcBorders>
              <w:top w:val="nil"/>
              <w:left w:val="nil"/>
              <w:bottom w:val="single" w:sz="4" w:space="0" w:color="auto"/>
              <w:right w:val="single" w:sz="4" w:space="0" w:color="auto"/>
            </w:tcBorders>
            <w:shd w:val="clear" w:color="auto" w:fill="auto"/>
            <w:noWrap/>
            <w:vAlign w:val="bottom"/>
            <w:hideMark/>
          </w:tcPr>
          <w:p w14:paraId="09AC8677" w14:textId="77777777" w:rsidR="00FE399D" w:rsidRPr="00D1707B" w:rsidRDefault="00FE399D" w:rsidP="00582303">
            <w:pPr>
              <w:pStyle w:val="CBDTableNormal"/>
              <w:spacing w:before="0" w:after="0"/>
              <w:jc w:val="right"/>
              <w:rPr>
                <w:sz w:val="18"/>
                <w:szCs w:val="18"/>
              </w:rPr>
            </w:pPr>
            <w:r>
              <w:rPr>
                <w:sz w:val="18"/>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3AAF4C5C" w14:textId="77777777" w:rsidR="00FE399D" w:rsidRPr="00D1707B" w:rsidRDefault="00FE399D" w:rsidP="00582303">
            <w:pPr>
              <w:pStyle w:val="CBDTableNormal"/>
              <w:spacing w:before="0" w:after="0"/>
              <w:jc w:val="right"/>
              <w:rPr>
                <w:sz w:val="18"/>
                <w:szCs w:val="18"/>
              </w:rPr>
            </w:pPr>
            <w:r>
              <w:rPr>
                <w:sz w:val="18"/>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72114A0C" w14:textId="77777777" w:rsidR="00FE399D" w:rsidRPr="00D1707B" w:rsidRDefault="00FE399D" w:rsidP="00582303">
            <w:pPr>
              <w:pStyle w:val="CBDTableNormal"/>
              <w:spacing w:before="0" w:after="0"/>
              <w:jc w:val="right"/>
              <w:rPr>
                <w:sz w:val="18"/>
                <w:szCs w:val="18"/>
              </w:rPr>
            </w:pPr>
            <w:r>
              <w:rPr>
                <w:sz w:val="18"/>
              </w:rPr>
              <w:t>1 504</w:t>
            </w:r>
          </w:p>
        </w:tc>
        <w:tc>
          <w:tcPr>
            <w:tcW w:w="1080" w:type="dxa"/>
            <w:tcBorders>
              <w:top w:val="nil"/>
              <w:left w:val="nil"/>
              <w:bottom w:val="single" w:sz="4" w:space="0" w:color="auto"/>
              <w:right w:val="single" w:sz="4" w:space="0" w:color="auto"/>
            </w:tcBorders>
            <w:shd w:val="clear" w:color="auto" w:fill="auto"/>
            <w:noWrap/>
            <w:vAlign w:val="bottom"/>
            <w:hideMark/>
          </w:tcPr>
          <w:p w14:paraId="1C52AC64" w14:textId="77777777" w:rsidR="00FE399D" w:rsidRPr="00D1707B" w:rsidRDefault="00FE399D" w:rsidP="00582303">
            <w:pPr>
              <w:pStyle w:val="CBDTableNormal"/>
              <w:spacing w:before="0" w:after="0"/>
              <w:jc w:val="right"/>
              <w:rPr>
                <w:sz w:val="18"/>
                <w:szCs w:val="18"/>
              </w:rPr>
            </w:pPr>
            <w:r>
              <w:rPr>
                <w:sz w:val="18"/>
              </w:rPr>
              <w:t>2 912</w:t>
            </w:r>
          </w:p>
        </w:tc>
      </w:tr>
      <w:tr w:rsidR="00FE399D" w:rsidRPr="00D1707B" w14:paraId="74FD5EB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D1BACDA" w14:textId="77777777" w:rsidR="00FE399D" w:rsidRPr="00D1707B" w:rsidRDefault="00FE399D" w:rsidP="00582303">
            <w:pPr>
              <w:pStyle w:val="CBDTableNormal"/>
              <w:spacing w:before="0" w:after="0"/>
              <w:rPr>
                <w:sz w:val="18"/>
                <w:szCs w:val="18"/>
              </w:rPr>
            </w:pPr>
            <w:r>
              <w:rPr>
                <w:sz w:val="18"/>
              </w:rPr>
              <w:t>Sudán del Sur</w:t>
            </w:r>
          </w:p>
        </w:tc>
        <w:tc>
          <w:tcPr>
            <w:tcW w:w="1628" w:type="dxa"/>
            <w:tcBorders>
              <w:top w:val="nil"/>
              <w:left w:val="nil"/>
              <w:bottom w:val="single" w:sz="4" w:space="0" w:color="auto"/>
              <w:right w:val="single" w:sz="4" w:space="0" w:color="auto"/>
            </w:tcBorders>
            <w:shd w:val="clear" w:color="auto" w:fill="auto"/>
            <w:vAlign w:val="bottom"/>
            <w:hideMark/>
          </w:tcPr>
          <w:p w14:paraId="19C2E251" w14:textId="77777777" w:rsidR="00FE399D" w:rsidRPr="00D1707B" w:rsidRDefault="00FE399D" w:rsidP="00582303">
            <w:pPr>
              <w:pStyle w:val="CBDTableNormal"/>
              <w:spacing w:before="0" w:after="0"/>
              <w:jc w:val="right"/>
              <w:rPr>
                <w:sz w:val="18"/>
                <w:szCs w:val="18"/>
              </w:rPr>
            </w:pPr>
            <w:r>
              <w:rPr>
                <w:sz w:val="18"/>
              </w:rPr>
              <w:t>0,002</w:t>
            </w:r>
          </w:p>
        </w:tc>
        <w:tc>
          <w:tcPr>
            <w:tcW w:w="2198" w:type="dxa"/>
            <w:tcBorders>
              <w:top w:val="nil"/>
              <w:left w:val="nil"/>
              <w:bottom w:val="single" w:sz="4" w:space="0" w:color="auto"/>
              <w:right w:val="single" w:sz="4" w:space="0" w:color="auto"/>
            </w:tcBorders>
            <w:shd w:val="clear" w:color="auto" w:fill="auto"/>
            <w:noWrap/>
            <w:vAlign w:val="bottom"/>
            <w:hideMark/>
          </w:tcPr>
          <w:p w14:paraId="6470FCF7" w14:textId="77777777" w:rsidR="00FE399D" w:rsidRPr="00D1707B" w:rsidRDefault="00FE399D" w:rsidP="00582303">
            <w:pPr>
              <w:pStyle w:val="CBDTableNormal"/>
              <w:spacing w:before="0" w:after="0"/>
              <w:jc w:val="right"/>
              <w:rPr>
                <w:sz w:val="18"/>
                <w:szCs w:val="18"/>
              </w:rPr>
            </w:pPr>
            <w:r>
              <w:rPr>
                <w:sz w:val="18"/>
              </w:rPr>
              <w:t>0,003</w:t>
            </w:r>
          </w:p>
        </w:tc>
        <w:tc>
          <w:tcPr>
            <w:tcW w:w="1176" w:type="dxa"/>
            <w:tcBorders>
              <w:top w:val="nil"/>
              <w:left w:val="nil"/>
              <w:bottom w:val="single" w:sz="4" w:space="0" w:color="auto"/>
              <w:right w:val="single" w:sz="4" w:space="0" w:color="auto"/>
            </w:tcBorders>
            <w:shd w:val="clear" w:color="auto" w:fill="auto"/>
            <w:noWrap/>
            <w:vAlign w:val="bottom"/>
            <w:hideMark/>
          </w:tcPr>
          <w:p w14:paraId="5DA56AC4" w14:textId="77777777" w:rsidR="00FE399D" w:rsidRPr="00D1707B" w:rsidRDefault="00FE399D" w:rsidP="00582303">
            <w:pPr>
              <w:pStyle w:val="CBDTableNormal"/>
              <w:spacing w:before="0" w:after="0"/>
              <w:jc w:val="right"/>
              <w:rPr>
                <w:sz w:val="18"/>
                <w:szCs w:val="18"/>
              </w:rPr>
            </w:pPr>
            <w:r>
              <w:rPr>
                <w:sz w:val="18"/>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2DFDD5A5" w14:textId="77777777" w:rsidR="00FE399D" w:rsidRPr="00D1707B" w:rsidRDefault="00FE399D" w:rsidP="00582303">
            <w:pPr>
              <w:pStyle w:val="CBDTableNormal"/>
              <w:spacing w:before="0" w:after="0"/>
              <w:jc w:val="right"/>
              <w:rPr>
                <w:sz w:val="18"/>
                <w:szCs w:val="18"/>
              </w:rPr>
            </w:pPr>
            <w:r>
              <w:rPr>
                <w:sz w:val="18"/>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7DF9D8C1" w14:textId="77777777" w:rsidR="00FE399D" w:rsidRPr="00D1707B" w:rsidRDefault="00FE399D" w:rsidP="00582303">
            <w:pPr>
              <w:pStyle w:val="CBDTableNormal"/>
              <w:spacing w:before="0" w:after="0"/>
              <w:jc w:val="right"/>
              <w:rPr>
                <w:sz w:val="18"/>
                <w:szCs w:val="18"/>
              </w:rPr>
            </w:pPr>
            <w:r>
              <w:rPr>
                <w:sz w:val="18"/>
              </w:rPr>
              <w:t>728</w:t>
            </w:r>
          </w:p>
        </w:tc>
      </w:tr>
      <w:tr w:rsidR="00FE399D" w:rsidRPr="00D1707B" w14:paraId="10FD00B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726B2CC" w14:textId="77777777" w:rsidR="00FE399D" w:rsidRPr="00D1707B" w:rsidRDefault="00FE399D" w:rsidP="00582303">
            <w:pPr>
              <w:pStyle w:val="CBDTableNormal"/>
              <w:spacing w:before="0" w:after="0"/>
              <w:rPr>
                <w:sz w:val="18"/>
                <w:szCs w:val="18"/>
              </w:rPr>
            </w:pPr>
            <w:r>
              <w:rPr>
                <w:sz w:val="18"/>
              </w:rPr>
              <w:t>Suecia</w:t>
            </w:r>
          </w:p>
        </w:tc>
        <w:tc>
          <w:tcPr>
            <w:tcW w:w="1628" w:type="dxa"/>
            <w:tcBorders>
              <w:top w:val="nil"/>
              <w:left w:val="nil"/>
              <w:bottom w:val="single" w:sz="4" w:space="0" w:color="auto"/>
              <w:right w:val="single" w:sz="4" w:space="0" w:color="auto"/>
            </w:tcBorders>
            <w:shd w:val="clear" w:color="auto" w:fill="auto"/>
            <w:vAlign w:val="bottom"/>
            <w:hideMark/>
          </w:tcPr>
          <w:p w14:paraId="62A617BF" w14:textId="77777777" w:rsidR="00FE399D" w:rsidRPr="00D1707B" w:rsidRDefault="00FE399D" w:rsidP="00582303">
            <w:pPr>
              <w:pStyle w:val="CBDTableNormal"/>
              <w:spacing w:before="0" w:after="0"/>
              <w:jc w:val="right"/>
              <w:rPr>
                <w:sz w:val="18"/>
                <w:szCs w:val="18"/>
              </w:rPr>
            </w:pPr>
            <w:r>
              <w:rPr>
                <w:sz w:val="18"/>
              </w:rPr>
              <w:t>0,871</w:t>
            </w:r>
          </w:p>
        </w:tc>
        <w:tc>
          <w:tcPr>
            <w:tcW w:w="2198" w:type="dxa"/>
            <w:tcBorders>
              <w:top w:val="nil"/>
              <w:left w:val="nil"/>
              <w:bottom w:val="single" w:sz="4" w:space="0" w:color="auto"/>
              <w:right w:val="single" w:sz="4" w:space="0" w:color="auto"/>
            </w:tcBorders>
            <w:shd w:val="clear" w:color="auto" w:fill="auto"/>
            <w:noWrap/>
            <w:vAlign w:val="bottom"/>
            <w:hideMark/>
          </w:tcPr>
          <w:p w14:paraId="18E9D9D9" w14:textId="77777777" w:rsidR="00FE399D" w:rsidRPr="00D1707B" w:rsidRDefault="00FE399D" w:rsidP="00582303">
            <w:pPr>
              <w:pStyle w:val="CBDTableNormal"/>
              <w:spacing w:before="0" w:after="0"/>
              <w:jc w:val="right"/>
              <w:rPr>
                <w:sz w:val="18"/>
                <w:szCs w:val="18"/>
              </w:rPr>
            </w:pPr>
            <w:r>
              <w:rPr>
                <w:sz w:val="18"/>
              </w:rPr>
              <w:t>1,089</w:t>
            </w:r>
          </w:p>
        </w:tc>
        <w:tc>
          <w:tcPr>
            <w:tcW w:w="1176" w:type="dxa"/>
            <w:tcBorders>
              <w:top w:val="nil"/>
              <w:left w:val="nil"/>
              <w:bottom w:val="single" w:sz="4" w:space="0" w:color="auto"/>
              <w:right w:val="single" w:sz="4" w:space="0" w:color="auto"/>
            </w:tcBorders>
            <w:shd w:val="clear" w:color="auto" w:fill="auto"/>
            <w:noWrap/>
            <w:vAlign w:val="bottom"/>
            <w:hideMark/>
          </w:tcPr>
          <w:p w14:paraId="5E571D0B" w14:textId="77777777" w:rsidR="00FE399D" w:rsidRPr="00D1707B" w:rsidRDefault="00FE399D" w:rsidP="00582303">
            <w:pPr>
              <w:pStyle w:val="CBDTableNormal"/>
              <w:spacing w:before="0" w:after="0"/>
              <w:jc w:val="right"/>
              <w:rPr>
                <w:sz w:val="18"/>
                <w:szCs w:val="18"/>
              </w:rPr>
            </w:pPr>
            <w:r>
              <w:rPr>
                <w:sz w:val="18"/>
              </w:rPr>
              <w:t>153 291</w:t>
            </w:r>
          </w:p>
        </w:tc>
        <w:tc>
          <w:tcPr>
            <w:tcW w:w="1461" w:type="dxa"/>
            <w:tcBorders>
              <w:top w:val="nil"/>
              <w:left w:val="nil"/>
              <w:bottom w:val="single" w:sz="4" w:space="0" w:color="auto"/>
              <w:right w:val="single" w:sz="4" w:space="0" w:color="auto"/>
            </w:tcBorders>
            <w:shd w:val="clear" w:color="auto" w:fill="auto"/>
            <w:noWrap/>
            <w:vAlign w:val="bottom"/>
            <w:hideMark/>
          </w:tcPr>
          <w:p w14:paraId="4F020636" w14:textId="77777777" w:rsidR="00FE399D" w:rsidRPr="00D1707B" w:rsidRDefault="00FE399D" w:rsidP="00582303">
            <w:pPr>
              <w:pStyle w:val="CBDTableNormal"/>
              <w:spacing w:before="0" w:after="0"/>
              <w:jc w:val="right"/>
              <w:rPr>
                <w:sz w:val="18"/>
                <w:szCs w:val="18"/>
              </w:rPr>
            </w:pPr>
            <w:r>
              <w:rPr>
                <w:sz w:val="18"/>
              </w:rPr>
              <w:t>163 780</w:t>
            </w:r>
          </w:p>
        </w:tc>
        <w:tc>
          <w:tcPr>
            <w:tcW w:w="1080" w:type="dxa"/>
            <w:tcBorders>
              <w:top w:val="nil"/>
              <w:left w:val="nil"/>
              <w:bottom w:val="single" w:sz="4" w:space="0" w:color="auto"/>
              <w:right w:val="single" w:sz="4" w:space="0" w:color="auto"/>
            </w:tcBorders>
            <w:shd w:val="clear" w:color="auto" w:fill="auto"/>
            <w:noWrap/>
            <w:vAlign w:val="bottom"/>
            <w:hideMark/>
          </w:tcPr>
          <w:p w14:paraId="1BB52FF1" w14:textId="77777777" w:rsidR="00FE399D" w:rsidRPr="00D1707B" w:rsidRDefault="00FE399D" w:rsidP="00582303">
            <w:pPr>
              <w:pStyle w:val="CBDTableNormal"/>
              <w:spacing w:before="0" w:after="0"/>
              <w:jc w:val="right"/>
              <w:rPr>
                <w:sz w:val="18"/>
                <w:szCs w:val="18"/>
              </w:rPr>
            </w:pPr>
            <w:r>
              <w:rPr>
                <w:sz w:val="18"/>
              </w:rPr>
              <w:t>317 071</w:t>
            </w:r>
          </w:p>
        </w:tc>
      </w:tr>
      <w:tr w:rsidR="00FE399D" w:rsidRPr="00D1707B" w14:paraId="148D945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511A0AF" w14:textId="77777777" w:rsidR="00FE399D" w:rsidRPr="00D1707B" w:rsidRDefault="00FE399D" w:rsidP="00582303">
            <w:pPr>
              <w:pStyle w:val="CBDTableNormal"/>
              <w:spacing w:before="0" w:after="0"/>
              <w:rPr>
                <w:sz w:val="18"/>
                <w:szCs w:val="18"/>
              </w:rPr>
            </w:pPr>
            <w:r>
              <w:rPr>
                <w:sz w:val="18"/>
              </w:rPr>
              <w:t>Suiza</w:t>
            </w:r>
          </w:p>
        </w:tc>
        <w:tc>
          <w:tcPr>
            <w:tcW w:w="1628" w:type="dxa"/>
            <w:tcBorders>
              <w:top w:val="nil"/>
              <w:left w:val="nil"/>
              <w:bottom w:val="single" w:sz="4" w:space="0" w:color="auto"/>
              <w:right w:val="single" w:sz="4" w:space="0" w:color="auto"/>
            </w:tcBorders>
            <w:shd w:val="clear" w:color="auto" w:fill="auto"/>
            <w:vAlign w:val="bottom"/>
            <w:hideMark/>
          </w:tcPr>
          <w:p w14:paraId="204E2D7F" w14:textId="77777777" w:rsidR="00FE399D" w:rsidRPr="00D1707B" w:rsidRDefault="00FE399D" w:rsidP="00582303">
            <w:pPr>
              <w:pStyle w:val="CBDTableNormal"/>
              <w:spacing w:before="0" w:after="0"/>
              <w:jc w:val="right"/>
              <w:rPr>
                <w:sz w:val="18"/>
                <w:szCs w:val="18"/>
              </w:rPr>
            </w:pPr>
            <w:r>
              <w:rPr>
                <w:sz w:val="18"/>
              </w:rPr>
              <w:t>1,134</w:t>
            </w:r>
          </w:p>
        </w:tc>
        <w:tc>
          <w:tcPr>
            <w:tcW w:w="2198" w:type="dxa"/>
            <w:tcBorders>
              <w:top w:val="nil"/>
              <w:left w:val="nil"/>
              <w:bottom w:val="single" w:sz="4" w:space="0" w:color="auto"/>
              <w:right w:val="single" w:sz="4" w:space="0" w:color="auto"/>
            </w:tcBorders>
            <w:shd w:val="clear" w:color="auto" w:fill="auto"/>
            <w:noWrap/>
            <w:vAlign w:val="bottom"/>
            <w:hideMark/>
          </w:tcPr>
          <w:p w14:paraId="72342565" w14:textId="77777777" w:rsidR="00FE399D" w:rsidRPr="00D1707B" w:rsidRDefault="00FE399D" w:rsidP="00582303">
            <w:pPr>
              <w:pStyle w:val="CBDTableNormal"/>
              <w:spacing w:before="0" w:after="0"/>
              <w:jc w:val="right"/>
              <w:rPr>
                <w:sz w:val="18"/>
                <w:szCs w:val="18"/>
              </w:rPr>
            </w:pPr>
            <w:r>
              <w:rPr>
                <w:sz w:val="18"/>
              </w:rPr>
              <w:t>1,418</w:t>
            </w:r>
          </w:p>
        </w:tc>
        <w:tc>
          <w:tcPr>
            <w:tcW w:w="1176" w:type="dxa"/>
            <w:tcBorders>
              <w:top w:val="nil"/>
              <w:left w:val="nil"/>
              <w:bottom w:val="single" w:sz="4" w:space="0" w:color="auto"/>
              <w:right w:val="single" w:sz="4" w:space="0" w:color="auto"/>
            </w:tcBorders>
            <w:shd w:val="clear" w:color="auto" w:fill="auto"/>
            <w:noWrap/>
            <w:vAlign w:val="bottom"/>
            <w:hideMark/>
          </w:tcPr>
          <w:p w14:paraId="558B7FBD" w14:textId="77777777" w:rsidR="00FE399D" w:rsidRPr="00D1707B" w:rsidRDefault="00FE399D" w:rsidP="00582303">
            <w:pPr>
              <w:pStyle w:val="CBDTableNormal"/>
              <w:spacing w:before="0" w:after="0"/>
              <w:jc w:val="right"/>
              <w:rPr>
                <w:sz w:val="18"/>
                <w:szCs w:val="18"/>
              </w:rPr>
            </w:pPr>
            <w:r>
              <w:rPr>
                <w:sz w:val="18"/>
              </w:rPr>
              <w:t>199 578</w:t>
            </w:r>
          </w:p>
        </w:tc>
        <w:tc>
          <w:tcPr>
            <w:tcW w:w="1461" w:type="dxa"/>
            <w:tcBorders>
              <w:top w:val="nil"/>
              <w:left w:val="nil"/>
              <w:bottom w:val="single" w:sz="4" w:space="0" w:color="auto"/>
              <w:right w:val="single" w:sz="4" w:space="0" w:color="auto"/>
            </w:tcBorders>
            <w:shd w:val="clear" w:color="auto" w:fill="auto"/>
            <w:noWrap/>
            <w:vAlign w:val="bottom"/>
            <w:hideMark/>
          </w:tcPr>
          <w:p w14:paraId="63B04CCD" w14:textId="77777777" w:rsidR="00FE399D" w:rsidRPr="00D1707B" w:rsidRDefault="00FE399D" w:rsidP="00582303">
            <w:pPr>
              <w:pStyle w:val="CBDTableNormal"/>
              <w:spacing w:before="0" w:after="0"/>
              <w:jc w:val="right"/>
              <w:rPr>
                <w:sz w:val="18"/>
                <w:szCs w:val="18"/>
              </w:rPr>
            </w:pPr>
            <w:r>
              <w:rPr>
                <w:sz w:val="18"/>
              </w:rPr>
              <w:t>213 233</w:t>
            </w:r>
          </w:p>
        </w:tc>
        <w:tc>
          <w:tcPr>
            <w:tcW w:w="1080" w:type="dxa"/>
            <w:tcBorders>
              <w:top w:val="nil"/>
              <w:left w:val="nil"/>
              <w:bottom w:val="single" w:sz="4" w:space="0" w:color="auto"/>
              <w:right w:val="single" w:sz="4" w:space="0" w:color="auto"/>
            </w:tcBorders>
            <w:shd w:val="clear" w:color="auto" w:fill="auto"/>
            <w:noWrap/>
            <w:vAlign w:val="bottom"/>
            <w:hideMark/>
          </w:tcPr>
          <w:p w14:paraId="7D7F37D3" w14:textId="77777777" w:rsidR="00FE399D" w:rsidRPr="00D1707B" w:rsidRDefault="00FE399D" w:rsidP="00582303">
            <w:pPr>
              <w:pStyle w:val="CBDTableNormal"/>
              <w:spacing w:before="0" w:after="0"/>
              <w:jc w:val="right"/>
              <w:rPr>
                <w:sz w:val="18"/>
                <w:szCs w:val="18"/>
              </w:rPr>
            </w:pPr>
            <w:r>
              <w:rPr>
                <w:sz w:val="18"/>
              </w:rPr>
              <w:t>412 811</w:t>
            </w:r>
          </w:p>
        </w:tc>
      </w:tr>
      <w:tr w:rsidR="00FE399D" w:rsidRPr="00D1707B" w14:paraId="61A1F8F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67F81E1" w14:textId="77777777" w:rsidR="00FE399D" w:rsidRPr="00D1707B" w:rsidRDefault="00FE399D" w:rsidP="00582303">
            <w:pPr>
              <w:pStyle w:val="CBDTableNormal"/>
              <w:spacing w:before="0" w:after="0"/>
              <w:rPr>
                <w:sz w:val="18"/>
                <w:szCs w:val="18"/>
              </w:rPr>
            </w:pPr>
            <w:r>
              <w:rPr>
                <w:sz w:val="18"/>
              </w:rPr>
              <w:t>Suriname</w:t>
            </w:r>
          </w:p>
        </w:tc>
        <w:tc>
          <w:tcPr>
            <w:tcW w:w="1628" w:type="dxa"/>
            <w:tcBorders>
              <w:top w:val="nil"/>
              <w:left w:val="nil"/>
              <w:bottom w:val="single" w:sz="4" w:space="0" w:color="auto"/>
              <w:right w:val="single" w:sz="4" w:space="0" w:color="auto"/>
            </w:tcBorders>
            <w:shd w:val="clear" w:color="auto" w:fill="auto"/>
            <w:vAlign w:val="bottom"/>
            <w:hideMark/>
          </w:tcPr>
          <w:p w14:paraId="34A64CC9" w14:textId="77777777" w:rsidR="00FE399D" w:rsidRPr="00D1707B" w:rsidRDefault="00FE399D" w:rsidP="00582303">
            <w:pPr>
              <w:pStyle w:val="CBDTableNormal"/>
              <w:spacing w:before="0" w:after="0"/>
              <w:jc w:val="right"/>
              <w:rPr>
                <w:sz w:val="18"/>
                <w:szCs w:val="18"/>
              </w:rPr>
            </w:pPr>
            <w:r>
              <w:rPr>
                <w:sz w:val="18"/>
              </w:rPr>
              <w:t>0,003</w:t>
            </w:r>
          </w:p>
        </w:tc>
        <w:tc>
          <w:tcPr>
            <w:tcW w:w="2198" w:type="dxa"/>
            <w:tcBorders>
              <w:top w:val="nil"/>
              <w:left w:val="nil"/>
              <w:bottom w:val="single" w:sz="4" w:space="0" w:color="auto"/>
              <w:right w:val="single" w:sz="4" w:space="0" w:color="auto"/>
            </w:tcBorders>
            <w:shd w:val="clear" w:color="auto" w:fill="auto"/>
            <w:noWrap/>
            <w:vAlign w:val="bottom"/>
            <w:hideMark/>
          </w:tcPr>
          <w:p w14:paraId="6ADC8FC3" w14:textId="77777777" w:rsidR="00FE399D" w:rsidRPr="00D1707B" w:rsidRDefault="00FE399D" w:rsidP="00582303">
            <w:pPr>
              <w:pStyle w:val="CBDTableNormal"/>
              <w:spacing w:before="0" w:after="0"/>
              <w:jc w:val="right"/>
              <w:rPr>
                <w:sz w:val="18"/>
                <w:szCs w:val="18"/>
              </w:rPr>
            </w:pPr>
            <w:r>
              <w:rPr>
                <w:sz w:val="18"/>
              </w:rPr>
              <w:t>0,004</w:t>
            </w:r>
          </w:p>
        </w:tc>
        <w:tc>
          <w:tcPr>
            <w:tcW w:w="1176" w:type="dxa"/>
            <w:tcBorders>
              <w:top w:val="nil"/>
              <w:left w:val="nil"/>
              <w:bottom w:val="single" w:sz="4" w:space="0" w:color="auto"/>
              <w:right w:val="single" w:sz="4" w:space="0" w:color="auto"/>
            </w:tcBorders>
            <w:shd w:val="clear" w:color="auto" w:fill="auto"/>
            <w:noWrap/>
            <w:vAlign w:val="bottom"/>
            <w:hideMark/>
          </w:tcPr>
          <w:p w14:paraId="2A841664" w14:textId="77777777" w:rsidR="00FE399D" w:rsidRPr="00D1707B" w:rsidRDefault="00FE399D" w:rsidP="00582303">
            <w:pPr>
              <w:pStyle w:val="CBDTableNormal"/>
              <w:spacing w:before="0" w:after="0"/>
              <w:jc w:val="right"/>
              <w:rPr>
                <w:sz w:val="18"/>
                <w:szCs w:val="18"/>
              </w:rPr>
            </w:pPr>
            <w:r>
              <w:rPr>
                <w:sz w:val="18"/>
              </w:rPr>
              <w:t>528</w:t>
            </w:r>
          </w:p>
        </w:tc>
        <w:tc>
          <w:tcPr>
            <w:tcW w:w="1461" w:type="dxa"/>
            <w:tcBorders>
              <w:top w:val="nil"/>
              <w:left w:val="nil"/>
              <w:bottom w:val="single" w:sz="4" w:space="0" w:color="auto"/>
              <w:right w:val="single" w:sz="4" w:space="0" w:color="auto"/>
            </w:tcBorders>
            <w:shd w:val="clear" w:color="auto" w:fill="auto"/>
            <w:noWrap/>
            <w:vAlign w:val="bottom"/>
            <w:hideMark/>
          </w:tcPr>
          <w:p w14:paraId="285BB932" w14:textId="77777777" w:rsidR="00FE399D" w:rsidRPr="00D1707B" w:rsidRDefault="00FE399D" w:rsidP="00582303">
            <w:pPr>
              <w:pStyle w:val="CBDTableNormal"/>
              <w:spacing w:before="0" w:after="0"/>
              <w:jc w:val="right"/>
              <w:rPr>
                <w:sz w:val="18"/>
                <w:szCs w:val="18"/>
              </w:rPr>
            </w:pPr>
            <w:r>
              <w:rPr>
                <w:sz w:val="18"/>
              </w:rPr>
              <w:t>564</w:t>
            </w:r>
          </w:p>
        </w:tc>
        <w:tc>
          <w:tcPr>
            <w:tcW w:w="1080" w:type="dxa"/>
            <w:tcBorders>
              <w:top w:val="nil"/>
              <w:left w:val="nil"/>
              <w:bottom w:val="single" w:sz="4" w:space="0" w:color="auto"/>
              <w:right w:val="single" w:sz="4" w:space="0" w:color="auto"/>
            </w:tcBorders>
            <w:shd w:val="clear" w:color="auto" w:fill="auto"/>
            <w:noWrap/>
            <w:vAlign w:val="bottom"/>
            <w:hideMark/>
          </w:tcPr>
          <w:p w14:paraId="61DC75D9" w14:textId="77777777" w:rsidR="00FE399D" w:rsidRPr="00D1707B" w:rsidRDefault="00FE399D" w:rsidP="00582303">
            <w:pPr>
              <w:pStyle w:val="CBDTableNormal"/>
              <w:spacing w:before="0" w:after="0"/>
              <w:jc w:val="right"/>
              <w:rPr>
                <w:sz w:val="18"/>
                <w:szCs w:val="18"/>
              </w:rPr>
            </w:pPr>
            <w:r>
              <w:rPr>
                <w:sz w:val="18"/>
              </w:rPr>
              <w:t>1 092</w:t>
            </w:r>
          </w:p>
        </w:tc>
      </w:tr>
      <w:tr w:rsidR="00FE399D" w:rsidRPr="00D1707B" w14:paraId="3B36546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DDA2F72" w14:textId="77777777" w:rsidR="00FE399D" w:rsidRPr="00D1707B" w:rsidRDefault="00FE399D" w:rsidP="00582303">
            <w:pPr>
              <w:pStyle w:val="CBDTableNormal"/>
              <w:spacing w:before="0" w:after="0"/>
              <w:rPr>
                <w:sz w:val="18"/>
                <w:szCs w:val="18"/>
              </w:rPr>
            </w:pPr>
            <w:r>
              <w:rPr>
                <w:sz w:val="18"/>
              </w:rPr>
              <w:t>Tailandia</w:t>
            </w:r>
          </w:p>
        </w:tc>
        <w:tc>
          <w:tcPr>
            <w:tcW w:w="1628" w:type="dxa"/>
            <w:tcBorders>
              <w:top w:val="nil"/>
              <w:left w:val="nil"/>
              <w:bottom w:val="single" w:sz="4" w:space="0" w:color="auto"/>
              <w:right w:val="single" w:sz="4" w:space="0" w:color="auto"/>
            </w:tcBorders>
            <w:shd w:val="clear" w:color="auto" w:fill="auto"/>
            <w:vAlign w:val="bottom"/>
            <w:hideMark/>
          </w:tcPr>
          <w:p w14:paraId="565AF5F7" w14:textId="77777777" w:rsidR="00FE399D" w:rsidRPr="00D1707B" w:rsidRDefault="00FE399D" w:rsidP="00582303">
            <w:pPr>
              <w:pStyle w:val="CBDTableNormal"/>
              <w:spacing w:before="0" w:after="0"/>
              <w:jc w:val="right"/>
              <w:rPr>
                <w:sz w:val="18"/>
                <w:szCs w:val="18"/>
              </w:rPr>
            </w:pPr>
            <w:r>
              <w:rPr>
                <w:sz w:val="18"/>
              </w:rPr>
              <w:t>0,368</w:t>
            </w:r>
          </w:p>
        </w:tc>
        <w:tc>
          <w:tcPr>
            <w:tcW w:w="2198" w:type="dxa"/>
            <w:tcBorders>
              <w:top w:val="nil"/>
              <w:left w:val="nil"/>
              <w:bottom w:val="single" w:sz="4" w:space="0" w:color="auto"/>
              <w:right w:val="single" w:sz="4" w:space="0" w:color="auto"/>
            </w:tcBorders>
            <w:shd w:val="clear" w:color="auto" w:fill="auto"/>
            <w:noWrap/>
            <w:vAlign w:val="bottom"/>
            <w:hideMark/>
          </w:tcPr>
          <w:p w14:paraId="7A9ADE7E" w14:textId="77777777" w:rsidR="00FE399D" w:rsidRPr="00D1707B" w:rsidRDefault="00FE399D" w:rsidP="00582303">
            <w:pPr>
              <w:pStyle w:val="CBDTableNormal"/>
              <w:spacing w:before="0" w:after="0"/>
              <w:jc w:val="right"/>
              <w:rPr>
                <w:sz w:val="18"/>
                <w:szCs w:val="18"/>
              </w:rPr>
            </w:pPr>
            <w:r>
              <w:rPr>
                <w:sz w:val="18"/>
              </w:rPr>
              <w:t>0,460</w:t>
            </w:r>
          </w:p>
        </w:tc>
        <w:tc>
          <w:tcPr>
            <w:tcW w:w="1176" w:type="dxa"/>
            <w:tcBorders>
              <w:top w:val="nil"/>
              <w:left w:val="nil"/>
              <w:bottom w:val="single" w:sz="4" w:space="0" w:color="auto"/>
              <w:right w:val="single" w:sz="4" w:space="0" w:color="auto"/>
            </w:tcBorders>
            <w:shd w:val="clear" w:color="auto" w:fill="auto"/>
            <w:noWrap/>
            <w:vAlign w:val="bottom"/>
            <w:hideMark/>
          </w:tcPr>
          <w:p w14:paraId="225678D8" w14:textId="77777777" w:rsidR="00FE399D" w:rsidRPr="00D1707B" w:rsidRDefault="00FE399D" w:rsidP="00582303">
            <w:pPr>
              <w:pStyle w:val="CBDTableNormal"/>
              <w:spacing w:before="0" w:after="0"/>
              <w:jc w:val="right"/>
              <w:rPr>
                <w:sz w:val="18"/>
                <w:szCs w:val="18"/>
              </w:rPr>
            </w:pPr>
            <w:r>
              <w:rPr>
                <w:sz w:val="18"/>
              </w:rPr>
              <w:t>64 766</w:t>
            </w:r>
          </w:p>
        </w:tc>
        <w:tc>
          <w:tcPr>
            <w:tcW w:w="1461" w:type="dxa"/>
            <w:tcBorders>
              <w:top w:val="nil"/>
              <w:left w:val="nil"/>
              <w:bottom w:val="single" w:sz="4" w:space="0" w:color="auto"/>
              <w:right w:val="single" w:sz="4" w:space="0" w:color="auto"/>
            </w:tcBorders>
            <w:shd w:val="clear" w:color="auto" w:fill="auto"/>
            <w:noWrap/>
            <w:vAlign w:val="bottom"/>
            <w:hideMark/>
          </w:tcPr>
          <w:p w14:paraId="6A66ADB0" w14:textId="77777777" w:rsidR="00FE399D" w:rsidRPr="00D1707B" w:rsidRDefault="00FE399D" w:rsidP="00582303">
            <w:pPr>
              <w:pStyle w:val="CBDTableNormal"/>
              <w:spacing w:before="0" w:after="0"/>
              <w:jc w:val="right"/>
              <w:rPr>
                <w:sz w:val="18"/>
                <w:szCs w:val="18"/>
              </w:rPr>
            </w:pPr>
            <w:r>
              <w:rPr>
                <w:sz w:val="18"/>
              </w:rPr>
              <w:t>69 197</w:t>
            </w:r>
          </w:p>
        </w:tc>
        <w:tc>
          <w:tcPr>
            <w:tcW w:w="1080" w:type="dxa"/>
            <w:tcBorders>
              <w:top w:val="nil"/>
              <w:left w:val="nil"/>
              <w:bottom w:val="single" w:sz="4" w:space="0" w:color="auto"/>
              <w:right w:val="single" w:sz="4" w:space="0" w:color="auto"/>
            </w:tcBorders>
            <w:shd w:val="clear" w:color="auto" w:fill="auto"/>
            <w:noWrap/>
            <w:vAlign w:val="bottom"/>
            <w:hideMark/>
          </w:tcPr>
          <w:p w14:paraId="00223420" w14:textId="77777777" w:rsidR="00FE399D" w:rsidRPr="00D1707B" w:rsidRDefault="00FE399D" w:rsidP="00582303">
            <w:pPr>
              <w:pStyle w:val="CBDTableNormal"/>
              <w:spacing w:before="0" w:after="0"/>
              <w:jc w:val="right"/>
              <w:rPr>
                <w:sz w:val="18"/>
                <w:szCs w:val="18"/>
              </w:rPr>
            </w:pPr>
            <w:r>
              <w:rPr>
                <w:sz w:val="18"/>
              </w:rPr>
              <w:t>133 963</w:t>
            </w:r>
          </w:p>
        </w:tc>
      </w:tr>
      <w:tr w:rsidR="00FE399D" w:rsidRPr="00D1707B" w14:paraId="09AD1DA7"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E514778" w14:textId="77777777" w:rsidR="00FE399D" w:rsidRPr="00D1707B" w:rsidRDefault="00FE399D" w:rsidP="00582303">
            <w:pPr>
              <w:pStyle w:val="CBDTableNormal"/>
              <w:spacing w:before="0" w:after="0"/>
              <w:rPr>
                <w:sz w:val="18"/>
                <w:szCs w:val="18"/>
              </w:rPr>
            </w:pPr>
            <w:r>
              <w:rPr>
                <w:sz w:val="18"/>
              </w:rPr>
              <w:t>Tayikistán</w:t>
            </w:r>
          </w:p>
        </w:tc>
        <w:tc>
          <w:tcPr>
            <w:tcW w:w="1628" w:type="dxa"/>
            <w:tcBorders>
              <w:top w:val="nil"/>
              <w:left w:val="nil"/>
              <w:bottom w:val="single" w:sz="4" w:space="0" w:color="auto"/>
              <w:right w:val="single" w:sz="4" w:space="0" w:color="auto"/>
            </w:tcBorders>
            <w:shd w:val="clear" w:color="auto" w:fill="auto"/>
            <w:vAlign w:val="bottom"/>
            <w:hideMark/>
          </w:tcPr>
          <w:p w14:paraId="7F2F8A1A" w14:textId="77777777" w:rsidR="00FE399D" w:rsidRPr="00D1707B" w:rsidRDefault="00FE399D" w:rsidP="00582303">
            <w:pPr>
              <w:pStyle w:val="CBDTableNormal"/>
              <w:spacing w:before="0" w:after="0"/>
              <w:jc w:val="right"/>
              <w:rPr>
                <w:sz w:val="18"/>
                <w:szCs w:val="18"/>
              </w:rPr>
            </w:pPr>
            <w:r>
              <w:rPr>
                <w:sz w:val="18"/>
              </w:rPr>
              <w:t>0,003</w:t>
            </w:r>
          </w:p>
        </w:tc>
        <w:tc>
          <w:tcPr>
            <w:tcW w:w="2198" w:type="dxa"/>
            <w:tcBorders>
              <w:top w:val="nil"/>
              <w:left w:val="nil"/>
              <w:bottom w:val="single" w:sz="4" w:space="0" w:color="auto"/>
              <w:right w:val="single" w:sz="4" w:space="0" w:color="auto"/>
            </w:tcBorders>
            <w:shd w:val="clear" w:color="auto" w:fill="auto"/>
            <w:noWrap/>
            <w:vAlign w:val="bottom"/>
            <w:hideMark/>
          </w:tcPr>
          <w:p w14:paraId="5DD1FA89" w14:textId="77777777" w:rsidR="00FE399D" w:rsidRPr="00D1707B" w:rsidRDefault="00FE399D" w:rsidP="00582303">
            <w:pPr>
              <w:pStyle w:val="CBDTableNormal"/>
              <w:spacing w:before="0" w:after="0"/>
              <w:jc w:val="right"/>
              <w:rPr>
                <w:sz w:val="18"/>
                <w:szCs w:val="18"/>
              </w:rPr>
            </w:pPr>
            <w:r>
              <w:rPr>
                <w:sz w:val="18"/>
              </w:rPr>
              <w:t>0,004</w:t>
            </w:r>
          </w:p>
        </w:tc>
        <w:tc>
          <w:tcPr>
            <w:tcW w:w="1176" w:type="dxa"/>
            <w:tcBorders>
              <w:top w:val="nil"/>
              <w:left w:val="nil"/>
              <w:bottom w:val="single" w:sz="4" w:space="0" w:color="auto"/>
              <w:right w:val="single" w:sz="4" w:space="0" w:color="auto"/>
            </w:tcBorders>
            <w:shd w:val="clear" w:color="auto" w:fill="auto"/>
            <w:noWrap/>
            <w:vAlign w:val="bottom"/>
            <w:hideMark/>
          </w:tcPr>
          <w:p w14:paraId="5B85339B" w14:textId="77777777" w:rsidR="00FE399D" w:rsidRPr="00D1707B" w:rsidRDefault="00FE399D" w:rsidP="00582303">
            <w:pPr>
              <w:pStyle w:val="CBDTableNormal"/>
              <w:spacing w:before="0" w:after="0"/>
              <w:jc w:val="right"/>
              <w:rPr>
                <w:sz w:val="18"/>
                <w:szCs w:val="18"/>
              </w:rPr>
            </w:pPr>
            <w:r>
              <w:rPr>
                <w:sz w:val="18"/>
              </w:rPr>
              <w:t>528</w:t>
            </w:r>
          </w:p>
        </w:tc>
        <w:tc>
          <w:tcPr>
            <w:tcW w:w="1461" w:type="dxa"/>
            <w:tcBorders>
              <w:top w:val="nil"/>
              <w:left w:val="nil"/>
              <w:bottom w:val="single" w:sz="4" w:space="0" w:color="auto"/>
              <w:right w:val="single" w:sz="4" w:space="0" w:color="auto"/>
            </w:tcBorders>
            <w:shd w:val="clear" w:color="auto" w:fill="auto"/>
            <w:noWrap/>
            <w:vAlign w:val="bottom"/>
            <w:hideMark/>
          </w:tcPr>
          <w:p w14:paraId="2019B959" w14:textId="77777777" w:rsidR="00FE399D" w:rsidRPr="00D1707B" w:rsidRDefault="00FE399D" w:rsidP="00582303">
            <w:pPr>
              <w:pStyle w:val="CBDTableNormal"/>
              <w:spacing w:before="0" w:after="0"/>
              <w:jc w:val="right"/>
              <w:rPr>
                <w:sz w:val="18"/>
                <w:szCs w:val="18"/>
              </w:rPr>
            </w:pPr>
            <w:r>
              <w:rPr>
                <w:sz w:val="18"/>
              </w:rPr>
              <w:t>564</w:t>
            </w:r>
          </w:p>
        </w:tc>
        <w:tc>
          <w:tcPr>
            <w:tcW w:w="1080" w:type="dxa"/>
            <w:tcBorders>
              <w:top w:val="nil"/>
              <w:left w:val="nil"/>
              <w:bottom w:val="single" w:sz="4" w:space="0" w:color="auto"/>
              <w:right w:val="single" w:sz="4" w:space="0" w:color="auto"/>
            </w:tcBorders>
            <w:shd w:val="clear" w:color="auto" w:fill="auto"/>
            <w:noWrap/>
            <w:vAlign w:val="bottom"/>
            <w:hideMark/>
          </w:tcPr>
          <w:p w14:paraId="15E83E5C" w14:textId="77777777" w:rsidR="00FE399D" w:rsidRPr="00D1707B" w:rsidRDefault="00FE399D" w:rsidP="00582303">
            <w:pPr>
              <w:pStyle w:val="CBDTableNormal"/>
              <w:spacing w:before="0" w:after="0"/>
              <w:jc w:val="right"/>
              <w:rPr>
                <w:sz w:val="18"/>
                <w:szCs w:val="18"/>
              </w:rPr>
            </w:pPr>
            <w:r>
              <w:rPr>
                <w:sz w:val="18"/>
              </w:rPr>
              <w:t>1 092</w:t>
            </w:r>
          </w:p>
        </w:tc>
      </w:tr>
      <w:tr w:rsidR="00FE399D" w:rsidRPr="00D1707B" w14:paraId="7EE289D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157350E" w14:textId="77777777" w:rsidR="00FE399D" w:rsidRPr="00D1707B" w:rsidRDefault="00FE399D" w:rsidP="00582303">
            <w:pPr>
              <w:pStyle w:val="CBDTableNormal"/>
              <w:spacing w:before="0" w:after="0"/>
              <w:rPr>
                <w:sz w:val="18"/>
                <w:szCs w:val="18"/>
              </w:rPr>
            </w:pPr>
            <w:r>
              <w:rPr>
                <w:sz w:val="18"/>
              </w:rPr>
              <w:t>Timor-Leste</w:t>
            </w:r>
          </w:p>
        </w:tc>
        <w:tc>
          <w:tcPr>
            <w:tcW w:w="1628" w:type="dxa"/>
            <w:tcBorders>
              <w:top w:val="nil"/>
              <w:left w:val="nil"/>
              <w:bottom w:val="single" w:sz="4" w:space="0" w:color="auto"/>
              <w:right w:val="single" w:sz="4" w:space="0" w:color="auto"/>
            </w:tcBorders>
            <w:shd w:val="clear" w:color="auto" w:fill="auto"/>
            <w:vAlign w:val="bottom"/>
            <w:hideMark/>
          </w:tcPr>
          <w:p w14:paraId="199B4C6E"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75CFD27A"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40CA8D34"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3597D989"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1D8127DA"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2320E65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3CE1CE6" w14:textId="77777777" w:rsidR="00FE399D" w:rsidRPr="00D1707B" w:rsidRDefault="00FE399D" w:rsidP="00582303">
            <w:pPr>
              <w:pStyle w:val="CBDTableNormal"/>
              <w:spacing w:before="0" w:after="0"/>
              <w:rPr>
                <w:sz w:val="18"/>
                <w:szCs w:val="18"/>
              </w:rPr>
            </w:pPr>
            <w:r>
              <w:rPr>
                <w:sz w:val="18"/>
              </w:rPr>
              <w:t>Togo</w:t>
            </w:r>
          </w:p>
        </w:tc>
        <w:tc>
          <w:tcPr>
            <w:tcW w:w="1628" w:type="dxa"/>
            <w:tcBorders>
              <w:top w:val="nil"/>
              <w:left w:val="nil"/>
              <w:bottom w:val="single" w:sz="4" w:space="0" w:color="auto"/>
              <w:right w:val="single" w:sz="4" w:space="0" w:color="auto"/>
            </w:tcBorders>
            <w:shd w:val="clear" w:color="auto" w:fill="auto"/>
            <w:vAlign w:val="bottom"/>
            <w:hideMark/>
          </w:tcPr>
          <w:p w14:paraId="253774B4" w14:textId="77777777" w:rsidR="00FE399D" w:rsidRPr="00D1707B" w:rsidRDefault="00FE399D" w:rsidP="00582303">
            <w:pPr>
              <w:pStyle w:val="CBDTableNormal"/>
              <w:spacing w:before="0" w:after="0"/>
              <w:jc w:val="right"/>
              <w:rPr>
                <w:sz w:val="18"/>
                <w:szCs w:val="18"/>
              </w:rPr>
            </w:pPr>
            <w:r>
              <w:rPr>
                <w:sz w:val="18"/>
              </w:rPr>
              <w:t>0,002</w:t>
            </w:r>
          </w:p>
        </w:tc>
        <w:tc>
          <w:tcPr>
            <w:tcW w:w="2198" w:type="dxa"/>
            <w:tcBorders>
              <w:top w:val="nil"/>
              <w:left w:val="nil"/>
              <w:bottom w:val="single" w:sz="4" w:space="0" w:color="auto"/>
              <w:right w:val="single" w:sz="4" w:space="0" w:color="auto"/>
            </w:tcBorders>
            <w:shd w:val="clear" w:color="auto" w:fill="auto"/>
            <w:noWrap/>
            <w:vAlign w:val="bottom"/>
            <w:hideMark/>
          </w:tcPr>
          <w:p w14:paraId="5B84EC5D" w14:textId="77777777" w:rsidR="00FE399D" w:rsidRPr="00D1707B" w:rsidRDefault="00FE399D" w:rsidP="00582303">
            <w:pPr>
              <w:pStyle w:val="CBDTableNormal"/>
              <w:spacing w:before="0" w:after="0"/>
              <w:jc w:val="right"/>
              <w:rPr>
                <w:sz w:val="18"/>
                <w:szCs w:val="18"/>
              </w:rPr>
            </w:pPr>
            <w:r>
              <w:rPr>
                <w:sz w:val="18"/>
              </w:rPr>
              <w:t>0,003</w:t>
            </w:r>
          </w:p>
        </w:tc>
        <w:tc>
          <w:tcPr>
            <w:tcW w:w="1176" w:type="dxa"/>
            <w:tcBorders>
              <w:top w:val="nil"/>
              <w:left w:val="nil"/>
              <w:bottom w:val="single" w:sz="4" w:space="0" w:color="auto"/>
              <w:right w:val="single" w:sz="4" w:space="0" w:color="auto"/>
            </w:tcBorders>
            <w:shd w:val="clear" w:color="auto" w:fill="auto"/>
            <w:noWrap/>
            <w:vAlign w:val="bottom"/>
            <w:hideMark/>
          </w:tcPr>
          <w:p w14:paraId="156C96DC" w14:textId="77777777" w:rsidR="00FE399D" w:rsidRPr="00D1707B" w:rsidRDefault="00FE399D" w:rsidP="00582303">
            <w:pPr>
              <w:pStyle w:val="CBDTableNormal"/>
              <w:spacing w:before="0" w:after="0"/>
              <w:jc w:val="right"/>
              <w:rPr>
                <w:sz w:val="18"/>
                <w:szCs w:val="18"/>
              </w:rPr>
            </w:pPr>
            <w:r>
              <w:rPr>
                <w:sz w:val="18"/>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01E43F0E" w14:textId="77777777" w:rsidR="00FE399D" w:rsidRPr="00D1707B" w:rsidRDefault="00FE399D" w:rsidP="00582303">
            <w:pPr>
              <w:pStyle w:val="CBDTableNormal"/>
              <w:spacing w:before="0" w:after="0"/>
              <w:jc w:val="right"/>
              <w:rPr>
                <w:sz w:val="18"/>
                <w:szCs w:val="18"/>
              </w:rPr>
            </w:pPr>
            <w:r>
              <w:rPr>
                <w:sz w:val="18"/>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2C53BA5A" w14:textId="77777777" w:rsidR="00FE399D" w:rsidRPr="00D1707B" w:rsidRDefault="00FE399D" w:rsidP="00582303">
            <w:pPr>
              <w:pStyle w:val="CBDTableNormal"/>
              <w:spacing w:before="0" w:after="0"/>
              <w:jc w:val="right"/>
              <w:rPr>
                <w:sz w:val="18"/>
                <w:szCs w:val="18"/>
              </w:rPr>
            </w:pPr>
            <w:r>
              <w:rPr>
                <w:sz w:val="18"/>
              </w:rPr>
              <w:t>728</w:t>
            </w:r>
          </w:p>
        </w:tc>
      </w:tr>
      <w:tr w:rsidR="00FE399D" w:rsidRPr="00D1707B" w14:paraId="3201604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0325C32" w14:textId="77777777" w:rsidR="00FE399D" w:rsidRPr="00D1707B" w:rsidRDefault="00FE399D" w:rsidP="00582303">
            <w:pPr>
              <w:pStyle w:val="CBDTableNormal"/>
              <w:spacing w:before="0" w:after="0"/>
              <w:rPr>
                <w:sz w:val="18"/>
                <w:szCs w:val="18"/>
              </w:rPr>
            </w:pPr>
            <w:r>
              <w:rPr>
                <w:sz w:val="18"/>
              </w:rPr>
              <w:t>Tonga</w:t>
            </w:r>
          </w:p>
        </w:tc>
        <w:tc>
          <w:tcPr>
            <w:tcW w:w="1628" w:type="dxa"/>
            <w:tcBorders>
              <w:top w:val="nil"/>
              <w:left w:val="nil"/>
              <w:bottom w:val="single" w:sz="4" w:space="0" w:color="auto"/>
              <w:right w:val="single" w:sz="4" w:space="0" w:color="auto"/>
            </w:tcBorders>
            <w:shd w:val="clear" w:color="auto" w:fill="auto"/>
            <w:vAlign w:val="bottom"/>
            <w:hideMark/>
          </w:tcPr>
          <w:p w14:paraId="6707BEE8"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2F33B4D5"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6DAD0E17"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230289D5"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336E856C"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4CB9CEC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9D7F1D6" w14:textId="77777777" w:rsidR="00FE399D" w:rsidRPr="00D1707B" w:rsidRDefault="00FE399D" w:rsidP="00582303">
            <w:pPr>
              <w:pStyle w:val="CBDTableNormal"/>
              <w:spacing w:before="0" w:after="0"/>
              <w:rPr>
                <w:sz w:val="18"/>
                <w:szCs w:val="18"/>
              </w:rPr>
            </w:pPr>
            <w:r>
              <w:rPr>
                <w:sz w:val="18"/>
              </w:rPr>
              <w:t>Trinidad y Tabago</w:t>
            </w:r>
          </w:p>
        </w:tc>
        <w:tc>
          <w:tcPr>
            <w:tcW w:w="1628" w:type="dxa"/>
            <w:tcBorders>
              <w:top w:val="nil"/>
              <w:left w:val="nil"/>
              <w:bottom w:val="single" w:sz="4" w:space="0" w:color="auto"/>
              <w:right w:val="single" w:sz="4" w:space="0" w:color="auto"/>
            </w:tcBorders>
            <w:shd w:val="clear" w:color="auto" w:fill="auto"/>
            <w:vAlign w:val="bottom"/>
            <w:hideMark/>
          </w:tcPr>
          <w:p w14:paraId="6C65A1B7" w14:textId="77777777" w:rsidR="00FE399D" w:rsidRPr="00D1707B" w:rsidRDefault="00FE399D" w:rsidP="00582303">
            <w:pPr>
              <w:pStyle w:val="CBDTableNormal"/>
              <w:spacing w:before="0" w:after="0"/>
              <w:jc w:val="right"/>
              <w:rPr>
                <w:sz w:val="18"/>
                <w:szCs w:val="18"/>
              </w:rPr>
            </w:pPr>
            <w:r>
              <w:rPr>
                <w:sz w:val="18"/>
              </w:rPr>
              <w:t>0,037</w:t>
            </w:r>
          </w:p>
        </w:tc>
        <w:tc>
          <w:tcPr>
            <w:tcW w:w="2198" w:type="dxa"/>
            <w:tcBorders>
              <w:top w:val="nil"/>
              <w:left w:val="nil"/>
              <w:bottom w:val="single" w:sz="4" w:space="0" w:color="auto"/>
              <w:right w:val="single" w:sz="4" w:space="0" w:color="auto"/>
            </w:tcBorders>
            <w:shd w:val="clear" w:color="auto" w:fill="auto"/>
            <w:noWrap/>
            <w:vAlign w:val="bottom"/>
            <w:hideMark/>
          </w:tcPr>
          <w:p w14:paraId="11F9D6CE" w14:textId="77777777" w:rsidR="00FE399D" w:rsidRPr="00D1707B" w:rsidRDefault="00FE399D" w:rsidP="00582303">
            <w:pPr>
              <w:pStyle w:val="CBDTableNormal"/>
              <w:spacing w:before="0" w:after="0"/>
              <w:jc w:val="right"/>
              <w:rPr>
                <w:sz w:val="18"/>
                <w:szCs w:val="18"/>
              </w:rPr>
            </w:pPr>
            <w:r>
              <w:rPr>
                <w:sz w:val="18"/>
              </w:rPr>
              <w:t>0,046</w:t>
            </w:r>
          </w:p>
        </w:tc>
        <w:tc>
          <w:tcPr>
            <w:tcW w:w="1176" w:type="dxa"/>
            <w:tcBorders>
              <w:top w:val="nil"/>
              <w:left w:val="nil"/>
              <w:bottom w:val="single" w:sz="4" w:space="0" w:color="auto"/>
              <w:right w:val="single" w:sz="4" w:space="0" w:color="auto"/>
            </w:tcBorders>
            <w:shd w:val="clear" w:color="auto" w:fill="auto"/>
            <w:noWrap/>
            <w:vAlign w:val="bottom"/>
            <w:hideMark/>
          </w:tcPr>
          <w:p w14:paraId="38B250E9" w14:textId="77777777" w:rsidR="00FE399D" w:rsidRPr="00D1707B" w:rsidRDefault="00FE399D" w:rsidP="00582303">
            <w:pPr>
              <w:pStyle w:val="CBDTableNormal"/>
              <w:spacing w:before="0" w:after="0"/>
              <w:jc w:val="right"/>
              <w:rPr>
                <w:sz w:val="18"/>
                <w:szCs w:val="18"/>
              </w:rPr>
            </w:pPr>
            <w:r>
              <w:rPr>
                <w:sz w:val="18"/>
              </w:rPr>
              <w:t>6 512</w:t>
            </w:r>
          </w:p>
        </w:tc>
        <w:tc>
          <w:tcPr>
            <w:tcW w:w="1461" w:type="dxa"/>
            <w:tcBorders>
              <w:top w:val="nil"/>
              <w:left w:val="nil"/>
              <w:bottom w:val="single" w:sz="4" w:space="0" w:color="auto"/>
              <w:right w:val="single" w:sz="4" w:space="0" w:color="auto"/>
            </w:tcBorders>
            <w:shd w:val="clear" w:color="auto" w:fill="auto"/>
            <w:noWrap/>
            <w:vAlign w:val="bottom"/>
            <w:hideMark/>
          </w:tcPr>
          <w:p w14:paraId="2BD6DDB4" w14:textId="77777777" w:rsidR="00FE399D" w:rsidRPr="00D1707B" w:rsidRDefault="00FE399D" w:rsidP="00582303">
            <w:pPr>
              <w:pStyle w:val="CBDTableNormal"/>
              <w:spacing w:before="0" w:after="0"/>
              <w:jc w:val="right"/>
              <w:rPr>
                <w:sz w:val="18"/>
                <w:szCs w:val="18"/>
              </w:rPr>
            </w:pPr>
            <w:r>
              <w:rPr>
                <w:sz w:val="18"/>
              </w:rPr>
              <w:t>6 957</w:t>
            </w:r>
          </w:p>
        </w:tc>
        <w:tc>
          <w:tcPr>
            <w:tcW w:w="1080" w:type="dxa"/>
            <w:tcBorders>
              <w:top w:val="nil"/>
              <w:left w:val="nil"/>
              <w:bottom w:val="single" w:sz="4" w:space="0" w:color="auto"/>
              <w:right w:val="single" w:sz="4" w:space="0" w:color="auto"/>
            </w:tcBorders>
            <w:shd w:val="clear" w:color="auto" w:fill="auto"/>
            <w:noWrap/>
            <w:vAlign w:val="bottom"/>
            <w:hideMark/>
          </w:tcPr>
          <w:p w14:paraId="6D03FACF" w14:textId="77777777" w:rsidR="00FE399D" w:rsidRPr="00D1707B" w:rsidRDefault="00FE399D" w:rsidP="00582303">
            <w:pPr>
              <w:pStyle w:val="CBDTableNormal"/>
              <w:spacing w:before="0" w:after="0"/>
              <w:jc w:val="right"/>
              <w:rPr>
                <w:sz w:val="18"/>
                <w:szCs w:val="18"/>
              </w:rPr>
            </w:pPr>
            <w:r>
              <w:rPr>
                <w:sz w:val="18"/>
              </w:rPr>
              <w:t>13 469</w:t>
            </w:r>
          </w:p>
        </w:tc>
      </w:tr>
      <w:tr w:rsidR="00FE399D" w:rsidRPr="00D1707B" w14:paraId="7C6943E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F3ECAF7" w14:textId="77777777" w:rsidR="00FE399D" w:rsidRPr="00D1707B" w:rsidRDefault="00FE399D" w:rsidP="00582303">
            <w:pPr>
              <w:pStyle w:val="CBDTableNormal"/>
              <w:spacing w:before="0" w:after="0"/>
              <w:rPr>
                <w:sz w:val="18"/>
                <w:szCs w:val="18"/>
              </w:rPr>
            </w:pPr>
            <w:r>
              <w:rPr>
                <w:sz w:val="18"/>
              </w:rPr>
              <w:t>Túnez</w:t>
            </w:r>
          </w:p>
        </w:tc>
        <w:tc>
          <w:tcPr>
            <w:tcW w:w="1628" w:type="dxa"/>
            <w:tcBorders>
              <w:top w:val="nil"/>
              <w:left w:val="nil"/>
              <w:bottom w:val="single" w:sz="4" w:space="0" w:color="auto"/>
              <w:right w:val="single" w:sz="4" w:space="0" w:color="auto"/>
            </w:tcBorders>
            <w:shd w:val="clear" w:color="auto" w:fill="auto"/>
            <w:vAlign w:val="bottom"/>
            <w:hideMark/>
          </w:tcPr>
          <w:p w14:paraId="76FD2651" w14:textId="77777777" w:rsidR="00FE399D" w:rsidRPr="00D1707B" w:rsidRDefault="00FE399D" w:rsidP="00582303">
            <w:pPr>
              <w:pStyle w:val="CBDTableNormal"/>
              <w:spacing w:before="0" w:after="0"/>
              <w:jc w:val="right"/>
              <w:rPr>
                <w:sz w:val="18"/>
                <w:szCs w:val="18"/>
              </w:rPr>
            </w:pPr>
            <w:r>
              <w:rPr>
                <w:sz w:val="18"/>
              </w:rPr>
              <w:t>0,019</w:t>
            </w:r>
          </w:p>
        </w:tc>
        <w:tc>
          <w:tcPr>
            <w:tcW w:w="2198" w:type="dxa"/>
            <w:tcBorders>
              <w:top w:val="nil"/>
              <w:left w:val="nil"/>
              <w:bottom w:val="single" w:sz="4" w:space="0" w:color="auto"/>
              <w:right w:val="single" w:sz="4" w:space="0" w:color="auto"/>
            </w:tcBorders>
            <w:shd w:val="clear" w:color="auto" w:fill="auto"/>
            <w:noWrap/>
            <w:vAlign w:val="bottom"/>
            <w:hideMark/>
          </w:tcPr>
          <w:p w14:paraId="68B3E14B" w14:textId="77777777" w:rsidR="00FE399D" w:rsidRPr="00D1707B" w:rsidRDefault="00FE399D" w:rsidP="00582303">
            <w:pPr>
              <w:pStyle w:val="CBDTableNormal"/>
              <w:spacing w:before="0" w:after="0"/>
              <w:jc w:val="right"/>
              <w:rPr>
                <w:sz w:val="18"/>
                <w:szCs w:val="18"/>
              </w:rPr>
            </w:pPr>
            <w:r>
              <w:rPr>
                <w:sz w:val="18"/>
              </w:rPr>
              <w:t>0,024</w:t>
            </w:r>
          </w:p>
        </w:tc>
        <w:tc>
          <w:tcPr>
            <w:tcW w:w="1176" w:type="dxa"/>
            <w:tcBorders>
              <w:top w:val="nil"/>
              <w:left w:val="nil"/>
              <w:bottom w:val="single" w:sz="4" w:space="0" w:color="auto"/>
              <w:right w:val="single" w:sz="4" w:space="0" w:color="auto"/>
            </w:tcBorders>
            <w:shd w:val="clear" w:color="auto" w:fill="auto"/>
            <w:noWrap/>
            <w:vAlign w:val="bottom"/>
            <w:hideMark/>
          </w:tcPr>
          <w:p w14:paraId="57D6DB6D" w14:textId="77777777" w:rsidR="00FE399D" w:rsidRPr="00D1707B" w:rsidRDefault="00FE399D" w:rsidP="00582303">
            <w:pPr>
              <w:pStyle w:val="CBDTableNormal"/>
              <w:spacing w:before="0" w:after="0"/>
              <w:jc w:val="right"/>
              <w:rPr>
                <w:sz w:val="18"/>
                <w:szCs w:val="18"/>
              </w:rPr>
            </w:pPr>
            <w:r>
              <w:rPr>
                <w:sz w:val="18"/>
              </w:rPr>
              <w:t>3 344</w:t>
            </w:r>
          </w:p>
        </w:tc>
        <w:tc>
          <w:tcPr>
            <w:tcW w:w="1461" w:type="dxa"/>
            <w:tcBorders>
              <w:top w:val="nil"/>
              <w:left w:val="nil"/>
              <w:bottom w:val="single" w:sz="4" w:space="0" w:color="auto"/>
              <w:right w:val="single" w:sz="4" w:space="0" w:color="auto"/>
            </w:tcBorders>
            <w:shd w:val="clear" w:color="auto" w:fill="auto"/>
            <w:noWrap/>
            <w:vAlign w:val="bottom"/>
            <w:hideMark/>
          </w:tcPr>
          <w:p w14:paraId="68ACD4FD" w14:textId="77777777" w:rsidR="00FE399D" w:rsidRPr="00D1707B" w:rsidRDefault="00FE399D" w:rsidP="00582303">
            <w:pPr>
              <w:pStyle w:val="CBDTableNormal"/>
              <w:spacing w:before="0" w:after="0"/>
              <w:jc w:val="right"/>
              <w:rPr>
                <w:sz w:val="18"/>
                <w:szCs w:val="18"/>
              </w:rPr>
            </w:pPr>
            <w:r>
              <w:rPr>
                <w:sz w:val="18"/>
              </w:rPr>
              <w:t>3 573</w:t>
            </w:r>
          </w:p>
        </w:tc>
        <w:tc>
          <w:tcPr>
            <w:tcW w:w="1080" w:type="dxa"/>
            <w:tcBorders>
              <w:top w:val="nil"/>
              <w:left w:val="nil"/>
              <w:bottom w:val="single" w:sz="4" w:space="0" w:color="auto"/>
              <w:right w:val="single" w:sz="4" w:space="0" w:color="auto"/>
            </w:tcBorders>
            <w:shd w:val="clear" w:color="auto" w:fill="auto"/>
            <w:noWrap/>
            <w:vAlign w:val="bottom"/>
            <w:hideMark/>
          </w:tcPr>
          <w:p w14:paraId="4973D96F" w14:textId="77777777" w:rsidR="00FE399D" w:rsidRPr="00D1707B" w:rsidRDefault="00FE399D" w:rsidP="00582303">
            <w:pPr>
              <w:pStyle w:val="CBDTableNormal"/>
              <w:spacing w:before="0" w:after="0"/>
              <w:jc w:val="right"/>
              <w:rPr>
                <w:sz w:val="18"/>
                <w:szCs w:val="18"/>
              </w:rPr>
            </w:pPr>
            <w:r>
              <w:rPr>
                <w:sz w:val="18"/>
              </w:rPr>
              <w:t>6 917</w:t>
            </w:r>
          </w:p>
        </w:tc>
      </w:tr>
      <w:tr w:rsidR="00FE399D" w:rsidRPr="00D1707B" w14:paraId="46D056B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D5EC0D1" w14:textId="77777777" w:rsidR="00FE399D" w:rsidRPr="00D1707B" w:rsidRDefault="00FE399D" w:rsidP="00582303">
            <w:pPr>
              <w:pStyle w:val="CBDTableNormal"/>
              <w:spacing w:before="0" w:after="0"/>
              <w:rPr>
                <w:sz w:val="18"/>
                <w:szCs w:val="18"/>
              </w:rPr>
            </w:pPr>
            <w:r>
              <w:rPr>
                <w:sz w:val="18"/>
              </w:rPr>
              <w:t>Türkiye</w:t>
            </w:r>
          </w:p>
        </w:tc>
        <w:tc>
          <w:tcPr>
            <w:tcW w:w="1628" w:type="dxa"/>
            <w:tcBorders>
              <w:top w:val="nil"/>
              <w:left w:val="nil"/>
              <w:bottom w:val="single" w:sz="4" w:space="0" w:color="auto"/>
              <w:right w:val="single" w:sz="4" w:space="0" w:color="auto"/>
            </w:tcBorders>
            <w:shd w:val="clear" w:color="auto" w:fill="auto"/>
            <w:vAlign w:val="bottom"/>
            <w:hideMark/>
          </w:tcPr>
          <w:p w14:paraId="67181247" w14:textId="77777777" w:rsidR="00FE399D" w:rsidRPr="00D1707B" w:rsidRDefault="00FE399D" w:rsidP="00582303">
            <w:pPr>
              <w:pStyle w:val="CBDTableNormal"/>
              <w:spacing w:before="0" w:after="0"/>
              <w:jc w:val="right"/>
              <w:rPr>
                <w:sz w:val="18"/>
                <w:szCs w:val="18"/>
              </w:rPr>
            </w:pPr>
            <w:r>
              <w:rPr>
                <w:sz w:val="18"/>
              </w:rPr>
              <w:t>0,845</w:t>
            </w:r>
          </w:p>
        </w:tc>
        <w:tc>
          <w:tcPr>
            <w:tcW w:w="2198" w:type="dxa"/>
            <w:tcBorders>
              <w:top w:val="nil"/>
              <w:left w:val="nil"/>
              <w:bottom w:val="single" w:sz="4" w:space="0" w:color="auto"/>
              <w:right w:val="single" w:sz="4" w:space="0" w:color="auto"/>
            </w:tcBorders>
            <w:shd w:val="clear" w:color="auto" w:fill="auto"/>
            <w:noWrap/>
            <w:vAlign w:val="bottom"/>
            <w:hideMark/>
          </w:tcPr>
          <w:p w14:paraId="21820D7B" w14:textId="77777777" w:rsidR="00FE399D" w:rsidRPr="00D1707B" w:rsidRDefault="00FE399D" w:rsidP="00582303">
            <w:pPr>
              <w:pStyle w:val="CBDTableNormal"/>
              <w:spacing w:before="0" w:after="0"/>
              <w:jc w:val="right"/>
              <w:rPr>
                <w:sz w:val="18"/>
                <w:szCs w:val="18"/>
              </w:rPr>
            </w:pPr>
            <w:r>
              <w:rPr>
                <w:sz w:val="18"/>
              </w:rPr>
              <w:t>1,056</w:t>
            </w:r>
          </w:p>
        </w:tc>
        <w:tc>
          <w:tcPr>
            <w:tcW w:w="1176" w:type="dxa"/>
            <w:tcBorders>
              <w:top w:val="nil"/>
              <w:left w:val="nil"/>
              <w:bottom w:val="single" w:sz="4" w:space="0" w:color="auto"/>
              <w:right w:val="single" w:sz="4" w:space="0" w:color="auto"/>
            </w:tcBorders>
            <w:shd w:val="clear" w:color="auto" w:fill="auto"/>
            <w:noWrap/>
            <w:vAlign w:val="bottom"/>
            <w:hideMark/>
          </w:tcPr>
          <w:p w14:paraId="154BD970" w14:textId="77777777" w:rsidR="00FE399D" w:rsidRPr="00D1707B" w:rsidRDefault="00FE399D" w:rsidP="00582303">
            <w:pPr>
              <w:pStyle w:val="CBDTableNormal"/>
              <w:spacing w:before="0" w:after="0"/>
              <w:jc w:val="right"/>
              <w:rPr>
                <w:sz w:val="18"/>
                <w:szCs w:val="18"/>
              </w:rPr>
            </w:pPr>
            <w:r>
              <w:rPr>
                <w:sz w:val="18"/>
              </w:rPr>
              <w:t>148 715</w:t>
            </w:r>
          </w:p>
        </w:tc>
        <w:tc>
          <w:tcPr>
            <w:tcW w:w="1461" w:type="dxa"/>
            <w:tcBorders>
              <w:top w:val="nil"/>
              <w:left w:val="nil"/>
              <w:bottom w:val="single" w:sz="4" w:space="0" w:color="auto"/>
              <w:right w:val="single" w:sz="4" w:space="0" w:color="auto"/>
            </w:tcBorders>
            <w:shd w:val="clear" w:color="auto" w:fill="auto"/>
            <w:noWrap/>
            <w:vAlign w:val="bottom"/>
            <w:hideMark/>
          </w:tcPr>
          <w:p w14:paraId="19E1688B" w14:textId="77777777" w:rsidR="00FE399D" w:rsidRPr="00D1707B" w:rsidRDefault="00FE399D" w:rsidP="00582303">
            <w:pPr>
              <w:pStyle w:val="CBDTableNormal"/>
              <w:spacing w:before="0" w:after="0"/>
              <w:jc w:val="right"/>
              <w:rPr>
                <w:sz w:val="18"/>
                <w:szCs w:val="18"/>
              </w:rPr>
            </w:pPr>
            <w:r>
              <w:rPr>
                <w:sz w:val="18"/>
              </w:rPr>
              <w:t>158 891</w:t>
            </w:r>
          </w:p>
        </w:tc>
        <w:tc>
          <w:tcPr>
            <w:tcW w:w="1080" w:type="dxa"/>
            <w:tcBorders>
              <w:top w:val="nil"/>
              <w:left w:val="nil"/>
              <w:bottom w:val="single" w:sz="4" w:space="0" w:color="auto"/>
              <w:right w:val="single" w:sz="4" w:space="0" w:color="auto"/>
            </w:tcBorders>
            <w:shd w:val="clear" w:color="auto" w:fill="auto"/>
            <w:noWrap/>
            <w:vAlign w:val="bottom"/>
            <w:hideMark/>
          </w:tcPr>
          <w:p w14:paraId="77746194" w14:textId="77777777" w:rsidR="00FE399D" w:rsidRPr="00D1707B" w:rsidRDefault="00FE399D" w:rsidP="00582303">
            <w:pPr>
              <w:pStyle w:val="CBDTableNormal"/>
              <w:spacing w:before="0" w:after="0"/>
              <w:jc w:val="right"/>
              <w:rPr>
                <w:sz w:val="18"/>
                <w:szCs w:val="18"/>
              </w:rPr>
            </w:pPr>
            <w:r>
              <w:rPr>
                <w:sz w:val="18"/>
              </w:rPr>
              <w:t>307 606</w:t>
            </w:r>
          </w:p>
        </w:tc>
      </w:tr>
      <w:tr w:rsidR="00FE399D" w:rsidRPr="00D1707B" w14:paraId="7E9ABA8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19C60C2" w14:textId="77777777" w:rsidR="00FE399D" w:rsidRPr="00D1707B" w:rsidRDefault="00FE399D" w:rsidP="00582303">
            <w:pPr>
              <w:pStyle w:val="CBDTableNormal"/>
              <w:spacing w:before="0" w:after="0"/>
              <w:rPr>
                <w:sz w:val="18"/>
                <w:szCs w:val="18"/>
              </w:rPr>
            </w:pPr>
            <w:r>
              <w:rPr>
                <w:sz w:val="18"/>
              </w:rPr>
              <w:t>Turkmenistán</w:t>
            </w:r>
          </w:p>
        </w:tc>
        <w:tc>
          <w:tcPr>
            <w:tcW w:w="1628" w:type="dxa"/>
            <w:tcBorders>
              <w:top w:val="nil"/>
              <w:left w:val="nil"/>
              <w:bottom w:val="single" w:sz="4" w:space="0" w:color="auto"/>
              <w:right w:val="single" w:sz="4" w:space="0" w:color="auto"/>
            </w:tcBorders>
            <w:shd w:val="clear" w:color="auto" w:fill="auto"/>
            <w:vAlign w:val="bottom"/>
            <w:hideMark/>
          </w:tcPr>
          <w:p w14:paraId="2738D2FC" w14:textId="77777777" w:rsidR="00FE399D" w:rsidRPr="00D1707B" w:rsidRDefault="00FE399D" w:rsidP="00582303">
            <w:pPr>
              <w:pStyle w:val="CBDTableNormal"/>
              <w:spacing w:before="0" w:after="0"/>
              <w:jc w:val="right"/>
              <w:rPr>
                <w:sz w:val="18"/>
                <w:szCs w:val="18"/>
              </w:rPr>
            </w:pPr>
            <w:r>
              <w:rPr>
                <w:sz w:val="18"/>
              </w:rPr>
              <w:t>0,034</w:t>
            </w:r>
          </w:p>
        </w:tc>
        <w:tc>
          <w:tcPr>
            <w:tcW w:w="2198" w:type="dxa"/>
            <w:tcBorders>
              <w:top w:val="nil"/>
              <w:left w:val="nil"/>
              <w:bottom w:val="single" w:sz="4" w:space="0" w:color="auto"/>
              <w:right w:val="single" w:sz="4" w:space="0" w:color="auto"/>
            </w:tcBorders>
            <w:shd w:val="clear" w:color="auto" w:fill="auto"/>
            <w:noWrap/>
            <w:vAlign w:val="bottom"/>
            <w:hideMark/>
          </w:tcPr>
          <w:p w14:paraId="4A02E596" w14:textId="77777777" w:rsidR="00FE399D" w:rsidRPr="00D1707B" w:rsidRDefault="00FE399D" w:rsidP="00582303">
            <w:pPr>
              <w:pStyle w:val="CBDTableNormal"/>
              <w:spacing w:before="0" w:after="0"/>
              <w:jc w:val="right"/>
              <w:rPr>
                <w:sz w:val="18"/>
                <w:szCs w:val="18"/>
              </w:rPr>
            </w:pPr>
            <w:r>
              <w:rPr>
                <w:sz w:val="18"/>
              </w:rPr>
              <w:t>0,043</w:t>
            </w:r>
          </w:p>
        </w:tc>
        <w:tc>
          <w:tcPr>
            <w:tcW w:w="1176" w:type="dxa"/>
            <w:tcBorders>
              <w:top w:val="nil"/>
              <w:left w:val="nil"/>
              <w:bottom w:val="single" w:sz="4" w:space="0" w:color="auto"/>
              <w:right w:val="single" w:sz="4" w:space="0" w:color="auto"/>
            </w:tcBorders>
            <w:shd w:val="clear" w:color="auto" w:fill="auto"/>
            <w:noWrap/>
            <w:vAlign w:val="bottom"/>
            <w:hideMark/>
          </w:tcPr>
          <w:p w14:paraId="6C2E95BD" w14:textId="77777777" w:rsidR="00FE399D" w:rsidRPr="00D1707B" w:rsidRDefault="00FE399D" w:rsidP="00582303">
            <w:pPr>
              <w:pStyle w:val="CBDTableNormal"/>
              <w:spacing w:before="0" w:after="0"/>
              <w:jc w:val="right"/>
              <w:rPr>
                <w:sz w:val="18"/>
                <w:szCs w:val="18"/>
              </w:rPr>
            </w:pPr>
            <w:r>
              <w:rPr>
                <w:sz w:val="18"/>
              </w:rPr>
              <w:t>5 984</w:t>
            </w:r>
          </w:p>
        </w:tc>
        <w:tc>
          <w:tcPr>
            <w:tcW w:w="1461" w:type="dxa"/>
            <w:tcBorders>
              <w:top w:val="nil"/>
              <w:left w:val="nil"/>
              <w:bottom w:val="single" w:sz="4" w:space="0" w:color="auto"/>
              <w:right w:val="single" w:sz="4" w:space="0" w:color="auto"/>
            </w:tcBorders>
            <w:shd w:val="clear" w:color="auto" w:fill="auto"/>
            <w:noWrap/>
            <w:vAlign w:val="bottom"/>
            <w:hideMark/>
          </w:tcPr>
          <w:p w14:paraId="5233633A" w14:textId="77777777" w:rsidR="00FE399D" w:rsidRPr="00D1707B" w:rsidRDefault="00FE399D" w:rsidP="00582303">
            <w:pPr>
              <w:pStyle w:val="CBDTableNormal"/>
              <w:spacing w:before="0" w:after="0"/>
              <w:jc w:val="right"/>
              <w:rPr>
                <w:sz w:val="18"/>
                <w:szCs w:val="18"/>
              </w:rPr>
            </w:pPr>
            <w:r>
              <w:rPr>
                <w:sz w:val="18"/>
              </w:rPr>
              <w:t>6 393</w:t>
            </w:r>
          </w:p>
        </w:tc>
        <w:tc>
          <w:tcPr>
            <w:tcW w:w="1080" w:type="dxa"/>
            <w:tcBorders>
              <w:top w:val="nil"/>
              <w:left w:val="nil"/>
              <w:bottom w:val="single" w:sz="4" w:space="0" w:color="auto"/>
              <w:right w:val="single" w:sz="4" w:space="0" w:color="auto"/>
            </w:tcBorders>
            <w:shd w:val="clear" w:color="auto" w:fill="auto"/>
            <w:noWrap/>
            <w:vAlign w:val="bottom"/>
            <w:hideMark/>
          </w:tcPr>
          <w:p w14:paraId="187293BF" w14:textId="77777777" w:rsidR="00FE399D" w:rsidRPr="00D1707B" w:rsidRDefault="00FE399D" w:rsidP="00582303">
            <w:pPr>
              <w:pStyle w:val="CBDTableNormal"/>
              <w:spacing w:before="0" w:after="0"/>
              <w:jc w:val="right"/>
              <w:rPr>
                <w:sz w:val="18"/>
                <w:szCs w:val="18"/>
              </w:rPr>
            </w:pPr>
            <w:r>
              <w:rPr>
                <w:sz w:val="18"/>
              </w:rPr>
              <w:t>12 377</w:t>
            </w:r>
          </w:p>
        </w:tc>
      </w:tr>
      <w:tr w:rsidR="00FE399D" w:rsidRPr="00D1707B" w14:paraId="3B6FF6C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0F303CC" w14:textId="77777777" w:rsidR="00FE399D" w:rsidRPr="00D1707B" w:rsidRDefault="00FE399D" w:rsidP="00582303">
            <w:pPr>
              <w:pStyle w:val="CBDTableNormal"/>
              <w:spacing w:before="0" w:after="0"/>
              <w:rPr>
                <w:sz w:val="18"/>
                <w:szCs w:val="18"/>
              </w:rPr>
            </w:pPr>
            <w:r>
              <w:rPr>
                <w:sz w:val="18"/>
              </w:rPr>
              <w:t>Tuvalu</w:t>
            </w:r>
          </w:p>
        </w:tc>
        <w:tc>
          <w:tcPr>
            <w:tcW w:w="1628" w:type="dxa"/>
            <w:tcBorders>
              <w:top w:val="nil"/>
              <w:left w:val="nil"/>
              <w:bottom w:val="single" w:sz="4" w:space="0" w:color="auto"/>
              <w:right w:val="single" w:sz="4" w:space="0" w:color="auto"/>
            </w:tcBorders>
            <w:shd w:val="clear" w:color="auto" w:fill="auto"/>
            <w:vAlign w:val="bottom"/>
            <w:hideMark/>
          </w:tcPr>
          <w:p w14:paraId="55E55D7C"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5B40369C"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497BF356"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3332FCF7"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461F5796"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40415017"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159F4BF" w14:textId="77777777" w:rsidR="00FE399D" w:rsidRPr="00D1707B" w:rsidRDefault="00FE399D" w:rsidP="00582303">
            <w:pPr>
              <w:pStyle w:val="CBDTableNormal"/>
              <w:spacing w:before="0" w:after="0"/>
              <w:rPr>
                <w:sz w:val="18"/>
                <w:szCs w:val="18"/>
              </w:rPr>
            </w:pPr>
            <w:r>
              <w:rPr>
                <w:sz w:val="18"/>
              </w:rPr>
              <w:t>Ucrania</w:t>
            </w:r>
          </w:p>
        </w:tc>
        <w:tc>
          <w:tcPr>
            <w:tcW w:w="1628" w:type="dxa"/>
            <w:tcBorders>
              <w:top w:val="nil"/>
              <w:left w:val="nil"/>
              <w:bottom w:val="single" w:sz="4" w:space="0" w:color="auto"/>
              <w:right w:val="single" w:sz="4" w:space="0" w:color="auto"/>
            </w:tcBorders>
            <w:shd w:val="clear" w:color="auto" w:fill="auto"/>
            <w:vAlign w:val="bottom"/>
            <w:hideMark/>
          </w:tcPr>
          <w:p w14:paraId="030F2ACB" w14:textId="77777777" w:rsidR="00FE399D" w:rsidRPr="00D1707B" w:rsidRDefault="00FE399D" w:rsidP="00582303">
            <w:pPr>
              <w:pStyle w:val="CBDTableNormal"/>
              <w:spacing w:before="0" w:after="0"/>
              <w:jc w:val="right"/>
              <w:rPr>
                <w:sz w:val="18"/>
                <w:szCs w:val="18"/>
              </w:rPr>
            </w:pPr>
            <w:r>
              <w:rPr>
                <w:sz w:val="18"/>
              </w:rPr>
              <w:t>0,056</w:t>
            </w:r>
          </w:p>
        </w:tc>
        <w:tc>
          <w:tcPr>
            <w:tcW w:w="2198" w:type="dxa"/>
            <w:tcBorders>
              <w:top w:val="nil"/>
              <w:left w:val="nil"/>
              <w:bottom w:val="single" w:sz="4" w:space="0" w:color="auto"/>
              <w:right w:val="single" w:sz="4" w:space="0" w:color="auto"/>
            </w:tcBorders>
            <w:shd w:val="clear" w:color="auto" w:fill="auto"/>
            <w:noWrap/>
            <w:vAlign w:val="bottom"/>
            <w:hideMark/>
          </w:tcPr>
          <w:p w14:paraId="77E95455" w14:textId="77777777" w:rsidR="00FE399D" w:rsidRPr="00D1707B" w:rsidRDefault="00FE399D" w:rsidP="00582303">
            <w:pPr>
              <w:pStyle w:val="CBDTableNormal"/>
              <w:spacing w:before="0" w:after="0"/>
              <w:jc w:val="right"/>
              <w:rPr>
                <w:sz w:val="18"/>
                <w:szCs w:val="18"/>
              </w:rPr>
            </w:pPr>
            <w:r>
              <w:rPr>
                <w:sz w:val="18"/>
              </w:rPr>
              <w:t>0,070</w:t>
            </w:r>
          </w:p>
        </w:tc>
        <w:tc>
          <w:tcPr>
            <w:tcW w:w="1176" w:type="dxa"/>
            <w:tcBorders>
              <w:top w:val="nil"/>
              <w:left w:val="nil"/>
              <w:bottom w:val="single" w:sz="4" w:space="0" w:color="auto"/>
              <w:right w:val="single" w:sz="4" w:space="0" w:color="auto"/>
            </w:tcBorders>
            <w:shd w:val="clear" w:color="auto" w:fill="auto"/>
            <w:noWrap/>
            <w:vAlign w:val="bottom"/>
            <w:hideMark/>
          </w:tcPr>
          <w:p w14:paraId="4D552FA0" w14:textId="77777777" w:rsidR="00FE399D" w:rsidRPr="00D1707B" w:rsidRDefault="00FE399D" w:rsidP="00582303">
            <w:pPr>
              <w:pStyle w:val="CBDTableNormal"/>
              <w:spacing w:before="0" w:after="0"/>
              <w:jc w:val="right"/>
              <w:rPr>
                <w:sz w:val="18"/>
                <w:szCs w:val="18"/>
              </w:rPr>
            </w:pPr>
            <w:r>
              <w:rPr>
                <w:sz w:val="18"/>
              </w:rPr>
              <w:t>9 856</w:t>
            </w:r>
          </w:p>
        </w:tc>
        <w:tc>
          <w:tcPr>
            <w:tcW w:w="1461" w:type="dxa"/>
            <w:tcBorders>
              <w:top w:val="nil"/>
              <w:left w:val="nil"/>
              <w:bottom w:val="single" w:sz="4" w:space="0" w:color="auto"/>
              <w:right w:val="single" w:sz="4" w:space="0" w:color="auto"/>
            </w:tcBorders>
            <w:shd w:val="clear" w:color="auto" w:fill="auto"/>
            <w:noWrap/>
            <w:vAlign w:val="bottom"/>
            <w:hideMark/>
          </w:tcPr>
          <w:p w14:paraId="5810E983" w14:textId="77777777" w:rsidR="00FE399D" w:rsidRPr="00D1707B" w:rsidRDefault="00FE399D" w:rsidP="00582303">
            <w:pPr>
              <w:pStyle w:val="CBDTableNormal"/>
              <w:spacing w:before="0" w:after="0"/>
              <w:jc w:val="right"/>
              <w:rPr>
                <w:sz w:val="18"/>
                <w:szCs w:val="18"/>
              </w:rPr>
            </w:pPr>
            <w:r>
              <w:rPr>
                <w:sz w:val="18"/>
              </w:rPr>
              <w:t>10 530</w:t>
            </w:r>
          </w:p>
        </w:tc>
        <w:tc>
          <w:tcPr>
            <w:tcW w:w="1080" w:type="dxa"/>
            <w:tcBorders>
              <w:top w:val="nil"/>
              <w:left w:val="nil"/>
              <w:bottom w:val="single" w:sz="4" w:space="0" w:color="auto"/>
              <w:right w:val="single" w:sz="4" w:space="0" w:color="auto"/>
            </w:tcBorders>
            <w:shd w:val="clear" w:color="auto" w:fill="auto"/>
            <w:noWrap/>
            <w:vAlign w:val="bottom"/>
            <w:hideMark/>
          </w:tcPr>
          <w:p w14:paraId="1BDB1F02" w14:textId="77777777" w:rsidR="00FE399D" w:rsidRPr="00D1707B" w:rsidRDefault="00FE399D" w:rsidP="00582303">
            <w:pPr>
              <w:pStyle w:val="CBDTableNormal"/>
              <w:spacing w:before="0" w:after="0"/>
              <w:jc w:val="right"/>
              <w:rPr>
                <w:sz w:val="18"/>
                <w:szCs w:val="18"/>
              </w:rPr>
            </w:pPr>
            <w:r>
              <w:rPr>
                <w:sz w:val="18"/>
              </w:rPr>
              <w:t>20 386</w:t>
            </w:r>
          </w:p>
        </w:tc>
      </w:tr>
      <w:tr w:rsidR="00FE399D" w:rsidRPr="00D1707B" w14:paraId="1F8FEB7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4AA5D52" w14:textId="77777777" w:rsidR="00FE399D" w:rsidRPr="00D1707B" w:rsidRDefault="00FE399D" w:rsidP="00582303">
            <w:pPr>
              <w:pStyle w:val="CBDTableNormal"/>
              <w:spacing w:before="0" w:after="0"/>
              <w:rPr>
                <w:sz w:val="18"/>
                <w:szCs w:val="18"/>
              </w:rPr>
            </w:pPr>
            <w:r>
              <w:rPr>
                <w:sz w:val="18"/>
              </w:rPr>
              <w:t>Uganda</w:t>
            </w:r>
          </w:p>
        </w:tc>
        <w:tc>
          <w:tcPr>
            <w:tcW w:w="1628" w:type="dxa"/>
            <w:tcBorders>
              <w:top w:val="nil"/>
              <w:left w:val="nil"/>
              <w:bottom w:val="single" w:sz="4" w:space="0" w:color="auto"/>
              <w:right w:val="single" w:sz="4" w:space="0" w:color="auto"/>
            </w:tcBorders>
            <w:shd w:val="clear" w:color="auto" w:fill="auto"/>
            <w:vAlign w:val="bottom"/>
            <w:hideMark/>
          </w:tcPr>
          <w:p w14:paraId="36CAD9E6" w14:textId="77777777" w:rsidR="00FE399D" w:rsidRPr="00D1707B" w:rsidRDefault="00FE399D" w:rsidP="00582303">
            <w:pPr>
              <w:pStyle w:val="CBDTableNormal"/>
              <w:spacing w:before="0" w:after="0"/>
              <w:jc w:val="right"/>
              <w:rPr>
                <w:sz w:val="18"/>
                <w:szCs w:val="18"/>
              </w:rPr>
            </w:pPr>
            <w:r>
              <w:rPr>
                <w:sz w:val="18"/>
              </w:rPr>
              <w:t>0,010</w:t>
            </w:r>
          </w:p>
        </w:tc>
        <w:tc>
          <w:tcPr>
            <w:tcW w:w="2198" w:type="dxa"/>
            <w:tcBorders>
              <w:top w:val="nil"/>
              <w:left w:val="nil"/>
              <w:bottom w:val="single" w:sz="4" w:space="0" w:color="auto"/>
              <w:right w:val="single" w:sz="4" w:space="0" w:color="auto"/>
            </w:tcBorders>
            <w:shd w:val="clear" w:color="auto" w:fill="auto"/>
            <w:noWrap/>
            <w:vAlign w:val="bottom"/>
            <w:hideMark/>
          </w:tcPr>
          <w:p w14:paraId="1F160E7E" w14:textId="77777777" w:rsidR="00FE399D" w:rsidRPr="00D1707B" w:rsidRDefault="00FE399D" w:rsidP="00582303">
            <w:pPr>
              <w:pStyle w:val="CBDTableNormal"/>
              <w:spacing w:before="0" w:after="0"/>
              <w:jc w:val="right"/>
              <w:rPr>
                <w:sz w:val="18"/>
                <w:szCs w:val="18"/>
              </w:rPr>
            </w:pPr>
            <w:r>
              <w:rPr>
                <w:sz w:val="18"/>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2C36CB9F" w14:textId="77777777" w:rsidR="00FE399D" w:rsidRPr="00D1707B" w:rsidRDefault="00FE399D" w:rsidP="00582303">
            <w:pPr>
              <w:pStyle w:val="CBDTableNormal"/>
              <w:spacing w:before="0" w:after="0"/>
              <w:jc w:val="right"/>
              <w:rPr>
                <w:sz w:val="18"/>
                <w:szCs w:val="18"/>
              </w:rPr>
            </w:pPr>
            <w:r>
              <w:rPr>
                <w:sz w:val="18"/>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4D2E500D" w14:textId="77777777" w:rsidR="00FE399D" w:rsidRPr="00D1707B" w:rsidRDefault="00FE399D" w:rsidP="00582303">
            <w:pPr>
              <w:pStyle w:val="CBDTableNormal"/>
              <w:spacing w:before="0" w:after="0"/>
              <w:jc w:val="right"/>
              <w:rPr>
                <w:sz w:val="18"/>
                <w:szCs w:val="18"/>
              </w:rPr>
            </w:pPr>
            <w:r>
              <w:rPr>
                <w:sz w:val="18"/>
              </w:rPr>
              <w:t>1 504</w:t>
            </w:r>
          </w:p>
        </w:tc>
        <w:tc>
          <w:tcPr>
            <w:tcW w:w="1080" w:type="dxa"/>
            <w:tcBorders>
              <w:top w:val="nil"/>
              <w:left w:val="nil"/>
              <w:bottom w:val="single" w:sz="4" w:space="0" w:color="auto"/>
              <w:right w:val="single" w:sz="4" w:space="0" w:color="auto"/>
            </w:tcBorders>
            <w:shd w:val="clear" w:color="auto" w:fill="auto"/>
            <w:noWrap/>
            <w:vAlign w:val="bottom"/>
            <w:hideMark/>
          </w:tcPr>
          <w:p w14:paraId="04C1F2E5" w14:textId="77777777" w:rsidR="00FE399D" w:rsidRPr="00D1707B" w:rsidRDefault="00FE399D" w:rsidP="00582303">
            <w:pPr>
              <w:pStyle w:val="CBDTableNormal"/>
              <w:spacing w:before="0" w:after="0"/>
              <w:jc w:val="right"/>
              <w:rPr>
                <w:sz w:val="18"/>
                <w:szCs w:val="18"/>
              </w:rPr>
            </w:pPr>
            <w:r>
              <w:rPr>
                <w:sz w:val="18"/>
              </w:rPr>
              <w:t>2 912</w:t>
            </w:r>
          </w:p>
        </w:tc>
      </w:tr>
      <w:tr w:rsidR="00FE399D" w:rsidRPr="00D1707B" w14:paraId="0585297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F484D5A" w14:textId="77777777" w:rsidR="00FE399D" w:rsidRPr="00D1707B" w:rsidRDefault="00FE399D" w:rsidP="00582303">
            <w:pPr>
              <w:pStyle w:val="CBDTableNormal"/>
              <w:spacing w:before="0" w:after="0"/>
              <w:rPr>
                <w:sz w:val="18"/>
                <w:szCs w:val="18"/>
              </w:rPr>
            </w:pPr>
            <w:r>
              <w:rPr>
                <w:sz w:val="18"/>
              </w:rPr>
              <w:t>Unión Europea</w:t>
            </w:r>
          </w:p>
        </w:tc>
        <w:tc>
          <w:tcPr>
            <w:tcW w:w="1628" w:type="dxa"/>
            <w:tcBorders>
              <w:top w:val="nil"/>
              <w:left w:val="nil"/>
              <w:bottom w:val="single" w:sz="4" w:space="0" w:color="auto"/>
              <w:right w:val="single" w:sz="4" w:space="0" w:color="auto"/>
            </w:tcBorders>
            <w:shd w:val="clear" w:color="auto" w:fill="auto"/>
            <w:vAlign w:val="bottom"/>
            <w:hideMark/>
          </w:tcPr>
          <w:p w14:paraId="43CC66D6" w14:textId="77777777" w:rsidR="00FE399D" w:rsidRPr="00D1707B" w:rsidRDefault="00FE399D" w:rsidP="00582303">
            <w:pPr>
              <w:pStyle w:val="CBDTableNormal"/>
              <w:spacing w:before="0" w:after="0"/>
              <w:jc w:val="right"/>
              <w:rPr>
                <w:sz w:val="18"/>
                <w:szCs w:val="18"/>
              </w:rPr>
            </w:pPr>
            <w:r>
              <w:rPr>
                <w:sz w:val="18"/>
              </w:rPr>
              <w:t>-</w:t>
            </w:r>
          </w:p>
        </w:tc>
        <w:tc>
          <w:tcPr>
            <w:tcW w:w="2198" w:type="dxa"/>
            <w:tcBorders>
              <w:top w:val="nil"/>
              <w:left w:val="nil"/>
              <w:bottom w:val="single" w:sz="4" w:space="0" w:color="auto"/>
              <w:right w:val="single" w:sz="4" w:space="0" w:color="auto"/>
            </w:tcBorders>
            <w:shd w:val="clear" w:color="auto" w:fill="auto"/>
            <w:noWrap/>
            <w:vAlign w:val="bottom"/>
            <w:hideMark/>
          </w:tcPr>
          <w:p w14:paraId="13920460" w14:textId="77777777" w:rsidR="00FE399D" w:rsidRPr="00D1707B" w:rsidRDefault="00FE399D" w:rsidP="00582303">
            <w:pPr>
              <w:pStyle w:val="CBDTableNormal"/>
              <w:spacing w:before="0" w:after="0"/>
              <w:jc w:val="right"/>
              <w:rPr>
                <w:sz w:val="18"/>
                <w:szCs w:val="18"/>
              </w:rPr>
            </w:pPr>
            <w:r>
              <w:rPr>
                <w:sz w:val="18"/>
              </w:rPr>
              <w:t>2,500</w:t>
            </w:r>
          </w:p>
        </w:tc>
        <w:tc>
          <w:tcPr>
            <w:tcW w:w="1176" w:type="dxa"/>
            <w:tcBorders>
              <w:top w:val="nil"/>
              <w:left w:val="nil"/>
              <w:bottom w:val="single" w:sz="4" w:space="0" w:color="auto"/>
              <w:right w:val="single" w:sz="4" w:space="0" w:color="auto"/>
            </w:tcBorders>
            <w:shd w:val="clear" w:color="auto" w:fill="auto"/>
            <w:noWrap/>
            <w:vAlign w:val="bottom"/>
            <w:hideMark/>
          </w:tcPr>
          <w:p w14:paraId="63BE882D" w14:textId="77777777" w:rsidR="00FE399D" w:rsidRPr="00D1707B" w:rsidRDefault="00FE399D" w:rsidP="00582303">
            <w:pPr>
              <w:pStyle w:val="CBDTableNormal"/>
              <w:spacing w:before="0" w:after="0"/>
              <w:jc w:val="right"/>
              <w:rPr>
                <w:sz w:val="18"/>
                <w:szCs w:val="18"/>
              </w:rPr>
            </w:pPr>
            <w:r>
              <w:rPr>
                <w:sz w:val="18"/>
              </w:rPr>
              <w:t>351 966</w:t>
            </w:r>
          </w:p>
        </w:tc>
        <w:tc>
          <w:tcPr>
            <w:tcW w:w="1461" w:type="dxa"/>
            <w:tcBorders>
              <w:top w:val="nil"/>
              <w:left w:val="nil"/>
              <w:bottom w:val="single" w:sz="4" w:space="0" w:color="auto"/>
              <w:right w:val="single" w:sz="4" w:space="0" w:color="auto"/>
            </w:tcBorders>
            <w:shd w:val="clear" w:color="auto" w:fill="auto"/>
            <w:noWrap/>
            <w:vAlign w:val="bottom"/>
            <w:hideMark/>
          </w:tcPr>
          <w:p w14:paraId="1F7B141F" w14:textId="77777777" w:rsidR="00FE399D" w:rsidRPr="00D1707B" w:rsidRDefault="00FE399D" w:rsidP="00582303">
            <w:pPr>
              <w:pStyle w:val="CBDTableNormal"/>
              <w:spacing w:before="0" w:after="0"/>
              <w:jc w:val="right"/>
              <w:rPr>
                <w:sz w:val="18"/>
                <w:szCs w:val="18"/>
              </w:rPr>
            </w:pPr>
            <w:r>
              <w:rPr>
                <w:sz w:val="18"/>
              </w:rPr>
              <w:t>376 049</w:t>
            </w:r>
          </w:p>
        </w:tc>
        <w:tc>
          <w:tcPr>
            <w:tcW w:w="1080" w:type="dxa"/>
            <w:tcBorders>
              <w:top w:val="nil"/>
              <w:left w:val="nil"/>
              <w:bottom w:val="single" w:sz="4" w:space="0" w:color="auto"/>
              <w:right w:val="single" w:sz="4" w:space="0" w:color="auto"/>
            </w:tcBorders>
            <w:shd w:val="clear" w:color="auto" w:fill="auto"/>
            <w:noWrap/>
            <w:vAlign w:val="bottom"/>
            <w:hideMark/>
          </w:tcPr>
          <w:p w14:paraId="4FBFA0B5" w14:textId="77777777" w:rsidR="00FE399D" w:rsidRPr="00D1707B" w:rsidRDefault="00FE399D" w:rsidP="00582303">
            <w:pPr>
              <w:pStyle w:val="CBDTableNormal"/>
              <w:spacing w:before="0" w:after="0"/>
              <w:jc w:val="right"/>
              <w:rPr>
                <w:sz w:val="18"/>
                <w:szCs w:val="18"/>
              </w:rPr>
            </w:pPr>
            <w:r>
              <w:rPr>
                <w:sz w:val="18"/>
              </w:rPr>
              <w:t>728 015</w:t>
            </w:r>
          </w:p>
        </w:tc>
      </w:tr>
      <w:tr w:rsidR="00FE399D" w:rsidRPr="00D1707B" w14:paraId="2DC2225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0951279" w14:textId="77777777" w:rsidR="00FE399D" w:rsidRPr="00D1707B" w:rsidRDefault="00FE399D" w:rsidP="00582303">
            <w:pPr>
              <w:pStyle w:val="CBDTableNormal"/>
              <w:spacing w:before="0" w:after="0"/>
              <w:rPr>
                <w:sz w:val="18"/>
                <w:szCs w:val="18"/>
              </w:rPr>
            </w:pPr>
            <w:r>
              <w:rPr>
                <w:sz w:val="18"/>
              </w:rPr>
              <w:t>Uruguay</w:t>
            </w:r>
          </w:p>
        </w:tc>
        <w:tc>
          <w:tcPr>
            <w:tcW w:w="1628" w:type="dxa"/>
            <w:tcBorders>
              <w:top w:val="nil"/>
              <w:left w:val="nil"/>
              <w:bottom w:val="single" w:sz="4" w:space="0" w:color="auto"/>
              <w:right w:val="single" w:sz="4" w:space="0" w:color="auto"/>
            </w:tcBorders>
            <w:shd w:val="clear" w:color="auto" w:fill="auto"/>
            <w:vAlign w:val="bottom"/>
            <w:hideMark/>
          </w:tcPr>
          <w:p w14:paraId="51F28E0A" w14:textId="77777777" w:rsidR="00FE399D" w:rsidRPr="00D1707B" w:rsidRDefault="00FE399D" w:rsidP="00582303">
            <w:pPr>
              <w:pStyle w:val="CBDTableNormal"/>
              <w:spacing w:before="0" w:after="0"/>
              <w:jc w:val="right"/>
              <w:rPr>
                <w:sz w:val="18"/>
                <w:szCs w:val="18"/>
              </w:rPr>
            </w:pPr>
            <w:r>
              <w:rPr>
                <w:sz w:val="18"/>
              </w:rPr>
              <w:t>0,092</w:t>
            </w:r>
          </w:p>
        </w:tc>
        <w:tc>
          <w:tcPr>
            <w:tcW w:w="2198" w:type="dxa"/>
            <w:tcBorders>
              <w:top w:val="nil"/>
              <w:left w:val="nil"/>
              <w:bottom w:val="single" w:sz="4" w:space="0" w:color="auto"/>
              <w:right w:val="single" w:sz="4" w:space="0" w:color="auto"/>
            </w:tcBorders>
            <w:shd w:val="clear" w:color="auto" w:fill="auto"/>
            <w:noWrap/>
            <w:vAlign w:val="bottom"/>
            <w:hideMark/>
          </w:tcPr>
          <w:p w14:paraId="613FE68E" w14:textId="77777777" w:rsidR="00FE399D" w:rsidRPr="00D1707B" w:rsidRDefault="00FE399D" w:rsidP="00582303">
            <w:pPr>
              <w:pStyle w:val="CBDTableNormal"/>
              <w:spacing w:before="0" w:after="0"/>
              <w:jc w:val="right"/>
              <w:rPr>
                <w:sz w:val="18"/>
                <w:szCs w:val="18"/>
              </w:rPr>
            </w:pPr>
            <w:r>
              <w:rPr>
                <w:sz w:val="18"/>
              </w:rPr>
              <w:t>0,115</w:t>
            </w:r>
          </w:p>
        </w:tc>
        <w:tc>
          <w:tcPr>
            <w:tcW w:w="1176" w:type="dxa"/>
            <w:tcBorders>
              <w:top w:val="nil"/>
              <w:left w:val="nil"/>
              <w:bottom w:val="single" w:sz="4" w:space="0" w:color="auto"/>
              <w:right w:val="single" w:sz="4" w:space="0" w:color="auto"/>
            </w:tcBorders>
            <w:shd w:val="clear" w:color="auto" w:fill="auto"/>
            <w:noWrap/>
            <w:vAlign w:val="bottom"/>
            <w:hideMark/>
          </w:tcPr>
          <w:p w14:paraId="6B7CB604" w14:textId="77777777" w:rsidR="00FE399D" w:rsidRPr="00D1707B" w:rsidRDefault="00FE399D" w:rsidP="00582303">
            <w:pPr>
              <w:pStyle w:val="CBDTableNormal"/>
              <w:spacing w:before="0" w:after="0"/>
              <w:jc w:val="right"/>
              <w:rPr>
                <w:sz w:val="18"/>
                <w:szCs w:val="18"/>
              </w:rPr>
            </w:pPr>
            <w:r>
              <w:rPr>
                <w:sz w:val="18"/>
              </w:rPr>
              <w:t>16 191</w:t>
            </w:r>
          </w:p>
        </w:tc>
        <w:tc>
          <w:tcPr>
            <w:tcW w:w="1461" w:type="dxa"/>
            <w:tcBorders>
              <w:top w:val="nil"/>
              <w:left w:val="nil"/>
              <w:bottom w:val="single" w:sz="4" w:space="0" w:color="auto"/>
              <w:right w:val="single" w:sz="4" w:space="0" w:color="auto"/>
            </w:tcBorders>
            <w:shd w:val="clear" w:color="auto" w:fill="auto"/>
            <w:noWrap/>
            <w:vAlign w:val="bottom"/>
            <w:hideMark/>
          </w:tcPr>
          <w:p w14:paraId="2A5FAEE4" w14:textId="77777777" w:rsidR="00FE399D" w:rsidRPr="00D1707B" w:rsidRDefault="00FE399D" w:rsidP="00582303">
            <w:pPr>
              <w:pStyle w:val="CBDTableNormal"/>
              <w:spacing w:before="0" w:after="0"/>
              <w:jc w:val="right"/>
              <w:rPr>
                <w:sz w:val="18"/>
                <w:szCs w:val="18"/>
              </w:rPr>
            </w:pPr>
            <w:r>
              <w:rPr>
                <w:sz w:val="18"/>
              </w:rPr>
              <w:t>17 299</w:t>
            </w:r>
          </w:p>
        </w:tc>
        <w:tc>
          <w:tcPr>
            <w:tcW w:w="1080" w:type="dxa"/>
            <w:tcBorders>
              <w:top w:val="nil"/>
              <w:left w:val="nil"/>
              <w:bottom w:val="single" w:sz="4" w:space="0" w:color="auto"/>
              <w:right w:val="single" w:sz="4" w:space="0" w:color="auto"/>
            </w:tcBorders>
            <w:shd w:val="clear" w:color="auto" w:fill="auto"/>
            <w:noWrap/>
            <w:vAlign w:val="bottom"/>
            <w:hideMark/>
          </w:tcPr>
          <w:p w14:paraId="33C528FC" w14:textId="77777777" w:rsidR="00FE399D" w:rsidRPr="00D1707B" w:rsidRDefault="00FE399D" w:rsidP="00582303">
            <w:pPr>
              <w:pStyle w:val="CBDTableNormal"/>
              <w:spacing w:before="0" w:after="0"/>
              <w:jc w:val="right"/>
              <w:rPr>
                <w:sz w:val="18"/>
                <w:szCs w:val="18"/>
              </w:rPr>
            </w:pPr>
            <w:r>
              <w:rPr>
                <w:sz w:val="18"/>
              </w:rPr>
              <w:t>33 491</w:t>
            </w:r>
          </w:p>
        </w:tc>
      </w:tr>
      <w:tr w:rsidR="00FE399D" w:rsidRPr="00D1707B" w14:paraId="0B6419A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BAB3DF1" w14:textId="77777777" w:rsidR="00FE399D" w:rsidRPr="00D1707B" w:rsidRDefault="00FE399D" w:rsidP="00582303">
            <w:pPr>
              <w:pStyle w:val="CBDTableNormal"/>
              <w:spacing w:before="0" w:after="0"/>
              <w:rPr>
                <w:sz w:val="18"/>
                <w:szCs w:val="18"/>
              </w:rPr>
            </w:pPr>
            <w:r>
              <w:rPr>
                <w:sz w:val="18"/>
              </w:rPr>
              <w:t>Uzbekistán</w:t>
            </w:r>
          </w:p>
        </w:tc>
        <w:tc>
          <w:tcPr>
            <w:tcW w:w="1628" w:type="dxa"/>
            <w:tcBorders>
              <w:top w:val="nil"/>
              <w:left w:val="nil"/>
              <w:bottom w:val="single" w:sz="4" w:space="0" w:color="auto"/>
              <w:right w:val="single" w:sz="4" w:space="0" w:color="auto"/>
            </w:tcBorders>
            <w:shd w:val="clear" w:color="auto" w:fill="auto"/>
            <w:vAlign w:val="bottom"/>
            <w:hideMark/>
          </w:tcPr>
          <w:p w14:paraId="43740916" w14:textId="77777777" w:rsidR="00FE399D" w:rsidRPr="00D1707B" w:rsidRDefault="00FE399D" w:rsidP="00582303">
            <w:pPr>
              <w:pStyle w:val="CBDTableNormal"/>
              <w:spacing w:before="0" w:after="0"/>
              <w:jc w:val="right"/>
              <w:rPr>
                <w:sz w:val="18"/>
                <w:szCs w:val="18"/>
              </w:rPr>
            </w:pPr>
            <w:r>
              <w:rPr>
                <w:sz w:val="18"/>
              </w:rPr>
              <w:t>0,027</w:t>
            </w:r>
          </w:p>
        </w:tc>
        <w:tc>
          <w:tcPr>
            <w:tcW w:w="2198" w:type="dxa"/>
            <w:tcBorders>
              <w:top w:val="nil"/>
              <w:left w:val="nil"/>
              <w:bottom w:val="single" w:sz="4" w:space="0" w:color="auto"/>
              <w:right w:val="single" w:sz="4" w:space="0" w:color="auto"/>
            </w:tcBorders>
            <w:shd w:val="clear" w:color="auto" w:fill="auto"/>
            <w:noWrap/>
            <w:vAlign w:val="bottom"/>
            <w:hideMark/>
          </w:tcPr>
          <w:p w14:paraId="558D7638" w14:textId="77777777" w:rsidR="00FE399D" w:rsidRPr="00D1707B" w:rsidRDefault="00FE399D" w:rsidP="00582303">
            <w:pPr>
              <w:pStyle w:val="CBDTableNormal"/>
              <w:spacing w:before="0" w:after="0"/>
              <w:jc w:val="right"/>
              <w:rPr>
                <w:sz w:val="18"/>
                <w:szCs w:val="18"/>
              </w:rPr>
            </w:pPr>
            <w:r>
              <w:rPr>
                <w:sz w:val="18"/>
              </w:rPr>
              <w:t>0,034</w:t>
            </w:r>
          </w:p>
        </w:tc>
        <w:tc>
          <w:tcPr>
            <w:tcW w:w="1176" w:type="dxa"/>
            <w:tcBorders>
              <w:top w:val="nil"/>
              <w:left w:val="nil"/>
              <w:bottom w:val="single" w:sz="4" w:space="0" w:color="auto"/>
              <w:right w:val="single" w:sz="4" w:space="0" w:color="auto"/>
            </w:tcBorders>
            <w:shd w:val="clear" w:color="auto" w:fill="auto"/>
            <w:noWrap/>
            <w:vAlign w:val="bottom"/>
            <w:hideMark/>
          </w:tcPr>
          <w:p w14:paraId="2EFD2B65" w14:textId="77777777" w:rsidR="00FE399D" w:rsidRPr="00D1707B" w:rsidRDefault="00FE399D" w:rsidP="00582303">
            <w:pPr>
              <w:pStyle w:val="CBDTableNormal"/>
              <w:spacing w:before="0" w:after="0"/>
              <w:jc w:val="right"/>
              <w:rPr>
                <w:sz w:val="18"/>
                <w:szCs w:val="18"/>
              </w:rPr>
            </w:pPr>
            <w:r>
              <w:rPr>
                <w:sz w:val="18"/>
              </w:rPr>
              <w:t>4 752</w:t>
            </w:r>
          </w:p>
        </w:tc>
        <w:tc>
          <w:tcPr>
            <w:tcW w:w="1461" w:type="dxa"/>
            <w:tcBorders>
              <w:top w:val="nil"/>
              <w:left w:val="nil"/>
              <w:bottom w:val="single" w:sz="4" w:space="0" w:color="auto"/>
              <w:right w:val="single" w:sz="4" w:space="0" w:color="auto"/>
            </w:tcBorders>
            <w:shd w:val="clear" w:color="auto" w:fill="auto"/>
            <w:noWrap/>
            <w:vAlign w:val="bottom"/>
            <w:hideMark/>
          </w:tcPr>
          <w:p w14:paraId="41768E7E" w14:textId="77777777" w:rsidR="00FE399D" w:rsidRPr="00D1707B" w:rsidRDefault="00FE399D" w:rsidP="00582303">
            <w:pPr>
              <w:pStyle w:val="CBDTableNormal"/>
              <w:spacing w:before="0" w:after="0"/>
              <w:jc w:val="right"/>
              <w:rPr>
                <w:sz w:val="18"/>
                <w:szCs w:val="18"/>
              </w:rPr>
            </w:pPr>
            <w:r>
              <w:rPr>
                <w:sz w:val="18"/>
              </w:rPr>
              <w:t>5 077</w:t>
            </w:r>
          </w:p>
        </w:tc>
        <w:tc>
          <w:tcPr>
            <w:tcW w:w="1080" w:type="dxa"/>
            <w:tcBorders>
              <w:top w:val="nil"/>
              <w:left w:val="nil"/>
              <w:bottom w:val="single" w:sz="4" w:space="0" w:color="auto"/>
              <w:right w:val="single" w:sz="4" w:space="0" w:color="auto"/>
            </w:tcBorders>
            <w:shd w:val="clear" w:color="auto" w:fill="auto"/>
            <w:noWrap/>
            <w:vAlign w:val="bottom"/>
            <w:hideMark/>
          </w:tcPr>
          <w:p w14:paraId="7C455894" w14:textId="77777777" w:rsidR="00FE399D" w:rsidRPr="00D1707B" w:rsidRDefault="00FE399D" w:rsidP="00582303">
            <w:pPr>
              <w:pStyle w:val="CBDTableNormal"/>
              <w:spacing w:before="0" w:after="0"/>
              <w:jc w:val="right"/>
              <w:rPr>
                <w:sz w:val="18"/>
                <w:szCs w:val="18"/>
              </w:rPr>
            </w:pPr>
            <w:r>
              <w:rPr>
                <w:sz w:val="18"/>
              </w:rPr>
              <w:t>9 829</w:t>
            </w:r>
          </w:p>
        </w:tc>
      </w:tr>
      <w:tr w:rsidR="00FE399D" w:rsidRPr="00D1707B" w14:paraId="49EBAB6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A3A020D" w14:textId="77777777" w:rsidR="00FE399D" w:rsidRPr="00D1707B" w:rsidRDefault="00FE399D" w:rsidP="00582303">
            <w:pPr>
              <w:pStyle w:val="CBDTableNormal"/>
              <w:spacing w:before="0" w:after="0"/>
              <w:rPr>
                <w:sz w:val="18"/>
                <w:szCs w:val="18"/>
              </w:rPr>
            </w:pPr>
            <w:r>
              <w:rPr>
                <w:sz w:val="18"/>
              </w:rPr>
              <w:t>Vanuatu</w:t>
            </w:r>
          </w:p>
        </w:tc>
        <w:tc>
          <w:tcPr>
            <w:tcW w:w="1628" w:type="dxa"/>
            <w:tcBorders>
              <w:top w:val="nil"/>
              <w:left w:val="nil"/>
              <w:bottom w:val="single" w:sz="4" w:space="0" w:color="auto"/>
              <w:right w:val="single" w:sz="4" w:space="0" w:color="auto"/>
            </w:tcBorders>
            <w:shd w:val="clear" w:color="auto" w:fill="auto"/>
            <w:vAlign w:val="bottom"/>
            <w:hideMark/>
          </w:tcPr>
          <w:p w14:paraId="3E6D7E65" w14:textId="77777777" w:rsidR="00FE399D" w:rsidRPr="00D1707B" w:rsidRDefault="00FE399D" w:rsidP="00582303">
            <w:pPr>
              <w:pStyle w:val="CBDTableNormal"/>
              <w:spacing w:before="0" w:after="0"/>
              <w:jc w:val="right"/>
              <w:rPr>
                <w:sz w:val="18"/>
                <w:szCs w:val="18"/>
              </w:rPr>
            </w:pPr>
            <w:r>
              <w:rPr>
                <w:sz w:val="18"/>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0996C216" w14:textId="77777777" w:rsidR="00FE399D" w:rsidRPr="00D1707B" w:rsidRDefault="00FE399D" w:rsidP="00582303">
            <w:pPr>
              <w:pStyle w:val="CBDTableNormal"/>
              <w:spacing w:before="0" w:after="0"/>
              <w:jc w:val="right"/>
              <w:rPr>
                <w:sz w:val="18"/>
                <w:szCs w:val="18"/>
              </w:rPr>
            </w:pPr>
            <w:r>
              <w:rPr>
                <w:sz w:val="18"/>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77A06DDA" w14:textId="77777777" w:rsidR="00FE399D" w:rsidRPr="00D1707B" w:rsidRDefault="00FE399D" w:rsidP="00582303">
            <w:pPr>
              <w:pStyle w:val="CBDTableNormal"/>
              <w:spacing w:before="0" w:after="0"/>
              <w:jc w:val="right"/>
              <w:rPr>
                <w:sz w:val="18"/>
                <w:szCs w:val="18"/>
              </w:rPr>
            </w:pPr>
            <w:r>
              <w:rPr>
                <w:sz w:val="18"/>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60A3364F" w14:textId="77777777" w:rsidR="00FE399D" w:rsidRPr="00D1707B" w:rsidRDefault="00FE399D" w:rsidP="00582303">
            <w:pPr>
              <w:pStyle w:val="CBDTableNormal"/>
              <w:spacing w:before="0" w:after="0"/>
              <w:jc w:val="right"/>
              <w:rPr>
                <w:sz w:val="18"/>
                <w:szCs w:val="18"/>
              </w:rPr>
            </w:pPr>
            <w:r>
              <w:rPr>
                <w:sz w:val="18"/>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7067671D" w14:textId="77777777" w:rsidR="00FE399D" w:rsidRPr="00D1707B" w:rsidRDefault="00FE399D" w:rsidP="00582303">
            <w:pPr>
              <w:pStyle w:val="CBDTableNormal"/>
              <w:spacing w:before="0" w:after="0"/>
              <w:jc w:val="right"/>
              <w:rPr>
                <w:sz w:val="18"/>
                <w:szCs w:val="18"/>
              </w:rPr>
            </w:pPr>
            <w:r>
              <w:rPr>
                <w:sz w:val="18"/>
              </w:rPr>
              <w:t>364</w:t>
            </w:r>
          </w:p>
        </w:tc>
      </w:tr>
      <w:tr w:rsidR="00FE399D" w:rsidRPr="00D1707B" w14:paraId="07B34457"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11AC583" w14:textId="77777777" w:rsidR="00FE399D" w:rsidRPr="00D1707B" w:rsidRDefault="00FE399D" w:rsidP="00582303">
            <w:pPr>
              <w:pStyle w:val="CBDTableNormal"/>
              <w:tabs>
                <w:tab w:val="clear" w:pos="567"/>
                <w:tab w:val="left" w:pos="178"/>
              </w:tabs>
              <w:spacing w:before="0" w:after="0"/>
              <w:ind w:left="144" w:hanging="144"/>
              <w:rPr>
                <w:sz w:val="18"/>
                <w:szCs w:val="18"/>
              </w:rPr>
            </w:pPr>
            <w:r>
              <w:rPr>
                <w:sz w:val="18"/>
              </w:rPr>
              <w:t>Venezuela (República Bolivariana de)</w:t>
            </w:r>
          </w:p>
        </w:tc>
        <w:tc>
          <w:tcPr>
            <w:tcW w:w="1628" w:type="dxa"/>
            <w:tcBorders>
              <w:top w:val="nil"/>
              <w:left w:val="nil"/>
              <w:bottom w:val="single" w:sz="4" w:space="0" w:color="auto"/>
              <w:right w:val="single" w:sz="4" w:space="0" w:color="auto"/>
            </w:tcBorders>
            <w:shd w:val="clear" w:color="auto" w:fill="auto"/>
            <w:vAlign w:val="bottom"/>
            <w:hideMark/>
          </w:tcPr>
          <w:p w14:paraId="2B18168C" w14:textId="77777777" w:rsidR="00FE399D" w:rsidRPr="00D1707B" w:rsidRDefault="00FE399D" w:rsidP="00582303">
            <w:pPr>
              <w:pStyle w:val="CBDTableNormal"/>
              <w:spacing w:before="0" w:after="0"/>
              <w:jc w:val="right"/>
              <w:rPr>
                <w:sz w:val="18"/>
                <w:szCs w:val="18"/>
              </w:rPr>
            </w:pPr>
            <w:r>
              <w:rPr>
                <w:sz w:val="18"/>
              </w:rPr>
              <w:t>0,175</w:t>
            </w:r>
          </w:p>
        </w:tc>
        <w:tc>
          <w:tcPr>
            <w:tcW w:w="2198" w:type="dxa"/>
            <w:tcBorders>
              <w:top w:val="nil"/>
              <w:left w:val="nil"/>
              <w:bottom w:val="single" w:sz="4" w:space="0" w:color="auto"/>
              <w:right w:val="single" w:sz="4" w:space="0" w:color="auto"/>
            </w:tcBorders>
            <w:shd w:val="clear" w:color="auto" w:fill="auto"/>
            <w:noWrap/>
            <w:vAlign w:val="bottom"/>
            <w:hideMark/>
          </w:tcPr>
          <w:p w14:paraId="5625B853" w14:textId="77777777" w:rsidR="00FE399D" w:rsidRPr="00D1707B" w:rsidRDefault="00FE399D" w:rsidP="00582303">
            <w:pPr>
              <w:pStyle w:val="CBDTableNormal"/>
              <w:spacing w:before="0" w:after="0"/>
              <w:jc w:val="right"/>
              <w:rPr>
                <w:sz w:val="18"/>
                <w:szCs w:val="18"/>
              </w:rPr>
            </w:pPr>
            <w:r>
              <w:rPr>
                <w:sz w:val="18"/>
              </w:rPr>
              <w:t>0,219</w:t>
            </w:r>
          </w:p>
        </w:tc>
        <w:tc>
          <w:tcPr>
            <w:tcW w:w="1176" w:type="dxa"/>
            <w:tcBorders>
              <w:top w:val="nil"/>
              <w:left w:val="nil"/>
              <w:bottom w:val="single" w:sz="4" w:space="0" w:color="auto"/>
              <w:right w:val="single" w:sz="4" w:space="0" w:color="auto"/>
            </w:tcBorders>
            <w:shd w:val="clear" w:color="auto" w:fill="auto"/>
            <w:noWrap/>
            <w:vAlign w:val="bottom"/>
            <w:hideMark/>
          </w:tcPr>
          <w:p w14:paraId="001D1C3A" w14:textId="77777777" w:rsidR="00FE399D" w:rsidRPr="00D1707B" w:rsidRDefault="00FE399D" w:rsidP="00582303">
            <w:pPr>
              <w:pStyle w:val="CBDTableNormal"/>
              <w:spacing w:before="0" w:after="0"/>
              <w:jc w:val="right"/>
              <w:rPr>
                <w:sz w:val="18"/>
                <w:szCs w:val="18"/>
              </w:rPr>
            </w:pPr>
            <w:r>
              <w:rPr>
                <w:sz w:val="18"/>
              </w:rPr>
              <w:t>30 799</w:t>
            </w:r>
          </w:p>
        </w:tc>
        <w:tc>
          <w:tcPr>
            <w:tcW w:w="1461" w:type="dxa"/>
            <w:tcBorders>
              <w:top w:val="nil"/>
              <w:left w:val="nil"/>
              <w:bottom w:val="single" w:sz="4" w:space="0" w:color="auto"/>
              <w:right w:val="single" w:sz="4" w:space="0" w:color="auto"/>
            </w:tcBorders>
            <w:shd w:val="clear" w:color="auto" w:fill="auto"/>
            <w:noWrap/>
            <w:vAlign w:val="bottom"/>
            <w:hideMark/>
          </w:tcPr>
          <w:p w14:paraId="77D088E6" w14:textId="77777777" w:rsidR="00FE399D" w:rsidRPr="00D1707B" w:rsidRDefault="00FE399D" w:rsidP="00582303">
            <w:pPr>
              <w:pStyle w:val="CBDTableNormal"/>
              <w:spacing w:before="0" w:after="0"/>
              <w:jc w:val="right"/>
              <w:rPr>
                <w:sz w:val="18"/>
                <w:szCs w:val="18"/>
              </w:rPr>
            </w:pPr>
            <w:r>
              <w:rPr>
                <w:sz w:val="18"/>
              </w:rPr>
              <w:t>32 906</w:t>
            </w:r>
          </w:p>
        </w:tc>
        <w:tc>
          <w:tcPr>
            <w:tcW w:w="1080" w:type="dxa"/>
            <w:tcBorders>
              <w:top w:val="nil"/>
              <w:left w:val="nil"/>
              <w:bottom w:val="single" w:sz="4" w:space="0" w:color="auto"/>
              <w:right w:val="single" w:sz="4" w:space="0" w:color="auto"/>
            </w:tcBorders>
            <w:shd w:val="clear" w:color="auto" w:fill="auto"/>
            <w:noWrap/>
            <w:vAlign w:val="bottom"/>
            <w:hideMark/>
          </w:tcPr>
          <w:p w14:paraId="1620E9BA" w14:textId="77777777" w:rsidR="00FE399D" w:rsidRPr="00D1707B" w:rsidRDefault="00FE399D" w:rsidP="00582303">
            <w:pPr>
              <w:pStyle w:val="CBDTableNormal"/>
              <w:spacing w:before="0" w:after="0"/>
              <w:jc w:val="right"/>
              <w:rPr>
                <w:sz w:val="18"/>
                <w:szCs w:val="18"/>
              </w:rPr>
            </w:pPr>
            <w:r>
              <w:rPr>
                <w:sz w:val="18"/>
              </w:rPr>
              <w:t>63 705</w:t>
            </w:r>
          </w:p>
        </w:tc>
      </w:tr>
      <w:tr w:rsidR="00FE399D" w:rsidRPr="00D1707B" w14:paraId="46814FE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35160D3" w14:textId="77777777" w:rsidR="00FE399D" w:rsidRPr="00D1707B" w:rsidRDefault="00FE399D" w:rsidP="00582303">
            <w:pPr>
              <w:pStyle w:val="CBDTableNormal"/>
              <w:spacing w:before="0" w:after="0"/>
              <w:rPr>
                <w:sz w:val="18"/>
                <w:szCs w:val="18"/>
              </w:rPr>
            </w:pPr>
            <w:r>
              <w:rPr>
                <w:sz w:val="18"/>
              </w:rPr>
              <w:t>Viet Nam</w:t>
            </w:r>
          </w:p>
        </w:tc>
        <w:tc>
          <w:tcPr>
            <w:tcW w:w="1628" w:type="dxa"/>
            <w:tcBorders>
              <w:top w:val="nil"/>
              <w:left w:val="nil"/>
              <w:bottom w:val="single" w:sz="4" w:space="0" w:color="auto"/>
              <w:right w:val="single" w:sz="4" w:space="0" w:color="auto"/>
            </w:tcBorders>
            <w:shd w:val="clear" w:color="auto" w:fill="auto"/>
            <w:vAlign w:val="bottom"/>
            <w:hideMark/>
          </w:tcPr>
          <w:p w14:paraId="63FC405D" w14:textId="77777777" w:rsidR="00FE399D" w:rsidRPr="00D1707B" w:rsidRDefault="00FE399D" w:rsidP="00582303">
            <w:pPr>
              <w:pStyle w:val="CBDTableNormal"/>
              <w:spacing w:before="0" w:after="0"/>
              <w:jc w:val="right"/>
              <w:rPr>
                <w:sz w:val="18"/>
                <w:szCs w:val="18"/>
              </w:rPr>
            </w:pPr>
            <w:r>
              <w:rPr>
                <w:sz w:val="18"/>
              </w:rPr>
              <w:t>0,093</w:t>
            </w:r>
          </w:p>
        </w:tc>
        <w:tc>
          <w:tcPr>
            <w:tcW w:w="2198" w:type="dxa"/>
            <w:tcBorders>
              <w:top w:val="nil"/>
              <w:left w:val="nil"/>
              <w:bottom w:val="single" w:sz="4" w:space="0" w:color="auto"/>
              <w:right w:val="single" w:sz="4" w:space="0" w:color="auto"/>
            </w:tcBorders>
            <w:shd w:val="clear" w:color="auto" w:fill="auto"/>
            <w:noWrap/>
            <w:vAlign w:val="bottom"/>
            <w:hideMark/>
          </w:tcPr>
          <w:p w14:paraId="5F3E1517" w14:textId="77777777" w:rsidR="00FE399D" w:rsidRPr="00D1707B" w:rsidRDefault="00FE399D" w:rsidP="00582303">
            <w:pPr>
              <w:pStyle w:val="CBDTableNormal"/>
              <w:spacing w:before="0" w:after="0"/>
              <w:jc w:val="right"/>
              <w:rPr>
                <w:sz w:val="18"/>
                <w:szCs w:val="18"/>
              </w:rPr>
            </w:pPr>
            <w:r>
              <w:rPr>
                <w:sz w:val="18"/>
              </w:rPr>
              <w:t>0,116</w:t>
            </w:r>
          </w:p>
        </w:tc>
        <w:tc>
          <w:tcPr>
            <w:tcW w:w="1176" w:type="dxa"/>
            <w:tcBorders>
              <w:top w:val="nil"/>
              <w:left w:val="nil"/>
              <w:bottom w:val="single" w:sz="4" w:space="0" w:color="auto"/>
              <w:right w:val="single" w:sz="4" w:space="0" w:color="auto"/>
            </w:tcBorders>
            <w:shd w:val="clear" w:color="auto" w:fill="auto"/>
            <w:noWrap/>
            <w:vAlign w:val="bottom"/>
            <w:hideMark/>
          </w:tcPr>
          <w:p w14:paraId="6BBBF403" w14:textId="77777777" w:rsidR="00FE399D" w:rsidRPr="00D1707B" w:rsidRDefault="00FE399D" w:rsidP="00582303">
            <w:pPr>
              <w:pStyle w:val="CBDTableNormal"/>
              <w:spacing w:before="0" w:after="0"/>
              <w:jc w:val="right"/>
              <w:rPr>
                <w:sz w:val="18"/>
                <w:szCs w:val="18"/>
              </w:rPr>
            </w:pPr>
            <w:r>
              <w:rPr>
                <w:sz w:val="18"/>
              </w:rPr>
              <w:t>16 367</w:t>
            </w:r>
          </w:p>
        </w:tc>
        <w:tc>
          <w:tcPr>
            <w:tcW w:w="1461" w:type="dxa"/>
            <w:tcBorders>
              <w:top w:val="nil"/>
              <w:left w:val="nil"/>
              <w:bottom w:val="single" w:sz="4" w:space="0" w:color="auto"/>
              <w:right w:val="single" w:sz="4" w:space="0" w:color="auto"/>
            </w:tcBorders>
            <w:shd w:val="clear" w:color="auto" w:fill="auto"/>
            <w:noWrap/>
            <w:vAlign w:val="bottom"/>
            <w:hideMark/>
          </w:tcPr>
          <w:p w14:paraId="248CFD12" w14:textId="77777777" w:rsidR="00FE399D" w:rsidRPr="00D1707B" w:rsidRDefault="00FE399D" w:rsidP="00582303">
            <w:pPr>
              <w:pStyle w:val="CBDTableNormal"/>
              <w:spacing w:before="0" w:after="0"/>
              <w:jc w:val="right"/>
              <w:rPr>
                <w:sz w:val="18"/>
                <w:szCs w:val="18"/>
              </w:rPr>
            </w:pPr>
            <w:r>
              <w:rPr>
                <w:sz w:val="18"/>
              </w:rPr>
              <w:t>17 487</w:t>
            </w:r>
          </w:p>
        </w:tc>
        <w:tc>
          <w:tcPr>
            <w:tcW w:w="1080" w:type="dxa"/>
            <w:tcBorders>
              <w:top w:val="nil"/>
              <w:left w:val="nil"/>
              <w:bottom w:val="single" w:sz="4" w:space="0" w:color="auto"/>
              <w:right w:val="single" w:sz="4" w:space="0" w:color="auto"/>
            </w:tcBorders>
            <w:shd w:val="clear" w:color="auto" w:fill="auto"/>
            <w:noWrap/>
            <w:vAlign w:val="bottom"/>
            <w:hideMark/>
          </w:tcPr>
          <w:p w14:paraId="4FD55742" w14:textId="77777777" w:rsidR="00FE399D" w:rsidRPr="00D1707B" w:rsidRDefault="00FE399D" w:rsidP="00582303">
            <w:pPr>
              <w:pStyle w:val="CBDTableNormal"/>
              <w:spacing w:before="0" w:after="0"/>
              <w:jc w:val="right"/>
              <w:rPr>
                <w:sz w:val="18"/>
                <w:szCs w:val="18"/>
              </w:rPr>
            </w:pPr>
            <w:r>
              <w:rPr>
                <w:sz w:val="18"/>
              </w:rPr>
              <w:t>33 855</w:t>
            </w:r>
          </w:p>
        </w:tc>
      </w:tr>
      <w:tr w:rsidR="00FE399D" w:rsidRPr="00D1707B" w14:paraId="0A2B93B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9E30AFC" w14:textId="77777777" w:rsidR="00FE399D" w:rsidRPr="00D1707B" w:rsidRDefault="00FE399D" w:rsidP="00582303">
            <w:pPr>
              <w:pStyle w:val="CBDTableNormal"/>
              <w:spacing w:before="0" w:after="0"/>
              <w:rPr>
                <w:sz w:val="18"/>
                <w:szCs w:val="18"/>
              </w:rPr>
            </w:pPr>
            <w:r>
              <w:rPr>
                <w:sz w:val="18"/>
              </w:rPr>
              <w:t>Yemen</w:t>
            </w:r>
          </w:p>
        </w:tc>
        <w:tc>
          <w:tcPr>
            <w:tcW w:w="1628" w:type="dxa"/>
            <w:tcBorders>
              <w:top w:val="nil"/>
              <w:left w:val="nil"/>
              <w:bottom w:val="single" w:sz="4" w:space="0" w:color="auto"/>
              <w:right w:val="single" w:sz="4" w:space="0" w:color="auto"/>
            </w:tcBorders>
            <w:shd w:val="clear" w:color="auto" w:fill="auto"/>
            <w:vAlign w:val="bottom"/>
            <w:hideMark/>
          </w:tcPr>
          <w:p w14:paraId="46295CFC" w14:textId="77777777" w:rsidR="00FE399D" w:rsidRPr="00D1707B" w:rsidRDefault="00FE399D" w:rsidP="00582303">
            <w:pPr>
              <w:pStyle w:val="CBDTableNormal"/>
              <w:spacing w:before="0" w:after="0"/>
              <w:jc w:val="right"/>
              <w:rPr>
                <w:sz w:val="18"/>
                <w:szCs w:val="18"/>
              </w:rPr>
            </w:pPr>
            <w:r>
              <w:rPr>
                <w:sz w:val="18"/>
              </w:rPr>
              <w:t>0,008</w:t>
            </w:r>
          </w:p>
        </w:tc>
        <w:tc>
          <w:tcPr>
            <w:tcW w:w="2198" w:type="dxa"/>
            <w:tcBorders>
              <w:top w:val="nil"/>
              <w:left w:val="nil"/>
              <w:bottom w:val="single" w:sz="4" w:space="0" w:color="auto"/>
              <w:right w:val="single" w:sz="4" w:space="0" w:color="auto"/>
            </w:tcBorders>
            <w:shd w:val="clear" w:color="auto" w:fill="auto"/>
            <w:noWrap/>
            <w:vAlign w:val="bottom"/>
            <w:hideMark/>
          </w:tcPr>
          <w:p w14:paraId="3BE0F78E" w14:textId="77777777" w:rsidR="00FE399D" w:rsidRPr="00D1707B" w:rsidRDefault="00FE399D" w:rsidP="00582303">
            <w:pPr>
              <w:pStyle w:val="CBDTableNormal"/>
              <w:spacing w:before="0" w:after="0"/>
              <w:jc w:val="right"/>
              <w:rPr>
                <w:sz w:val="18"/>
                <w:szCs w:val="18"/>
              </w:rPr>
            </w:pPr>
            <w:r>
              <w:rPr>
                <w:sz w:val="18"/>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4085CB6B" w14:textId="77777777" w:rsidR="00FE399D" w:rsidRPr="00D1707B" w:rsidRDefault="00FE399D" w:rsidP="00582303">
            <w:pPr>
              <w:pStyle w:val="CBDTableNormal"/>
              <w:spacing w:before="0" w:after="0"/>
              <w:jc w:val="right"/>
              <w:rPr>
                <w:sz w:val="18"/>
                <w:szCs w:val="18"/>
              </w:rPr>
            </w:pPr>
            <w:r>
              <w:rPr>
                <w:sz w:val="18"/>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67D990A0" w14:textId="77777777" w:rsidR="00FE399D" w:rsidRPr="00D1707B" w:rsidRDefault="00FE399D" w:rsidP="00582303">
            <w:pPr>
              <w:pStyle w:val="CBDTableNormal"/>
              <w:spacing w:before="0" w:after="0"/>
              <w:jc w:val="right"/>
              <w:rPr>
                <w:sz w:val="18"/>
                <w:szCs w:val="18"/>
              </w:rPr>
            </w:pPr>
            <w:r>
              <w:rPr>
                <w:sz w:val="18"/>
              </w:rPr>
              <w:t>1 504</w:t>
            </w:r>
          </w:p>
        </w:tc>
        <w:tc>
          <w:tcPr>
            <w:tcW w:w="1080" w:type="dxa"/>
            <w:tcBorders>
              <w:top w:val="nil"/>
              <w:left w:val="nil"/>
              <w:bottom w:val="single" w:sz="4" w:space="0" w:color="auto"/>
              <w:right w:val="single" w:sz="4" w:space="0" w:color="auto"/>
            </w:tcBorders>
            <w:shd w:val="clear" w:color="auto" w:fill="auto"/>
            <w:noWrap/>
            <w:vAlign w:val="bottom"/>
            <w:hideMark/>
          </w:tcPr>
          <w:p w14:paraId="208E3247" w14:textId="77777777" w:rsidR="00FE399D" w:rsidRPr="00D1707B" w:rsidRDefault="00FE399D" w:rsidP="00582303">
            <w:pPr>
              <w:pStyle w:val="CBDTableNormal"/>
              <w:spacing w:before="0" w:after="0"/>
              <w:jc w:val="right"/>
              <w:rPr>
                <w:sz w:val="18"/>
                <w:szCs w:val="18"/>
              </w:rPr>
            </w:pPr>
            <w:r>
              <w:rPr>
                <w:sz w:val="18"/>
              </w:rPr>
              <w:t>2 912</w:t>
            </w:r>
          </w:p>
        </w:tc>
      </w:tr>
      <w:tr w:rsidR="00FE399D" w:rsidRPr="00D1707B" w14:paraId="5B3CA80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4CE25ED" w14:textId="77777777" w:rsidR="00FE399D" w:rsidRPr="00D1707B" w:rsidRDefault="00FE399D" w:rsidP="00582303">
            <w:pPr>
              <w:pStyle w:val="CBDTableNormal"/>
              <w:spacing w:before="0" w:after="0"/>
              <w:rPr>
                <w:sz w:val="18"/>
                <w:szCs w:val="18"/>
              </w:rPr>
            </w:pPr>
            <w:r>
              <w:rPr>
                <w:sz w:val="18"/>
              </w:rPr>
              <w:t>Zambia</w:t>
            </w:r>
          </w:p>
        </w:tc>
        <w:tc>
          <w:tcPr>
            <w:tcW w:w="1628" w:type="dxa"/>
            <w:tcBorders>
              <w:top w:val="nil"/>
              <w:left w:val="nil"/>
              <w:bottom w:val="single" w:sz="4" w:space="0" w:color="auto"/>
              <w:right w:val="single" w:sz="4" w:space="0" w:color="auto"/>
            </w:tcBorders>
            <w:shd w:val="clear" w:color="auto" w:fill="auto"/>
            <w:vAlign w:val="bottom"/>
            <w:hideMark/>
          </w:tcPr>
          <w:p w14:paraId="3391BE27" w14:textId="77777777" w:rsidR="00FE399D" w:rsidRPr="00D1707B" w:rsidRDefault="00FE399D" w:rsidP="00582303">
            <w:pPr>
              <w:pStyle w:val="CBDTableNormal"/>
              <w:spacing w:before="0" w:after="0"/>
              <w:jc w:val="right"/>
              <w:rPr>
                <w:sz w:val="18"/>
                <w:szCs w:val="18"/>
              </w:rPr>
            </w:pPr>
            <w:r>
              <w:rPr>
                <w:sz w:val="18"/>
              </w:rPr>
              <w:t>0,008</w:t>
            </w:r>
          </w:p>
        </w:tc>
        <w:tc>
          <w:tcPr>
            <w:tcW w:w="2198" w:type="dxa"/>
            <w:tcBorders>
              <w:top w:val="nil"/>
              <w:left w:val="nil"/>
              <w:bottom w:val="single" w:sz="4" w:space="0" w:color="auto"/>
              <w:right w:val="single" w:sz="4" w:space="0" w:color="auto"/>
            </w:tcBorders>
            <w:shd w:val="clear" w:color="auto" w:fill="auto"/>
            <w:noWrap/>
            <w:vAlign w:val="bottom"/>
            <w:hideMark/>
          </w:tcPr>
          <w:p w14:paraId="7938BBD3" w14:textId="77777777" w:rsidR="00FE399D" w:rsidRPr="00D1707B" w:rsidRDefault="00FE399D" w:rsidP="00582303">
            <w:pPr>
              <w:pStyle w:val="CBDTableNormal"/>
              <w:spacing w:before="0" w:after="0"/>
              <w:jc w:val="right"/>
              <w:rPr>
                <w:sz w:val="18"/>
                <w:szCs w:val="18"/>
              </w:rPr>
            </w:pPr>
            <w:r>
              <w:rPr>
                <w:sz w:val="18"/>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108A8FCE" w14:textId="77777777" w:rsidR="00FE399D" w:rsidRPr="00D1707B" w:rsidRDefault="00FE399D" w:rsidP="00582303">
            <w:pPr>
              <w:pStyle w:val="CBDTableNormal"/>
              <w:spacing w:before="0" w:after="0"/>
              <w:jc w:val="right"/>
              <w:rPr>
                <w:sz w:val="18"/>
                <w:szCs w:val="18"/>
              </w:rPr>
            </w:pPr>
            <w:r>
              <w:rPr>
                <w:sz w:val="18"/>
              </w:rPr>
              <w:t>1 408</w:t>
            </w:r>
          </w:p>
        </w:tc>
        <w:tc>
          <w:tcPr>
            <w:tcW w:w="1461" w:type="dxa"/>
            <w:tcBorders>
              <w:top w:val="nil"/>
              <w:left w:val="nil"/>
              <w:bottom w:val="single" w:sz="4" w:space="0" w:color="auto"/>
              <w:right w:val="single" w:sz="4" w:space="0" w:color="auto"/>
            </w:tcBorders>
            <w:shd w:val="clear" w:color="auto" w:fill="auto"/>
            <w:noWrap/>
            <w:vAlign w:val="bottom"/>
            <w:hideMark/>
          </w:tcPr>
          <w:p w14:paraId="2EBB98F2" w14:textId="77777777" w:rsidR="00FE399D" w:rsidRPr="00D1707B" w:rsidRDefault="00FE399D" w:rsidP="00582303">
            <w:pPr>
              <w:pStyle w:val="CBDTableNormal"/>
              <w:spacing w:before="0" w:after="0"/>
              <w:jc w:val="right"/>
              <w:rPr>
                <w:sz w:val="18"/>
                <w:szCs w:val="18"/>
              </w:rPr>
            </w:pPr>
            <w:r>
              <w:rPr>
                <w:sz w:val="18"/>
              </w:rPr>
              <w:t>1 504</w:t>
            </w:r>
          </w:p>
        </w:tc>
        <w:tc>
          <w:tcPr>
            <w:tcW w:w="1080" w:type="dxa"/>
            <w:tcBorders>
              <w:top w:val="nil"/>
              <w:left w:val="nil"/>
              <w:bottom w:val="single" w:sz="4" w:space="0" w:color="auto"/>
              <w:right w:val="single" w:sz="4" w:space="0" w:color="auto"/>
            </w:tcBorders>
            <w:shd w:val="clear" w:color="auto" w:fill="auto"/>
            <w:noWrap/>
            <w:vAlign w:val="bottom"/>
            <w:hideMark/>
          </w:tcPr>
          <w:p w14:paraId="6DE73DD9" w14:textId="77777777" w:rsidR="00FE399D" w:rsidRPr="00D1707B" w:rsidRDefault="00FE399D" w:rsidP="00582303">
            <w:pPr>
              <w:pStyle w:val="CBDTableNormal"/>
              <w:spacing w:before="0" w:after="0"/>
              <w:jc w:val="right"/>
              <w:rPr>
                <w:sz w:val="18"/>
                <w:szCs w:val="18"/>
              </w:rPr>
            </w:pPr>
            <w:r>
              <w:rPr>
                <w:sz w:val="18"/>
              </w:rPr>
              <w:t>2 912</w:t>
            </w:r>
          </w:p>
        </w:tc>
      </w:tr>
      <w:tr w:rsidR="00FE399D" w:rsidRPr="00D1707B" w14:paraId="0B4DF17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1076B5D" w14:textId="77777777" w:rsidR="00FE399D" w:rsidRPr="00D1707B" w:rsidRDefault="00FE399D" w:rsidP="00582303">
            <w:pPr>
              <w:pStyle w:val="CBDTableNormal"/>
              <w:spacing w:before="0" w:after="0"/>
              <w:rPr>
                <w:sz w:val="18"/>
                <w:szCs w:val="18"/>
              </w:rPr>
            </w:pPr>
            <w:r>
              <w:rPr>
                <w:sz w:val="18"/>
              </w:rPr>
              <w:t>Zimbabwe</w:t>
            </w:r>
          </w:p>
        </w:tc>
        <w:tc>
          <w:tcPr>
            <w:tcW w:w="1628" w:type="dxa"/>
            <w:tcBorders>
              <w:top w:val="nil"/>
              <w:left w:val="nil"/>
              <w:bottom w:val="single" w:sz="4" w:space="0" w:color="auto"/>
              <w:right w:val="single" w:sz="4" w:space="0" w:color="auto"/>
            </w:tcBorders>
            <w:shd w:val="clear" w:color="auto" w:fill="auto"/>
            <w:vAlign w:val="bottom"/>
            <w:hideMark/>
          </w:tcPr>
          <w:p w14:paraId="54AE9F8F" w14:textId="77777777" w:rsidR="00FE399D" w:rsidRPr="00D1707B" w:rsidRDefault="00FE399D" w:rsidP="00582303">
            <w:pPr>
              <w:pStyle w:val="CBDTableNormal"/>
              <w:spacing w:before="0" w:after="0"/>
              <w:jc w:val="right"/>
              <w:rPr>
                <w:sz w:val="18"/>
                <w:szCs w:val="18"/>
              </w:rPr>
            </w:pPr>
            <w:r>
              <w:rPr>
                <w:sz w:val="18"/>
              </w:rPr>
              <w:t>0,007</w:t>
            </w:r>
          </w:p>
        </w:tc>
        <w:tc>
          <w:tcPr>
            <w:tcW w:w="2198" w:type="dxa"/>
            <w:tcBorders>
              <w:top w:val="nil"/>
              <w:left w:val="nil"/>
              <w:bottom w:val="single" w:sz="4" w:space="0" w:color="auto"/>
              <w:right w:val="single" w:sz="4" w:space="0" w:color="auto"/>
            </w:tcBorders>
            <w:shd w:val="clear" w:color="auto" w:fill="auto"/>
            <w:noWrap/>
            <w:vAlign w:val="bottom"/>
            <w:hideMark/>
          </w:tcPr>
          <w:p w14:paraId="4A2C0372" w14:textId="77777777" w:rsidR="00FE399D" w:rsidRPr="00D1707B" w:rsidRDefault="00FE399D" w:rsidP="00582303">
            <w:pPr>
              <w:pStyle w:val="CBDTableNormal"/>
              <w:spacing w:before="0" w:after="0"/>
              <w:jc w:val="right"/>
              <w:rPr>
                <w:sz w:val="18"/>
                <w:szCs w:val="18"/>
              </w:rPr>
            </w:pPr>
            <w:r>
              <w:rPr>
                <w:sz w:val="18"/>
              </w:rPr>
              <w:t>0,009</w:t>
            </w:r>
          </w:p>
        </w:tc>
        <w:tc>
          <w:tcPr>
            <w:tcW w:w="1176" w:type="dxa"/>
            <w:tcBorders>
              <w:top w:val="nil"/>
              <w:left w:val="nil"/>
              <w:bottom w:val="single" w:sz="4" w:space="0" w:color="auto"/>
              <w:right w:val="single" w:sz="4" w:space="0" w:color="auto"/>
            </w:tcBorders>
            <w:shd w:val="clear" w:color="auto" w:fill="auto"/>
            <w:noWrap/>
            <w:vAlign w:val="bottom"/>
            <w:hideMark/>
          </w:tcPr>
          <w:p w14:paraId="158D05BB" w14:textId="77777777" w:rsidR="00FE399D" w:rsidRPr="00D1707B" w:rsidRDefault="00FE399D" w:rsidP="00582303">
            <w:pPr>
              <w:pStyle w:val="CBDTableNormal"/>
              <w:spacing w:before="0" w:after="0"/>
              <w:jc w:val="right"/>
              <w:rPr>
                <w:sz w:val="18"/>
                <w:szCs w:val="18"/>
              </w:rPr>
            </w:pPr>
            <w:r>
              <w:rPr>
                <w:sz w:val="18"/>
              </w:rPr>
              <w:t>1 232</w:t>
            </w:r>
          </w:p>
        </w:tc>
        <w:tc>
          <w:tcPr>
            <w:tcW w:w="1461" w:type="dxa"/>
            <w:tcBorders>
              <w:top w:val="nil"/>
              <w:left w:val="nil"/>
              <w:bottom w:val="single" w:sz="4" w:space="0" w:color="auto"/>
              <w:right w:val="single" w:sz="4" w:space="0" w:color="auto"/>
            </w:tcBorders>
            <w:shd w:val="clear" w:color="auto" w:fill="auto"/>
            <w:noWrap/>
            <w:vAlign w:val="bottom"/>
            <w:hideMark/>
          </w:tcPr>
          <w:p w14:paraId="5E219E30" w14:textId="77777777" w:rsidR="00FE399D" w:rsidRPr="00D1707B" w:rsidRDefault="00FE399D" w:rsidP="00582303">
            <w:pPr>
              <w:pStyle w:val="CBDTableNormal"/>
              <w:spacing w:before="0" w:after="0"/>
              <w:jc w:val="right"/>
              <w:rPr>
                <w:sz w:val="18"/>
                <w:szCs w:val="18"/>
              </w:rPr>
            </w:pPr>
            <w:r>
              <w:rPr>
                <w:sz w:val="18"/>
              </w:rPr>
              <w:t>1 316</w:t>
            </w:r>
          </w:p>
        </w:tc>
        <w:tc>
          <w:tcPr>
            <w:tcW w:w="1080" w:type="dxa"/>
            <w:tcBorders>
              <w:top w:val="nil"/>
              <w:left w:val="nil"/>
              <w:bottom w:val="single" w:sz="4" w:space="0" w:color="auto"/>
              <w:right w:val="single" w:sz="4" w:space="0" w:color="auto"/>
            </w:tcBorders>
            <w:shd w:val="clear" w:color="auto" w:fill="auto"/>
            <w:noWrap/>
            <w:vAlign w:val="bottom"/>
            <w:hideMark/>
          </w:tcPr>
          <w:p w14:paraId="4ABE8DAD" w14:textId="77777777" w:rsidR="00FE399D" w:rsidRPr="00D1707B" w:rsidRDefault="00FE399D" w:rsidP="00582303">
            <w:pPr>
              <w:pStyle w:val="CBDTableNormal"/>
              <w:spacing w:before="0" w:after="0"/>
              <w:jc w:val="right"/>
              <w:rPr>
                <w:sz w:val="18"/>
                <w:szCs w:val="18"/>
              </w:rPr>
            </w:pPr>
            <w:r>
              <w:rPr>
                <w:sz w:val="18"/>
              </w:rPr>
              <w:t>2 548</w:t>
            </w:r>
          </w:p>
        </w:tc>
      </w:tr>
      <w:tr w:rsidR="006774B8" w:rsidRPr="00D1707B" w14:paraId="6ACB45D3" w14:textId="77777777" w:rsidTr="00A526B1">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4EE6505" w14:textId="332EDCA2" w:rsidR="005F6FD0" w:rsidRPr="00D1707B" w:rsidRDefault="00D27398" w:rsidP="00D1707B">
            <w:pPr>
              <w:pStyle w:val="CBDTableNormal"/>
              <w:spacing w:before="0" w:after="0"/>
              <w:ind w:left="318"/>
              <w:rPr>
                <w:b/>
                <w:bCs/>
                <w:sz w:val="18"/>
                <w:szCs w:val="18"/>
              </w:rPr>
            </w:pPr>
            <w:r>
              <w:rPr>
                <w:b/>
                <w:sz w:val="18"/>
              </w:rPr>
              <w:t>Total</w:t>
            </w:r>
          </w:p>
        </w:tc>
        <w:tc>
          <w:tcPr>
            <w:tcW w:w="1628" w:type="dxa"/>
            <w:tcBorders>
              <w:top w:val="nil"/>
              <w:left w:val="nil"/>
              <w:bottom w:val="single" w:sz="4" w:space="0" w:color="auto"/>
              <w:right w:val="single" w:sz="4" w:space="0" w:color="auto"/>
            </w:tcBorders>
            <w:shd w:val="clear" w:color="auto" w:fill="auto"/>
            <w:noWrap/>
            <w:vAlign w:val="bottom"/>
            <w:hideMark/>
          </w:tcPr>
          <w:p w14:paraId="08A65706" w14:textId="77777777" w:rsidR="005F6FD0" w:rsidRPr="00D1707B" w:rsidRDefault="005F6FD0" w:rsidP="00582303">
            <w:pPr>
              <w:pStyle w:val="CBDTableNormal"/>
              <w:spacing w:before="0" w:after="0"/>
              <w:jc w:val="right"/>
              <w:rPr>
                <w:b/>
                <w:bCs/>
                <w:sz w:val="18"/>
                <w:szCs w:val="18"/>
              </w:rPr>
            </w:pPr>
            <w:r>
              <w:rPr>
                <w:b/>
                <w:sz w:val="18"/>
              </w:rPr>
              <w:t>78,013</w:t>
            </w:r>
          </w:p>
        </w:tc>
        <w:tc>
          <w:tcPr>
            <w:tcW w:w="2198" w:type="dxa"/>
            <w:tcBorders>
              <w:top w:val="nil"/>
              <w:left w:val="nil"/>
              <w:bottom w:val="single" w:sz="4" w:space="0" w:color="auto"/>
              <w:right w:val="single" w:sz="4" w:space="0" w:color="auto"/>
            </w:tcBorders>
            <w:shd w:val="clear" w:color="auto" w:fill="auto"/>
            <w:noWrap/>
            <w:vAlign w:val="bottom"/>
            <w:hideMark/>
          </w:tcPr>
          <w:p w14:paraId="70652B5D" w14:textId="77777777" w:rsidR="005F6FD0" w:rsidRPr="00D1707B" w:rsidRDefault="005F6FD0" w:rsidP="00582303">
            <w:pPr>
              <w:pStyle w:val="CBDTableNormal"/>
              <w:spacing w:before="0" w:after="0"/>
              <w:jc w:val="right"/>
              <w:rPr>
                <w:b/>
                <w:bCs/>
                <w:sz w:val="18"/>
                <w:szCs w:val="18"/>
              </w:rPr>
            </w:pPr>
            <w:r>
              <w:rPr>
                <w:b/>
                <w:sz w:val="18"/>
              </w:rPr>
              <w:t>100</w:t>
            </w:r>
          </w:p>
        </w:tc>
        <w:tc>
          <w:tcPr>
            <w:tcW w:w="1176" w:type="dxa"/>
            <w:tcBorders>
              <w:top w:val="nil"/>
              <w:left w:val="nil"/>
              <w:bottom w:val="single" w:sz="4" w:space="0" w:color="auto"/>
              <w:right w:val="single" w:sz="4" w:space="0" w:color="auto"/>
            </w:tcBorders>
            <w:shd w:val="clear" w:color="auto" w:fill="auto"/>
            <w:noWrap/>
            <w:vAlign w:val="bottom"/>
            <w:hideMark/>
          </w:tcPr>
          <w:p w14:paraId="743D72BD" w14:textId="6A7FF752" w:rsidR="005F6FD0" w:rsidRPr="00D1707B" w:rsidRDefault="005F6FD0" w:rsidP="00582303">
            <w:pPr>
              <w:pStyle w:val="CBDTableNormal"/>
              <w:spacing w:before="0" w:after="0"/>
              <w:jc w:val="right"/>
              <w:rPr>
                <w:b/>
                <w:bCs/>
                <w:sz w:val="18"/>
                <w:szCs w:val="18"/>
              </w:rPr>
            </w:pPr>
            <w:r>
              <w:rPr>
                <w:b/>
                <w:sz w:val="18"/>
              </w:rPr>
              <w:t>14 078 652</w:t>
            </w:r>
          </w:p>
        </w:tc>
        <w:tc>
          <w:tcPr>
            <w:tcW w:w="1461" w:type="dxa"/>
            <w:tcBorders>
              <w:top w:val="nil"/>
              <w:left w:val="nil"/>
              <w:bottom w:val="single" w:sz="4" w:space="0" w:color="auto"/>
              <w:right w:val="single" w:sz="4" w:space="0" w:color="auto"/>
            </w:tcBorders>
            <w:shd w:val="clear" w:color="auto" w:fill="auto"/>
            <w:noWrap/>
            <w:vAlign w:val="bottom"/>
            <w:hideMark/>
          </w:tcPr>
          <w:p w14:paraId="7467A27C" w14:textId="037B7FCB" w:rsidR="005F6FD0" w:rsidRPr="00D1707B" w:rsidRDefault="005F6FD0" w:rsidP="00582303">
            <w:pPr>
              <w:pStyle w:val="CBDTableNormal"/>
              <w:spacing w:before="0" w:after="0"/>
              <w:jc w:val="right"/>
              <w:rPr>
                <w:b/>
                <w:bCs/>
                <w:sz w:val="18"/>
                <w:szCs w:val="18"/>
              </w:rPr>
            </w:pPr>
            <w:r>
              <w:rPr>
                <w:b/>
                <w:sz w:val="18"/>
              </w:rPr>
              <w:t>15 041 954</w:t>
            </w:r>
          </w:p>
        </w:tc>
        <w:tc>
          <w:tcPr>
            <w:tcW w:w="1080" w:type="dxa"/>
            <w:tcBorders>
              <w:top w:val="nil"/>
              <w:left w:val="nil"/>
              <w:bottom w:val="single" w:sz="4" w:space="0" w:color="auto"/>
              <w:right w:val="single" w:sz="4" w:space="0" w:color="auto"/>
            </w:tcBorders>
            <w:shd w:val="clear" w:color="auto" w:fill="auto"/>
            <w:noWrap/>
            <w:vAlign w:val="bottom"/>
            <w:hideMark/>
          </w:tcPr>
          <w:p w14:paraId="46D1698E" w14:textId="1480BA71" w:rsidR="005F6FD0" w:rsidRPr="00D1707B" w:rsidRDefault="005F6FD0" w:rsidP="00582303">
            <w:pPr>
              <w:pStyle w:val="CBDTableNormal"/>
              <w:spacing w:before="0" w:after="0"/>
              <w:jc w:val="right"/>
              <w:rPr>
                <w:b/>
                <w:bCs/>
                <w:sz w:val="18"/>
                <w:szCs w:val="18"/>
              </w:rPr>
            </w:pPr>
            <w:r>
              <w:rPr>
                <w:b/>
                <w:sz w:val="18"/>
              </w:rPr>
              <w:t>29 120 606</w:t>
            </w:r>
          </w:p>
        </w:tc>
      </w:tr>
    </w:tbl>
    <w:p w14:paraId="258F3D57" w14:textId="48B0FE35" w:rsidR="00561B5A" w:rsidRPr="00561B5A" w:rsidRDefault="00370BD2" w:rsidP="00582303">
      <w:pPr>
        <w:spacing w:before="120" w:after="120"/>
        <w:jc w:val="center"/>
      </w:pPr>
      <w:r>
        <w:t>__________</w:t>
      </w:r>
    </w:p>
    <w:sectPr w:rsidR="00561B5A" w:rsidRPr="00561B5A" w:rsidSect="00582303">
      <w:headerReference w:type="even" r:id="rId20"/>
      <w:headerReference w:type="default" r:id="rId21"/>
      <w:footerReference w:type="even" r:id="rId22"/>
      <w:footerReference w:type="default" r:id="rId23"/>
      <w:headerReference w:type="first" r:id="rId24"/>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C3254" w14:textId="77777777" w:rsidR="00DF5A80" w:rsidRPr="008460CB" w:rsidRDefault="00DF5A80" w:rsidP="00A96B21">
      <w:r w:rsidRPr="008460CB">
        <w:separator/>
      </w:r>
    </w:p>
  </w:endnote>
  <w:endnote w:type="continuationSeparator" w:id="0">
    <w:p w14:paraId="0C7DD4AF" w14:textId="77777777" w:rsidR="00DF5A80" w:rsidRPr="008460CB" w:rsidRDefault="00DF5A80" w:rsidP="00A96B21">
      <w:r w:rsidRPr="008460CB">
        <w:continuationSeparator/>
      </w:r>
    </w:p>
  </w:endnote>
  <w:endnote w:type="continuationNotice" w:id="1">
    <w:p w14:paraId="2214A43A" w14:textId="77777777" w:rsidR="00DF5A80" w:rsidRPr="008460CB" w:rsidRDefault="00DF5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672278"/>
      <w:docPartObj>
        <w:docPartGallery w:val="Page Numbers (Top of Page)"/>
        <w:docPartUnique/>
      </w:docPartObj>
    </w:sdtPr>
    <w:sdtContent>
      <w:p w14:paraId="46AEFA53" w14:textId="3F08DD9F" w:rsidR="00F245C9" w:rsidRDefault="00F245C9" w:rsidP="00F37452">
        <w:pPr>
          <w:pStyle w:val="Piedepgina"/>
          <w:jc w:val="left"/>
        </w:pPr>
        <w:r w:rsidRPr="002B559C">
          <w:fldChar w:fldCharType="begin"/>
        </w:r>
        <w:r w:rsidRPr="002B559C">
          <w:instrText xml:space="preserve"> PAGE </w:instrText>
        </w:r>
        <w:r w:rsidRPr="002B559C">
          <w:fldChar w:fldCharType="separate"/>
        </w:r>
        <w:r>
          <w:t>9</w:t>
        </w:r>
        <w:r w:rsidRPr="002B559C">
          <w:fldChar w:fldCharType="end"/>
        </w:r>
        <w:r>
          <w:t>/</w:t>
        </w:r>
        <w:fldSimple w:instr=" NUMPAGES  ">
          <w:r>
            <w:t>20</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64919"/>
      <w:docPartObj>
        <w:docPartGallery w:val="Page Numbers (Top of Page)"/>
        <w:docPartUnique/>
      </w:docPartObj>
    </w:sdtPr>
    <w:sdtContent>
      <w:p w14:paraId="6743DB6B" w14:textId="539E6E19" w:rsidR="00F245C9" w:rsidRPr="00CF6FF7" w:rsidRDefault="00F245C9" w:rsidP="00F37452">
        <w:pPr>
          <w:pStyle w:val="Piedepgina"/>
          <w:jc w:val="right"/>
        </w:pPr>
        <w:r w:rsidRPr="002B559C">
          <w:fldChar w:fldCharType="begin"/>
        </w:r>
        <w:r w:rsidRPr="002B559C">
          <w:instrText xml:space="preserve"> PAGE </w:instrText>
        </w:r>
        <w:r w:rsidRPr="002B559C">
          <w:fldChar w:fldCharType="separate"/>
        </w:r>
        <w:r>
          <w:t>9</w:t>
        </w:r>
        <w:r w:rsidRPr="002B559C">
          <w:fldChar w:fldCharType="end"/>
        </w:r>
        <w:r>
          <w:t>/</w:t>
        </w:r>
        <w:fldSimple w:instr=" NUMPAGES  ">
          <w:r>
            <w:t>20</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003E" w14:textId="77777777" w:rsidR="00DF5A80" w:rsidRPr="008460CB" w:rsidRDefault="00DF5A80" w:rsidP="00582303">
      <w:pPr>
        <w:pStyle w:val="CBDNormal"/>
      </w:pPr>
      <w:r>
        <w:separator/>
      </w:r>
    </w:p>
  </w:footnote>
  <w:footnote w:type="continuationSeparator" w:id="0">
    <w:p w14:paraId="577F16A3" w14:textId="77777777" w:rsidR="00DF5A80" w:rsidRPr="008460CB" w:rsidRDefault="00DF5A80" w:rsidP="00582303">
      <w:pPr>
        <w:pStyle w:val="CBDNormal"/>
      </w:pPr>
      <w:r w:rsidRPr="008460CB">
        <w:continuationSeparator/>
      </w:r>
    </w:p>
  </w:footnote>
  <w:footnote w:type="continuationNotice" w:id="1">
    <w:p w14:paraId="70E7B338" w14:textId="77777777" w:rsidR="00DF5A80" w:rsidRPr="008460CB" w:rsidRDefault="00DF5A80" w:rsidP="00582303">
      <w:pPr>
        <w:pStyle w:val="CBDNormal"/>
      </w:pPr>
    </w:p>
  </w:footnote>
  <w:footnote w:id="2">
    <w:p w14:paraId="0E8745B1" w14:textId="233388BD" w:rsidR="00F245C9" w:rsidRPr="008460CB" w:rsidRDefault="00F245C9" w:rsidP="00582303">
      <w:pPr>
        <w:pStyle w:val="CBDFootnoteText"/>
      </w:pPr>
      <w:r>
        <w:rPr>
          <w:rStyle w:val="Refdenotaalpie"/>
          <w:szCs w:val="18"/>
        </w:rPr>
        <w:footnoteRef/>
      </w:r>
      <w:r>
        <w:t xml:space="preserve"> Naciones Unidas, </w:t>
      </w:r>
      <w:r>
        <w:rPr>
          <w:i/>
        </w:rPr>
        <w:t>Treaty Series</w:t>
      </w:r>
      <w:r>
        <w:t>,</w:t>
      </w:r>
      <w:r>
        <w:rPr>
          <w:i/>
        </w:rPr>
        <w:t xml:space="preserve"> </w:t>
      </w:r>
      <w:r>
        <w:t>vol. 1760, núm. 30619.</w:t>
      </w:r>
    </w:p>
  </w:footnote>
  <w:footnote w:id="3">
    <w:p w14:paraId="5E524795" w14:textId="4C902406" w:rsidR="00F245C9" w:rsidRPr="00922451" w:rsidRDefault="00F245C9">
      <w:pPr>
        <w:pStyle w:val="Textonotapie"/>
      </w:pPr>
      <w:r>
        <w:rPr>
          <w:rStyle w:val="Refdenotaalpie"/>
        </w:rPr>
        <w:footnoteRef/>
      </w:r>
      <w:r>
        <w:t xml:space="preserve"> Decisión 15/4, anexo.</w:t>
      </w:r>
    </w:p>
  </w:footnote>
  <w:footnote w:id="4">
    <w:p w14:paraId="3DB0B0B3" w14:textId="4B1D7A58" w:rsidR="00F245C9" w:rsidRPr="00582303" w:rsidRDefault="00F245C9">
      <w:pPr>
        <w:pStyle w:val="Textonotapie"/>
      </w:pPr>
      <w:r>
        <w:rPr>
          <w:rStyle w:val="Refdenotaalpie"/>
        </w:rPr>
        <w:footnoteRef/>
      </w:r>
      <w:r>
        <w:t xml:space="preserve"> </w:t>
      </w:r>
      <w:hyperlink r:id="rId1" w:history="1">
        <w:r>
          <w:rPr>
            <w:rStyle w:val="Hipervnculo"/>
          </w:rPr>
          <w:t>CBD/COP/16</w:t>
        </w:r>
        <w:r>
          <w:rPr>
            <w:rStyle w:val="Hipervnculo"/>
          </w:rPr>
          <w:t>/</w:t>
        </w:r>
        <w:r>
          <w:rPr>
            <w:rStyle w:val="Hipervnculo"/>
          </w:rPr>
          <w:t>2/Rev.1</w:t>
        </w:r>
      </w:hyperlink>
      <w:r>
        <w:t xml:space="preserve">, </w:t>
      </w:r>
      <w:hyperlink r:id="rId2" w:history="1">
        <w:r>
          <w:rPr>
            <w:rStyle w:val="Hipervnculo"/>
          </w:rPr>
          <w:t>CBD/COP/16/2/Rev.1/Add.1</w:t>
        </w:r>
      </w:hyperlink>
      <w:r>
        <w:t xml:space="preserve">, </w:t>
      </w:r>
      <w:hyperlink r:id="rId3" w:history="1">
        <w:r>
          <w:rPr>
            <w:rStyle w:val="Hipervnculo"/>
          </w:rPr>
          <w:t>CBD/COP/16/4</w:t>
        </w:r>
      </w:hyperlink>
      <w:r>
        <w:t xml:space="preserve">, </w:t>
      </w:r>
      <w:hyperlink r:id="rId4" w:history="1">
        <w:r>
          <w:rPr>
            <w:rStyle w:val="Hipervnculo"/>
          </w:rPr>
          <w:t>CBD/COP/16/4/Add.1</w:t>
        </w:r>
      </w:hyperlink>
      <w:r>
        <w:t xml:space="preserve"> y </w:t>
      </w:r>
      <w:hyperlink r:id="rId5" w:history="1">
        <w:r>
          <w:rPr>
            <w:rStyle w:val="Hipervnculo"/>
          </w:rPr>
          <w:t>CBD/COP/16/4/Add.2</w:t>
        </w:r>
      </w:hyperlink>
      <w:r>
        <w:t>.</w:t>
      </w:r>
    </w:p>
  </w:footnote>
  <w:footnote w:id="5">
    <w:p w14:paraId="0B4E8E3F" w14:textId="0B1174F5" w:rsidR="00F245C9" w:rsidRPr="008460CB" w:rsidRDefault="00F245C9" w:rsidP="00582303">
      <w:pPr>
        <w:pStyle w:val="CBDFootnoteText"/>
      </w:pPr>
      <w:r>
        <w:rPr>
          <w:rStyle w:val="Refdenotaalpie"/>
          <w:szCs w:val="18"/>
        </w:rPr>
        <w:footnoteRef/>
      </w:r>
      <w:r>
        <w:t xml:space="preserve"> Naciones Unidas, </w:t>
      </w:r>
      <w:r>
        <w:rPr>
          <w:i/>
        </w:rPr>
        <w:t>Treaty Series</w:t>
      </w:r>
      <w:r>
        <w:t>,</w:t>
      </w:r>
      <w:r>
        <w:rPr>
          <w:i/>
        </w:rPr>
        <w:t xml:space="preserve"> </w:t>
      </w:r>
      <w:r>
        <w:t>vol. 2226, núm. 30619.</w:t>
      </w:r>
    </w:p>
  </w:footnote>
  <w:footnote w:id="6">
    <w:p w14:paraId="5FB3B544" w14:textId="762F01C5" w:rsidR="00F245C9" w:rsidRPr="008460CB" w:rsidRDefault="00F245C9" w:rsidP="00582303">
      <w:pPr>
        <w:pStyle w:val="CBDFootnoteText"/>
      </w:pPr>
      <w:r>
        <w:rPr>
          <w:rStyle w:val="Refdenotaalpie"/>
          <w:szCs w:val="18"/>
        </w:rPr>
        <w:footnoteRef/>
      </w:r>
      <w:r>
        <w:t xml:space="preserve"> </w:t>
      </w:r>
      <w:r>
        <w:rPr>
          <w:i/>
          <w:iCs/>
        </w:rPr>
        <w:t>Ibid</w:t>
      </w:r>
      <w:r>
        <w:t>., vol. 3008, núm. 30619.</w:t>
      </w:r>
    </w:p>
  </w:footnote>
  <w:footnote w:id="7">
    <w:p w14:paraId="615D2087" w14:textId="648747C3" w:rsidR="00F245C9" w:rsidRPr="008460CB" w:rsidRDefault="00F245C9" w:rsidP="00582303">
      <w:pPr>
        <w:pStyle w:val="CBDFootnoteText"/>
      </w:pPr>
      <w:r>
        <w:rPr>
          <w:rStyle w:val="Refdenotaalpie"/>
          <w:rFonts w:asciiTheme="majorBidi" w:hAnsiTheme="majorBidi" w:cstheme="majorBidi"/>
          <w:szCs w:val="18"/>
        </w:rPr>
        <w:footnoteRef/>
      </w:r>
      <w:r>
        <w:t xml:space="preserve"> Esta figura en la resolución 76/238 de la Asamblea General. Una vez que la Asamblea General apruebe la escala de cuotas revisada para el trienio 2025-2027, esta se aplicará para calcular las cuotas prorrateadas para el bienio 2025-2026.</w:t>
      </w:r>
    </w:p>
  </w:footnote>
  <w:footnote w:id="8">
    <w:p w14:paraId="127C6E17" w14:textId="12A6F776" w:rsidR="00F245C9" w:rsidRPr="008460CB" w:rsidRDefault="00F245C9" w:rsidP="00582303">
      <w:pPr>
        <w:pStyle w:val="CBDFootnoteText"/>
      </w:pPr>
      <w:r>
        <w:rPr>
          <w:rStyle w:val="Refdenotaalpie"/>
        </w:rPr>
        <w:footnoteRef/>
      </w:r>
      <w:r>
        <w:t xml:space="preserve"> Conforme a lo dispuesto en el artículo </w:t>
      </w:r>
      <w:hyperlink r:id="rId6" w:history="1">
        <w:r>
          <w:rPr>
            <w:rStyle w:val="Hipervnculo"/>
          </w:rPr>
          <w:t>24</w:t>
        </w:r>
      </w:hyperlink>
      <w:r>
        <w:t xml:space="preserve"> del Convenio.</w:t>
      </w:r>
    </w:p>
  </w:footnote>
  <w:footnote w:id="9">
    <w:p w14:paraId="430B6863" w14:textId="53FC5F8C" w:rsidR="00F245C9" w:rsidRPr="0027544B" w:rsidRDefault="00F245C9">
      <w:pPr>
        <w:pStyle w:val="Textonotapie"/>
        <w:rPr>
          <w:lang w:val="en-US"/>
        </w:rPr>
      </w:pPr>
      <w:r>
        <w:rPr>
          <w:rStyle w:val="Refdenotaalpie"/>
        </w:rPr>
        <w:footnoteRef/>
      </w:r>
      <w:r w:rsidRPr="0027544B">
        <w:rPr>
          <w:lang w:val="en-US"/>
        </w:rPr>
        <w:t xml:space="preserve"> ST/SGB/2013/4 y ST/SGB/2013/4/Amend.1.</w:t>
      </w:r>
    </w:p>
  </w:footnote>
  <w:footnote w:id="10">
    <w:p w14:paraId="3C376854" w14:textId="01B9CB7C" w:rsidR="00F245C9" w:rsidRPr="008460CB" w:rsidRDefault="00F245C9" w:rsidP="00582303">
      <w:pPr>
        <w:pStyle w:val="CBDFootnoteText"/>
      </w:pPr>
      <w:r>
        <w:rPr>
          <w:rStyle w:val="Refdenotaalpie"/>
          <w:szCs w:val="18"/>
        </w:rPr>
        <w:footnoteRef/>
      </w:r>
      <w:r>
        <w:t xml:space="preserve"> Véase la resolución 60/283 de la Asamblea General, secc. IV.</w:t>
      </w:r>
    </w:p>
  </w:footnote>
  <w:footnote w:id="11">
    <w:p w14:paraId="34AA39A1" w14:textId="34431C8E" w:rsidR="00F245C9" w:rsidRPr="00582303" w:rsidRDefault="00F245C9" w:rsidP="00582303">
      <w:pPr>
        <w:pStyle w:val="CBDFootnoteText"/>
      </w:pPr>
      <w:r>
        <w:rPr>
          <w:rStyle w:val="Refdenotaalpie"/>
          <w:szCs w:val="18"/>
        </w:rPr>
        <w:footnoteRef/>
      </w:r>
      <w:r>
        <w:t xml:space="preserve"> Decisión </w:t>
      </w:r>
      <w:hyperlink r:id="rId7" w:history="1">
        <w:r>
          <w:rPr>
            <w:rStyle w:val="Hipervnculo"/>
          </w:rPr>
          <w:t>I/1</w:t>
        </w:r>
      </w:hyperlink>
      <w:r>
        <w:t>, anexo, en la versión enmendada en la decisión </w:t>
      </w:r>
      <w:hyperlink r:id="rId8" w:history="1">
        <w:r>
          <w:rPr>
            <w:rStyle w:val="Hipervnculo"/>
          </w:rPr>
          <w:t>V/2</w:t>
        </w:r>
        <w:r>
          <w:rPr>
            <w:rStyle w:val="Hipervnculo"/>
          </w:rPr>
          <w:t>0</w:t>
        </w:r>
      </w:hyperlink>
      <w:r>
        <w:t>.</w:t>
      </w:r>
    </w:p>
  </w:footnote>
  <w:footnote w:id="12">
    <w:p w14:paraId="675EE34A" w14:textId="50BFB8D9" w:rsidR="00F245C9" w:rsidRPr="008460CB" w:rsidRDefault="00F245C9" w:rsidP="00582303">
      <w:pPr>
        <w:pStyle w:val="CBDFootnoteText"/>
      </w:pPr>
      <w:r>
        <w:rPr>
          <w:rStyle w:val="Refdenotaalpie"/>
        </w:rPr>
        <w:footnoteRef/>
      </w:r>
      <w:r>
        <w:t xml:space="preserve"> </w:t>
      </w:r>
      <w:hyperlink r:id="rId9" w:history="1">
        <w:r>
          <w:rPr>
            <w:rStyle w:val="Hipervnculo"/>
          </w:rPr>
          <w:t>CBD/COP/16/3</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D3C7" w14:textId="1F9A4EFE" w:rsidR="00F245C9" w:rsidRPr="00582303" w:rsidRDefault="00F245C9" w:rsidP="00582303">
    <w:pPr>
      <w:pStyle w:val="CBDHeader"/>
    </w:pPr>
    <w:r>
      <w:t>CBD/COP/DEC/16/28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C1A9" w14:textId="7DD51E77" w:rsidR="00F245C9" w:rsidRPr="00582303" w:rsidRDefault="00F245C9" w:rsidP="00582303">
    <w:pPr>
      <w:pStyle w:val="CBDHeader"/>
      <w:spacing w:after="240"/>
      <w:jc w:val="right"/>
    </w:pPr>
    <w:r>
      <w:t>CBD/COP/DEC/16/28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81C5" w14:textId="77777777" w:rsidR="00F245C9" w:rsidRDefault="00F245C9" w:rsidP="00582303">
    <w:pPr>
      <w:pStyle w:val="Encabezado"/>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52504EF"/>
    <w:multiLevelType w:val="hybridMultilevel"/>
    <w:tmpl w:val="63867624"/>
    <w:lvl w:ilvl="0" w:tplc="A1EED66C">
      <w:start w:val="1"/>
      <w:numFmt w:val="decimal"/>
      <w:lvlText w:val="%1."/>
      <w:lvlJc w:val="left"/>
      <w:pPr>
        <w:ind w:left="720" w:hanging="360"/>
      </w:pPr>
      <w:rPr>
        <w:rFonts w:ascii="Times New Roman" w:hAnsi="Times New Roman"/>
        <w:b w:val="0"/>
        <w:bCs w:val="0"/>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FA0170D"/>
    <w:multiLevelType w:val="multilevel"/>
    <w:tmpl w:val="222A08B4"/>
    <w:numStyleLink w:val="ListCBD"/>
  </w:abstractNum>
  <w:abstractNum w:abstractNumId="17"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9"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0"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034415"/>
    <w:multiLevelType w:val="hybridMultilevel"/>
    <w:tmpl w:val="13DC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23"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5" w15:restartNumberingAfterBreak="0">
    <w:nsid w:val="23A52337"/>
    <w:multiLevelType w:val="hybridMultilevel"/>
    <w:tmpl w:val="3C1C6816"/>
    <w:lvl w:ilvl="0" w:tplc="4F307454">
      <w:start w:val="4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5356EC"/>
    <w:multiLevelType w:val="multilevel"/>
    <w:tmpl w:val="07D269C8"/>
    <w:numStyleLink w:val="CBDHeadings"/>
  </w:abstractNum>
  <w:abstractNum w:abstractNumId="28"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98E2FF3"/>
    <w:multiLevelType w:val="multilevel"/>
    <w:tmpl w:val="222A08B4"/>
    <w:numStyleLink w:val="ListCBD"/>
  </w:abstractNum>
  <w:abstractNum w:abstractNumId="31" w15:restartNumberingAfterBreak="0">
    <w:nsid w:val="3A7A122E"/>
    <w:multiLevelType w:val="hybridMultilevel"/>
    <w:tmpl w:val="7A0A2D52"/>
    <w:lvl w:ilvl="0" w:tplc="0400CA88">
      <w:start w:val="3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99D5F66"/>
    <w:multiLevelType w:val="multilevel"/>
    <w:tmpl w:val="222A08B4"/>
    <w:styleLink w:val="ListCBD"/>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E880595"/>
    <w:multiLevelType w:val="multilevel"/>
    <w:tmpl w:val="222A08B4"/>
    <w:numStyleLink w:val="ListCBD"/>
  </w:abstractNum>
  <w:abstractNum w:abstractNumId="37" w15:restartNumberingAfterBreak="0">
    <w:nsid w:val="52A66A9D"/>
    <w:multiLevelType w:val="multilevel"/>
    <w:tmpl w:val="222A08B4"/>
    <w:numStyleLink w:val="ListCBD"/>
  </w:abstractNum>
  <w:abstractNum w:abstractNumId="38"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D943BEE"/>
    <w:multiLevelType w:val="multilevel"/>
    <w:tmpl w:val="222A08B4"/>
    <w:numStyleLink w:val="ListCBD"/>
  </w:abstractNum>
  <w:abstractNum w:abstractNumId="42"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43" w15:restartNumberingAfterBreak="0">
    <w:nsid w:val="68B70991"/>
    <w:multiLevelType w:val="multilevel"/>
    <w:tmpl w:val="222A08B4"/>
    <w:numStyleLink w:val="ListCBD"/>
  </w:abstractNum>
  <w:abstractNum w:abstractNumId="44"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E23244"/>
    <w:multiLevelType w:val="multilevel"/>
    <w:tmpl w:val="28D000E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620"/>
        </w:tabs>
        <w:ind w:left="900" w:firstLine="720"/>
      </w:pPr>
      <w:rPr>
        <w:b w:val="0"/>
        <w:i w:val="0"/>
      </w:rPr>
    </w:lvl>
    <w:lvl w:ilvl="2">
      <w:start w:val="1"/>
      <w:numFmt w:val="lowerRoman"/>
      <w:pStyle w:val="Para3"/>
      <w:lvlText w:val="(%3)"/>
      <w:lvlJc w:val="right"/>
      <w:pPr>
        <w:tabs>
          <w:tab w:val="num" w:pos="2591"/>
        </w:tabs>
        <w:ind w:left="2951" w:hanging="431"/>
      </w:pPr>
    </w:lvl>
    <w:lvl w:ilvl="3">
      <w:start w:val="1"/>
      <w:numFmt w:val="bullet"/>
      <w:lvlText w:val=""/>
      <w:lvlJc w:val="left"/>
      <w:pPr>
        <w:tabs>
          <w:tab w:val="num" w:pos="2880"/>
        </w:tabs>
        <w:ind w:left="3240" w:hanging="720"/>
      </w:pPr>
      <w:rPr>
        <w:rFonts w:ascii="Symbol" w:hAnsi="Symbol" w:hint="default"/>
        <w:color w:val="auto"/>
        <w:sz w:val="28"/>
      </w:rPr>
    </w:lvl>
    <w:lvl w:ilvl="4">
      <w:start w:val="1"/>
      <w:numFmt w:val="lowerLetter"/>
      <w:lvlText w:val="(%5)"/>
      <w:lvlJc w:val="left"/>
      <w:pPr>
        <w:tabs>
          <w:tab w:val="num" w:pos="2520"/>
        </w:tabs>
        <w:ind w:left="2880" w:hanging="360"/>
      </w:pPr>
    </w:lvl>
    <w:lvl w:ilvl="5">
      <w:start w:val="1"/>
      <w:numFmt w:val="lowerRoman"/>
      <w:lvlText w:val="(%6)"/>
      <w:lvlJc w:val="left"/>
      <w:pPr>
        <w:tabs>
          <w:tab w:val="num" w:pos="2880"/>
        </w:tabs>
        <w:ind w:left="3240" w:hanging="360"/>
      </w:pPr>
    </w:lvl>
    <w:lvl w:ilvl="6">
      <w:start w:val="1"/>
      <w:numFmt w:val="decimal"/>
      <w:lvlText w:val="%7."/>
      <w:lvlJc w:val="left"/>
      <w:pPr>
        <w:tabs>
          <w:tab w:val="num" w:pos="3240"/>
        </w:tabs>
        <w:ind w:left="3600" w:hanging="360"/>
      </w:pPr>
    </w:lvl>
    <w:lvl w:ilvl="7">
      <w:start w:val="1"/>
      <w:numFmt w:val="lowerLetter"/>
      <w:lvlText w:val="%8."/>
      <w:lvlJc w:val="left"/>
      <w:pPr>
        <w:tabs>
          <w:tab w:val="num" w:pos="3600"/>
        </w:tabs>
        <w:ind w:left="3960" w:hanging="360"/>
      </w:pPr>
    </w:lvl>
    <w:lvl w:ilvl="8">
      <w:start w:val="1"/>
      <w:numFmt w:val="lowerRoman"/>
      <w:lvlText w:val="%9."/>
      <w:lvlJc w:val="left"/>
      <w:pPr>
        <w:tabs>
          <w:tab w:val="num" w:pos="3960"/>
        </w:tabs>
        <w:ind w:left="4320" w:hanging="360"/>
      </w:pPr>
    </w:lvl>
  </w:abstractNum>
  <w:abstractNum w:abstractNumId="47"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48" w15:restartNumberingAfterBreak="0">
    <w:nsid w:val="727F33ED"/>
    <w:multiLevelType w:val="hybridMultilevel"/>
    <w:tmpl w:val="1BB8C646"/>
    <w:lvl w:ilvl="0" w:tplc="476A0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0"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09723942">
    <w:abstractNumId w:val="43"/>
  </w:num>
  <w:num w:numId="2" w16cid:durableId="1168059303">
    <w:abstractNumId w:val="42"/>
  </w:num>
  <w:num w:numId="3" w16cid:durableId="1239824100">
    <w:abstractNumId w:val="50"/>
  </w:num>
  <w:num w:numId="4" w16cid:durableId="1506630601">
    <w:abstractNumId w:val="46"/>
  </w:num>
  <w:num w:numId="5" w16cid:durableId="1029137351">
    <w:abstractNumId w:val="34"/>
  </w:num>
  <w:num w:numId="6" w16cid:durableId="1171064379">
    <w:abstractNumId w:val="44"/>
  </w:num>
  <w:num w:numId="7" w16cid:durableId="125052358">
    <w:abstractNumId w:val="44"/>
  </w:num>
  <w:num w:numId="8" w16cid:durableId="2066686021">
    <w:abstractNumId w:val="47"/>
  </w:num>
  <w:num w:numId="9" w16cid:durableId="778524189">
    <w:abstractNumId w:val="35"/>
  </w:num>
  <w:num w:numId="10" w16cid:durableId="1263338835">
    <w:abstractNumId w:val="45"/>
  </w:num>
  <w:num w:numId="11" w16cid:durableId="2052263633">
    <w:abstractNumId w:val="22"/>
  </w:num>
  <w:num w:numId="12" w16cid:durableId="1135028757">
    <w:abstractNumId w:val="48"/>
  </w:num>
  <w:num w:numId="13" w16cid:durableId="981664526">
    <w:abstractNumId w:val="21"/>
  </w:num>
  <w:num w:numId="14" w16cid:durableId="666790301">
    <w:abstractNumId w:val="15"/>
  </w:num>
  <w:num w:numId="15" w16cid:durableId="1116632075">
    <w:abstractNumId w:val="14"/>
  </w:num>
  <w:num w:numId="16" w16cid:durableId="147016920">
    <w:abstractNumId w:val="29"/>
  </w:num>
  <w:num w:numId="17" w16cid:durableId="1378237720">
    <w:abstractNumId w:val="11"/>
  </w:num>
  <w:num w:numId="18" w16cid:durableId="89858747">
    <w:abstractNumId w:val="19"/>
  </w:num>
  <w:num w:numId="19" w16cid:durableId="1800027245">
    <w:abstractNumId w:val="9"/>
  </w:num>
  <w:num w:numId="20" w16cid:durableId="31197380">
    <w:abstractNumId w:val="7"/>
  </w:num>
  <w:num w:numId="21" w16cid:durableId="2079283681">
    <w:abstractNumId w:val="6"/>
  </w:num>
  <w:num w:numId="22" w16cid:durableId="618683107">
    <w:abstractNumId w:val="5"/>
  </w:num>
  <w:num w:numId="23" w16cid:durableId="87584342">
    <w:abstractNumId w:val="4"/>
  </w:num>
  <w:num w:numId="24" w16cid:durableId="1690912229">
    <w:abstractNumId w:val="8"/>
  </w:num>
  <w:num w:numId="25" w16cid:durableId="923950302">
    <w:abstractNumId w:val="3"/>
  </w:num>
  <w:num w:numId="26" w16cid:durableId="437021085">
    <w:abstractNumId w:val="2"/>
  </w:num>
  <w:num w:numId="27" w16cid:durableId="1886602389">
    <w:abstractNumId w:val="1"/>
  </w:num>
  <w:num w:numId="28" w16cid:durableId="2119331249">
    <w:abstractNumId w:val="0"/>
  </w:num>
  <w:num w:numId="29" w16cid:durableId="2047871833">
    <w:abstractNumId w:val="49"/>
  </w:num>
  <w:num w:numId="30" w16cid:durableId="4133760">
    <w:abstractNumId w:val="23"/>
  </w:num>
  <w:num w:numId="31" w16cid:durableId="1881362379">
    <w:abstractNumId w:val="24"/>
  </w:num>
  <w:num w:numId="32" w16cid:durableId="530263543">
    <w:abstractNumId w:val="43"/>
    <w:lvlOverride w:ilvl="0">
      <w:startOverride w:val="1"/>
    </w:lvlOverride>
  </w:num>
  <w:num w:numId="33" w16cid:durableId="1408066389">
    <w:abstractNumId w:val="37"/>
  </w:num>
  <w:num w:numId="34" w16cid:durableId="392972180">
    <w:abstractNumId w:val="33"/>
  </w:num>
  <w:num w:numId="35" w16cid:durableId="1567496065">
    <w:abstractNumId w:val="40"/>
  </w:num>
  <w:num w:numId="36" w16cid:durableId="107897263">
    <w:abstractNumId w:val="39"/>
  </w:num>
  <w:num w:numId="37" w16cid:durableId="14695920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74840138">
    <w:abstractNumId w:val="16"/>
  </w:num>
  <w:num w:numId="39" w16cid:durableId="1957636110">
    <w:abstractNumId w:val="36"/>
  </w:num>
  <w:num w:numId="40" w16cid:durableId="2000227803">
    <w:abstractNumId w:val="30"/>
  </w:num>
  <w:num w:numId="41" w16cid:durableId="1118062468">
    <w:abstractNumId w:val="18"/>
  </w:num>
  <w:num w:numId="42" w16cid:durableId="15252866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7746145">
    <w:abstractNumId w:val="20"/>
  </w:num>
  <w:num w:numId="44" w16cid:durableId="1260798662">
    <w:abstractNumId w:val="10"/>
  </w:num>
  <w:num w:numId="45" w16cid:durableId="1166077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93867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41638281">
    <w:abstractNumId w:val="12"/>
  </w:num>
  <w:num w:numId="48" w16cid:durableId="174423150">
    <w:abstractNumId w:val="26"/>
  </w:num>
  <w:num w:numId="49" w16cid:durableId="1914974028">
    <w:abstractNumId w:val="26"/>
    <w:lvlOverride w:ilvl="0">
      <w:startOverride w:val="1"/>
    </w:lvlOverride>
  </w:num>
  <w:num w:numId="50" w16cid:durableId="107357011">
    <w:abstractNumId w:val="26"/>
    <w:lvlOverride w:ilvl="0">
      <w:startOverride w:val="1"/>
    </w:lvlOverride>
  </w:num>
  <w:num w:numId="51" w16cid:durableId="670907453">
    <w:abstractNumId w:val="26"/>
    <w:lvlOverride w:ilvl="0">
      <w:startOverride w:val="1"/>
    </w:lvlOverride>
  </w:num>
  <w:num w:numId="52" w16cid:durableId="1140268979">
    <w:abstractNumId w:val="28"/>
  </w:num>
  <w:num w:numId="53" w16cid:durableId="1008487673">
    <w:abstractNumId w:val="38"/>
  </w:num>
  <w:num w:numId="54" w16cid:durableId="616956573">
    <w:abstractNumId w:val="32"/>
  </w:num>
  <w:num w:numId="55" w16cid:durableId="182591951">
    <w:abstractNumId w:val="27"/>
  </w:num>
  <w:num w:numId="56" w16cid:durableId="649139311">
    <w:abstractNumId w:val="17"/>
  </w:num>
  <w:num w:numId="57" w16cid:durableId="15645570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341935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539736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15119075">
    <w:abstractNumId w:val="13"/>
  </w:num>
  <w:num w:numId="61" w16cid:durableId="9434170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070732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26913843">
    <w:abstractNumId w:val="41"/>
  </w:num>
  <w:num w:numId="64" w16cid:durableId="863250638">
    <w:abstractNumId w:val="31"/>
  </w:num>
  <w:num w:numId="65" w16cid:durableId="1572543615">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81"/>
    <w:rsid w:val="00000BC9"/>
    <w:rsid w:val="000015E4"/>
    <w:rsid w:val="000034AE"/>
    <w:rsid w:val="0000439D"/>
    <w:rsid w:val="00004FE2"/>
    <w:rsid w:val="000058FA"/>
    <w:rsid w:val="000059CF"/>
    <w:rsid w:val="000106BA"/>
    <w:rsid w:val="000118F4"/>
    <w:rsid w:val="000121A9"/>
    <w:rsid w:val="000123F1"/>
    <w:rsid w:val="000127B7"/>
    <w:rsid w:val="0001311F"/>
    <w:rsid w:val="0001541F"/>
    <w:rsid w:val="0001637A"/>
    <w:rsid w:val="00017AF7"/>
    <w:rsid w:val="000215F6"/>
    <w:rsid w:val="00021A2C"/>
    <w:rsid w:val="0002204C"/>
    <w:rsid w:val="0002211E"/>
    <w:rsid w:val="000233F1"/>
    <w:rsid w:val="000245E8"/>
    <w:rsid w:val="000253C3"/>
    <w:rsid w:val="00025BF4"/>
    <w:rsid w:val="00025C0E"/>
    <w:rsid w:val="00025DA0"/>
    <w:rsid w:val="00026299"/>
    <w:rsid w:val="00030510"/>
    <w:rsid w:val="00031066"/>
    <w:rsid w:val="000317E1"/>
    <w:rsid w:val="00032832"/>
    <w:rsid w:val="000338A1"/>
    <w:rsid w:val="00033FDE"/>
    <w:rsid w:val="000342F0"/>
    <w:rsid w:val="0003452B"/>
    <w:rsid w:val="00035746"/>
    <w:rsid w:val="00036463"/>
    <w:rsid w:val="000379C2"/>
    <w:rsid w:val="00037BF2"/>
    <w:rsid w:val="00037F8D"/>
    <w:rsid w:val="00037FC0"/>
    <w:rsid w:val="00040598"/>
    <w:rsid w:val="0004106B"/>
    <w:rsid w:val="00041725"/>
    <w:rsid w:val="00041D3E"/>
    <w:rsid w:val="00043A3A"/>
    <w:rsid w:val="00044396"/>
    <w:rsid w:val="000444B3"/>
    <w:rsid w:val="000458B5"/>
    <w:rsid w:val="00046EEB"/>
    <w:rsid w:val="000475BE"/>
    <w:rsid w:val="00047E7A"/>
    <w:rsid w:val="0005095E"/>
    <w:rsid w:val="00051391"/>
    <w:rsid w:val="000536C3"/>
    <w:rsid w:val="000541AE"/>
    <w:rsid w:val="000556C0"/>
    <w:rsid w:val="000559E1"/>
    <w:rsid w:val="00057574"/>
    <w:rsid w:val="000611EE"/>
    <w:rsid w:val="00061AC7"/>
    <w:rsid w:val="00062E2F"/>
    <w:rsid w:val="00063C9E"/>
    <w:rsid w:val="00064B7B"/>
    <w:rsid w:val="00064BF7"/>
    <w:rsid w:val="00064C00"/>
    <w:rsid w:val="00065A86"/>
    <w:rsid w:val="000661A0"/>
    <w:rsid w:val="000665A0"/>
    <w:rsid w:val="00066C74"/>
    <w:rsid w:val="00066FA1"/>
    <w:rsid w:val="00067686"/>
    <w:rsid w:val="00067F39"/>
    <w:rsid w:val="00067FF2"/>
    <w:rsid w:val="00070579"/>
    <w:rsid w:val="00072055"/>
    <w:rsid w:val="000748E0"/>
    <w:rsid w:val="000802CB"/>
    <w:rsid w:val="0008073B"/>
    <w:rsid w:val="000816F0"/>
    <w:rsid w:val="00082064"/>
    <w:rsid w:val="00083482"/>
    <w:rsid w:val="00083B3C"/>
    <w:rsid w:val="000844F4"/>
    <w:rsid w:val="00084E80"/>
    <w:rsid w:val="0008506D"/>
    <w:rsid w:val="00085EA1"/>
    <w:rsid w:val="0009052D"/>
    <w:rsid w:val="00090F12"/>
    <w:rsid w:val="000919F2"/>
    <w:rsid w:val="00092823"/>
    <w:rsid w:val="00093CE4"/>
    <w:rsid w:val="00096093"/>
    <w:rsid w:val="00096A05"/>
    <w:rsid w:val="00096DCF"/>
    <w:rsid w:val="00096ED6"/>
    <w:rsid w:val="00097A83"/>
    <w:rsid w:val="000A2125"/>
    <w:rsid w:val="000A2BB4"/>
    <w:rsid w:val="000A5894"/>
    <w:rsid w:val="000A5E1C"/>
    <w:rsid w:val="000A5E72"/>
    <w:rsid w:val="000A6311"/>
    <w:rsid w:val="000A7F3E"/>
    <w:rsid w:val="000B03C2"/>
    <w:rsid w:val="000B4E30"/>
    <w:rsid w:val="000B5117"/>
    <w:rsid w:val="000B6714"/>
    <w:rsid w:val="000B683F"/>
    <w:rsid w:val="000B709C"/>
    <w:rsid w:val="000B76A3"/>
    <w:rsid w:val="000B7B96"/>
    <w:rsid w:val="000B7C4A"/>
    <w:rsid w:val="000B7FD3"/>
    <w:rsid w:val="000C0DB1"/>
    <w:rsid w:val="000C103B"/>
    <w:rsid w:val="000C1385"/>
    <w:rsid w:val="000C2477"/>
    <w:rsid w:val="000C3E8E"/>
    <w:rsid w:val="000C45FE"/>
    <w:rsid w:val="000C5A71"/>
    <w:rsid w:val="000C5C91"/>
    <w:rsid w:val="000C63A0"/>
    <w:rsid w:val="000C6F87"/>
    <w:rsid w:val="000C7A30"/>
    <w:rsid w:val="000D01E8"/>
    <w:rsid w:val="000D063C"/>
    <w:rsid w:val="000D1878"/>
    <w:rsid w:val="000D1CDD"/>
    <w:rsid w:val="000D253E"/>
    <w:rsid w:val="000D488B"/>
    <w:rsid w:val="000D6B6C"/>
    <w:rsid w:val="000E12C9"/>
    <w:rsid w:val="000E2F47"/>
    <w:rsid w:val="000E3BB4"/>
    <w:rsid w:val="000E7343"/>
    <w:rsid w:val="000E7593"/>
    <w:rsid w:val="000E7A57"/>
    <w:rsid w:val="000F076D"/>
    <w:rsid w:val="000F1F71"/>
    <w:rsid w:val="000F2819"/>
    <w:rsid w:val="000F2E12"/>
    <w:rsid w:val="000F4419"/>
    <w:rsid w:val="000F4F48"/>
    <w:rsid w:val="000F5A81"/>
    <w:rsid w:val="000F7199"/>
    <w:rsid w:val="0010016B"/>
    <w:rsid w:val="00100B6F"/>
    <w:rsid w:val="0010161D"/>
    <w:rsid w:val="00101DD7"/>
    <w:rsid w:val="001022AD"/>
    <w:rsid w:val="0010306F"/>
    <w:rsid w:val="001043CD"/>
    <w:rsid w:val="001060C3"/>
    <w:rsid w:val="00106C12"/>
    <w:rsid w:val="0010703D"/>
    <w:rsid w:val="00107138"/>
    <w:rsid w:val="001075D7"/>
    <w:rsid w:val="00107C44"/>
    <w:rsid w:val="001107F4"/>
    <w:rsid w:val="001117CC"/>
    <w:rsid w:val="00111FAB"/>
    <w:rsid w:val="00112F5E"/>
    <w:rsid w:val="00113634"/>
    <w:rsid w:val="00114279"/>
    <w:rsid w:val="00114347"/>
    <w:rsid w:val="00114487"/>
    <w:rsid w:val="00114503"/>
    <w:rsid w:val="00115751"/>
    <w:rsid w:val="00117DD8"/>
    <w:rsid w:val="00117F2A"/>
    <w:rsid w:val="0012003C"/>
    <w:rsid w:val="00121220"/>
    <w:rsid w:val="001212B1"/>
    <w:rsid w:val="001214A2"/>
    <w:rsid w:val="0012304A"/>
    <w:rsid w:val="0012369E"/>
    <w:rsid w:val="001239B2"/>
    <w:rsid w:val="00126AA6"/>
    <w:rsid w:val="00126E42"/>
    <w:rsid w:val="0013052B"/>
    <w:rsid w:val="0013062C"/>
    <w:rsid w:val="001308A8"/>
    <w:rsid w:val="00130D69"/>
    <w:rsid w:val="00131699"/>
    <w:rsid w:val="00131BEB"/>
    <w:rsid w:val="00132581"/>
    <w:rsid w:val="001331EE"/>
    <w:rsid w:val="00134BFD"/>
    <w:rsid w:val="001364CD"/>
    <w:rsid w:val="001371F7"/>
    <w:rsid w:val="00137AC4"/>
    <w:rsid w:val="00143840"/>
    <w:rsid w:val="001468A4"/>
    <w:rsid w:val="001476A4"/>
    <w:rsid w:val="0015046D"/>
    <w:rsid w:val="00150CE7"/>
    <w:rsid w:val="00151888"/>
    <w:rsid w:val="00152117"/>
    <w:rsid w:val="00152B70"/>
    <w:rsid w:val="00153D63"/>
    <w:rsid w:val="0015426D"/>
    <w:rsid w:val="00154B53"/>
    <w:rsid w:val="00155927"/>
    <w:rsid w:val="00155A49"/>
    <w:rsid w:val="00160582"/>
    <w:rsid w:val="001617AD"/>
    <w:rsid w:val="00162BA6"/>
    <w:rsid w:val="00163A4C"/>
    <w:rsid w:val="00165283"/>
    <w:rsid w:val="00165350"/>
    <w:rsid w:val="001653AB"/>
    <w:rsid w:val="001671C0"/>
    <w:rsid w:val="0016731A"/>
    <w:rsid w:val="00167815"/>
    <w:rsid w:val="00167FF2"/>
    <w:rsid w:val="001709F2"/>
    <w:rsid w:val="001725C6"/>
    <w:rsid w:val="00172675"/>
    <w:rsid w:val="00172A79"/>
    <w:rsid w:val="00172BAE"/>
    <w:rsid w:val="001739F5"/>
    <w:rsid w:val="0017494C"/>
    <w:rsid w:val="00176162"/>
    <w:rsid w:val="0017708A"/>
    <w:rsid w:val="001771B0"/>
    <w:rsid w:val="001774AA"/>
    <w:rsid w:val="00183D5F"/>
    <w:rsid w:val="00184909"/>
    <w:rsid w:val="00185D62"/>
    <w:rsid w:val="00186C97"/>
    <w:rsid w:val="0018782F"/>
    <w:rsid w:val="00187ECE"/>
    <w:rsid w:val="0019079E"/>
    <w:rsid w:val="00190A55"/>
    <w:rsid w:val="00190D3B"/>
    <w:rsid w:val="00191B09"/>
    <w:rsid w:val="00192956"/>
    <w:rsid w:val="001940AC"/>
    <w:rsid w:val="00194E9E"/>
    <w:rsid w:val="00197521"/>
    <w:rsid w:val="001A06AF"/>
    <w:rsid w:val="001A0C52"/>
    <w:rsid w:val="001A0D6C"/>
    <w:rsid w:val="001A16F6"/>
    <w:rsid w:val="001A22C9"/>
    <w:rsid w:val="001A2D66"/>
    <w:rsid w:val="001A3525"/>
    <w:rsid w:val="001A3DF7"/>
    <w:rsid w:val="001A54BA"/>
    <w:rsid w:val="001A6867"/>
    <w:rsid w:val="001B0178"/>
    <w:rsid w:val="001B12B2"/>
    <w:rsid w:val="001B1986"/>
    <w:rsid w:val="001B1BB5"/>
    <w:rsid w:val="001B2AAE"/>
    <w:rsid w:val="001B53B8"/>
    <w:rsid w:val="001B68F5"/>
    <w:rsid w:val="001C1107"/>
    <w:rsid w:val="001C1CB7"/>
    <w:rsid w:val="001C209E"/>
    <w:rsid w:val="001C327D"/>
    <w:rsid w:val="001C34A0"/>
    <w:rsid w:val="001C4226"/>
    <w:rsid w:val="001C4888"/>
    <w:rsid w:val="001C504A"/>
    <w:rsid w:val="001C62E1"/>
    <w:rsid w:val="001C6842"/>
    <w:rsid w:val="001D1140"/>
    <w:rsid w:val="001D1358"/>
    <w:rsid w:val="001D1EDD"/>
    <w:rsid w:val="001D2B06"/>
    <w:rsid w:val="001D3263"/>
    <w:rsid w:val="001D4622"/>
    <w:rsid w:val="001D7501"/>
    <w:rsid w:val="001D7AF0"/>
    <w:rsid w:val="001E015B"/>
    <w:rsid w:val="001E05E7"/>
    <w:rsid w:val="001E14B6"/>
    <w:rsid w:val="001E47CE"/>
    <w:rsid w:val="001E4A61"/>
    <w:rsid w:val="001E6606"/>
    <w:rsid w:val="001E7B0D"/>
    <w:rsid w:val="001E7D14"/>
    <w:rsid w:val="001F0353"/>
    <w:rsid w:val="001F05F3"/>
    <w:rsid w:val="001F101E"/>
    <w:rsid w:val="001F2A03"/>
    <w:rsid w:val="001F2CC2"/>
    <w:rsid w:val="001F30E7"/>
    <w:rsid w:val="001F3C37"/>
    <w:rsid w:val="001F5324"/>
    <w:rsid w:val="001F5556"/>
    <w:rsid w:val="001F7F2E"/>
    <w:rsid w:val="00200D9B"/>
    <w:rsid w:val="00201D78"/>
    <w:rsid w:val="00202426"/>
    <w:rsid w:val="00203456"/>
    <w:rsid w:val="00203A0A"/>
    <w:rsid w:val="002046E2"/>
    <w:rsid w:val="0020514B"/>
    <w:rsid w:val="002057A8"/>
    <w:rsid w:val="002063B3"/>
    <w:rsid w:val="002064E9"/>
    <w:rsid w:val="002066B1"/>
    <w:rsid w:val="00207036"/>
    <w:rsid w:val="00207E13"/>
    <w:rsid w:val="002110F8"/>
    <w:rsid w:val="002112B1"/>
    <w:rsid w:val="00211BEC"/>
    <w:rsid w:val="002144B4"/>
    <w:rsid w:val="00214915"/>
    <w:rsid w:val="00214E9F"/>
    <w:rsid w:val="00215872"/>
    <w:rsid w:val="00215C3D"/>
    <w:rsid w:val="0021676E"/>
    <w:rsid w:val="00217CF1"/>
    <w:rsid w:val="002202B4"/>
    <w:rsid w:val="00221ADE"/>
    <w:rsid w:val="00221E95"/>
    <w:rsid w:val="002224DC"/>
    <w:rsid w:val="00222502"/>
    <w:rsid w:val="00222789"/>
    <w:rsid w:val="00222A1E"/>
    <w:rsid w:val="00223D92"/>
    <w:rsid w:val="00225320"/>
    <w:rsid w:val="00226136"/>
    <w:rsid w:val="002270FD"/>
    <w:rsid w:val="0022771A"/>
    <w:rsid w:val="00227CEA"/>
    <w:rsid w:val="00230536"/>
    <w:rsid w:val="00231BB7"/>
    <w:rsid w:val="00232871"/>
    <w:rsid w:val="00233457"/>
    <w:rsid w:val="002346FE"/>
    <w:rsid w:val="00235F5F"/>
    <w:rsid w:val="00236742"/>
    <w:rsid w:val="00236D75"/>
    <w:rsid w:val="00236DD4"/>
    <w:rsid w:val="0023702C"/>
    <w:rsid w:val="00237035"/>
    <w:rsid w:val="002378DC"/>
    <w:rsid w:val="00237CB7"/>
    <w:rsid w:val="00240015"/>
    <w:rsid w:val="0024024E"/>
    <w:rsid w:val="002406EF"/>
    <w:rsid w:val="002422A1"/>
    <w:rsid w:val="002428DA"/>
    <w:rsid w:val="00242933"/>
    <w:rsid w:val="00243779"/>
    <w:rsid w:val="00243F9A"/>
    <w:rsid w:val="00244519"/>
    <w:rsid w:val="00244907"/>
    <w:rsid w:val="00244942"/>
    <w:rsid w:val="00245044"/>
    <w:rsid w:val="00246B4D"/>
    <w:rsid w:val="00246D18"/>
    <w:rsid w:val="0024721D"/>
    <w:rsid w:val="002476DE"/>
    <w:rsid w:val="00247B12"/>
    <w:rsid w:val="002533C5"/>
    <w:rsid w:val="00253D0C"/>
    <w:rsid w:val="00254247"/>
    <w:rsid w:val="0026086D"/>
    <w:rsid w:val="00260BC2"/>
    <w:rsid w:val="002613BE"/>
    <w:rsid w:val="002620B8"/>
    <w:rsid w:val="00262226"/>
    <w:rsid w:val="002637FB"/>
    <w:rsid w:val="00264507"/>
    <w:rsid w:val="00264583"/>
    <w:rsid w:val="002645F5"/>
    <w:rsid w:val="00266682"/>
    <w:rsid w:val="002678D1"/>
    <w:rsid w:val="00267EF8"/>
    <w:rsid w:val="00270146"/>
    <w:rsid w:val="00271075"/>
    <w:rsid w:val="0027118F"/>
    <w:rsid w:val="00271A43"/>
    <w:rsid w:val="00272139"/>
    <w:rsid w:val="00272636"/>
    <w:rsid w:val="00272973"/>
    <w:rsid w:val="00272FD5"/>
    <w:rsid w:val="00273D1A"/>
    <w:rsid w:val="00274327"/>
    <w:rsid w:val="0027544B"/>
    <w:rsid w:val="00275747"/>
    <w:rsid w:val="002759D1"/>
    <w:rsid w:val="00275D37"/>
    <w:rsid w:val="0028182E"/>
    <w:rsid w:val="00282C85"/>
    <w:rsid w:val="00283ECE"/>
    <w:rsid w:val="00284717"/>
    <w:rsid w:val="00284E71"/>
    <w:rsid w:val="002850D3"/>
    <w:rsid w:val="00285C26"/>
    <w:rsid w:val="0028662D"/>
    <w:rsid w:val="00287110"/>
    <w:rsid w:val="002903F1"/>
    <w:rsid w:val="002919D4"/>
    <w:rsid w:val="002925AF"/>
    <w:rsid w:val="00292906"/>
    <w:rsid w:val="00292EA0"/>
    <w:rsid w:val="002931AE"/>
    <w:rsid w:val="00295A42"/>
    <w:rsid w:val="002964C8"/>
    <w:rsid w:val="002964F9"/>
    <w:rsid w:val="00296961"/>
    <w:rsid w:val="00296E15"/>
    <w:rsid w:val="002972DE"/>
    <w:rsid w:val="002974D9"/>
    <w:rsid w:val="002A0DEE"/>
    <w:rsid w:val="002A16B7"/>
    <w:rsid w:val="002A1CBD"/>
    <w:rsid w:val="002A2470"/>
    <w:rsid w:val="002A319D"/>
    <w:rsid w:val="002A4A1D"/>
    <w:rsid w:val="002A5DA2"/>
    <w:rsid w:val="002A74CB"/>
    <w:rsid w:val="002A7B73"/>
    <w:rsid w:val="002B0074"/>
    <w:rsid w:val="002B00CA"/>
    <w:rsid w:val="002B4CC5"/>
    <w:rsid w:val="002B4DCF"/>
    <w:rsid w:val="002B559C"/>
    <w:rsid w:val="002B5E5E"/>
    <w:rsid w:val="002B65F3"/>
    <w:rsid w:val="002B6F73"/>
    <w:rsid w:val="002B76D3"/>
    <w:rsid w:val="002C0F98"/>
    <w:rsid w:val="002C15FB"/>
    <w:rsid w:val="002C32CD"/>
    <w:rsid w:val="002C3F43"/>
    <w:rsid w:val="002C50CC"/>
    <w:rsid w:val="002C58D0"/>
    <w:rsid w:val="002C6FAE"/>
    <w:rsid w:val="002D154C"/>
    <w:rsid w:val="002D18F8"/>
    <w:rsid w:val="002D22DA"/>
    <w:rsid w:val="002D4B3D"/>
    <w:rsid w:val="002D5771"/>
    <w:rsid w:val="002D607C"/>
    <w:rsid w:val="002D6455"/>
    <w:rsid w:val="002D7CFE"/>
    <w:rsid w:val="002E1106"/>
    <w:rsid w:val="002E15E4"/>
    <w:rsid w:val="002E230C"/>
    <w:rsid w:val="002E2946"/>
    <w:rsid w:val="002E365D"/>
    <w:rsid w:val="002E37A7"/>
    <w:rsid w:val="002E38BA"/>
    <w:rsid w:val="002E5A1A"/>
    <w:rsid w:val="002E63F1"/>
    <w:rsid w:val="002E6707"/>
    <w:rsid w:val="002F0899"/>
    <w:rsid w:val="002F0B8F"/>
    <w:rsid w:val="002F0C4E"/>
    <w:rsid w:val="002F1CB3"/>
    <w:rsid w:val="002F2093"/>
    <w:rsid w:val="002F4229"/>
    <w:rsid w:val="002F4A20"/>
    <w:rsid w:val="002F4EB5"/>
    <w:rsid w:val="002F6039"/>
    <w:rsid w:val="00301340"/>
    <w:rsid w:val="003032D3"/>
    <w:rsid w:val="00303367"/>
    <w:rsid w:val="00303A06"/>
    <w:rsid w:val="00305357"/>
    <w:rsid w:val="00310608"/>
    <w:rsid w:val="003108DB"/>
    <w:rsid w:val="00311336"/>
    <w:rsid w:val="0031436C"/>
    <w:rsid w:val="00314F24"/>
    <w:rsid w:val="00315276"/>
    <w:rsid w:val="0031629D"/>
    <w:rsid w:val="0031787E"/>
    <w:rsid w:val="00317D77"/>
    <w:rsid w:val="0032023E"/>
    <w:rsid w:val="003202F1"/>
    <w:rsid w:val="0032079F"/>
    <w:rsid w:val="0032092E"/>
    <w:rsid w:val="00320BB3"/>
    <w:rsid w:val="00320E7E"/>
    <w:rsid w:val="0032112F"/>
    <w:rsid w:val="00323B79"/>
    <w:rsid w:val="00323F22"/>
    <w:rsid w:val="0032555E"/>
    <w:rsid w:val="003256F1"/>
    <w:rsid w:val="003266F8"/>
    <w:rsid w:val="00326DC2"/>
    <w:rsid w:val="00330203"/>
    <w:rsid w:val="00330A1F"/>
    <w:rsid w:val="00330F20"/>
    <w:rsid w:val="003310DE"/>
    <w:rsid w:val="00332657"/>
    <w:rsid w:val="003334DB"/>
    <w:rsid w:val="00334FCF"/>
    <w:rsid w:val="00336A84"/>
    <w:rsid w:val="00340B04"/>
    <w:rsid w:val="00340F71"/>
    <w:rsid w:val="00342D7C"/>
    <w:rsid w:val="003443CF"/>
    <w:rsid w:val="003444B0"/>
    <w:rsid w:val="00345913"/>
    <w:rsid w:val="00347280"/>
    <w:rsid w:val="003476A9"/>
    <w:rsid w:val="00347FA2"/>
    <w:rsid w:val="0035016B"/>
    <w:rsid w:val="00350819"/>
    <w:rsid w:val="003522F2"/>
    <w:rsid w:val="0035328F"/>
    <w:rsid w:val="00353498"/>
    <w:rsid w:val="0035355F"/>
    <w:rsid w:val="003535A7"/>
    <w:rsid w:val="00354A13"/>
    <w:rsid w:val="003554B9"/>
    <w:rsid w:val="00355A56"/>
    <w:rsid w:val="0035651F"/>
    <w:rsid w:val="003566A8"/>
    <w:rsid w:val="003575E3"/>
    <w:rsid w:val="0035788F"/>
    <w:rsid w:val="00360235"/>
    <w:rsid w:val="0036208B"/>
    <w:rsid w:val="00363B57"/>
    <w:rsid w:val="00364077"/>
    <w:rsid w:val="0036512F"/>
    <w:rsid w:val="00365133"/>
    <w:rsid w:val="00365237"/>
    <w:rsid w:val="00365A41"/>
    <w:rsid w:val="003667A0"/>
    <w:rsid w:val="003669FE"/>
    <w:rsid w:val="00367D71"/>
    <w:rsid w:val="00370084"/>
    <w:rsid w:val="003705CA"/>
    <w:rsid w:val="00370BA0"/>
    <w:rsid w:val="00370BD2"/>
    <w:rsid w:val="00370F73"/>
    <w:rsid w:val="00371605"/>
    <w:rsid w:val="00371650"/>
    <w:rsid w:val="00371707"/>
    <w:rsid w:val="00374BE1"/>
    <w:rsid w:val="003756C4"/>
    <w:rsid w:val="00381946"/>
    <w:rsid w:val="00381DB5"/>
    <w:rsid w:val="00382094"/>
    <w:rsid w:val="003821AD"/>
    <w:rsid w:val="0038394C"/>
    <w:rsid w:val="003847B7"/>
    <w:rsid w:val="0038499C"/>
    <w:rsid w:val="00387639"/>
    <w:rsid w:val="003901EC"/>
    <w:rsid w:val="00390A24"/>
    <w:rsid w:val="00390AD8"/>
    <w:rsid w:val="00390B93"/>
    <w:rsid w:val="00390C5B"/>
    <w:rsid w:val="0039145F"/>
    <w:rsid w:val="00391D1C"/>
    <w:rsid w:val="003924A0"/>
    <w:rsid w:val="00393032"/>
    <w:rsid w:val="003941D8"/>
    <w:rsid w:val="00394B21"/>
    <w:rsid w:val="00394C93"/>
    <w:rsid w:val="0039581F"/>
    <w:rsid w:val="00395890"/>
    <w:rsid w:val="00396796"/>
    <w:rsid w:val="00396DA5"/>
    <w:rsid w:val="003A088A"/>
    <w:rsid w:val="003A1548"/>
    <w:rsid w:val="003A1B3B"/>
    <w:rsid w:val="003A2D6E"/>
    <w:rsid w:val="003A36FE"/>
    <w:rsid w:val="003A43B5"/>
    <w:rsid w:val="003A4DA0"/>
    <w:rsid w:val="003B0994"/>
    <w:rsid w:val="003B11B3"/>
    <w:rsid w:val="003B1D5A"/>
    <w:rsid w:val="003B2498"/>
    <w:rsid w:val="003B329A"/>
    <w:rsid w:val="003B3901"/>
    <w:rsid w:val="003B5B1D"/>
    <w:rsid w:val="003B639A"/>
    <w:rsid w:val="003B6AD0"/>
    <w:rsid w:val="003C0D93"/>
    <w:rsid w:val="003C2116"/>
    <w:rsid w:val="003C30DE"/>
    <w:rsid w:val="003C57F4"/>
    <w:rsid w:val="003C6577"/>
    <w:rsid w:val="003C6DF9"/>
    <w:rsid w:val="003C6E52"/>
    <w:rsid w:val="003C6F10"/>
    <w:rsid w:val="003C7D16"/>
    <w:rsid w:val="003D05ED"/>
    <w:rsid w:val="003D0B3C"/>
    <w:rsid w:val="003D0C8C"/>
    <w:rsid w:val="003D0C8E"/>
    <w:rsid w:val="003D1A23"/>
    <w:rsid w:val="003D3E9C"/>
    <w:rsid w:val="003D4324"/>
    <w:rsid w:val="003D59F2"/>
    <w:rsid w:val="003D7A66"/>
    <w:rsid w:val="003E0390"/>
    <w:rsid w:val="003E0593"/>
    <w:rsid w:val="003E0AD1"/>
    <w:rsid w:val="003E2496"/>
    <w:rsid w:val="003E2E92"/>
    <w:rsid w:val="003E3813"/>
    <w:rsid w:val="003E590D"/>
    <w:rsid w:val="003E66A7"/>
    <w:rsid w:val="003E6C98"/>
    <w:rsid w:val="003E6D88"/>
    <w:rsid w:val="003E736B"/>
    <w:rsid w:val="003E749E"/>
    <w:rsid w:val="003E75C7"/>
    <w:rsid w:val="003E75FF"/>
    <w:rsid w:val="003E7C20"/>
    <w:rsid w:val="003E7F6D"/>
    <w:rsid w:val="003F0C35"/>
    <w:rsid w:val="003F1C38"/>
    <w:rsid w:val="003F3270"/>
    <w:rsid w:val="003F3FBD"/>
    <w:rsid w:val="003F47D0"/>
    <w:rsid w:val="003F4FB2"/>
    <w:rsid w:val="003F509F"/>
    <w:rsid w:val="003F632C"/>
    <w:rsid w:val="00400F59"/>
    <w:rsid w:val="00401D44"/>
    <w:rsid w:val="0040272F"/>
    <w:rsid w:val="00402B87"/>
    <w:rsid w:val="004035AC"/>
    <w:rsid w:val="00404F03"/>
    <w:rsid w:val="004050F8"/>
    <w:rsid w:val="00405A59"/>
    <w:rsid w:val="00405F5C"/>
    <w:rsid w:val="00411446"/>
    <w:rsid w:val="00411495"/>
    <w:rsid w:val="00411636"/>
    <w:rsid w:val="00412139"/>
    <w:rsid w:val="00412C02"/>
    <w:rsid w:val="004138BC"/>
    <w:rsid w:val="00415186"/>
    <w:rsid w:val="00417825"/>
    <w:rsid w:val="004210DF"/>
    <w:rsid w:val="00422002"/>
    <w:rsid w:val="00423BC7"/>
    <w:rsid w:val="004244B5"/>
    <w:rsid w:val="00425DEA"/>
    <w:rsid w:val="00426451"/>
    <w:rsid w:val="004306D8"/>
    <w:rsid w:val="00430B4B"/>
    <w:rsid w:val="004312CD"/>
    <w:rsid w:val="00431604"/>
    <w:rsid w:val="0043225A"/>
    <w:rsid w:val="00434100"/>
    <w:rsid w:val="00435BAA"/>
    <w:rsid w:val="004374EA"/>
    <w:rsid w:val="00437943"/>
    <w:rsid w:val="0043796F"/>
    <w:rsid w:val="00437ED1"/>
    <w:rsid w:val="0044008E"/>
    <w:rsid w:val="00440FFB"/>
    <w:rsid w:val="00441305"/>
    <w:rsid w:val="00441498"/>
    <w:rsid w:val="00441DA9"/>
    <w:rsid w:val="00441E8C"/>
    <w:rsid w:val="00442610"/>
    <w:rsid w:val="00442923"/>
    <w:rsid w:val="004439B9"/>
    <w:rsid w:val="004450A8"/>
    <w:rsid w:val="0044542F"/>
    <w:rsid w:val="00445AE3"/>
    <w:rsid w:val="00446ACA"/>
    <w:rsid w:val="0044732D"/>
    <w:rsid w:val="00447352"/>
    <w:rsid w:val="00447B3A"/>
    <w:rsid w:val="00452664"/>
    <w:rsid w:val="00453D4E"/>
    <w:rsid w:val="0045404A"/>
    <w:rsid w:val="004546D3"/>
    <w:rsid w:val="00454A46"/>
    <w:rsid w:val="00455E8E"/>
    <w:rsid w:val="00456F18"/>
    <w:rsid w:val="00457066"/>
    <w:rsid w:val="00460B7B"/>
    <w:rsid w:val="00460C0B"/>
    <w:rsid w:val="00461003"/>
    <w:rsid w:val="00461CF8"/>
    <w:rsid w:val="00461F9D"/>
    <w:rsid w:val="00462136"/>
    <w:rsid w:val="00463AF6"/>
    <w:rsid w:val="00464048"/>
    <w:rsid w:val="0046434A"/>
    <w:rsid w:val="0046465E"/>
    <w:rsid w:val="00465F1A"/>
    <w:rsid w:val="004665A8"/>
    <w:rsid w:val="004669F2"/>
    <w:rsid w:val="00467B37"/>
    <w:rsid w:val="00470021"/>
    <w:rsid w:val="00470133"/>
    <w:rsid w:val="004701EE"/>
    <w:rsid w:val="00472894"/>
    <w:rsid w:val="004728EF"/>
    <w:rsid w:val="00473A9B"/>
    <w:rsid w:val="0047499C"/>
    <w:rsid w:val="00476C94"/>
    <w:rsid w:val="00476E57"/>
    <w:rsid w:val="00477107"/>
    <w:rsid w:val="00480A8D"/>
    <w:rsid w:val="004813FE"/>
    <w:rsid w:val="0048181B"/>
    <w:rsid w:val="00483587"/>
    <w:rsid w:val="00485A21"/>
    <w:rsid w:val="004904C9"/>
    <w:rsid w:val="00490741"/>
    <w:rsid w:val="00493890"/>
    <w:rsid w:val="00493C46"/>
    <w:rsid w:val="00494A43"/>
    <w:rsid w:val="00494DB3"/>
    <w:rsid w:val="00495B14"/>
    <w:rsid w:val="00495D44"/>
    <w:rsid w:val="00496422"/>
    <w:rsid w:val="0049666B"/>
    <w:rsid w:val="00496A52"/>
    <w:rsid w:val="00497C81"/>
    <w:rsid w:val="00497CAF"/>
    <w:rsid w:val="00497EC2"/>
    <w:rsid w:val="004A01C6"/>
    <w:rsid w:val="004A0352"/>
    <w:rsid w:val="004A1424"/>
    <w:rsid w:val="004A1EF1"/>
    <w:rsid w:val="004A2A2D"/>
    <w:rsid w:val="004A4E28"/>
    <w:rsid w:val="004A4F42"/>
    <w:rsid w:val="004A5105"/>
    <w:rsid w:val="004A52BE"/>
    <w:rsid w:val="004B0EDE"/>
    <w:rsid w:val="004B1E47"/>
    <w:rsid w:val="004B3F65"/>
    <w:rsid w:val="004B70C8"/>
    <w:rsid w:val="004C005C"/>
    <w:rsid w:val="004C15D4"/>
    <w:rsid w:val="004C174B"/>
    <w:rsid w:val="004C387D"/>
    <w:rsid w:val="004C38DF"/>
    <w:rsid w:val="004C41AB"/>
    <w:rsid w:val="004C5F03"/>
    <w:rsid w:val="004C6CB3"/>
    <w:rsid w:val="004D0940"/>
    <w:rsid w:val="004D258C"/>
    <w:rsid w:val="004D33A7"/>
    <w:rsid w:val="004D343D"/>
    <w:rsid w:val="004D350F"/>
    <w:rsid w:val="004D467F"/>
    <w:rsid w:val="004D498F"/>
    <w:rsid w:val="004D501C"/>
    <w:rsid w:val="004D5076"/>
    <w:rsid w:val="004D5D85"/>
    <w:rsid w:val="004D67FB"/>
    <w:rsid w:val="004E2B07"/>
    <w:rsid w:val="004E2BB5"/>
    <w:rsid w:val="004E3A4D"/>
    <w:rsid w:val="004E4592"/>
    <w:rsid w:val="004E5893"/>
    <w:rsid w:val="004E5948"/>
    <w:rsid w:val="004E6108"/>
    <w:rsid w:val="004E7B7D"/>
    <w:rsid w:val="004E7D98"/>
    <w:rsid w:val="004F12A4"/>
    <w:rsid w:val="004F1A83"/>
    <w:rsid w:val="004F1B77"/>
    <w:rsid w:val="004F2025"/>
    <w:rsid w:val="004F2716"/>
    <w:rsid w:val="004F29F0"/>
    <w:rsid w:val="004F2B9B"/>
    <w:rsid w:val="004F385B"/>
    <w:rsid w:val="004F3B1F"/>
    <w:rsid w:val="004F3E45"/>
    <w:rsid w:val="004F4011"/>
    <w:rsid w:val="004F465A"/>
    <w:rsid w:val="004F47EC"/>
    <w:rsid w:val="004F5B76"/>
    <w:rsid w:val="004F6373"/>
    <w:rsid w:val="00500F00"/>
    <w:rsid w:val="00501CC8"/>
    <w:rsid w:val="00501DE8"/>
    <w:rsid w:val="00501E92"/>
    <w:rsid w:val="005031AA"/>
    <w:rsid w:val="005034AB"/>
    <w:rsid w:val="00504319"/>
    <w:rsid w:val="00504351"/>
    <w:rsid w:val="0050444B"/>
    <w:rsid w:val="00505186"/>
    <w:rsid w:val="00505FAB"/>
    <w:rsid w:val="005069EF"/>
    <w:rsid w:val="00506A93"/>
    <w:rsid w:val="00506B52"/>
    <w:rsid w:val="00507156"/>
    <w:rsid w:val="0050761B"/>
    <w:rsid w:val="00507E2D"/>
    <w:rsid w:val="00511080"/>
    <w:rsid w:val="00513431"/>
    <w:rsid w:val="0051400F"/>
    <w:rsid w:val="00516949"/>
    <w:rsid w:val="00516A72"/>
    <w:rsid w:val="00516A78"/>
    <w:rsid w:val="0052028B"/>
    <w:rsid w:val="00521456"/>
    <w:rsid w:val="00521641"/>
    <w:rsid w:val="00521847"/>
    <w:rsid w:val="00521BC5"/>
    <w:rsid w:val="00522C5B"/>
    <w:rsid w:val="00523940"/>
    <w:rsid w:val="00523A55"/>
    <w:rsid w:val="00523AA9"/>
    <w:rsid w:val="005253FF"/>
    <w:rsid w:val="00525453"/>
    <w:rsid w:val="00527821"/>
    <w:rsid w:val="00527F44"/>
    <w:rsid w:val="005303D2"/>
    <w:rsid w:val="0053085C"/>
    <w:rsid w:val="00530D9A"/>
    <w:rsid w:val="0053139E"/>
    <w:rsid w:val="005319A9"/>
    <w:rsid w:val="00531B2B"/>
    <w:rsid w:val="00531C5A"/>
    <w:rsid w:val="00532160"/>
    <w:rsid w:val="0053395A"/>
    <w:rsid w:val="00535067"/>
    <w:rsid w:val="00536912"/>
    <w:rsid w:val="00536989"/>
    <w:rsid w:val="00537248"/>
    <w:rsid w:val="00537D4C"/>
    <w:rsid w:val="00540098"/>
    <w:rsid w:val="00542290"/>
    <w:rsid w:val="00542725"/>
    <w:rsid w:val="00542FBE"/>
    <w:rsid w:val="00543960"/>
    <w:rsid w:val="00544220"/>
    <w:rsid w:val="00544DCB"/>
    <w:rsid w:val="00545C05"/>
    <w:rsid w:val="00545FF1"/>
    <w:rsid w:val="0054667A"/>
    <w:rsid w:val="0055003A"/>
    <w:rsid w:val="0055119B"/>
    <w:rsid w:val="00552353"/>
    <w:rsid w:val="005535FD"/>
    <w:rsid w:val="005536D4"/>
    <w:rsid w:val="00554202"/>
    <w:rsid w:val="00554CAF"/>
    <w:rsid w:val="00556613"/>
    <w:rsid w:val="005567E2"/>
    <w:rsid w:val="0055716A"/>
    <w:rsid w:val="00557456"/>
    <w:rsid w:val="0055765C"/>
    <w:rsid w:val="00557B31"/>
    <w:rsid w:val="00557FD1"/>
    <w:rsid w:val="005607CD"/>
    <w:rsid w:val="00561B5A"/>
    <w:rsid w:val="00567048"/>
    <w:rsid w:val="00567460"/>
    <w:rsid w:val="00567863"/>
    <w:rsid w:val="0057060E"/>
    <w:rsid w:val="00571DD4"/>
    <w:rsid w:val="00571E57"/>
    <w:rsid w:val="005735E5"/>
    <w:rsid w:val="00573EE7"/>
    <w:rsid w:val="00575350"/>
    <w:rsid w:val="005753D8"/>
    <w:rsid w:val="005762FD"/>
    <w:rsid w:val="0057693B"/>
    <w:rsid w:val="005773A5"/>
    <w:rsid w:val="00580B7C"/>
    <w:rsid w:val="00581E5F"/>
    <w:rsid w:val="005820F6"/>
    <w:rsid w:val="00582230"/>
    <w:rsid w:val="00582303"/>
    <w:rsid w:val="00582C3C"/>
    <w:rsid w:val="00582EE1"/>
    <w:rsid w:val="0058389D"/>
    <w:rsid w:val="00583D25"/>
    <w:rsid w:val="005859B3"/>
    <w:rsid w:val="0058750F"/>
    <w:rsid w:val="0058788F"/>
    <w:rsid w:val="005902EF"/>
    <w:rsid w:val="005904B3"/>
    <w:rsid w:val="005913AB"/>
    <w:rsid w:val="005918BB"/>
    <w:rsid w:val="00592068"/>
    <w:rsid w:val="005921ED"/>
    <w:rsid w:val="0059233E"/>
    <w:rsid w:val="0059267C"/>
    <w:rsid w:val="00592E83"/>
    <w:rsid w:val="00593BC5"/>
    <w:rsid w:val="00594279"/>
    <w:rsid w:val="00594B26"/>
    <w:rsid w:val="00594F84"/>
    <w:rsid w:val="0059544C"/>
    <w:rsid w:val="00597A93"/>
    <w:rsid w:val="005A040C"/>
    <w:rsid w:val="005A0F4E"/>
    <w:rsid w:val="005A1BFD"/>
    <w:rsid w:val="005A1C44"/>
    <w:rsid w:val="005A1EBE"/>
    <w:rsid w:val="005A206E"/>
    <w:rsid w:val="005A24C9"/>
    <w:rsid w:val="005A31CE"/>
    <w:rsid w:val="005A354C"/>
    <w:rsid w:val="005A37ED"/>
    <w:rsid w:val="005A3AE7"/>
    <w:rsid w:val="005A52A8"/>
    <w:rsid w:val="005A62FD"/>
    <w:rsid w:val="005A669F"/>
    <w:rsid w:val="005A6965"/>
    <w:rsid w:val="005A69A5"/>
    <w:rsid w:val="005A6CEF"/>
    <w:rsid w:val="005A7104"/>
    <w:rsid w:val="005B0F53"/>
    <w:rsid w:val="005B1CD8"/>
    <w:rsid w:val="005B1F09"/>
    <w:rsid w:val="005B20B8"/>
    <w:rsid w:val="005B270C"/>
    <w:rsid w:val="005B2A69"/>
    <w:rsid w:val="005B5D4F"/>
    <w:rsid w:val="005B718F"/>
    <w:rsid w:val="005B73EC"/>
    <w:rsid w:val="005B763F"/>
    <w:rsid w:val="005B7732"/>
    <w:rsid w:val="005C01DE"/>
    <w:rsid w:val="005C0E7D"/>
    <w:rsid w:val="005C129C"/>
    <w:rsid w:val="005C258D"/>
    <w:rsid w:val="005C2AC7"/>
    <w:rsid w:val="005C3102"/>
    <w:rsid w:val="005C32F7"/>
    <w:rsid w:val="005C3C78"/>
    <w:rsid w:val="005C447E"/>
    <w:rsid w:val="005C467C"/>
    <w:rsid w:val="005C4761"/>
    <w:rsid w:val="005C4AB3"/>
    <w:rsid w:val="005C5885"/>
    <w:rsid w:val="005C6628"/>
    <w:rsid w:val="005C6C7A"/>
    <w:rsid w:val="005C7861"/>
    <w:rsid w:val="005D12F2"/>
    <w:rsid w:val="005D3852"/>
    <w:rsid w:val="005D3D33"/>
    <w:rsid w:val="005D4030"/>
    <w:rsid w:val="005D4120"/>
    <w:rsid w:val="005D44B4"/>
    <w:rsid w:val="005D500F"/>
    <w:rsid w:val="005D52F2"/>
    <w:rsid w:val="005E0179"/>
    <w:rsid w:val="005E1656"/>
    <w:rsid w:val="005E2605"/>
    <w:rsid w:val="005E27BC"/>
    <w:rsid w:val="005E30DB"/>
    <w:rsid w:val="005E3CD3"/>
    <w:rsid w:val="005E4CC0"/>
    <w:rsid w:val="005F038F"/>
    <w:rsid w:val="005F07E6"/>
    <w:rsid w:val="005F11C9"/>
    <w:rsid w:val="005F149C"/>
    <w:rsid w:val="005F1A3B"/>
    <w:rsid w:val="005F3545"/>
    <w:rsid w:val="005F3992"/>
    <w:rsid w:val="005F3A67"/>
    <w:rsid w:val="005F4534"/>
    <w:rsid w:val="005F4685"/>
    <w:rsid w:val="005F52A8"/>
    <w:rsid w:val="005F6FD0"/>
    <w:rsid w:val="005F70D4"/>
    <w:rsid w:val="006030A4"/>
    <w:rsid w:val="00603FD1"/>
    <w:rsid w:val="006041C9"/>
    <w:rsid w:val="00604367"/>
    <w:rsid w:val="00606029"/>
    <w:rsid w:val="00606704"/>
    <w:rsid w:val="0060761B"/>
    <w:rsid w:val="00607D1B"/>
    <w:rsid w:val="0061073E"/>
    <w:rsid w:val="006108A9"/>
    <w:rsid w:val="00613849"/>
    <w:rsid w:val="00613F76"/>
    <w:rsid w:val="006142C8"/>
    <w:rsid w:val="00614575"/>
    <w:rsid w:val="006145E3"/>
    <w:rsid w:val="00614EAD"/>
    <w:rsid w:val="00615C23"/>
    <w:rsid w:val="0061633B"/>
    <w:rsid w:val="00616A25"/>
    <w:rsid w:val="00617BB9"/>
    <w:rsid w:val="00617C67"/>
    <w:rsid w:val="00617F55"/>
    <w:rsid w:val="006226E9"/>
    <w:rsid w:val="00622C76"/>
    <w:rsid w:val="006233DD"/>
    <w:rsid w:val="006234F5"/>
    <w:rsid w:val="00624957"/>
    <w:rsid w:val="00625657"/>
    <w:rsid w:val="0062691F"/>
    <w:rsid w:val="00626E28"/>
    <w:rsid w:val="0062749F"/>
    <w:rsid w:val="006309CC"/>
    <w:rsid w:val="00631B24"/>
    <w:rsid w:val="00631F50"/>
    <w:rsid w:val="0063254D"/>
    <w:rsid w:val="0063366F"/>
    <w:rsid w:val="00633F1E"/>
    <w:rsid w:val="0063462C"/>
    <w:rsid w:val="0063464B"/>
    <w:rsid w:val="00635A50"/>
    <w:rsid w:val="00635AC4"/>
    <w:rsid w:val="00636CDA"/>
    <w:rsid w:val="00636DF2"/>
    <w:rsid w:val="006370ED"/>
    <w:rsid w:val="00640D02"/>
    <w:rsid w:val="0064115F"/>
    <w:rsid w:val="006437DB"/>
    <w:rsid w:val="00643D87"/>
    <w:rsid w:val="00644B59"/>
    <w:rsid w:val="00645F3B"/>
    <w:rsid w:val="0064609D"/>
    <w:rsid w:val="006464C6"/>
    <w:rsid w:val="00647829"/>
    <w:rsid w:val="00647BC2"/>
    <w:rsid w:val="00647CD1"/>
    <w:rsid w:val="006524F2"/>
    <w:rsid w:val="0065552A"/>
    <w:rsid w:val="00655673"/>
    <w:rsid w:val="00655FC8"/>
    <w:rsid w:val="00656550"/>
    <w:rsid w:val="00656E31"/>
    <w:rsid w:val="006574F7"/>
    <w:rsid w:val="0065788B"/>
    <w:rsid w:val="00657ED6"/>
    <w:rsid w:val="00657EF0"/>
    <w:rsid w:val="00660E38"/>
    <w:rsid w:val="0066144F"/>
    <w:rsid w:val="0066244C"/>
    <w:rsid w:val="006627F9"/>
    <w:rsid w:val="00662BA4"/>
    <w:rsid w:val="00664703"/>
    <w:rsid w:val="0067185F"/>
    <w:rsid w:val="00671D9C"/>
    <w:rsid w:val="00672CD1"/>
    <w:rsid w:val="00673E84"/>
    <w:rsid w:val="006750DB"/>
    <w:rsid w:val="0067523F"/>
    <w:rsid w:val="00675992"/>
    <w:rsid w:val="00675F87"/>
    <w:rsid w:val="006765FA"/>
    <w:rsid w:val="00676A19"/>
    <w:rsid w:val="006774B8"/>
    <w:rsid w:val="006778A5"/>
    <w:rsid w:val="00680211"/>
    <w:rsid w:val="00681369"/>
    <w:rsid w:val="006813FA"/>
    <w:rsid w:val="00682442"/>
    <w:rsid w:val="00682B41"/>
    <w:rsid w:val="0068328C"/>
    <w:rsid w:val="0068353F"/>
    <w:rsid w:val="006838F2"/>
    <w:rsid w:val="00684083"/>
    <w:rsid w:val="00685011"/>
    <w:rsid w:val="00685DEC"/>
    <w:rsid w:val="006860B1"/>
    <w:rsid w:val="00686D7E"/>
    <w:rsid w:val="0068771A"/>
    <w:rsid w:val="00687A45"/>
    <w:rsid w:val="006914BA"/>
    <w:rsid w:val="00691A4B"/>
    <w:rsid w:val="00692703"/>
    <w:rsid w:val="006932AD"/>
    <w:rsid w:val="00694487"/>
    <w:rsid w:val="00694BCA"/>
    <w:rsid w:val="006954FC"/>
    <w:rsid w:val="00697342"/>
    <w:rsid w:val="00697D34"/>
    <w:rsid w:val="006A0BEA"/>
    <w:rsid w:val="006A12A7"/>
    <w:rsid w:val="006A1EA6"/>
    <w:rsid w:val="006A1F36"/>
    <w:rsid w:val="006A272E"/>
    <w:rsid w:val="006A2AD6"/>
    <w:rsid w:val="006A6160"/>
    <w:rsid w:val="006A774C"/>
    <w:rsid w:val="006B1BC2"/>
    <w:rsid w:val="006B293D"/>
    <w:rsid w:val="006B3C9E"/>
    <w:rsid w:val="006B3CA9"/>
    <w:rsid w:val="006B4C89"/>
    <w:rsid w:val="006B728F"/>
    <w:rsid w:val="006B79B8"/>
    <w:rsid w:val="006C08F1"/>
    <w:rsid w:val="006C0A39"/>
    <w:rsid w:val="006C20F4"/>
    <w:rsid w:val="006C2DF7"/>
    <w:rsid w:val="006C4655"/>
    <w:rsid w:val="006C5AA7"/>
    <w:rsid w:val="006D0185"/>
    <w:rsid w:val="006D1091"/>
    <w:rsid w:val="006D1608"/>
    <w:rsid w:val="006D39ED"/>
    <w:rsid w:val="006D39F1"/>
    <w:rsid w:val="006D5CAD"/>
    <w:rsid w:val="006D67CD"/>
    <w:rsid w:val="006D750F"/>
    <w:rsid w:val="006E101C"/>
    <w:rsid w:val="006E132D"/>
    <w:rsid w:val="006E184D"/>
    <w:rsid w:val="006E252B"/>
    <w:rsid w:val="006E4E3F"/>
    <w:rsid w:val="006E594A"/>
    <w:rsid w:val="006E5A78"/>
    <w:rsid w:val="006E73AA"/>
    <w:rsid w:val="006E7A4D"/>
    <w:rsid w:val="006F02F9"/>
    <w:rsid w:val="006F36C2"/>
    <w:rsid w:val="006F499C"/>
    <w:rsid w:val="006F4BDE"/>
    <w:rsid w:val="006F50E9"/>
    <w:rsid w:val="006F554E"/>
    <w:rsid w:val="006F57E3"/>
    <w:rsid w:val="006F5F29"/>
    <w:rsid w:val="007019E0"/>
    <w:rsid w:val="007029ED"/>
    <w:rsid w:val="00702F6B"/>
    <w:rsid w:val="00704C27"/>
    <w:rsid w:val="00705AD8"/>
    <w:rsid w:val="00705F51"/>
    <w:rsid w:val="00707524"/>
    <w:rsid w:val="00710F32"/>
    <w:rsid w:val="00711DD8"/>
    <w:rsid w:val="00712295"/>
    <w:rsid w:val="00712D66"/>
    <w:rsid w:val="00712F40"/>
    <w:rsid w:val="0071474F"/>
    <w:rsid w:val="0071499B"/>
    <w:rsid w:val="00714F97"/>
    <w:rsid w:val="00715784"/>
    <w:rsid w:val="007167BA"/>
    <w:rsid w:val="0071697C"/>
    <w:rsid w:val="00716AC3"/>
    <w:rsid w:val="00716C14"/>
    <w:rsid w:val="0071761B"/>
    <w:rsid w:val="0071794C"/>
    <w:rsid w:val="00720DC3"/>
    <w:rsid w:val="0072155B"/>
    <w:rsid w:val="00721870"/>
    <w:rsid w:val="00721E3A"/>
    <w:rsid w:val="007242CD"/>
    <w:rsid w:val="00724E8D"/>
    <w:rsid w:val="007255B8"/>
    <w:rsid w:val="007255E0"/>
    <w:rsid w:val="00726C88"/>
    <w:rsid w:val="0072777E"/>
    <w:rsid w:val="00727ECE"/>
    <w:rsid w:val="00730802"/>
    <w:rsid w:val="00731018"/>
    <w:rsid w:val="007327C8"/>
    <w:rsid w:val="00732BC3"/>
    <w:rsid w:val="00732EF0"/>
    <w:rsid w:val="00733C88"/>
    <w:rsid w:val="00734C22"/>
    <w:rsid w:val="00735DDD"/>
    <w:rsid w:val="00736189"/>
    <w:rsid w:val="00736745"/>
    <w:rsid w:val="00737EB3"/>
    <w:rsid w:val="00740BDA"/>
    <w:rsid w:val="00740F4B"/>
    <w:rsid w:val="0074269D"/>
    <w:rsid w:val="007466D3"/>
    <w:rsid w:val="0074727C"/>
    <w:rsid w:val="00747512"/>
    <w:rsid w:val="00747782"/>
    <w:rsid w:val="007506AA"/>
    <w:rsid w:val="0075075A"/>
    <w:rsid w:val="007510AA"/>
    <w:rsid w:val="00752540"/>
    <w:rsid w:val="00752ACA"/>
    <w:rsid w:val="00754782"/>
    <w:rsid w:val="00754B11"/>
    <w:rsid w:val="00755890"/>
    <w:rsid w:val="00756CB0"/>
    <w:rsid w:val="0076048F"/>
    <w:rsid w:val="0076079B"/>
    <w:rsid w:val="00760B78"/>
    <w:rsid w:val="0076136B"/>
    <w:rsid w:val="0076155D"/>
    <w:rsid w:val="00761947"/>
    <w:rsid w:val="007628F5"/>
    <w:rsid w:val="007633F3"/>
    <w:rsid w:val="00764B80"/>
    <w:rsid w:val="00764E84"/>
    <w:rsid w:val="00764F3D"/>
    <w:rsid w:val="007656F4"/>
    <w:rsid w:val="00770752"/>
    <w:rsid w:val="00770FD4"/>
    <w:rsid w:val="007715BD"/>
    <w:rsid w:val="00772253"/>
    <w:rsid w:val="00772885"/>
    <w:rsid w:val="00772DA5"/>
    <w:rsid w:val="0077320E"/>
    <w:rsid w:val="0077340F"/>
    <w:rsid w:val="007737A3"/>
    <w:rsid w:val="00775072"/>
    <w:rsid w:val="00776834"/>
    <w:rsid w:val="0077740D"/>
    <w:rsid w:val="0077799B"/>
    <w:rsid w:val="0077799D"/>
    <w:rsid w:val="007808E1"/>
    <w:rsid w:val="00782054"/>
    <w:rsid w:val="0078215D"/>
    <w:rsid w:val="00782345"/>
    <w:rsid w:val="007853F9"/>
    <w:rsid w:val="00785D2E"/>
    <w:rsid w:val="00785DE9"/>
    <w:rsid w:val="00786DD1"/>
    <w:rsid w:val="007903E6"/>
    <w:rsid w:val="007908B1"/>
    <w:rsid w:val="00792D77"/>
    <w:rsid w:val="007931A9"/>
    <w:rsid w:val="0079341D"/>
    <w:rsid w:val="00795A2F"/>
    <w:rsid w:val="00795CE6"/>
    <w:rsid w:val="00795DF2"/>
    <w:rsid w:val="00796150"/>
    <w:rsid w:val="00796353"/>
    <w:rsid w:val="007963B6"/>
    <w:rsid w:val="007A0F6F"/>
    <w:rsid w:val="007A0FE8"/>
    <w:rsid w:val="007A2141"/>
    <w:rsid w:val="007A27FB"/>
    <w:rsid w:val="007A494C"/>
    <w:rsid w:val="007A615E"/>
    <w:rsid w:val="007A6C8C"/>
    <w:rsid w:val="007A6CA3"/>
    <w:rsid w:val="007A6DE1"/>
    <w:rsid w:val="007A77CA"/>
    <w:rsid w:val="007B0285"/>
    <w:rsid w:val="007B0C58"/>
    <w:rsid w:val="007B0D4C"/>
    <w:rsid w:val="007B1B88"/>
    <w:rsid w:val="007B21E8"/>
    <w:rsid w:val="007B4873"/>
    <w:rsid w:val="007B6BB6"/>
    <w:rsid w:val="007B70DE"/>
    <w:rsid w:val="007B739E"/>
    <w:rsid w:val="007B77CF"/>
    <w:rsid w:val="007C0CEC"/>
    <w:rsid w:val="007C232B"/>
    <w:rsid w:val="007C3C70"/>
    <w:rsid w:val="007C4E1E"/>
    <w:rsid w:val="007C4E22"/>
    <w:rsid w:val="007C531F"/>
    <w:rsid w:val="007C58E2"/>
    <w:rsid w:val="007C5C44"/>
    <w:rsid w:val="007C77BC"/>
    <w:rsid w:val="007D326D"/>
    <w:rsid w:val="007D4F59"/>
    <w:rsid w:val="007D6073"/>
    <w:rsid w:val="007D67E4"/>
    <w:rsid w:val="007D6F78"/>
    <w:rsid w:val="007D7EF2"/>
    <w:rsid w:val="007E0F9C"/>
    <w:rsid w:val="007E1386"/>
    <w:rsid w:val="007E194F"/>
    <w:rsid w:val="007E3BEC"/>
    <w:rsid w:val="007E6215"/>
    <w:rsid w:val="007E6ACE"/>
    <w:rsid w:val="007E6BB1"/>
    <w:rsid w:val="007E6C11"/>
    <w:rsid w:val="007F0FD0"/>
    <w:rsid w:val="007F1435"/>
    <w:rsid w:val="007F15F5"/>
    <w:rsid w:val="007F16DE"/>
    <w:rsid w:val="007F1FCA"/>
    <w:rsid w:val="007F20C2"/>
    <w:rsid w:val="007F28EF"/>
    <w:rsid w:val="007F2900"/>
    <w:rsid w:val="007F2AC5"/>
    <w:rsid w:val="007F2B56"/>
    <w:rsid w:val="007F2DC1"/>
    <w:rsid w:val="007F3C1A"/>
    <w:rsid w:val="007F4718"/>
    <w:rsid w:val="007F4825"/>
    <w:rsid w:val="007F4A7C"/>
    <w:rsid w:val="007F4D97"/>
    <w:rsid w:val="007F5B94"/>
    <w:rsid w:val="00801ECB"/>
    <w:rsid w:val="00802AC0"/>
    <w:rsid w:val="00802E7E"/>
    <w:rsid w:val="0080416A"/>
    <w:rsid w:val="0080730B"/>
    <w:rsid w:val="008073CC"/>
    <w:rsid w:val="00810140"/>
    <w:rsid w:val="00810382"/>
    <w:rsid w:val="00810B31"/>
    <w:rsid w:val="00810DF1"/>
    <w:rsid w:val="00811B82"/>
    <w:rsid w:val="0081332A"/>
    <w:rsid w:val="008139D5"/>
    <w:rsid w:val="00814024"/>
    <w:rsid w:val="00814378"/>
    <w:rsid w:val="008147CF"/>
    <w:rsid w:val="00814B92"/>
    <w:rsid w:val="00814D65"/>
    <w:rsid w:val="00815F35"/>
    <w:rsid w:val="00816500"/>
    <w:rsid w:val="00816EFE"/>
    <w:rsid w:val="00821E31"/>
    <w:rsid w:val="00824C0C"/>
    <w:rsid w:val="00825DC3"/>
    <w:rsid w:val="00825FB8"/>
    <w:rsid w:val="008260C8"/>
    <w:rsid w:val="008270F0"/>
    <w:rsid w:val="00827173"/>
    <w:rsid w:val="00827FF0"/>
    <w:rsid w:val="00831F7B"/>
    <w:rsid w:val="00832082"/>
    <w:rsid w:val="00833291"/>
    <w:rsid w:val="00833CFA"/>
    <w:rsid w:val="00834CAB"/>
    <w:rsid w:val="00835647"/>
    <w:rsid w:val="008362B7"/>
    <w:rsid w:val="008364A9"/>
    <w:rsid w:val="00836A4F"/>
    <w:rsid w:val="008376A0"/>
    <w:rsid w:val="00837CCF"/>
    <w:rsid w:val="0084088B"/>
    <w:rsid w:val="0084097D"/>
    <w:rsid w:val="00842067"/>
    <w:rsid w:val="0084232D"/>
    <w:rsid w:val="008429A4"/>
    <w:rsid w:val="00842B52"/>
    <w:rsid w:val="00843CBA"/>
    <w:rsid w:val="008448A7"/>
    <w:rsid w:val="00845119"/>
    <w:rsid w:val="00845319"/>
    <w:rsid w:val="008460CB"/>
    <w:rsid w:val="00846D84"/>
    <w:rsid w:val="00847166"/>
    <w:rsid w:val="0084744E"/>
    <w:rsid w:val="008474F3"/>
    <w:rsid w:val="00847527"/>
    <w:rsid w:val="00850653"/>
    <w:rsid w:val="00851955"/>
    <w:rsid w:val="00853CB1"/>
    <w:rsid w:val="0085433D"/>
    <w:rsid w:val="008543F4"/>
    <w:rsid w:val="00854AB1"/>
    <w:rsid w:val="00854C5E"/>
    <w:rsid w:val="00854C9C"/>
    <w:rsid w:val="00854CD4"/>
    <w:rsid w:val="00856532"/>
    <w:rsid w:val="00856998"/>
    <w:rsid w:val="0085756E"/>
    <w:rsid w:val="00857B89"/>
    <w:rsid w:val="00860814"/>
    <w:rsid w:val="0086155F"/>
    <w:rsid w:val="00862242"/>
    <w:rsid w:val="00862767"/>
    <w:rsid w:val="00863209"/>
    <w:rsid w:val="00863A60"/>
    <w:rsid w:val="00863EC0"/>
    <w:rsid w:val="00865188"/>
    <w:rsid w:val="0086634E"/>
    <w:rsid w:val="00866993"/>
    <w:rsid w:val="008675E4"/>
    <w:rsid w:val="008729E4"/>
    <w:rsid w:val="0087369F"/>
    <w:rsid w:val="0087420F"/>
    <w:rsid w:val="00874541"/>
    <w:rsid w:val="00877303"/>
    <w:rsid w:val="0088184F"/>
    <w:rsid w:val="00881DF2"/>
    <w:rsid w:val="008821E3"/>
    <w:rsid w:val="00882529"/>
    <w:rsid w:val="008828C1"/>
    <w:rsid w:val="00882DE3"/>
    <w:rsid w:val="0088454E"/>
    <w:rsid w:val="00887750"/>
    <w:rsid w:val="00890048"/>
    <w:rsid w:val="00891096"/>
    <w:rsid w:val="008918F5"/>
    <w:rsid w:val="00893294"/>
    <w:rsid w:val="008932C1"/>
    <w:rsid w:val="00893392"/>
    <w:rsid w:val="00894374"/>
    <w:rsid w:val="008958D6"/>
    <w:rsid w:val="0089596F"/>
    <w:rsid w:val="00897878"/>
    <w:rsid w:val="008A0BEA"/>
    <w:rsid w:val="008A13F4"/>
    <w:rsid w:val="008A2151"/>
    <w:rsid w:val="008A3251"/>
    <w:rsid w:val="008A3661"/>
    <w:rsid w:val="008A42D9"/>
    <w:rsid w:val="008A53E8"/>
    <w:rsid w:val="008A5655"/>
    <w:rsid w:val="008A5E1C"/>
    <w:rsid w:val="008B1220"/>
    <w:rsid w:val="008B1941"/>
    <w:rsid w:val="008B20CC"/>
    <w:rsid w:val="008B25C6"/>
    <w:rsid w:val="008B32AE"/>
    <w:rsid w:val="008B4872"/>
    <w:rsid w:val="008B4CEA"/>
    <w:rsid w:val="008B6635"/>
    <w:rsid w:val="008B7ED9"/>
    <w:rsid w:val="008C0223"/>
    <w:rsid w:val="008C0F80"/>
    <w:rsid w:val="008C1375"/>
    <w:rsid w:val="008C2F4E"/>
    <w:rsid w:val="008C36FC"/>
    <w:rsid w:val="008C4665"/>
    <w:rsid w:val="008C5100"/>
    <w:rsid w:val="008C76A0"/>
    <w:rsid w:val="008C7B1B"/>
    <w:rsid w:val="008C7CF6"/>
    <w:rsid w:val="008D012E"/>
    <w:rsid w:val="008D0201"/>
    <w:rsid w:val="008D2E71"/>
    <w:rsid w:val="008D376B"/>
    <w:rsid w:val="008D4120"/>
    <w:rsid w:val="008D4E63"/>
    <w:rsid w:val="008D6F4A"/>
    <w:rsid w:val="008D7056"/>
    <w:rsid w:val="008D72B7"/>
    <w:rsid w:val="008E0032"/>
    <w:rsid w:val="008E0390"/>
    <w:rsid w:val="008E0581"/>
    <w:rsid w:val="008E0725"/>
    <w:rsid w:val="008E1634"/>
    <w:rsid w:val="008E1EAC"/>
    <w:rsid w:val="008E32DC"/>
    <w:rsid w:val="008E3910"/>
    <w:rsid w:val="008E4FB2"/>
    <w:rsid w:val="008E6C93"/>
    <w:rsid w:val="008E6CD0"/>
    <w:rsid w:val="008E77FD"/>
    <w:rsid w:val="008E7878"/>
    <w:rsid w:val="008E7BFE"/>
    <w:rsid w:val="008F05AB"/>
    <w:rsid w:val="008F0611"/>
    <w:rsid w:val="008F15FB"/>
    <w:rsid w:val="008F1DAD"/>
    <w:rsid w:val="008F3F10"/>
    <w:rsid w:val="008F5842"/>
    <w:rsid w:val="008F630C"/>
    <w:rsid w:val="008F6B34"/>
    <w:rsid w:val="00900D71"/>
    <w:rsid w:val="00900FE7"/>
    <w:rsid w:val="009022C0"/>
    <w:rsid w:val="009038DC"/>
    <w:rsid w:val="00903ACC"/>
    <w:rsid w:val="009042F0"/>
    <w:rsid w:val="00905798"/>
    <w:rsid w:val="0090625A"/>
    <w:rsid w:val="009062F9"/>
    <w:rsid w:val="00906B0C"/>
    <w:rsid w:val="009077AD"/>
    <w:rsid w:val="009077B0"/>
    <w:rsid w:val="009101F9"/>
    <w:rsid w:val="009120E6"/>
    <w:rsid w:val="00912BB4"/>
    <w:rsid w:val="00912C49"/>
    <w:rsid w:val="0091382B"/>
    <w:rsid w:val="00913E68"/>
    <w:rsid w:val="00914A2D"/>
    <w:rsid w:val="00915388"/>
    <w:rsid w:val="00915B73"/>
    <w:rsid w:val="00915E73"/>
    <w:rsid w:val="00916BD5"/>
    <w:rsid w:val="00917A62"/>
    <w:rsid w:val="00920304"/>
    <w:rsid w:val="009216B0"/>
    <w:rsid w:val="00922451"/>
    <w:rsid w:val="00923288"/>
    <w:rsid w:val="00923BD5"/>
    <w:rsid w:val="00927141"/>
    <w:rsid w:val="00927423"/>
    <w:rsid w:val="00930B5D"/>
    <w:rsid w:val="00931C5E"/>
    <w:rsid w:val="0093225A"/>
    <w:rsid w:val="009324C3"/>
    <w:rsid w:val="009336CE"/>
    <w:rsid w:val="00933DA6"/>
    <w:rsid w:val="00933EC8"/>
    <w:rsid w:val="00935461"/>
    <w:rsid w:val="00936245"/>
    <w:rsid w:val="0093649A"/>
    <w:rsid w:val="00936786"/>
    <w:rsid w:val="009369DC"/>
    <w:rsid w:val="009370D5"/>
    <w:rsid w:val="00937EA6"/>
    <w:rsid w:val="00940BF8"/>
    <w:rsid w:val="00940C28"/>
    <w:rsid w:val="00940F45"/>
    <w:rsid w:val="00941AED"/>
    <w:rsid w:val="0094256D"/>
    <w:rsid w:val="00943224"/>
    <w:rsid w:val="00944EAC"/>
    <w:rsid w:val="00944F7D"/>
    <w:rsid w:val="009459AA"/>
    <w:rsid w:val="009459E3"/>
    <w:rsid w:val="00945A4D"/>
    <w:rsid w:val="0094614B"/>
    <w:rsid w:val="0094706D"/>
    <w:rsid w:val="009475E4"/>
    <w:rsid w:val="009477B4"/>
    <w:rsid w:val="00951A02"/>
    <w:rsid w:val="00952016"/>
    <w:rsid w:val="00952D32"/>
    <w:rsid w:val="00954BD0"/>
    <w:rsid w:val="00961327"/>
    <w:rsid w:val="00962308"/>
    <w:rsid w:val="009624EF"/>
    <w:rsid w:val="009628A1"/>
    <w:rsid w:val="009641CA"/>
    <w:rsid w:val="009652D5"/>
    <w:rsid w:val="00966C9B"/>
    <w:rsid w:val="009672A8"/>
    <w:rsid w:val="00967547"/>
    <w:rsid w:val="00967A5C"/>
    <w:rsid w:val="00974219"/>
    <w:rsid w:val="00974744"/>
    <w:rsid w:val="00974DC8"/>
    <w:rsid w:val="0097537C"/>
    <w:rsid w:val="00975D24"/>
    <w:rsid w:val="00975E03"/>
    <w:rsid w:val="009776FA"/>
    <w:rsid w:val="0098162C"/>
    <w:rsid w:val="009838CF"/>
    <w:rsid w:val="009839E7"/>
    <w:rsid w:val="00983A3F"/>
    <w:rsid w:val="0098453D"/>
    <w:rsid w:val="009846CA"/>
    <w:rsid w:val="009847EB"/>
    <w:rsid w:val="00985360"/>
    <w:rsid w:val="00985781"/>
    <w:rsid w:val="00986FE5"/>
    <w:rsid w:val="00987090"/>
    <w:rsid w:val="009875C9"/>
    <w:rsid w:val="00990239"/>
    <w:rsid w:val="009905B8"/>
    <w:rsid w:val="00990681"/>
    <w:rsid w:val="00992A48"/>
    <w:rsid w:val="00992D16"/>
    <w:rsid w:val="009939CB"/>
    <w:rsid w:val="00993A77"/>
    <w:rsid w:val="00993EE6"/>
    <w:rsid w:val="00994A54"/>
    <w:rsid w:val="00995DDC"/>
    <w:rsid w:val="009A14BE"/>
    <w:rsid w:val="009A24E2"/>
    <w:rsid w:val="009A285A"/>
    <w:rsid w:val="009A2991"/>
    <w:rsid w:val="009A2B16"/>
    <w:rsid w:val="009A375E"/>
    <w:rsid w:val="009A3AEF"/>
    <w:rsid w:val="009A4335"/>
    <w:rsid w:val="009A4BA4"/>
    <w:rsid w:val="009A72F1"/>
    <w:rsid w:val="009A7ABE"/>
    <w:rsid w:val="009B09AB"/>
    <w:rsid w:val="009B116E"/>
    <w:rsid w:val="009B1266"/>
    <w:rsid w:val="009B23B7"/>
    <w:rsid w:val="009B2DC8"/>
    <w:rsid w:val="009B3851"/>
    <w:rsid w:val="009B425A"/>
    <w:rsid w:val="009B5647"/>
    <w:rsid w:val="009B695D"/>
    <w:rsid w:val="009B7839"/>
    <w:rsid w:val="009C0A6B"/>
    <w:rsid w:val="009C0BF1"/>
    <w:rsid w:val="009C1114"/>
    <w:rsid w:val="009C13B3"/>
    <w:rsid w:val="009C1550"/>
    <w:rsid w:val="009C25A0"/>
    <w:rsid w:val="009C376A"/>
    <w:rsid w:val="009C48F2"/>
    <w:rsid w:val="009C6834"/>
    <w:rsid w:val="009C6B5B"/>
    <w:rsid w:val="009C6BC4"/>
    <w:rsid w:val="009C6D13"/>
    <w:rsid w:val="009D07D9"/>
    <w:rsid w:val="009D0A8C"/>
    <w:rsid w:val="009D0EE7"/>
    <w:rsid w:val="009D111D"/>
    <w:rsid w:val="009D18FF"/>
    <w:rsid w:val="009D1FD6"/>
    <w:rsid w:val="009D300D"/>
    <w:rsid w:val="009D3DC4"/>
    <w:rsid w:val="009D3EAA"/>
    <w:rsid w:val="009D4E48"/>
    <w:rsid w:val="009D5056"/>
    <w:rsid w:val="009D6EF9"/>
    <w:rsid w:val="009D77B5"/>
    <w:rsid w:val="009E0323"/>
    <w:rsid w:val="009E0FF5"/>
    <w:rsid w:val="009E24E4"/>
    <w:rsid w:val="009E2CCC"/>
    <w:rsid w:val="009E4FD0"/>
    <w:rsid w:val="009E56B3"/>
    <w:rsid w:val="009E5D5C"/>
    <w:rsid w:val="009E71CD"/>
    <w:rsid w:val="009E7299"/>
    <w:rsid w:val="009F002C"/>
    <w:rsid w:val="009F24CF"/>
    <w:rsid w:val="009F2EFE"/>
    <w:rsid w:val="009F3287"/>
    <w:rsid w:val="009F4708"/>
    <w:rsid w:val="009F4765"/>
    <w:rsid w:val="009F4F81"/>
    <w:rsid w:val="009F510B"/>
    <w:rsid w:val="009F5D2C"/>
    <w:rsid w:val="009F7877"/>
    <w:rsid w:val="009F79EE"/>
    <w:rsid w:val="00A0096D"/>
    <w:rsid w:val="00A0180A"/>
    <w:rsid w:val="00A039CD"/>
    <w:rsid w:val="00A04C3A"/>
    <w:rsid w:val="00A06830"/>
    <w:rsid w:val="00A068AA"/>
    <w:rsid w:val="00A06ADE"/>
    <w:rsid w:val="00A07599"/>
    <w:rsid w:val="00A13384"/>
    <w:rsid w:val="00A154D8"/>
    <w:rsid w:val="00A15923"/>
    <w:rsid w:val="00A165D7"/>
    <w:rsid w:val="00A20CFF"/>
    <w:rsid w:val="00A22154"/>
    <w:rsid w:val="00A22361"/>
    <w:rsid w:val="00A23243"/>
    <w:rsid w:val="00A2383B"/>
    <w:rsid w:val="00A24AF1"/>
    <w:rsid w:val="00A261FF"/>
    <w:rsid w:val="00A264D0"/>
    <w:rsid w:val="00A268C1"/>
    <w:rsid w:val="00A30555"/>
    <w:rsid w:val="00A30764"/>
    <w:rsid w:val="00A30939"/>
    <w:rsid w:val="00A327FE"/>
    <w:rsid w:val="00A32DE1"/>
    <w:rsid w:val="00A36FC4"/>
    <w:rsid w:val="00A37E86"/>
    <w:rsid w:val="00A437D5"/>
    <w:rsid w:val="00A526B1"/>
    <w:rsid w:val="00A52CF7"/>
    <w:rsid w:val="00A54FA0"/>
    <w:rsid w:val="00A55B34"/>
    <w:rsid w:val="00A60278"/>
    <w:rsid w:val="00A61E1B"/>
    <w:rsid w:val="00A646C3"/>
    <w:rsid w:val="00A64DDF"/>
    <w:rsid w:val="00A64F35"/>
    <w:rsid w:val="00A657E7"/>
    <w:rsid w:val="00A65FD8"/>
    <w:rsid w:val="00A663D7"/>
    <w:rsid w:val="00A6685E"/>
    <w:rsid w:val="00A66D94"/>
    <w:rsid w:val="00A67A5B"/>
    <w:rsid w:val="00A72D6C"/>
    <w:rsid w:val="00A73A49"/>
    <w:rsid w:val="00A748AC"/>
    <w:rsid w:val="00A74A15"/>
    <w:rsid w:val="00A755BF"/>
    <w:rsid w:val="00A76F55"/>
    <w:rsid w:val="00A77776"/>
    <w:rsid w:val="00A7793D"/>
    <w:rsid w:val="00A813EE"/>
    <w:rsid w:val="00A82176"/>
    <w:rsid w:val="00A821DA"/>
    <w:rsid w:val="00A82F9D"/>
    <w:rsid w:val="00A833A0"/>
    <w:rsid w:val="00A84614"/>
    <w:rsid w:val="00A84D6B"/>
    <w:rsid w:val="00A860D5"/>
    <w:rsid w:val="00A92297"/>
    <w:rsid w:val="00A94046"/>
    <w:rsid w:val="00A94F1D"/>
    <w:rsid w:val="00A96B21"/>
    <w:rsid w:val="00A97BCC"/>
    <w:rsid w:val="00A97C06"/>
    <w:rsid w:val="00AA0574"/>
    <w:rsid w:val="00AA1560"/>
    <w:rsid w:val="00AA1D26"/>
    <w:rsid w:val="00AA30B4"/>
    <w:rsid w:val="00AA3108"/>
    <w:rsid w:val="00AA3A0E"/>
    <w:rsid w:val="00AA5432"/>
    <w:rsid w:val="00AA60D6"/>
    <w:rsid w:val="00AA6ACA"/>
    <w:rsid w:val="00AA70CA"/>
    <w:rsid w:val="00AA757B"/>
    <w:rsid w:val="00AB0160"/>
    <w:rsid w:val="00AB0F4E"/>
    <w:rsid w:val="00AB1116"/>
    <w:rsid w:val="00AB2056"/>
    <w:rsid w:val="00AB32DC"/>
    <w:rsid w:val="00AB535A"/>
    <w:rsid w:val="00AB5BC9"/>
    <w:rsid w:val="00AB6C28"/>
    <w:rsid w:val="00AB6F91"/>
    <w:rsid w:val="00AB7014"/>
    <w:rsid w:val="00AC0C86"/>
    <w:rsid w:val="00AC13B7"/>
    <w:rsid w:val="00AC39EC"/>
    <w:rsid w:val="00AC3D57"/>
    <w:rsid w:val="00AC699C"/>
    <w:rsid w:val="00AC6B60"/>
    <w:rsid w:val="00AC7A84"/>
    <w:rsid w:val="00AC7C62"/>
    <w:rsid w:val="00AD069F"/>
    <w:rsid w:val="00AD13F1"/>
    <w:rsid w:val="00AD22F0"/>
    <w:rsid w:val="00AD2C3F"/>
    <w:rsid w:val="00AD2FB9"/>
    <w:rsid w:val="00AD32F8"/>
    <w:rsid w:val="00AD3685"/>
    <w:rsid w:val="00AD47C6"/>
    <w:rsid w:val="00AD6EFF"/>
    <w:rsid w:val="00AE1A95"/>
    <w:rsid w:val="00AE4222"/>
    <w:rsid w:val="00AE443A"/>
    <w:rsid w:val="00AE4979"/>
    <w:rsid w:val="00AE4B78"/>
    <w:rsid w:val="00AE4DB8"/>
    <w:rsid w:val="00AE61F9"/>
    <w:rsid w:val="00AE641A"/>
    <w:rsid w:val="00AE69BB"/>
    <w:rsid w:val="00AF1D65"/>
    <w:rsid w:val="00AF40F8"/>
    <w:rsid w:val="00AF51EE"/>
    <w:rsid w:val="00AF56A0"/>
    <w:rsid w:val="00AF58ED"/>
    <w:rsid w:val="00AF6551"/>
    <w:rsid w:val="00AF6C70"/>
    <w:rsid w:val="00B000B7"/>
    <w:rsid w:val="00B02501"/>
    <w:rsid w:val="00B02A2D"/>
    <w:rsid w:val="00B032FD"/>
    <w:rsid w:val="00B0332C"/>
    <w:rsid w:val="00B03DA3"/>
    <w:rsid w:val="00B04558"/>
    <w:rsid w:val="00B04C3F"/>
    <w:rsid w:val="00B055D0"/>
    <w:rsid w:val="00B05899"/>
    <w:rsid w:val="00B06481"/>
    <w:rsid w:val="00B07C15"/>
    <w:rsid w:val="00B119D9"/>
    <w:rsid w:val="00B127CB"/>
    <w:rsid w:val="00B13425"/>
    <w:rsid w:val="00B13E1E"/>
    <w:rsid w:val="00B2009E"/>
    <w:rsid w:val="00B23151"/>
    <w:rsid w:val="00B23667"/>
    <w:rsid w:val="00B23969"/>
    <w:rsid w:val="00B2400E"/>
    <w:rsid w:val="00B2446E"/>
    <w:rsid w:val="00B24B02"/>
    <w:rsid w:val="00B260A4"/>
    <w:rsid w:val="00B2638A"/>
    <w:rsid w:val="00B2798D"/>
    <w:rsid w:val="00B30A30"/>
    <w:rsid w:val="00B312A2"/>
    <w:rsid w:val="00B32A77"/>
    <w:rsid w:val="00B33A4A"/>
    <w:rsid w:val="00B36EA9"/>
    <w:rsid w:val="00B40006"/>
    <w:rsid w:val="00B401E5"/>
    <w:rsid w:val="00B41FC8"/>
    <w:rsid w:val="00B44195"/>
    <w:rsid w:val="00B44629"/>
    <w:rsid w:val="00B446C0"/>
    <w:rsid w:val="00B44D5E"/>
    <w:rsid w:val="00B44D9B"/>
    <w:rsid w:val="00B450E9"/>
    <w:rsid w:val="00B45B75"/>
    <w:rsid w:val="00B46180"/>
    <w:rsid w:val="00B46515"/>
    <w:rsid w:val="00B46A1E"/>
    <w:rsid w:val="00B47340"/>
    <w:rsid w:val="00B47EC2"/>
    <w:rsid w:val="00B50E96"/>
    <w:rsid w:val="00B51352"/>
    <w:rsid w:val="00B514E8"/>
    <w:rsid w:val="00B51A9A"/>
    <w:rsid w:val="00B520FC"/>
    <w:rsid w:val="00B5225A"/>
    <w:rsid w:val="00B52B0F"/>
    <w:rsid w:val="00B52D33"/>
    <w:rsid w:val="00B5373A"/>
    <w:rsid w:val="00B55C48"/>
    <w:rsid w:val="00B55E9B"/>
    <w:rsid w:val="00B56F2E"/>
    <w:rsid w:val="00B60C58"/>
    <w:rsid w:val="00B616B4"/>
    <w:rsid w:val="00B635F0"/>
    <w:rsid w:val="00B63719"/>
    <w:rsid w:val="00B63F9F"/>
    <w:rsid w:val="00B65462"/>
    <w:rsid w:val="00B6720B"/>
    <w:rsid w:val="00B676A6"/>
    <w:rsid w:val="00B70F38"/>
    <w:rsid w:val="00B714AE"/>
    <w:rsid w:val="00B73097"/>
    <w:rsid w:val="00B73407"/>
    <w:rsid w:val="00B75134"/>
    <w:rsid w:val="00B75437"/>
    <w:rsid w:val="00B76386"/>
    <w:rsid w:val="00B76E3C"/>
    <w:rsid w:val="00B76E60"/>
    <w:rsid w:val="00B77680"/>
    <w:rsid w:val="00B77A4D"/>
    <w:rsid w:val="00B80949"/>
    <w:rsid w:val="00B81542"/>
    <w:rsid w:val="00B81D45"/>
    <w:rsid w:val="00B82456"/>
    <w:rsid w:val="00B82CB9"/>
    <w:rsid w:val="00B83CF4"/>
    <w:rsid w:val="00B83D4E"/>
    <w:rsid w:val="00B83D85"/>
    <w:rsid w:val="00B83F85"/>
    <w:rsid w:val="00B8536F"/>
    <w:rsid w:val="00B854F7"/>
    <w:rsid w:val="00B85715"/>
    <w:rsid w:val="00B859EF"/>
    <w:rsid w:val="00B85A9C"/>
    <w:rsid w:val="00B85E15"/>
    <w:rsid w:val="00B85F56"/>
    <w:rsid w:val="00B866C8"/>
    <w:rsid w:val="00B866EF"/>
    <w:rsid w:val="00B91323"/>
    <w:rsid w:val="00B914C6"/>
    <w:rsid w:val="00B92A49"/>
    <w:rsid w:val="00B93BCC"/>
    <w:rsid w:val="00B950A9"/>
    <w:rsid w:val="00B97414"/>
    <w:rsid w:val="00B97B9B"/>
    <w:rsid w:val="00B97BBE"/>
    <w:rsid w:val="00BA0A9E"/>
    <w:rsid w:val="00BA50E9"/>
    <w:rsid w:val="00BA5110"/>
    <w:rsid w:val="00BA584F"/>
    <w:rsid w:val="00BA699D"/>
    <w:rsid w:val="00BB0253"/>
    <w:rsid w:val="00BB02C5"/>
    <w:rsid w:val="00BB07F9"/>
    <w:rsid w:val="00BB1D2E"/>
    <w:rsid w:val="00BB2470"/>
    <w:rsid w:val="00BB2C05"/>
    <w:rsid w:val="00BB2FFC"/>
    <w:rsid w:val="00BB3EE8"/>
    <w:rsid w:val="00BB4776"/>
    <w:rsid w:val="00BB5F2D"/>
    <w:rsid w:val="00BB6110"/>
    <w:rsid w:val="00BB790A"/>
    <w:rsid w:val="00BB7EB9"/>
    <w:rsid w:val="00BC0D70"/>
    <w:rsid w:val="00BC141A"/>
    <w:rsid w:val="00BC27DC"/>
    <w:rsid w:val="00BC370F"/>
    <w:rsid w:val="00BC4526"/>
    <w:rsid w:val="00BC45AD"/>
    <w:rsid w:val="00BC546D"/>
    <w:rsid w:val="00BC658B"/>
    <w:rsid w:val="00BC6CDB"/>
    <w:rsid w:val="00BC6EAE"/>
    <w:rsid w:val="00BD120C"/>
    <w:rsid w:val="00BD25D1"/>
    <w:rsid w:val="00BD2B08"/>
    <w:rsid w:val="00BD565F"/>
    <w:rsid w:val="00BD5EF2"/>
    <w:rsid w:val="00BE0D36"/>
    <w:rsid w:val="00BE0E4D"/>
    <w:rsid w:val="00BE2049"/>
    <w:rsid w:val="00BE5B8B"/>
    <w:rsid w:val="00BE7CEC"/>
    <w:rsid w:val="00BF00AC"/>
    <w:rsid w:val="00BF04BD"/>
    <w:rsid w:val="00BF14FE"/>
    <w:rsid w:val="00BF5862"/>
    <w:rsid w:val="00BF5B92"/>
    <w:rsid w:val="00BF78AA"/>
    <w:rsid w:val="00BF78EB"/>
    <w:rsid w:val="00BF7C39"/>
    <w:rsid w:val="00C0069B"/>
    <w:rsid w:val="00C02F28"/>
    <w:rsid w:val="00C04275"/>
    <w:rsid w:val="00C0451F"/>
    <w:rsid w:val="00C057C4"/>
    <w:rsid w:val="00C059A8"/>
    <w:rsid w:val="00C06A85"/>
    <w:rsid w:val="00C06EE3"/>
    <w:rsid w:val="00C11CF8"/>
    <w:rsid w:val="00C134F7"/>
    <w:rsid w:val="00C13F04"/>
    <w:rsid w:val="00C14A3F"/>
    <w:rsid w:val="00C14D3F"/>
    <w:rsid w:val="00C14E6B"/>
    <w:rsid w:val="00C16346"/>
    <w:rsid w:val="00C16831"/>
    <w:rsid w:val="00C16B24"/>
    <w:rsid w:val="00C16D23"/>
    <w:rsid w:val="00C20BE4"/>
    <w:rsid w:val="00C229A1"/>
    <w:rsid w:val="00C22C65"/>
    <w:rsid w:val="00C2320E"/>
    <w:rsid w:val="00C2354A"/>
    <w:rsid w:val="00C237C7"/>
    <w:rsid w:val="00C24171"/>
    <w:rsid w:val="00C24929"/>
    <w:rsid w:val="00C262C6"/>
    <w:rsid w:val="00C26922"/>
    <w:rsid w:val="00C26A93"/>
    <w:rsid w:val="00C26D18"/>
    <w:rsid w:val="00C306D8"/>
    <w:rsid w:val="00C306FA"/>
    <w:rsid w:val="00C31AE7"/>
    <w:rsid w:val="00C31DD3"/>
    <w:rsid w:val="00C31F8D"/>
    <w:rsid w:val="00C320AB"/>
    <w:rsid w:val="00C32195"/>
    <w:rsid w:val="00C327F3"/>
    <w:rsid w:val="00C35848"/>
    <w:rsid w:val="00C36BBB"/>
    <w:rsid w:val="00C37C2F"/>
    <w:rsid w:val="00C40C33"/>
    <w:rsid w:val="00C413D6"/>
    <w:rsid w:val="00C41922"/>
    <w:rsid w:val="00C4297D"/>
    <w:rsid w:val="00C42AE7"/>
    <w:rsid w:val="00C4308E"/>
    <w:rsid w:val="00C43704"/>
    <w:rsid w:val="00C45A14"/>
    <w:rsid w:val="00C45A54"/>
    <w:rsid w:val="00C502BB"/>
    <w:rsid w:val="00C51340"/>
    <w:rsid w:val="00C52F81"/>
    <w:rsid w:val="00C539B2"/>
    <w:rsid w:val="00C53FE6"/>
    <w:rsid w:val="00C5534E"/>
    <w:rsid w:val="00C56A89"/>
    <w:rsid w:val="00C6012E"/>
    <w:rsid w:val="00C61A10"/>
    <w:rsid w:val="00C61EBB"/>
    <w:rsid w:val="00C62AD3"/>
    <w:rsid w:val="00C63E8C"/>
    <w:rsid w:val="00C65907"/>
    <w:rsid w:val="00C66153"/>
    <w:rsid w:val="00C66F01"/>
    <w:rsid w:val="00C707E3"/>
    <w:rsid w:val="00C727A7"/>
    <w:rsid w:val="00C742E3"/>
    <w:rsid w:val="00C74BE6"/>
    <w:rsid w:val="00C751C8"/>
    <w:rsid w:val="00C767E4"/>
    <w:rsid w:val="00C76F0D"/>
    <w:rsid w:val="00C80286"/>
    <w:rsid w:val="00C80391"/>
    <w:rsid w:val="00C80935"/>
    <w:rsid w:val="00C8106E"/>
    <w:rsid w:val="00C810D1"/>
    <w:rsid w:val="00C81363"/>
    <w:rsid w:val="00C81403"/>
    <w:rsid w:val="00C8292B"/>
    <w:rsid w:val="00C83B25"/>
    <w:rsid w:val="00C83CD2"/>
    <w:rsid w:val="00C84D7C"/>
    <w:rsid w:val="00C84F55"/>
    <w:rsid w:val="00C8515C"/>
    <w:rsid w:val="00C85659"/>
    <w:rsid w:val="00C859CA"/>
    <w:rsid w:val="00C86687"/>
    <w:rsid w:val="00C86BB6"/>
    <w:rsid w:val="00C90918"/>
    <w:rsid w:val="00C909AC"/>
    <w:rsid w:val="00C92097"/>
    <w:rsid w:val="00C947BF"/>
    <w:rsid w:val="00C95902"/>
    <w:rsid w:val="00C95F2E"/>
    <w:rsid w:val="00C962C8"/>
    <w:rsid w:val="00C96E58"/>
    <w:rsid w:val="00C97B84"/>
    <w:rsid w:val="00CA06D3"/>
    <w:rsid w:val="00CA24AC"/>
    <w:rsid w:val="00CA320F"/>
    <w:rsid w:val="00CA36AF"/>
    <w:rsid w:val="00CA3E81"/>
    <w:rsid w:val="00CA4178"/>
    <w:rsid w:val="00CA4845"/>
    <w:rsid w:val="00CA6519"/>
    <w:rsid w:val="00CA7303"/>
    <w:rsid w:val="00CA7851"/>
    <w:rsid w:val="00CB01D3"/>
    <w:rsid w:val="00CB196D"/>
    <w:rsid w:val="00CB3E96"/>
    <w:rsid w:val="00CB6358"/>
    <w:rsid w:val="00CB6FB5"/>
    <w:rsid w:val="00CC0188"/>
    <w:rsid w:val="00CC01F2"/>
    <w:rsid w:val="00CC08AE"/>
    <w:rsid w:val="00CC0D8F"/>
    <w:rsid w:val="00CC1281"/>
    <w:rsid w:val="00CC12DD"/>
    <w:rsid w:val="00CC14BF"/>
    <w:rsid w:val="00CC23AE"/>
    <w:rsid w:val="00CC384D"/>
    <w:rsid w:val="00CC3B57"/>
    <w:rsid w:val="00CC4841"/>
    <w:rsid w:val="00CC4A07"/>
    <w:rsid w:val="00CC4D9E"/>
    <w:rsid w:val="00CC7CB1"/>
    <w:rsid w:val="00CC7E8E"/>
    <w:rsid w:val="00CD060A"/>
    <w:rsid w:val="00CD26C3"/>
    <w:rsid w:val="00CD2E8D"/>
    <w:rsid w:val="00CD31BF"/>
    <w:rsid w:val="00CD32DA"/>
    <w:rsid w:val="00CD3CC4"/>
    <w:rsid w:val="00CD440A"/>
    <w:rsid w:val="00CD5738"/>
    <w:rsid w:val="00CD6C65"/>
    <w:rsid w:val="00CD7C8F"/>
    <w:rsid w:val="00CE2D7F"/>
    <w:rsid w:val="00CE3A44"/>
    <w:rsid w:val="00CE3BAF"/>
    <w:rsid w:val="00CE3D28"/>
    <w:rsid w:val="00CE5A58"/>
    <w:rsid w:val="00CF058E"/>
    <w:rsid w:val="00CF4597"/>
    <w:rsid w:val="00CF535F"/>
    <w:rsid w:val="00CF5E77"/>
    <w:rsid w:val="00CF70AB"/>
    <w:rsid w:val="00CF7D48"/>
    <w:rsid w:val="00D001BA"/>
    <w:rsid w:val="00D03170"/>
    <w:rsid w:val="00D040FA"/>
    <w:rsid w:val="00D0551E"/>
    <w:rsid w:val="00D060EC"/>
    <w:rsid w:val="00D10C16"/>
    <w:rsid w:val="00D11C1C"/>
    <w:rsid w:val="00D1244F"/>
    <w:rsid w:val="00D1278F"/>
    <w:rsid w:val="00D12F14"/>
    <w:rsid w:val="00D13598"/>
    <w:rsid w:val="00D151D1"/>
    <w:rsid w:val="00D15371"/>
    <w:rsid w:val="00D154E8"/>
    <w:rsid w:val="00D16318"/>
    <w:rsid w:val="00D16588"/>
    <w:rsid w:val="00D16C7E"/>
    <w:rsid w:val="00D1707B"/>
    <w:rsid w:val="00D20B28"/>
    <w:rsid w:val="00D24308"/>
    <w:rsid w:val="00D25236"/>
    <w:rsid w:val="00D26FC9"/>
    <w:rsid w:val="00D27398"/>
    <w:rsid w:val="00D30493"/>
    <w:rsid w:val="00D3059B"/>
    <w:rsid w:val="00D32130"/>
    <w:rsid w:val="00D35669"/>
    <w:rsid w:val="00D35D64"/>
    <w:rsid w:val="00D36024"/>
    <w:rsid w:val="00D40DAE"/>
    <w:rsid w:val="00D41092"/>
    <w:rsid w:val="00D413A3"/>
    <w:rsid w:val="00D41B01"/>
    <w:rsid w:val="00D41FFF"/>
    <w:rsid w:val="00D4211D"/>
    <w:rsid w:val="00D42AAD"/>
    <w:rsid w:val="00D42AF4"/>
    <w:rsid w:val="00D44DA7"/>
    <w:rsid w:val="00D517FE"/>
    <w:rsid w:val="00D518BF"/>
    <w:rsid w:val="00D52126"/>
    <w:rsid w:val="00D5442D"/>
    <w:rsid w:val="00D54470"/>
    <w:rsid w:val="00D5458E"/>
    <w:rsid w:val="00D54AEE"/>
    <w:rsid w:val="00D55442"/>
    <w:rsid w:val="00D56182"/>
    <w:rsid w:val="00D56358"/>
    <w:rsid w:val="00D56500"/>
    <w:rsid w:val="00D567AB"/>
    <w:rsid w:val="00D56F91"/>
    <w:rsid w:val="00D60046"/>
    <w:rsid w:val="00D60B86"/>
    <w:rsid w:val="00D61A76"/>
    <w:rsid w:val="00D61D2C"/>
    <w:rsid w:val="00D62019"/>
    <w:rsid w:val="00D62C61"/>
    <w:rsid w:val="00D62E84"/>
    <w:rsid w:val="00D6305E"/>
    <w:rsid w:val="00D631B7"/>
    <w:rsid w:val="00D64FBD"/>
    <w:rsid w:val="00D652DF"/>
    <w:rsid w:val="00D6544B"/>
    <w:rsid w:val="00D66316"/>
    <w:rsid w:val="00D703A3"/>
    <w:rsid w:val="00D70FC8"/>
    <w:rsid w:val="00D713F4"/>
    <w:rsid w:val="00D71FFB"/>
    <w:rsid w:val="00D74113"/>
    <w:rsid w:val="00D743FC"/>
    <w:rsid w:val="00D745E6"/>
    <w:rsid w:val="00D74DD8"/>
    <w:rsid w:val="00D75069"/>
    <w:rsid w:val="00D7552C"/>
    <w:rsid w:val="00D75DF0"/>
    <w:rsid w:val="00D75ED2"/>
    <w:rsid w:val="00D761F4"/>
    <w:rsid w:val="00D7628B"/>
    <w:rsid w:val="00D76782"/>
    <w:rsid w:val="00D8001E"/>
    <w:rsid w:val="00D8069A"/>
    <w:rsid w:val="00D80A48"/>
    <w:rsid w:val="00D8116A"/>
    <w:rsid w:val="00D81826"/>
    <w:rsid w:val="00D822D3"/>
    <w:rsid w:val="00D82ACD"/>
    <w:rsid w:val="00D85032"/>
    <w:rsid w:val="00D8583E"/>
    <w:rsid w:val="00D86084"/>
    <w:rsid w:val="00D875F2"/>
    <w:rsid w:val="00D87690"/>
    <w:rsid w:val="00D87E1F"/>
    <w:rsid w:val="00D9296D"/>
    <w:rsid w:val="00D930C7"/>
    <w:rsid w:val="00D932DC"/>
    <w:rsid w:val="00D941F0"/>
    <w:rsid w:val="00D945CE"/>
    <w:rsid w:val="00D94FC5"/>
    <w:rsid w:val="00D95259"/>
    <w:rsid w:val="00D96C1F"/>
    <w:rsid w:val="00D97C30"/>
    <w:rsid w:val="00DA0309"/>
    <w:rsid w:val="00DA0D59"/>
    <w:rsid w:val="00DA2F47"/>
    <w:rsid w:val="00DA2F5E"/>
    <w:rsid w:val="00DA492E"/>
    <w:rsid w:val="00DA64FE"/>
    <w:rsid w:val="00DA6F5B"/>
    <w:rsid w:val="00DB067A"/>
    <w:rsid w:val="00DB15E8"/>
    <w:rsid w:val="00DB21A2"/>
    <w:rsid w:val="00DB2EAE"/>
    <w:rsid w:val="00DB42CE"/>
    <w:rsid w:val="00DB43EB"/>
    <w:rsid w:val="00DB6CA6"/>
    <w:rsid w:val="00DB7E8D"/>
    <w:rsid w:val="00DC0327"/>
    <w:rsid w:val="00DC0E99"/>
    <w:rsid w:val="00DC18A9"/>
    <w:rsid w:val="00DC1DF4"/>
    <w:rsid w:val="00DC23B0"/>
    <w:rsid w:val="00DC2878"/>
    <w:rsid w:val="00DC3C3A"/>
    <w:rsid w:val="00DC549A"/>
    <w:rsid w:val="00DC6141"/>
    <w:rsid w:val="00DC6EA1"/>
    <w:rsid w:val="00DD04BA"/>
    <w:rsid w:val="00DD0759"/>
    <w:rsid w:val="00DD07BA"/>
    <w:rsid w:val="00DD13E1"/>
    <w:rsid w:val="00DD1755"/>
    <w:rsid w:val="00DD4EC9"/>
    <w:rsid w:val="00DD586F"/>
    <w:rsid w:val="00DD5A83"/>
    <w:rsid w:val="00DD7891"/>
    <w:rsid w:val="00DE0BC4"/>
    <w:rsid w:val="00DE0D22"/>
    <w:rsid w:val="00DE111E"/>
    <w:rsid w:val="00DE6C40"/>
    <w:rsid w:val="00DF1722"/>
    <w:rsid w:val="00DF1A0D"/>
    <w:rsid w:val="00DF23DF"/>
    <w:rsid w:val="00DF4355"/>
    <w:rsid w:val="00DF5A80"/>
    <w:rsid w:val="00DF63B0"/>
    <w:rsid w:val="00E008D4"/>
    <w:rsid w:val="00E01227"/>
    <w:rsid w:val="00E0132D"/>
    <w:rsid w:val="00E01E83"/>
    <w:rsid w:val="00E0243D"/>
    <w:rsid w:val="00E02F59"/>
    <w:rsid w:val="00E0357B"/>
    <w:rsid w:val="00E038EF"/>
    <w:rsid w:val="00E05B2C"/>
    <w:rsid w:val="00E062E5"/>
    <w:rsid w:val="00E10055"/>
    <w:rsid w:val="00E10A84"/>
    <w:rsid w:val="00E11008"/>
    <w:rsid w:val="00E11B20"/>
    <w:rsid w:val="00E12717"/>
    <w:rsid w:val="00E15247"/>
    <w:rsid w:val="00E1546A"/>
    <w:rsid w:val="00E1597C"/>
    <w:rsid w:val="00E167E4"/>
    <w:rsid w:val="00E17D39"/>
    <w:rsid w:val="00E21A7B"/>
    <w:rsid w:val="00E2248F"/>
    <w:rsid w:val="00E22ABF"/>
    <w:rsid w:val="00E22DDB"/>
    <w:rsid w:val="00E2304D"/>
    <w:rsid w:val="00E2400E"/>
    <w:rsid w:val="00E240BA"/>
    <w:rsid w:val="00E24225"/>
    <w:rsid w:val="00E245F7"/>
    <w:rsid w:val="00E250AE"/>
    <w:rsid w:val="00E2572F"/>
    <w:rsid w:val="00E259C1"/>
    <w:rsid w:val="00E26810"/>
    <w:rsid w:val="00E26920"/>
    <w:rsid w:val="00E27523"/>
    <w:rsid w:val="00E300BD"/>
    <w:rsid w:val="00E32E37"/>
    <w:rsid w:val="00E32F36"/>
    <w:rsid w:val="00E33124"/>
    <w:rsid w:val="00E333FB"/>
    <w:rsid w:val="00E3376A"/>
    <w:rsid w:val="00E33A58"/>
    <w:rsid w:val="00E3582A"/>
    <w:rsid w:val="00E360CC"/>
    <w:rsid w:val="00E36236"/>
    <w:rsid w:val="00E36C06"/>
    <w:rsid w:val="00E370FD"/>
    <w:rsid w:val="00E37884"/>
    <w:rsid w:val="00E3792E"/>
    <w:rsid w:val="00E4197B"/>
    <w:rsid w:val="00E41A44"/>
    <w:rsid w:val="00E424C7"/>
    <w:rsid w:val="00E46B14"/>
    <w:rsid w:val="00E50E1A"/>
    <w:rsid w:val="00E523AC"/>
    <w:rsid w:val="00E52A3E"/>
    <w:rsid w:val="00E534A0"/>
    <w:rsid w:val="00E53E50"/>
    <w:rsid w:val="00E53F37"/>
    <w:rsid w:val="00E5567D"/>
    <w:rsid w:val="00E559DE"/>
    <w:rsid w:val="00E5635C"/>
    <w:rsid w:val="00E57588"/>
    <w:rsid w:val="00E609CE"/>
    <w:rsid w:val="00E610D3"/>
    <w:rsid w:val="00E61206"/>
    <w:rsid w:val="00E623E7"/>
    <w:rsid w:val="00E6257E"/>
    <w:rsid w:val="00E6362D"/>
    <w:rsid w:val="00E63720"/>
    <w:rsid w:val="00E6425F"/>
    <w:rsid w:val="00E64814"/>
    <w:rsid w:val="00E665C7"/>
    <w:rsid w:val="00E706C1"/>
    <w:rsid w:val="00E725F6"/>
    <w:rsid w:val="00E73175"/>
    <w:rsid w:val="00E759DF"/>
    <w:rsid w:val="00E766E4"/>
    <w:rsid w:val="00E77345"/>
    <w:rsid w:val="00E7750C"/>
    <w:rsid w:val="00E77CC8"/>
    <w:rsid w:val="00E8034F"/>
    <w:rsid w:val="00E8044A"/>
    <w:rsid w:val="00E81817"/>
    <w:rsid w:val="00E824B6"/>
    <w:rsid w:val="00E825DD"/>
    <w:rsid w:val="00E83F27"/>
    <w:rsid w:val="00E8435A"/>
    <w:rsid w:val="00E8464F"/>
    <w:rsid w:val="00E849A7"/>
    <w:rsid w:val="00E865C7"/>
    <w:rsid w:val="00E873FA"/>
    <w:rsid w:val="00E87427"/>
    <w:rsid w:val="00E87A72"/>
    <w:rsid w:val="00E87C0B"/>
    <w:rsid w:val="00E91163"/>
    <w:rsid w:val="00E92142"/>
    <w:rsid w:val="00E92BAD"/>
    <w:rsid w:val="00E94257"/>
    <w:rsid w:val="00E94E64"/>
    <w:rsid w:val="00E95409"/>
    <w:rsid w:val="00E95775"/>
    <w:rsid w:val="00E9626C"/>
    <w:rsid w:val="00E9728A"/>
    <w:rsid w:val="00E9758F"/>
    <w:rsid w:val="00EA2A26"/>
    <w:rsid w:val="00EA2D74"/>
    <w:rsid w:val="00EA356A"/>
    <w:rsid w:val="00EA370E"/>
    <w:rsid w:val="00EA378F"/>
    <w:rsid w:val="00EA4139"/>
    <w:rsid w:val="00EA63B0"/>
    <w:rsid w:val="00EB02EF"/>
    <w:rsid w:val="00EB0747"/>
    <w:rsid w:val="00EB1521"/>
    <w:rsid w:val="00EB16EA"/>
    <w:rsid w:val="00EB19CB"/>
    <w:rsid w:val="00EB1EB5"/>
    <w:rsid w:val="00EB2C16"/>
    <w:rsid w:val="00EB3011"/>
    <w:rsid w:val="00EB330F"/>
    <w:rsid w:val="00EB374F"/>
    <w:rsid w:val="00EB4042"/>
    <w:rsid w:val="00EB45D6"/>
    <w:rsid w:val="00EB46FB"/>
    <w:rsid w:val="00EB530D"/>
    <w:rsid w:val="00EB62EB"/>
    <w:rsid w:val="00EB6AA3"/>
    <w:rsid w:val="00EB6DEB"/>
    <w:rsid w:val="00EC1F1E"/>
    <w:rsid w:val="00EC4315"/>
    <w:rsid w:val="00EC5B72"/>
    <w:rsid w:val="00EC65ED"/>
    <w:rsid w:val="00EC712C"/>
    <w:rsid w:val="00EC7239"/>
    <w:rsid w:val="00EC7FA6"/>
    <w:rsid w:val="00ED05C7"/>
    <w:rsid w:val="00ED075C"/>
    <w:rsid w:val="00ED13AE"/>
    <w:rsid w:val="00ED2237"/>
    <w:rsid w:val="00ED3068"/>
    <w:rsid w:val="00ED3849"/>
    <w:rsid w:val="00ED398F"/>
    <w:rsid w:val="00ED4A30"/>
    <w:rsid w:val="00ED4EA4"/>
    <w:rsid w:val="00ED5B96"/>
    <w:rsid w:val="00ED7270"/>
    <w:rsid w:val="00ED7B4C"/>
    <w:rsid w:val="00EE0128"/>
    <w:rsid w:val="00EE022E"/>
    <w:rsid w:val="00EE2133"/>
    <w:rsid w:val="00EE2A7D"/>
    <w:rsid w:val="00EE3A90"/>
    <w:rsid w:val="00EE5728"/>
    <w:rsid w:val="00EE7139"/>
    <w:rsid w:val="00EF1004"/>
    <w:rsid w:val="00EF1242"/>
    <w:rsid w:val="00EF145C"/>
    <w:rsid w:val="00EF14D7"/>
    <w:rsid w:val="00EF17E6"/>
    <w:rsid w:val="00EF1D15"/>
    <w:rsid w:val="00EF1D51"/>
    <w:rsid w:val="00EF4BDD"/>
    <w:rsid w:val="00EF5E95"/>
    <w:rsid w:val="00EF6447"/>
    <w:rsid w:val="00EF70FA"/>
    <w:rsid w:val="00F00274"/>
    <w:rsid w:val="00F035FC"/>
    <w:rsid w:val="00F044A1"/>
    <w:rsid w:val="00F0483B"/>
    <w:rsid w:val="00F07411"/>
    <w:rsid w:val="00F07DB0"/>
    <w:rsid w:val="00F10973"/>
    <w:rsid w:val="00F10BCB"/>
    <w:rsid w:val="00F11223"/>
    <w:rsid w:val="00F121B6"/>
    <w:rsid w:val="00F12F51"/>
    <w:rsid w:val="00F14E5E"/>
    <w:rsid w:val="00F14EAB"/>
    <w:rsid w:val="00F15A0A"/>
    <w:rsid w:val="00F21899"/>
    <w:rsid w:val="00F2274F"/>
    <w:rsid w:val="00F22C7A"/>
    <w:rsid w:val="00F22C82"/>
    <w:rsid w:val="00F235D8"/>
    <w:rsid w:val="00F245C9"/>
    <w:rsid w:val="00F247B0"/>
    <w:rsid w:val="00F24C48"/>
    <w:rsid w:val="00F258FB"/>
    <w:rsid w:val="00F26423"/>
    <w:rsid w:val="00F30590"/>
    <w:rsid w:val="00F306D5"/>
    <w:rsid w:val="00F31C3D"/>
    <w:rsid w:val="00F33235"/>
    <w:rsid w:val="00F3514E"/>
    <w:rsid w:val="00F35B92"/>
    <w:rsid w:val="00F36481"/>
    <w:rsid w:val="00F36DDD"/>
    <w:rsid w:val="00F371E4"/>
    <w:rsid w:val="00F37452"/>
    <w:rsid w:val="00F37472"/>
    <w:rsid w:val="00F40B0E"/>
    <w:rsid w:val="00F40BBC"/>
    <w:rsid w:val="00F43B38"/>
    <w:rsid w:val="00F43EDC"/>
    <w:rsid w:val="00F447E8"/>
    <w:rsid w:val="00F44927"/>
    <w:rsid w:val="00F44A33"/>
    <w:rsid w:val="00F44BAD"/>
    <w:rsid w:val="00F45AF2"/>
    <w:rsid w:val="00F45F9F"/>
    <w:rsid w:val="00F46999"/>
    <w:rsid w:val="00F50E10"/>
    <w:rsid w:val="00F51D57"/>
    <w:rsid w:val="00F5216D"/>
    <w:rsid w:val="00F53182"/>
    <w:rsid w:val="00F531E0"/>
    <w:rsid w:val="00F53567"/>
    <w:rsid w:val="00F541DA"/>
    <w:rsid w:val="00F55930"/>
    <w:rsid w:val="00F57CB3"/>
    <w:rsid w:val="00F57EF7"/>
    <w:rsid w:val="00F61114"/>
    <w:rsid w:val="00F61DBB"/>
    <w:rsid w:val="00F627CE"/>
    <w:rsid w:val="00F62A83"/>
    <w:rsid w:val="00F635C3"/>
    <w:rsid w:val="00F6369B"/>
    <w:rsid w:val="00F63884"/>
    <w:rsid w:val="00F63CD1"/>
    <w:rsid w:val="00F6489C"/>
    <w:rsid w:val="00F66A96"/>
    <w:rsid w:val="00F675A9"/>
    <w:rsid w:val="00F7177B"/>
    <w:rsid w:val="00F717CA"/>
    <w:rsid w:val="00F71E4D"/>
    <w:rsid w:val="00F71FE5"/>
    <w:rsid w:val="00F73813"/>
    <w:rsid w:val="00F7414D"/>
    <w:rsid w:val="00F74733"/>
    <w:rsid w:val="00F74BF9"/>
    <w:rsid w:val="00F75F90"/>
    <w:rsid w:val="00F80514"/>
    <w:rsid w:val="00F81B95"/>
    <w:rsid w:val="00F8407A"/>
    <w:rsid w:val="00F843A9"/>
    <w:rsid w:val="00F846B4"/>
    <w:rsid w:val="00F85FB5"/>
    <w:rsid w:val="00F86DD9"/>
    <w:rsid w:val="00F9006B"/>
    <w:rsid w:val="00F92417"/>
    <w:rsid w:val="00F9359B"/>
    <w:rsid w:val="00F94EFE"/>
    <w:rsid w:val="00F952E2"/>
    <w:rsid w:val="00F962EC"/>
    <w:rsid w:val="00FA0D48"/>
    <w:rsid w:val="00FA18C9"/>
    <w:rsid w:val="00FA2ED2"/>
    <w:rsid w:val="00FA2F10"/>
    <w:rsid w:val="00FA33AA"/>
    <w:rsid w:val="00FA3876"/>
    <w:rsid w:val="00FA5364"/>
    <w:rsid w:val="00FA5446"/>
    <w:rsid w:val="00FA6FDD"/>
    <w:rsid w:val="00FB0646"/>
    <w:rsid w:val="00FB1BFB"/>
    <w:rsid w:val="00FB22AF"/>
    <w:rsid w:val="00FB37E3"/>
    <w:rsid w:val="00FB66B3"/>
    <w:rsid w:val="00FB74B7"/>
    <w:rsid w:val="00FC05EE"/>
    <w:rsid w:val="00FC1698"/>
    <w:rsid w:val="00FC23DA"/>
    <w:rsid w:val="00FC252F"/>
    <w:rsid w:val="00FC394D"/>
    <w:rsid w:val="00FC456F"/>
    <w:rsid w:val="00FC46B3"/>
    <w:rsid w:val="00FC61AF"/>
    <w:rsid w:val="00FC7FB5"/>
    <w:rsid w:val="00FD0E1B"/>
    <w:rsid w:val="00FD1287"/>
    <w:rsid w:val="00FD4484"/>
    <w:rsid w:val="00FD596A"/>
    <w:rsid w:val="00FD7F1B"/>
    <w:rsid w:val="00FE0F99"/>
    <w:rsid w:val="00FE1210"/>
    <w:rsid w:val="00FE22DC"/>
    <w:rsid w:val="00FE255D"/>
    <w:rsid w:val="00FE3463"/>
    <w:rsid w:val="00FE399D"/>
    <w:rsid w:val="00FE40E9"/>
    <w:rsid w:val="00FE45B3"/>
    <w:rsid w:val="00FE54FD"/>
    <w:rsid w:val="00FE5B4F"/>
    <w:rsid w:val="00FE5FC0"/>
    <w:rsid w:val="00FF05F1"/>
    <w:rsid w:val="00FF145F"/>
    <w:rsid w:val="00FF1783"/>
    <w:rsid w:val="00FF2493"/>
    <w:rsid w:val="00FF2A4F"/>
    <w:rsid w:val="00FF4745"/>
    <w:rsid w:val="00FF51E6"/>
    <w:rsid w:val="00FF582F"/>
    <w:rsid w:val="00FF5DE2"/>
    <w:rsid w:val="00FF6B80"/>
    <w:rsid w:val="00FF748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12F51"/>
  <w15:chartTrackingRefBased/>
  <w15:docId w15:val="{A37F62C1-0D5F-40BA-B02C-70E7ED12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CB"/>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8460CB"/>
    <w:pPr>
      <w:keepNext/>
      <w:keepLines/>
      <w:numPr>
        <w:numId w:val="55"/>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8460CB"/>
    <w:pPr>
      <w:keepNext/>
      <w:keepLines/>
      <w:numPr>
        <w:ilvl w:val="1"/>
        <w:numId w:val="55"/>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8460CB"/>
    <w:pPr>
      <w:keepNext/>
      <w:keepLines/>
      <w:numPr>
        <w:ilvl w:val="2"/>
        <w:numId w:val="55"/>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8460CB"/>
    <w:pPr>
      <w:keepNext/>
      <w:numPr>
        <w:ilvl w:val="3"/>
        <w:numId w:val="55"/>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8460CB"/>
    <w:pPr>
      <w:keepNext/>
      <w:numPr>
        <w:ilvl w:val="4"/>
        <w:numId w:val="55"/>
      </w:numPr>
      <w:spacing w:before="120" w:after="120"/>
      <w:jc w:val="left"/>
      <w:outlineLvl w:val="4"/>
    </w:pPr>
    <w:rPr>
      <w:rFonts w:eastAsiaTheme="majorEastAsia"/>
      <w:i/>
      <w:iCs/>
    </w:rPr>
  </w:style>
  <w:style w:type="paragraph" w:styleId="Ttulo6">
    <w:name w:val="heading 6"/>
    <w:basedOn w:val="Normal"/>
    <w:next w:val="Normal"/>
    <w:link w:val="Ttulo6Car"/>
    <w:rsid w:val="008460CB"/>
    <w:pPr>
      <w:keepNext/>
      <w:keepLines/>
      <w:numPr>
        <w:ilvl w:val="5"/>
        <w:numId w:val="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rsid w:val="008460CB"/>
    <w:pPr>
      <w:keepNext/>
      <w:keepLines/>
      <w:widowControl w:val="0"/>
      <w:numPr>
        <w:ilvl w:val="6"/>
        <w:numId w:val="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rsid w:val="008460CB"/>
    <w:pPr>
      <w:keepNext/>
      <w:keepLines/>
      <w:widowControl w:val="0"/>
      <w:numPr>
        <w:ilvl w:val="7"/>
        <w:numId w:val="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rsid w:val="008460CB"/>
    <w:pPr>
      <w:keepNext/>
      <w:widowControl w:val="0"/>
      <w:numPr>
        <w:ilvl w:val="8"/>
        <w:numId w:val="8"/>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8460CB"/>
    <w:pPr>
      <w:suppressLineNumbers/>
      <w:suppressAutoHyphens/>
      <w:spacing w:before="240" w:after="120"/>
      <w:jc w:val="left"/>
    </w:pPr>
    <w:rPr>
      <w:rFonts w:eastAsia="Times New Roman"/>
      <w:b/>
      <w:iCs/>
      <w:snapToGrid w:val="0"/>
      <w:kern w:val="22"/>
      <w:sz w:val="24"/>
    </w:rPr>
  </w:style>
  <w:style w:type="paragraph" w:styleId="Textoindependiente">
    <w:name w:val="Body Text"/>
    <w:basedOn w:val="Normal"/>
    <w:link w:val="TextoindependienteCar"/>
    <w:uiPriority w:val="99"/>
    <w:unhideWhenUsed/>
    <w:rsid w:val="008460CB"/>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rsid w:val="008460CB"/>
    <w:rPr>
      <w:lang w:val="es-ES"/>
    </w:rPr>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8460CB"/>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qFormat/>
    <w:rsid w:val="008460CB"/>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8460CB"/>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qFormat/>
    <w:rsid w:val="008460CB"/>
    <w:rPr>
      <w:vertAlign w:val="superscript"/>
      <w:lang w:val="es-ES"/>
    </w:rPr>
  </w:style>
  <w:style w:type="paragraph" w:customStyle="1" w:styleId="Footnote">
    <w:name w:val="Footnote"/>
    <w:basedOn w:val="Textonotapie"/>
    <w:qFormat/>
    <w:rsid w:val="008460CB"/>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0">
    <w:name w:val="Para 1"/>
    <w:basedOn w:val="Normal"/>
    <w:qFormat/>
    <w:rsid w:val="00480A8D"/>
    <w:pPr>
      <w:spacing w:before="120" w:after="120"/>
      <w:ind w:left="567"/>
    </w:pPr>
  </w:style>
  <w:style w:type="character" w:customStyle="1" w:styleId="Ttulo2Car">
    <w:name w:val="Título 2 Car"/>
    <w:basedOn w:val="Fuentedeprrafopredeter"/>
    <w:link w:val="Ttulo2"/>
    <w:uiPriority w:val="9"/>
    <w:rsid w:val="008460CB"/>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rsid w:val="00995DDC"/>
    <w:rPr>
      <w:color w:val="808080"/>
      <w:lang w:val="es-ES"/>
    </w:rPr>
  </w:style>
  <w:style w:type="paragraph" w:styleId="Encabezado">
    <w:name w:val="header"/>
    <w:basedOn w:val="Normal"/>
    <w:link w:val="EncabezadoCar"/>
    <w:rsid w:val="008460CB"/>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8460CB"/>
    <w:rPr>
      <w:rFonts w:ascii="Times New Roman" w:eastAsia="SimSun" w:hAnsi="Times New Roman" w:cs="Times New Roman"/>
      <w:kern w:val="0"/>
      <w:sz w:val="20"/>
      <w:lang w:val="es-ES"/>
      <w14:ligatures w14:val="none"/>
    </w:rPr>
  </w:style>
  <w:style w:type="paragraph" w:styleId="Piedepgina">
    <w:name w:val="footer"/>
    <w:basedOn w:val="Normal"/>
    <w:link w:val="PiedepginaCar"/>
    <w:uiPriority w:val="99"/>
    <w:rsid w:val="008460CB"/>
    <w:pPr>
      <w:tabs>
        <w:tab w:val="center" w:pos="4680"/>
        <w:tab w:val="right" w:pos="9360"/>
      </w:tabs>
    </w:pPr>
    <w:rPr>
      <w:sz w:val="20"/>
    </w:rPr>
  </w:style>
  <w:style w:type="character" w:customStyle="1" w:styleId="PiedepginaCar">
    <w:name w:val="Pie de página Car"/>
    <w:basedOn w:val="Fuentedeprrafopredeter"/>
    <w:link w:val="Piedepgina"/>
    <w:uiPriority w:val="99"/>
    <w:rsid w:val="008460CB"/>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8460CB"/>
    <w:rPr>
      <w:rFonts w:ascii="Times New Roman" w:eastAsiaTheme="majorEastAsia" w:hAnsi="Times New Roman" w:cs="Times New Roman"/>
      <w:b/>
      <w:bCs/>
      <w:kern w:val="0"/>
      <w:lang w:val="es-ES"/>
      <w14:ligatures w14:val="none"/>
    </w:rPr>
  </w:style>
  <w:style w:type="paragraph" w:customStyle="1" w:styleId="Para2">
    <w:name w:val="Para 2"/>
    <w:qFormat/>
    <w:rsid w:val="00537248"/>
    <w:pPr>
      <w:numPr>
        <w:numId w:val="2"/>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8460CB"/>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Ttulo4Car">
    <w:name w:val="Título 4 Car"/>
    <w:basedOn w:val="Fuentedeprrafopredeter"/>
    <w:link w:val="Ttulo4"/>
    <w:uiPriority w:val="9"/>
    <w:rsid w:val="008460CB"/>
    <w:rPr>
      <w:rFonts w:ascii="Times New Roman" w:eastAsiaTheme="majorEastAsia" w:hAnsi="Times New Roman" w:cs="Times New Roman"/>
      <w:b/>
      <w:bCs/>
      <w:kern w:val="0"/>
      <w:lang w:val="es-ES"/>
      <w14:ligatures w14:val="none"/>
    </w:rPr>
  </w:style>
  <w:style w:type="character" w:customStyle="1" w:styleId="Ttulo5Car">
    <w:name w:val="Título 5 Car"/>
    <w:basedOn w:val="Fuentedeprrafopredeter"/>
    <w:link w:val="Ttulo5"/>
    <w:uiPriority w:val="9"/>
    <w:rsid w:val="008460CB"/>
    <w:rPr>
      <w:rFonts w:ascii="Times New Roman" w:eastAsiaTheme="majorEastAsia" w:hAnsi="Times New Roman" w:cs="Times New Roman"/>
      <w:i/>
      <w:iCs/>
      <w:kern w:val="0"/>
      <w:lang w:val="es-ES"/>
      <w14:ligatures w14:val="none"/>
    </w:rPr>
  </w:style>
  <w:style w:type="character" w:styleId="Refdecomentario">
    <w:name w:val="annotation reference"/>
    <w:basedOn w:val="Fuentedeprrafopredeter"/>
    <w:uiPriority w:val="99"/>
    <w:unhideWhenUsed/>
    <w:rsid w:val="008460CB"/>
    <w:rPr>
      <w:sz w:val="16"/>
      <w:szCs w:val="16"/>
      <w:lang w:val="es-ES"/>
    </w:rPr>
  </w:style>
  <w:style w:type="paragraph" w:styleId="Textocomentario">
    <w:name w:val="annotation text"/>
    <w:basedOn w:val="Normal"/>
    <w:link w:val="TextocomentarioCar"/>
    <w:uiPriority w:val="99"/>
    <w:rsid w:val="008460CB"/>
    <w:rPr>
      <w:sz w:val="20"/>
      <w:szCs w:val="20"/>
    </w:rPr>
  </w:style>
  <w:style w:type="character" w:customStyle="1" w:styleId="TextocomentarioCar">
    <w:name w:val="Texto comentario Car"/>
    <w:basedOn w:val="Fuentedeprrafopredeter"/>
    <w:link w:val="Textocomentario"/>
    <w:uiPriority w:val="99"/>
    <w:rsid w:val="008460CB"/>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8460CB"/>
    <w:rPr>
      <w:b/>
      <w:bCs/>
    </w:rPr>
  </w:style>
  <w:style w:type="character" w:customStyle="1" w:styleId="AsuntodelcomentarioCar">
    <w:name w:val="Asunto del comentario Car"/>
    <w:basedOn w:val="TextocomentarioCar"/>
    <w:link w:val="Asuntodelcomentario"/>
    <w:uiPriority w:val="99"/>
    <w:semiHidden/>
    <w:rsid w:val="008460CB"/>
    <w:rPr>
      <w:rFonts w:ascii="Times New Roman" w:eastAsia="SimSun" w:hAnsi="Times New Roman" w:cs="Times New Roman"/>
      <w:b/>
      <w:bCs/>
      <w:kern w:val="0"/>
      <w:sz w:val="20"/>
      <w:szCs w:val="20"/>
      <w:lang w:val="es-ES"/>
      <w14:ligatures w14:val="none"/>
    </w:rPr>
  </w:style>
  <w:style w:type="paragraph" w:styleId="Textodeglobo">
    <w:name w:val="Balloon Text"/>
    <w:basedOn w:val="Normal"/>
    <w:link w:val="TextodegloboCar"/>
    <w:uiPriority w:val="99"/>
    <w:semiHidden/>
    <w:unhideWhenUsed/>
    <w:rsid w:val="0031436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436C"/>
    <w:rPr>
      <w:rFonts w:ascii="Segoe UI" w:eastAsia="SimSun" w:hAnsi="Segoe UI" w:cs="Segoe UI"/>
      <w:kern w:val="0"/>
      <w:sz w:val="18"/>
      <w:szCs w:val="18"/>
      <w:lang w:val="es-ES"/>
      <w14:ligatures w14:val="none"/>
    </w:rPr>
  </w:style>
  <w:style w:type="paragraph" w:styleId="Revisin">
    <w:name w:val="Revision"/>
    <w:hidden/>
    <w:uiPriority w:val="99"/>
    <w:semiHidden/>
    <w:rsid w:val="008460CB"/>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CBDNormalNumber">
    <w:name w:val="CBD_Normal_Number"/>
    <w:basedOn w:val="CBDNormal"/>
    <w:qFormat/>
    <w:rsid w:val="008460CB"/>
    <w:pPr>
      <w:tabs>
        <w:tab w:val="left" w:pos="3969"/>
      </w:tabs>
      <w:spacing w:before="120" w:after="120"/>
      <w:ind w:left="567"/>
    </w:pPr>
  </w:style>
  <w:style w:type="character" w:styleId="Hipervnculo">
    <w:name w:val="Hyperlink"/>
    <w:basedOn w:val="Fuentedeprrafopredeter"/>
    <w:uiPriority w:val="99"/>
    <w:unhideWhenUsed/>
    <w:rsid w:val="008460CB"/>
    <w:rPr>
      <w:rFonts w:ascii="Times New Roman" w:hAnsi="Times New Roman"/>
      <w:color w:val="0563C1" w:themeColor="hyperlink"/>
      <w:u w:val="single"/>
      <w:lang w:val="es-ES"/>
    </w:rPr>
  </w:style>
  <w:style w:type="character" w:customStyle="1" w:styleId="UnresolvedMention1">
    <w:name w:val="Unresolved Mention1"/>
    <w:basedOn w:val="Fuentedeprrafopredeter"/>
    <w:uiPriority w:val="99"/>
    <w:semiHidden/>
    <w:unhideWhenUsed/>
    <w:rsid w:val="00EF1242"/>
    <w:rPr>
      <w:color w:val="605E5C"/>
      <w:shd w:val="clear" w:color="auto" w:fill="E1DFDD"/>
      <w:lang w:val="es-ES"/>
    </w:rPr>
  </w:style>
  <w:style w:type="paragraph" w:styleId="TDC5">
    <w:name w:val="toc 5"/>
    <w:basedOn w:val="CBDNormal"/>
    <w:next w:val="Normal"/>
    <w:uiPriority w:val="39"/>
    <w:rsid w:val="008460CB"/>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customStyle="1" w:styleId="Para3">
    <w:name w:val="Para3"/>
    <w:basedOn w:val="Normal"/>
    <w:rsid w:val="00C539B2"/>
    <w:pPr>
      <w:numPr>
        <w:ilvl w:val="2"/>
        <w:numId w:val="4"/>
      </w:numPr>
      <w:tabs>
        <w:tab w:val="clear" w:pos="2591"/>
        <w:tab w:val="left" w:pos="1985"/>
        <w:tab w:val="num" w:pos="2160"/>
      </w:tabs>
      <w:spacing w:before="80" w:after="80"/>
    </w:pPr>
    <w:rPr>
      <w:szCs w:val="20"/>
    </w:rPr>
  </w:style>
  <w:style w:type="character" w:styleId="Hipervnculovisitado">
    <w:name w:val="FollowedHyperlink"/>
    <w:basedOn w:val="Fuentedeprrafopredeter"/>
    <w:uiPriority w:val="99"/>
    <w:unhideWhenUsed/>
    <w:rsid w:val="00185D62"/>
    <w:rPr>
      <w:color w:val="954F72" w:themeColor="followedHyperlink"/>
      <w:u w:val="single"/>
      <w:lang w:val="es-ES"/>
    </w:rPr>
  </w:style>
  <w:style w:type="paragraph" w:customStyle="1" w:styleId="AEDistrNormal">
    <w:name w:val="AE_DistrNormal"/>
    <w:basedOn w:val="Normal"/>
    <w:unhideWhenUsed/>
    <w:rsid w:val="008460CB"/>
    <w:pPr>
      <w:jc w:val="left"/>
    </w:pPr>
  </w:style>
  <w:style w:type="paragraph" w:customStyle="1" w:styleId="AASmallLogo">
    <w:name w:val="AA_SmallLogo"/>
    <w:basedOn w:val="AEDistrNormal"/>
    <w:unhideWhenUsed/>
    <w:rsid w:val="008460CB"/>
    <w:pPr>
      <w:spacing w:before="40"/>
    </w:pPr>
    <w:rPr>
      <w:sz w:val="4"/>
    </w:rPr>
  </w:style>
  <w:style w:type="paragraph" w:customStyle="1" w:styleId="ABSymbol">
    <w:name w:val="AB_Symbol"/>
    <w:basedOn w:val="Normal"/>
    <w:qFormat/>
    <w:rsid w:val="008460CB"/>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E245F7"/>
  </w:style>
  <w:style w:type="paragraph" w:customStyle="1" w:styleId="ACLargeLogo">
    <w:name w:val="AC_LargeLogo"/>
    <w:basedOn w:val="AFCorNNormal"/>
    <w:next w:val="AISpacer"/>
    <w:unhideWhenUsed/>
    <w:rsid w:val="008460CB"/>
    <w:pPr>
      <w:spacing w:before="120"/>
      <w:contextualSpacing/>
    </w:pPr>
    <w:rPr>
      <w:sz w:val="8"/>
    </w:rPr>
  </w:style>
  <w:style w:type="paragraph" w:customStyle="1" w:styleId="AEDistrNormal6pt">
    <w:name w:val="AE_DistrNormal6pt"/>
    <w:basedOn w:val="AEDistrNormal"/>
    <w:next w:val="AFCorNNormal"/>
    <w:unhideWhenUsed/>
    <w:qFormat/>
    <w:rsid w:val="008460CB"/>
    <w:pPr>
      <w:spacing w:before="120"/>
    </w:pPr>
  </w:style>
  <w:style w:type="paragraph" w:customStyle="1" w:styleId="AENormal">
    <w:name w:val="AE_Normal"/>
    <w:basedOn w:val="Normal"/>
    <w:rsid w:val="008460CB"/>
  </w:style>
  <w:style w:type="paragraph" w:customStyle="1" w:styleId="AFCorNot12Bold">
    <w:name w:val="AF_CorNot12Bold"/>
    <w:basedOn w:val="AFCorNotNormal"/>
    <w:next w:val="AFCorNotNormal"/>
    <w:unhideWhenUsed/>
    <w:qFormat/>
    <w:rsid w:val="00E245F7"/>
    <w:pPr>
      <w:jc w:val="left"/>
    </w:pPr>
    <w:rPr>
      <w:b/>
      <w:sz w:val="24"/>
    </w:rPr>
  </w:style>
  <w:style w:type="paragraph" w:customStyle="1" w:styleId="AFCorNotBold">
    <w:name w:val="AF_CorNotBold"/>
    <w:basedOn w:val="AFCorNotNormal"/>
    <w:next w:val="AFCorNotNormal"/>
    <w:unhideWhenUsed/>
    <w:qFormat/>
    <w:rsid w:val="00E245F7"/>
    <w:rPr>
      <w:b/>
    </w:rPr>
  </w:style>
  <w:style w:type="paragraph" w:customStyle="1" w:styleId="AISpacer">
    <w:name w:val="AI_Spacer"/>
    <w:next w:val="Normal"/>
    <w:unhideWhenUsed/>
    <w:qFormat/>
    <w:rsid w:val="008460CB"/>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8460CB"/>
    <w:pPr>
      <w:keepNext/>
      <w:keepLines/>
      <w:spacing w:before="240" w:after="120"/>
      <w:jc w:val="left"/>
    </w:pPr>
    <w:rPr>
      <w:b/>
      <w:sz w:val="24"/>
    </w:rPr>
  </w:style>
  <w:style w:type="paragraph" w:customStyle="1" w:styleId="CBDNormal">
    <w:name w:val="CBD_Normal"/>
    <w:unhideWhenUsed/>
    <w:qFormat/>
    <w:rsid w:val="008460CB"/>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8460CB"/>
    <w:pPr>
      <w:keepNext/>
      <w:keepLines/>
      <w:spacing w:after="240"/>
      <w:jc w:val="left"/>
    </w:pPr>
    <w:rPr>
      <w:b/>
      <w:sz w:val="28"/>
      <w:lang w:bidi="ar-SY"/>
    </w:rPr>
  </w:style>
  <w:style w:type="paragraph" w:customStyle="1" w:styleId="CBDDesicionAnnex">
    <w:name w:val="CBD_DesicionAnnex"/>
    <w:basedOn w:val="CBDNormal"/>
    <w:next w:val="CBDDesicionText"/>
    <w:qFormat/>
    <w:rsid w:val="008460CB"/>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8460CB"/>
    <w:pPr>
      <w:spacing w:after="120"/>
      <w:ind w:left="567" w:firstLine="567"/>
    </w:pPr>
  </w:style>
  <w:style w:type="paragraph" w:customStyle="1" w:styleId="CBDFigureTitle">
    <w:name w:val="CBD_FigureTitle"/>
    <w:basedOn w:val="CBDNormal"/>
    <w:next w:val="CBDNormalNoNumber"/>
    <w:qFormat/>
    <w:rsid w:val="008460CB"/>
    <w:pPr>
      <w:keepNext/>
      <w:keepLines/>
      <w:spacing w:before="120" w:after="60"/>
      <w:ind w:left="567"/>
      <w:jc w:val="left"/>
    </w:pPr>
    <w:rPr>
      <w:b/>
    </w:rPr>
  </w:style>
  <w:style w:type="paragraph" w:customStyle="1" w:styleId="CBDFooter">
    <w:name w:val="CBD_Footer"/>
    <w:basedOn w:val="CBDNormal"/>
    <w:qFormat/>
    <w:rsid w:val="008460CB"/>
    <w:rPr>
      <w:sz w:val="20"/>
    </w:rPr>
  </w:style>
  <w:style w:type="paragraph" w:customStyle="1" w:styleId="CBDFootnoteText">
    <w:name w:val="CBD_Footnote_Text"/>
    <w:basedOn w:val="CBDNormal"/>
    <w:qFormat/>
    <w:rsid w:val="008460CB"/>
    <w:pPr>
      <w:jc w:val="left"/>
    </w:pPr>
    <w:rPr>
      <w:sz w:val="18"/>
    </w:rPr>
  </w:style>
  <w:style w:type="paragraph" w:customStyle="1" w:styleId="CBDH1">
    <w:name w:val="CBD_H1"/>
    <w:basedOn w:val="CBDNormal"/>
    <w:qFormat/>
    <w:rsid w:val="008460CB"/>
    <w:pPr>
      <w:keepNext/>
      <w:keepLines/>
      <w:spacing w:before="240" w:after="120"/>
      <w:ind w:left="567" w:hanging="567"/>
      <w:jc w:val="left"/>
      <w:outlineLvl w:val="0"/>
    </w:pPr>
    <w:rPr>
      <w:b/>
      <w:sz w:val="28"/>
    </w:rPr>
  </w:style>
  <w:style w:type="paragraph" w:customStyle="1" w:styleId="CBDH2">
    <w:name w:val="CBD_H2"/>
    <w:basedOn w:val="CBDNormalNumber"/>
    <w:qFormat/>
    <w:rsid w:val="008460CB"/>
    <w:pPr>
      <w:keepNext/>
      <w:keepLines/>
      <w:ind w:hanging="567"/>
    </w:pPr>
    <w:rPr>
      <w:b/>
      <w:sz w:val="24"/>
    </w:rPr>
  </w:style>
  <w:style w:type="paragraph" w:customStyle="1" w:styleId="CBDH3">
    <w:name w:val="CBD_H3"/>
    <w:basedOn w:val="CBDNormal"/>
    <w:qFormat/>
    <w:rsid w:val="008460CB"/>
    <w:pPr>
      <w:keepNext/>
      <w:keepLines/>
      <w:spacing w:before="120" w:after="120"/>
      <w:ind w:left="567" w:hanging="567"/>
      <w:jc w:val="left"/>
    </w:pPr>
    <w:rPr>
      <w:b/>
    </w:rPr>
  </w:style>
  <w:style w:type="paragraph" w:customStyle="1" w:styleId="CBDH4">
    <w:name w:val="CBD_H4"/>
    <w:basedOn w:val="CBDNormal"/>
    <w:rsid w:val="008460CB"/>
    <w:pPr>
      <w:keepNext/>
      <w:keepLines/>
      <w:spacing w:before="120" w:after="120"/>
      <w:ind w:left="567" w:hanging="567"/>
      <w:jc w:val="left"/>
    </w:pPr>
    <w:rPr>
      <w:b/>
    </w:rPr>
  </w:style>
  <w:style w:type="paragraph" w:customStyle="1" w:styleId="CBDH5">
    <w:name w:val="CBD_H5"/>
    <w:basedOn w:val="CBDNormal"/>
    <w:qFormat/>
    <w:rsid w:val="008460CB"/>
    <w:pPr>
      <w:keepNext/>
      <w:keepLines/>
      <w:spacing w:before="120" w:after="120"/>
      <w:ind w:left="567" w:hanging="567"/>
      <w:jc w:val="left"/>
    </w:pPr>
    <w:rPr>
      <w:i/>
    </w:rPr>
  </w:style>
  <w:style w:type="paragraph" w:customStyle="1" w:styleId="CBDHeader">
    <w:name w:val="CBD_Header"/>
    <w:basedOn w:val="CBDNormal"/>
    <w:next w:val="CBDFooter"/>
    <w:qFormat/>
    <w:rsid w:val="008460CB"/>
    <w:pPr>
      <w:pBdr>
        <w:bottom w:val="single" w:sz="4" w:space="1" w:color="auto"/>
      </w:pBdr>
      <w:tabs>
        <w:tab w:val="center" w:pos="4678"/>
        <w:tab w:val="right" w:pos="9361"/>
      </w:tabs>
      <w:jc w:val="left"/>
    </w:pPr>
    <w:rPr>
      <w:sz w:val="20"/>
      <w:szCs w:val="20"/>
    </w:rPr>
  </w:style>
  <w:style w:type="numbering" w:customStyle="1" w:styleId="ListCBD">
    <w:name w:val="ListCBD"/>
    <w:basedOn w:val="Sinlista"/>
    <w:uiPriority w:val="99"/>
    <w:rsid w:val="008460CB"/>
    <w:pPr>
      <w:numPr>
        <w:numId w:val="5"/>
      </w:numPr>
    </w:pPr>
  </w:style>
  <w:style w:type="numbering" w:customStyle="1" w:styleId="CBDHeadings">
    <w:name w:val="CBD_Headings"/>
    <w:basedOn w:val="ListCBD"/>
    <w:uiPriority w:val="99"/>
    <w:rsid w:val="008460CB"/>
    <w:pPr>
      <w:numPr>
        <w:numId w:val="6"/>
      </w:numPr>
    </w:pPr>
  </w:style>
  <w:style w:type="paragraph" w:customStyle="1" w:styleId="CBDNormalNoNumber">
    <w:name w:val="CBD_Normal_NoNumber"/>
    <w:basedOn w:val="CBDNormal"/>
    <w:qFormat/>
    <w:rsid w:val="008460CB"/>
    <w:pPr>
      <w:spacing w:after="120"/>
      <w:ind w:left="567"/>
    </w:pPr>
  </w:style>
  <w:style w:type="paragraph" w:customStyle="1" w:styleId="CBDSubTitle">
    <w:name w:val="CBD_SubTitle"/>
    <w:basedOn w:val="CBDNormal"/>
    <w:qFormat/>
    <w:rsid w:val="008460CB"/>
    <w:pPr>
      <w:keepNext/>
      <w:keepLines/>
      <w:spacing w:before="240" w:after="240"/>
      <w:ind w:left="567"/>
      <w:jc w:val="left"/>
    </w:pPr>
    <w:rPr>
      <w:b/>
    </w:rPr>
  </w:style>
  <w:style w:type="paragraph" w:customStyle="1" w:styleId="CBDTableNormal">
    <w:name w:val="CBD_TableNormal"/>
    <w:basedOn w:val="CBDNormal"/>
    <w:qFormat/>
    <w:rsid w:val="008460CB"/>
    <w:pPr>
      <w:spacing w:before="40" w:after="80"/>
      <w:jc w:val="left"/>
    </w:pPr>
    <w:rPr>
      <w:sz w:val="20"/>
    </w:rPr>
  </w:style>
  <w:style w:type="paragraph" w:customStyle="1" w:styleId="CBDTableTitle">
    <w:name w:val="CBD_TableTitle"/>
    <w:basedOn w:val="CBDNormal"/>
    <w:qFormat/>
    <w:rsid w:val="008460CB"/>
    <w:pPr>
      <w:keepNext/>
      <w:keepLines/>
      <w:spacing w:before="120" w:after="60"/>
      <w:ind w:left="567"/>
      <w:jc w:val="left"/>
    </w:pPr>
    <w:rPr>
      <w:b/>
    </w:rPr>
  </w:style>
  <w:style w:type="paragraph" w:customStyle="1" w:styleId="CBDTitle">
    <w:name w:val="CBD_Title"/>
    <w:basedOn w:val="CBDNormal"/>
    <w:next w:val="CBDSubTitle"/>
    <w:qFormat/>
    <w:rsid w:val="008460CB"/>
    <w:pPr>
      <w:keepNext/>
      <w:keepLines/>
      <w:spacing w:before="240" w:after="240"/>
      <w:ind w:left="567"/>
      <w:jc w:val="left"/>
    </w:pPr>
    <w:rPr>
      <w:b/>
      <w:sz w:val="28"/>
    </w:rPr>
  </w:style>
  <w:style w:type="character" w:customStyle="1" w:styleId="Ttulo6Car">
    <w:name w:val="Título 6 Car"/>
    <w:basedOn w:val="Fuentedeprrafopredeter"/>
    <w:link w:val="Ttulo6"/>
    <w:rsid w:val="008460CB"/>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rsid w:val="008460CB"/>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rsid w:val="008460CB"/>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rsid w:val="008460CB"/>
    <w:rPr>
      <w:rFonts w:ascii="Times New Roman" w:eastAsia="SimSun" w:hAnsi="Times New Roman" w:cs="Times New Roman"/>
      <w:snapToGrid w:val="0"/>
      <w:kern w:val="0"/>
      <w:u w:val="single"/>
      <w:lang w:val="es-ES"/>
      <w14:ligatures w14:val="none"/>
    </w:rPr>
  </w:style>
  <w:style w:type="paragraph" w:styleId="Lista">
    <w:name w:val="List"/>
    <w:basedOn w:val="Normal"/>
    <w:semiHidden/>
    <w:rsid w:val="008460CB"/>
    <w:pPr>
      <w:contextualSpacing/>
    </w:pPr>
  </w:style>
  <w:style w:type="paragraph" w:styleId="Prrafodelista">
    <w:name w:val="List Paragraph"/>
    <w:basedOn w:val="Normal"/>
    <w:link w:val="PrrafodelistaCar"/>
    <w:uiPriority w:val="34"/>
    <w:qFormat/>
    <w:rsid w:val="008460CB"/>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114347"/>
    <w:pPr>
      <w:spacing w:after="160" w:line="240" w:lineRule="exact"/>
    </w:pPr>
    <w:rPr>
      <w:rFonts w:asciiTheme="minorHAnsi" w:eastAsiaTheme="minorHAnsi" w:hAnsiTheme="minorHAnsi" w:cstheme="minorBidi"/>
      <w:kern w:val="2"/>
      <w:vertAlign w:val="superscript"/>
      <w14:ligatures w14:val="standardContextual"/>
    </w:rPr>
  </w:style>
  <w:style w:type="table" w:customStyle="1" w:styleId="TableGrid2">
    <w:name w:val="Table Grid2"/>
    <w:basedOn w:val="Tablanormal"/>
    <w:next w:val="Tablaconcuadrcula"/>
    <w:uiPriority w:val="39"/>
    <w:qFormat/>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Decisionheader">
    <w:name w:val="CBD-Decision header"/>
    <w:basedOn w:val="CBDH1"/>
    <w:qFormat/>
    <w:rsid w:val="00460B7B"/>
    <w:pPr>
      <w:outlineLvl w:val="1"/>
    </w:pPr>
    <w:rPr>
      <w:sz w:val="24"/>
    </w:rPr>
  </w:style>
  <w:style w:type="paragraph" w:styleId="TDC1">
    <w:name w:val="toc 1"/>
    <w:basedOn w:val="CBDNormal"/>
    <w:next w:val="Normal"/>
    <w:autoRedefine/>
    <w:uiPriority w:val="39"/>
    <w:unhideWhenUsed/>
    <w:rsid w:val="008460CB"/>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8460CB"/>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customStyle="1" w:styleId="Para1">
    <w:name w:val="Para1"/>
    <w:basedOn w:val="Normal"/>
    <w:link w:val="Para1Char"/>
    <w:rsid w:val="006932AD"/>
    <w:pPr>
      <w:numPr>
        <w:numId w:val="9"/>
      </w:numPr>
      <w:spacing w:before="120" w:after="120"/>
    </w:pPr>
    <w:rPr>
      <w:snapToGrid w:val="0"/>
      <w:szCs w:val="18"/>
    </w:rPr>
  </w:style>
  <w:style w:type="paragraph" w:customStyle="1" w:styleId="reference">
    <w:name w:val="reference"/>
    <w:basedOn w:val="Ttulo9"/>
    <w:qFormat/>
    <w:rsid w:val="006932AD"/>
    <w:pPr>
      <w:numPr>
        <w:ilvl w:val="0"/>
        <w:numId w:val="0"/>
      </w:numPr>
      <w:ind w:left="7200" w:hanging="180"/>
    </w:pPr>
    <w:rPr>
      <w:i/>
      <w:sz w:val="18"/>
    </w:rPr>
  </w:style>
  <w:style w:type="paragraph" w:styleId="NormalWeb">
    <w:name w:val="Normal (Web)"/>
    <w:basedOn w:val="Normal"/>
    <w:uiPriority w:val="99"/>
    <w:unhideWhenUsed/>
    <w:rsid w:val="006932AD"/>
    <w:pPr>
      <w:spacing w:before="100" w:beforeAutospacing="1" w:after="100" w:afterAutospacing="1"/>
    </w:pPr>
  </w:style>
  <w:style w:type="paragraph" w:customStyle="1" w:styleId="meetingname">
    <w:name w:val="meeting name"/>
    <w:basedOn w:val="Normal"/>
    <w:qFormat/>
    <w:rsid w:val="00F7177B"/>
    <w:pPr>
      <w:ind w:left="142" w:right="4218" w:hanging="142"/>
    </w:pPr>
    <w:rPr>
      <w:caps/>
    </w:rPr>
  </w:style>
  <w:style w:type="paragraph" w:styleId="Sangradetextonormal">
    <w:name w:val="Body Text Indent"/>
    <w:basedOn w:val="Normal"/>
    <w:link w:val="SangradetextonormalCar"/>
    <w:rsid w:val="00F7177B"/>
    <w:pPr>
      <w:spacing w:before="120" w:after="120"/>
      <w:ind w:left="1440" w:hanging="720"/>
    </w:pPr>
  </w:style>
  <w:style w:type="character" w:customStyle="1" w:styleId="SangradetextonormalCar">
    <w:name w:val="Sangría de texto normal Car"/>
    <w:basedOn w:val="Fuentedeprrafopredeter"/>
    <w:link w:val="Sangradetextonormal"/>
    <w:rsid w:val="00F7177B"/>
    <w:rPr>
      <w:rFonts w:ascii="Times New Roman" w:eastAsia="SimSun" w:hAnsi="Times New Roman" w:cs="Times New Roman"/>
      <w:kern w:val="0"/>
      <w:lang w:val="es-ES"/>
      <w14:ligatures w14:val="none"/>
    </w:rPr>
  </w:style>
  <w:style w:type="character" w:styleId="Refdenotaalfinal">
    <w:name w:val="endnote reference"/>
    <w:semiHidden/>
    <w:rsid w:val="00F7177B"/>
    <w:rPr>
      <w:vertAlign w:val="superscript"/>
      <w:lang w:val="es-ES"/>
    </w:rPr>
  </w:style>
  <w:style w:type="paragraph" w:styleId="Textonotaalfinal">
    <w:name w:val="endnote text"/>
    <w:basedOn w:val="Normal"/>
    <w:link w:val="TextonotaalfinalCar"/>
    <w:semiHidden/>
    <w:rsid w:val="00F7177B"/>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F7177B"/>
    <w:rPr>
      <w:rFonts w:ascii="Courier New" w:eastAsia="SimSun" w:hAnsi="Courier New" w:cs="Times New Roman"/>
      <w:kern w:val="0"/>
      <w:lang w:val="es-ES"/>
      <w14:ligatures w14:val="none"/>
    </w:rPr>
  </w:style>
  <w:style w:type="paragraph" w:customStyle="1" w:styleId="HEADING">
    <w:name w:val="HEADING"/>
    <w:basedOn w:val="Normal"/>
    <w:rsid w:val="00F7177B"/>
    <w:pPr>
      <w:keepNext/>
      <w:spacing w:before="240" w:after="120"/>
      <w:jc w:val="center"/>
    </w:pPr>
    <w:rPr>
      <w:b/>
      <w:bCs/>
      <w:caps/>
    </w:rPr>
  </w:style>
  <w:style w:type="paragraph" w:customStyle="1" w:styleId="HEADINGNOTFORTOC">
    <w:name w:val="HEADING (NOT FOR TOC)"/>
    <w:basedOn w:val="Ttulo1"/>
    <w:next w:val="Ttulo2"/>
    <w:rsid w:val="00F7177B"/>
  </w:style>
  <w:style w:type="paragraph" w:customStyle="1" w:styleId="Heading1longmultiline">
    <w:name w:val="Heading 1 (long multiline)"/>
    <w:basedOn w:val="Ttulo1"/>
    <w:rsid w:val="00F7177B"/>
    <w:pPr>
      <w:ind w:left="1843" w:hanging="1134"/>
    </w:pPr>
  </w:style>
  <w:style w:type="paragraph" w:customStyle="1" w:styleId="Heading1multiline">
    <w:name w:val="Heading 1 (multiline)"/>
    <w:basedOn w:val="Ttulo1"/>
    <w:rsid w:val="00F7177B"/>
    <w:pPr>
      <w:ind w:left="1843" w:right="996"/>
    </w:pPr>
  </w:style>
  <w:style w:type="paragraph" w:customStyle="1" w:styleId="Heading2multiline">
    <w:name w:val="Heading 2 (multiline)"/>
    <w:basedOn w:val="Ttulo1"/>
    <w:next w:val="Normal"/>
    <w:rsid w:val="00F7177B"/>
    <w:pPr>
      <w:spacing w:before="120"/>
      <w:ind w:left="1843" w:right="998"/>
    </w:pPr>
    <w:rPr>
      <w:i/>
      <w:iCs/>
      <w:caps/>
    </w:rPr>
  </w:style>
  <w:style w:type="paragraph" w:customStyle="1" w:styleId="Heading2longmultiline">
    <w:name w:val="Heading 2 (long multiline)"/>
    <w:basedOn w:val="Heading2multiline"/>
    <w:rsid w:val="00F7177B"/>
    <w:pPr>
      <w:ind w:left="2127" w:hanging="1276"/>
    </w:pPr>
  </w:style>
  <w:style w:type="paragraph" w:customStyle="1" w:styleId="heading2notforTOC">
    <w:name w:val="heading 2 not for TOC"/>
    <w:basedOn w:val="Ttulo3"/>
    <w:rsid w:val="00F7177B"/>
  </w:style>
  <w:style w:type="paragraph" w:customStyle="1" w:styleId="Heading3multiline">
    <w:name w:val="Heading 3 (multiline)"/>
    <w:basedOn w:val="Ttulo3"/>
    <w:next w:val="Normal"/>
    <w:rsid w:val="00F7177B"/>
    <w:pPr>
      <w:ind w:left="1418" w:hanging="425"/>
    </w:pPr>
  </w:style>
  <w:style w:type="paragraph" w:customStyle="1" w:styleId="Heading4indent">
    <w:name w:val="Heading 4 indent"/>
    <w:basedOn w:val="Ttulo4"/>
    <w:rsid w:val="00F7177B"/>
    <w:pPr>
      <w:ind w:left="720"/>
      <w:outlineLvl w:val="9"/>
    </w:pPr>
  </w:style>
  <w:style w:type="character" w:styleId="Nmerodepgina">
    <w:name w:val="page number"/>
    <w:rsid w:val="00F7177B"/>
    <w:rPr>
      <w:rFonts w:ascii="Times New Roman" w:hAnsi="Times New Roman"/>
      <w:sz w:val="22"/>
      <w:lang w:val="es-ES"/>
    </w:rPr>
  </w:style>
  <w:style w:type="paragraph" w:customStyle="1" w:styleId="Para20">
    <w:name w:val="Para2"/>
    <w:basedOn w:val="Para1"/>
    <w:rsid w:val="00F7177B"/>
    <w:pPr>
      <w:numPr>
        <w:numId w:val="0"/>
      </w:numPr>
      <w:autoSpaceDE w:val="0"/>
      <w:autoSpaceDN w:val="0"/>
    </w:pPr>
  </w:style>
  <w:style w:type="paragraph" w:customStyle="1" w:styleId="para4">
    <w:name w:val="para4"/>
    <w:basedOn w:val="Normal"/>
    <w:rsid w:val="00F7177B"/>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F7177B"/>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rPr>
  </w:style>
  <w:style w:type="paragraph" w:customStyle="1" w:styleId="Quotationtextindented">
    <w:name w:val="Quotation text (indented)"/>
    <w:basedOn w:val="Normal"/>
    <w:qFormat/>
    <w:rsid w:val="00F7177B"/>
    <w:pPr>
      <w:spacing w:before="120" w:after="120"/>
      <w:ind w:left="720" w:right="720"/>
    </w:pPr>
    <w:rPr>
      <w:bCs/>
    </w:rPr>
  </w:style>
  <w:style w:type="paragraph" w:customStyle="1" w:styleId="recommendationheader">
    <w:name w:val="recommendation header"/>
    <w:basedOn w:val="Ttulo2"/>
    <w:qFormat/>
    <w:rsid w:val="00F7177B"/>
  </w:style>
  <w:style w:type="paragraph" w:customStyle="1" w:styleId="recommendationheaderlong">
    <w:name w:val="recommendation header long"/>
    <w:basedOn w:val="Heading2longmultiline"/>
    <w:qFormat/>
    <w:rsid w:val="00F7177B"/>
  </w:style>
  <w:style w:type="character" w:customStyle="1" w:styleId="StyleFootnoteReferenceNounderline">
    <w:name w:val="Style Footnote Reference + No underline"/>
    <w:rsid w:val="00F7177B"/>
    <w:rPr>
      <w:sz w:val="18"/>
      <w:u w:val="none"/>
      <w:vertAlign w:val="baseline"/>
      <w:lang w:val="es-ES"/>
    </w:rPr>
  </w:style>
  <w:style w:type="paragraph" w:customStyle="1" w:styleId="tabletitle">
    <w:name w:val="table title"/>
    <w:basedOn w:val="Ttulo2"/>
    <w:qFormat/>
    <w:rsid w:val="00F7177B"/>
    <w:pPr>
      <w:outlineLvl w:val="9"/>
    </w:pPr>
    <w:rPr>
      <w:i/>
    </w:rPr>
  </w:style>
  <w:style w:type="paragraph" w:styleId="Encabezadodelista">
    <w:name w:val="toa heading"/>
    <w:basedOn w:val="Normal"/>
    <w:next w:val="Normal"/>
    <w:semiHidden/>
    <w:rsid w:val="00F7177B"/>
    <w:pPr>
      <w:spacing w:before="120"/>
    </w:pPr>
    <w:rPr>
      <w:rFonts w:cs="Arial"/>
      <w:b/>
      <w:bCs/>
    </w:rPr>
  </w:style>
  <w:style w:type="paragraph" w:styleId="TDC3">
    <w:name w:val="toc 3"/>
    <w:basedOn w:val="CBDNormal"/>
    <w:next w:val="Normal"/>
    <w:uiPriority w:val="39"/>
    <w:unhideWhenUsed/>
    <w:rsid w:val="008460CB"/>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8460CB"/>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6">
    <w:name w:val="toc 6"/>
    <w:basedOn w:val="Normal"/>
    <w:next w:val="Normal"/>
    <w:semiHidden/>
    <w:rsid w:val="008460C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8460C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8460C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8460C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customStyle="1" w:styleId="Para1Char">
    <w:name w:val="Para1 Char"/>
    <w:link w:val="Para1"/>
    <w:locked/>
    <w:rsid w:val="00F7177B"/>
    <w:rPr>
      <w:rFonts w:ascii="Times New Roman" w:eastAsia="SimSun" w:hAnsi="Times New Roman" w:cs="Times New Roman"/>
      <w:snapToGrid w:val="0"/>
      <w:kern w:val="0"/>
      <w:szCs w:val="18"/>
      <w:lang w:val="es-ES"/>
      <w14:ligatures w14:val="none"/>
    </w:rPr>
  </w:style>
  <w:style w:type="paragraph" w:customStyle="1" w:styleId="CBD-Doc-Type">
    <w:name w:val="CBD-Doc-Type"/>
    <w:basedOn w:val="Normal"/>
    <w:rsid w:val="00F7177B"/>
    <w:pPr>
      <w:keepLines/>
      <w:spacing w:before="240" w:after="120"/>
    </w:pPr>
    <w:rPr>
      <w:rFonts w:cs="Angsana New"/>
      <w:b/>
      <w:i/>
    </w:rPr>
  </w:style>
  <w:style w:type="paragraph" w:customStyle="1" w:styleId="CBD-Doc">
    <w:name w:val="CBD-Doc"/>
    <w:basedOn w:val="Normal"/>
    <w:rsid w:val="00F7177B"/>
    <w:pPr>
      <w:keepLines/>
      <w:numPr>
        <w:numId w:val="10"/>
      </w:numPr>
      <w:spacing w:after="120"/>
    </w:pPr>
    <w:rPr>
      <w:rFonts w:cs="Angsana New"/>
    </w:rPr>
  </w:style>
  <w:style w:type="paragraph" w:styleId="Descripcin">
    <w:name w:val="caption"/>
    <w:basedOn w:val="Normal"/>
    <w:next w:val="Normal"/>
    <w:uiPriority w:val="35"/>
    <w:unhideWhenUsed/>
    <w:qFormat/>
    <w:rsid w:val="00F7177B"/>
    <w:pPr>
      <w:keepNext/>
      <w:keepLines/>
      <w:spacing w:after="200"/>
    </w:pPr>
    <w:rPr>
      <w:b/>
      <w:iCs/>
      <w:szCs w:val="18"/>
    </w:rPr>
  </w:style>
  <w:style w:type="paragraph" w:customStyle="1" w:styleId="Style1">
    <w:name w:val="Style1"/>
    <w:basedOn w:val="Ttulo2"/>
    <w:qFormat/>
    <w:rsid w:val="00F7177B"/>
    <w:rPr>
      <w:i/>
    </w:rPr>
  </w:style>
  <w:style w:type="paragraph" w:customStyle="1" w:styleId="paragraph">
    <w:name w:val="paragraph"/>
    <w:basedOn w:val="Normal"/>
    <w:rsid w:val="00F7177B"/>
    <w:pPr>
      <w:spacing w:before="100" w:beforeAutospacing="1" w:after="100" w:afterAutospacing="1"/>
    </w:pPr>
  </w:style>
  <w:style w:type="character" w:customStyle="1" w:styleId="normaltextrun">
    <w:name w:val="normaltextrun"/>
    <w:basedOn w:val="Fuentedeprrafopredeter"/>
    <w:rsid w:val="00F7177B"/>
    <w:rPr>
      <w:lang w:val="es-ES"/>
    </w:rPr>
  </w:style>
  <w:style w:type="character" w:customStyle="1" w:styleId="eop">
    <w:name w:val="eop"/>
    <w:basedOn w:val="Fuentedeprrafopredeter"/>
    <w:rsid w:val="00F7177B"/>
    <w:rPr>
      <w:lang w:val="es-ES"/>
    </w:rPr>
  </w:style>
  <w:style w:type="paragraph" w:customStyle="1" w:styleId="Heading-plain">
    <w:name w:val="Heading - plain"/>
    <w:basedOn w:val="Ttulo2"/>
    <w:next w:val="Textoindependiente"/>
    <w:rsid w:val="00F7177B"/>
    <w:pPr>
      <w:numPr>
        <w:ilvl w:val="0"/>
        <w:numId w:val="11"/>
      </w:numPr>
    </w:pPr>
    <w:rPr>
      <w:b w:val="0"/>
      <w:bCs/>
      <w:i/>
      <w:iCs/>
    </w:rPr>
  </w:style>
  <w:style w:type="paragraph" w:customStyle="1" w:styleId="H23">
    <w:name w:val="_ H_2/3"/>
    <w:basedOn w:val="Normal"/>
    <w:next w:val="Normal"/>
    <w:rsid w:val="00F7177B"/>
    <w:pPr>
      <w:suppressAutoHyphens/>
      <w:spacing w:before="120" w:after="120" w:line="240" w:lineRule="exact"/>
      <w:outlineLvl w:val="1"/>
    </w:pPr>
    <w:rPr>
      <w:rFonts w:eastAsia="Calibri"/>
      <w:b/>
      <w:spacing w:val="4"/>
      <w:w w:val="103"/>
      <w:kern w:val="14"/>
      <w:sz w:val="20"/>
      <w:szCs w:val="20"/>
    </w:rPr>
  </w:style>
  <w:style w:type="paragraph" w:customStyle="1" w:styleId="SingleTxt">
    <w:name w:val="__Single Txt"/>
    <w:basedOn w:val="Normal"/>
    <w:rsid w:val="00F7177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pPr>
    <w:rPr>
      <w:rFonts w:eastAsia="Calibri"/>
      <w:spacing w:val="4"/>
      <w:w w:val="103"/>
      <w:kern w:val="14"/>
      <w:sz w:val="20"/>
      <w:szCs w:val="20"/>
    </w:rPr>
  </w:style>
  <w:style w:type="paragraph" w:customStyle="1" w:styleId="H56">
    <w:name w:val="_ H_5/6"/>
    <w:basedOn w:val="Normal"/>
    <w:next w:val="Normal"/>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rPr>
  </w:style>
  <w:style w:type="table" w:styleId="Tablanormal4">
    <w:name w:val="Plain Table 4"/>
    <w:basedOn w:val="Tablanormal"/>
    <w:uiPriority w:val="44"/>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Ch">
    <w:name w:val="_ H _Ch"/>
    <w:basedOn w:val="Normal"/>
    <w:next w:val="SingleTxt"/>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300" w:lineRule="exact"/>
      <w:outlineLvl w:val="0"/>
    </w:pPr>
    <w:rPr>
      <w:rFonts w:eastAsia="Calibri"/>
      <w:b/>
      <w:spacing w:val="-2"/>
      <w:w w:val="103"/>
      <w:kern w:val="14"/>
      <w:sz w:val="28"/>
      <w:szCs w:val="20"/>
    </w:rPr>
  </w:style>
  <w:style w:type="paragraph" w:customStyle="1" w:styleId="H4">
    <w:name w:val="_ H_4"/>
    <w:basedOn w:val="Normal"/>
    <w:next w:val="Normal"/>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rPr>
  </w:style>
  <w:style w:type="paragraph" w:customStyle="1" w:styleId="H1">
    <w:name w:val="_ H_1"/>
    <w:basedOn w:val="Normal"/>
    <w:next w:val="SingleTxt"/>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rPr>
  </w:style>
  <w:style w:type="paragraph" w:customStyle="1" w:styleId="Default">
    <w:name w:val="Default"/>
    <w:rsid w:val="00F7177B"/>
    <w:pPr>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paragraph" w:customStyle="1" w:styleId="p1">
    <w:name w:val="p1"/>
    <w:basedOn w:val="Normal"/>
    <w:rsid w:val="00F7177B"/>
    <w:pPr>
      <w:spacing w:before="100" w:beforeAutospacing="1" w:after="100" w:afterAutospacing="1"/>
    </w:pPr>
    <w:rPr>
      <w:rFonts w:ascii="Calibri" w:eastAsiaTheme="minorEastAsia" w:hAnsi="Calibri" w:cs="Calibri"/>
      <w:lang w:eastAsia="zh-CN"/>
    </w:rPr>
  </w:style>
  <w:style w:type="character" w:customStyle="1" w:styleId="s1">
    <w:name w:val="s1"/>
    <w:basedOn w:val="Fuentedeprrafopredeter"/>
    <w:rsid w:val="00F7177B"/>
    <w:rPr>
      <w:lang w:val="es-ES"/>
    </w:rPr>
  </w:style>
  <w:style w:type="paragraph" w:styleId="Sinespaciado">
    <w:name w:val="No Spacing"/>
    <w:uiPriority w:val="1"/>
    <w:qFormat/>
    <w:rsid w:val="00F7177B"/>
    <w:pPr>
      <w:spacing w:after="0" w:line="240" w:lineRule="auto"/>
      <w:jc w:val="both"/>
    </w:pPr>
    <w:rPr>
      <w:rFonts w:ascii="Times New Roman" w:eastAsia="Times New Roman" w:hAnsi="Times New Roman" w:cs="Times New Roman"/>
      <w:kern w:val="0"/>
      <w:szCs w:val="24"/>
      <w14:ligatures w14:val="none"/>
    </w:rPr>
  </w:style>
  <w:style w:type="character" w:styleId="Textoennegrita">
    <w:name w:val="Strong"/>
    <w:basedOn w:val="Fuentedeprrafopredeter"/>
    <w:uiPriority w:val="22"/>
    <w:qFormat/>
    <w:rsid w:val="00F7177B"/>
    <w:rPr>
      <w:b/>
      <w:bCs/>
      <w:lang w:val="es-ES"/>
    </w:rPr>
  </w:style>
  <w:style w:type="character" w:customStyle="1" w:styleId="Mention1">
    <w:name w:val="Mention1"/>
    <w:basedOn w:val="Fuentedeprrafopredeter"/>
    <w:uiPriority w:val="99"/>
    <w:unhideWhenUsed/>
    <w:rsid w:val="00F7177B"/>
    <w:rPr>
      <w:color w:val="2B579A"/>
      <w:shd w:val="clear" w:color="auto" w:fill="E6E6E6"/>
      <w:lang w:val="es-ES"/>
    </w:rPr>
  </w:style>
  <w:style w:type="character" w:customStyle="1" w:styleId="scxw241879823">
    <w:name w:val="scxw241879823"/>
    <w:basedOn w:val="Fuentedeprrafopredeter"/>
    <w:rsid w:val="00F7177B"/>
    <w:rPr>
      <w:lang w:val="es-ES"/>
    </w:rPr>
  </w:style>
  <w:style w:type="numbering" w:customStyle="1" w:styleId="NoList1">
    <w:name w:val="No List1"/>
    <w:next w:val="Sinlista"/>
    <w:uiPriority w:val="99"/>
    <w:semiHidden/>
    <w:unhideWhenUsed/>
    <w:rsid w:val="00F7177B"/>
  </w:style>
  <w:style w:type="paragraph" w:customStyle="1" w:styleId="msonormal0">
    <w:name w:val="msonormal"/>
    <w:basedOn w:val="Normal"/>
    <w:rsid w:val="00F7177B"/>
    <w:pPr>
      <w:spacing w:before="100" w:beforeAutospacing="1" w:after="100" w:afterAutospacing="1"/>
    </w:pPr>
    <w:rPr>
      <w:lang w:eastAsia="zh-CN"/>
    </w:rPr>
  </w:style>
  <w:style w:type="paragraph" w:customStyle="1" w:styleId="xl33">
    <w:name w:val="xl33"/>
    <w:basedOn w:val="Normal"/>
    <w:rsid w:val="00F7177B"/>
    <w:pPr>
      <w:spacing w:before="100" w:beforeAutospacing="1" w:after="100" w:afterAutospacing="1"/>
      <w:textAlignment w:val="center"/>
    </w:pPr>
    <w:rPr>
      <w:sz w:val="18"/>
      <w:szCs w:val="18"/>
      <w:lang w:eastAsia="zh-CN"/>
    </w:rPr>
  </w:style>
  <w:style w:type="paragraph" w:customStyle="1" w:styleId="xl36">
    <w:name w:val="xl36"/>
    <w:basedOn w:val="Normal"/>
    <w:rsid w:val="00F7177B"/>
    <w:pPr>
      <w:spacing w:before="100" w:beforeAutospacing="1" w:after="100" w:afterAutospacing="1"/>
      <w:jc w:val="center"/>
      <w:textAlignment w:val="center"/>
    </w:pPr>
    <w:rPr>
      <w:sz w:val="18"/>
      <w:szCs w:val="18"/>
      <w:lang w:eastAsia="zh-CN"/>
    </w:rPr>
  </w:style>
  <w:style w:type="paragraph" w:customStyle="1" w:styleId="xl51">
    <w:name w:val="xl5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53">
    <w:name w:val="xl5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zh-CN"/>
    </w:rPr>
  </w:style>
  <w:style w:type="paragraph" w:customStyle="1" w:styleId="xl54">
    <w:name w:val="xl5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55">
    <w:name w:val="xl55"/>
    <w:basedOn w:val="Normal"/>
    <w:rsid w:val="00F7177B"/>
    <w:pPr>
      <w:spacing w:before="100" w:beforeAutospacing="1" w:after="100" w:afterAutospacing="1"/>
      <w:jc w:val="center"/>
      <w:textAlignment w:val="center"/>
    </w:pPr>
    <w:rPr>
      <w:sz w:val="18"/>
      <w:szCs w:val="18"/>
      <w:lang w:eastAsia="zh-CN"/>
    </w:rPr>
  </w:style>
  <w:style w:type="paragraph" w:customStyle="1" w:styleId="xl57">
    <w:name w:val="xl57"/>
    <w:basedOn w:val="Normal"/>
    <w:rsid w:val="00F7177B"/>
    <w:pPr>
      <w:spacing w:before="100" w:beforeAutospacing="1" w:after="100" w:afterAutospacing="1"/>
      <w:textAlignment w:val="center"/>
    </w:pPr>
    <w:rPr>
      <w:sz w:val="18"/>
      <w:szCs w:val="18"/>
      <w:lang w:eastAsia="zh-CN"/>
    </w:rPr>
  </w:style>
  <w:style w:type="paragraph" w:customStyle="1" w:styleId="xl58">
    <w:name w:val="xl58"/>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60">
    <w:name w:val="xl60"/>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zh-CN"/>
    </w:rPr>
  </w:style>
  <w:style w:type="paragraph" w:customStyle="1" w:styleId="xl63">
    <w:name w:val="xl6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64">
    <w:name w:val="xl6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zh-CN"/>
    </w:rPr>
  </w:style>
  <w:style w:type="paragraph" w:customStyle="1" w:styleId="xl65">
    <w:name w:val="xl6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66">
    <w:name w:val="xl66"/>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69">
    <w:name w:val="xl69"/>
    <w:basedOn w:val="Normal"/>
    <w:rsid w:val="00F7177B"/>
    <w:pPr>
      <w:spacing w:before="100" w:beforeAutospacing="1" w:after="100" w:afterAutospacing="1"/>
      <w:jc w:val="right"/>
      <w:textAlignment w:val="center"/>
    </w:pPr>
    <w:rPr>
      <w:sz w:val="18"/>
      <w:szCs w:val="18"/>
      <w:lang w:eastAsia="zh-CN"/>
    </w:rPr>
  </w:style>
  <w:style w:type="paragraph" w:customStyle="1" w:styleId="xl70">
    <w:name w:val="xl70"/>
    <w:basedOn w:val="Normal"/>
    <w:rsid w:val="00F7177B"/>
    <w:pPr>
      <w:spacing w:before="100" w:beforeAutospacing="1" w:after="100" w:afterAutospacing="1"/>
      <w:jc w:val="right"/>
      <w:textAlignment w:val="center"/>
    </w:pPr>
    <w:rPr>
      <w:sz w:val="18"/>
      <w:szCs w:val="18"/>
      <w:lang w:eastAsia="zh-CN"/>
    </w:rPr>
  </w:style>
  <w:style w:type="paragraph" w:customStyle="1" w:styleId="xl73">
    <w:name w:val="xl7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zh-CN"/>
    </w:rPr>
  </w:style>
  <w:style w:type="paragraph" w:customStyle="1" w:styleId="xl74">
    <w:name w:val="xl7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eastAsia="zh-CN"/>
    </w:rPr>
  </w:style>
  <w:style w:type="paragraph" w:customStyle="1" w:styleId="xl82">
    <w:name w:val="xl82"/>
    <w:basedOn w:val="Normal"/>
    <w:rsid w:val="00F7177B"/>
    <w:pPr>
      <w:spacing w:before="100" w:beforeAutospacing="1" w:after="100" w:afterAutospacing="1"/>
      <w:jc w:val="center"/>
      <w:textAlignment w:val="center"/>
    </w:pPr>
    <w:rPr>
      <w:sz w:val="16"/>
      <w:szCs w:val="16"/>
      <w:lang w:eastAsia="zh-CN"/>
    </w:rPr>
  </w:style>
  <w:style w:type="paragraph" w:customStyle="1" w:styleId="xl83">
    <w:name w:val="xl8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lang w:eastAsia="zh-CN"/>
    </w:rPr>
  </w:style>
  <w:style w:type="paragraph" w:customStyle="1" w:styleId="xl99">
    <w:name w:val="xl99"/>
    <w:basedOn w:val="Normal"/>
    <w:rsid w:val="00F7177B"/>
    <w:pPr>
      <w:pBdr>
        <w:top w:val="single" w:sz="4" w:space="0" w:color="auto"/>
        <w:left w:val="single" w:sz="4" w:space="0" w:color="auto"/>
        <w:bottom w:val="single" w:sz="4" w:space="0" w:color="auto"/>
      </w:pBdr>
      <w:shd w:val="clear" w:color="000000" w:fill="595959"/>
      <w:spacing w:before="100" w:beforeAutospacing="1" w:after="100" w:afterAutospacing="1"/>
      <w:jc w:val="center"/>
      <w:textAlignment w:val="center"/>
    </w:pPr>
    <w:rPr>
      <w:b/>
      <w:bCs/>
      <w:color w:val="FFFFFF"/>
      <w:sz w:val="18"/>
      <w:szCs w:val="18"/>
      <w:lang w:eastAsia="zh-CN"/>
    </w:rPr>
  </w:style>
  <w:style w:type="paragraph" w:customStyle="1" w:styleId="xl100">
    <w:name w:val="xl100"/>
    <w:basedOn w:val="Normal"/>
    <w:rsid w:val="00F7177B"/>
    <w:pPr>
      <w:pBdr>
        <w:top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b/>
      <w:bCs/>
      <w:color w:val="FFFFFF"/>
      <w:sz w:val="18"/>
      <w:szCs w:val="18"/>
      <w:lang w:eastAsia="zh-CN"/>
    </w:rPr>
  </w:style>
  <w:style w:type="paragraph" w:customStyle="1" w:styleId="xl101">
    <w:name w:val="xl101"/>
    <w:basedOn w:val="Normal"/>
    <w:rsid w:val="00F7177B"/>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102">
    <w:name w:val="xl102"/>
    <w:basedOn w:val="Normal"/>
    <w:rsid w:val="00F7177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106">
    <w:name w:val="xl106"/>
    <w:basedOn w:val="Normal"/>
    <w:rsid w:val="00F7177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18"/>
      <w:szCs w:val="18"/>
      <w:lang w:eastAsia="zh-CN"/>
    </w:rPr>
  </w:style>
  <w:style w:type="paragraph" w:customStyle="1" w:styleId="xl107">
    <w:name w:val="xl107"/>
    <w:basedOn w:val="Normal"/>
    <w:rsid w:val="00F717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8"/>
      <w:szCs w:val="18"/>
      <w:lang w:eastAsia="zh-CN"/>
    </w:rPr>
  </w:style>
  <w:style w:type="paragraph" w:customStyle="1" w:styleId="xl108">
    <w:name w:val="xl108"/>
    <w:basedOn w:val="Normal"/>
    <w:rsid w:val="00F7177B"/>
    <w:pPr>
      <w:pBdr>
        <w:top w:val="single" w:sz="4" w:space="0" w:color="auto"/>
        <w:left w:val="single" w:sz="4" w:space="0" w:color="auto"/>
      </w:pBdr>
      <w:spacing w:before="100" w:beforeAutospacing="1" w:after="100" w:afterAutospacing="1"/>
      <w:jc w:val="center"/>
      <w:textAlignment w:val="center"/>
    </w:pPr>
    <w:rPr>
      <w:b/>
      <w:bCs/>
      <w:color w:val="000000"/>
      <w:sz w:val="16"/>
      <w:szCs w:val="16"/>
      <w:lang w:eastAsia="zh-CN"/>
    </w:rPr>
  </w:style>
  <w:style w:type="paragraph" w:customStyle="1" w:styleId="xl109">
    <w:name w:val="xl109"/>
    <w:basedOn w:val="Normal"/>
    <w:rsid w:val="00F7177B"/>
    <w:pPr>
      <w:pBdr>
        <w:left w:val="single" w:sz="4" w:space="0" w:color="auto"/>
        <w:bottom w:val="single" w:sz="4" w:space="0" w:color="auto"/>
      </w:pBdr>
      <w:spacing w:before="100" w:beforeAutospacing="1" w:after="100" w:afterAutospacing="1"/>
      <w:jc w:val="center"/>
      <w:textAlignment w:val="center"/>
    </w:pPr>
    <w:rPr>
      <w:b/>
      <w:bCs/>
      <w:color w:val="000000"/>
      <w:sz w:val="16"/>
      <w:szCs w:val="16"/>
      <w:lang w:eastAsia="zh-CN"/>
    </w:rPr>
  </w:style>
  <w:style w:type="numbering" w:customStyle="1" w:styleId="NoList2">
    <w:name w:val="No List2"/>
    <w:next w:val="Sinlista"/>
    <w:uiPriority w:val="99"/>
    <w:semiHidden/>
    <w:unhideWhenUsed/>
    <w:rsid w:val="00F7177B"/>
  </w:style>
  <w:style w:type="paragraph" w:customStyle="1" w:styleId="xl17">
    <w:name w:val="xl1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18">
    <w:name w:val="xl18"/>
    <w:basedOn w:val="Normal"/>
    <w:rsid w:val="00F7177B"/>
    <w:pPr>
      <w:spacing w:before="100" w:beforeAutospacing="1" w:after="100" w:afterAutospacing="1"/>
      <w:jc w:val="center"/>
      <w:textAlignment w:val="center"/>
    </w:pPr>
    <w:rPr>
      <w:sz w:val="18"/>
      <w:szCs w:val="18"/>
      <w:lang w:eastAsia="zh-CN"/>
    </w:rPr>
  </w:style>
  <w:style w:type="paragraph" w:customStyle="1" w:styleId="xl34">
    <w:name w:val="xl34"/>
    <w:basedOn w:val="Normal"/>
    <w:rsid w:val="00F7177B"/>
    <w:pPr>
      <w:spacing w:before="100" w:beforeAutospacing="1" w:after="100" w:afterAutospacing="1"/>
      <w:textAlignment w:val="center"/>
    </w:pPr>
    <w:rPr>
      <w:b/>
      <w:bCs/>
      <w:sz w:val="18"/>
      <w:szCs w:val="18"/>
      <w:lang w:eastAsia="zh-CN"/>
    </w:rPr>
  </w:style>
  <w:style w:type="paragraph" w:customStyle="1" w:styleId="xl46">
    <w:name w:val="xl46"/>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62">
    <w:name w:val="xl62"/>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92">
    <w:name w:val="xl92"/>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zh-CN"/>
    </w:rPr>
  </w:style>
  <w:style w:type="paragraph" w:customStyle="1" w:styleId="xl95">
    <w:name w:val="xl9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97">
    <w:name w:val="xl9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eastAsia="zh-CN"/>
    </w:rPr>
  </w:style>
  <w:style w:type="paragraph" w:customStyle="1" w:styleId="xl98">
    <w:name w:val="xl98"/>
    <w:basedOn w:val="Normal"/>
    <w:rsid w:val="00F7177B"/>
    <w:pPr>
      <w:spacing w:before="100" w:beforeAutospacing="1" w:after="100" w:afterAutospacing="1"/>
      <w:jc w:val="center"/>
      <w:textAlignment w:val="center"/>
    </w:pPr>
    <w:rPr>
      <w:b/>
      <w:bCs/>
      <w:sz w:val="18"/>
      <w:szCs w:val="18"/>
      <w:lang w:eastAsia="zh-CN"/>
    </w:rPr>
  </w:style>
  <w:style w:type="paragraph" w:customStyle="1" w:styleId="xl103">
    <w:name w:val="xl103"/>
    <w:basedOn w:val="Normal"/>
    <w:rsid w:val="00F7177B"/>
    <w:pPr>
      <w:pBdr>
        <w:top w:val="single" w:sz="4" w:space="0" w:color="auto"/>
        <w:left w:val="single" w:sz="4" w:space="0" w:color="auto"/>
      </w:pBdr>
      <w:spacing w:before="100" w:beforeAutospacing="1" w:after="100" w:afterAutospacing="1"/>
      <w:jc w:val="center"/>
      <w:textAlignment w:val="center"/>
    </w:pPr>
    <w:rPr>
      <w:b/>
      <w:bCs/>
      <w:sz w:val="16"/>
      <w:szCs w:val="16"/>
      <w:lang w:eastAsia="zh-CN"/>
    </w:rPr>
  </w:style>
  <w:style w:type="paragraph" w:customStyle="1" w:styleId="xl104">
    <w:name w:val="xl104"/>
    <w:basedOn w:val="Normal"/>
    <w:rsid w:val="00F7177B"/>
    <w:pPr>
      <w:pBdr>
        <w:left w:val="single" w:sz="4" w:space="0" w:color="auto"/>
        <w:bottom w:val="single" w:sz="4" w:space="0" w:color="auto"/>
      </w:pBdr>
      <w:spacing w:before="100" w:beforeAutospacing="1" w:after="100" w:afterAutospacing="1"/>
      <w:jc w:val="center"/>
      <w:textAlignment w:val="center"/>
    </w:pPr>
    <w:rPr>
      <w:b/>
      <w:bCs/>
      <w:sz w:val="16"/>
      <w:szCs w:val="16"/>
      <w:lang w:eastAsia="zh-CN"/>
    </w:rPr>
  </w:style>
  <w:style w:type="paragraph" w:customStyle="1" w:styleId="xl105">
    <w:name w:val="xl10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zh-CN"/>
    </w:rPr>
  </w:style>
  <w:style w:type="numbering" w:customStyle="1" w:styleId="NoList3">
    <w:name w:val="No List3"/>
    <w:next w:val="Sinlista"/>
    <w:uiPriority w:val="99"/>
    <w:semiHidden/>
    <w:unhideWhenUsed/>
    <w:rsid w:val="00F7177B"/>
  </w:style>
  <w:style w:type="paragraph" w:customStyle="1" w:styleId="xl19">
    <w:name w:val="xl19"/>
    <w:basedOn w:val="Normal"/>
    <w:rsid w:val="00F7177B"/>
    <w:pPr>
      <w:spacing w:before="100" w:beforeAutospacing="1" w:after="100" w:afterAutospacing="1"/>
      <w:textAlignment w:val="center"/>
    </w:pPr>
    <w:rPr>
      <w:sz w:val="18"/>
      <w:szCs w:val="18"/>
      <w:lang w:eastAsia="zh-CN"/>
    </w:rPr>
  </w:style>
  <w:style w:type="paragraph" w:customStyle="1" w:styleId="xl21">
    <w:name w:val="xl2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22">
    <w:name w:val="xl22"/>
    <w:basedOn w:val="Normal"/>
    <w:rsid w:val="00F7177B"/>
    <w:pPr>
      <w:pBdr>
        <w:top w:val="single" w:sz="4" w:space="0" w:color="auto"/>
        <w:left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23">
    <w:name w:val="xl23"/>
    <w:basedOn w:val="Normal"/>
    <w:rsid w:val="00F7177B"/>
    <w:pPr>
      <w:spacing w:before="100" w:beforeAutospacing="1" w:after="100" w:afterAutospacing="1"/>
      <w:textAlignment w:val="center"/>
    </w:pPr>
    <w:rPr>
      <w:b/>
      <w:bCs/>
      <w:sz w:val="18"/>
      <w:szCs w:val="18"/>
      <w:lang w:eastAsia="zh-CN"/>
    </w:rPr>
  </w:style>
  <w:style w:type="paragraph" w:customStyle="1" w:styleId="xl31">
    <w:name w:val="xl3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47">
    <w:name w:val="xl4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88">
    <w:name w:val="xl88"/>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zh-CN"/>
    </w:rPr>
  </w:style>
  <w:style w:type="paragraph" w:customStyle="1" w:styleId="xl90">
    <w:name w:val="xl90"/>
    <w:basedOn w:val="Normal"/>
    <w:rsid w:val="00F7177B"/>
    <w:pPr>
      <w:spacing w:before="100" w:beforeAutospacing="1" w:after="100" w:afterAutospacing="1"/>
      <w:jc w:val="center"/>
      <w:textAlignment w:val="center"/>
    </w:pPr>
    <w:rPr>
      <w:sz w:val="16"/>
      <w:szCs w:val="16"/>
      <w:lang w:eastAsia="zh-CN"/>
    </w:rPr>
  </w:style>
  <w:style w:type="numbering" w:customStyle="1" w:styleId="NoList4">
    <w:name w:val="No List4"/>
    <w:next w:val="Sinlista"/>
    <w:uiPriority w:val="99"/>
    <w:semiHidden/>
    <w:unhideWhenUsed/>
    <w:rsid w:val="00F7177B"/>
  </w:style>
  <w:style w:type="character" w:customStyle="1" w:styleId="PrrafodelistaCar">
    <w:name w:val="Párrafo de lista Car"/>
    <w:basedOn w:val="Fuentedeprrafopredeter"/>
    <w:link w:val="Prrafodelista"/>
    <w:uiPriority w:val="34"/>
    <w:qFormat/>
    <w:rsid w:val="00F7177B"/>
    <w:rPr>
      <w:rFonts w:ascii="Times New Roman" w:eastAsia="SimSun" w:hAnsi="Times New Roman" w:cs="Times New Roman"/>
      <w:kern w:val="0"/>
      <w:lang w:val="es-ES"/>
      <w14:ligatures w14:val="none"/>
    </w:rPr>
  </w:style>
  <w:style w:type="paragraph" w:customStyle="1" w:styleId="TableParagraph">
    <w:name w:val="Table Paragraph"/>
    <w:basedOn w:val="Normal"/>
    <w:uiPriority w:val="1"/>
    <w:qFormat/>
    <w:rsid w:val="00F7177B"/>
    <w:pPr>
      <w:widowControl w:val="0"/>
      <w:autoSpaceDE w:val="0"/>
      <w:autoSpaceDN w:val="0"/>
      <w:spacing w:before="16"/>
      <w:jc w:val="right"/>
    </w:pPr>
    <w:rPr>
      <w:rFonts w:ascii="Calibri" w:eastAsia="Calibri" w:hAnsi="Calibri" w:cs="Calibri"/>
    </w:rPr>
  </w:style>
  <w:style w:type="paragraph" w:customStyle="1" w:styleId="DarkList-Accent31">
    <w:name w:val="Dark List - Accent 31"/>
    <w:hidden/>
    <w:uiPriority w:val="99"/>
    <w:semiHidden/>
    <w:rsid w:val="008460CB"/>
    <w:pPr>
      <w:spacing w:after="0" w:line="240" w:lineRule="auto"/>
    </w:pPr>
    <w:rPr>
      <w:rFonts w:ascii="Times New Roman" w:eastAsia="SimSun" w:hAnsi="Times New Roman" w:cs="Times New Roman"/>
      <w:kern w:val="0"/>
      <w:lang w:eastAsia="en-GB"/>
      <w14:ligatures w14:val="none"/>
    </w:rPr>
  </w:style>
  <w:style w:type="paragraph" w:styleId="Bibliografa">
    <w:name w:val="Bibliography"/>
    <w:basedOn w:val="Normal"/>
    <w:next w:val="Normal"/>
    <w:uiPriority w:val="37"/>
    <w:semiHidden/>
    <w:unhideWhenUsed/>
    <w:rsid w:val="00F7177B"/>
  </w:style>
  <w:style w:type="paragraph" w:styleId="Textodebloque">
    <w:name w:val="Block Text"/>
    <w:basedOn w:val="Normal"/>
    <w:uiPriority w:val="99"/>
    <w:semiHidden/>
    <w:unhideWhenUsed/>
    <w:rsid w:val="00F717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2">
    <w:name w:val="Body Text 2"/>
    <w:basedOn w:val="Normal"/>
    <w:link w:val="Textoindependiente2Car"/>
    <w:uiPriority w:val="99"/>
    <w:semiHidden/>
    <w:unhideWhenUsed/>
    <w:rsid w:val="00F7177B"/>
    <w:pPr>
      <w:spacing w:after="120" w:line="480" w:lineRule="auto"/>
    </w:pPr>
  </w:style>
  <w:style w:type="character" w:customStyle="1" w:styleId="Textoindependiente2Car">
    <w:name w:val="Texto independiente 2 Car"/>
    <w:basedOn w:val="Fuentedeprrafopredeter"/>
    <w:link w:val="Textoindependiente2"/>
    <w:uiPriority w:val="99"/>
    <w:semiHidden/>
    <w:rsid w:val="00F7177B"/>
    <w:rPr>
      <w:rFonts w:ascii="Times New Roman" w:eastAsia="SimSun" w:hAnsi="Times New Roman" w:cs="Times New Roman"/>
      <w:kern w:val="0"/>
      <w:lang w:val="es-ES"/>
      <w14:ligatures w14:val="none"/>
    </w:rPr>
  </w:style>
  <w:style w:type="paragraph" w:styleId="Textoindependiente3">
    <w:name w:val="Body Text 3"/>
    <w:basedOn w:val="Normal"/>
    <w:link w:val="Textoindependiente3Car"/>
    <w:uiPriority w:val="99"/>
    <w:semiHidden/>
    <w:unhideWhenUsed/>
    <w:rsid w:val="00F7177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7177B"/>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F7177B"/>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F7177B"/>
    <w:rPr>
      <w:rFonts w:ascii="Times New Roman" w:eastAsia="SimSun" w:hAnsi="Times New Roman" w:cs="Times New Roman"/>
      <w:kern w:val="0"/>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F7177B"/>
    <w:pPr>
      <w:spacing w:before="0"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F7177B"/>
    <w:rPr>
      <w:rFonts w:ascii="Times New Roman" w:eastAsia="SimSun" w:hAnsi="Times New Roman" w:cs="Times New Roman"/>
      <w:kern w:val="0"/>
      <w:lang w:val="es-ES"/>
      <w14:ligatures w14:val="none"/>
    </w:rPr>
  </w:style>
  <w:style w:type="paragraph" w:styleId="Sangra2detindependiente">
    <w:name w:val="Body Text Indent 2"/>
    <w:basedOn w:val="Normal"/>
    <w:link w:val="Sangra2detindependienteCar"/>
    <w:uiPriority w:val="99"/>
    <w:semiHidden/>
    <w:unhideWhenUsed/>
    <w:rsid w:val="00F7177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7177B"/>
    <w:rPr>
      <w:rFonts w:ascii="Times New Roman" w:eastAsia="SimSun" w:hAnsi="Times New Roman" w:cs="Times New Roman"/>
      <w:kern w:val="0"/>
      <w:lang w:val="es-ES"/>
      <w14:ligatures w14:val="none"/>
    </w:rPr>
  </w:style>
  <w:style w:type="paragraph" w:styleId="Sangra3detindependiente">
    <w:name w:val="Body Text Indent 3"/>
    <w:basedOn w:val="Normal"/>
    <w:link w:val="Sangra3detindependienteCar"/>
    <w:uiPriority w:val="99"/>
    <w:semiHidden/>
    <w:unhideWhenUsed/>
    <w:rsid w:val="00F7177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7177B"/>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F7177B"/>
    <w:rPr>
      <w:b/>
      <w:bCs/>
      <w:i/>
      <w:iCs/>
      <w:spacing w:val="5"/>
      <w:lang w:val="es-ES"/>
    </w:rPr>
  </w:style>
  <w:style w:type="paragraph" w:styleId="Cierre">
    <w:name w:val="Closing"/>
    <w:basedOn w:val="Normal"/>
    <w:link w:val="CierreCar"/>
    <w:uiPriority w:val="99"/>
    <w:semiHidden/>
    <w:unhideWhenUsed/>
    <w:rsid w:val="00F7177B"/>
    <w:pPr>
      <w:ind w:left="4252"/>
    </w:pPr>
  </w:style>
  <w:style w:type="character" w:customStyle="1" w:styleId="CierreCar">
    <w:name w:val="Cierre Car"/>
    <w:basedOn w:val="Fuentedeprrafopredeter"/>
    <w:link w:val="Cierre"/>
    <w:uiPriority w:val="99"/>
    <w:semiHidden/>
    <w:rsid w:val="00F7177B"/>
    <w:rPr>
      <w:rFonts w:ascii="Times New Roman" w:eastAsia="SimSun" w:hAnsi="Times New Roman" w:cs="Times New Roman"/>
      <w:kern w:val="0"/>
      <w:lang w:val="es-ES"/>
      <w14:ligatures w14:val="none"/>
    </w:rPr>
  </w:style>
  <w:style w:type="table" w:styleId="Cuadrculavistosa">
    <w:name w:val="Colorful Grid"/>
    <w:basedOn w:val="Tabla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99"/>
    <w:semiHidden/>
    <w:unhideWhenUsed/>
    <w:rsid w:val="00F7177B"/>
  </w:style>
  <w:style w:type="character" w:customStyle="1" w:styleId="FechaCar">
    <w:name w:val="Fecha Car"/>
    <w:basedOn w:val="Fuentedeprrafopredeter"/>
    <w:link w:val="Fecha"/>
    <w:uiPriority w:val="99"/>
    <w:semiHidden/>
    <w:rsid w:val="00F7177B"/>
    <w:rPr>
      <w:rFonts w:ascii="Times New Roman" w:eastAsia="SimSun" w:hAnsi="Times New Roman" w:cs="Times New Roman"/>
      <w:kern w:val="0"/>
      <w:lang w:val="es-ES"/>
      <w14:ligatures w14:val="none"/>
    </w:rPr>
  </w:style>
  <w:style w:type="paragraph" w:styleId="Mapadeldocumento">
    <w:name w:val="Document Map"/>
    <w:basedOn w:val="Normal"/>
    <w:link w:val="MapadeldocumentoCar"/>
    <w:uiPriority w:val="99"/>
    <w:semiHidden/>
    <w:unhideWhenUsed/>
    <w:rsid w:val="00F7177B"/>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F7177B"/>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F7177B"/>
  </w:style>
  <w:style w:type="character" w:customStyle="1" w:styleId="FirmadecorreoelectrnicoCar">
    <w:name w:val="Firma de correo electrónico Car"/>
    <w:basedOn w:val="Fuentedeprrafopredeter"/>
    <w:link w:val="Firmadecorreoelectrnico"/>
    <w:uiPriority w:val="99"/>
    <w:semiHidden/>
    <w:rsid w:val="00F7177B"/>
    <w:rPr>
      <w:rFonts w:ascii="Times New Roman" w:eastAsia="SimSun" w:hAnsi="Times New Roman" w:cs="Times New Roman"/>
      <w:kern w:val="0"/>
      <w:lang w:val="es-ES"/>
      <w14:ligatures w14:val="none"/>
    </w:rPr>
  </w:style>
  <w:style w:type="character" w:styleId="nfasis">
    <w:name w:val="Emphasis"/>
    <w:basedOn w:val="Fuentedeprrafopredeter"/>
    <w:uiPriority w:val="20"/>
    <w:qFormat/>
    <w:rsid w:val="00F7177B"/>
    <w:rPr>
      <w:i/>
      <w:iCs/>
      <w:lang w:val="es-ES"/>
    </w:rPr>
  </w:style>
  <w:style w:type="paragraph" w:styleId="Direccinsobre">
    <w:name w:val="envelope address"/>
    <w:basedOn w:val="Normal"/>
    <w:uiPriority w:val="99"/>
    <w:semiHidden/>
    <w:unhideWhenUsed/>
    <w:rsid w:val="00F7177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F7177B"/>
    <w:rPr>
      <w:rFonts w:asciiTheme="majorHAnsi" w:eastAsiaTheme="majorEastAsia" w:hAnsiTheme="majorHAnsi" w:cstheme="majorBidi"/>
      <w:sz w:val="20"/>
      <w:szCs w:val="20"/>
    </w:rPr>
  </w:style>
  <w:style w:type="table" w:styleId="Tablaconcuadrcula1clara">
    <w:name w:val="Grid Table 1 Light"/>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2">
    <w:name w:val="Grid Table 2 Accent 2"/>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2-nfasis6">
    <w:name w:val="Grid Table 2 Accent 6"/>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3-nfasis2">
    <w:name w:val="Grid Table 3 Accent 2"/>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3-nfasis6">
    <w:name w:val="Grid Table 3 Accent 6"/>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6">
    <w:name w:val="Grid Table 4 Accent 6"/>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5oscura-nfasis2">
    <w:name w:val="Grid Table 5 Dark Accent 2"/>
    <w:basedOn w:val="Tabla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6">
    <w:name w:val="Grid Table 5 Dark Accent 6"/>
    <w:basedOn w:val="Tabla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2">
    <w:name w:val="Grid Table 6 Colorful Accent 2"/>
    <w:basedOn w:val="Tablanormal"/>
    <w:uiPriority w:val="51"/>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7concolores-nfasis2">
    <w:name w:val="Grid Table 7 Colorful Accent 2"/>
    <w:basedOn w:val="Tablanormal"/>
    <w:uiPriority w:val="52"/>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7concolores-nfasis6">
    <w:name w:val="Grid Table 7 Colorful Accent 6"/>
    <w:basedOn w:val="Tablanormal"/>
    <w:uiPriority w:val="52"/>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Fuentedeprrafopredeter"/>
    <w:uiPriority w:val="99"/>
    <w:semiHidden/>
    <w:unhideWhenUsed/>
    <w:rsid w:val="00F7177B"/>
    <w:rPr>
      <w:color w:val="2B579A"/>
      <w:shd w:val="clear" w:color="auto" w:fill="E1DFDD"/>
      <w:lang w:val="es-ES"/>
    </w:rPr>
  </w:style>
  <w:style w:type="character" w:styleId="AcrnimoHTML">
    <w:name w:val="HTML Acronym"/>
    <w:basedOn w:val="Fuentedeprrafopredeter"/>
    <w:uiPriority w:val="99"/>
    <w:semiHidden/>
    <w:unhideWhenUsed/>
    <w:rsid w:val="00F7177B"/>
    <w:rPr>
      <w:lang w:val="es-ES"/>
    </w:rPr>
  </w:style>
  <w:style w:type="paragraph" w:styleId="DireccinHTML">
    <w:name w:val="HTML Address"/>
    <w:basedOn w:val="Normal"/>
    <w:link w:val="DireccinHTMLCar"/>
    <w:uiPriority w:val="99"/>
    <w:semiHidden/>
    <w:unhideWhenUsed/>
    <w:rsid w:val="00F7177B"/>
    <w:rPr>
      <w:i/>
      <w:iCs/>
    </w:rPr>
  </w:style>
  <w:style w:type="character" w:customStyle="1" w:styleId="DireccinHTMLCar">
    <w:name w:val="Dirección HTML Car"/>
    <w:basedOn w:val="Fuentedeprrafopredeter"/>
    <w:link w:val="DireccinHTML"/>
    <w:uiPriority w:val="99"/>
    <w:semiHidden/>
    <w:rsid w:val="00F7177B"/>
    <w:rPr>
      <w:rFonts w:ascii="Times New Roman" w:eastAsia="SimSun" w:hAnsi="Times New Roman" w:cs="Times New Roman"/>
      <w:i/>
      <w:iCs/>
      <w:kern w:val="0"/>
      <w:lang w:val="es-ES"/>
      <w14:ligatures w14:val="none"/>
    </w:rPr>
  </w:style>
  <w:style w:type="character" w:styleId="CitaHTML">
    <w:name w:val="HTML Cite"/>
    <w:basedOn w:val="Fuentedeprrafopredeter"/>
    <w:uiPriority w:val="99"/>
    <w:semiHidden/>
    <w:unhideWhenUsed/>
    <w:rsid w:val="00F7177B"/>
    <w:rPr>
      <w:i/>
      <w:iCs/>
      <w:lang w:val="es-ES"/>
    </w:rPr>
  </w:style>
  <w:style w:type="character" w:styleId="CdigoHTML">
    <w:name w:val="HTML Code"/>
    <w:basedOn w:val="Fuentedeprrafopredeter"/>
    <w:uiPriority w:val="99"/>
    <w:semiHidden/>
    <w:unhideWhenUsed/>
    <w:rsid w:val="00F7177B"/>
    <w:rPr>
      <w:rFonts w:ascii="Consolas" w:hAnsi="Consolas"/>
      <w:sz w:val="20"/>
      <w:szCs w:val="20"/>
      <w:lang w:val="es-ES"/>
    </w:rPr>
  </w:style>
  <w:style w:type="character" w:styleId="DefinicinHTML">
    <w:name w:val="HTML Definition"/>
    <w:basedOn w:val="Fuentedeprrafopredeter"/>
    <w:uiPriority w:val="99"/>
    <w:semiHidden/>
    <w:unhideWhenUsed/>
    <w:rsid w:val="00F7177B"/>
    <w:rPr>
      <w:i/>
      <w:iCs/>
      <w:lang w:val="es-ES"/>
    </w:rPr>
  </w:style>
  <w:style w:type="character" w:styleId="TecladoHTML">
    <w:name w:val="HTML Keyboard"/>
    <w:basedOn w:val="Fuentedeprrafopredeter"/>
    <w:uiPriority w:val="99"/>
    <w:semiHidden/>
    <w:unhideWhenUsed/>
    <w:rsid w:val="00F7177B"/>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F7177B"/>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F7177B"/>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F7177B"/>
    <w:rPr>
      <w:rFonts w:ascii="Consolas" w:hAnsi="Consolas"/>
      <w:sz w:val="24"/>
      <w:szCs w:val="24"/>
      <w:lang w:val="es-ES"/>
    </w:rPr>
  </w:style>
  <w:style w:type="character" w:styleId="MquinadeescribirHTML">
    <w:name w:val="HTML Typewriter"/>
    <w:basedOn w:val="Fuentedeprrafopredeter"/>
    <w:uiPriority w:val="99"/>
    <w:semiHidden/>
    <w:unhideWhenUsed/>
    <w:rsid w:val="00F7177B"/>
    <w:rPr>
      <w:rFonts w:ascii="Consolas" w:hAnsi="Consolas"/>
      <w:sz w:val="20"/>
      <w:szCs w:val="20"/>
      <w:lang w:val="es-ES"/>
    </w:rPr>
  </w:style>
  <w:style w:type="character" w:styleId="VariableHTML">
    <w:name w:val="HTML Variable"/>
    <w:basedOn w:val="Fuentedeprrafopredeter"/>
    <w:uiPriority w:val="99"/>
    <w:semiHidden/>
    <w:unhideWhenUsed/>
    <w:rsid w:val="00F7177B"/>
    <w:rPr>
      <w:i/>
      <w:iCs/>
      <w:lang w:val="es-ES"/>
    </w:rPr>
  </w:style>
  <w:style w:type="paragraph" w:styleId="ndice1">
    <w:name w:val="index 1"/>
    <w:basedOn w:val="Normal"/>
    <w:next w:val="Normal"/>
    <w:autoRedefine/>
    <w:uiPriority w:val="99"/>
    <w:semiHidden/>
    <w:unhideWhenUsed/>
    <w:rsid w:val="00F7177B"/>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F7177B"/>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F7177B"/>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F7177B"/>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F7177B"/>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F7177B"/>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F7177B"/>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F7177B"/>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F7177B"/>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F7177B"/>
    <w:rPr>
      <w:rFonts w:asciiTheme="majorHAnsi" w:eastAsiaTheme="majorEastAsia" w:hAnsiTheme="majorHAnsi" w:cstheme="majorBidi"/>
      <w:b/>
      <w:bCs/>
    </w:rPr>
  </w:style>
  <w:style w:type="character" w:styleId="nfasisintenso">
    <w:name w:val="Intense Emphasis"/>
    <w:basedOn w:val="Fuentedeprrafopredeter"/>
    <w:uiPriority w:val="21"/>
    <w:qFormat/>
    <w:rsid w:val="00F7177B"/>
    <w:rPr>
      <w:i/>
      <w:iCs/>
      <w:color w:val="4472C4" w:themeColor="accent1"/>
      <w:lang w:val="es-ES"/>
    </w:rPr>
  </w:style>
  <w:style w:type="paragraph" w:styleId="Citadestacada">
    <w:name w:val="Intense Quote"/>
    <w:basedOn w:val="Normal"/>
    <w:next w:val="Normal"/>
    <w:link w:val="CitadestacadaCar"/>
    <w:uiPriority w:val="30"/>
    <w:qFormat/>
    <w:rsid w:val="00F717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F7177B"/>
    <w:rPr>
      <w:rFonts w:ascii="Times New Roman" w:eastAsia="SimSun" w:hAnsi="Times New Roman" w:cs="Times New Roman"/>
      <w:i/>
      <w:iCs/>
      <w:color w:val="4472C4" w:themeColor="accent1"/>
      <w:kern w:val="0"/>
      <w:lang w:val="es-ES"/>
      <w14:ligatures w14:val="none"/>
    </w:rPr>
  </w:style>
  <w:style w:type="character" w:styleId="Referenciaintensa">
    <w:name w:val="Intense Reference"/>
    <w:basedOn w:val="Fuentedeprrafopredeter"/>
    <w:uiPriority w:val="32"/>
    <w:qFormat/>
    <w:rsid w:val="00F7177B"/>
    <w:rPr>
      <w:b/>
      <w:bCs/>
      <w:smallCaps/>
      <w:color w:val="4472C4" w:themeColor="accent1"/>
      <w:spacing w:val="5"/>
      <w:lang w:val="es-ES"/>
    </w:rPr>
  </w:style>
  <w:style w:type="table" w:styleId="Cuadrculaclara">
    <w:name w:val="Light Grid"/>
    <w:basedOn w:val="Tabla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F7177B"/>
    <w:pPr>
      <w:spacing w:after="0" w:line="240" w:lineRule="auto"/>
    </w:pPr>
    <w:rPr>
      <w:rFonts w:eastAsiaTheme="minorEastAsia"/>
      <w:color w:val="000000" w:themeColor="text1" w:themeShade="BF"/>
      <w:kern w:val="0"/>
      <w:sz w:val="24"/>
      <w:szCs w:val="24"/>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semiHidden/>
    <w:unhideWhenUsed/>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semiHidden/>
    <w:unhideWhenUsed/>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99"/>
    <w:semiHidden/>
    <w:unhideWhenUsed/>
    <w:rsid w:val="00F7177B"/>
    <w:rPr>
      <w:lang w:val="es-ES"/>
    </w:rPr>
  </w:style>
  <w:style w:type="paragraph" w:styleId="Lista2">
    <w:name w:val="List 2"/>
    <w:basedOn w:val="Normal"/>
    <w:uiPriority w:val="99"/>
    <w:semiHidden/>
    <w:unhideWhenUsed/>
    <w:rsid w:val="00F7177B"/>
    <w:pPr>
      <w:ind w:left="566" w:hanging="283"/>
      <w:contextualSpacing/>
    </w:pPr>
  </w:style>
  <w:style w:type="paragraph" w:styleId="Lista3">
    <w:name w:val="List 3"/>
    <w:basedOn w:val="Normal"/>
    <w:uiPriority w:val="99"/>
    <w:semiHidden/>
    <w:unhideWhenUsed/>
    <w:rsid w:val="00F7177B"/>
    <w:pPr>
      <w:ind w:left="849" w:hanging="283"/>
      <w:contextualSpacing/>
    </w:pPr>
  </w:style>
  <w:style w:type="paragraph" w:styleId="Lista4">
    <w:name w:val="List 4"/>
    <w:basedOn w:val="Normal"/>
    <w:uiPriority w:val="99"/>
    <w:semiHidden/>
    <w:unhideWhenUsed/>
    <w:rsid w:val="00F7177B"/>
    <w:pPr>
      <w:ind w:left="1132" w:hanging="283"/>
      <w:contextualSpacing/>
    </w:pPr>
  </w:style>
  <w:style w:type="paragraph" w:styleId="Lista5">
    <w:name w:val="List 5"/>
    <w:basedOn w:val="Normal"/>
    <w:uiPriority w:val="99"/>
    <w:semiHidden/>
    <w:unhideWhenUsed/>
    <w:rsid w:val="00F7177B"/>
    <w:pPr>
      <w:ind w:left="1415" w:hanging="283"/>
      <w:contextualSpacing/>
    </w:pPr>
  </w:style>
  <w:style w:type="paragraph" w:styleId="Listaconvietas">
    <w:name w:val="List Bullet"/>
    <w:basedOn w:val="Normal"/>
    <w:uiPriority w:val="99"/>
    <w:semiHidden/>
    <w:unhideWhenUsed/>
    <w:rsid w:val="00F7177B"/>
    <w:pPr>
      <w:tabs>
        <w:tab w:val="num" w:pos="360"/>
      </w:tabs>
      <w:ind w:left="360" w:hanging="360"/>
      <w:contextualSpacing/>
    </w:pPr>
  </w:style>
  <w:style w:type="paragraph" w:styleId="Listaconvietas2">
    <w:name w:val="List Bullet 2"/>
    <w:basedOn w:val="Normal"/>
    <w:uiPriority w:val="99"/>
    <w:semiHidden/>
    <w:unhideWhenUsed/>
    <w:rsid w:val="00F7177B"/>
    <w:pPr>
      <w:tabs>
        <w:tab w:val="num" w:pos="643"/>
      </w:tabs>
      <w:ind w:left="643" w:hanging="360"/>
      <w:contextualSpacing/>
    </w:pPr>
  </w:style>
  <w:style w:type="paragraph" w:styleId="Listaconvietas3">
    <w:name w:val="List Bullet 3"/>
    <w:basedOn w:val="Normal"/>
    <w:uiPriority w:val="99"/>
    <w:semiHidden/>
    <w:unhideWhenUsed/>
    <w:rsid w:val="00F7177B"/>
    <w:pPr>
      <w:tabs>
        <w:tab w:val="num" w:pos="926"/>
      </w:tabs>
      <w:ind w:left="926" w:hanging="360"/>
      <w:contextualSpacing/>
    </w:pPr>
  </w:style>
  <w:style w:type="paragraph" w:styleId="Listaconvietas4">
    <w:name w:val="List Bullet 4"/>
    <w:basedOn w:val="Normal"/>
    <w:uiPriority w:val="99"/>
    <w:semiHidden/>
    <w:unhideWhenUsed/>
    <w:rsid w:val="00F7177B"/>
    <w:pPr>
      <w:tabs>
        <w:tab w:val="num" w:pos="1209"/>
      </w:tabs>
      <w:ind w:left="1209" w:hanging="360"/>
      <w:contextualSpacing/>
    </w:pPr>
  </w:style>
  <w:style w:type="paragraph" w:styleId="Listaconvietas5">
    <w:name w:val="List Bullet 5"/>
    <w:basedOn w:val="Normal"/>
    <w:uiPriority w:val="99"/>
    <w:semiHidden/>
    <w:unhideWhenUsed/>
    <w:rsid w:val="00F7177B"/>
    <w:pPr>
      <w:tabs>
        <w:tab w:val="num" w:pos="1492"/>
      </w:tabs>
      <w:ind w:left="1492" w:hanging="360"/>
      <w:contextualSpacing/>
    </w:pPr>
  </w:style>
  <w:style w:type="paragraph" w:styleId="Continuarlista">
    <w:name w:val="List Continue"/>
    <w:basedOn w:val="Normal"/>
    <w:uiPriority w:val="99"/>
    <w:semiHidden/>
    <w:unhideWhenUsed/>
    <w:rsid w:val="00F7177B"/>
    <w:pPr>
      <w:spacing w:after="120"/>
      <w:ind w:left="283"/>
      <w:contextualSpacing/>
    </w:pPr>
  </w:style>
  <w:style w:type="paragraph" w:styleId="Continuarlista2">
    <w:name w:val="List Continue 2"/>
    <w:basedOn w:val="Normal"/>
    <w:uiPriority w:val="99"/>
    <w:semiHidden/>
    <w:unhideWhenUsed/>
    <w:rsid w:val="00F7177B"/>
    <w:pPr>
      <w:spacing w:after="120"/>
      <w:ind w:left="566"/>
      <w:contextualSpacing/>
    </w:pPr>
  </w:style>
  <w:style w:type="paragraph" w:styleId="Continuarlista3">
    <w:name w:val="List Continue 3"/>
    <w:basedOn w:val="Normal"/>
    <w:uiPriority w:val="99"/>
    <w:semiHidden/>
    <w:unhideWhenUsed/>
    <w:rsid w:val="00F7177B"/>
    <w:pPr>
      <w:spacing w:after="120"/>
      <w:ind w:left="849"/>
      <w:contextualSpacing/>
    </w:pPr>
  </w:style>
  <w:style w:type="paragraph" w:styleId="Continuarlista4">
    <w:name w:val="List Continue 4"/>
    <w:basedOn w:val="Normal"/>
    <w:uiPriority w:val="99"/>
    <w:semiHidden/>
    <w:unhideWhenUsed/>
    <w:rsid w:val="00F7177B"/>
    <w:pPr>
      <w:spacing w:after="120"/>
      <w:ind w:left="1132"/>
      <w:contextualSpacing/>
    </w:pPr>
  </w:style>
  <w:style w:type="paragraph" w:styleId="Continuarlista5">
    <w:name w:val="List Continue 5"/>
    <w:basedOn w:val="Normal"/>
    <w:uiPriority w:val="99"/>
    <w:semiHidden/>
    <w:unhideWhenUsed/>
    <w:rsid w:val="00F7177B"/>
    <w:pPr>
      <w:spacing w:after="120"/>
      <w:ind w:left="1415"/>
      <w:contextualSpacing/>
    </w:pPr>
  </w:style>
  <w:style w:type="paragraph" w:styleId="Listaconnmeros">
    <w:name w:val="List Number"/>
    <w:basedOn w:val="Normal"/>
    <w:uiPriority w:val="99"/>
    <w:semiHidden/>
    <w:unhideWhenUsed/>
    <w:rsid w:val="00F7177B"/>
    <w:pPr>
      <w:tabs>
        <w:tab w:val="num" w:pos="360"/>
      </w:tabs>
      <w:ind w:left="360" w:hanging="360"/>
      <w:contextualSpacing/>
    </w:pPr>
  </w:style>
  <w:style w:type="paragraph" w:styleId="Listaconnmeros2">
    <w:name w:val="List Number 2"/>
    <w:basedOn w:val="Normal"/>
    <w:uiPriority w:val="99"/>
    <w:semiHidden/>
    <w:unhideWhenUsed/>
    <w:rsid w:val="00F7177B"/>
    <w:pPr>
      <w:tabs>
        <w:tab w:val="num" w:pos="643"/>
      </w:tabs>
      <w:ind w:left="643" w:hanging="360"/>
      <w:contextualSpacing/>
    </w:pPr>
  </w:style>
  <w:style w:type="paragraph" w:styleId="Listaconnmeros3">
    <w:name w:val="List Number 3"/>
    <w:basedOn w:val="Normal"/>
    <w:uiPriority w:val="99"/>
    <w:semiHidden/>
    <w:unhideWhenUsed/>
    <w:rsid w:val="00F7177B"/>
    <w:pPr>
      <w:tabs>
        <w:tab w:val="num" w:pos="926"/>
      </w:tabs>
      <w:ind w:left="926" w:hanging="360"/>
      <w:contextualSpacing/>
    </w:pPr>
  </w:style>
  <w:style w:type="paragraph" w:styleId="Listaconnmeros4">
    <w:name w:val="List Number 4"/>
    <w:basedOn w:val="Normal"/>
    <w:uiPriority w:val="99"/>
    <w:semiHidden/>
    <w:unhideWhenUsed/>
    <w:rsid w:val="00F7177B"/>
    <w:pPr>
      <w:tabs>
        <w:tab w:val="num" w:pos="1209"/>
      </w:tabs>
      <w:ind w:left="1209" w:hanging="360"/>
      <w:contextualSpacing/>
    </w:pPr>
  </w:style>
  <w:style w:type="paragraph" w:styleId="Listaconnmeros5">
    <w:name w:val="List Number 5"/>
    <w:basedOn w:val="Normal"/>
    <w:uiPriority w:val="99"/>
    <w:semiHidden/>
    <w:unhideWhenUsed/>
    <w:rsid w:val="00F7177B"/>
    <w:pPr>
      <w:tabs>
        <w:tab w:val="num" w:pos="1800"/>
      </w:tabs>
      <w:ind w:left="1800" w:hanging="360"/>
      <w:contextualSpacing/>
    </w:pPr>
  </w:style>
  <w:style w:type="table" w:styleId="Tabladelista1clara">
    <w:name w:val="List Table 1 Light"/>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1clara-nfasis2">
    <w:name w:val="List Table 1 Light Accent 2"/>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6">
    <w:name w:val="List Table 1 Light Accent 6"/>
    <w:basedOn w:val="Tabla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2">
    <w:name w:val="List Table 2 Accent 2"/>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6">
    <w:name w:val="List Table 2 Accent 6"/>
    <w:basedOn w:val="Tabla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3-nfasis2">
    <w:name w:val="List Table 3 Accent 2"/>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6">
    <w:name w:val="List Table 3 Accent 6"/>
    <w:basedOn w:val="Tabla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4-nfasis2">
    <w:name w:val="List Table 4 Accent 2"/>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nfasis6">
    <w:name w:val="List Table 4 Accent 6"/>
    <w:basedOn w:val="Tabla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6concolores-nfasis2">
    <w:name w:val="List Table 6 Colorful Accent 2"/>
    <w:basedOn w:val="Tablanormal"/>
    <w:uiPriority w:val="51"/>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6">
    <w:name w:val="List Table 6 Colorful Accent 6"/>
    <w:basedOn w:val="Tablanormal"/>
    <w:uiPriority w:val="51"/>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F7177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F7177B"/>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demensaje">
    <w:name w:val="Message Header"/>
    <w:basedOn w:val="Normal"/>
    <w:link w:val="EncabezadodemensajeCar"/>
    <w:uiPriority w:val="99"/>
    <w:semiHidden/>
    <w:unhideWhenUsed/>
    <w:rsid w:val="00F7177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F7177B"/>
    <w:rPr>
      <w:rFonts w:asciiTheme="majorHAnsi" w:eastAsiaTheme="majorEastAsia" w:hAnsiTheme="majorHAnsi" w:cstheme="majorBidi"/>
      <w:kern w:val="0"/>
      <w:sz w:val="24"/>
      <w:szCs w:val="24"/>
      <w:shd w:val="pct20" w:color="auto" w:fill="auto"/>
      <w:lang w:val="es-ES"/>
      <w14:ligatures w14:val="none"/>
    </w:rPr>
  </w:style>
  <w:style w:type="paragraph" w:styleId="Sangranormal">
    <w:name w:val="Normal Indent"/>
    <w:basedOn w:val="Normal"/>
    <w:uiPriority w:val="99"/>
    <w:semiHidden/>
    <w:unhideWhenUsed/>
    <w:rsid w:val="00F7177B"/>
    <w:pPr>
      <w:ind w:left="720"/>
    </w:pPr>
  </w:style>
  <w:style w:type="paragraph" w:styleId="Encabezadodenota">
    <w:name w:val="Note Heading"/>
    <w:basedOn w:val="Normal"/>
    <w:next w:val="Normal"/>
    <w:link w:val="EncabezadodenotaCar"/>
    <w:uiPriority w:val="99"/>
    <w:semiHidden/>
    <w:unhideWhenUsed/>
    <w:rsid w:val="00F7177B"/>
  </w:style>
  <w:style w:type="character" w:customStyle="1" w:styleId="EncabezadodenotaCar">
    <w:name w:val="Encabezado de nota Car"/>
    <w:basedOn w:val="Fuentedeprrafopredeter"/>
    <w:link w:val="Encabezadodenota"/>
    <w:uiPriority w:val="99"/>
    <w:semiHidden/>
    <w:rsid w:val="00F7177B"/>
    <w:rPr>
      <w:rFonts w:ascii="Times New Roman" w:eastAsia="SimSun" w:hAnsi="Times New Roman" w:cs="Times New Roman"/>
      <w:kern w:val="0"/>
      <w:lang w:val="es-ES"/>
      <w14:ligatures w14:val="none"/>
    </w:rPr>
  </w:style>
  <w:style w:type="table" w:styleId="Tablanormal1">
    <w:name w:val="Plain Table 1"/>
    <w:basedOn w:val="Tablanormal"/>
    <w:uiPriority w:val="41"/>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F7177B"/>
    <w:pPr>
      <w:spacing w:after="0" w:line="240" w:lineRule="auto"/>
    </w:pPr>
    <w:rPr>
      <w:rFonts w:eastAsiaTheme="minorEastAsia"/>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F7177B"/>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F7177B"/>
    <w:rPr>
      <w:rFonts w:ascii="Consolas" w:eastAsia="SimSun" w:hAnsi="Consolas" w:cs="Times New Roman"/>
      <w:kern w:val="0"/>
      <w:sz w:val="21"/>
      <w:szCs w:val="21"/>
      <w:lang w:val="es-ES"/>
      <w14:ligatures w14:val="none"/>
    </w:rPr>
  </w:style>
  <w:style w:type="paragraph" w:styleId="Cita">
    <w:name w:val="Quote"/>
    <w:basedOn w:val="Normal"/>
    <w:next w:val="Normal"/>
    <w:link w:val="CitaCar"/>
    <w:uiPriority w:val="29"/>
    <w:qFormat/>
    <w:rsid w:val="00F7177B"/>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F7177B"/>
    <w:rPr>
      <w:rFonts w:ascii="Times New Roman" w:eastAsia="SimSun" w:hAnsi="Times New Roman" w:cs="Times New Roman"/>
      <w:i/>
      <w:iCs/>
      <w:color w:val="404040" w:themeColor="text1" w:themeTint="BF"/>
      <w:kern w:val="0"/>
      <w:lang w:val="es-ES"/>
      <w14:ligatures w14:val="none"/>
    </w:rPr>
  </w:style>
  <w:style w:type="paragraph" w:styleId="Saludo">
    <w:name w:val="Salutation"/>
    <w:basedOn w:val="Normal"/>
    <w:next w:val="Normal"/>
    <w:link w:val="SaludoCar"/>
    <w:uiPriority w:val="99"/>
    <w:semiHidden/>
    <w:unhideWhenUsed/>
    <w:rsid w:val="00F7177B"/>
  </w:style>
  <w:style w:type="character" w:customStyle="1" w:styleId="SaludoCar">
    <w:name w:val="Saludo Car"/>
    <w:basedOn w:val="Fuentedeprrafopredeter"/>
    <w:link w:val="Saludo"/>
    <w:uiPriority w:val="99"/>
    <w:semiHidden/>
    <w:rsid w:val="00F7177B"/>
    <w:rPr>
      <w:rFonts w:ascii="Times New Roman" w:eastAsia="SimSun" w:hAnsi="Times New Roman" w:cs="Times New Roman"/>
      <w:kern w:val="0"/>
      <w:lang w:val="es-ES"/>
      <w14:ligatures w14:val="none"/>
    </w:rPr>
  </w:style>
  <w:style w:type="paragraph" w:styleId="Firma">
    <w:name w:val="Signature"/>
    <w:basedOn w:val="Normal"/>
    <w:link w:val="FirmaCar"/>
    <w:uiPriority w:val="99"/>
    <w:semiHidden/>
    <w:unhideWhenUsed/>
    <w:rsid w:val="00F7177B"/>
    <w:pPr>
      <w:ind w:left="4252"/>
    </w:pPr>
  </w:style>
  <w:style w:type="character" w:customStyle="1" w:styleId="FirmaCar">
    <w:name w:val="Firma Car"/>
    <w:basedOn w:val="Fuentedeprrafopredeter"/>
    <w:link w:val="Firma"/>
    <w:uiPriority w:val="99"/>
    <w:semiHidden/>
    <w:rsid w:val="00F7177B"/>
    <w:rPr>
      <w:rFonts w:ascii="Times New Roman" w:eastAsia="SimSun" w:hAnsi="Times New Roman" w:cs="Times New Roman"/>
      <w:kern w:val="0"/>
      <w:lang w:val="es-ES"/>
      <w14:ligatures w14:val="none"/>
    </w:rPr>
  </w:style>
  <w:style w:type="character" w:customStyle="1" w:styleId="SmartHyperlink1">
    <w:name w:val="Smart Hyperlink1"/>
    <w:basedOn w:val="Fuentedeprrafopredeter"/>
    <w:uiPriority w:val="99"/>
    <w:semiHidden/>
    <w:unhideWhenUsed/>
    <w:rsid w:val="00F7177B"/>
    <w:rPr>
      <w:u w:val="dotted"/>
      <w:lang w:val="es-ES"/>
    </w:rPr>
  </w:style>
  <w:style w:type="character" w:customStyle="1" w:styleId="SmartLink1">
    <w:name w:val="SmartLink1"/>
    <w:basedOn w:val="Fuentedeprrafopredeter"/>
    <w:uiPriority w:val="99"/>
    <w:semiHidden/>
    <w:unhideWhenUsed/>
    <w:rsid w:val="00F7177B"/>
    <w:rPr>
      <w:color w:val="0000FF"/>
      <w:u w:val="single"/>
      <w:shd w:val="clear" w:color="auto" w:fill="F3F2F1"/>
      <w:lang w:val="es-ES"/>
    </w:rPr>
  </w:style>
  <w:style w:type="character" w:styleId="nfasissutil">
    <w:name w:val="Subtle Emphasis"/>
    <w:basedOn w:val="Fuentedeprrafopredeter"/>
    <w:uiPriority w:val="19"/>
    <w:qFormat/>
    <w:rsid w:val="00F7177B"/>
    <w:rPr>
      <w:i/>
      <w:iCs/>
      <w:color w:val="404040" w:themeColor="text1" w:themeTint="BF"/>
      <w:lang w:val="es-ES"/>
    </w:rPr>
  </w:style>
  <w:style w:type="character" w:styleId="Referenciasutil">
    <w:name w:val="Subtle Reference"/>
    <w:basedOn w:val="Fuentedeprrafopredeter"/>
    <w:uiPriority w:val="31"/>
    <w:qFormat/>
    <w:rsid w:val="00F7177B"/>
    <w:rPr>
      <w:smallCaps/>
      <w:color w:val="5A5A5A" w:themeColor="text1" w:themeTint="A5"/>
      <w:lang w:val="es-ES"/>
    </w:rPr>
  </w:style>
  <w:style w:type="table" w:styleId="Tablaconefectos3D1">
    <w:name w:val="Table 3D effects 1"/>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color w:val="000080"/>
      <w:kern w:val="0"/>
      <w:sz w:val="24"/>
      <w:szCs w:val="24"/>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color w:val="FFFFFF"/>
      <w:kern w:val="0"/>
      <w:sz w:val="24"/>
      <w:szCs w:val="24"/>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F7177B"/>
    <w:pPr>
      <w:spacing w:after="0" w:line="240" w:lineRule="auto"/>
    </w:pPr>
    <w:rPr>
      <w:rFonts w:eastAsiaTheme="minorEastAsia"/>
      <w:kern w:val="0"/>
      <w:sz w:val="24"/>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F7177B"/>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F7177B"/>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TDC">
    <w:name w:val="TOC Heading"/>
    <w:basedOn w:val="Ttulo1"/>
    <w:next w:val="Normal"/>
    <w:uiPriority w:val="39"/>
    <w:semiHidden/>
    <w:unhideWhenUsed/>
    <w:qFormat/>
    <w:rsid w:val="00F7177B"/>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cionar">
    <w:name w:val="Mention"/>
    <w:basedOn w:val="Fuentedeprrafopredeter"/>
    <w:uiPriority w:val="99"/>
    <w:unhideWhenUsed/>
    <w:rsid w:val="005F6FD0"/>
    <w:rPr>
      <w:color w:val="2B579A"/>
      <w:shd w:val="clear" w:color="auto" w:fill="E6E6E6"/>
      <w:lang w:val="es-ES"/>
    </w:rPr>
  </w:style>
  <w:style w:type="character" w:styleId="Mencinsinresolver">
    <w:name w:val="Unresolved Mention"/>
    <w:basedOn w:val="Fuentedeprrafopredeter"/>
    <w:uiPriority w:val="99"/>
    <w:semiHidden/>
    <w:unhideWhenUsed/>
    <w:rsid w:val="005F6FD0"/>
    <w:rPr>
      <w:color w:val="605E5C"/>
      <w:shd w:val="clear" w:color="auto" w:fill="E1DFDD"/>
      <w:lang w:val="es-ES"/>
    </w:rPr>
  </w:style>
  <w:style w:type="character" w:styleId="Hashtag">
    <w:name w:val="Hashtag"/>
    <w:basedOn w:val="Fuentedeprrafopredeter"/>
    <w:uiPriority w:val="99"/>
    <w:semiHidden/>
    <w:unhideWhenUsed/>
    <w:rsid w:val="005F6FD0"/>
    <w:rPr>
      <w:color w:val="2B579A"/>
      <w:shd w:val="clear" w:color="auto" w:fill="E1DFDD"/>
      <w:lang w:val="es-ES"/>
    </w:rPr>
  </w:style>
  <w:style w:type="character" w:styleId="Hipervnculointeligente">
    <w:name w:val="Smart Hyperlink"/>
    <w:basedOn w:val="Fuentedeprrafopredeter"/>
    <w:uiPriority w:val="99"/>
    <w:semiHidden/>
    <w:unhideWhenUsed/>
    <w:rsid w:val="005F6FD0"/>
    <w:rPr>
      <w:u w:val="dotted"/>
      <w:lang w:val="es-ES"/>
    </w:rPr>
  </w:style>
  <w:style w:type="character" w:customStyle="1" w:styleId="SmartLink2">
    <w:name w:val="SmartLink2"/>
    <w:basedOn w:val="Fuentedeprrafopredeter"/>
    <w:uiPriority w:val="99"/>
    <w:semiHidden/>
    <w:unhideWhenUsed/>
    <w:rsid w:val="005F6FD0"/>
    <w:rPr>
      <w:color w:val="0000FF"/>
      <w:u w:val="single"/>
      <w:shd w:val="clear" w:color="auto" w:fill="F3F2F1"/>
      <w:lang w:val="es-ES"/>
    </w:rPr>
  </w:style>
  <w:style w:type="paragraph" w:customStyle="1" w:styleId="xl67">
    <w:name w:val="xl67"/>
    <w:basedOn w:val="Normal"/>
    <w:rsid w:val="005F6FD0"/>
    <w:pP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68">
    <w:name w:val="xl68"/>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1">
    <w:name w:val="xl71"/>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72">
    <w:name w:val="xl72"/>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000000"/>
      <w:sz w:val="18"/>
      <w:szCs w:val="18"/>
      <w:lang w:eastAsia="en-CA"/>
    </w:rPr>
  </w:style>
  <w:style w:type="paragraph" w:customStyle="1" w:styleId="xl75">
    <w:name w:val="xl75"/>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color w:val="000000"/>
      <w:sz w:val="18"/>
      <w:szCs w:val="18"/>
      <w:lang w:eastAsia="en-CA"/>
    </w:rPr>
  </w:style>
  <w:style w:type="paragraph" w:customStyle="1" w:styleId="xl76">
    <w:name w:val="xl76"/>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7">
    <w:name w:val="xl77"/>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8">
    <w:name w:val="xl78"/>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9">
    <w:name w:val="xl79"/>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color w:val="FF0000"/>
      <w:sz w:val="18"/>
      <w:szCs w:val="18"/>
      <w:lang w:eastAsia="en-CA"/>
    </w:rPr>
  </w:style>
  <w:style w:type="paragraph" w:customStyle="1" w:styleId="xl80">
    <w:name w:val="xl80"/>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81">
    <w:name w:val="xl81"/>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AFCorNNormal">
    <w:name w:val="AF_CorNNormal"/>
    <w:basedOn w:val="Normal"/>
    <w:unhideWhenUsed/>
    <w:rsid w:val="008460CB"/>
    <w:pPr>
      <w:jc w:val="left"/>
    </w:pPr>
  </w:style>
  <w:style w:type="paragraph" w:customStyle="1" w:styleId="AFCorNBold">
    <w:name w:val="AF_CorNBold"/>
    <w:basedOn w:val="AFCorNNormal"/>
    <w:next w:val="AFCorNNormal"/>
    <w:unhideWhenUsed/>
    <w:qFormat/>
    <w:rsid w:val="008460CB"/>
    <w:rPr>
      <w:b/>
    </w:rPr>
  </w:style>
  <w:style w:type="paragraph" w:customStyle="1" w:styleId="AFCorN12Bold">
    <w:name w:val="AF_CorN12Bold"/>
    <w:basedOn w:val="AFCorNNormal"/>
    <w:next w:val="AFCorNNormal"/>
    <w:unhideWhenUsed/>
    <w:qFormat/>
    <w:rsid w:val="008460CB"/>
    <w:rPr>
      <w:b/>
      <w:sz w:val="24"/>
    </w:rPr>
  </w:style>
  <w:style w:type="character" w:customStyle="1" w:styleId="Mention2">
    <w:name w:val="Mention2"/>
    <w:basedOn w:val="Fuentedeprrafopredeter"/>
    <w:uiPriority w:val="99"/>
    <w:unhideWhenUsed/>
    <w:rsid w:val="004F2025"/>
    <w:rPr>
      <w:color w:val="2B579A"/>
      <w:shd w:val="clear" w:color="auto" w:fill="E6E6E6"/>
      <w:lang w:val="es-ES"/>
    </w:rPr>
  </w:style>
  <w:style w:type="character" w:customStyle="1" w:styleId="UnresolvedMention2">
    <w:name w:val="Unresolved Mention2"/>
    <w:basedOn w:val="Fuentedeprrafopredeter"/>
    <w:uiPriority w:val="99"/>
    <w:semiHidden/>
    <w:unhideWhenUsed/>
    <w:rsid w:val="004F2025"/>
    <w:rPr>
      <w:color w:val="605E5C"/>
      <w:shd w:val="clear" w:color="auto" w:fill="E1DFDD"/>
      <w:lang w:val="es-ES"/>
    </w:rPr>
  </w:style>
  <w:style w:type="character" w:customStyle="1" w:styleId="Hashtag2">
    <w:name w:val="Hashtag2"/>
    <w:basedOn w:val="Fuentedeprrafopredeter"/>
    <w:uiPriority w:val="99"/>
    <w:semiHidden/>
    <w:unhideWhenUsed/>
    <w:rsid w:val="004F2025"/>
    <w:rPr>
      <w:color w:val="2B579A"/>
      <w:shd w:val="clear" w:color="auto" w:fill="E1DFDD"/>
      <w:lang w:val="es-ES"/>
    </w:rPr>
  </w:style>
  <w:style w:type="character" w:customStyle="1" w:styleId="SmartHyperlink2">
    <w:name w:val="Smart Hyperlink2"/>
    <w:basedOn w:val="Fuentedeprrafopredeter"/>
    <w:uiPriority w:val="99"/>
    <w:semiHidden/>
    <w:unhideWhenUsed/>
    <w:rsid w:val="004F2025"/>
    <w:rPr>
      <w:u w:val="dotted"/>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23560">
      <w:bodyDiv w:val="1"/>
      <w:marLeft w:val="0"/>
      <w:marRight w:val="0"/>
      <w:marTop w:val="0"/>
      <w:marBottom w:val="0"/>
      <w:divBdr>
        <w:top w:val="none" w:sz="0" w:space="0" w:color="auto"/>
        <w:left w:val="none" w:sz="0" w:space="0" w:color="auto"/>
        <w:bottom w:val="none" w:sz="0" w:space="0" w:color="auto"/>
        <w:right w:val="none" w:sz="0" w:space="0" w:color="auto"/>
      </w:divBdr>
    </w:div>
    <w:div w:id="368184846">
      <w:bodyDiv w:val="1"/>
      <w:marLeft w:val="0"/>
      <w:marRight w:val="0"/>
      <w:marTop w:val="0"/>
      <w:marBottom w:val="0"/>
      <w:divBdr>
        <w:top w:val="none" w:sz="0" w:space="0" w:color="auto"/>
        <w:left w:val="none" w:sz="0" w:space="0" w:color="auto"/>
        <w:bottom w:val="none" w:sz="0" w:space="0" w:color="auto"/>
        <w:right w:val="none" w:sz="0" w:space="0" w:color="auto"/>
      </w:divBdr>
    </w:div>
    <w:div w:id="685912574">
      <w:bodyDiv w:val="1"/>
      <w:marLeft w:val="0"/>
      <w:marRight w:val="0"/>
      <w:marTop w:val="0"/>
      <w:marBottom w:val="0"/>
      <w:divBdr>
        <w:top w:val="none" w:sz="0" w:space="0" w:color="auto"/>
        <w:left w:val="none" w:sz="0" w:space="0" w:color="auto"/>
        <w:bottom w:val="none" w:sz="0" w:space="0" w:color="auto"/>
        <w:right w:val="none" w:sz="0" w:space="0" w:color="auto"/>
      </w:divBdr>
    </w:div>
    <w:div w:id="154043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09/cop-09-dec-34-e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5/cop-15-dec-34-e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decisions/cop-15/cop-15-dec-34-e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bd.int/doc/decisions/cop-15/cop-15-dec-34-es.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bd.int/doc/meetings/cop/cop-01/official/cop-01-17-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34-es.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cop/default.shtml?id=7162" TargetMode="External"/><Relationship Id="rId3" Type="http://schemas.openxmlformats.org/officeDocument/2006/relationships/hyperlink" Target="https://www.cbd.int/documents/CBD/COP/16/4" TargetMode="External"/><Relationship Id="rId7" Type="http://schemas.openxmlformats.org/officeDocument/2006/relationships/hyperlink" Target="https://www.cbd.int/doc/meetings/cop/cop-01/official/cop-01-17-es.pdf" TargetMode="External"/><Relationship Id="rId2" Type="http://schemas.openxmlformats.org/officeDocument/2006/relationships/hyperlink" Target="https://www.cbd.int/documents/CBD/COP/16/2/REV1/ADD1" TargetMode="External"/><Relationship Id="rId1" Type="http://schemas.openxmlformats.org/officeDocument/2006/relationships/hyperlink" Target="https://www.cbd.int/documents/CBD/COP/16/2/Rev.1" TargetMode="External"/><Relationship Id="rId6" Type="http://schemas.openxmlformats.org/officeDocument/2006/relationships/hyperlink" Target="https://www.cbd.int/convention/articles/default.shtml?a=cbd-24" TargetMode="External"/><Relationship Id="rId5" Type="http://schemas.openxmlformats.org/officeDocument/2006/relationships/hyperlink" Target="https://www.cbd.int/documents/CBD/COP/16/4/ADD2" TargetMode="External"/><Relationship Id="rId4" Type="http://schemas.openxmlformats.org/officeDocument/2006/relationships/hyperlink" Target="https://www.cbd.int/documents/CBD/COP/16/4/ADD1" TargetMode="External"/><Relationship Id="rId9" Type="http://schemas.openxmlformats.org/officeDocument/2006/relationships/hyperlink" Target="https://www.cbd.int/documents/CBD/COP/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7770C-4C96-40C5-99A3-B40E450143AB}">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00AF7AD4-B677-4AFB-B33A-D972FC0B95E3}">
  <ds:schemaRefs>
    <ds:schemaRef ds:uri="http://schemas.openxmlformats.org/officeDocument/2006/bibliography"/>
  </ds:schemaRefs>
</ds:datastoreItem>
</file>

<file path=customXml/itemProps4.xml><?xml version="1.0" encoding="utf-8"?>
<ds:datastoreItem xmlns:ds="http://schemas.openxmlformats.org/officeDocument/2006/customXml" ds:itemID="{1C2F2F77-C27B-4274-9796-540C9BE5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17</Pages>
  <Words>7830</Words>
  <Characters>43071</Characters>
  <Application>Microsoft Office Word</Application>
  <DocSecurity>0</DocSecurity>
  <Lines>358</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Decision adopted by the Conference of the Parties to the Convention on Biological Diversity on 6 December 2024</vt:lpstr>
      <vt:lpstr>Decision adopted by the Conference of the Parties to the Convention on Biological Diversity on 6 December 2024</vt:lpstr>
    </vt:vector>
  </TitlesOfParts>
  <Company/>
  <LinksUpToDate>false</LinksUpToDate>
  <CharactersWithSpaces>50800</CharactersWithSpaces>
  <SharedDoc>false</SharedDoc>
  <HLinks>
    <vt:vector size="90" baseType="variant">
      <vt:variant>
        <vt:i4>852046</vt:i4>
      </vt:variant>
      <vt:variant>
        <vt:i4>15</vt:i4>
      </vt:variant>
      <vt:variant>
        <vt:i4>0</vt:i4>
      </vt:variant>
      <vt:variant>
        <vt:i4>5</vt:i4>
      </vt:variant>
      <vt:variant>
        <vt:lpwstr>https://www.cbd.int/doc/decisions/cop-01/cop-01-dec-06-en.pdf</vt:lpwstr>
      </vt:variant>
      <vt:variant>
        <vt:lpwstr/>
      </vt:variant>
      <vt:variant>
        <vt:i4>458821</vt:i4>
      </vt:variant>
      <vt:variant>
        <vt:i4>12</vt:i4>
      </vt:variant>
      <vt:variant>
        <vt:i4>0</vt:i4>
      </vt:variant>
      <vt:variant>
        <vt:i4>5</vt:i4>
      </vt:variant>
      <vt:variant>
        <vt:lpwstr>https://www.cbd.int/doc/decisions/cop-09/cop-09-dec-34-en.pdf</vt:lpwstr>
      </vt:variant>
      <vt:variant>
        <vt:lpwstr/>
      </vt:variant>
      <vt:variant>
        <vt:i4>655432</vt:i4>
      </vt:variant>
      <vt:variant>
        <vt:i4>9</vt:i4>
      </vt:variant>
      <vt:variant>
        <vt:i4>0</vt:i4>
      </vt:variant>
      <vt:variant>
        <vt:i4>5</vt:i4>
      </vt:variant>
      <vt:variant>
        <vt:lpwstr>https://www.cbd.int/doc/decisions/cop-15/cop-15-dec-34-en.pdf</vt:lpwstr>
      </vt:variant>
      <vt:variant>
        <vt:lpwstr/>
      </vt:variant>
      <vt:variant>
        <vt:i4>655432</vt:i4>
      </vt:variant>
      <vt:variant>
        <vt:i4>6</vt:i4>
      </vt:variant>
      <vt:variant>
        <vt:i4>0</vt:i4>
      </vt:variant>
      <vt:variant>
        <vt:i4>5</vt:i4>
      </vt:variant>
      <vt:variant>
        <vt:lpwstr>https://www.cbd.int/doc/decisions/cop-15/cop-15-dec-34-en.pdf</vt:lpwstr>
      </vt:variant>
      <vt:variant>
        <vt:lpwstr/>
      </vt:variant>
      <vt:variant>
        <vt:i4>655432</vt:i4>
      </vt:variant>
      <vt:variant>
        <vt:i4>3</vt:i4>
      </vt:variant>
      <vt:variant>
        <vt:i4>0</vt:i4>
      </vt:variant>
      <vt:variant>
        <vt:i4>5</vt:i4>
      </vt:variant>
      <vt:variant>
        <vt:lpwstr>https://www.cbd.int/doc/decisions/cop-15/cop-15-dec-34-en.pdf</vt:lpwstr>
      </vt:variant>
      <vt:variant>
        <vt:lpwstr/>
      </vt:variant>
      <vt:variant>
        <vt:i4>655432</vt:i4>
      </vt:variant>
      <vt:variant>
        <vt:i4>0</vt:i4>
      </vt:variant>
      <vt:variant>
        <vt:i4>0</vt:i4>
      </vt:variant>
      <vt:variant>
        <vt:i4>5</vt:i4>
      </vt:variant>
      <vt:variant>
        <vt:lpwstr>https://www.cbd.int/doc/decisions/cop-15/cop-15-dec-34-en.pdf</vt:lpwstr>
      </vt:variant>
      <vt:variant>
        <vt:lpwstr/>
      </vt:variant>
      <vt:variant>
        <vt:i4>6881319</vt:i4>
      </vt:variant>
      <vt:variant>
        <vt:i4>24</vt:i4>
      </vt:variant>
      <vt:variant>
        <vt:i4>0</vt:i4>
      </vt:variant>
      <vt:variant>
        <vt:i4>5</vt:i4>
      </vt:variant>
      <vt:variant>
        <vt:lpwstr>https://www.cbd.int/documents/CBD/COP/16/3</vt:lpwstr>
      </vt:variant>
      <vt:variant>
        <vt:lpwstr/>
      </vt:variant>
      <vt:variant>
        <vt:i4>6422583</vt:i4>
      </vt:variant>
      <vt:variant>
        <vt:i4>21</vt:i4>
      </vt:variant>
      <vt:variant>
        <vt:i4>0</vt:i4>
      </vt:variant>
      <vt:variant>
        <vt:i4>5</vt:i4>
      </vt:variant>
      <vt:variant>
        <vt:lpwstr>https://www.cbd.int/decision/cop/default.shtml?id=7162</vt:lpwstr>
      </vt:variant>
      <vt:variant>
        <vt:lpwstr/>
      </vt:variant>
      <vt:variant>
        <vt:i4>655438</vt:i4>
      </vt:variant>
      <vt:variant>
        <vt:i4>18</vt:i4>
      </vt:variant>
      <vt:variant>
        <vt:i4>0</vt:i4>
      </vt:variant>
      <vt:variant>
        <vt:i4>5</vt:i4>
      </vt:variant>
      <vt:variant>
        <vt:lpwstr>https://www.cbd.int/doc/decisions/cop-01/cop-01-dec-01-en.pdf</vt:lpwstr>
      </vt:variant>
      <vt:variant>
        <vt:lpwstr/>
      </vt:variant>
      <vt:variant>
        <vt:i4>3342398</vt:i4>
      </vt:variant>
      <vt:variant>
        <vt:i4>15</vt:i4>
      </vt:variant>
      <vt:variant>
        <vt:i4>0</vt:i4>
      </vt:variant>
      <vt:variant>
        <vt:i4>5</vt:i4>
      </vt:variant>
      <vt:variant>
        <vt:lpwstr>https://www.cbd.int/convention/articles/default.shtml?a=cbd-24</vt:lpwstr>
      </vt:variant>
      <vt:variant>
        <vt:lpwstr/>
      </vt:variant>
      <vt:variant>
        <vt:i4>7012460</vt:i4>
      </vt:variant>
      <vt:variant>
        <vt:i4>12</vt:i4>
      </vt:variant>
      <vt:variant>
        <vt:i4>0</vt:i4>
      </vt:variant>
      <vt:variant>
        <vt:i4>5</vt:i4>
      </vt:variant>
      <vt:variant>
        <vt:lpwstr>https://www.cbd.int/documents/CBD/COP/16/4/ADD2</vt:lpwstr>
      </vt:variant>
      <vt:variant>
        <vt:lpwstr/>
      </vt:variant>
      <vt:variant>
        <vt:i4>7012460</vt:i4>
      </vt:variant>
      <vt:variant>
        <vt:i4>9</vt:i4>
      </vt:variant>
      <vt:variant>
        <vt:i4>0</vt:i4>
      </vt:variant>
      <vt:variant>
        <vt:i4>5</vt:i4>
      </vt:variant>
      <vt:variant>
        <vt:lpwstr>https://www.cbd.int/documents/CBD/COP/16/4/ADD1</vt:lpwstr>
      </vt:variant>
      <vt:variant>
        <vt:lpwstr/>
      </vt:variant>
      <vt:variant>
        <vt:i4>7208999</vt:i4>
      </vt:variant>
      <vt:variant>
        <vt:i4>6</vt:i4>
      </vt:variant>
      <vt:variant>
        <vt:i4>0</vt:i4>
      </vt:variant>
      <vt:variant>
        <vt:i4>5</vt:i4>
      </vt:variant>
      <vt:variant>
        <vt:lpwstr>https://www.cbd.int/documents/CBD/COP/16/4</vt:lpwstr>
      </vt:variant>
      <vt:variant>
        <vt:lpwstr/>
      </vt:variant>
      <vt:variant>
        <vt:i4>1441881</vt:i4>
      </vt:variant>
      <vt:variant>
        <vt:i4>3</vt:i4>
      </vt:variant>
      <vt:variant>
        <vt:i4>0</vt:i4>
      </vt:variant>
      <vt:variant>
        <vt:i4>5</vt:i4>
      </vt:variant>
      <vt:variant>
        <vt:lpwstr>https://www.cbd.int/documents/CBD/COP/16/2/REV1/ADD1</vt:lpwstr>
      </vt:variant>
      <vt:variant>
        <vt:lpwstr/>
      </vt:variant>
      <vt:variant>
        <vt:i4>6094915</vt:i4>
      </vt:variant>
      <vt:variant>
        <vt:i4>0</vt:i4>
      </vt:variant>
      <vt:variant>
        <vt:i4>0</vt:i4>
      </vt:variant>
      <vt:variant>
        <vt:i4>5</vt:i4>
      </vt:variant>
      <vt:variant>
        <vt:lpwstr>https://www.cbd.int/documents/CBD/COP/16/2/Rev.1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6 December 2024</dc:title>
  <dc:subject>CBD/COP/16/L.35/Part.A</dc:subject>
  <dc:creator>Secreatriat of the Convention on Biological Diversity</dc:creator>
  <cp:keywords/>
  <dc:description/>
  <cp:lastModifiedBy>Maria Troitino</cp:lastModifiedBy>
  <cp:revision>4</cp:revision>
  <cp:lastPrinted>2025-05-09T13:22:00Z</cp:lastPrinted>
  <dcterms:created xsi:type="dcterms:W3CDTF">2025-05-24T10:24:00Z</dcterms:created>
  <dcterms:modified xsi:type="dcterms:W3CDTF">2025-05-24T10:38:00Z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y fmtid="{D5CDD505-2E9C-101B-9397-08002B2CF9AE}" pid="6" name="CBD-Category">
    <vt:lpwstr>CBD</vt:lpwstr>
  </property>
</Properties>
</file>