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5"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4960"/>
        <w:gridCol w:w="617"/>
        <w:gridCol w:w="4065"/>
      </w:tblGrid>
      <w:tr w:rsidR="00A96B21" w:rsidRPr="00952D20" w14:paraId="69728923" w14:textId="77777777" w:rsidTr="00DF1690">
        <w:trPr>
          <w:trHeight w:val="851"/>
        </w:trPr>
        <w:tc>
          <w:tcPr>
            <w:tcW w:w="406" w:type="pct"/>
            <w:tcBorders>
              <w:bottom w:val="single" w:sz="8" w:space="0" w:color="auto"/>
            </w:tcBorders>
            <w:vAlign w:val="bottom"/>
          </w:tcPr>
          <w:p w14:paraId="621F38AF" w14:textId="77777777" w:rsidR="00A96B21" w:rsidRPr="00DF1690" w:rsidRDefault="00A96B21" w:rsidP="00332657">
            <w:pPr>
              <w:spacing w:after="120"/>
              <w:jc w:val="left"/>
              <w:rPr>
                <w:lang w:val="fr-FR"/>
              </w:rPr>
            </w:pPr>
            <w:bookmarkStart w:id="0" w:name="_Hlk137651738"/>
            <w:r w:rsidRPr="00DF1690">
              <w:rPr>
                <w:noProof/>
                <w:lang w:val="fr-FR"/>
              </w:rPr>
              <w:drawing>
                <wp:inline distT="0" distB="0" distL="0" distR="0" wp14:anchorId="22D32F8F" wp14:editId="1AD440A4">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2657" w:type="pct"/>
            <w:gridSpan w:val="2"/>
            <w:tcBorders>
              <w:bottom w:val="single" w:sz="8" w:space="0" w:color="auto"/>
            </w:tcBorders>
            <w:shd w:val="clear" w:color="auto" w:fill="auto"/>
            <w:tcFitText/>
            <w:vAlign w:val="bottom"/>
          </w:tcPr>
          <w:p w14:paraId="62CE765A" w14:textId="2FEF4621" w:rsidR="00A96B21" w:rsidRPr="00DF1690" w:rsidRDefault="00DF1690" w:rsidP="00332657">
            <w:pPr>
              <w:spacing w:after="120"/>
              <w:jc w:val="left"/>
              <w:rPr>
                <w:lang w:val="fr-FR"/>
              </w:rPr>
            </w:pPr>
            <w:r w:rsidRPr="00DF1690">
              <w:rPr>
                <w:noProof/>
                <w:lang w:val="fr-FR" w:eastAsia="fr-FR"/>
              </w:rPr>
              <w:drawing>
                <wp:inline distT="0" distB="0" distL="0" distR="0" wp14:anchorId="096231F7" wp14:editId="17237945">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1938" w:type="pct"/>
            <w:tcBorders>
              <w:bottom w:val="single" w:sz="8" w:space="0" w:color="auto"/>
            </w:tcBorders>
            <w:vAlign w:val="bottom"/>
          </w:tcPr>
          <w:p w14:paraId="259F404D" w14:textId="13F63D58" w:rsidR="00A96B21" w:rsidRPr="00952D20" w:rsidRDefault="00A96B21" w:rsidP="00184909">
            <w:pPr>
              <w:spacing w:after="120"/>
              <w:ind w:left="1119"/>
              <w:jc w:val="right"/>
              <w:rPr>
                <w:szCs w:val="22"/>
                <w:lang w:val="fr-FR"/>
              </w:rPr>
            </w:pPr>
            <w:r w:rsidRPr="00952D20">
              <w:rPr>
                <w:sz w:val="40"/>
                <w:szCs w:val="40"/>
                <w:lang w:val="fr-FR"/>
              </w:rPr>
              <w:t>CBD</w:t>
            </w:r>
            <w:r w:rsidRPr="00952D20">
              <w:rPr>
                <w:szCs w:val="22"/>
                <w:lang w:val="fr-FR"/>
              </w:rPr>
              <w:t>/</w:t>
            </w:r>
            <w:r w:rsidR="00051391" w:rsidRPr="00952D20">
              <w:rPr>
                <w:lang w:val="fr-FR"/>
              </w:rPr>
              <w:t>COP/</w:t>
            </w:r>
            <w:r w:rsidR="00952D20" w:rsidRPr="00952D20">
              <w:rPr>
                <w:lang w:val="fr-FR"/>
              </w:rPr>
              <w:t>DEC/</w:t>
            </w:r>
            <w:r w:rsidR="00051391" w:rsidRPr="00952D20">
              <w:rPr>
                <w:lang w:val="fr-FR"/>
              </w:rPr>
              <w:t>16/</w:t>
            </w:r>
            <w:r w:rsidR="00952D20" w:rsidRPr="00952D20">
              <w:rPr>
                <w:lang w:val="fr-FR"/>
              </w:rPr>
              <w:t>28</w:t>
            </w:r>
          </w:p>
        </w:tc>
      </w:tr>
      <w:tr w:rsidR="00A96B21" w:rsidRPr="00952D20" w14:paraId="37186059" w14:textId="77777777" w:rsidTr="00B55C48">
        <w:tc>
          <w:tcPr>
            <w:tcW w:w="2769" w:type="pct"/>
            <w:gridSpan w:val="2"/>
            <w:tcBorders>
              <w:top w:val="single" w:sz="8" w:space="0" w:color="auto"/>
              <w:bottom w:val="single" w:sz="12" w:space="0" w:color="auto"/>
            </w:tcBorders>
          </w:tcPr>
          <w:p w14:paraId="6A03E246" w14:textId="2599BAF7" w:rsidR="00A96B21" w:rsidRPr="00DF1690" w:rsidRDefault="00DF1690" w:rsidP="00332657">
            <w:pPr>
              <w:pStyle w:val="Cornernotation"/>
              <w:suppressLineNumbers/>
              <w:suppressAutoHyphens/>
              <w:spacing w:before="120" w:after="120"/>
              <w:ind w:left="0" w:right="0" w:firstLine="0"/>
              <w:rPr>
                <w:lang w:val="fr-FR"/>
              </w:rPr>
            </w:pPr>
            <w:r w:rsidRPr="0049796C">
              <w:rPr>
                <w:noProof/>
                <w:lang w:val="fr-FR" w:eastAsia="fr-FR"/>
              </w:rPr>
              <w:drawing>
                <wp:inline distT="0" distB="0" distL="0" distR="0" wp14:anchorId="15A66AC7" wp14:editId="2C5B0DFD">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231" w:type="pct"/>
            <w:gridSpan w:val="2"/>
            <w:tcBorders>
              <w:top w:val="single" w:sz="8" w:space="0" w:color="auto"/>
              <w:bottom w:val="single" w:sz="12" w:space="0" w:color="auto"/>
            </w:tcBorders>
          </w:tcPr>
          <w:p w14:paraId="320C7A1D" w14:textId="2F456A3D" w:rsidR="00A96B21" w:rsidRPr="00952D20" w:rsidRDefault="00A96B21" w:rsidP="003C6F10">
            <w:pPr>
              <w:ind w:left="2584"/>
              <w:rPr>
                <w:sz w:val="22"/>
                <w:szCs w:val="22"/>
                <w:lang w:val="fr-FR"/>
              </w:rPr>
            </w:pPr>
            <w:proofErr w:type="spellStart"/>
            <w:r w:rsidRPr="00952D20">
              <w:rPr>
                <w:sz w:val="22"/>
                <w:szCs w:val="22"/>
                <w:lang w:val="fr-FR"/>
              </w:rPr>
              <w:t>Distr</w:t>
            </w:r>
            <w:proofErr w:type="spellEnd"/>
            <w:r w:rsidRPr="00952D20">
              <w:rPr>
                <w:sz w:val="22"/>
                <w:szCs w:val="22"/>
                <w:lang w:val="fr-FR"/>
              </w:rPr>
              <w:t>.</w:t>
            </w:r>
            <w:r w:rsidR="00DF1690" w:rsidRPr="00952D20">
              <w:rPr>
                <w:sz w:val="22"/>
                <w:szCs w:val="22"/>
                <w:lang w:val="fr-FR"/>
              </w:rPr>
              <w:t> </w:t>
            </w:r>
            <w:r w:rsidR="00952D20" w:rsidRPr="00952D20">
              <w:rPr>
                <w:sz w:val="22"/>
                <w:szCs w:val="22"/>
                <w:lang w:val="fr-FR"/>
              </w:rPr>
              <w:t>générale</w:t>
            </w:r>
          </w:p>
          <w:p w14:paraId="23B5667B" w14:textId="0C19F09F" w:rsidR="00A96B21" w:rsidRPr="00952D20" w:rsidRDefault="00952D20" w:rsidP="003C6F10">
            <w:pPr>
              <w:ind w:left="2584"/>
              <w:rPr>
                <w:sz w:val="22"/>
                <w:szCs w:val="22"/>
                <w:lang w:val="fr-FR"/>
              </w:rPr>
            </w:pPr>
            <w:r w:rsidRPr="00952D20">
              <w:rPr>
                <w:sz w:val="22"/>
                <w:szCs w:val="22"/>
                <w:lang w:val="fr-FR"/>
              </w:rPr>
              <w:t>6 décembre </w:t>
            </w:r>
            <w:r w:rsidR="00A96B21" w:rsidRPr="00952D20">
              <w:rPr>
                <w:sz w:val="22"/>
                <w:szCs w:val="22"/>
                <w:lang w:val="fr-FR"/>
              </w:rPr>
              <w:t>202</w:t>
            </w:r>
            <w:r w:rsidR="0053139E" w:rsidRPr="00952D20">
              <w:rPr>
                <w:sz w:val="22"/>
                <w:szCs w:val="22"/>
                <w:lang w:val="fr-FR"/>
              </w:rPr>
              <w:t>4</w:t>
            </w:r>
          </w:p>
          <w:p w14:paraId="01293C27" w14:textId="3D967ED2" w:rsidR="00A96B21" w:rsidRPr="00952D20" w:rsidRDefault="00DF1690" w:rsidP="003C6F10">
            <w:pPr>
              <w:ind w:left="2584"/>
              <w:rPr>
                <w:sz w:val="22"/>
                <w:szCs w:val="22"/>
                <w:lang w:val="fr-FR"/>
              </w:rPr>
            </w:pPr>
            <w:r w:rsidRPr="00952D20">
              <w:rPr>
                <w:sz w:val="22"/>
                <w:szCs w:val="22"/>
                <w:lang w:val="fr-FR"/>
              </w:rPr>
              <w:t>Fran</w:t>
            </w:r>
            <w:r w:rsidR="008511D1" w:rsidRPr="00952D20">
              <w:rPr>
                <w:sz w:val="22"/>
                <w:szCs w:val="22"/>
                <w:lang w:val="fr-FR"/>
              </w:rPr>
              <w:t>ç</w:t>
            </w:r>
            <w:r w:rsidRPr="00952D20">
              <w:rPr>
                <w:sz w:val="22"/>
                <w:szCs w:val="22"/>
                <w:lang w:val="fr-FR"/>
              </w:rPr>
              <w:t>ais</w:t>
            </w:r>
          </w:p>
          <w:p w14:paraId="1CFF6455" w14:textId="289F3511" w:rsidR="00952D20" w:rsidRPr="00952D20" w:rsidRDefault="00A96B21" w:rsidP="006A061F">
            <w:pPr>
              <w:ind w:left="2584"/>
              <w:rPr>
                <w:sz w:val="22"/>
                <w:szCs w:val="22"/>
                <w:lang w:val="fr-FR"/>
              </w:rPr>
            </w:pPr>
            <w:r w:rsidRPr="00952D20">
              <w:rPr>
                <w:sz w:val="22"/>
                <w:szCs w:val="22"/>
                <w:lang w:val="fr-FR"/>
              </w:rPr>
              <w:t>Original</w:t>
            </w:r>
            <w:r w:rsidR="00DF1690" w:rsidRPr="00952D20">
              <w:rPr>
                <w:sz w:val="22"/>
                <w:szCs w:val="22"/>
                <w:lang w:val="fr-FR"/>
              </w:rPr>
              <w:t> </w:t>
            </w:r>
            <w:r w:rsidRPr="00952D20">
              <w:rPr>
                <w:sz w:val="22"/>
                <w:szCs w:val="22"/>
                <w:lang w:val="fr-FR"/>
              </w:rPr>
              <w:t xml:space="preserve">: </w:t>
            </w:r>
            <w:r w:rsidR="00DF1690" w:rsidRPr="00952D20">
              <w:rPr>
                <w:sz w:val="22"/>
                <w:szCs w:val="22"/>
                <w:lang w:val="fr-FR"/>
              </w:rPr>
              <w:t>anglais</w:t>
            </w:r>
          </w:p>
          <w:p w14:paraId="4F52D092" w14:textId="77777777" w:rsidR="00A96B21" w:rsidRPr="00952D20" w:rsidRDefault="00A96B21" w:rsidP="00332657">
            <w:pPr>
              <w:rPr>
                <w:lang w:val="fr-FR"/>
              </w:rPr>
            </w:pPr>
          </w:p>
        </w:tc>
      </w:tr>
    </w:tbl>
    <w:p w14:paraId="49C20F7B" w14:textId="77777777" w:rsidR="00DF1690" w:rsidRPr="00DF1690" w:rsidRDefault="00DF1690" w:rsidP="00DF1690">
      <w:pPr>
        <w:pStyle w:val="Cornernotation"/>
        <w:ind w:left="0" w:right="5107" w:firstLine="0"/>
        <w:contextualSpacing/>
        <w:rPr>
          <w:bCs/>
          <w:lang w:val="fr-FR"/>
        </w:rPr>
      </w:pPr>
      <w:bookmarkStart w:id="1" w:name="_Toc180233562"/>
      <w:bookmarkEnd w:id="0"/>
      <w:r w:rsidRPr="00DF1690">
        <w:rPr>
          <w:lang w:val="fr-FR"/>
        </w:rPr>
        <w:t>Conférence des Parties à la Convention sur la diversité biologique</w:t>
      </w:r>
    </w:p>
    <w:p w14:paraId="34D8B18F" w14:textId="77777777" w:rsidR="00DF1690" w:rsidRPr="00DF1690" w:rsidRDefault="00DF1690" w:rsidP="00DF1690">
      <w:pPr>
        <w:pStyle w:val="Cornernotation"/>
        <w:contextualSpacing/>
        <w:rPr>
          <w:bCs/>
          <w:sz w:val="22"/>
          <w:lang w:val="fr-FR"/>
        </w:rPr>
      </w:pPr>
      <w:r w:rsidRPr="00DF1690">
        <w:rPr>
          <w:bCs/>
          <w:sz w:val="22"/>
          <w:lang w:val="fr-FR"/>
        </w:rPr>
        <w:t xml:space="preserve">Seizième réunion, première reprise de session </w:t>
      </w:r>
    </w:p>
    <w:p w14:paraId="7820868C" w14:textId="3FEAAA90" w:rsidR="00DF1690" w:rsidRPr="00DF1690" w:rsidRDefault="00DF1690" w:rsidP="00DF1690">
      <w:pPr>
        <w:pStyle w:val="Venuedate"/>
        <w:contextualSpacing/>
        <w:rPr>
          <w:lang w:val="fr-FR"/>
        </w:rPr>
      </w:pPr>
      <w:r w:rsidRPr="00DF1690">
        <w:rPr>
          <w:lang w:val="fr-FR"/>
        </w:rPr>
        <w:t>En ligne, 3</w:t>
      </w:r>
      <w:r w:rsidR="006321CA" w:rsidRPr="00BA68BE">
        <w:t>–</w:t>
      </w:r>
      <w:r w:rsidRPr="00DF1690">
        <w:rPr>
          <w:lang w:val="fr-FR"/>
        </w:rPr>
        <w:t>6 décembre</w:t>
      </w:r>
      <w:r w:rsidR="00AA1A10">
        <w:rPr>
          <w:lang w:val="fr-FR"/>
        </w:rPr>
        <w:t> </w:t>
      </w:r>
      <w:r w:rsidRPr="00DF1690">
        <w:rPr>
          <w:lang w:val="fr-FR"/>
        </w:rPr>
        <w:t>2024</w:t>
      </w:r>
    </w:p>
    <w:p w14:paraId="12D6B3A1" w14:textId="77777777" w:rsidR="00DF1690" w:rsidRPr="00DF1690" w:rsidRDefault="00DF1690" w:rsidP="00DF1690">
      <w:pPr>
        <w:pStyle w:val="Cornernotation-Item"/>
        <w:contextualSpacing/>
        <w:rPr>
          <w:b w:val="0"/>
          <w:bCs w:val="0"/>
          <w:lang w:val="fr-FR"/>
        </w:rPr>
      </w:pPr>
      <w:r w:rsidRPr="00DF1690">
        <w:rPr>
          <w:b w:val="0"/>
          <w:bCs w:val="0"/>
          <w:lang w:val="fr-FR"/>
        </w:rPr>
        <w:t>Point 7 de l’ordre du jour</w:t>
      </w:r>
    </w:p>
    <w:p w14:paraId="3446D1B3" w14:textId="49BC468D" w:rsidR="00952D20" w:rsidRPr="00952D20" w:rsidRDefault="00DF1690" w:rsidP="00952D20">
      <w:pPr>
        <w:pStyle w:val="Cornernotation-Item"/>
        <w:spacing w:before="60" w:after="60"/>
        <w:ind w:left="0" w:right="4115" w:firstLine="0"/>
        <w:contextualSpacing/>
        <w:rPr>
          <w:lang w:val="fr-FR"/>
        </w:rPr>
      </w:pPr>
      <w:r w:rsidRPr="00DF1690">
        <w:rPr>
          <w:lang w:val="fr-FR"/>
        </w:rPr>
        <w:t xml:space="preserve">Administration de la Convention et budget des fonds </w:t>
      </w:r>
      <w:bookmarkStart w:id="2" w:name="_Hlk198366221"/>
      <w:r w:rsidR="006675ED">
        <w:rPr>
          <w:lang w:val="fr-FR"/>
        </w:rPr>
        <w:t>d’affectation spéciale</w:t>
      </w:r>
      <w:bookmarkEnd w:id="2"/>
    </w:p>
    <w:sdt>
      <w:sdtPr>
        <w:rPr>
          <w:bCs/>
          <w:lang w:val="fr-FR"/>
        </w:rPr>
        <w:alias w:val="Title"/>
        <w:tag w:val=""/>
        <w:id w:val="780080383"/>
        <w:placeholder>
          <w:docPart w:val="CDD4ADDA21DA4D579B2CF5A22BC008E5"/>
        </w:placeholder>
        <w:dataBinding w:prefixMappings="xmlns:ns0='http://purl.org/dc/elements/1.1/' xmlns:ns1='http://schemas.openxmlformats.org/package/2006/metadata/core-properties' " w:xpath="/ns1:coreProperties[1]/ns0:title[1]" w:storeItemID="{6C3C8BC8-F283-45AE-878A-BAB7291924A1}"/>
        <w:text/>
      </w:sdtPr>
      <w:sdtContent>
        <w:p w14:paraId="232CB986" w14:textId="39436E26" w:rsidR="00952D20" w:rsidRPr="00952D20" w:rsidRDefault="00952D20" w:rsidP="00952D20">
          <w:pPr>
            <w:pStyle w:val="CBDTitle"/>
            <w:rPr>
              <w:b w:val="0"/>
              <w:bCs/>
              <w:sz w:val="22"/>
              <w:lang w:val="fr-FR"/>
            </w:rPr>
          </w:pPr>
          <w:r w:rsidRPr="00952D20">
            <w:rPr>
              <w:bCs/>
              <w:lang w:val="fr-FR"/>
            </w:rPr>
            <w:t xml:space="preserve">Décision adoptée </w:t>
          </w:r>
          <w:r>
            <w:rPr>
              <w:bCs/>
              <w:lang w:val="fr-FR"/>
            </w:rPr>
            <w:t>par la Conférence des Parties à la Convention sur la diversité biologique le 6 septembre</w:t>
          </w:r>
          <w:r w:rsidR="00EB4322">
            <w:rPr>
              <w:bCs/>
              <w:lang w:val="fr-FR"/>
            </w:rPr>
            <w:t> </w:t>
          </w:r>
          <w:r>
            <w:rPr>
              <w:bCs/>
              <w:lang w:val="fr-FR"/>
            </w:rPr>
            <w:t>2024</w:t>
          </w:r>
        </w:p>
      </w:sdtContent>
    </w:sdt>
    <w:p w14:paraId="511A9384" w14:textId="444220B4" w:rsidR="00952D20" w:rsidRDefault="00952D20" w:rsidP="00952D20">
      <w:pPr>
        <w:tabs>
          <w:tab w:val="left" w:pos="1742"/>
          <w:tab w:val="left" w:pos="2693"/>
          <w:tab w:val="left" w:pos="3182"/>
          <w:tab w:val="left" w:pos="3658"/>
          <w:tab w:val="left" w:pos="4133"/>
          <w:tab w:val="left" w:pos="4622"/>
          <w:tab w:val="left" w:pos="5098"/>
          <w:tab w:val="left" w:pos="5573"/>
          <w:tab w:val="left" w:pos="6048"/>
        </w:tabs>
        <w:spacing w:before="240" w:after="240"/>
        <w:ind w:left="567"/>
        <w:rPr>
          <w:b/>
          <w:lang w:val="fr-FR"/>
        </w:rPr>
      </w:pPr>
      <w:r>
        <w:rPr>
          <w:b/>
          <w:lang w:val="fr-FR"/>
        </w:rPr>
        <w:t xml:space="preserve">16/28. </w:t>
      </w:r>
      <w:r>
        <w:rPr>
          <w:b/>
          <w:lang w:val="fr-FR"/>
        </w:rPr>
        <w:tab/>
        <w:t>A</w:t>
      </w:r>
      <w:r w:rsidRPr="00952D20">
        <w:rPr>
          <w:b/>
          <w:lang w:val="fr-FR"/>
        </w:rPr>
        <w:t xml:space="preserve">dministration de la Convention et budget des fonds </w:t>
      </w:r>
      <w:r w:rsidR="006675ED" w:rsidRPr="006675ED">
        <w:rPr>
          <w:b/>
          <w:lang w:val="fr-FR"/>
        </w:rPr>
        <w:t>d’affectation spéciale</w:t>
      </w:r>
    </w:p>
    <w:p w14:paraId="303063CA" w14:textId="1769CE43" w:rsidR="00DF1690" w:rsidRPr="00DF1690" w:rsidRDefault="00DF1690" w:rsidP="00DF1690">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i/>
          <w:iCs/>
          <w:color w:val="000000"/>
          <w:lang w:val="fr-FR"/>
        </w:rPr>
      </w:pPr>
      <w:r w:rsidRPr="00DF1690">
        <w:rPr>
          <w:i/>
          <w:iCs/>
          <w:color w:val="000000"/>
          <w:lang w:val="fr-FR"/>
        </w:rPr>
        <w:t>La Conférence des Parties,</w:t>
      </w:r>
    </w:p>
    <w:p w14:paraId="4B7112A0" w14:textId="364AA9E9" w:rsidR="00DF1690" w:rsidRPr="00DF1690" w:rsidRDefault="00DF1690" w:rsidP="00DF1690">
      <w:pPr>
        <w:pStyle w:val="CBDDesicionText"/>
        <w:rPr>
          <w:lang w:val="fr-FR"/>
        </w:rPr>
      </w:pPr>
      <w:r w:rsidRPr="00DF1690">
        <w:rPr>
          <w:i/>
          <w:iCs/>
          <w:lang w:val="fr-FR"/>
        </w:rPr>
        <w:t xml:space="preserve">Rappelant la décision </w:t>
      </w:r>
      <w:hyperlink r:id="rId14" w:history="1">
        <w:r w:rsidRPr="00DF1690">
          <w:rPr>
            <w:rStyle w:val="Lienhypertexte"/>
            <w:lang w:val="fr-FR"/>
          </w:rPr>
          <w:t>15/34</w:t>
        </w:r>
      </w:hyperlink>
      <w:r w:rsidRPr="00DF1690">
        <w:rPr>
          <w:lang w:val="fr-FR"/>
        </w:rPr>
        <w:t xml:space="preserve"> du 19 décembre</w:t>
      </w:r>
      <w:r w:rsidR="00AA1A10">
        <w:rPr>
          <w:lang w:val="fr-FR"/>
        </w:rPr>
        <w:t> </w:t>
      </w:r>
      <w:r w:rsidRPr="00DF1690">
        <w:rPr>
          <w:lang w:val="fr-FR"/>
        </w:rPr>
        <w:t>2022,</w:t>
      </w:r>
    </w:p>
    <w:p w14:paraId="4BE46096" w14:textId="77777777" w:rsidR="00DF1690" w:rsidRPr="00DF1690" w:rsidRDefault="00DF1690" w:rsidP="00DF1690">
      <w:pPr>
        <w:pStyle w:val="CBDDesicionText"/>
        <w:rPr>
          <w:lang w:val="fr-FR"/>
        </w:rPr>
      </w:pPr>
      <w:r w:rsidRPr="00DF1690">
        <w:rPr>
          <w:i/>
          <w:iCs/>
          <w:lang w:val="fr-FR"/>
        </w:rPr>
        <w:t>Reconnaissant</w:t>
      </w:r>
      <w:r w:rsidRPr="00DF1690">
        <w:rPr>
          <w:lang w:val="fr-FR"/>
        </w:rPr>
        <w:t xml:space="preserve"> l’augmentation cumulative de l’ampleur du programme de travail du Secrétariat de la Convention sur la diversité biologique</w:t>
      </w:r>
      <w:r w:rsidRPr="00DF1690">
        <w:rPr>
          <w:rStyle w:val="Appelnotedebasdep"/>
          <w:color w:val="000000"/>
          <w:lang w:val="fr-FR"/>
        </w:rPr>
        <w:footnoteReference w:id="2"/>
      </w:r>
      <w:r w:rsidRPr="00DF1690">
        <w:rPr>
          <w:lang w:val="fr-FR"/>
        </w:rPr>
        <w:t xml:space="preserve"> au fil de nombreuses périodes biennales, et prenant note que le budget de la Convention n’a pas progressé au même rythme,</w:t>
      </w:r>
    </w:p>
    <w:p w14:paraId="135A39E1" w14:textId="77777777" w:rsidR="00DF1690" w:rsidRPr="00DF1690" w:rsidRDefault="00DF1690" w:rsidP="00DF1690">
      <w:pPr>
        <w:pStyle w:val="CBDDesicionText"/>
        <w:rPr>
          <w:lang w:val="fr-FR"/>
        </w:rPr>
      </w:pPr>
      <w:r w:rsidRPr="00DF1690">
        <w:rPr>
          <w:i/>
          <w:iCs/>
          <w:lang w:val="fr-FR"/>
        </w:rPr>
        <w:t>Reconnaissant également</w:t>
      </w:r>
      <w:r w:rsidRPr="00DF1690">
        <w:rPr>
          <w:lang w:val="fr-FR"/>
        </w:rPr>
        <w:t>, en particulier, l’augmentation récente du nombre, de la fréquence et de l’envergure des réunions intersessions, ainsi que la pression accrue sur les services du Secrétariat, notamment la prestation d’installations pour les conférences, le travail lié aux déplacements et aux tâches administratives, le travail de rédaction et de traduction, ainsi que les fonctions de supervision et de gestion,</w:t>
      </w:r>
    </w:p>
    <w:p w14:paraId="076B28FC" w14:textId="77777777" w:rsidR="00DF1690" w:rsidRPr="00DF1690" w:rsidRDefault="00DF1690" w:rsidP="00DF1690">
      <w:pPr>
        <w:pStyle w:val="CBDDesicionText"/>
        <w:rPr>
          <w:lang w:val="fr-FR"/>
        </w:rPr>
      </w:pPr>
      <w:r w:rsidRPr="00DF1690">
        <w:rPr>
          <w:i/>
          <w:iCs/>
          <w:lang w:val="fr-FR"/>
        </w:rPr>
        <w:t xml:space="preserve">Reconnaissant </w:t>
      </w:r>
      <w:r w:rsidRPr="00DF1690">
        <w:rPr>
          <w:lang w:val="fr-FR"/>
        </w:rPr>
        <w:t>le changement de la portée des travaux que représente l’adoption du Cadre mondial de la biodiversité de Kunming-Montréal</w:t>
      </w:r>
      <w:r w:rsidRPr="00DF1690">
        <w:rPr>
          <w:rStyle w:val="Appelnotedebasdep"/>
          <w:lang w:val="fr-FR"/>
        </w:rPr>
        <w:footnoteReference w:id="3"/>
      </w:r>
      <w:r w:rsidRPr="00DF1690">
        <w:rPr>
          <w:lang w:val="fr-FR"/>
        </w:rPr>
        <w:t>, qui a conduit à des demandes accrues des Parties auprès du Secrétariat,</w:t>
      </w:r>
    </w:p>
    <w:p w14:paraId="35100086" w14:textId="68F58E3C" w:rsidR="00DF1690" w:rsidRPr="00DF1690" w:rsidRDefault="00DF1690" w:rsidP="00DF1690">
      <w:pPr>
        <w:pStyle w:val="CBDDesicionText"/>
        <w:rPr>
          <w:lang w:val="fr-FR"/>
        </w:rPr>
      </w:pPr>
      <w:r w:rsidRPr="008511D1">
        <w:rPr>
          <w:i/>
          <w:iCs/>
          <w:lang w:val="fr-FR"/>
        </w:rPr>
        <w:t>Ayant examiné</w:t>
      </w:r>
      <w:r w:rsidRPr="00DF1690">
        <w:rPr>
          <w:lang w:val="fr-FR"/>
        </w:rPr>
        <w:t xml:space="preserve"> </w:t>
      </w:r>
      <w:r w:rsidR="007E5F0E">
        <w:rPr>
          <w:lang w:val="fr-FR"/>
        </w:rPr>
        <w:t>les informations</w:t>
      </w:r>
      <w:r w:rsidRPr="00DF1690">
        <w:rPr>
          <w:lang w:val="fr-FR"/>
        </w:rPr>
        <w:t xml:space="preserve"> présentée</w:t>
      </w:r>
      <w:r w:rsidR="007E5F0E">
        <w:rPr>
          <w:lang w:val="fr-FR"/>
        </w:rPr>
        <w:t>s</w:t>
      </w:r>
      <w:r w:rsidRPr="00DF1690">
        <w:rPr>
          <w:lang w:val="fr-FR"/>
        </w:rPr>
        <w:t xml:space="preserve"> dans les documents préparés par le Secrétariat au sujet du point de l’ordre du jour qui concerne l’administration de la Convention et le budget d</w:t>
      </w:r>
      <w:r w:rsidR="008511D1">
        <w:rPr>
          <w:lang w:val="fr-FR"/>
        </w:rPr>
        <w:t>es</w:t>
      </w:r>
      <w:r w:rsidRPr="00DF1690">
        <w:rPr>
          <w:lang w:val="fr-FR"/>
        </w:rPr>
        <w:t xml:space="preserve"> fonds </w:t>
      </w:r>
      <w:r w:rsidR="006675ED">
        <w:rPr>
          <w:lang w:val="fr-FR"/>
        </w:rPr>
        <w:t>d’affectation spéciale</w:t>
      </w:r>
      <w:r w:rsidRPr="00DF1690">
        <w:rPr>
          <w:rStyle w:val="Appelnotedebasdep"/>
          <w:lang w:val="fr-FR"/>
        </w:rPr>
        <w:footnoteReference w:id="4"/>
      </w:r>
      <w:r w:rsidRPr="00DF1690">
        <w:rPr>
          <w:lang w:val="fr-FR"/>
        </w:rPr>
        <w:t>,</w:t>
      </w:r>
    </w:p>
    <w:p w14:paraId="41F0D844" w14:textId="3A38591F" w:rsidR="00DF1690" w:rsidRPr="00DF1690" w:rsidRDefault="00DF1690" w:rsidP="00DF1690">
      <w:pPr>
        <w:pStyle w:val="CBDDesicionText"/>
        <w:rPr>
          <w:lang w:val="fr-FR"/>
        </w:rPr>
      </w:pPr>
      <w:r w:rsidRPr="00DF1690">
        <w:rPr>
          <w:i/>
          <w:iCs/>
          <w:lang w:val="fr-FR"/>
        </w:rPr>
        <w:t>Prenant note avec préoccupation</w:t>
      </w:r>
      <w:r w:rsidRPr="00DF1690">
        <w:rPr>
          <w:lang w:val="fr-FR"/>
        </w:rPr>
        <w:t xml:space="preserve"> que l’examen fonctionnel externe approfondi de la structure du Secrétariat</w:t>
      </w:r>
      <w:r w:rsidR="00230DC5">
        <w:rPr>
          <w:lang w:val="fr-FR"/>
        </w:rPr>
        <w:t>, demandé dans la décision</w:t>
      </w:r>
      <w:r w:rsidRPr="00DF1690">
        <w:rPr>
          <w:lang w:val="fr-FR"/>
        </w:rPr>
        <w:t xml:space="preserve"> </w:t>
      </w:r>
      <w:hyperlink r:id="rId15" w:history="1">
        <w:r w:rsidRPr="00DF1690">
          <w:rPr>
            <w:rStyle w:val="Lienhypertexte"/>
            <w:lang w:val="fr-FR"/>
          </w:rPr>
          <w:t>15/34</w:t>
        </w:r>
      </w:hyperlink>
      <w:r w:rsidRPr="00DF1690">
        <w:rPr>
          <w:lang w:val="fr-FR"/>
        </w:rPr>
        <w:t>, prévu pour 2023 et inclus dans le budget de la même année, n’a pas encore été entrepris,</w:t>
      </w:r>
    </w:p>
    <w:p w14:paraId="4FA57C66" w14:textId="70362CE7" w:rsidR="00DF1690" w:rsidRPr="00DF1690" w:rsidRDefault="00DF1690" w:rsidP="00DF1690">
      <w:pPr>
        <w:pStyle w:val="CBDDesicionText"/>
        <w:rPr>
          <w:lang w:val="fr-FR"/>
        </w:rPr>
      </w:pPr>
      <w:r w:rsidRPr="00DF1690">
        <w:rPr>
          <w:i/>
          <w:iCs/>
          <w:lang w:val="fr-FR"/>
        </w:rPr>
        <w:t>Accueillant avec satisfaction</w:t>
      </w:r>
      <w:r w:rsidRPr="00DF1690">
        <w:rPr>
          <w:lang w:val="fr-FR"/>
        </w:rPr>
        <w:t xml:space="preserve"> les contributions des pays développés Parties </w:t>
      </w:r>
      <w:r w:rsidRPr="006675ED">
        <w:rPr>
          <w:lang w:val="fr-FR"/>
        </w:rPr>
        <w:t>aux Fonds spécia</w:t>
      </w:r>
      <w:r w:rsidR="002260BC" w:rsidRPr="006675ED">
        <w:rPr>
          <w:lang w:val="fr-FR"/>
        </w:rPr>
        <w:t>ux</w:t>
      </w:r>
      <w:r w:rsidRPr="006675ED">
        <w:rPr>
          <w:lang w:val="fr-FR"/>
        </w:rPr>
        <w:t xml:space="preserve"> de contributions </w:t>
      </w:r>
      <w:r w:rsidR="002260BC" w:rsidRPr="006675ED">
        <w:rPr>
          <w:lang w:val="fr-FR"/>
        </w:rPr>
        <w:t>volontaires</w:t>
      </w:r>
      <w:r w:rsidRPr="006675ED">
        <w:rPr>
          <w:lang w:val="fr-FR"/>
        </w:rPr>
        <w:t xml:space="preserve"> de la Convention et de ses Protocoles</w:t>
      </w:r>
      <w:r w:rsidR="002260BC" w:rsidRPr="006675ED">
        <w:rPr>
          <w:lang w:val="fr-FR"/>
        </w:rPr>
        <w:t xml:space="preserve"> </w:t>
      </w:r>
      <w:r w:rsidR="008B18F4" w:rsidRPr="006675ED">
        <w:rPr>
          <w:lang w:val="fr-FR"/>
        </w:rPr>
        <w:t>destinés</w:t>
      </w:r>
      <w:r w:rsidR="002260BC" w:rsidRPr="006675ED">
        <w:rPr>
          <w:lang w:val="fr-FR"/>
        </w:rPr>
        <w:t xml:space="preserve"> à</w:t>
      </w:r>
      <w:r w:rsidRPr="006675ED">
        <w:rPr>
          <w:lang w:val="fr-FR"/>
        </w:rPr>
        <w:t xml:space="preserve"> faciliter</w:t>
      </w:r>
      <w:r w:rsidRPr="00DF1690">
        <w:rPr>
          <w:lang w:val="fr-FR"/>
        </w:rPr>
        <w:t xml:space="preserve"> la participation </w:t>
      </w:r>
      <w:r w:rsidRPr="00DF1690">
        <w:rPr>
          <w:lang w:val="fr-FR"/>
        </w:rPr>
        <w:lastRenderedPageBreak/>
        <w:t>des pays en développement Parties et des peuples autochtones et communautés locales au processus de la Convention et de ses Protocoles,</w:t>
      </w:r>
    </w:p>
    <w:p w14:paraId="1AA22AC6" w14:textId="77777777" w:rsidR="00DF1690" w:rsidRPr="00DF1690" w:rsidRDefault="00DF1690" w:rsidP="00DF1690">
      <w:pPr>
        <w:pStyle w:val="CBDDesicionText"/>
        <w:rPr>
          <w:lang w:val="fr-FR"/>
        </w:rPr>
      </w:pPr>
      <w:r w:rsidRPr="00DF1690">
        <w:rPr>
          <w:i/>
          <w:iCs/>
          <w:lang w:val="fr-FR"/>
        </w:rPr>
        <w:t>Reconnaissant</w:t>
      </w:r>
      <w:r w:rsidRPr="00DF1690">
        <w:rPr>
          <w:lang w:val="fr-FR"/>
        </w:rPr>
        <w:t xml:space="preserve"> les contraintes budgétaires des Parties, </w:t>
      </w:r>
    </w:p>
    <w:p w14:paraId="5A4FBFFA" w14:textId="6EF9581B" w:rsidR="00DF1690" w:rsidRPr="00DF1690" w:rsidRDefault="00DF1690" w:rsidP="00DF1690">
      <w:pPr>
        <w:pStyle w:val="CBDDesicionText"/>
        <w:rPr>
          <w:lang w:val="fr-FR"/>
        </w:rPr>
      </w:pPr>
      <w:r w:rsidRPr="00DF1690">
        <w:rPr>
          <w:i/>
          <w:iCs/>
          <w:lang w:val="fr-FR"/>
        </w:rPr>
        <w:t>Prenant note avec préoccupation</w:t>
      </w:r>
      <w:r w:rsidRPr="00DF1690">
        <w:rPr>
          <w:lang w:val="fr-FR"/>
        </w:rPr>
        <w:t xml:space="preserve"> que le manque de financement prévisible et durable a eu une incidence défavorable sur la participation des pays en développement Parties, en particulier les pays les moins avancés et les petits États insulaires en développement, et les Parties à économie en transition, au cours des réunions tenues au titre de la Convention et de</w:t>
      </w:r>
      <w:r w:rsidR="00230DC5">
        <w:rPr>
          <w:lang w:val="fr-FR"/>
        </w:rPr>
        <w:t xml:space="preserve"> ses</w:t>
      </w:r>
      <w:r w:rsidRPr="00DF1690">
        <w:rPr>
          <w:lang w:val="fr-FR"/>
        </w:rPr>
        <w:t xml:space="preserve"> Protocoles,</w:t>
      </w:r>
    </w:p>
    <w:p w14:paraId="4084AFB0" w14:textId="57E9C799" w:rsidR="00DF1690" w:rsidRPr="00DF1690" w:rsidRDefault="00DF1690" w:rsidP="00DF1690">
      <w:pPr>
        <w:pStyle w:val="CBDDesicionText"/>
        <w:rPr>
          <w:lang w:val="fr-FR"/>
        </w:rPr>
      </w:pPr>
      <w:r w:rsidRPr="00DF1690">
        <w:rPr>
          <w:lang w:val="fr-FR"/>
        </w:rPr>
        <w:t>1.</w:t>
      </w:r>
      <w:r w:rsidRPr="00DF1690">
        <w:rPr>
          <w:i/>
          <w:iCs/>
          <w:lang w:val="fr-FR"/>
        </w:rPr>
        <w:tab/>
        <w:t xml:space="preserve">Décide </w:t>
      </w:r>
      <w:r w:rsidRPr="00DF1690">
        <w:rPr>
          <w:lang w:val="fr-FR"/>
        </w:rPr>
        <w:t xml:space="preserve">d’adopter un programme de travail et </w:t>
      </w:r>
      <w:proofErr w:type="gramStart"/>
      <w:r w:rsidRPr="00DF1690">
        <w:rPr>
          <w:lang w:val="fr-FR"/>
        </w:rPr>
        <w:t>un budget intégrés</w:t>
      </w:r>
      <w:proofErr w:type="gramEnd"/>
      <w:r w:rsidRPr="00DF1690">
        <w:rPr>
          <w:lang w:val="fr-FR"/>
        </w:rPr>
        <w:t xml:space="preserve"> pour la Convention sur la diversité biologique, le Protocole de Cartagena sur la prévention des risques biotechnologiques</w:t>
      </w:r>
      <w:r w:rsidRPr="00DF1690">
        <w:rPr>
          <w:rStyle w:val="Appelnotedebasdep"/>
          <w:lang w:val="fr-FR"/>
        </w:rPr>
        <w:footnoteReference w:id="5"/>
      </w:r>
      <w:r w:rsidRPr="00DF1690">
        <w:rPr>
          <w:lang w:val="fr-FR"/>
        </w:rPr>
        <w:t xml:space="preserve"> et le Protocole de Nagoya sur l’accès aux ressources génétiques et le partage juste et équitable des avantages découlant de leur utilisation</w:t>
      </w:r>
      <w:r w:rsidRPr="00DF1690">
        <w:rPr>
          <w:rStyle w:val="Appelnotedebasdep"/>
          <w:lang w:val="fr-FR"/>
        </w:rPr>
        <w:footnoteReference w:id="6"/>
      </w:r>
      <w:r w:rsidR="00AA1A10">
        <w:rPr>
          <w:lang w:val="fr-FR"/>
        </w:rPr>
        <w:t> </w:t>
      </w:r>
      <w:r w:rsidRPr="00DF1690">
        <w:rPr>
          <w:lang w:val="fr-FR"/>
        </w:rPr>
        <w:t>;</w:t>
      </w:r>
    </w:p>
    <w:p w14:paraId="3D54D2EC" w14:textId="60B68D08" w:rsidR="00DF1690" w:rsidRPr="00DF1690" w:rsidRDefault="00DF1690" w:rsidP="00DF1690">
      <w:pPr>
        <w:pStyle w:val="CBDDesicionText"/>
        <w:rPr>
          <w:rFonts w:asciiTheme="majorBidi" w:hAnsiTheme="majorBidi" w:cstheme="majorBidi"/>
          <w:lang w:val="fr-FR"/>
        </w:rPr>
      </w:pPr>
      <w:r w:rsidRPr="00DF1690">
        <w:rPr>
          <w:rFonts w:asciiTheme="majorBidi" w:hAnsiTheme="majorBidi"/>
          <w:lang w:val="fr-FR"/>
        </w:rPr>
        <w:t>2.</w:t>
      </w:r>
      <w:r w:rsidRPr="00DF1690">
        <w:rPr>
          <w:rFonts w:asciiTheme="majorBidi" w:hAnsiTheme="majorBidi"/>
          <w:i/>
          <w:iCs/>
          <w:lang w:val="fr-FR"/>
        </w:rPr>
        <w:tab/>
      </w:r>
      <w:r w:rsidRPr="00DF1690">
        <w:rPr>
          <w:i/>
          <w:iCs/>
          <w:lang w:val="fr-FR"/>
        </w:rPr>
        <w:t>Décide également</w:t>
      </w:r>
      <w:r w:rsidRPr="00DF1690">
        <w:rPr>
          <w:lang w:val="fr-FR"/>
        </w:rPr>
        <w:t xml:space="preserve"> de répartir tous les coûts des services de secrétariat entre la Convention, le Protocole de Cartagena et le Protocole de Nagoya dans une proportion de 72 à 15 à 13 pour l’exercice biennal 2025-2026</w:t>
      </w:r>
      <w:r w:rsidR="00AA1A10">
        <w:rPr>
          <w:lang w:val="fr-FR"/>
        </w:rPr>
        <w:t> </w:t>
      </w:r>
      <w:r w:rsidRPr="00DF1690">
        <w:rPr>
          <w:lang w:val="fr-FR"/>
        </w:rPr>
        <w:t>;</w:t>
      </w:r>
    </w:p>
    <w:p w14:paraId="7A2C755B" w14:textId="58B532F8" w:rsidR="00DF1690" w:rsidRPr="00DF1690" w:rsidRDefault="00DF1690" w:rsidP="00DF1690">
      <w:pPr>
        <w:pStyle w:val="CBDDesicionText"/>
        <w:rPr>
          <w:rFonts w:asciiTheme="majorBidi" w:hAnsiTheme="majorBidi" w:cstheme="majorBidi"/>
          <w:lang w:val="fr-FR"/>
        </w:rPr>
      </w:pPr>
      <w:r w:rsidRPr="00DF1690">
        <w:rPr>
          <w:rFonts w:asciiTheme="majorBidi" w:hAnsiTheme="majorBidi"/>
          <w:lang w:val="fr-FR"/>
        </w:rPr>
        <w:t>3.</w:t>
      </w:r>
      <w:r w:rsidRPr="00DF1690">
        <w:rPr>
          <w:rFonts w:asciiTheme="majorBidi" w:hAnsiTheme="majorBidi"/>
          <w:i/>
          <w:iCs/>
          <w:lang w:val="fr-FR"/>
        </w:rPr>
        <w:tab/>
      </w:r>
      <w:r w:rsidRPr="00DF1690">
        <w:rPr>
          <w:i/>
          <w:iCs/>
          <w:lang w:val="fr-FR"/>
        </w:rPr>
        <w:t>Approuve</w:t>
      </w:r>
      <w:r w:rsidRPr="00DF1690">
        <w:rPr>
          <w:lang w:val="fr-FR"/>
        </w:rPr>
        <w:t xml:space="preserve"> un budget-programme (Fonds </w:t>
      </w:r>
      <w:r w:rsidR="006675ED">
        <w:rPr>
          <w:lang w:val="fr-FR"/>
        </w:rPr>
        <w:t xml:space="preserve">d’affectation spéciale </w:t>
      </w:r>
      <w:r w:rsidR="002260BC">
        <w:rPr>
          <w:lang w:val="fr-FR"/>
        </w:rPr>
        <w:t>général pour</w:t>
      </w:r>
      <w:r w:rsidRPr="00DF1690">
        <w:rPr>
          <w:lang w:val="fr-FR"/>
        </w:rPr>
        <w:t xml:space="preserve"> la Convention) de 15 611 078 dollars des États-Unis pour 2025 et de 16 382 433 dollars des États-Unis pour 2026, ce qui représente 72 pour cent du budget intégré de 21 682 052 dollars pour 2025 et 22 753 379 dollars pour 2026 pour la Convention et ses Protocoles, aux fins énumérées dans les tableaux 1 et 2 ci-dessous</w:t>
      </w:r>
      <w:r w:rsidR="00AA1A10">
        <w:rPr>
          <w:lang w:val="fr-FR"/>
        </w:rPr>
        <w:t> </w:t>
      </w:r>
      <w:r w:rsidRPr="00DF1690">
        <w:rPr>
          <w:lang w:val="fr-FR"/>
        </w:rPr>
        <w:t>;</w:t>
      </w:r>
    </w:p>
    <w:p w14:paraId="169F2B28" w14:textId="2CDFFC1A" w:rsidR="00DF1690" w:rsidRPr="00DF1690" w:rsidRDefault="00DF1690" w:rsidP="00DF1690">
      <w:pPr>
        <w:pStyle w:val="CBDDesicionText"/>
        <w:rPr>
          <w:rFonts w:asciiTheme="majorBidi" w:hAnsiTheme="majorBidi" w:cstheme="majorBidi"/>
          <w:lang w:val="fr-FR"/>
        </w:rPr>
      </w:pPr>
      <w:r w:rsidRPr="00DF1690">
        <w:rPr>
          <w:rFonts w:asciiTheme="majorBidi" w:hAnsiTheme="majorBidi"/>
          <w:lang w:val="fr-FR"/>
        </w:rPr>
        <w:t>4.</w:t>
      </w:r>
      <w:r w:rsidRPr="00DF1690">
        <w:rPr>
          <w:rFonts w:asciiTheme="majorBidi" w:hAnsiTheme="majorBidi"/>
          <w:lang w:val="fr-FR"/>
        </w:rPr>
        <w:tab/>
      </w:r>
      <w:r w:rsidRPr="00DF1690">
        <w:rPr>
          <w:rFonts w:asciiTheme="majorBidi" w:hAnsiTheme="majorBidi"/>
          <w:i/>
          <w:iCs/>
          <w:lang w:val="fr-FR"/>
        </w:rPr>
        <w:t>Approuve également,</w:t>
      </w:r>
      <w:r w:rsidRPr="00DF1690">
        <w:rPr>
          <w:rFonts w:asciiTheme="majorBidi" w:hAnsiTheme="majorBidi"/>
          <w:lang w:val="fr-FR"/>
        </w:rPr>
        <w:t xml:space="preserve"> vu l’impossibilité de trouver des disponibilités au siège de l’Organisation de l’aviation civile internationale pour convoquer des réunions des organes subsidiaires au cours de l’exercice biennal 2025-2026, un budget-programme additionnel qui ne dépassera pas 139 081 dollars pour 2025 et 139 081 dollars pour 2026, représentant 72 pour cent du budget additionnel intégré de 193 168 dollars pour 2025 et 193 168 dollars pour 2026 pour la Convention et ses Protocoles, ce budget-programme additionnel étant prélevé du solde non dépensé du Fonds </w:t>
      </w:r>
      <w:r w:rsidR="006675ED">
        <w:rPr>
          <w:lang w:val="fr-FR"/>
        </w:rPr>
        <w:t>d’affectation spéciale</w:t>
      </w:r>
      <w:r w:rsidR="006675ED" w:rsidRPr="00DF1690">
        <w:rPr>
          <w:rFonts w:asciiTheme="majorBidi" w:hAnsiTheme="majorBidi"/>
          <w:lang w:val="fr-FR"/>
        </w:rPr>
        <w:t xml:space="preserve"> </w:t>
      </w:r>
      <w:r w:rsidRPr="00DF1690">
        <w:rPr>
          <w:rFonts w:asciiTheme="majorBidi" w:hAnsiTheme="majorBidi"/>
          <w:lang w:val="fr-FR"/>
        </w:rPr>
        <w:t xml:space="preserve">général </w:t>
      </w:r>
      <w:r w:rsidR="002260BC">
        <w:rPr>
          <w:rFonts w:asciiTheme="majorBidi" w:hAnsiTheme="majorBidi"/>
          <w:lang w:val="fr-FR"/>
        </w:rPr>
        <w:t>pour</w:t>
      </w:r>
      <w:r w:rsidRPr="00DF1690">
        <w:rPr>
          <w:rFonts w:asciiTheme="majorBidi" w:hAnsiTheme="majorBidi"/>
          <w:lang w:val="fr-FR"/>
        </w:rPr>
        <w:t xml:space="preserve"> la Convention</w:t>
      </w:r>
      <w:r w:rsidR="00AA1A10">
        <w:rPr>
          <w:rFonts w:asciiTheme="majorBidi" w:hAnsiTheme="majorBidi"/>
          <w:lang w:val="fr-FR"/>
        </w:rPr>
        <w:t> </w:t>
      </w:r>
      <w:r w:rsidRPr="00DF1690">
        <w:rPr>
          <w:rFonts w:asciiTheme="majorBidi" w:hAnsiTheme="majorBidi"/>
          <w:lang w:val="fr-FR"/>
        </w:rPr>
        <w:t>;</w:t>
      </w:r>
    </w:p>
    <w:p w14:paraId="73476430" w14:textId="1AEEB3A0" w:rsidR="00DF1690" w:rsidRPr="00DF1690" w:rsidRDefault="00DF1690" w:rsidP="00DF1690">
      <w:pPr>
        <w:pStyle w:val="CBDDesicionText"/>
        <w:rPr>
          <w:rFonts w:asciiTheme="majorBidi" w:hAnsiTheme="majorBidi" w:cstheme="majorBidi"/>
          <w:lang w:val="fr-FR"/>
        </w:rPr>
      </w:pPr>
      <w:r w:rsidRPr="00DF1690">
        <w:rPr>
          <w:rFonts w:asciiTheme="majorBidi" w:hAnsiTheme="majorBidi"/>
          <w:lang w:val="fr-FR"/>
        </w:rPr>
        <w:t>5.</w:t>
      </w:r>
      <w:r w:rsidRPr="00DF1690">
        <w:rPr>
          <w:rFonts w:asciiTheme="majorBidi" w:hAnsiTheme="majorBidi"/>
          <w:i/>
          <w:iCs/>
          <w:lang w:val="fr-FR"/>
        </w:rPr>
        <w:tab/>
      </w:r>
      <w:r w:rsidRPr="00DF1690">
        <w:rPr>
          <w:i/>
          <w:iCs/>
          <w:lang w:val="fr-FR"/>
        </w:rPr>
        <w:t>Approuve en outre</w:t>
      </w:r>
      <w:r w:rsidRPr="00DF1690">
        <w:rPr>
          <w:lang w:val="fr-FR"/>
        </w:rPr>
        <w:t xml:space="preserve"> l’utilisation du solde non dépensé du Fonds </w:t>
      </w:r>
      <w:r w:rsidR="006675ED">
        <w:rPr>
          <w:lang w:val="fr-FR"/>
        </w:rPr>
        <w:t>d’affectation spéciale</w:t>
      </w:r>
      <w:r w:rsidR="006675ED" w:rsidRPr="00DF1690">
        <w:rPr>
          <w:lang w:val="fr-FR"/>
        </w:rPr>
        <w:t xml:space="preserve"> </w:t>
      </w:r>
      <w:r w:rsidRPr="00DF1690">
        <w:rPr>
          <w:lang w:val="fr-FR"/>
        </w:rPr>
        <w:t xml:space="preserve">général de la Convention, du Fonds </w:t>
      </w:r>
      <w:r w:rsidR="006675ED">
        <w:rPr>
          <w:lang w:val="fr-FR"/>
        </w:rPr>
        <w:t>d’affectation spéciale</w:t>
      </w:r>
      <w:r w:rsidR="006675ED" w:rsidRPr="00DF1690">
        <w:rPr>
          <w:lang w:val="fr-FR"/>
        </w:rPr>
        <w:t xml:space="preserve"> </w:t>
      </w:r>
      <w:r w:rsidRPr="00DF1690">
        <w:rPr>
          <w:lang w:val="fr-FR"/>
        </w:rPr>
        <w:t xml:space="preserve">général pour le </w:t>
      </w:r>
      <w:r w:rsidR="002260BC">
        <w:rPr>
          <w:lang w:val="fr-FR"/>
        </w:rPr>
        <w:t>B</w:t>
      </w:r>
      <w:r w:rsidRPr="00DF1690">
        <w:rPr>
          <w:lang w:val="fr-FR"/>
        </w:rPr>
        <w:t xml:space="preserve">udget-programme </w:t>
      </w:r>
      <w:r w:rsidR="002260BC">
        <w:rPr>
          <w:lang w:val="fr-FR"/>
        </w:rPr>
        <w:t xml:space="preserve">de base </w:t>
      </w:r>
      <w:r w:rsidRPr="00DF1690">
        <w:rPr>
          <w:lang w:val="fr-FR"/>
        </w:rPr>
        <w:t xml:space="preserve">du Protocole de Cartagena et du Fonds </w:t>
      </w:r>
      <w:r w:rsidR="006675ED">
        <w:rPr>
          <w:lang w:val="fr-FR"/>
        </w:rPr>
        <w:t>d’affectation spéciale</w:t>
      </w:r>
      <w:r w:rsidR="006675ED" w:rsidRPr="00DF1690">
        <w:rPr>
          <w:lang w:val="fr-FR"/>
        </w:rPr>
        <w:t xml:space="preserve"> </w:t>
      </w:r>
      <w:r w:rsidRPr="00DF1690">
        <w:rPr>
          <w:lang w:val="fr-FR"/>
        </w:rPr>
        <w:t xml:space="preserve">général pour le </w:t>
      </w:r>
      <w:r w:rsidR="002260BC">
        <w:rPr>
          <w:lang w:val="fr-FR"/>
        </w:rPr>
        <w:t>B</w:t>
      </w:r>
      <w:r w:rsidRPr="00DF1690">
        <w:rPr>
          <w:lang w:val="fr-FR"/>
        </w:rPr>
        <w:t xml:space="preserve">udget-programme </w:t>
      </w:r>
      <w:r w:rsidR="002260BC">
        <w:rPr>
          <w:lang w:val="fr-FR"/>
        </w:rPr>
        <w:t xml:space="preserve">de base </w:t>
      </w:r>
      <w:r w:rsidRPr="00DF1690">
        <w:rPr>
          <w:lang w:val="fr-FR"/>
        </w:rPr>
        <w:t xml:space="preserve">du Protocole de Nagoya (les fonds </w:t>
      </w:r>
      <w:r w:rsidR="006675ED">
        <w:rPr>
          <w:lang w:val="fr-FR"/>
        </w:rPr>
        <w:t xml:space="preserve">d’affectation spéciale </w:t>
      </w:r>
      <w:r w:rsidR="002260BC">
        <w:rPr>
          <w:lang w:val="fr-FR"/>
        </w:rPr>
        <w:t>de base</w:t>
      </w:r>
      <w:r w:rsidRPr="00DF1690">
        <w:rPr>
          <w:lang w:val="fr-FR"/>
        </w:rPr>
        <w:t>) pour l’exercice biennal de 2023-2024, soit 668 836 dollars, pour compenser les contributions des Parties à la Convention, des Parties au Protocole de Cartagena et des Parties au Protocole de Nagoya, respectivement, pour l’exercice biennal</w:t>
      </w:r>
      <w:r w:rsidR="00AA1A10">
        <w:rPr>
          <w:lang w:val="fr-FR"/>
        </w:rPr>
        <w:t> </w:t>
      </w:r>
      <w:r w:rsidRPr="00DF1690">
        <w:rPr>
          <w:lang w:val="fr-FR"/>
        </w:rPr>
        <w:t>2025-2026</w:t>
      </w:r>
      <w:r w:rsidR="00AA1A10">
        <w:rPr>
          <w:lang w:val="fr-FR"/>
        </w:rPr>
        <w:t> </w:t>
      </w:r>
      <w:r w:rsidRPr="00DF1690">
        <w:rPr>
          <w:lang w:val="fr-FR"/>
        </w:rPr>
        <w:t>;</w:t>
      </w:r>
    </w:p>
    <w:p w14:paraId="14DB6A4B" w14:textId="3F9157B2" w:rsidR="00DF1690" w:rsidRPr="00DF1690" w:rsidRDefault="00DF1690" w:rsidP="00DF1690">
      <w:pPr>
        <w:pStyle w:val="CBDDesicionText"/>
        <w:rPr>
          <w:rFonts w:asciiTheme="majorBidi" w:hAnsiTheme="majorBidi" w:cstheme="majorBidi"/>
          <w:lang w:val="fr-FR"/>
        </w:rPr>
      </w:pPr>
      <w:r w:rsidRPr="00DF1690">
        <w:rPr>
          <w:rFonts w:asciiTheme="majorBidi" w:hAnsiTheme="majorBidi"/>
          <w:lang w:val="fr-FR"/>
        </w:rPr>
        <w:t>6.</w:t>
      </w:r>
      <w:r w:rsidRPr="00DF1690">
        <w:rPr>
          <w:rFonts w:asciiTheme="majorBidi" w:hAnsiTheme="majorBidi"/>
          <w:i/>
          <w:iCs/>
          <w:lang w:val="fr-FR"/>
        </w:rPr>
        <w:tab/>
      </w:r>
      <w:r w:rsidRPr="00DF1690">
        <w:rPr>
          <w:i/>
          <w:iCs/>
          <w:lang w:val="fr-FR"/>
        </w:rPr>
        <w:t>Exprime ses remerciements</w:t>
      </w:r>
      <w:r w:rsidRPr="00DF1690">
        <w:rPr>
          <w:lang w:val="fr-FR"/>
        </w:rPr>
        <w:t xml:space="preserve"> au pays hôte du Secrétariat de la Convention, le Canada, pour son soutien renouvelé au Secrétariat et se réjouit de la contribution financière de 2 234 451 dollars canadiens du pays hôte et de la Province de Québec pour 2025 et de 2 255 959 dollars canadiens pour 2026, couvrant le loyer et les dépenses connexes du Secrétariat, qui seront répartis dans une proportion de 72 à 15 à 13 afin de compenser les contributions des Parties à la Convention, des Parties au Protocole de Cartagena et des Parties au Protocole de Nagoya, respectivement, pour l’exercice biennal 2025-2026</w:t>
      </w:r>
      <w:r w:rsidR="00AA1A10">
        <w:rPr>
          <w:lang w:val="fr-FR"/>
        </w:rPr>
        <w:t> </w:t>
      </w:r>
      <w:r w:rsidRPr="00DF1690">
        <w:rPr>
          <w:lang w:val="fr-FR"/>
        </w:rPr>
        <w:t>;</w:t>
      </w:r>
    </w:p>
    <w:p w14:paraId="4089859B" w14:textId="751FCA63" w:rsidR="00DF1690" w:rsidRPr="00DF1690" w:rsidRDefault="00DF1690" w:rsidP="00DF1690">
      <w:pPr>
        <w:pStyle w:val="CBDDesicionText"/>
        <w:rPr>
          <w:rFonts w:asciiTheme="majorBidi" w:hAnsiTheme="majorBidi" w:cstheme="majorBidi"/>
          <w:lang w:val="fr-FR"/>
        </w:rPr>
      </w:pPr>
      <w:r w:rsidRPr="00DF1690">
        <w:rPr>
          <w:rFonts w:asciiTheme="majorBidi" w:hAnsiTheme="majorBidi"/>
          <w:lang w:val="fr-FR"/>
        </w:rPr>
        <w:t>7.</w:t>
      </w:r>
      <w:r w:rsidRPr="00DF1690">
        <w:rPr>
          <w:rFonts w:asciiTheme="majorBidi" w:hAnsiTheme="majorBidi"/>
          <w:lang w:val="fr-FR"/>
        </w:rPr>
        <w:tab/>
      </w:r>
      <w:r w:rsidRPr="00DF1690">
        <w:rPr>
          <w:i/>
          <w:iCs/>
          <w:lang w:val="fr-FR"/>
        </w:rPr>
        <w:t>Prie</w:t>
      </w:r>
      <w:r w:rsidRPr="00DF1690">
        <w:rPr>
          <w:lang w:val="fr-FR"/>
        </w:rPr>
        <w:t xml:space="preserve"> la Secrétaire exécutive de minimiser les dépenses liées aux conférences en réservant des lieux de conférence pour toutes les réunions des organes subsidiaires tenues à Montréal, au Canada, pendant l’exercice 2025-2026 et après, par l’entremise de l’accord préférentiel sur l’utilisation des espaces avec l’Organisation de l’aviation civile internationale, ou à Nairobi, ou à toute autre installation disponible des Nations Unies en fonction de leur capacité à accueillir de telles réunions, et également en tenant compte des répercussions budgétaires et des économies en matière </w:t>
      </w:r>
      <w:r w:rsidRPr="00DF1690">
        <w:rPr>
          <w:lang w:val="fr-FR"/>
        </w:rPr>
        <w:lastRenderedPageBreak/>
        <w:t>de déplacements et d’indemnités de subsistance pour la participation des Parties, et de tous les autres services pour toutes les dates de disponibilité qui conviennent aux Parties, et autorise l’utilisation des soldes non dépensés pour les frais supplémentaires de réservation de lieux de conférence et les dépenses connexes pour les autres options de conférence les plus économiques, pour un montant maximal de 386 336 dollars des États-Unis, dans les cas exceptionnels où il serait impossible de trouver des disponibilités aux endroits susmentionnés</w:t>
      </w:r>
      <w:r w:rsidR="00AA1A10">
        <w:rPr>
          <w:lang w:val="fr-FR"/>
        </w:rPr>
        <w:t> </w:t>
      </w:r>
      <w:r w:rsidRPr="00DF1690">
        <w:rPr>
          <w:lang w:val="fr-FR"/>
        </w:rPr>
        <w:t>;</w:t>
      </w:r>
    </w:p>
    <w:p w14:paraId="76D75449" w14:textId="38371060" w:rsidR="00DF1690" w:rsidRPr="00DF1690" w:rsidRDefault="00DF1690" w:rsidP="00DF1690">
      <w:pPr>
        <w:pStyle w:val="CBDDesicionText"/>
        <w:rPr>
          <w:lang w:val="fr-FR"/>
        </w:rPr>
      </w:pPr>
      <w:r w:rsidRPr="00DF1690">
        <w:rPr>
          <w:lang w:val="fr-FR"/>
        </w:rPr>
        <w:t>8.</w:t>
      </w:r>
      <w:r w:rsidRPr="00DF1690">
        <w:rPr>
          <w:i/>
          <w:iCs/>
          <w:lang w:val="fr-FR"/>
        </w:rPr>
        <w:tab/>
        <w:t>Adopte</w:t>
      </w:r>
      <w:r w:rsidRPr="00DF1690">
        <w:rPr>
          <w:lang w:val="fr-FR"/>
        </w:rPr>
        <w:t xml:space="preserve"> un </w:t>
      </w:r>
      <w:bookmarkStart w:id="3" w:name="_Hlk183536290"/>
      <w:r w:rsidRPr="00DF1690">
        <w:rPr>
          <w:lang w:val="fr-FR"/>
        </w:rPr>
        <w:t>barème de contributions pour la répartition des dépenses de 2025 et 2026</w:t>
      </w:r>
      <w:bookmarkEnd w:id="3"/>
      <w:r w:rsidRPr="00DF1690">
        <w:rPr>
          <w:lang w:val="fr-FR"/>
        </w:rPr>
        <w:t>, conforme au barème de contributions actuel des Nations Unies</w:t>
      </w:r>
      <w:r w:rsidRPr="00DF1690">
        <w:rPr>
          <w:rStyle w:val="Appelnotedebasdep"/>
          <w:rFonts w:asciiTheme="majorBidi" w:hAnsiTheme="majorBidi" w:cstheme="majorBidi"/>
          <w:lang w:val="fr-FR"/>
        </w:rPr>
        <w:footnoteReference w:id="7"/>
      </w:r>
      <w:r w:rsidRPr="00DF1690">
        <w:rPr>
          <w:lang w:val="fr-FR"/>
        </w:rPr>
        <w:t>, présenté à l’annexe de la présente décision</w:t>
      </w:r>
      <w:r w:rsidR="00AA1A10">
        <w:rPr>
          <w:lang w:val="fr-FR"/>
        </w:rPr>
        <w:t> </w:t>
      </w:r>
      <w:r w:rsidRPr="00DF1690">
        <w:rPr>
          <w:lang w:val="fr-FR"/>
        </w:rPr>
        <w:t>;</w:t>
      </w:r>
    </w:p>
    <w:p w14:paraId="3DC97193" w14:textId="361DDB64" w:rsidR="00DF1690" w:rsidRPr="00DF1690" w:rsidRDefault="00DF1690" w:rsidP="00DF1690">
      <w:pPr>
        <w:pStyle w:val="CBDDesicionText"/>
        <w:rPr>
          <w:lang w:val="fr-FR"/>
        </w:rPr>
      </w:pPr>
      <w:r w:rsidRPr="00DF1690">
        <w:rPr>
          <w:lang w:val="fr-FR"/>
        </w:rPr>
        <w:t>9.</w:t>
      </w:r>
      <w:r w:rsidRPr="00DF1690">
        <w:rPr>
          <w:i/>
          <w:iCs/>
          <w:lang w:val="fr-FR"/>
        </w:rPr>
        <w:tab/>
        <w:t xml:space="preserve">Adopte également </w:t>
      </w:r>
      <w:r w:rsidRPr="00DF1690">
        <w:rPr>
          <w:lang w:val="fr-FR"/>
        </w:rPr>
        <w:t>le tableau sur les effectifs du Secrétariat pour l’exercice biennal 2025-2026, comme présenté dans le tableau 3 ci-dessous, utilisé à des fins d’estimation des coûts pour établir le budget général</w:t>
      </w:r>
      <w:r w:rsidR="00AA1A10">
        <w:rPr>
          <w:lang w:val="fr-FR"/>
        </w:rPr>
        <w:t> </w:t>
      </w:r>
      <w:r w:rsidRPr="00DF1690">
        <w:rPr>
          <w:lang w:val="fr-FR"/>
        </w:rPr>
        <w:t>;</w:t>
      </w:r>
    </w:p>
    <w:p w14:paraId="7416F462" w14:textId="00C0EF11" w:rsidR="00DF1690" w:rsidRPr="00DF1690" w:rsidRDefault="00DF1690" w:rsidP="00DF1690">
      <w:pPr>
        <w:pStyle w:val="CBDDesicionText"/>
        <w:rPr>
          <w:lang w:val="fr-FR"/>
        </w:rPr>
      </w:pPr>
      <w:r w:rsidRPr="00DF1690">
        <w:rPr>
          <w:lang w:val="fr-FR"/>
        </w:rPr>
        <w:t>10.</w:t>
      </w:r>
      <w:r w:rsidRPr="00DF1690">
        <w:rPr>
          <w:i/>
          <w:iCs/>
          <w:lang w:val="fr-FR"/>
        </w:rPr>
        <w:tab/>
        <w:t>Rappelle</w:t>
      </w:r>
      <w:r w:rsidRPr="00DF1690">
        <w:rPr>
          <w:lang w:val="fr-FR"/>
        </w:rPr>
        <w:t xml:space="preserve"> que la dotation en personnel du Secrétariat doit se faire de façon à ce que toutes les obligations au titre de la Convention et de ses Protocoles soient respectées</w:t>
      </w:r>
      <w:r w:rsidR="00AA1A10">
        <w:rPr>
          <w:lang w:val="fr-FR"/>
        </w:rPr>
        <w:t> </w:t>
      </w:r>
      <w:r w:rsidRPr="00DF1690">
        <w:rPr>
          <w:lang w:val="fr-FR"/>
        </w:rPr>
        <w:t>;</w:t>
      </w:r>
    </w:p>
    <w:p w14:paraId="2FAA4798" w14:textId="1B563D3F" w:rsidR="00DF1690" w:rsidRPr="00DF1690" w:rsidRDefault="00DF1690" w:rsidP="00DF1690">
      <w:pPr>
        <w:pStyle w:val="CBDDesicionText"/>
        <w:rPr>
          <w:lang w:val="fr-FR"/>
        </w:rPr>
      </w:pPr>
      <w:r w:rsidRPr="00DF1690">
        <w:rPr>
          <w:lang w:val="fr-FR"/>
        </w:rPr>
        <w:t>11.</w:t>
      </w:r>
      <w:r w:rsidRPr="00DF1690">
        <w:rPr>
          <w:i/>
          <w:iCs/>
          <w:lang w:val="fr-FR"/>
        </w:rPr>
        <w:tab/>
        <w:t xml:space="preserve">Prie instamment </w:t>
      </w:r>
      <w:r w:rsidRPr="00DF1690">
        <w:rPr>
          <w:lang w:val="fr-FR"/>
        </w:rPr>
        <w:t>la Secrétaire exécutive de terminer l’examen fonctionnel demandé dans la décision </w:t>
      </w:r>
      <w:hyperlink r:id="rId16" w:history="1">
        <w:r w:rsidRPr="00DF1690">
          <w:rPr>
            <w:rStyle w:val="Lienhypertexte"/>
            <w:lang w:val="fr-FR"/>
          </w:rPr>
          <w:t>15/34</w:t>
        </w:r>
      </w:hyperlink>
      <w:r w:rsidRPr="00DF1690">
        <w:rPr>
          <w:lang w:val="fr-FR"/>
        </w:rPr>
        <w:t>, en tenant compte du rapport visant à définir le champ d’application qui est présenté dans le document CBD/COP/16/4/Add.2-CBD/CP/MOP/11/5/Add.2-CBD/NP/MOP/5/5/Add.2, et à soumettre les résultats à des fins de révision lors de la sixième réunion de l’Organe subsidiaire chargé de l’application et à des fins d’examen lors de la dix-septième réunion de la Conférence des Parties à la Convention, de la douzième réunion de la Conférence des Parties siégeant en tant que réunion des Parties au Protocole de Cartagena et de la sixième réunion de la Conférence des Parties siégeant en tant que réunion des Parties au Protocole de Nagoya, en notant que l’examen fonctionnel devrait avoir pour visée d’évaluer si le Secrétariat a une structure adéquate et les ressources nécessaires pour s’acquitter efficacement de ses fonctions</w:t>
      </w:r>
      <w:r w:rsidRPr="00DF1690">
        <w:rPr>
          <w:rStyle w:val="Appelnotedebasdep"/>
          <w:rFonts w:asciiTheme="majorBidi" w:hAnsiTheme="majorBidi" w:cstheme="majorBidi"/>
          <w:lang w:val="fr-FR"/>
        </w:rPr>
        <w:footnoteReference w:id="8"/>
      </w:r>
      <w:r w:rsidRPr="00DF1690">
        <w:rPr>
          <w:lang w:val="fr-FR"/>
        </w:rPr>
        <w:t xml:space="preserve">, en particulier pour </w:t>
      </w:r>
      <w:r w:rsidR="005E1150">
        <w:rPr>
          <w:lang w:val="fr-FR"/>
        </w:rPr>
        <w:t xml:space="preserve">organiser </w:t>
      </w:r>
      <w:r w:rsidRPr="00DF1690">
        <w:rPr>
          <w:lang w:val="fr-FR"/>
        </w:rPr>
        <w:t>les réunions tenues au titre de la Convention et de ses Protocoles et pour soutenir la mise en œuvre du Cadre mondial de la biodiversité de Kunming-Montréal, et, si ce n’est pas le cas, de déterminer les changements à apporter pour remédier à la situation</w:t>
      </w:r>
      <w:r w:rsidR="00AA1A10">
        <w:rPr>
          <w:lang w:val="fr-FR"/>
        </w:rPr>
        <w:t> </w:t>
      </w:r>
      <w:r w:rsidRPr="00DF1690">
        <w:rPr>
          <w:lang w:val="fr-FR"/>
        </w:rPr>
        <w:t>;</w:t>
      </w:r>
    </w:p>
    <w:p w14:paraId="32894C97" w14:textId="3231AD4B" w:rsidR="00DF1690" w:rsidRPr="00DF1690" w:rsidRDefault="00DF1690" w:rsidP="00DF1690">
      <w:pPr>
        <w:pStyle w:val="CBDDesicionText"/>
        <w:rPr>
          <w:lang w:val="fr-FR"/>
        </w:rPr>
      </w:pPr>
      <w:r w:rsidRPr="00DF1690">
        <w:rPr>
          <w:lang w:val="fr-FR"/>
        </w:rPr>
        <w:t>12.</w:t>
      </w:r>
      <w:r w:rsidRPr="00DF1690">
        <w:rPr>
          <w:lang w:val="fr-FR"/>
        </w:rPr>
        <w:tab/>
      </w:r>
      <w:r w:rsidRPr="00DF1690">
        <w:rPr>
          <w:i/>
          <w:iCs/>
          <w:lang w:val="fr-FR"/>
        </w:rPr>
        <w:t>Autorise</w:t>
      </w:r>
      <w:r w:rsidRPr="00DF1690">
        <w:rPr>
          <w:lang w:val="fr-FR"/>
        </w:rPr>
        <w:t xml:space="preserve"> la Secrétaire exécutive, de façon exceptionnelle, à prélever des sommes dans les soldes non dépensés des fonds </w:t>
      </w:r>
      <w:r w:rsidR="006675ED">
        <w:rPr>
          <w:lang w:val="fr-FR"/>
        </w:rPr>
        <w:t>d’affectation spéciale</w:t>
      </w:r>
      <w:r w:rsidR="006675ED" w:rsidRPr="00DF1690">
        <w:rPr>
          <w:lang w:val="fr-FR"/>
        </w:rPr>
        <w:t xml:space="preserve"> </w:t>
      </w:r>
      <w:r w:rsidRPr="00DF1690">
        <w:rPr>
          <w:lang w:val="fr-FR"/>
        </w:rPr>
        <w:t xml:space="preserve">généraux des exercices financiers antérieurs pour réaliser l’examen fonctionnel demandé à la décision </w:t>
      </w:r>
      <w:hyperlink r:id="rId17" w:history="1">
        <w:r w:rsidRPr="00DF1690">
          <w:rPr>
            <w:rStyle w:val="Lienhypertexte"/>
            <w:lang w:val="fr-FR"/>
          </w:rPr>
          <w:t>15/34</w:t>
        </w:r>
      </w:hyperlink>
      <w:r w:rsidRPr="00DF1690">
        <w:rPr>
          <w:lang w:val="fr-FR"/>
        </w:rPr>
        <w:t>, pour un montant ne dépassant pas 250 000 dollars</w:t>
      </w:r>
      <w:r w:rsidR="00AA1A10">
        <w:rPr>
          <w:lang w:val="fr-FR"/>
        </w:rPr>
        <w:t> </w:t>
      </w:r>
      <w:r w:rsidRPr="00DF1690">
        <w:rPr>
          <w:lang w:val="fr-FR"/>
        </w:rPr>
        <w:t>;</w:t>
      </w:r>
    </w:p>
    <w:p w14:paraId="584C0370" w14:textId="26A45C8D" w:rsidR="00DF1690" w:rsidRPr="00DF1690" w:rsidRDefault="00DF1690" w:rsidP="00DF1690">
      <w:pPr>
        <w:pStyle w:val="CBDDesicionText"/>
        <w:rPr>
          <w:lang w:val="fr-FR"/>
        </w:rPr>
      </w:pPr>
      <w:r w:rsidRPr="00DF1690">
        <w:rPr>
          <w:lang w:val="fr-FR"/>
        </w:rPr>
        <w:t>13.</w:t>
      </w:r>
      <w:r w:rsidRPr="00DF1690">
        <w:rPr>
          <w:lang w:val="fr-FR"/>
        </w:rPr>
        <w:tab/>
      </w:r>
      <w:r w:rsidRPr="00DF1690">
        <w:rPr>
          <w:i/>
          <w:iCs/>
          <w:lang w:val="fr-FR"/>
        </w:rPr>
        <w:t>Prie</w:t>
      </w:r>
      <w:r w:rsidRPr="00DF1690">
        <w:rPr>
          <w:lang w:val="fr-FR"/>
        </w:rPr>
        <w:t xml:space="preserve"> la Secrétaire exécutive de finaliser rapidement la mise en application des recommandations restantes des audits et de présenter un rapport à ce sujet lors de la sixième réunion de l’Organe subsidiaire chargé de l’application et de la dix-septième réunion de la Conférence des Parties à la Convention</w:t>
      </w:r>
      <w:r w:rsidR="00AA1A10">
        <w:rPr>
          <w:lang w:val="fr-FR"/>
        </w:rPr>
        <w:t> </w:t>
      </w:r>
      <w:r w:rsidRPr="00DF1690">
        <w:rPr>
          <w:lang w:val="fr-FR"/>
        </w:rPr>
        <w:t>;</w:t>
      </w:r>
    </w:p>
    <w:p w14:paraId="772CBD92" w14:textId="2B095685" w:rsidR="00DF1690" w:rsidRPr="00DF1690" w:rsidRDefault="00DF1690" w:rsidP="00DF1690">
      <w:pPr>
        <w:pStyle w:val="CBDDesicionText"/>
        <w:rPr>
          <w:strike/>
          <w:lang w:val="fr-FR"/>
        </w:rPr>
      </w:pPr>
      <w:r w:rsidRPr="00DF1690">
        <w:rPr>
          <w:lang w:val="fr-FR"/>
        </w:rPr>
        <w:t>14.</w:t>
      </w:r>
      <w:r w:rsidRPr="00DF1690">
        <w:rPr>
          <w:lang w:val="fr-FR"/>
        </w:rPr>
        <w:tab/>
      </w:r>
      <w:r w:rsidRPr="00DF1690">
        <w:rPr>
          <w:i/>
          <w:iCs/>
          <w:lang w:val="fr-FR"/>
        </w:rPr>
        <w:t>Réitère</w:t>
      </w:r>
      <w:r w:rsidRPr="00DF1690">
        <w:rPr>
          <w:lang w:val="fr-FR"/>
        </w:rPr>
        <w:t xml:space="preserve"> sa demande à la Secrétaire exécutive, afin de promouvoir davantage la transparence et la redevabilité, de maintenir la partie du site Web de la Convention qui fournit des liens vers des informations actualisées concernant la gouvernance de la Convention, y compris les rapports d’audit complétés et acceptés, les recommandations d’audit et leur application, les </w:t>
      </w:r>
      <w:r w:rsidR="005E1150" w:rsidRPr="00DF1690">
        <w:rPr>
          <w:lang w:val="fr-FR"/>
        </w:rPr>
        <w:t xml:space="preserve">règles </w:t>
      </w:r>
      <w:r w:rsidR="005E1150">
        <w:rPr>
          <w:lang w:val="fr-FR"/>
        </w:rPr>
        <w:t xml:space="preserve">et </w:t>
      </w:r>
      <w:r w:rsidRPr="00DF1690">
        <w:rPr>
          <w:lang w:val="fr-FR"/>
        </w:rPr>
        <w:t>règlements financiers applicables et toute autre information budgétaire et financière pertinente pour faciliter les contrôles préalables et les décisions financières des Parties et d’autres donateurs potentiels</w:t>
      </w:r>
      <w:r w:rsidR="00AA1A10">
        <w:rPr>
          <w:lang w:val="fr-FR"/>
        </w:rPr>
        <w:t> </w:t>
      </w:r>
      <w:r w:rsidRPr="00DF1690">
        <w:rPr>
          <w:lang w:val="fr-FR"/>
        </w:rPr>
        <w:t>;</w:t>
      </w:r>
    </w:p>
    <w:p w14:paraId="0A717ABC" w14:textId="0F848485" w:rsidR="00DF1690" w:rsidRPr="00DF1690" w:rsidRDefault="00DF1690" w:rsidP="00DF1690">
      <w:pPr>
        <w:pStyle w:val="CBDDesicionText"/>
        <w:rPr>
          <w:lang w:val="fr-FR"/>
        </w:rPr>
      </w:pPr>
      <w:r w:rsidRPr="00DF1690">
        <w:rPr>
          <w:lang w:val="fr-FR"/>
        </w:rPr>
        <w:t>15.</w:t>
      </w:r>
      <w:r w:rsidRPr="00DF1690">
        <w:rPr>
          <w:i/>
          <w:iCs/>
          <w:lang w:val="fr-FR"/>
        </w:rPr>
        <w:tab/>
        <w:t>Prie</w:t>
      </w:r>
      <w:r w:rsidRPr="00DF1690">
        <w:rPr>
          <w:lang w:val="fr-FR"/>
        </w:rPr>
        <w:t xml:space="preserve"> la Secrétaire exécutive de faire rapport au Bureau et de lui remettre toutes les informations requises, notamment en ce qui concerne les arrangements administratifs entre le Programme des Nations Unies pour l’environnement et le Secrétariat, dans le but de garantir que le </w:t>
      </w:r>
      <w:r w:rsidRPr="00DF1690">
        <w:rPr>
          <w:lang w:val="fr-FR"/>
        </w:rPr>
        <w:lastRenderedPageBreak/>
        <w:t>Bureau puisse jouer un rôle de direction dans la préparation et la tenue des réunions de la Conférence des Parties et de la Conférence des Parties siégeant en tant que réunions des Parties aux Protocoles</w:t>
      </w:r>
      <w:r w:rsidR="00AA1A10">
        <w:rPr>
          <w:lang w:val="fr-FR"/>
        </w:rPr>
        <w:t> </w:t>
      </w:r>
      <w:r w:rsidRPr="00DF1690">
        <w:rPr>
          <w:lang w:val="fr-FR"/>
        </w:rPr>
        <w:t>;</w:t>
      </w:r>
    </w:p>
    <w:p w14:paraId="3E7E38F7" w14:textId="4ED2D9C3" w:rsidR="00DF1690" w:rsidRPr="00DF1690" w:rsidRDefault="00DF1690" w:rsidP="00DF1690">
      <w:pPr>
        <w:pStyle w:val="CBDDesicionText"/>
        <w:rPr>
          <w:lang w:val="fr-FR"/>
        </w:rPr>
      </w:pPr>
      <w:r w:rsidRPr="00DF1690">
        <w:rPr>
          <w:lang w:val="fr-FR"/>
        </w:rPr>
        <w:t>16.</w:t>
      </w:r>
      <w:r w:rsidRPr="00DF1690">
        <w:rPr>
          <w:i/>
          <w:iCs/>
          <w:lang w:val="fr-FR"/>
        </w:rPr>
        <w:tab/>
        <w:t>Autorise</w:t>
      </w:r>
      <w:r w:rsidRPr="00DF1690">
        <w:rPr>
          <w:lang w:val="fr-FR"/>
        </w:rPr>
        <w:t xml:space="preserve"> la Secrétaire exécutive à conclure des engagements jusqu’au niveau du budget approuvé, puisant dans les ressources financières disponibles, y compris les réserves en respectant les seuils autorisés ou admissibles, qui proviennent des contributions des périodes financières précédentes et les revenus divers, conformément aux décisions de la Conférence des Parties et au règlement financier et règles de gestion financière des Nations Unies</w:t>
      </w:r>
      <w:r w:rsidRPr="00DF1690">
        <w:rPr>
          <w:rStyle w:val="Appelnotedebasdep"/>
          <w:lang w:val="fr-FR"/>
        </w:rPr>
        <w:footnoteReference w:id="9"/>
      </w:r>
      <w:r w:rsidRPr="00DF1690">
        <w:rPr>
          <w:lang w:val="fr-FR"/>
        </w:rPr>
        <w:t>, et prie la Secrétaire exécutive de communiquer ces informations en temps voulu</w:t>
      </w:r>
      <w:r w:rsidR="00AA1A10">
        <w:rPr>
          <w:lang w:val="fr-FR"/>
        </w:rPr>
        <w:t> </w:t>
      </w:r>
      <w:r w:rsidRPr="00DF1690">
        <w:rPr>
          <w:lang w:val="fr-FR"/>
        </w:rPr>
        <w:t>;</w:t>
      </w:r>
    </w:p>
    <w:p w14:paraId="0B5C3E31" w14:textId="2D8F07DE" w:rsidR="00DF1690" w:rsidRPr="00DF1690" w:rsidRDefault="00DF1690" w:rsidP="00DF1690">
      <w:pPr>
        <w:pStyle w:val="CBDDesicionText"/>
        <w:rPr>
          <w:lang w:val="fr-FR"/>
        </w:rPr>
      </w:pPr>
      <w:r w:rsidRPr="00DF1690">
        <w:rPr>
          <w:lang w:val="fr-FR"/>
        </w:rPr>
        <w:t>17.</w:t>
      </w:r>
      <w:r w:rsidRPr="00DF1690">
        <w:rPr>
          <w:i/>
          <w:iCs/>
          <w:lang w:val="fr-FR"/>
        </w:rPr>
        <w:tab/>
        <w:t>Autorise également</w:t>
      </w:r>
      <w:r w:rsidRPr="00DF1690">
        <w:rPr>
          <w:lang w:val="fr-FR"/>
        </w:rPr>
        <w:t xml:space="preserve"> la Secrétaire exécutive à réattribuer les ressources au sein des programmes pour les principaux articles budgétaires indiqués dans le tableau 2 ci-dessous, jusqu’à concurrence de 15 pour cent du budget-programme total, sous réserve de l’application d’une limite supplémentaire pouvant atteindre 25 pour cent de chaque article budgétaire</w:t>
      </w:r>
      <w:r w:rsidR="00AA1A10">
        <w:rPr>
          <w:lang w:val="fr-FR"/>
        </w:rPr>
        <w:t> </w:t>
      </w:r>
      <w:r w:rsidRPr="00DF1690">
        <w:rPr>
          <w:lang w:val="fr-FR"/>
        </w:rPr>
        <w:t>;</w:t>
      </w:r>
    </w:p>
    <w:p w14:paraId="6CCA84D6" w14:textId="0D72981E" w:rsidR="00DF1690" w:rsidRPr="00DF1690" w:rsidRDefault="00DF1690" w:rsidP="00DF1690">
      <w:pPr>
        <w:pStyle w:val="CBDDesicionText"/>
        <w:rPr>
          <w:lang w:val="fr-FR"/>
        </w:rPr>
      </w:pPr>
      <w:r w:rsidRPr="00DF1690">
        <w:rPr>
          <w:lang w:val="fr-FR"/>
        </w:rPr>
        <w:t>18.</w:t>
      </w:r>
      <w:r w:rsidRPr="00DF1690">
        <w:rPr>
          <w:i/>
          <w:iCs/>
          <w:lang w:val="fr-FR"/>
        </w:rPr>
        <w:tab/>
        <w:t>Prie instamment</w:t>
      </w:r>
      <w:r w:rsidRPr="00DF1690">
        <w:rPr>
          <w:lang w:val="fr-FR"/>
        </w:rPr>
        <w:t xml:space="preserve"> la Secrétaire exécutive de continuer à réduire l’impact environnemental des activités du Secrétariat et de rendre compte des mesures prises à cet égard </w:t>
      </w:r>
      <w:r w:rsidR="009920A1">
        <w:rPr>
          <w:lang w:val="fr-FR"/>
        </w:rPr>
        <w:t>à la</w:t>
      </w:r>
      <w:r w:rsidRPr="00DF1690">
        <w:rPr>
          <w:lang w:val="fr-FR"/>
        </w:rPr>
        <w:t xml:space="preserve"> Conférence des Parties</w:t>
      </w:r>
      <w:r w:rsidR="00AA1A10">
        <w:rPr>
          <w:lang w:val="fr-FR"/>
        </w:rPr>
        <w:t> </w:t>
      </w:r>
      <w:r w:rsidRPr="00DF1690">
        <w:rPr>
          <w:lang w:val="fr-FR"/>
        </w:rPr>
        <w:t>;</w:t>
      </w:r>
    </w:p>
    <w:p w14:paraId="3056F7EF" w14:textId="6CB5A8DF" w:rsidR="00DF1690" w:rsidRPr="00DF1690" w:rsidRDefault="00DF1690" w:rsidP="00DF1690">
      <w:pPr>
        <w:pStyle w:val="CBDDesicionText"/>
        <w:rPr>
          <w:lang w:val="fr-FR"/>
        </w:rPr>
      </w:pPr>
      <w:r w:rsidRPr="00DF1690">
        <w:rPr>
          <w:lang w:val="fr-FR"/>
        </w:rPr>
        <w:t>19.</w:t>
      </w:r>
      <w:r w:rsidRPr="00DF1690">
        <w:rPr>
          <w:i/>
          <w:iCs/>
          <w:lang w:val="fr-FR"/>
        </w:rPr>
        <w:tab/>
        <w:t>Rappelle</w:t>
      </w:r>
      <w:r w:rsidRPr="00DF1690">
        <w:rPr>
          <w:lang w:val="fr-FR"/>
        </w:rPr>
        <w:t xml:space="preserve"> à toutes les Parties à la Convention et </w:t>
      </w:r>
      <w:r w:rsidR="005C46FC">
        <w:rPr>
          <w:lang w:val="fr-FR"/>
        </w:rPr>
        <w:t xml:space="preserve">à </w:t>
      </w:r>
      <w:r w:rsidRPr="00DF1690">
        <w:rPr>
          <w:lang w:val="fr-FR"/>
        </w:rPr>
        <w:t xml:space="preserve">ses Protocoles que les contributions aux fonds </w:t>
      </w:r>
      <w:r w:rsidR="006675ED">
        <w:rPr>
          <w:lang w:val="fr-FR"/>
        </w:rPr>
        <w:t xml:space="preserve">d’affectation spéciale </w:t>
      </w:r>
      <w:r w:rsidR="002260BC">
        <w:rPr>
          <w:lang w:val="fr-FR"/>
        </w:rPr>
        <w:t>de base</w:t>
      </w:r>
      <w:r w:rsidRPr="00DF1690">
        <w:rPr>
          <w:lang w:val="fr-FR"/>
        </w:rPr>
        <w:t xml:space="preserve"> sont dues le 1</w:t>
      </w:r>
      <w:r w:rsidRPr="00DF1690">
        <w:rPr>
          <w:vertAlign w:val="superscript"/>
          <w:lang w:val="fr-FR"/>
        </w:rPr>
        <w:t>er</w:t>
      </w:r>
      <w:r w:rsidRPr="00DF1690">
        <w:rPr>
          <w:lang w:val="fr-FR"/>
        </w:rPr>
        <w:t> janvier de l’année pour laquelle les contributions ont été budgétisées, exhorte toutes les Parties à payer ces contributions dans les délais impartis, et demande à la Secrétaire exécutive d’informer les Parties du montant de leur contribution dès que possible au cours de l’année précédant l’année pour laquelle les contributions doivent être payées</w:t>
      </w:r>
      <w:r w:rsidR="00AA1A10">
        <w:rPr>
          <w:lang w:val="fr-FR"/>
        </w:rPr>
        <w:t> </w:t>
      </w:r>
      <w:r w:rsidRPr="00DF1690">
        <w:rPr>
          <w:lang w:val="fr-FR"/>
        </w:rPr>
        <w:t>;</w:t>
      </w:r>
    </w:p>
    <w:p w14:paraId="13725EC6" w14:textId="5DA5C1E9" w:rsidR="00DF1690" w:rsidRPr="00DF1690" w:rsidRDefault="00DF1690" w:rsidP="00DF1690">
      <w:pPr>
        <w:pStyle w:val="CBDDesicionText"/>
        <w:rPr>
          <w:lang w:val="fr-FR"/>
        </w:rPr>
      </w:pPr>
      <w:r w:rsidRPr="00DF1690">
        <w:rPr>
          <w:lang w:val="fr-FR"/>
        </w:rPr>
        <w:t>20.</w:t>
      </w:r>
      <w:r w:rsidRPr="00DF1690">
        <w:rPr>
          <w:lang w:val="fr-FR"/>
        </w:rPr>
        <w:tab/>
      </w:r>
      <w:r w:rsidRPr="00DF1690">
        <w:rPr>
          <w:i/>
          <w:iCs/>
          <w:lang w:val="fr-FR"/>
        </w:rPr>
        <w:t>Reconnaît avec préoccupation</w:t>
      </w:r>
      <w:r w:rsidRPr="00DF1690">
        <w:rPr>
          <w:lang w:val="fr-FR"/>
        </w:rPr>
        <w:t xml:space="preserve"> que certaines Parties ne sont pas en mesure de payer facilement leurs contributions à la Convention et ses Protocoles, en raison de défis techniques, notamment des difficultés de technologie de l’information liées à l’envoi de factures, malgré leur intention de procéder à ce paiement, et prie la Secrétaire exécutive, en consultation avec le Programme des Nations Unies pour l’environnement, de collaborer avec les Parties qui ont fait mention de ces défis techniques pour examiner d’autres options leur permettant de payer leurs contributions</w:t>
      </w:r>
      <w:r w:rsidR="00AA1A10">
        <w:rPr>
          <w:lang w:val="fr-FR"/>
        </w:rPr>
        <w:t> </w:t>
      </w:r>
      <w:r w:rsidRPr="00DF1690">
        <w:rPr>
          <w:lang w:val="fr-FR"/>
        </w:rPr>
        <w:t xml:space="preserve">; </w:t>
      </w:r>
    </w:p>
    <w:p w14:paraId="25AA8854" w14:textId="528EAD2E" w:rsidR="00DF1690" w:rsidRPr="00DF1690" w:rsidRDefault="00DF1690" w:rsidP="00DF1690">
      <w:pPr>
        <w:pStyle w:val="CBDDesicionText"/>
        <w:rPr>
          <w:lang w:val="fr-FR"/>
        </w:rPr>
      </w:pPr>
      <w:r w:rsidRPr="00DF1690">
        <w:rPr>
          <w:lang w:val="fr-FR"/>
        </w:rPr>
        <w:t>21.</w:t>
      </w:r>
      <w:r w:rsidRPr="00DF1690">
        <w:rPr>
          <w:i/>
          <w:iCs/>
          <w:lang w:val="fr-FR"/>
        </w:rPr>
        <w:tab/>
      </w:r>
      <w:r w:rsidR="00837050">
        <w:rPr>
          <w:i/>
          <w:iCs/>
          <w:lang w:val="fr-FR"/>
        </w:rPr>
        <w:t>Prend note</w:t>
      </w:r>
      <w:r w:rsidRPr="00DF1690">
        <w:rPr>
          <w:i/>
          <w:iCs/>
          <w:lang w:val="fr-FR"/>
        </w:rPr>
        <w:t xml:space="preserve"> avec préoccupation </w:t>
      </w:r>
      <w:r w:rsidRPr="00DF1690">
        <w:rPr>
          <w:lang w:val="fr-FR"/>
        </w:rPr>
        <w:t xml:space="preserve">que plusieurs Parties n’ont pas payé leurs contributions aux </w:t>
      </w:r>
      <w:r w:rsidR="002260BC" w:rsidRPr="00DF1690">
        <w:rPr>
          <w:lang w:val="fr-FR"/>
        </w:rPr>
        <w:t xml:space="preserve">fonds </w:t>
      </w:r>
      <w:r w:rsidR="006675ED">
        <w:rPr>
          <w:lang w:val="fr-FR"/>
        </w:rPr>
        <w:t xml:space="preserve">d’affectation spéciale </w:t>
      </w:r>
      <w:r w:rsidR="002260BC">
        <w:rPr>
          <w:lang w:val="fr-FR"/>
        </w:rPr>
        <w:t>de base</w:t>
      </w:r>
      <w:r w:rsidR="002260BC" w:rsidRPr="00DF1690">
        <w:rPr>
          <w:lang w:val="fr-FR"/>
        </w:rPr>
        <w:t xml:space="preserve"> </w:t>
      </w:r>
      <w:r w:rsidRPr="00DF1690">
        <w:rPr>
          <w:lang w:val="fr-FR"/>
        </w:rPr>
        <w:t>pour 2023 et les années précédentes, et que certaines Parties n’ont jamais versé leurs contributions, et note également que conformément aux Normes comptables internationales pour le secteur public adoptées par les Nations Unies</w:t>
      </w:r>
      <w:r w:rsidRPr="00DF1690">
        <w:rPr>
          <w:rStyle w:val="Appelnotedebasdep"/>
          <w:rFonts w:asciiTheme="majorBidi" w:hAnsiTheme="majorBidi" w:cstheme="majorBidi"/>
          <w:lang w:val="fr-FR"/>
        </w:rPr>
        <w:footnoteReference w:id="10"/>
      </w:r>
      <w:r w:rsidRPr="00DF1690">
        <w:rPr>
          <w:lang w:val="fr-FR"/>
        </w:rPr>
        <w:t>, les provisions pour pertes sur créances étaient évaluées à 2 741 256 dollars pour la Convention, 583 172 dollars pour le Protocole de Cartagena et 337 966 dollars pour le Protocole de Nagoya à la fin de 2023 et soustraites du solde des fonds, et ne peuvent donc pas être utilisées au profit des Parties respectives, et prie le Programme des Nations Unies pour l’environnement d’accepter les contributions de toutes les Parties à la Convention et à ses Protocoles en temps voulu</w:t>
      </w:r>
      <w:r w:rsidR="00AA1A10">
        <w:rPr>
          <w:lang w:val="fr-FR"/>
        </w:rPr>
        <w:t> </w:t>
      </w:r>
      <w:r w:rsidRPr="00DF1690">
        <w:rPr>
          <w:lang w:val="fr-FR"/>
        </w:rPr>
        <w:t xml:space="preserve">; </w:t>
      </w:r>
    </w:p>
    <w:p w14:paraId="1A3CD369" w14:textId="28E8561A" w:rsidR="00DF1690" w:rsidRPr="00DF1690" w:rsidRDefault="00DF1690" w:rsidP="00DF1690">
      <w:pPr>
        <w:pStyle w:val="CBDDesicionText"/>
        <w:rPr>
          <w:lang w:val="fr-FR"/>
        </w:rPr>
      </w:pPr>
      <w:r w:rsidRPr="00DF1690">
        <w:rPr>
          <w:lang w:val="fr-FR"/>
        </w:rPr>
        <w:t>22.</w:t>
      </w:r>
      <w:r w:rsidRPr="00DF1690">
        <w:rPr>
          <w:i/>
          <w:iCs/>
          <w:lang w:val="fr-FR"/>
        </w:rPr>
        <w:tab/>
        <w:t>Exhorte</w:t>
      </w:r>
      <w:r w:rsidRPr="00DF1690">
        <w:rPr>
          <w:lang w:val="fr-FR"/>
        </w:rPr>
        <w:t xml:space="preserve"> les Parties à la Convention et </w:t>
      </w:r>
      <w:r w:rsidR="005C46FC">
        <w:rPr>
          <w:lang w:val="fr-FR"/>
        </w:rPr>
        <w:t xml:space="preserve">à </w:t>
      </w:r>
      <w:r w:rsidRPr="00DF1690">
        <w:rPr>
          <w:lang w:val="fr-FR"/>
        </w:rPr>
        <w:t xml:space="preserve">ses Protocoles qui n’ont pas encore payé leurs contributions aux </w:t>
      </w:r>
      <w:r w:rsidR="002260BC" w:rsidRPr="00DF1690">
        <w:rPr>
          <w:lang w:val="fr-FR"/>
        </w:rPr>
        <w:t xml:space="preserve">fonds </w:t>
      </w:r>
      <w:r w:rsidR="006675ED">
        <w:rPr>
          <w:lang w:val="fr-FR"/>
        </w:rPr>
        <w:t xml:space="preserve">d’affectation spéciale </w:t>
      </w:r>
      <w:r w:rsidR="002260BC">
        <w:rPr>
          <w:lang w:val="fr-FR"/>
        </w:rPr>
        <w:t>de base</w:t>
      </w:r>
      <w:r w:rsidR="002260BC" w:rsidRPr="00DF1690">
        <w:rPr>
          <w:lang w:val="fr-FR"/>
        </w:rPr>
        <w:t xml:space="preserve"> </w:t>
      </w:r>
      <w:r w:rsidRPr="00DF1690">
        <w:rPr>
          <w:lang w:val="fr-FR"/>
        </w:rPr>
        <w:t xml:space="preserve">pour 2023 et les années précédentes à le faire sans tarder et sans condition et prie la Secrétaire exécutive de publier et de maintenir à jour les informations sur l’état des contributions versées aux fonds </w:t>
      </w:r>
      <w:r w:rsidR="006675ED">
        <w:rPr>
          <w:lang w:val="fr-FR"/>
        </w:rPr>
        <w:t>d’affectation spéciale</w:t>
      </w:r>
      <w:r w:rsidR="006675ED" w:rsidRPr="00DF1690">
        <w:rPr>
          <w:lang w:val="fr-FR"/>
        </w:rPr>
        <w:t xml:space="preserve"> </w:t>
      </w:r>
      <w:r w:rsidRPr="00DF1690">
        <w:rPr>
          <w:lang w:val="fr-FR"/>
        </w:rPr>
        <w:t xml:space="preserve">de la Convention et de ses Protocoles (les trois </w:t>
      </w:r>
      <w:r w:rsidR="002260BC" w:rsidRPr="00DF1690">
        <w:rPr>
          <w:lang w:val="fr-FR"/>
        </w:rPr>
        <w:t xml:space="preserve">fonds </w:t>
      </w:r>
      <w:r w:rsidR="006675ED">
        <w:rPr>
          <w:lang w:val="fr-FR"/>
        </w:rPr>
        <w:t xml:space="preserve">d’affectation spéciale </w:t>
      </w:r>
      <w:r w:rsidR="002260BC">
        <w:rPr>
          <w:lang w:val="fr-FR"/>
        </w:rPr>
        <w:t>de base</w:t>
      </w:r>
      <w:r w:rsidRPr="00DF1690">
        <w:rPr>
          <w:lang w:val="fr-FR"/>
        </w:rPr>
        <w:t xml:space="preserve">, </w:t>
      </w:r>
      <w:r w:rsidRPr="008B18F4">
        <w:rPr>
          <w:lang w:val="fr-FR"/>
        </w:rPr>
        <w:t xml:space="preserve">le Fonds </w:t>
      </w:r>
      <w:r w:rsidR="002260BC" w:rsidRPr="008B18F4">
        <w:rPr>
          <w:lang w:val="fr-FR"/>
        </w:rPr>
        <w:t xml:space="preserve">spécial de contributions volontaires </w:t>
      </w:r>
      <w:r w:rsidR="008B18F4" w:rsidRPr="008B18F4">
        <w:rPr>
          <w:lang w:val="fr-FR"/>
        </w:rPr>
        <w:t xml:space="preserve">destiné à des activités supplémentaires approuvées au titre </w:t>
      </w:r>
      <w:r w:rsidRPr="008B18F4">
        <w:rPr>
          <w:lang w:val="fr-FR"/>
        </w:rPr>
        <w:t>de la Convention et de ses Protocoles</w:t>
      </w:r>
      <w:r w:rsidRPr="00DF1690">
        <w:rPr>
          <w:lang w:val="fr-FR"/>
        </w:rPr>
        <w:t xml:space="preserve">, le Fonds </w:t>
      </w:r>
      <w:r w:rsidR="00A04437">
        <w:rPr>
          <w:lang w:val="fr-FR"/>
        </w:rPr>
        <w:t xml:space="preserve">spécial de contributions volontaires </w:t>
      </w:r>
      <w:r w:rsidR="008B18F4">
        <w:rPr>
          <w:lang w:val="fr-FR"/>
        </w:rPr>
        <w:t>destiné</w:t>
      </w:r>
      <w:r w:rsidR="00A04437">
        <w:rPr>
          <w:lang w:val="fr-FR"/>
        </w:rPr>
        <w:t xml:space="preserve"> à </w:t>
      </w:r>
      <w:r w:rsidRPr="00DF1690">
        <w:rPr>
          <w:lang w:val="fr-FR"/>
        </w:rPr>
        <w:t xml:space="preserve">faciliter la participation des Parties au processus de la Convention et le </w:t>
      </w:r>
      <w:r w:rsidR="004B3208">
        <w:rPr>
          <w:lang w:val="fr-FR"/>
        </w:rPr>
        <w:t xml:space="preserve">Fonds spécial de contributions volontaires </w:t>
      </w:r>
      <w:r w:rsidR="008B18F4">
        <w:rPr>
          <w:lang w:val="fr-FR"/>
        </w:rPr>
        <w:t>destiné</w:t>
      </w:r>
      <w:r w:rsidR="004B3208">
        <w:rPr>
          <w:lang w:val="fr-FR"/>
        </w:rPr>
        <w:t xml:space="preserve"> à faciliter la participation des peuples autochtones et communautés locales</w:t>
      </w:r>
      <w:r w:rsidRPr="00DF1690">
        <w:rPr>
          <w:lang w:val="fr-FR"/>
        </w:rPr>
        <w:t>) et de tenir régulièrement au courant les membres des Bureaux de la Convention et de</w:t>
      </w:r>
      <w:r w:rsidR="005C46FC">
        <w:rPr>
          <w:lang w:val="fr-FR"/>
        </w:rPr>
        <w:t xml:space="preserve"> se</w:t>
      </w:r>
      <w:r w:rsidRPr="00DF1690">
        <w:rPr>
          <w:lang w:val="fr-FR"/>
        </w:rPr>
        <w:t xml:space="preserve">s Protocoles, afin qu’ils puissent fournir aux </w:t>
      </w:r>
      <w:r w:rsidRPr="00DF1690">
        <w:rPr>
          <w:lang w:val="fr-FR"/>
        </w:rPr>
        <w:lastRenderedPageBreak/>
        <w:t>régions concernées des informations sur les contributions impayées et les conséquences de ceci, comme indiqué au paragraphe 24</w:t>
      </w:r>
      <w:r w:rsidR="00AA1A10">
        <w:rPr>
          <w:lang w:val="fr-FR"/>
        </w:rPr>
        <w:t> </w:t>
      </w:r>
      <w:r w:rsidRPr="00DF1690">
        <w:rPr>
          <w:lang w:val="fr-FR"/>
        </w:rPr>
        <w:t>;</w:t>
      </w:r>
    </w:p>
    <w:p w14:paraId="2A873544" w14:textId="192387CD" w:rsidR="00DF1690" w:rsidRPr="00DF1690" w:rsidRDefault="00DF1690" w:rsidP="00DF1690">
      <w:pPr>
        <w:pStyle w:val="CBDDesicionText"/>
        <w:rPr>
          <w:lang w:val="fr-FR"/>
        </w:rPr>
      </w:pPr>
      <w:r w:rsidRPr="00DF1690">
        <w:rPr>
          <w:lang w:val="fr-FR"/>
        </w:rPr>
        <w:t>23.</w:t>
      </w:r>
      <w:r w:rsidRPr="00DF1690">
        <w:rPr>
          <w:i/>
          <w:iCs/>
          <w:lang w:val="fr-FR"/>
        </w:rPr>
        <w:tab/>
        <w:t>Demande</w:t>
      </w:r>
      <w:r w:rsidRPr="00DF1690">
        <w:rPr>
          <w:lang w:val="fr-FR"/>
        </w:rPr>
        <w:t xml:space="preserve"> au Programme des Nations Unies pour l’environnement, en sa qualité d’administrateur, d’utiliser toutes les voies diplomatiques disponibles afin de communiquer aux Parties les arriérés de contributions aux fonds </w:t>
      </w:r>
      <w:r w:rsidR="006675ED">
        <w:rPr>
          <w:lang w:val="fr-FR"/>
        </w:rPr>
        <w:t xml:space="preserve">d’affectation spéciale </w:t>
      </w:r>
      <w:r w:rsidR="004B3208">
        <w:rPr>
          <w:lang w:val="fr-FR"/>
        </w:rPr>
        <w:t>de base</w:t>
      </w:r>
      <w:r w:rsidRPr="00DF1690">
        <w:rPr>
          <w:lang w:val="fr-FR"/>
        </w:rPr>
        <w:t xml:space="preserve"> pour 2024 et les années précédentes, afin que ces arriérés soient payés au bénéfice de toutes les Parties à la Convention et </w:t>
      </w:r>
      <w:r w:rsidR="005C46FC">
        <w:rPr>
          <w:lang w:val="fr-FR"/>
        </w:rPr>
        <w:t xml:space="preserve">à </w:t>
      </w:r>
      <w:r w:rsidRPr="00DF1690">
        <w:rPr>
          <w:lang w:val="fr-FR"/>
        </w:rPr>
        <w:t>ses Protocoles, et prie la Secrétaire exécutive de faire rapport au Bureau de la Conférence des Parties sur l’état de ces arriérés à sa dix-septième réunion</w:t>
      </w:r>
      <w:r w:rsidR="00AA1A10">
        <w:rPr>
          <w:lang w:val="fr-FR"/>
        </w:rPr>
        <w:t> </w:t>
      </w:r>
      <w:r w:rsidRPr="00DF1690">
        <w:rPr>
          <w:lang w:val="fr-FR"/>
        </w:rPr>
        <w:t>;</w:t>
      </w:r>
    </w:p>
    <w:p w14:paraId="20134E8B" w14:textId="67F2975B" w:rsidR="00DF1690" w:rsidRPr="00DF1690" w:rsidRDefault="00DF1690" w:rsidP="00DF1690">
      <w:pPr>
        <w:pStyle w:val="CBDDesicionText"/>
        <w:rPr>
          <w:lang w:val="fr-FR"/>
        </w:rPr>
      </w:pPr>
      <w:r w:rsidRPr="00DF1690">
        <w:rPr>
          <w:lang w:val="fr-FR"/>
        </w:rPr>
        <w:t>24.</w:t>
      </w:r>
      <w:r w:rsidRPr="00DF1690">
        <w:rPr>
          <w:i/>
          <w:iCs/>
          <w:lang w:val="fr-FR"/>
        </w:rPr>
        <w:tab/>
        <w:t>Confirme</w:t>
      </w:r>
      <w:r w:rsidRPr="00DF1690">
        <w:rPr>
          <w:lang w:val="fr-FR"/>
        </w:rPr>
        <w:t xml:space="preserve"> qu’en ce qui concerne les contributions dues depuis le 1</w:t>
      </w:r>
      <w:r w:rsidRPr="00DF1690">
        <w:rPr>
          <w:vertAlign w:val="superscript"/>
          <w:lang w:val="fr-FR"/>
        </w:rPr>
        <w:t>er</w:t>
      </w:r>
      <w:r w:rsidRPr="00DF1690">
        <w:rPr>
          <w:lang w:val="fr-FR"/>
        </w:rPr>
        <w:t> janvier</w:t>
      </w:r>
      <w:r w:rsidR="00AA1A10">
        <w:rPr>
          <w:lang w:val="fr-FR"/>
        </w:rPr>
        <w:t> </w:t>
      </w:r>
      <w:r w:rsidRPr="00DF1690">
        <w:rPr>
          <w:lang w:val="fr-FR"/>
        </w:rPr>
        <w:t xml:space="preserve">2005, les Parties dont les contributions sont en souffrance depuis plus de deux (2) ans ne seront pas admissibles à être membres des </w:t>
      </w:r>
      <w:bookmarkStart w:id="4" w:name="_Hlk183180931"/>
      <w:r w:rsidRPr="00DF1690">
        <w:rPr>
          <w:lang w:val="fr-FR"/>
        </w:rPr>
        <w:t>Bureaux de la Conférence des Parties à la Convention, de la Conférence des Parties siégeant en tant que réunion des Parties à ses Protocoles</w:t>
      </w:r>
      <w:bookmarkEnd w:id="4"/>
      <w:r w:rsidRPr="00DF1690">
        <w:rPr>
          <w:lang w:val="fr-FR"/>
        </w:rPr>
        <w:t xml:space="preserve"> ou de l’Organe subsidiaire chargé de fournir des avis scientifiques, techniques et technologiques, ni à désigner un membre d’un comité chargé du respect des obligations, et décide que cette restriction ne s’applique qu’aux Parties qui ne sont pas des pays en développement ou des petits États insulaires en développement</w:t>
      </w:r>
      <w:r w:rsidR="00AA1A10">
        <w:rPr>
          <w:lang w:val="fr-FR"/>
        </w:rPr>
        <w:t> </w:t>
      </w:r>
      <w:r w:rsidRPr="00DF1690">
        <w:rPr>
          <w:lang w:val="fr-FR"/>
        </w:rPr>
        <w:t>;</w:t>
      </w:r>
    </w:p>
    <w:p w14:paraId="1FB8DFFF" w14:textId="33C78834" w:rsidR="00DF1690" w:rsidRPr="00DF1690" w:rsidRDefault="00DF1690" w:rsidP="00DF1690">
      <w:pPr>
        <w:pStyle w:val="CBDDesicionText"/>
        <w:rPr>
          <w:lang w:val="fr-FR"/>
        </w:rPr>
      </w:pPr>
      <w:r w:rsidRPr="00DF1690">
        <w:rPr>
          <w:lang w:val="fr-FR"/>
        </w:rPr>
        <w:t>25.</w:t>
      </w:r>
      <w:r w:rsidRPr="00DF1690">
        <w:rPr>
          <w:i/>
          <w:iCs/>
          <w:lang w:val="fr-FR"/>
        </w:rPr>
        <w:tab/>
        <w:t>Autorise</w:t>
      </w:r>
      <w:r w:rsidRPr="00DF1690">
        <w:rPr>
          <w:lang w:val="fr-FR"/>
        </w:rPr>
        <w:t xml:space="preserve"> la Secrétaire exécutive à conclure des arrangements avec toute Partie dont les contributions sont en souffrance depuis deux ans et plus, en vertu desquels la Partie accepte un «</w:t>
      </w:r>
      <w:r w:rsidR="00AA1A10">
        <w:rPr>
          <w:lang w:val="fr-FR"/>
        </w:rPr>
        <w:t> </w:t>
      </w:r>
      <w:r w:rsidRPr="00DF1690">
        <w:rPr>
          <w:lang w:val="fr-FR"/>
        </w:rPr>
        <w:t>calendrier de paiement</w:t>
      </w:r>
      <w:r w:rsidR="00AA1A10">
        <w:rPr>
          <w:lang w:val="fr-FR"/>
        </w:rPr>
        <w:t> </w:t>
      </w:r>
      <w:r w:rsidRPr="00DF1690">
        <w:rPr>
          <w:lang w:val="fr-FR"/>
        </w:rPr>
        <w:t>» qui permettra d’éliminer les arriérés en six ans, selon la situation financière de la Partie, et de payer les futures contributions à la date fixée, et à rendre compte de ces arrangements au Bureau concerné à sa prochaine réunion, ainsi qu’à la Conférence des Parties à sa dix-septième réunion</w:t>
      </w:r>
      <w:r w:rsidR="00AA1A10">
        <w:rPr>
          <w:lang w:val="fr-FR"/>
        </w:rPr>
        <w:t> </w:t>
      </w:r>
      <w:r w:rsidRPr="00DF1690">
        <w:rPr>
          <w:lang w:val="fr-FR"/>
        </w:rPr>
        <w:t>;</w:t>
      </w:r>
    </w:p>
    <w:p w14:paraId="127607A4" w14:textId="4AF208C3" w:rsidR="00DF1690" w:rsidRPr="00DF1690" w:rsidRDefault="00DF1690" w:rsidP="00DF1690">
      <w:pPr>
        <w:pStyle w:val="CBDDesicionText"/>
        <w:rPr>
          <w:lang w:val="fr-FR"/>
        </w:rPr>
      </w:pPr>
      <w:r w:rsidRPr="00DF1690">
        <w:rPr>
          <w:lang w:val="fr-FR"/>
        </w:rPr>
        <w:t>26.</w:t>
      </w:r>
      <w:r w:rsidRPr="00DF1690">
        <w:rPr>
          <w:i/>
          <w:iCs/>
          <w:lang w:val="fr-FR"/>
        </w:rPr>
        <w:tab/>
        <w:t>Décide</w:t>
      </w:r>
      <w:r w:rsidRPr="00DF1690">
        <w:rPr>
          <w:lang w:val="fr-FR"/>
        </w:rPr>
        <w:t xml:space="preserve"> que toute Partie qui a conclu un arrangement conformément au paragraphe 25 ci-dessus et qui respecte à la lettre les dispositions dudit arrangement ne sera pas soumise aux dispositions du paragraphe 24 ci-dessus</w:t>
      </w:r>
      <w:r w:rsidR="00AA1A10">
        <w:rPr>
          <w:lang w:val="fr-FR"/>
        </w:rPr>
        <w:t> </w:t>
      </w:r>
      <w:r w:rsidRPr="00DF1690">
        <w:rPr>
          <w:lang w:val="fr-FR"/>
        </w:rPr>
        <w:t>;</w:t>
      </w:r>
    </w:p>
    <w:p w14:paraId="550FD56D" w14:textId="6992A17C" w:rsidR="00DF1690" w:rsidRPr="00DF1690" w:rsidRDefault="00DF1690" w:rsidP="00DF1690">
      <w:pPr>
        <w:pStyle w:val="CBDDesicionText"/>
        <w:rPr>
          <w:lang w:val="fr-FR"/>
        </w:rPr>
      </w:pPr>
      <w:r w:rsidRPr="00DF1690">
        <w:rPr>
          <w:lang w:val="fr-FR"/>
        </w:rPr>
        <w:t>27.</w:t>
      </w:r>
      <w:r w:rsidRPr="00DF1690">
        <w:rPr>
          <w:i/>
          <w:iCs/>
          <w:lang w:val="fr-FR"/>
        </w:rPr>
        <w:tab/>
        <w:t>Prie</w:t>
      </w:r>
      <w:r w:rsidRPr="00DF1690">
        <w:rPr>
          <w:lang w:val="fr-FR"/>
        </w:rPr>
        <w:t xml:space="preserve"> la Secrétaire exécutive et invite le président de la Conférence des Parties, dans une lettre commune, à informer les Parties qui ont des contributions impayées qu’elles sont en souffrance et </w:t>
      </w:r>
      <w:r w:rsidR="005C46FC">
        <w:rPr>
          <w:lang w:val="fr-FR"/>
        </w:rPr>
        <w:t>à</w:t>
      </w:r>
      <w:r w:rsidRPr="00DF1690">
        <w:rPr>
          <w:lang w:val="fr-FR"/>
        </w:rPr>
        <w:t xml:space="preserve"> leur demander de prendre rapidement des mesures pour remédier à la situation, et </w:t>
      </w:r>
      <w:r w:rsidR="005C46FC">
        <w:rPr>
          <w:lang w:val="fr-FR"/>
        </w:rPr>
        <w:t>à</w:t>
      </w:r>
      <w:r w:rsidRPr="00DF1690">
        <w:rPr>
          <w:lang w:val="fr-FR"/>
        </w:rPr>
        <w:t xml:space="preserve"> remercier les Parties qui ont répondu positivement à l’invitation de payer leurs contributions en souffrance</w:t>
      </w:r>
      <w:r w:rsidR="00AA1A10">
        <w:rPr>
          <w:lang w:val="fr-FR"/>
        </w:rPr>
        <w:t> </w:t>
      </w:r>
      <w:r w:rsidRPr="00DF1690">
        <w:rPr>
          <w:lang w:val="fr-FR"/>
        </w:rPr>
        <w:t>;</w:t>
      </w:r>
    </w:p>
    <w:p w14:paraId="5B7B8EF0" w14:textId="686DECC6" w:rsidR="00DF1690" w:rsidRPr="00DF1690" w:rsidRDefault="00DF1690" w:rsidP="00DF1690">
      <w:pPr>
        <w:pStyle w:val="CBDDesicionText"/>
        <w:rPr>
          <w:lang w:val="fr-FR"/>
        </w:rPr>
      </w:pPr>
      <w:r w:rsidRPr="00DF1690">
        <w:rPr>
          <w:lang w:val="fr-FR"/>
        </w:rPr>
        <w:t>28.</w:t>
      </w:r>
      <w:r w:rsidRPr="00DF1690">
        <w:rPr>
          <w:i/>
          <w:iCs/>
          <w:lang w:val="fr-FR"/>
        </w:rPr>
        <w:tab/>
        <w:t>Prend note</w:t>
      </w:r>
      <w:r w:rsidRPr="00DF1690">
        <w:rPr>
          <w:lang w:val="fr-FR"/>
        </w:rPr>
        <w:t xml:space="preserve"> du fait que la prolongation des fonds</w:t>
      </w:r>
      <w:r w:rsidR="006675ED">
        <w:rPr>
          <w:lang w:val="fr-FR"/>
        </w:rPr>
        <w:t xml:space="preserve"> d’affectation spéciale</w:t>
      </w:r>
      <w:r w:rsidRPr="00DF1690">
        <w:rPr>
          <w:lang w:val="fr-FR"/>
        </w:rPr>
        <w:t xml:space="preserve"> est une question administrative du ressort de la Directrice exécutive du Programme des Nations Unies pour l’environnement, que ces fonds, à partir de la septième session de l’Assemblée des Nations Unies pour l’environnement, ne nécessiteront plus de décision de la part des États membres, et qu’afin de faciliter la transition entre les sixième et septième sessions de l’Assemblée pour l’environnement, tous les fonds </w:t>
      </w:r>
      <w:r w:rsidR="006675ED">
        <w:rPr>
          <w:lang w:val="fr-FR"/>
        </w:rPr>
        <w:t>d’affectation spéciale</w:t>
      </w:r>
      <w:r w:rsidR="006675ED" w:rsidRPr="00DF1690">
        <w:rPr>
          <w:lang w:val="fr-FR"/>
        </w:rPr>
        <w:t xml:space="preserve"> </w:t>
      </w:r>
      <w:r w:rsidRPr="00DF1690">
        <w:rPr>
          <w:lang w:val="fr-FR"/>
        </w:rPr>
        <w:t>au titre du Programme des Nations Unies pour l’environnement, y compris ceux gérés par le Secrétariat de la Convention et de ses Protocoles, seront prolongés jusqu’au 31 décembre</w:t>
      </w:r>
      <w:r w:rsidR="00AA1A10">
        <w:rPr>
          <w:lang w:val="fr-FR"/>
        </w:rPr>
        <w:t> </w:t>
      </w:r>
      <w:r w:rsidRPr="00DF1690">
        <w:rPr>
          <w:lang w:val="fr-FR"/>
        </w:rPr>
        <w:t>2030, sauf demande contraire de la Conférence des Parties</w:t>
      </w:r>
      <w:r w:rsidR="00AA1A10">
        <w:rPr>
          <w:lang w:val="fr-FR"/>
        </w:rPr>
        <w:t> </w:t>
      </w:r>
      <w:r w:rsidRPr="00DF1690">
        <w:rPr>
          <w:lang w:val="fr-FR"/>
        </w:rPr>
        <w:t>;</w:t>
      </w:r>
    </w:p>
    <w:p w14:paraId="2E276CF3" w14:textId="77777777" w:rsidR="00DF1690" w:rsidRPr="00DF1690" w:rsidRDefault="00DF1690" w:rsidP="00DF1690">
      <w:pPr>
        <w:pStyle w:val="CBDDesicionText"/>
        <w:rPr>
          <w:lang w:val="fr-FR"/>
        </w:rPr>
      </w:pPr>
      <w:r w:rsidRPr="00DF1690">
        <w:rPr>
          <w:lang w:val="fr-FR"/>
        </w:rPr>
        <w:t>29.</w:t>
      </w:r>
      <w:r w:rsidRPr="00DF1690">
        <w:rPr>
          <w:i/>
          <w:iCs/>
          <w:lang w:val="fr-FR"/>
        </w:rPr>
        <w:tab/>
        <w:t>Prend acte</w:t>
      </w:r>
      <w:r w:rsidRPr="00DF1690">
        <w:rPr>
          <w:lang w:val="fr-FR"/>
        </w:rPr>
        <w:t xml:space="preserve"> des estimations de financement pour :</w:t>
      </w:r>
    </w:p>
    <w:p w14:paraId="398B5F00" w14:textId="754478D6" w:rsidR="00DF1690" w:rsidRPr="00DF1690" w:rsidRDefault="00DF1690" w:rsidP="00DF1690">
      <w:pPr>
        <w:pStyle w:val="CBDDesicionText"/>
        <w:rPr>
          <w:lang w:val="fr-FR"/>
        </w:rPr>
      </w:pPr>
      <w:r w:rsidRPr="00DF1690">
        <w:rPr>
          <w:lang w:val="fr-FR"/>
        </w:rPr>
        <w:t>a)</w:t>
      </w:r>
      <w:r w:rsidRPr="00DF1690">
        <w:rPr>
          <w:lang w:val="fr-FR"/>
        </w:rPr>
        <w:tab/>
        <w:t xml:space="preserve">Le </w:t>
      </w:r>
      <w:r w:rsidR="004B3208" w:rsidRPr="008B18F4">
        <w:rPr>
          <w:lang w:val="fr-FR"/>
        </w:rPr>
        <w:t xml:space="preserve">Fonds spécial de contributions volontaires </w:t>
      </w:r>
      <w:r w:rsidR="008B18F4" w:rsidRPr="008B18F4">
        <w:rPr>
          <w:lang w:val="fr-FR"/>
        </w:rPr>
        <w:t>destiné à des activités supplémentaires approuvées au titre d</w:t>
      </w:r>
      <w:r w:rsidR="004B3208" w:rsidRPr="008B18F4">
        <w:rPr>
          <w:lang w:val="fr-FR"/>
        </w:rPr>
        <w:t>e la Convention et de ses Protocoles</w:t>
      </w:r>
      <w:r w:rsidR="004B3208" w:rsidRPr="00DF1690">
        <w:rPr>
          <w:lang w:val="fr-FR"/>
        </w:rPr>
        <w:t xml:space="preserve"> </w:t>
      </w:r>
      <w:r w:rsidRPr="00DF1690">
        <w:rPr>
          <w:lang w:val="fr-FR"/>
        </w:rPr>
        <w:t>pour la période 2025-2026 (voir le</w:t>
      </w:r>
      <w:r w:rsidR="00B33307">
        <w:rPr>
          <w:lang w:val="fr-FR"/>
        </w:rPr>
        <w:t>s</w:t>
      </w:r>
      <w:r w:rsidRPr="00DF1690">
        <w:rPr>
          <w:lang w:val="fr-FR"/>
        </w:rPr>
        <w:t xml:space="preserve"> tableau</w:t>
      </w:r>
      <w:r w:rsidR="00B33307">
        <w:rPr>
          <w:lang w:val="fr-FR"/>
        </w:rPr>
        <w:t>x</w:t>
      </w:r>
      <w:r w:rsidRPr="00DF1690">
        <w:rPr>
          <w:lang w:val="fr-FR"/>
        </w:rPr>
        <w:t> 4</w:t>
      </w:r>
      <w:r w:rsidR="00B33307">
        <w:rPr>
          <w:lang w:val="fr-FR"/>
        </w:rPr>
        <w:t xml:space="preserve"> et 5</w:t>
      </w:r>
      <w:r w:rsidRPr="00DF1690">
        <w:rPr>
          <w:lang w:val="fr-FR"/>
        </w:rPr>
        <w:t>)</w:t>
      </w:r>
      <w:r w:rsidR="00AA1A10">
        <w:rPr>
          <w:lang w:val="fr-FR"/>
        </w:rPr>
        <w:t> </w:t>
      </w:r>
      <w:r w:rsidRPr="00DF1690">
        <w:rPr>
          <w:lang w:val="fr-FR"/>
        </w:rPr>
        <w:t>;</w:t>
      </w:r>
    </w:p>
    <w:p w14:paraId="32C849BC" w14:textId="09C3FA08" w:rsidR="00DF1690" w:rsidRPr="00DF1690" w:rsidRDefault="00DF1690" w:rsidP="00DF1690">
      <w:pPr>
        <w:pStyle w:val="CBDDesicionText"/>
        <w:rPr>
          <w:lang w:val="fr-FR"/>
        </w:rPr>
      </w:pPr>
      <w:r w:rsidRPr="00DF1690">
        <w:rPr>
          <w:lang w:val="fr-FR"/>
        </w:rPr>
        <w:t>b)</w:t>
      </w:r>
      <w:r w:rsidRPr="00DF1690">
        <w:rPr>
          <w:lang w:val="fr-FR"/>
        </w:rPr>
        <w:tab/>
        <w:t xml:space="preserve">Le </w:t>
      </w:r>
      <w:r w:rsidR="004B3208" w:rsidRPr="00DF1690">
        <w:rPr>
          <w:lang w:val="fr-FR"/>
        </w:rPr>
        <w:t xml:space="preserve">Fonds </w:t>
      </w:r>
      <w:r w:rsidR="004B3208">
        <w:rPr>
          <w:lang w:val="fr-FR"/>
        </w:rPr>
        <w:t xml:space="preserve">spécial de contributions volontaires </w:t>
      </w:r>
      <w:r w:rsidR="008B18F4">
        <w:rPr>
          <w:lang w:val="fr-FR"/>
        </w:rPr>
        <w:t>destiné</w:t>
      </w:r>
      <w:r w:rsidR="004B3208">
        <w:rPr>
          <w:lang w:val="fr-FR"/>
        </w:rPr>
        <w:t xml:space="preserve"> à </w:t>
      </w:r>
      <w:r w:rsidR="004B3208" w:rsidRPr="00DF1690">
        <w:rPr>
          <w:lang w:val="fr-FR"/>
        </w:rPr>
        <w:t xml:space="preserve">faciliter la participation des Parties au processus de la Convention </w:t>
      </w:r>
      <w:r w:rsidRPr="00DF1690">
        <w:rPr>
          <w:lang w:val="fr-FR"/>
        </w:rPr>
        <w:t>pour la période 2025–2026 (voir le tableau </w:t>
      </w:r>
      <w:r w:rsidR="00B33307">
        <w:rPr>
          <w:lang w:val="fr-FR"/>
        </w:rPr>
        <w:t>6</w:t>
      </w:r>
      <w:r w:rsidRPr="00DF1690">
        <w:rPr>
          <w:lang w:val="fr-FR"/>
        </w:rPr>
        <w:t>)</w:t>
      </w:r>
      <w:r w:rsidR="00AA1A10">
        <w:rPr>
          <w:lang w:val="fr-FR"/>
        </w:rPr>
        <w:t> </w:t>
      </w:r>
      <w:r w:rsidRPr="00DF1690">
        <w:rPr>
          <w:lang w:val="fr-FR"/>
        </w:rPr>
        <w:t>;</w:t>
      </w:r>
    </w:p>
    <w:p w14:paraId="48C176C1" w14:textId="48D814E2" w:rsidR="00DF1690" w:rsidRPr="00DF1690" w:rsidRDefault="00DF1690" w:rsidP="00DF1690">
      <w:pPr>
        <w:pStyle w:val="CBDDesicionText"/>
        <w:rPr>
          <w:lang w:val="fr-FR"/>
        </w:rPr>
      </w:pPr>
      <w:r w:rsidRPr="00DF1690">
        <w:rPr>
          <w:lang w:val="fr-FR"/>
        </w:rPr>
        <w:t>c)</w:t>
      </w:r>
      <w:r w:rsidRPr="00DF1690">
        <w:rPr>
          <w:lang w:val="fr-FR"/>
        </w:rPr>
        <w:tab/>
        <w:t xml:space="preserve">Le </w:t>
      </w:r>
      <w:r w:rsidR="004B3208">
        <w:rPr>
          <w:lang w:val="fr-FR"/>
        </w:rPr>
        <w:t xml:space="preserve">Fonds spécial de contributions volontaires </w:t>
      </w:r>
      <w:r w:rsidR="008B18F4">
        <w:rPr>
          <w:lang w:val="fr-FR"/>
        </w:rPr>
        <w:t>destiné</w:t>
      </w:r>
      <w:r w:rsidR="004B3208">
        <w:rPr>
          <w:lang w:val="fr-FR"/>
        </w:rPr>
        <w:t xml:space="preserve"> à faciliter la participation des peuples autochtones et communautés locales</w:t>
      </w:r>
      <w:r w:rsidR="004B3208" w:rsidRPr="00DF1690">
        <w:rPr>
          <w:lang w:val="fr-FR"/>
        </w:rPr>
        <w:t xml:space="preserve"> </w:t>
      </w:r>
      <w:r w:rsidRPr="00DF1690">
        <w:rPr>
          <w:lang w:val="fr-FR"/>
        </w:rPr>
        <w:t>pour la période 2025-2026 (voir le tableau </w:t>
      </w:r>
      <w:r w:rsidR="00B33307">
        <w:rPr>
          <w:lang w:val="fr-FR"/>
        </w:rPr>
        <w:t>7</w:t>
      </w:r>
      <w:r w:rsidRPr="00DF1690">
        <w:rPr>
          <w:lang w:val="fr-FR"/>
        </w:rPr>
        <w:t>)</w:t>
      </w:r>
      <w:r w:rsidR="00AA1A10">
        <w:rPr>
          <w:lang w:val="fr-FR"/>
        </w:rPr>
        <w:t> </w:t>
      </w:r>
      <w:r w:rsidRPr="00DF1690">
        <w:rPr>
          <w:lang w:val="fr-FR"/>
        </w:rPr>
        <w:t>;</w:t>
      </w:r>
    </w:p>
    <w:p w14:paraId="40F5B290" w14:textId="7C8F910B" w:rsidR="00DF1690" w:rsidRPr="00DF1690" w:rsidRDefault="00DF1690" w:rsidP="00DF1690">
      <w:pPr>
        <w:pStyle w:val="CBDDesicionText"/>
        <w:rPr>
          <w:lang w:val="fr-FR"/>
        </w:rPr>
      </w:pPr>
      <w:r w:rsidRPr="00DF1690">
        <w:rPr>
          <w:lang w:val="fr-FR"/>
        </w:rPr>
        <w:t>30.</w:t>
      </w:r>
      <w:r w:rsidRPr="00DF1690">
        <w:rPr>
          <w:i/>
          <w:iCs/>
          <w:lang w:val="fr-FR"/>
        </w:rPr>
        <w:tab/>
        <w:t>Rappelle</w:t>
      </w:r>
      <w:r w:rsidRPr="00DF1690">
        <w:rPr>
          <w:lang w:val="fr-FR"/>
        </w:rPr>
        <w:t xml:space="preserve"> la règle 30 du règlement intérieur pour les réunions de la Conférence des Parties</w:t>
      </w:r>
      <w:r w:rsidRPr="00DF1690">
        <w:rPr>
          <w:rStyle w:val="Appelnotedebasdep"/>
          <w:rFonts w:asciiTheme="majorBidi" w:hAnsiTheme="majorBidi" w:cstheme="majorBidi"/>
          <w:lang w:val="fr-FR"/>
        </w:rPr>
        <w:footnoteReference w:id="11"/>
      </w:r>
      <w:r w:rsidRPr="00DF1690">
        <w:rPr>
          <w:lang w:val="fr-FR"/>
        </w:rPr>
        <w:t xml:space="preserve">, et souligne l’importance de la participation d’un grand nombre de Parties aux réunions de </w:t>
      </w:r>
      <w:r w:rsidRPr="00DF1690">
        <w:rPr>
          <w:lang w:val="fr-FR"/>
        </w:rPr>
        <w:lastRenderedPageBreak/>
        <w:t>la Conférence des Parties à la Convention et de la Conférence des Parties siégeant en tant que réunions des Parties aux Protocoles, notamment pour atteindre le niveau de 2/3 des Parties présentes nécessaire pour avoir un quorum de la réunion qui permet de prendre des décisions</w:t>
      </w:r>
      <w:r w:rsidR="00AA1A10">
        <w:rPr>
          <w:lang w:val="fr-FR"/>
        </w:rPr>
        <w:t> </w:t>
      </w:r>
      <w:r w:rsidRPr="00DF1690">
        <w:rPr>
          <w:lang w:val="fr-FR"/>
        </w:rPr>
        <w:t>;</w:t>
      </w:r>
    </w:p>
    <w:p w14:paraId="2CD02018" w14:textId="746774EA" w:rsidR="00DF1690" w:rsidRPr="00DF1690" w:rsidRDefault="00DF1690" w:rsidP="00DF1690">
      <w:pPr>
        <w:pStyle w:val="CBDDesicionText"/>
        <w:rPr>
          <w:lang w:val="fr-FR"/>
        </w:rPr>
      </w:pPr>
      <w:r w:rsidRPr="00DF1690">
        <w:rPr>
          <w:lang w:val="fr-FR"/>
        </w:rPr>
        <w:t>31.</w:t>
      </w:r>
      <w:r w:rsidRPr="00DF1690">
        <w:rPr>
          <w:i/>
          <w:iCs/>
          <w:lang w:val="fr-FR"/>
        </w:rPr>
        <w:tab/>
        <w:t>Réaffirme</w:t>
      </w:r>
      <w:r w:rsidRPr="00DF1690">
        <w:rPr>
          <w:lang w:val="fr-FR"/>
        </w:rPr>
        <w:t xml:space="preserve"> l’importance de la participation pleine et effective des pays en développement Parties, en particulier des pays les moins avancés et des petits États insulaires en développement, ainsi que des Parties à économie en transition, aux réunions de la Conférence des Parties à la Convention et de la Conférence des Parties siégeant en tant que réunion</w:t>
      </w:r>
      <w:r w:rsidR="00683824">
        <w:rPr>
          <w:lang w:val="fr-FR"/>
        </w:rPr>
        <w:t>s</w:t>
      </w:r>
      <w:r w:rsidRPr="00DF1690">
        <w:rPr>
          <w:lang w:val="fr-FR"/>
        </w:rPr>
        <w:t xml:space="preserve"> des Parties aux Protocoles, et à cet égard, prie la Secrétaire exécutive de tenir compte des décisions pertinentes de la Conférence des Parties à la Convention et de la Conférence des Parties siégeant en tant que réunions des Parties aux Protocoles sur la tenue de réunions concomitantes et sur l’amélioration de l’efficacité des structures et des processus de la Convention et de ses Protocoles</w:t>
      </w:r>
      <w:r w:rsidR="00AA1A10">
        <w:rPr>
          <w:lang w:val="fr-FR"/>
        </w:rPr>
        <w:t> </w:t>
      </w:r>
      <w:r w:rsidRPr="00DF1690">
        <w:rPr>
          <w:lang w:val="fr-FR"/>
        </w:rPr>
        <w:t>;</w:t>
      </w:r>
    </w:p>
    <w:p w14:paraId="476C1422" w14:textId="682B42EF" w:rsidR="00DF1690" w:rsidRPr="00DF1690" w:rsidRDefault="00DF1690" w:rsidP="00DF1690">
      <w:pPr>
        <w:pStyle w:val="CBDDesicionText"/>
        <w:rPr>
          <w:rFonts w:asciiTheme="majorBidi" w:hAnsiTheme="majorBidi" w:cstheme="majorBidi"/>
          <w:strike/>
          <w:lang w:val="fr-FR"/>
        </w:rPr>
      </w:pPr>
      <w:r w:rsidRPr="00DF1690">
        <w:rPr>
          <w:lang w:val="fr-FR"/>
        </w:rPr>
        <w:t>32.</w:t>
      </w:r>
      <w:r w:rsidRPr="00DF1690">
        <w:rPr>
          <w:i/>
          <w:iCs/>
          <w:lang w:val="fr-FR"/>
        </w:rPr>
        <w:tab/>
        <w:t>Autorise</w:t>
      </w:r>
      <w:r w:rsidRPr="00DF1690">
        <w:rPr>
          <w:lang w:val="fr-FR"/>
        </w:rPr>
        <w:t xml:space="preserve"> la Secrétaire exécutive, en consultation avec le Programme des Nations Unies pour l’environnement et conformément au règlement financier et aux règles de gestion financière des Nations Unies, d’utiliser les intérêts courus dans le </w:t>
      </w:r>
      <w:r w:rsidR="004B3208" w:rsidRPr="00DF1690">
        <w:rPr>
          <w:lang w:val="fr-FR"/>
        </w:rPr>
        <w:t xml:space="preserve">Fonds </w:t>
      </w:r>
      <w:r w:rsidR="004B3208">
        <w:rPr>
          <w:lang w:val="fr-FR"/>
        </w:rPr>
        <w:t xml:space="preserve">spécial de contributions volontaires </w:t>
      </w:r>
      <w:r w:rsidR="008B18F4">
        <w:rPr>
          <w:lang w:val="fr-FR"/>
        </w:rPr>
        <w:t>destiné</w:t>
      </w:r>
      <w:r w:rsidR="004B3208">
        <w:rPr>
          <w:lang w:val="fr-FR"/>
        </w:rPr>
        <w:t xml:space="preserve"> à </w:t>
      </w:r>
      <w:r w:rsidR="004B3208" w:rsidRPr="00DF1690">
        <w:rPr>
          <w:lang w:val="fr-FR"/>
        </w:rPr>
        <w:t xml:space="preserve">faciliter la participation des Parties au processus de la Convention </w:t>
      </w:r>
      <w:r w:rsidRPr="00DF1690">
        <w:rPr>
          <w:lang w:val="fr-FR"/>
        </w:rPr>
        <w:t xml:space="preserve">et le </w:t>
      </w:r>
      <w:r w:rsidR="004B3208">
        <w:rPr>
          <w:lang w:val="fr-FR"/>
        </w:rPr>
        <w:t xml:space="preserve">Fonds spécial de contributions volontaires </w:t>
      </w:r>
      <w:r w:rsidR="008B18F4">
        <w:rPr>
          <w:lang w:val="fr-FR"/>
        </w:rPr>
        <w:t>destiné</w:t>
      </w:r>
      <w:r w:rsidR="004B3208">
        <w:rPr>
          <w:lang w:val="fr-FR"/>
        </w:rPr>
        <w:t xml:space="preserve"> à faciliter la participation des peuples autochtones et communautés locales</w:t>
      </w:r>
      <w:r w:rsidR="004B3208" w:rsidRPr="00DF1690">
        <w:rPr>
          <w:lang w:val="fr-FR"/>
        </w:rPr>
        <w:t xml:space="preserve"> </w:t>
      </w:r>
      <w:r w:rsidRPr="00DF1690">
        <w:rPr>
          <w:lang w:val="fr-FR"/>
        </w:rPr>
        <w:t>en cas d’insuffisance de fonds et de délais dans la réception des contributions des donateurs</w:t>
      </w:r>
      <w:r w:rsidR="00AA1A10">
        <w:rPr>
          <w:lang w:val="fr-FR"/>
        </w:rPr>
        <w:t> </w:t>
      </w:r>
      <w:r w:rsidRPr="00DF1690">
        <w:rPr>
          <w:lang w:val="fr-FR"/>
        </w:rPr>
        <w:t>;</w:t>
      </w:r>
    </w:p>
    <w:p w14:paraId="184D26E8" w14:textId="7BC5096D" w:rsidR="00DF1690" w:rsidRPr="00DF1690" w:rsidRDefault="00DF1690" w:rsidP="00DF1690">
      <w:pPr>
        <w:pStyle w:val="CBDDesicionText"/>
        <w:rPr>
          <w:rFonts w:asciiTheme="majorBidi" w:hAnsiTheme="majorBidi" w:cstheme="majorBidi"/>
          <w:lang w:val="fr-FR"/>
        </w:rPr>
      </w:pPr>
      <w:r w:rsidRPr="00DF1690">
        <w:rPr>
          <w:rFonts w:asciiTheme="majorBidi" w:hAnsiTheme="majorBidi"/>
          <w:lang w:val="fr-FR"/>
        </w:rPr>
        <w:t>33.</w:t>
      </w:r>
      <w:r w:rsidRPr="00DF1690">
        <w:rPr>
          <w:rFonts w:asciiTheme="majorBidi" w:hAnsiTheme="majorBidi"/>
          <w:lang w:val="fr-FR"/>
        </w:rPr>
        <w:tab/>
      </w:r>
      <w:r w:rsidRPr="00DF1690">
        <w:rPr>
          <w:i/>
          <w:iCs/>
          <w:lang w:val="fr-FR"/>
        </w:rPr>
        <w:t>Réaffirme</w:t>
      </w:r>
      <w:r w:rsidRPr="00DF1690">
        <w:rPr>
          <w:lang w:val="fr-FR"/>
        </w:rPr>
        <w:t xml:space="preserve"> l’importance de la participation pleine et effective d’au moins deux délégués provenant de pays en développement Parties, en particulier des pays les moins avancés et des petits États insulaires en développement, ainsi que des Parties à économie en transition, aux réunions de la Conférence des Parties à la Convention et de la Conférence des Parties siégeant en tant que réunions des Parties aux Protocoles, ainsi qu’aux réunions des organes subsidiaires, qui doit être financée à partir du </w:t>
      </w:r>
      <w:r w:rsidR="004B3208" w:rsidRPr="008B18F4">
        <w:rPr>
          <w:lang w:val="fr-FR"/>
        </w:rPr>
        <w:t xml:space="preserve">Fonds spécial de contributions volontaires </w:t>
      </w:r>
      <w:r w:rsidR="008B18F4" w:rsidRPr="008B18F4">
        <w:rPr>
          <w:lang w:val="fr-FR"/>
        </w:rPr>
        <w:t>destiné</w:t>
      </w:r>
      <w:r w:rsidR="004B3208" w:rsidRPr="008B18F4">
        <w:rPr>
          <w:lang w:val="fr-FR"/>
        </w:rPr>
        <w:t xml:space="preserve"> à faciliter la participation des Parties au processus de la Convention</w:t>
      </w:r>
      <w:r w:rsidRPr="00DF1690">
        <w:rPr>
          <w:lang w:val="fr-FR"/>
        </w:rPr>
        <w:t xml:space="preserve">, invite les pays développés Parties et les autres Parties en mesure de le faire, y compris dans le contexte de la coopération Sud-Sud, à verser à ce Fonds des contributions en temps opportun et d’une valeur qui permettra cette participation pleine et effective, et dans des circonstances exceptionnelles et conformément au règlement financier et aux règles de gestion financière des Nations Unies, et autorise la Secrétaire exécutive, en consultation avec le Bureau, à retirer un montant total de 500 000 dollars au cours de la période biennale dans les réserves disponibles des trois fonds </w:t>
      </w:r>
      <w:r w:rsidR="006675ED">
        <w:rPr>
          <w:lang w:val="fr-FR"/>
        </w:rPr>
        <w:t xml:space="preserve">d’affectation spéciale </w:t>
      </w:r>
      <w:r w:rsidR="004B3208">
        <w:rPr>
          <w:lang w:val="fr-FR"/>
        </w:rPr>
        <w:t>de base</w:t>
      </w:r>
      <w:r w:rsidRPr="00DF1690">
        <w:rPr>
          <w:lang w:val="fr-FR"/>
        </w:rPr>
        <w:t xml:space="preserve">, montant qui devra être utilisé pour pallier les déficits temporaires dans le </w:t>
      </w:r>
      <w:r w:rsidR="004B3208" w:rsidRPr="008B18F4">
        <w:rPr>
          <w:lang w:val="fr-FR"/>
        </w:rPr>
        <w:t xml:space="preserve">Fonds spécial de contributions volontaires </w:t>
      </w:r>
      <w:r w:rsidR="008B18F4" w:rsidRPr="008B18F4">
        <w:rPr>
          <w:lang w:val="fr-FR"/>
        </w:rPr>
        <w:t>destiné</w:t>
      </w:r>
      <w:r w:rsidR="004B3208" w:rsidRPr="008B18F4">
        <w:rPr>
          <w:lang w:val="fr-FR"/>
        </w:rPr>
        <w:t xml:space="preserve"> à faciliter la participation des Parties au processus de la Convention</w:t>
      </w:r>
      <w:r w:rsidRPr="00DF1690">
        <w:rPr>
          <w:lang w:val="fr-FR"/>
        </w:rPr>
        <w:t xml:space="preserve">, pour lequel des engagements écrits ont été pris, mais les ressources n’ont pas encore été reçues, afin d’appuyer la participation des délégués des pays en développement Parties, en particulier des pays les moins avancés et </w:t>
      </w:r>
      <w:r w:rsidR="00683824">
        <w:rPr>
          <w:lang w:val="fr-FR"/>
        </w:rPr>
        <w:t>d</w:t>
      </w:r>
      <w:r w:rsidRPr="00DF1690">
        <w:rPr>
          <w:lang w:val="fr-FR"/>
        </w:rPr>
        <w:t xml:space="preserve">es petits États insulaires en développement parmi eux, ainsi que des Parties à économie en transition, à la dix-septième réunion de la Conférence des Parties, la douzième réunion de la Conférence des Parties siégeant en tant que réunion des Parties au Protocole de Cartagena et la sixième réunion de la Conférence des Parties siégeant en tant que réunion des Parties au Protocole de Nagoya, à condition que des remboursements soient faits dans les trois fonds </w:t>
      </w:r>
      <w:r w:rsidR="006675ED">
        <w:rPr>
          <w:lang w:val="fr-FR"/>
        </w:rPr>
        <w:t xml:space="preserve">d’affectation spéciale </w:t>
      </w:r>
      <w:r w:rsidR="004B3208">
        <w:rPr>
          <w:lang w:val="fr-FR"/>
        </w:rPr>
        <w:t>de base</w:t>
      </w:r>
      <w:r w:rsidRPr="00DF1690">
        <w:rPr>
          <w:lang w:val="fr-FR"/>
        </w:rPr>
        <w:t xml:space="preserve"> dès que les engagements se concrétisent</w:t>
      </w:r>
      <w:r w:rsidR="00AA1A10">
        <w:rPr>
          <w:lang w:val="fr-FR"/>
        </w:rPr>
        <w:t> </w:t>
      </w:r>
      <w:r w:rsidRPr="00DF1690">
        <w:rPr>
          <w:lang w:val="fr-FR"/>
        </w:rPr>
        <w:t>;</w:t>
      </w:r>
    </w:p>
    <w:p w14:paraId="62DA61DA" w14:textId="7153A59C" w:rsidR="00DF1690" w:rsidRPr="00DF1690" w:rsidRDefault="00DF1690" w:rsidP="00DF1690">
      <w:pPr>
        <w:pStyle w:val="CBDDesicionText"/>
        <w:rPr>
          <w:rFonts w:asciiTheme="majorBidi" w:hAnsiTheme="majorBidi" w:cstheme="majorBidi"/>
          <w:lang w:val="fr-FR"/>
        </w:rPr>
      </w:pPr>
      <w:r w:rsidRPr="00DF1690">
        <w:rPr>
          <w:rFonts w:asciiTheme="majorBidi" w:hAnsiTheme="majorBidi"/>
          <w:lang w:val="fr-FR"/>
        </w:rPr>
        <w:t>34.</w:t>
      </w:r>
      <w:r w:rsidRPr="00DF1690">
        <w:rPr>
          <w:rFonts w:asciiTheme="majorBidi" w:hAnsiTheme="majorBidi"/>
          <w:i/>
          <w:iCs/>
          <w:lang w:val="fr-FR"/>
        </w:rPr>
        <w:tab/>
        <w:t>Rappelle</w:t>
      </w:r>
      <w:r w:rsidRPr="00DF1690">
        <w:rPr>
          <w:rFonts w:asciiTheme="majorBidi" w:hAnsiTheme="majorBidi"/>
          <w:lang w:val="fr-FR"/>
        </w:rPr>
        <w:t xml:space="preserve"> le paragraphe 31 de la décision </w:t>
      </w:r>
      <w:hyperlink r:id="rId18" w:history="1">
        <w:r w:rsidRPr="00DF1690">
          <w:rPr>
            <w:rStyle w:val="Lienhypertexte"/>
            <w:rFonts w:asciiTheme="majorBidi" w:hAnsiTheme="majorBidi"/>
            <w:lang w:val="fr-FR"/>
          </w:rPr>
          <w:t>IX/34</w:t>
        </w:r>
      </w:hyperlink>
      <w:r w:rsidRPr="00DF1690">
        <w:rPr>
          <w:rFonts w:asciiTheme="majorBidi" w:hAnsiTheme="majorBidi"/>
          <w:lang w:val="fr-FR"/>
        </w:rPr>
        <w:t xml:space="preserve"> du 23 mai</w:t>
      </w:r>
      <w:r w:rsidR="00AA1A10">
        <w:rPr>
          <w:rFonts w:asciiTheme="majorBidi" w:hAnsiTheme="majorBidi"/>
          <w:lang w:val="fr-FR"/>
        </w:rPr>
        <w:t> </w:t>
      </w:r>
      <w:r w:rsidRPr="00DF1690">
        <w:rPr>
          <w:rFonts w:asciiTheme="majorBidi" w:hAnsiTheme="majorBidi"/>
          <w:lang w:val="fr-FR"/>
        </w:rPr>
        <w:t xml:space="preserve">2008, et prie la Secrétaire exécutive, lorsqu’elle attribuera des sommes provenant du </w:t>
      </w:r>
      <w:r w:rsidR="004B3208" w:rsidRPr="00DF1690">
        <w:rPr>
          <w:lang w:val="fr-FR"/>
        </w:rPr>
        <w:t xml:space="preserve">Fonds </w:t>
      </w:r>
      <w:r w:rsidR="004B3208">
        <w:rPr>
          <w:lang w:val="fr-FR"/>
        </w:rPr>
        <w:t xml:space="preserve">spécial de contributions volontaires </w:t>
      </w:r>
      <w:r w:rsidR="000D5E71">
        <w:rPr>
          <w:lang w:val="fr-FR"/>
        </w:rPr>
        <w:t>destiné</w:t>
      </w:r>
      <w:r w:rsidR="004B3208">
        <w:rPr>
          <w:lang w:val="fr-FR"/>
        </w:rPr>
        <w:t xml:space="preserve"> à </w:t>
      </w:r>
      <w:r w:rsidR="004B3208" w:rsidRPr="00DF1690">
        <w:rPr>
          <w:lang w:val="fr-FR"/>
        </w:rPr>
        <w:t>faciliter la participation des Parties au processus de la Convention</w:t>
      </w:r>
      <w:r w:rsidRPr="00DF1690">
        <w:rPr>
          <w:rFonts w:asciiTheme="majorBidi" w:hAnsiTheme="majorBidi"/>
          <w:lang w:val="fr-FR"/>
        </w:rPr>
        <w:t xml:space="preserve">, de continuer </w:t>
      </w:r>
      <w:r w:rsidRPr="00DF1690">
        <w:rPr>
          <w:lang w:val="fr-FR"/>
        </w:rPr>
        <w:t xml:space="preserve">de donner la priorité aux </w:t>
      </w:r>
      <w:bookmarkStart w:id="5" w:name="_Hlk183520145"/>
      <w:r w:rsidRPr="00DF1690">
        <w:rPr>
          <w:lang w:val="fr-FR"/>
        </w:rPr>
        <w:t>pays les moins avancés et aux petits États insulaires en développement</w:t>
      </w:r>
      <w:bookmarkEnd w:id="5"/>
      <w:r w:rsidR="00AA1A10">
        <w:rPr>
          <w:lang w:val="fr-FR"/>
        </w:rPr>
        <w:t> </w:t>
      </w:r>
      <w:r w:rsidRPr="00DF1690">
        <w:rPr>
          <w:rFonts w:asciiTheme="majorBidi" w:hAnsiTheme="majorBidi"/>
          <w:lang w:val="fr-FR"/>
        </w:rPr>
        <w:t>;</w:t>
      </w:r>
    </w:p>
    <w:p w14:paraId="6EE8E4A6" w14:textId="626D840A" w:rsidR="00DF1690" w:rsidRPr="00DF1690" w:rsidRDefault="00DF1690" w:rsidP="00DF1690">
      <w:pPr>
        <w:pStyle w:val="CBDDesicionText"/>
        <w:rPr>
          <w:rFonts w:asciiTheme="majorBidi" w:hAnsiTheme="majorBidi" w:cstheme="majorBidi"/>
          <w:lang w:val="fr-FR"/>
        </w:rPr>
      </w:pPr>
      <w:r w:rsidRPr="00DF1690">
        <w:rPr>
          <w:rFonts w:asciiTheme="majorBidi" w:hAnsiTheme="majorBidi"/>
          <w:lang w:val="fr-FR"/>
        </w:rPr>
        <w:t>35.</w:t>
      </w:r>
      <w:r w:rsidRPr="00DF1690">
        <w:rPr>
          <w:rFonts w:asciiTheme="majorBidi" w:hAnsiTheme="majorBidi"/>
          <w:i/>
          <w:iCs/>
          <w:lang w:val="fr-FR"/>
        </w:rPr>
        <w:tab/>
      </w:r>
      <w:r w:rsidRPr="00837050">
        <w:rPr>
          <w:i/>
          <w:iCs/>
          <w:lang w:val="fr-FR"/>
        </w:rPr>
        <w:t>Encourage</w:t>
      </w:r>
      <w:r w:rsidRPr="00DF1690">
        <w:rPr>
          <w:lang w:val="fr-FR"/>
        </w:rPr>
        <w:t xml:space="preserve"> les pays développés Parties et les autres Parties qui sont en mesure de le faire à faciliter un engagement du Secrétariat auprès d’autres donateurs éventuels au </w:t>
      </w:r>
      <w:r w:rsidR="004B3208" w:rsidRPr="00DF1690">
        <w:rPr>
          <w:lang w:val="fr-FR"/>
        </w:rPr>
        <w:t xml:space="preserve">Fonds </w:t>
      </w:r>
      <w:r w:rsidR="004B3208">
        <w:rPr>
          <w:lang w:val="fr-FR"/>
        </w:rPr>
        <w:t xml:space="preserve">spécial de contributions volontaires </w:t>
      </w:r>
      <w:r w:rsidR="000D5E71">
        <w:rPr>
          <w:lang w:val="fr-FR"/>
        </w:rPr>
        <w:t>destiné</w:t>
      </w:r>
      <w:r w:rsidR="004B3208">
        <w:rPr>
          <w:lang w:val="fr-FR"/>
        </w:rPr>
        <w:t xml:space="preserve"> à </w:t>
      </w:r>
      <w:r w:rsidR="004B3208" w:rsidRPr="00DF1690">
        <w:rPr>
          <w:lang w:val="fr-FR"/>
        </w:rPr>
        <w:t>faciliter la participation des Parties au processus de la Convention</w:t>
      </w:r>
      <w:r w:rsidRPr="00DF1690">
        <w:rPr>
          <w:lang w:val="fr-FR"/>
        </w:rPr>
        <w:t>, notamment les organismes privés et philanthropiques, afin d’aider à financer la participation des pays admissibles aux réunions de la Conférence des Parties à la Convention, de la Conférence des Parties siégeant en tant que réunions des Parties aux Protocoles, et des organes subsidiaires</w:t>
      </w:r>
      <w:r w:rsidR="00AA1A10">
        <w:rPr>
          <w:lang w:val="fr-FR"/>
        </w:rPr>
        <w:t> </w:t>
      </w:r>
      <w:r w:rsidRPr="00DF1690">
        <w:rPr>
          <w:lang w:val="fr-FR"/>
        </w:rPr>
        <w:t>;</w:t>
      </w:r>
    </w:p>
    <w:p w14:paraId="7798A931" w14:textId="652EDA92" w:rsidR="00DF1690" w:rsidRPr="00DF1690" w:rsidRDefault="00DF1690" w:rsidP="00DF1690">
      <w:pPr>
        <w:pStyle w:val="CBDDesicionText"/>
        <w:rPr>
          <w:rFonts w:asciiTheme="majorBidi" w:hAnsiTheme="majorBidi" w:cstheme="majorBidi"/>
          <w:lang w:val="fr-FR"/>
        </w:rPr>
      </w:pPr>
      <w:r w:rsidRPr="00DF1690">
        <w:rPr>
          <w:rFonts w:asciiTheme="majorBidi" w:hAnsiTheme="majorBidi"/>
          <w:lang w:val="fr-FR"/>
        </w:rPr>
        <w:lastRenderedPageBreak/>
        <w:t>36.</w:t>
      </w:r>
      <w:r w:rsidRPr="00DF1690">
        <w:rPr>
          <w:rFonts w:asciiTheme="majorBidi" w:hAnsiTheme="majorBidi"/>
          <w:i/>
          <w:iCs/>
          <w:lang w:val="fr-FR"/>
        </w:rPr>
        <w:tab/>
      </w:r>
      <w:r w:rsidRPr="00DF1690">
        <w:rPr>
          <w:i/>
          <w:iCs/>
          <w:lang w:val="fr-FR"/>
        </w:rPr>
        <w:t>Prie</w:t>
      </w:r>
      <w:r w:rsidRPr="00DF1690">
        <w:rPr>
          <w:lang w:val="fr-FR"/>
        </w:rPr>
        <w:t xml:space="preserve"> la Secrétaire exécutive de rappeler aux Parties au mois de janvier de chaque exercice la nécessité de contribuer au </w:t>
      </w:r>
      <w:r w:rsidR="004B3208" w:rsidRPr="00DF1690">
        <w:rPr>
          <w:lang w:val="fr-FR"/>
        </w:rPr>
        <w:t xml:space="preserve">Fonds </w:t>
      </w:r>
      <w:r w:rsidR="004B3208">
        <w:rPr>
          <w:lang w:val="fr-FR"/>
        </w:rPr>
        <w:t xml:space="preserve">spécial de contributions volontaires </w:t>
      </w:r>
      <w:r w:rsidR="000D5E71">
        <w:rPr>
          <w:lang w:val="fr-FR"/>
        </w:rPr>
        <w:t>destiné</w:t>
      </w:r>
      <w:r w:rsidR="004B3208">
        <w:rPr>
          <w:lang w:val="fr-FR"/>
        </w:rPr>
        <w:t xml:space="preserve"> à </w:t>
      </w:r>
      <w:r w:rsidR="004B3208" w:rsidRPr="00DF1690">
        <w:rPr>
          <w:lang w:val="fr-FR"/>
        </w:rPr>
        <w:t xml:space="preserve">faciliter la participation des Parties au processus de la Convention </w:t>
      </w:r>
      <w:r w:rsidRPr="00DF1690">
        <w:rPr>
          <w:lang w:val="fr-FR"/>
        </w:rPr>
        <w:t>au moins six mois avant les réunions ordinaires de la Conférence des Parties à la Convention et de la Conférence des Parties siégeant en tant que réunions des Parties aux Protocoles, de faire les demandes au mois de décembre de chaque année pour tous les besoins de toutes les réunions pertinentes au cours de l’année subséquente et d’émettre longtemps à l’avance une invitation à contribuer aux autres donateurs</w:t>
      </w:r>
      <w:r w:rsidR="00AA1A10">
        <w:rPr>
          <w:lang w:val="fr-FR"/>
        </w:rPr>
        <w:t> </w:t>
      </w:r>
      <w:r w:rsidRPr="00DF1690">
        <w:rPr>
          <w:lang w:val="fr-FR"/>
        </w:rPr>
        <w:t>;</w:t>
      </w:r>
    </w:p>
    <w:p w14:paraId="369FA46D" w14:textId="63FC6E45" w:rsidR="00DF1690" w:rsidRPr="00DF1690" w:rsidRDefault="00DF1690" w:rsidP="00DF1690">
      <w:pPr>
        <w:pStyle w:val="CBDDesicionText"/>
        <w:rPr>
          <w:rFonts w:asciiTheme="majorBidi" w:hAnsiTheme="majorBidi" w:cstheme="majorBidi"/>
          <w:lang w:val="fr-FR"/>
        </w:rPr>
      </w:pPr>
      <w:r w:rsidRPr="00DF1690">
        <w:rPr>
          <w:rFonts w:asciiTheme="majorBidi" w:hAnsiTheme="majorBidi"/>
          <w:lang w:val="fr-FR"/>
        </w:rPr>
        <w:t>37.</w:t>
      </w:r>
      <w:r w:rsidRPr="00DF1690">
        <w:rPr>
          <w:rFonts w:asciiTheme="majorBidi" w:hAnsiTheme="majorBidi"/>
          <w:i/>
          <w:iCs/>
          <w:lang w:val="fr-FR"/>
        </w:rPr>
        <w:tab/>
      </w:r>
      <w:r w:rsidRPr="00DF1690">
        <w:rPr>
          <w:i/>
          <w:iCs/>
          <w:lang w:val="fr-FR"/>
        </w:rPr>
        <w:t>Prie également</w:t>
      </w:r>
      <w:r w:rsidRPr="00DF1690">
        <w:rPr>
          <w:lang w:val="fr-FR"/>
        </w:rPr>
        <w:t xml:space="preserve"> la Secrétaire exécutive, en consultation avec le Bureau, de continuer à assurer le suivi de la disponibilité des contributions versées au </w:t>
      </w:r>
      <w:r w:rsidR="00B40371" w:rsidRPr="00DF1690">
        <w:rPr>
          <w:lang w:val="fr-FR"/>
        </w:rPr>
        <w:t xml:space="preserve">Fonds </w:t>
      </w:r>
      <w:r w:rsidR="00B40371">
        <w:rPr>
          <w:lang w:val="fr-FR"/>
        </w:rPr>
        <w:t xml:space="preserve">spécial de contributions volontaires </w:t>
      </w:r>
      <w:r w:rsidR="000D5E71">
        <w:rPr>
          <w:lang w:val="fr-FR"/>
        </w:rPr>
        <w:t>destiné</w:t>
      </w:r>
      <w:r w:rsidR="00B40371">
        <w:rPr>
          <w:lang w:val="fr-FR"/>
        </w:rPr>
        <w:t xml:space="preserve"> à </w:t>
      </w:r>
      <w:r w:rsidR="00B40371" w:rsidRPr="00DF1690">
        <w:rPr>
          <w:lang w:val="fr-FR"/>
        </w:rPr>
        <w:t>faciliter la participation des Parties au processus de la Convention</w:t>
      </w:r>
      <w:r w:rsidRPr="00DF1690">
        <w:rPr>
          <w:lang w:val="fr-FR"/>
        </w:rPr>
        <w:t>, en vue de permettre aux membres des Bureaux de porter tout déficit de contribution à l’attention des Parties et, selon qu’il convient, des donateurs potentiels dans leurs régions</w:t>
      </w:r>
      <w:r w:rsidR="00AA1A10">
        <w:rPr>
          <w:lang w:val="fr-FR"/>
        </w:rPr>
        <w:t> </w:t>
      </w:r>
      <w:r w:rsidRPr="00DF1690">
        <w:rPr>
          <w:lang w:val="fr-FR"/>
        </w:rPr>
        <w:t>;</w:t>
      </w:r>
    </w:p>
    <w:p w14:paraId="2573CB88" w14:textId="34D4EF21" w:rsidR="00DF1690" w:rsidRPr="00DF1690" w:rsidRDefault="00DF1690" w:rsidP="00DF1690">
      <w:pPr>
        <w:pStyle w:val="CBDDesicionText"/>
        <w:rPr>
          <w:rFonts w:asciiTheme="majorBidi" w:hAnsiTheme="majorBidi" w:cstheme="majorBidi"/>
          <w:lang w:val="fr-FR"/>
        </w:rPr>
      </w:pPr>
      <w:r w:rsidRPr="00DF1690">
        <w:rPr>
          <w:rFonts w:asciiTheme="majorBidi" w:hAnsiTheme="majorBidi"/>
          <w:lang w:val="fr-FR"/>
        </w:rPr>
        <w:t>38.</w:t>
      </w:r>
      <w:r w:rsidRPr="00DF1690">
        <w:rPr>
          <w:rFonts w:asciiTheme="majorBidi" w:hAnsiTheme="majorBidi"/>
          <w:lang w:val="fr-FR"/>
        </w:rPr>
        <w:tab/>
      </w:r>
      <w:r w:rsidRPr="00DF1690">
        <w:rPr>
          <w:rFonts w:asciiTheme="majorBidi" w:hAnsiTheme="majorBidi"/>
          <w:i/>
          <w:iCs/>
          <w:lang w:val="fr-FR"/>
        </w:rPr>
        <w:t>Prie en outre</w:t>
      </w:r>
      <w:r w:rsidRPr="00DF1690">
        <w:rPr>
          <w:rFonts w:asciiTheme="majorBidi" w:hAnsiTheme="majorBidi"/>
          <w:lang w:val="fr-FR"/>
        </w:rPr>
        <w:t xml:space="preserve"> la Secrétaire exécutive, en préparation des réunions de la Conférence des Parties à la Convention et de la Conférence des Parties siégeant en tant que réunions des Parties aux Protocoles, de dresser et distribuer aux Parties une liste des travaux demandés à la Secrétaire exécutive, y compris les implications administratives et budgétaires de chaque projet de décision, selon qu’il convient, </w:t>
      </w:r>
      <w:r w:rsidRPr="00751F5D">
        <w:rPr>
          <w:rFonts w:asciiTheme="majorBidi" w:hAnsiTheme="majorBidi"/>
          <w:lang w:val="fr-FR"/>
        </w:rPr>
        <w:t xml:space="preserve">qui nécessite </w:t>
      </w:r>
      <w:r w:rsidR="00751F5D" w:rsidRPr="00751F5D">
        <w:rPr>
          <w:rFonts w:asciiTheme="majorBidi" w:hAnsiTheme="majorBidi"/>
          <w:lang w:val="fr-FR"/>
        </w:rPr>
        <w:t>un</w:t>
      </w:r>
      <w:r w:rsidRPr="00751F5D">
        <w:rPr>
          <w:rFonts w:asciiTheme="majorBidi" w:hAnsiTheme="majorBidi"/>
          <w:lang w:val="fr-FR"/>
        </w:rPr>
        <w:t xml:space="preserve"> financement</w:t>
      </w:r>
      <w:r w:rsidRPr="00DF1690">
        <w:rPr>
          <w:rFonts w:asciiTheme="majorBidi" w:hAnsiTheme="majorBidi"/>
          <w:lang w:val="fr-FR"/>
        </w:rPr>
        <w:t xml:space="preserve"> provenant des budgets des fonds généraux ou volontaires, comme décrit dans les projets de recommandations et de décisions, afin d’informer les Parties, sans préjudice des décisions de la Conférence des Parties et de la Conférence des Parties siégeant en tant que réunions des Parties aux Protocoles, et de fournir des renseignements sur les implications administratives et financières de chaque projet de décision, le cas échéant, au titre des points respectifs des ordres du jour</w:t>
      </w:r>
      <w:r w:rsidR="00AA1A10">
        <w:rPr>
          <w:rFonts w:asciiTheme="majorBidi" w:hAnsiTheme="majorBidi"/>
          <w:lang w:val="fr-FR"/>
        </w:rPr>
        <w:t> </w:t>
      </w:r>
      <w:r w:rsidRPr="00DF1690">
        <w:rPr>
          <w:rFonts w:asciiTheme="majorBidi" w:hAnsiTheme="majorBidi"/>
          <w:lang w:val="fr-FR"/>
        </w:rPr>
        <w:t>;</w:t>
      </w:r>
    </w:p>
    <w:p w14:paraId="1329FF08" w14:textId="7C1D79D7" w:rsidR="006932AD" w:rsidRPr="00BA52C1" w:rsidRDefault="00194E9E" w:rsidP="00BA52C1">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rFonts w:asciiTheme="majorBidi" w:hAnsiTheme="majorBidi" w:cstheme="majorBidi"/>
          <w:lang w:val="fr-FR"/>
        </w:rPr>
      </w:pPr>
      <w:r w:rsidRPr="00BA52C1">
        <w:rPr>
          <w:rFonts w:asciiTheme="majorBidi" w:hAnsiTheme="majorBidi" w:cstheme="majorBidi"/>
          <w:lang w:val="fr-FR"/>
        </w:rPr>
        <w:t>39</w:t>
      </w:r>
      <w:r w:rsidR="006932AD" w:rsidRPr="00BA52C1">
        <w:rPr>
          <w:rFonts w:asciiTheme="majorBidi" w:hAnsiTheme="majorBidi" w:cstheme="majorBidi"/>
          <w:lang w:val="fr-FR"/>
        </w:rPr>
        <w:t>.</w:t>
      </w:r>
      <w:r w:rsidR="006932AD" w:rsidRPr="00BA52C1">
        <w:rPr>
          <w:rFonts w:asciiTheme="majorBidi" w:hAnsiTheme="majorBidi" w:cstheme="majorBidi"/>
          <w:i/>
          <w:iCs/>
          <w:lang w:val="fr-FR"/>
        </w:rPr>
        <w:tab/>
      </w:r>
      <w:r w:rsidR="002B13BF" w:rsidRPr="00BA52C1">
        <w:rPr>
          <w:rFonts w:asciiTheme="majorBidi" w:hAnsiTheme="majorBidi" w:cstheme="majorBidi"/>
          <w:i/>
          <w:iCs/>
          <w:lang w:val="fr-FR"/>
        </w:rPr>
        <w:t>Prie</w:t>
      </w:r>
      <w:r w:rsidR="002B13BF" w:rsidRPr="00BA52C1">
        <w:rPr>
          <w:rFonts w:asciiTheme="majorBidi" w:hAnsiTheme="majorBidi" w:cstheme="majorBidi"/>
          <w:lang w:val="fr-FR"/>
        </w:rPr>
        <w:t xml:space="preserve"> la Secrétaire exécutive d’élaborer et de présenter un programme de travail actualisé, détaillé et intégré pour la période</w:t>
      </w:r>
      <w:r w:rsidR="00AA1A10">
        <w:rPr>
          <w:rFonts w:asciiTheme="majorBidi" w:hAnsiTheme="majorBidi" w:cstheme="majorBidi"/>
          <w:lang w:val="fr-FR"/>
        </w:rPr>
        <w:t> </w:t>
      </w:r>
      <w:r w:rsidR="002B13BF" w:rsidRPr="00BA52C1">
        <w:rPr>
          <w:rFonts w:asciiTheme="majorBidi" w:hAnsiTheme="majorBidi" w:cstheme="majorBidi"/>
          <w:lang w:val="fr-FR"/>
        </w:rPr>
        <w:t xml:space="preserve">2027-2028 qui énonce les objectifs, les tâches à accomplir par le Secrétariat et les résultats escomptés en ce qui concerne chaque poste budgétaire, pour la Convention et ses Protocoles, pour examen par l’Organe subsidiaire chargé de l’application </w:t>
      </w:r>
      <w:r w:rsidR="00634C07">
        <w:rPr>
          <w:rFonts w:asciiTheme="majorBidi" w:hAnsiTheme="majorBidi" w:cstheme="majorBidi"/>
          <w:lang w:val="fr-FR"/>
        </w:rPr>
        <w:t>en préparation de</w:t>
      </w:r>
      <w:r w:rsidR="002B13BF" w:rsidRPr="00BA52C1">
        <w:rPr>
          <w:rFonts w:asciiTheme="majorBidi" w:hAnsiTheme="majorBidi" w:cstheme="majorBidi"/>
          <w:lang w:val="fr-FR"/>
        </w:rPr>
        <w:t xml:space="preserve"> la dix-septième réunion de la Conférence des Parties à la Convention, </w:t>
      </w:r>
      <w:r w:rsidR="00BA52C1" w:rsidRPr="00BA52C1">
        <w:rPr>
          <w:rFonts w:asciiTheme="majorBidi" w:hAnsiTheme="majorBidi" w:cstheme="majorBidi"/>
          <w:lang w:val="fr-FR"/>
        </w:rPr>
        <w:t>la douzième réunion de la Conférence des Parties siégeant en tant que réunion des Parties au Protocole de Cartagena et la sixième réunion de la Conférence des Parties siégeant en tant que réunion des Parties au Protocole de Nagoya, et un budget-programme correspondant suivant la présentation du projet de budget-programme pour le Programme des Nations Unies pour l’environnement, y compris le relevé d’informations complémentaires, pour l’exercice biennal avec les trois scénarios suivants, compte tenu de la liste figurant au paragraphe</w:t>
      </w:r>
      <w:r w:rsidR="00AA1A10">
        <w:rPr>
          <w:rFonts w:asciiTheme="majorBidi" w:hAnsiTheme="majorBidi" w:cstheme="majorBidi"/>
          <w:lang w:val="fr-FR"/>
        </w:rPr>
        <w:t> </w:t>
      </w:r>
      <w:r w:rsidR="00BA52C1" w:rsidRPr="00BA52C1">
        <w:rPr>
          <w:rFonts w:asciiTheme="majorBidi" w:hAnsiTheme="majorBidi" w:cstheme="majorBidi"/>
          <w:lang w:val="fr-FR"/>
        </w:rPr>
        <w:t>38 :</w:t>
      </w:r>
    </w:p>
    <w:p w14:paraId="4D298303" w14:textId="106C4AF6" w:rsidR="006932AD" w:rsidRPr="00BA52C1" w:rsidRDefault="006932AD" w:rsidP="00BA52C1">
      <w:pPr>
        <w:pStyle w:val="NormalWeb"/>
        <w:spacing w:before="120" w:beforeAutospacing="0" w:after="120" w:afterAutospacing="0"/>
        <w:ind w:left="567" w:firstLine="567"/>
        <w:rPr>
          <w:rFonts w:asciiTheme="majorBidi" w:hAnsiTheme="majorBidi" w:cstheme="majorBidi"/>
          <w:lang w:val="fr-FR"/>
        </w:rPr>
      </w:pPr>
      <w:r w:rsidRPr="00BA52C1">
        <w:rPr>
          <w:rFonts w:asciiTheme="majorBidi" w:hAnsiTheme="majorBidi" w:cstheme="majorBidi"/>
          <w:lang w:val="fr-FR"/>
        </w:rPr>
        <w:t>a)</w:t>
      </w:r>
      <w:r w:rsidRPr="00BA52C1">
        <w:rPr>
          <w:rFonts w:asciiTheme="majorBidi" w:hAnsiTheme="majorBidi" w:cstheme="majorBidi"/>
          <w:lang w:val="fr-FR"/>
        </w:rPr>
        <w:tab/>
      </w:r>
      <w:r w:rsidR="00BA52C1" w:rsidRPr="00BA52C1">
        <w:rPr>
          <w:rFonts w:asciiTheme="majorBidi" w:hAnsiTheme="majorBidi" w:cstheme="majorBidi"/>
          <w:lang w:val="fr-FR"/>
        </w:rPr>
        <w:t xml:space="preserve">Le </w:t>
      </w:r>
      <w:r w:rsidR="00062ED4">
        <w:rPr>
          <w:lang w:val="fr-FR"/>
        </w:rPr>
        <w:t>b</w:t>
      </w:r>
      <w:r w:rsidR="00062ED4" w:rsidRPr="00DF1690">
        <w:rPr>
          <w:lang w:val="fr-FR"/>
        </w:rPr>
        <w:t xml:space="preserve">udget-programme </w:t>
      </w:r>
      <w:r w:rsidR="00BA52C1" w:rsidRPr="00BA52C1">
        <w:rPr>
          <w:rFonts w:asciiTheme="majorBidi" w:hAnsiTheme="majorBidi" w:cstheme="majorBidi"/>
          <w:lang w:val="fr-FR"/>
        </w:rPr>
        <w:t xml:space="preserve">(trois fonds </w:t>
      </w:r>
      <w:r w:rsidR="006675ED">
        <w:rPr>
          <w:lang w:val="fr-FR"/>
        </w:rPr>
        <w:t>d’affectation spéciale</w:t>
      </w:r>
      <w:r w:rsidR="006675ED" w:rsidRPr="00BA52C1">
        <w:rPr>
          <w:rFonts w:asciiTheme="majorBidi" w:hAnsiTheme="majorBidi" w:cstheme="majorBidi"/>
          <w:lang w:val="fr-FR"/>
        </w:rPr>
        <w:t xml:space="preserve"> </w:t>
      </w:r>
      <w:r w:rsidR="00BA52C1" w:rsidRPr="00BA52C1">
        <w:rPr>
          <w:rFonts w:asciiTheme="majorBidi" w:hAnsiTheme="majorBidi" w:cstheme="majorBidi"/>
          <w:lang w:val="fr-FR"/>
        </w:rPr>
        <w:t>de base) nécessaire à l’exécution du programme de travail de la Convention et de ses Protocoles, à la lumière de l’examen fonctionnel, moins le montant des soldes non dépensés utilisés pour l’exercice biennal</w:t>
      </w:r>
      <w:r w:rsidR="00EB4322">
        <w:rPr>
          <w:rFonts w:asciiTheme="majorBidi" w:hAnsiTheme="majorBidi" w:cstheme="majorBidi"/>
          <w:lang w:val="fr-FR"/>
        </w:rPr>
        <w:t> </w:t>
      </w:r>
      <w:r w:rsidR="00BA52C1" w:rsidRPr="00BA52C1">
        <w:rPr>
          <w:rFonts w:asciiTheme="majorBidi" w:hAnsiTheme="majorBidi" w:cstheme="majorBidi"/>
          <w:lang w:val="fr-FR"/>
        </w:rPr>
        <w:t>2025-2026 ;</w:t>
      </w:r>
    </w:p>
    <w:p w14:paraId="014050DB" w14:textId="3348CCF6" w:rsidR="00BA52C1" w:rsidRPr="00BA52C1" w:rsidRDefault="006932AD" w:rsidP="00BA52C1">
      <w:pPr>
        <w:pStyle w:val="NormalWeb"/>
        <w:spacing w:before="120" w:beforeAutospacing="0" w:after="120" w:afterAutospacing="0"/>
        <w:ind w:left="567" w:firstLine="567"/>
        <w:rPr>
          <w:rFonts w:asciiTheme="majorBidi" w:hAnsiTheme="majorBidi" w:cstheme="majorBidi"/>
          <w:lang w:val="fr-FR"/>
        </w:rPr>
      </w:pPr>
      <w:r w:rsidRPr="00BA52C1">
        <w:rPr>
          <w:rFonts w:asciiTheme="majorBidi" w:hAnsiTheme="majorBidi" w:cstheme="majorBidi"/>
          <w:lang w:val="fr-FR" w:eastAsia="ja-JP"/>
        </w:rPr>
        <w:t>b)</w:t>
      </w:r>
      <w:r w:rsidRPr="00BA52C1">
        <w:rPr>
          <w:rFonts w:asciiTheme="majorBidi" w:hAnsiTheme="majorBidi" w:cstheme="majorBidi"/>
          <w:lang w:val="fr-FR" w:eastAsia="ja-JP"/>
        </w:rPr>
        <w:tab/>
      </w:r>
      <w:r w:rsidR="00BA52C1" w:rsidRPr="00BA52C1">
        <w:rPr>
          <w:rFonts w:asciiTheme="majorBidi" w:hAnsiTheme="majorBidi" w:cstheme="majorBidi"/>
          <w:lang w:val="fr-FR" w:eastAsia="ja-JP"/>
        </w:rPr>
        <w:t xml:space="preserve">Le </w:t>
      </w:r>
      <w:r w:rsidR="00062ED4">
        <w:rPr>
          <w:lang w:val="fr-FR"/>
        </w:rPr>
        <w:t>b</w:t>
      </w:r>
      <w:r w:rsidR="00062ED4" w:rsidRPr="00DF1690">
        <w:rPr>
          <w:lang w:val="fr-FR"/>
        </w:rPr>
        <w:t xml:space="preserve">udget-programme </w:t>
      </w:r>
      <w:r w:rsidR="00BA52C1" w:rsidRPr="00BA52C1">
        <w:rPr>
          <w:rFonts w:asciiTheme="majorBidi" w:hAnsiTheme="majorBidi" w:cstheme="majorBidi"/>
          <w:lang w:val="fr-FR" w:eastAsia="ja-JP"/>
        </w:rPr>
        <w:t>(</w:t>
      </w:r>
      <w:r w:rsidR="00B40371" w:rsidRPr="00BA52C1">
        <w:rPr>
          <w:rFonts w:asciiTheme="majorBidi" w:hAnsiTheme="majorBidi" w:cstheme="majorBidi"/>
          <w:lang w:val="fr-FR"/>
        </w:rPr>
        <w:t xml:space="preserve">trois fonds </w:t>
      </w:r>
      <w:r w:rsidR="006675ED">
        <w:rPr>
          <w:lang w:val="fr-FR"/>
        </w:rPr>
        <w:t>d’affectation spéciale</w:t>
      </w:r>
      <w:r w:rsidR="006675ED" w:rsidRPr="00BA52C1">
        <w:rPr>
          <w:rFonts w:asciiTheme="majorBidi" w:hAnsiTheme="majorBidi" w:cstheme="majorBidi"/>
          <w:lang w:val="fr-FR"/>
        </w:rPr>
        <w:t xml:space="preserve"> </w:t>
      </w:r>
      <w:r w:rsidR="00B40371" w:rsidRPr="00BA52C1">
        <w:rPr>
          <w:rFonts w:asciiTheme="majorBidi" w:hAnsiTheme="majorBidi" w:cstheme="majorBidi"/>
          <w:lang w:val="fr-FR"/>
        </w:rPr>
        <w:t>de base</w:t>
      </w:r>
      <w:r w:rsidR="00BA52C1" w:rsidRPr="00BA52C1">
        <w:rPr>
          <w:rFonts w:asciiTheme="majorBidi" w:hAnsiTheme="majorBidi" w:cstheme="majorBidi"/>
          <w:lang w:val="fr-FR" w:eastAsia="ja-JP"/>
        </w:rPr>
        <w:t>) fixé au niveau total</w:t>
      </w:r>
      <w:r w:rsidR="00AA1A10">
        <w:rPr>
          <w:rFonts w:asciiTheme="majorBidi" w:hAnsiTheme="majorBidi" w:cstheme="majorBidi"/>
          <w:lang w:val="fr-FR" w:eastAsia="ja-JP"/>
        </w:rPr>
        <w:t> </w:t>
      </w:r>
      <w:r w:rsidR="00C4631F">
        <w:rPr>
          <w:rFonts w:asciiTheme="majorBidi" w:hAnsiTheme="majorBidi" w:cstheme="majorBidi"/>
          <w:lang w:val="fr-FR" w:eastAsia="ja-JP"/>
        </w:rPr>
        <w:t xml:space="preserve">de </w:t>
      </w:r>
      <w:r w:rsidR="00BA52C1" w:rsidRPr="00BA52C1">
        <w:rPr>
          <w:rFonts w:asciiTheme="majorBidi" w:hAnsiTheme="majorBidi" w:cstheme="majorBidi"/>
          <w:lang w:val="fr-FR" w:eastAsia="ja-JP"/>
        </w:rPr>
        <w:t>2025-2026 en termes réels moins le montant des soldes non dépensés utilisés pour l’exercice biennal</w:t>
      </w:r>
      <w:r w:rsidR="00AA1A10">
        <w:rPr>
          <w:rFonts w:asciiTheme="majorBidi" w:hAnsiTheme="majorBidi" w:cstheme="majorBidi"/>
          <w:lang w:val="fr-FR" w:eastAsia="ja-JP"/>
        </w:rPr>
        <w:t> </w:t>
      </w:r>
      <w:r w:rsidR="00BA52C1" w:rsidRPr="00BA52C1">
        <w:rPr>
          <w:rFonts w:asciiTheme="majorBidi" w:hAnsiTheme="majorBidi" w:cstheme="majorBidi"/>
          <w:lang w:val="fr-FR" w:eastAsia="ja-JP"/>
        </w:rPr>
        <w:t>2025-2026 ;</w:t>
      </w:r>
    </w:p>
    <w:p w14:paraId="1B6AA2F9" w14:textId="4126A1E2" w:rsidR="00BA52C1" w:rsidRPr="00BA52C1" w:rsidRDefault="00BA52C1" w:rsidP="00BA52C1">
      <w:pPr>
        <w:pStyle w:val="NormalWeb"/>
        <w:spacing w:before="120" w:beforeAutospacing="0" w:after="120" w:afterAutospacing="0"/>
        <w:ind w:left="567" w:firstLine="567"/>
        <w:rPr>
          <w:rFonts w:asciiTheme="majorBidi" w:hAnsiTheme="majorBidi" w:cstheme="majorBidi"/>
          <w:lang w:val="fr-FR"/>
        </w:rPr>
      </w:pPr>
      <w:r w:rsidRPr="00BA52C1">
        <w:rPr>
          <w:rFonts w:asciiTheme="majorBidi" w:hAnsiTheme="majorBidi" w:cstheme="majorBidi"/>
          <w:lang w:val="fr-FR" w:eastAsia="ja-JP"/>
        </w:rPr>
        <w:t>c)</w:t>
      </w:r>
      <w:r w:rsidRPr="00BA52C1">
        <w:rPr>
          <w:rFonts w:asciiTheme="majorBidi" w:hAnsiTheme="majorBidi" w:cstheme="majorBidi"/>
          <w:lang w:val="fr-FR" w:eastAsia="ja-JP"/>
        </w:rPr>
        <w:tab/>
        <w:t xml:space="preserve">Le </w:t>
      </w:r>
      <w:r w:rsidR="00062ED4">
        <w:rPr>
          <w:lang w:val="fr-FR"/>
        </w:rPr>
        <w:t>b</w:t>
      </w:r>
      <w:r w:rsidR="00062ED4" w:rsidRPr="00DF1690">
        <w:rPr>
          <w:lang w:val="fr-FR"/>
        </w:rPr>
        <w:t xml:space="preserve">udget-programme </w:t>
      </w:r>
      <w:r w:rsidRPr="00BA52C1">
        <w:rPr>
          <w:rFonts w:asciiTheme="majorBidi" w:hAnsiTheme="majorBidi" w:cstheme="majorBidi"/>
          <w:lang w:val="fr-FR" w:eastAsia="ja-JP"/>
        </w:rPr>
        <w:t>(</w:t>
      </w:r>
      <w:r w:rsidR="00B40371" w:rsidRPr="00BA52C1">
        <w:rPr>
          <w:rFonts w:asciiTheme="majorBidi" w:hAnsiTheme="majorBidi" w:cstheme="majorBidi"/>
          <w:lang w:val="fr-FR"/>
        </w:rPr>
        <w:t xml:space="preserve">trois fonds </w:t>
      </w:r>
      <w:r w:rsidR="006675ED">
        <w:rPr>
          <w:lang w:val="fr-FR"/>
        </w:rPr>
        <w:t>d’affectation spéciale</w:t>
      </w:r>
      <w:r w:rsidR="006675ED" w:rsidRPr="00BA52C1">
        <w:rPr>
          <w:rFonts w:asciiTheme="majorBidi" w:hAnsiTheme="majorBidi" w:cstheme="majorBidi"/>
          <w:lang w:val="fr-FR"/>
        </w:rPr>
        <w:t xml:space="preserve"> </w:t>
      </w:r>
      <w:r w:rsidR="00B40371" w:rsidRPr="00BA52C1">
        <w:rPr>
          <w:rFonts w:asciiTheme="majorBidi" w:hAnsiTheme="majorBidi" w:cstheme="majorBidi"/>
          <w:lang w:val="fr-FR"/>
        </w:rPr>
        <w:t>de base</w:t>
      </w:r>
      <w:r w:rsidRPr="00BA52C1">
        <w:rPr>
          <w:rFonts w:asciiTheme="majorBidi" w:hAnsiTheme="majorBidi" w:cstheme="majorBidi"/>
          <w:lang w:val="fr-FR" w:eastAsia="ja-JP"/>
        </w:rPr>
        <w:t>) fixé au niveau total</w:t>
      </w:r>
      <w:r w:rsidR="00AA1A10">
        <w:rPr>
          <w:rFonts w:asciiTheme="majorBidi" w:hAnsiTheme="majorBidi" w:cstheme="majorBidi"/>
          <w:lang w:val="fr-FR" w:eastAsia="ja-JP"/>
        </w:rPr>
        <w:t> </w:t>
      </w:r>
      <w:r w:rsidR="00C4631F">
        <w:rPr>
          <w:rFonts w:asciiTheme="majorBidi" w:hAnsiTheme="majorBidi" w:cstheme="majorBidi"/>
          <w:lang w:val="fr-FR" w:eastAsia="ja-JP"/>
        </w:rPr>
        <w:t xml:space="preserve">de </w:t>
      </w:r>
      <w:r w:rsidRPr="00BA52C1">
        <w:rPr>
          <w:rFonts w:asciiTheme="majorBidi" w:hAnsiTheme="majorBidi" w:cstheme="majorBidi"/>
          <w:lang w:val="fr-FR" w:eastAsia="ja-JP"/>
        </w:rPr>
        <w:t>2025-2026 en termes nominaux moins le montant des soldes non dépensés utilisés pour l’exercice biennal</w:t>
      </w:r>
      <w:r w:rsidR="00AA1A10">
        <w:rPr>
          <w:rFonts w:asciiTheme="majorBidi" w:hAnsiTheme="majorBidi" w:cstheme="majorBidi"/>
          <w:lang w:val="fr-FR" w:eastAsia="ja-JP"/>
        </w:rPr>
        <w:t> </w:t>
      </w:r>
      <w:r w:rsidRPr="00BA52C1">
        <w:rPr>
          <w:rFonts w:asciiTheme="majorBidi" w:hAnsiTheme="majorBidi" w:cstheme="majorBidi"/>
          <w:lang w:val="fr-FR" w:eastAsia="ja-JP"/>
        </w:rPr>
        <w:t>2025-2026</w:t>
      </w:r>
      <w:r w:rsidR="00634C07">
        <w:rPr>
          <w:rFonts w:asciiTheme="majorBidi" w:hAnsiTheme="majorBidi" w:cstheme="majorBidi"/>
          <w:lang w:val="fr-FR" w:eastAsia="ja-JP"/>
        </w:rPr>
        <w:t> </w:t>
      </w:r>
      <w:r w:rsidRPr="00BA52C1">
        <w:rPr>
          <w:rFonts w:asciiTheme="majorBidi" w:hAnsiTheme="majorBidi" w:cstheme="majorBidi"/>
          <w:lang w:val="fr-FR" w:eastAsia="ja-JP"/>
        </w:rPr>
        <w:t>;</w:t>
      </w:r>
    </w:p>
    <w:p w14:paraId="653CB72A" w14:textId="6D870D92" w:rsidR="001D7AF0" w:rsidRPr="00BA52C1" w:rsidRDefault="00194E9E" w:rsidP="00BA52C1">
      <w:pPr>
        <w:pStyle w:val="CBDDesicionText"/>
        <w:rPr>
          <w:shd w:val="clear" w:color="auto" w:fill="FFFFFF"/>
          <w:lang w:val="fr-FR"/>
        </w:rPr>
      </w:pPr>
      <w:r w:rsidRPr="00BA52C1">
        <w:rPr>
          <w:shd w:val="clear" w:color="auto" w:fill="FFFFFF"/>
          <w:lang w:val="fr-FR"/>
        </w:rPr>
        <w:t>40</w:t>
      </w:r>
      <w:r w:rsidR="006932AD" w:rsidRPr="00BA52C1">
        <w:rPr>
          <w:shd w:val="clear" w:color="auto" w:fill="FFFFFF"/>
          <w:lang w:val="fr-FR"/>
        </w:rPr>
        <w:t>.</w:t>
      </w:r>
      <w:r w:rsidR="006932AD" w:rsidRPr="00BA52C1">
        <w:rPr>
          <w:i/>
          <w:iCs/>
          <w:shd w:val="clear" w:color="auto" w:fill="FFFFFF"/>
          <w:lang w:val="fr-FR"/>
        </w:rPr>
        <w:tab/>
      </w:r>
      <w:r w:rsidR="00BA52C1" w:rsidRPr="00BA52C1">
        <w:rPr>
          <w:i/>
          <w:iCs/>
          <w:shd w:val="clear" w:color="auto" w:fill="FFFFFF"/>
          <w:lang w:val="fr-FR"/>
        </w:rPr>
        <w:t xml:space="preserve">Prie également </w:t>
      </w:r>
      <w:r w:rsidR="00BA52C1">
        <w:rPr>
          <w:shd w:val="clear" w:color="auto" w:fill="FFFFFF"/>
          <w:lang w:val="fr-FR"/>
        </w:rPr>
        <w:t>la Secrétaire exécutive de mettre en place toutes les mesures possibles pour améliorer l’efficacité et l’efficience du Secrétariat, tout en tenant compte de la décision 16/25 du 1</w:t>
      </w:r>
      <w:r w:rsidR="00BA52C1" w:rsidRPr="00BA52C1">
        <w:rPr>
          <w:shd w:val="clear" w:color="auto" w:fill="FFFFFF"/>
          <w:vertAlign w:val="superscript"/>
          <w:lang w:val="fr-FR"/>
        </w:rPr>
        <w:t>er</w:t>
      </w:r>
      <w:r w:rsidR="00AA1A10">
        <w:rPr>
          <w:shd w:val="clear" w:color="auto" w:fill="FFFFFF"/>
          <w:lang w:val="fr-FR"/>
        </w:rPr>
        <w:t> </w:t>
      </w:r>
      <w:r w:rsidR="00BA52C1">
        <w:rPr>
          <w:shd w:val="clear" w:color="auto" w:fill="FFFFFF"/>
          <w:lang w:val="fr-FR"/>
        </w:rPr>
        <w:t>novembre</w:t>
      </w:r>
      <w:r w:rsidR="00AA1A10">
        <w:rPr>
          <w:shd w:val="clear" w:color="auto" w:fill="FFFFFF"/>
          <w:lang w:val="fr-FR"/>
        </w:rPr>
        <w:t> </w:t>
      </w:r>
      <w:r w:rsidR="00BA52C1">
        <w:rPr>
          <w:shd w:val="clear" w:color="auto" w:fill="FFFFFF"/>
          <w:lang w:val="fr-FR"/>
        </w:rPr>
        <w:t>2024 sur les manières d’améliorer davantage l’efficacité des processus au titre de la Convention et de ses Protocoles ainsi que ses travaux intersessions subséquents en prévision de la dix-septième réunion de la Conférence des Parties, et de refléter ces mesures dans les trois scénarios susmentionnés ;</w:t>
      </w:r>
      <w:r w:rsidR="006932AD" w:rsidRPr="00BA52C1">
        <w:rPr>
          <w:shd w:val="clear" w:color="auto" w:fill="FFFFFF"/>
          <w:lang w:val="fr-FR"/>
        </w:rPr>
        <w:t xml:space="preserve"> </w:t>
      </w:r>
    </w:p>
    <w:p w14:paraId="654BB560" w14:textId="49231C23" w:rsidR="001D7AF0" w:rsidRPr="00634C07" w:rsidRDefault="00194E9E" w:rsidP="00634C07">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rFonts w:asciiTheme="majorBidi" w:hAnsiTheme="majorBidi" w:cstheme="majorBidi"/>
          <w:lang w:val="fr-CA"/>
        </w:rPr>
      </w:pPr>
      <w:r w:rsidRPr="00BA52C1">
        <w:rPr>
          <w:rFonts w:asciiTheme="majorBidi" w:hAnsiTheme="majorBidi" w:cstheme="majorBidi"/>
          <w:lang w:val="fr-FR"/>
        </w:rPr>
        <w:lastRenderedPageBreak/>
        <w:t>41</w:t>
      </w:r>
      <w:r w:rsidR="006932AD" w:rsidRPr="00BA52C1">
        <w:rPr>
          <w:rFonts w:asciiTheme="majorBidi" w:hAnsiTheme="majorBidi" w:cstheme="majorBidi"/>
          <w:lang w:val="fr-FR"/>
        </w:rPr>
        <w:t>.</w:t>
      </w:r>
      <w:r w:rsidR="006932AD" w:rsidRPr="00BA52C1">
        <w:rPr>
          <w:rFonts w:asciiTheme="majorBidi" w:hAnsiTheme="majorBidi" w:cstheme="majorBidi"/>
          <w:i/>
          <w:iCs/>
          <w:lang w:val="fr-FR"/>
        </w:rPr>
        <w:tab/>
      </w:r>
      <w:r w:rsidR="00634C07">
        <w:rPr>
          <w:rFonts w:asciiTheme="majorBidi" w:hAnsiTheme="majorBidi" w:cstheme="majorBidi"/>
          <w:i/>
          <w:iCs/>
          <w:lang w:val="fr-FR"/>
        </w:rPr>
        <w:t>Prie en outre</w:t>
      </w:r>
      <w:r w:rsidR="006932AD" w:rsidRPr="00BA52C1">
        <w:rPr>
          <w:rFonts w:asciiTheme="majorBidi" w:hAnsiTheme="majorBidi" w:cstheme="majorBidi"/>
          <w:lang w:val="fr-FR"/>
        </w:rPr>
        <w:t xml:space="preserve"> </w:t>
      </w:r>
      <w:r w:rsidR="00634C07">
        <w:rPr>
          <w:rFonts w:asciiTheme="majorBidi" w:hAnsiTheme="majorBidi" w:cstheme="majorBidi"/>
          <w:lang w:val="fr-FR"/>
        </w:rPr>
        <w:t xml:space="preserve">la Secrétaire exécutive de faire rapport à l’Organe subsidiaire chargé de l’application en préparation de la dix-septième réunion de la Conférence des Parties à la Convention, la douzième réunion de la Conférence des Parties siégeant en tant que réunion des Parties au Protocole de Cartagena et la sixième réunion de la Conférence des Parties siégeant en tant que réunion des Parties au Protocole de Nagoya, </w:t>
      </w:r>
      <w:r w:rsidR="00634C07" w:rsidRPr="003E5C96">
        <w:rPr>
          <w:rFonts w:asciiTheme="majorBidi" w:hAnsiTheme="majorBidi" w:cstheme="majorBidi"/>
          <w:lang w:val="fr-CA"/>
        </w:rPr>
        <w:t>sur les recettes et l’exécution du budget, les soldes non dépensés et l’état des excédents et des reports, ainsi que sur tout ajustement apporté au budget pour l’exercice biennal 2025-2026</w:t>
      </w:r>
      <w:r w:rsidR="00634C07">
        <w:rPr>
          <w:rFonts w:asciiTheme="majorBidi" w:hAnsiTheme="majorBidi" w:cstheme="majorBidi"/>
          <w:lang w:val="fr-CA"/>
        </w:rPr>
        <w:t> </w:t>
      </w:r>
      <w:r w:rsidR="007F5B94" w:rsidRPr="00BA52C1">
        <w:rPr>
          <w:rFonts w:asciiTheme="majorBidi" w:hAnsiTheme="majorBidi" w:cstheme="majorBidi"/>
          <w:lang w:val="fr-FR"/>
        </w:rPr>
        <w:t>;</w:t>
      </w:r>
    </w:p>
    <w:p w14:paraId="2EFEDDAD" w14:textId="13AAB591" w:rsidR="001D7AF0" w:rsidRPr="00BA52C1" w:rsidRDefault="00194E9E" w:rsidP="00854C5E">
      <w:pPr>
        <w:pStyle w:val="CBDDesicionText"/>
        <w:rPr>
          <w:rFonts w:asciiTheme="majorBidi" w:hAnsiTheme="majorBidi" w:cstheme="majorBidi"/>
          <w:lang w:val="fr-FR"/>
        </w:rPr>
      </w:pPr>
      <w:r w:rsidRPr="00BA52C1">
        <w:rPr>
          <w:rFonts w:asciiTheme="majorBidi" w:hAnsiTheme="majorBidi" w:cstheme="majorBidi"/>
          <w:lang w:val="fr-FR"/>
        </w:rPr>
        <w:t>42</w:t>
      </w:r>
      <w:r w:rsidR="003A2D6E" w:rsidRPr="00BA52C1">
        <w:rPr>
          <w:rFonts w:asciiTheme="majorBidi" w:hAnsiTheme="majorBidi" w:cstheme="majorBidi"/>
          <w:lang w:val="fr-FR"/>
        </w:rPr>
        <w:t>.</w:t>
      </w:r>
      <w:r w:rsidR="001617AD" w:rsidRPr="00BA52C1">
        <w:rPr>
          <w:rFonts w:asciiTheme="majorBidi" w:hAnsiTheme="majorBidi" w:cstheme="majorBidi"/>
          <w:lang w:val="fr-FR"/>
        </w:rPr>
        <w:tab/>
      </w:r>
      <w:r w:rsidR="003D0E4A">
        <w:rPr>
          <w:rFonts w:asciiTheme="majorBidi" w:hAnsiTheme="majorBidi" w:cstheme="majorBidi"/>
          <w:i/>
          <w:iCs/>
          <w:lang w:val="fr-FR"/>
        </w:rPr>
        <w:t xml:space="preserve">Prend note avec </w:t>
      </w:r>
      <w:r w:rsidR="00837050">
        <w:rPr>
          <w:rFonts w:asciiTheme="majorBidi" w:hAnsiTheme="majorBidi" w:cstheme="majorBidi"/>
          <w:i/>
          <w:iCs/>
          <w:lang w:val="fr-FR"/>
        </w:rPr>
        <w:t>préoccupation</w:t>
      </w:r>
      <w:r w:rsidR="003A2D6E" w:rsidRPr="00BA52C1">
        <w:rPr>
          <w:rFonts w:asciiTheme="majorBidi" w:hAnsiTheme="majorBidi" w:cstheme="majorBidi"/>
          <w:lang w:val="fr-FR"/>
        </w:rPr>
        <w:t xml:space="preserve"> </w:t>
      </w:r>
      <w:r w:rsidR="000B339A">
        <w:rPr>
          <w:rFonts w:asciiTheme="majorBidi" w:hAnsiTheme="majorBidi" w:cstheme="majorBidi"/>
          <w:lang w:val="fr-FR"/>
        </w:rPr>
        <w:t>du retard de</w:t>
      </w:r>
      <w:r w:rsidR="003D0E4A">
        <w:rPr>
          <w:rFonts w:asciiTheme="majorBidi" w:hAnsiTheme="majorBidi" w:cstheme="majorBidi"/>
          <w:lang w:val="fr-FR"/>
        </w:rPr>
        <w:t xml:space="preserve"> livraison </w:t>
      </w:r>
      <w:r w:rsidR="000B339A">
        <w:rPr>
          <w:rFonts w:asciiTheme="majorBidi" w:hAnsiTheme="majorBidi" w:cstheme="majorBidi"/>
          <w:lang w:val="fr-FR"/>
        </w:rPr>
        <w:t>des documents budgétaires en préparation de la seizième réunion de la Conférence des Parties, de la onzième réunion de la Conférence des Parties siégeant en tant que réunion des Parties au Protocole de Cartagena et de la cinquième réunion de Conférence des Parties siégeant en tant que réunion des Parties au Protocole de Nagoya, et exhorte la Secrétaire exécutive à prendre les mesures nécessaire</w:t>
      </w:r>
      <w:r w:rsidR="00AA1A10">
        <w:rPr>
          <w:rFonts w:asciiTheme="majorBidi" w:hAnsiTheme="majorBidi" w:cstheme="majorBidi"/>
          <w:lang w:val="fr-FR"/>
        </w:rPr>
        <w:t>s</w:t>
      </w:r>
      <w:r w:rsidR="000B339A">
        <w:rPr>
          <w:rFonts w:asciiTheme="majorBidi" w:hAnsiTheme="majorBidi" w:cstheme="majorBidi"/>
          <w:lang w:val="fr-FR"/>
        </w:rPr>
        <w:t xml:space="preserve"> pour garantir que les documents budgétaires pour la dix-septième réunion de la Conférence des Parties, la douzième réunion de la Conférence des Parties siégeant en tant que réunion des Parties au Protocole de Cartagena et la sixième réunion de la Conférence des Parties siégeant en tant que réunion des Parties au Protocole de Nagoya soient communiqués de manière pleinement conforme </w:t>
      </w:r>
      <w:r w:rsidR="006A2555">
        <w:rPr>
          <w:rFonts w:asciiTheme="majorBidi" w:hAnsiTheme="majorBidi" w:cstheme="majorBidi"/>
          <w:lang w:val="fr-FR"/>
        </w:rPr>
        <w:t>au délai de 90</w:t>
      </w:r>
      <w:r w:rsidR="00AA1A10">
        <w:rPr>
          <w:rFonts w:asciiTheme="majorBidi" w:hAnsiTheme="majorBidi" w:cstheme="majorBidi"/>
          <w:lang w:val="fr-FR"/>
        </w:rPr>
        <w:t> </w:t>
      </w:r>
      <w:r w:rsidR="006A2555">
        <w:rPr>
          <w:rFonts w:asciiTheme="majorBidi" w:hAnsiTheme="majorBidi" w:cstheme="majorBidi"/>
          <w:lang w:val="fr-FR"/>
        </w:rPr>
        <w:t>jours fixé au paragraphe 7 a) de l’annexe I à la décision</w:t>
      </w:r>
      <w:r w:rsidR="00AA1A10">
        <w:rPr>
          <w:rFonts w:asciiTheme="majorBidi" w:hAnsiTheme="majorBidi" w:cstheme="majorBidi"/>
          <w:lang w:val="fr-FR"/>
        </w:rPr>
        <w:t> </w:t>
      </w:r>
      <w:hyperlink r:id="rId19" w:history="1">
        <w:r w:rsidR="0077799D" w:rsidRPr="00BA52C1">
          <w:rPr>
            <w:rStyle w:val="Lienhypertexte"/>
            <w:rFonts w:asciiTheme="majorBidi" w:hAnsiTheme="majorBidi" w:cstheme="majorBidi"/>
            <w:lang w:val="fr-FR"/>
          </w:rPr>
          <w:t>I/6</w:t>
        </w:r>
      </w:hyperlink>
      <w:r w:rsidR="0077799D" w:rsidRPr="00BA52C1">
        <w:rPr>
          <w:rFonts w:asciiTheme="majorBidi" w:hAnsiTheme="majorBidi" w:cstheme="majorBidi"/>
          <w:lang w:val="fr-FR"/>
        </w:rPr>
        <w:t xml:space="preserve"> </w:t>
      </w:r>
      <w:r w:rsidR="006A2555">
        <w:rPr>
          <w:rFonts w:asciiTheme="majorBidi" w:hAnsiTheme="majorBidi" w:cstheme="majorBidi"/>
          <w:lang w:val="fr-FR"/>
        </w:rPr>
        <w:t>du 9 décembre 1994, et d’informer le Bureau des progrès réalisés en matière de préparation du budget ;</w:t>
      </w:r>
    </w:p>
    <w:p w14:paraId="40711A60" w14:textId="09CB93A5" w:rsidR="003253A0" w:rsidRDefault="00194E9E" w:rsidP="00582303">
      <w:pPr>
        <w:pStyle w:val="CBDDesicionText"/>
        <w:rPr>
          <w:lang w:val="fr-FR"/>
        </w:rPr>
      </w:pPr>
      <w:r w:rsidRPr="00BA52C1">
        <w:rPr>
          <w:lang w:val="fr-FR"/>
        </w:rPr>
        <w:t>43</w:t>
      </w:r>
      <w:r w:rsidR="003A2D6E" w:rsidRPr="00BA52C1">
        <w:rPr>
          <w:lang w:val="fr-FR"/>
        </w:rPr>
        <w:t>.</w:t>
      </w:r>
      <w:r w:rsidR="001617AD" w:rsidRPr="00BA52C1">
        <w:rPr>
          <w:lang w:val="fr-FR"/>
        </w:rPr>
        <w:tab/>
      </w:r>
      <w:r w:rsidR="006A2555">
        <w:rPr>
          <w:i/>
          <w:iCs/>
          <w:lang w:val="fr-FR"/>
        </w:rPr>
        <w:t>Prend note</w:t>
      </w:r>
      <w:r w:rsidR="003A2D6E" w:rsidRPr="00BA52C1">
        <w:rPr>
          <w:lang w:val="fr-FR"/>
        </w:rPr>
        <w:t xml:space="preserve"> </w:t>
      </w:r>
      <w:r w:rsidR="006A2555">
        <w:rPr>
          <w:lang w:val="fr-FR"/>
        </w:rPr>
        <w:t>des informations fournies par la Secrétaire exécutive sur l’administration de la Convention et de ses Protocoles pour l’exercice biennal</w:t>
      </w:r>
      <w:r w:rsidR="00AA1A10">
        <w:rPr>
          <w:lang w:val="fr-FR"/>
        </w:rPr>
        <w:t> </w:t>
      </w:r>
      <w:r w:rsidR="003A2D6E" w:rsidRPr="00BA52C1">
        <w:rPr>
          <w:lang w:val="fr-FR"/>
        </w:rPr>
        <w:t>2023</w:t>
      </w:r>
      <w:r w:rsidR="00816EFE" w:rsidRPr="00BA52C1">
        <w:rPr>
          <w:lang w:val="fr-FR"/>
        </w:rPr>
        <w:t>–</w:t>
      </w:r>
      <w:r w:rsidR="003A2D6E" w:rsidRPr="00BA52C1">
        <w:rPr>
          <w:lang w:val="fr-FR"/>
        </w:rPr>
        <w:t>2024</w:t>
      </w:r>
      <w:r w:rsidR="00816EFE" w:rsidRPr="00BA52C1">
        <w:rPr>
          <w:rStyle w:val="Appelnotedebasdep"/>
          <w:rFonts w:asciiTheme="majorBidi" w:hAnsiTheme="majorBidi" w:cstheme="majorBidi"/>
          <w:lang w:val="fr-FR"/>
        </w:rPr>
        <w:footnoteReference w:id="12"/>
      </w:r>
      <w:r w:rsidR="006A2555">
        <w:rPr>
          <w:lang w:val="fr-FR"/>
        </w:rPr>
        <w:t xml:space="preserve">, en particulier sur l’exécution du budget intégré, et prie la Secrétaire exécutive de soumettre des informations relatives à l’exécution des budgets des fonds </w:t>
      </w:r>
      <w:r w:rsidR="006675ED">
        <w:rPr>
          <w:lang w:val="fr-FR"/>
        </w:rPr>
        <w:t xml:space="preserve">d’affectation spéciale </w:t>
      </w:r>
      <w:r w:rsidR="006A2555">
        <w:rPr>
          <w:lang w:val="fr-FR"/>
        </w:rPr>
        <w:t xml:space="preserve">de base et </w:t>
      </w:r>
      <w:r w:rsidR="007F0380">
        <w:rPr>
          <w:lang w:val="fr-FR"/>
        </w:rPr>
        <w:t>volontaire</w:t>
      </w:r>
      <w:r w:rsidR="00B40371">
        <w:rPr>
          <w:lang w:val="fr-FR"/>
        </w:rPr>
        <w:t>s</w:t>
      </w:r>
      <w:r w:rsidR="006A2555">
        <w:rPr>
          <w:lang w:val="fr-FR"/>
        </w:rPr>
        <w:t xml:space="preserve"> lors de toutes les réunions de la Conférence des Parties à venir, afin que les Parties disposent d’un rapport complet sur les dépenses engagées au titre de la Convention.</w:t>
      </w:r>
      <w:bookmarkEnd w:id="1"/>
    </w:p>
    <w:p w14:paraId="0DFF1F84" w14:textId="77777777" w:rsidR="003253A0" w:rsidRDefault="003253A0">
      <w:pPr>
        <w:tabs>
          <w:tab w:val="clear" w:pos="567"/>
          <w:tab w:val="clear" w:pos="1134"/>
          <w:tab w:val="clear" w:pos="1701"/>
          <w:tab w:val="clear" w:pos="2268"/>
        </w:tabs>
        <w:spacing w:after="160" w:line="259" w:lineRule="auto"/>
        <w:jc w:val="left"/>
        <w:rPr>
          <w:lang w:val="fr-FR"/>
        </w:rPr>
      </w:pPr>
      <w:r>
        <w:rPr>
          <w:lang w:val="fr-FR"/>
        </w:rPr>
        <w:br w:type="page"/>
      </w:r>
    </w:p>
    <w:p w14:paraId="2CE62153" w14:textId="6B39C2DA" w:rsidR="00446ACA" w:rsidRPr="00BA52C1" w:rsidRDefault="00446ACA" w:rsidP="003253A0">
      <w:pPr>
        <w:pStyle w:val="CBDTableTitle"/>
        <w:ind w:left="561"/>
        <w:rPr>
          <w:lang w:val="fr-FR" w:bidi="ar-SY"/>
        </w:rPr>
      </w:pPr>
      <w:r w:rsidRPr="00BA52C1">
        <w:rPr>
          <w:b w:val="0"/>
          <w:bCs/>
          <w:lang w:val="fr-FR" w:bidi="ar-SY"/>
        </w:rPr>
        <w:lastRenderedPageBreak/>
        <w:t>Table</w:t>
      </w:r>
      <w:r w:rsidR="006A2555">
        <w:rPr>
          <w:b w:val="0"/>
          <w:bCs/>
          <w:lang w:val="fr-FR" w:bidi="ar-SY"/>
        </w:rPr>
        <w:t>au</w:t>
      </w:r>
      <w:r w:rsidR="00AA1A10">
        <w:rPr>
          <w:b w:val="0"/>
          <w:bCs/>
          <w:lang w:val="fr-FR" w:bidi="ar-SY"/>
        </w:rPr>
        <w:t> </w:t>
      </w:r>
      <w:r w:rsidRPr="00BA52C1">
        <w:rPr>
          <w:b w:val="0"/>
          <w:bCs/>
          <w:lang w:val="fr-FR" w:bidi="ar-SY"/>
        </w:rPr>
        <w:t>1</w:t>
      </w:r>
      <w:r w:rsidR="00E824B6" w:rsidRPr="00BA52C1">
        <w:rPr>
          <w:lang w:val="fr-FR" w:bidi="ar-SY"/>
        </w:rPr>
        <w:br/>
      </w:r>
      <w:r w:rsidR="00262D44">
        <w:rPr>
          <w:lang w:val="fr-FR" w:bidi="ar-SY"/>
        </w:rPr>
        <w:t xml:space="preserve">Budget biennal intégré des Fonds </w:t>
      </w:r>
      <w:r w:rsidR="006675ED">
        <w:rPr>
          <w:lang w:val="fr-FR"/>
        </w:rPr>
        <w:t>d’affectation spéciale</w:t>
      </w:r>
      <w:r w:rsidR="006675ED">
        <w:rPr>
          <w:lang w:val="fr-FR" w:bidi="ar-SY"/>
        </w:rPr>
        <w:t xml:space="preserve"> </w:t>
      </w:r>
      <w:r w:rsidR="00B40371">
        <w:rPr>
          <w:lang w:val="fr-FR" w:bidi="ar-SY"/>
        </w:rPr>
        <w:t>de base</w:t>
      </w:r>
      <w:r w:rsidR="00262D44">
        <w:rPr>
          <w:lang w:val="fr-FR" w:bidi="ar-SY"/>
        </w:rPr>
        <w:t xml:space="preserve"> de la Convention et de ses Protocoles</w:t>
      </w:r>
      <w:r w:rsidR="004E1773">
        <w:rPr>
          <w:lang w:val="fr-FR" w:bidi="ar-SY"/>
        </w:rPr>
        <w:t>,</w:t>
      </w:r>
      <w:r w:rsidR="00AA1A10">
        <w:rPr>
          <w:lang w:val="fr-FR" w:bidi="ar-SY"/>
        </w:rPr>
        <w:t> </w:t>
      </w:r>
      <w:r w:rsidRPr="00BA52C1">
        <w:rPr>
          <w:lang w:val="fr-FR" w:bidi="ar-SY"/>
        </w:rPr>
        <w:t>2025</w:t>
      </w:r>
      <w:r w:rsidR="009101F9" w:rsidRPr="00BA52C1">
        <w:rPr>
          <w:lang w:val="fr-FR" w:bidi="ar-SY"/>
        </w:rPr>
        <w:t>–</w:t>
      </w:r>
      <w:r w:rsidRPr="00BA52C1">
        <w:rPr>
          <w:lang w:val="fr-FR" w:bidi="ar-SY"/>
        </w:rPr>
        <w:t>2026 (</w:t>
      </w:r>
      <w:r w:rsidR="00262D44">
        <w:rPr>
          <w:lang w:val="fr-FR" w:bidi="ar-SY"/>
        </w:rPr>
        <w:t>par poste de dépense</w:t>
      </w:r>
      <w:r w:rsidRPr="00BA52C1">
        <w:rPr>
          <w:lang w:val="fr-FR" w:bidi="ar-SY"/>
        </w:rPr>
        <w:t xml:space="preserve">) </w:t>
      </w:r>
    </w:p>
    <w:p w14:paraId="7C46EA58" w14:textId="2B347E51" w:rsidR="008C7CF6" w:rsidRPr="00BA52C1" w:rsidRDefault="006E5A78" w:rsidP="00582303">
      <w:pPr>
        <w:keepNext/>
        <w:spacing w:after="80"/>
        <w:ind w:left="562"/>
        <w:rPr>
          <w:sz w:val="18"/>
          <w:szCs w:val="18"/>
          <w:lang w:val="fr-FR" w:bidi="ar-SY"/>
        </w:rPr>
      </w:pPr>
      <w:r w:rsidRPr="00BA52C1">
        <w:rPr>
          <w:sz w:val="18"/>
          <w:szCs w:val="18"/>
          <w:lang w:val="fr-FR" w:bidi="ar-SY"/>
        </w:rPr>
        <w:t>(</w:t>
      </w:r>
      <w:r w:rsidR="00262D44">
        <w:rPr>
          <w:sz w:val="18"/>
          <w:szCs w:val="18"/>
          <w:lang w:val="fr-FR" w:bidi="ar-SY"/>
        </w:rPr>
        <w:t>En milliers de dollars des États-Unis</w:t>
      </w:r>
      <w:r w:rsidRPr="00BA52C1">
        <w:rPr>
          <w:sz w:val="18"/>
          <w:szCs w:val="18"/>
          <w:lang w:val="fr-FR" w:bidi="ar-SY"/>
        </w:rPr>
        <w:t>)</w:t>
      </w:r>
    </w:p>
    <w:tbl>
      <w:tblPr>
        <w:tblW w:w="4494" w:type="pct"/>
        <w:tblInd w:w="479" w:type="dxa"/>
        <w:tblLayout w:type="fixed"/>
        <w:tblCellMar>
          <w:left w:w="0" w:type="dxa"/>
          <w:right w:w="0" w:type="dxa"/>
        </w:tblCellMar>
        <w:tblLook w:val="01E0" w:firstRow="1" w:lastRow="1" w:firstColumn="1" w:lastColumn="1" w:noHBand="0" w:noVBand="0"/>
      </w:tblPr>
      <w:tblGrid>
        <w:gridCol w:w="4474"/>
        <w:gridCol w:w="1397"/>
        <w:gridCol w:w="1119"/>
        <w:gridCol w:w="1423"/>
      </w:tblGrid>
      <w:tr w:rsidR="008D72B7" w:rsidRPr="003253A0" w14:paraId="2C5D2EEC" w14:textId="77777777" w:rsidTr="003253A0">
        <w:trPr>
          <w:trHeight w:val="273"/>
          <w:tblHeader/>
        </w:trPr>
        <w:tc>
          <w:tcPr>
            <w:tcW w:w="2659" w:type="pct"/>
            <w:tcBorders>
              <w:top w:val="single" w:sz="4" w:space="0" w:color="auto"/>
              <w:bottom w:val="single" w:sz="4" w:space="0" w:color="auto"/>
            </w:tcBorders>
            <w:vAlign w:val="bottom"/>
          </w:tcPr>
          <w:p w14:paraId="5B65D0E2" w14:textId="491CCED7" w:rsidR="008C7CF6" w:rsidRPr="003253A0" w:rsidRDefault="00262D44" w:rsidP="00582303">
            <w:pPr>
              <w:keepNext/>
              <w:keepLines/>
              <w:tabs>
                <w:tab w:val="clear" w:pos="567"/>
                <w:tab w:val="clear" w:pos="1134"/>
                <w:tab w:val="clear" w:pos="1701"/>
                <w:tab w:val="clear" w:pos="2268"/>
              </w:tabs>
              <w:spacing w:before="40" w:after="40"/>
              <w:jc w:val="left"/>
              <w:rPr>
                <w:rFonts w:eastAsia="Times New Roman"/>
                <w:i/>
                <w:iCs/>
                <w:color w:val="000000"/>
                <w:sz w:val="20"/>
                <w:szCs w:val="20"/>
                <w:lang w:val="fr-FR" w:eastAsia="zh-CN"/>
              </w:rPr>
            </w:pPr>
            <w:bookmarkStart w:id="6" w:name="_Hlk181426995"/>
            <w:r w:rsidRPr="003253A0">
              <w:rPr>
                <w:rFonts w:eastAsia="Times New Roman"/>
                <w:i/>
                <w:iCs/>
                <w:color w:val="000000"/>
                <w:sz w:val="20"/>
                <w:szCs w:val="20"/>
                <w:lang w:val="fr-FR" w:eastAsia="zh-CN"/>
              </w:rPr>
              <w:t>Poste de dépense</w:t>
            </w:r>
          </w:p>
        </w:tc>
        <w:tc>
          <w:tcPr>
            <w:tcW w:w="830" w:type="pct"/>
            <w:tcBorders>
              <w:top w:val="single" w:sz="4" w:space="0" w:color="auto"/>
              <w:bottom w:val="single" w:sz="4" w:space="0" w:color="auto"/>
            </w:tcBorders>
            <w:vAlign w:val="bottom"/>
          </w:tcPr>
          <w:p w14:paraId="6C0B66E2" w14:textId="77777777" w:rsidR="008C7CF6" w:rsidRPr="003253A0" w:rsidRDefault="008C7CF6" w:rsidP="00582303">
            <w:pPr>
              <w:keepNext/>
              <w:keepLines/>
              <w:tabs>
                <w:tab w:val="clear" w:pos="567"/>
                <w:tab w:val="clear" w:pos="1134"/>
                <w:tab w:val="clear" w:pos="1701"/>
                <w:tab w:val="clear" w:pos="2268"/>
              </w:tabs>
              <w:spacing w:before="40" w:after="40"/>
              <w:jc w:val="right"/>
              <w:rPr>
                <w:rFonts w:eastAsia="Times New Roman"/>
                <w:i/>
                <w:iCs/>
                <w:color w:val="000000"/>
                <w:sz w:val="20"/>
                <w:szCs w:val="20"/>
                <w:lang w:val="fr-FR" w:eastAsia="zh-CN"/>
              </w:rPr>
            </w:pPr>
            <w:r w:rsidRPr="003253A0">
              <w:rPr>
                <w:rFonts w:eastAsia="Times New Roman"/>
                <w:i/>
                <w:iCs/>
                <w:color w:val="000000"/>
                <w:sz w:val="20"/>
                <w:szCs w:val="20"/>
                <w:lang w:val="fr-FR" w:eastAsia="zh-CN"/>
              </w:rPr>
              <w:t>2025</w:t>
            </w:r>
          </w:p>
        </w:tc>
        <w:tc>
          <w:tcPr>
            <w:tcW w:w="665" w:type="pct"/>
            <w:tcBorders>
              <w:top w:val="single" w:sz="4" w:space="0" w:color="auto"/>
              <w:bottom w:val="single" w:sz="4" w:space="0" w:color="auto"/>
            </w:tcBorders>
            <w:vAlign w:val="bottom"/>
          </w:tcPr>
          <w:p w14:paraId="0C76E4D1" w14:textId="77777777" w:rsidR="008C7CF6" w:rsidRPr="003253A0" w:rsidRDefault="008C7CF6" w:rsidP="00582303">
            <w:pPr>
              <w:keepNext/>
              <w:keepLines/>
              <w:tabs>
                <w:tab w:val="clear" w:pos="567"/>
                <w:tab w:val="clear" w:pos="1134"/>
                <w:tab w:val="clear" w:pos="1701"/>
                <w:tab w:val="clear" w:pos="2268"/>
              </w:tabs>
              <w:spacing w:before="40" w:after="40"/>
              <w:jc w:val="right"/>
              <w:rPr>
                <w:rFonts w:eastAsia="Times New Roman"/>
                <w:i/>
                <w:iCs/>
                <w:color w:val="000000"/>
                <w:sz w:val="20"/>
                <w:szCs w:val="20"/>
                <w:lang w:val="fr-FR" w:eastAsia="zh-CN"/>
              </w:rPr>
            </w:pPr>
            <w:r w:rsidRPr="003253A0">
              <w:rPr>
                <w:rFonts w:eastAsia="Times New Roman"/>
                <w:i/>
                <w:iCs/>
                <w:color w:val="000000"/>
                <w:sz w:val="20"/>
                <w:szCs w:val="20"/>
                <w:lang w:val="fr-FR" w:eastAsia="zh-CN"/>
              </w:rPr>
              <w:t>2026</w:t>
            </w:r>
          </w:p>
        </w:tc>
        <w:tc>
          <w:tcPr>
            <w:tcW w:w="846" w:type="pct"/>
            <w:tcBorders>
              <w:top w:val="single" w:sz="4" w:space="0" w:color="auto"/>
              <w:bottom w:val="single" w:sz="4" w:space="0" w:color="auto"/>
            </w:tcBorders>
            <w:vAlign w:val="bottom"/>
          </w:tcPr>
          <w:p w14:paraId="4834CB04" w14:textId="3BB813DB" w:rsidR="008C7CF6" w:rsidRPr="003253A0" w:rsidRDefault="008C7CF6" w:rsidP="00582303">
            <w:pPr>
              <w:keepNext/>
              <w:keepLines/>
              <w:tabs>
                <w:tab w:val="clear" w:pos="567"/>
                <w:tab w:val="clear" w:pos="1134"/>
                <w:tab w:val="clear" w:pos="1701"/>
                <w:tab w:val="clear" w:pos="2268"/>
              </w:tabs>
              <w:spacing w:before="40" w:after="40"/>
              <w:jc w:val="right"/>
              <w:rPr>
                <w:rFonts w:eastAsia="Times New Roman"/>
                <w:i/>
                <w:iCs/>
                <w:color w:val="000000"/>
                <w:sz w:val="20"/>
                <w:szCs w:val="20"/>
                <w:lang w:val="fr-FR" w:eastAsia="zh-CN"/>
              </w:rPr>
            </w:pPr>
            <w:r w:rsidRPr="003253A0">
              <w:rPr>
                <w:rFonts w:eastAsia="Times New Roman"/>
                <w:i/>
                <w:iCs/>
                <w:color w:val="000000"/>
                <w:sz w:val="20"/>
                <w:szCs w:val="20"/>
                <w:lang w:val="fr-FR" w:eastAsia="zh-CN"/>
              </w:rPr>
              <w:t>2025</w:t>
            </w:r>
            <w:r w:rsidR="006E4E3F" w:rsidRPr="003253A0">
              <w:rPr>
                <w:rFonts w:eastAsia="Times New Roman"/>
                <w:i/>
                <w:iCs/>
                <w:color w:val="000000"/>
                <w:sz w:val="20"/>
                <w:szCs w:val="20"/>
                <w:lang w:val="fr-FR" w:eastAsia="zh-CN"/>
              </w:rPr>
              <w:t>–</w:t>
            </w:r>
            <w:r w:rsidRPr="003253A0">
              <w:rPr>
                <w:rFonts w:eastAsia="Times New Roman"/>
                <w:i/>
                <w:iCs/>
                <w:color w:val="000000"/>
                <w:sz w:val="20"/>
                <w:szCs w:val="20"/>
                <w:lang w:val="fr-FR" w:eastAsia="zh-CN"/>
              </w:rPr>
              <w:t>2026</w:t>
            </w:r>
          </w:p>
        </w:tc>
      </w:tr>
      <w:tr w:rsidR="008D72B7" w:rsidRPr="003253A0" w14:paraId="6092D5A6" w14:textId="77777777" w:rsidTr="003253A0">
        <w:trPr>
          <w:trHeight w:val="262"/>
        </w:trPr>
        <w:tc>
          <w:tcPr>
            <w:tcW w:w="2659" w:type="pct"/>
            <w:tcBorders>
              <w:top w:val="single" w:sz="4" w:space="0" w:color="auto"/>
            </w:tcBorders>
          </w:tcPr>
          <w:p w14:paraId="0DDDDEBE" w14:textId="368202A9" w:rsidR="008C7CF6" w:rsidRPr="003253A0" w:rsidRDefault="00262D44" w:rsidP="008C7CF6">
            <w:pPr>
              <w:rPr>
                <w:sz w:val="20"/>
                <w:szCs w:val="20"/>
                <w:lang w:val="fr-FR" w:bidi="ar-SY"/>
              </w:rPr>
            </w:pPr>
            <w:r w:rsidRPr="003253A0">
              <w:rPr>
                <w:sz w:val="20"/>
                <w:szCs w:val="20"/>
                <w:lang w:val="fr-FR" w:bidi="ar-SY"/>
              </w:rPr>
              <w:t>Dépenses de personnel</w:t>
            </w:r>
          </w:p>
        </w:tc>
        <w:tc>
          <w:tcPr>
            <w:tcW w:w="830" w:type="pct"/>
            <w:tcBorders>
              <w:top w:val="single" w:sz="4" w:space="0" w:color="auto"/>
            </w:tcBorders>
          </w:tcPr>
          <w:p w14:paraId="13B6CBAF" w14:textId="0746B2AA" w:rsidR="008C7CF6" w:rsidRPr="003253A0" w:rsidRDefault="008C7CF6" w:rsidP="00582303">
            <w:pPr>
              <w:jc w:val="right"/>
              <w:rPr>
                <w:sz w:val="20"/>
                <w:szCs w:val="20"/>
                <w:lang w:val="fr-FR" w:bidi="ar-SY"/>
              </w:rPr>
            </w:pPr>
            <w:r w:rsidRPr="003253A0">
              <w:rPr>
                <w:sz w:val="20"/>
                <w:szCs w:val="20"/>
                <w:lang w:val="fr-FR" w:bidi="ar-SY"/>
              </w:rPr>
              <w:t>13 301</w:t>
            </w:r>
            <w:r w:rsidR="00262D44" w:rsidRPr="003253A0">
              <w:rPr>
                <w:sz w:val="20"/>
                <w:szCs w:val="20"/>
                <w:lang w:val="fr-FR" w:bidi="ar-SY"/>
              </w:rPr>
              <w:t>,</w:t>
            </w:r>
            <w:r w:rsidRPr="003253A0">
              <w:rPr>
                <w:sz w:val="20"/>
                <w:szCs w:val="20"/>
                <w:lang w:val="fr-FR" w:bidi="ar-SY"/>
              </w:rPr>
              <w:t>0</w:t>
            </w:r>
          </w:p>
        </w:tc>
        <w:tc>
          <w:tcPr>
            <w:tcW w:w="665" w:type="pct"/>
            <w:tcBorders>
              <w:top w:val="single" w:sz="4" w:space="0" w:color="auto"/>
            </w:tcBorders>
          </w:tcPr>
          <w:p w14:paraId="66B0B5F0" w14:textId="561866CA" w:rsidR="008C7CF6" w:rsidRPr="003253A0" w:rsidRDefault="008C7CF6" w:rsidP="00582303">
            <w:pPr>
              <w:jc w:val="right"/>
              <w:rPr>
                <w:sz w:val="20"/>
                <w:szCs w:val="20"/>
                <w:lang w:val="fr-FR" w:bidi="ar-SY"/>
              </w:rPr>
            </w:pPr>
            <w:r w:rsidRPr="003253A0">
              <w:rPr>
                <w:sz w:val="20"/>
                <w:szCs w:val="20"/>
                <w:lang w:val="fr-FR" w:bidi="ar-SY"/>
              </w:rPr>
              <w:t>13 862</w:t>
            </w:r>
            <w:r w:rsidR="00262D44" w:rsidRPr="003253A0">
              <w:rPr>
                <w:sz w:val="20"/>
                <w:szCs w:val="20"/>
                <w:lang w:val="fr-FR" w:bidi="ar-SY"/>
              </w:rPr>
              <w:t>,</w:t>
            </w:r>
            <w:r w:rsidRPr="003253A0">
              <w:rPr>
                <w:sz w:val="20"/>
                <w:szCs w:val="20"/>
                <w:lang w:val="fr-FR" w:bidi="ar-SY"/>
              </w:rPr>
              <w:t>7</w:t>
            </w:r>
          </w:p>
        </w:tc>
        <w:tc>
          <w:tcPr>
            <w:tcW w:w="846" w:type="pct"/>
            <w:tcBorders>
              <w:top w:val="single" w:sz="4" w:space="0" w:color="auto"/>
            </w:tcBorders>
          </w:tcPr>
          <w:p w14:paraId="2440AF53" w14:textId="19C3B35E" w:rsidR="008C7CF6" w:rsidRPr="003253A0" w:rsidRDefault="008C7CF6" w:rsidP="00582303">
            <w:pPr>
              <w:jc w:val="right"/>
              <w:rPr>
                <w:sz w:val="20"/>
                <w:szCs w:val="20"/>
                <w:lang w:val="fr-FR" w:bidi="ar-SY"/>
              </w:rPr>
            </w:pPr>
            <w:r w:rsidRPr="003253A0">
              <w:rPr>
                <w:sz w:val="20"/>
                <w:szCs w:val="20"/>
                <w:lang w:val="fr-FR" w:bidi="ar-SY"/>
              </w:rPr>
              <w:t>27 163</w:t>
            </w:r>
            <w:r w:rsidR="00262D44" w:rsidRPr="003253A0">
              <w:rPr>
                <w:sz w:val="20"/>
                <w:szCs w:val="20"/>
                <w:lang w:val="fr-FR" w:bidi="ar-SY"/>
              </w:rPr>
              <w:t>,</w:t>
            </w:r>
            <w:r w:rsidRPr="003253A0">
              <w:rPr>
                <w:sz w:val="20"/>
                <w:szCs w:val="20"/>
                <w:lang w:val="fr-FR" w:bidi="ar-SY"/>
              </w:rPr>
              <w:t>7</w:t>
            </w:r>
          </w:p>
        </w:tc>
      </w:tr>
      <w:tr w:rsidR="008D72B7" w:rsidRPr="003253A0" w14:paraId="0961E137" w14:textId="77777777" w:rsidTr="003253A0">
        <w:trPr>
          <w:trHeight w:val="232"/>
        </w:trPr>
        <w:tc>
          <w:tcPr>
            <w:tcW w:w="2659" w:type="pct"/>
          </w:tcPr>
          <w:p w14:paraId="7C1B1A9E" w14:textId="4CD47393" w:rsidR="008C7CF6" w:rsidRPr="003253A0" w:rsidRDefault="00262D44" w:rsidP="008C7CF6">
            <w:pPr>
              <w:rPr>
                <w:sz w:val="20"/>
                <w:szCs w:val="20"/>
                <w:lang w:val="fr-FR" w:bidi="ar-SY"/>
              </w:rPr>
            </w:pPr>
            <w:r w:rsidRPr="003253A0">
              <w:rPr>
                <w:sz w:val="20"/>
                <w:szCs w:val="20"/>
                <w:lang w:val="fr-FR" w:bidi="ar-SY"/>
              </w:rPr>
              <w:t>Personnel temporaire</w:t>
            </w:r>
          </w:p>
        </w:tc>
        <w:tc>
          <w:tcPr>
            <w:tcW w:w="830" w:type="pct"/>
          </w:tcPr>
          <w:p w14:paraId="36D90D05" w14:textId="34C0168B" w:rsidR="008C7CF6" w:rsidRPr="003253A0" w:rsidRDefault="008C7CF6" w:rsidP="00582303">
            <w:pPr>
              <w:jc w:val="right"/>
              <w:rPr>
                <w:sz w:val="20"/>
                <w:szCs w:val="20"/>
                <w:lang w:val="fr-FR" w:bidi="ar-SY"/>
              </w:rPr>
            </w:pPr>
            <w:r w:rsidRPr="003253A0">
              <w:rPr>
                <w:sz w:val="20"/>
                <w:szCs w:val="20"/>
                <w:lang w:val="fr-FR" w:bidi="ar-SY"/>
              </w:rPr>
              <w:t>100</w:t>
            </w:r>
            <w:r w:rsidR="00262D44" w:rsidRPr="003253A0">
              <w:rPr>
                <w:sz w:val="20"/>
                <w:szCs w:val="20"/>
                <w:lang w:val="fr-FR" w:bidi="ar-SY"/>
              </w:rPr>
              <w:t>,</w:t>
            </w:r>
            <w:r w:rsidRPr="003253A0">
              <w:rPr>
                <w:sz w:val="20"/>
                <w:szCs w:val="20"/>
                <w:lang w:val="fr-FR" w:bidi="ar-SY"/>
              </w:rPr>
              <w:t>0</w:t>
            </w:r>
          </w:p>
        </w:tc>
        <w:tc>
          <w:tcPr>
            <w:tcW w:w="665" w:type="pct"/>
          </w:tcPr>
          <w:p w14:paraId="3FD548C4" w14:textId="1A7CE963" w:rsidR="008C7CF6" w:rsidRPr="003253A0" w:rsidRDefault="008C7CF6" w:rsidP="00582303">
            <w:pPr>
              <w:jc w:val="right"/>
              <w:rPr>
                <w:sz w:val="20"/>
                <w:szCs w:val="20"/>
                <w:lang w:val="fr-FR" w:bidi="ar-SY"/>
              </w:rPr>
            </w:pPr>
            <w:r w:rsidRPr="003253A0">
              <w:rPr>
                <w:sz w:val="20"/>
                <w:szCs w:val="20"/>
                <w:lang w:val="fr-FR" w:bidi="ar-SY"/>
              </w:rPr>
              <w:t>100</w:t>
            </w:r>
            <w:r w:rsidR="00262D44" w:rsidRPr="003253A0">
              <w:rPr>
                <w:sz w:val="20"/>
                <w:szCs w:val="20"/>
                <w:lang w:val="fr-FR" w:bidi="ar-SY"/>
              </w:rPr>
              <w:t>,</w:t>
            </w:r>
            <w:r w:rsidRPr="003253A0">
              <w:rPr>
                <w:sz w:val="20"/>
                <w:szCs w:val="20"/>
                <w:lang w:val="fr-FR" w:bidi="ar-SY"/>
              </w:rPr>
              <w:t>0</w:t>
            </w:r>
          </w:p>
        </w:tc>
        <w:tc>
          <w:tcPr>
            <w:tcW w:w="846" w:type="pct"/>
          </w:tcPr>
          <w:p w14:paraId="745559C5" w14:textId="6891B3EF" w:rsidR="008C7CF6" w:rsidRPr="003253A0" w:rsidRDefault="008C7CF6" w:rsidP="00582303">
            <w:pPr>
              <w:jc w:val="right"/>
              <w:rPr>
                <w:sz w:val="20"/>
                <w:szCs w:val="20"/>
                <w:lang w:val="fr-FR" w:bidi="ar-SY"/>
              </w:rPr>
            </w:pPr>
            <w:r w:rsidRPr="003253A0">
              <w:rPr>
                <w:sz w:val="20"/>
                <w:szCs w:val="20"/>
                <w:lang w:val="fr-FR" w:bidi="ar-SY"/>
              </w:rPr>
              <w:t>200</w:t>
            </w:r>
            <w:r w:rsidR="00262D44" w:rsidRPr="003253A0">
              <w:rPr>
                <w:sz w:val="20"/>
                <w:szCs w:val="20"/>
                <w:lang w:val="fr-FR" w:bidi="ar-SY"/>
              </w:rPr>
              <w:t>,</w:t>
            </w:r>
            <w:r w:rsidRPr="003253A0">
              <w:rPr>
                <w:sz w:val="20"/>
                <w:szCs w:val="20"/>
                <w:lang w:val="fr-FR" w:bidi="ar-SY"/>
              </w:rPr>
              <w:t>0</w:t>
            </w:r>
          </w:p>
        </w:tc>
      </w:tr>
      <w:tr w:rsidR="008D72B7" w:rsidRPr="003253A0" w14:paraId="797D7AB4" w14:textId="77777777" w:rsidTr="003253A0">
        <w:trPr>
          <w:trHeight w:val="253"/>
        </w:trPr>
        <w:tc>
          <w:tcPr>
            <w:tcW w:w="2659" w:type="pct"/>
          </w:tcPr>
          <w:p w14:paraId="0B09BE32" w14:textId="07FD57DE" w:rsidR="008C7CF6" w:rsidRPr="003253A0" w:rsidRDefault="00262D44" w:rsidP="008C7CF6">
            <w:pPr>
              <w:rPr>
                <w:sz w:val="20"/>
                <w:szCs w:val="20"/>
                <w:lang w:val="fr-FR" w:bidi="ar-SY"/>
              </w:rPr>
            </w:pPr>
            <w:r w:rsidRPr="003253A0">
              <w:rPr>
                <w:sz w:val="20"/>
                <w:szCs w:val="20"/>
                <w:lang w:val="fr-FR" w:bidi="ar-SY"/>
              </w:rPr>
              <w:t>Réunions du Bureau</w:t>
            </w:r>
          </w:p>
        </w:tc>
        <w:tc>
          <w:tcPr>
            <w:tcW w:w="830" w:type="pct"/>
          </w:tcPr>
          <w:p w14:paraId="0FD23505" w14:textId="6E23B259" w:rsidR="008C7CF6" w:rsidRPr="003253A0" w:rsidRDefault="008C7CF6" w:rsidP="00582303">
            <w:pPr>
              <w:jc w:val="right"/>
              <w:rPr>
                <w:sz w:val="20"/>
                <w:szCs w:val="20"/>
                <w:lang w:val="fr-FR" w:bidi="ar-SY"/>
              </w:rPr>
            </w:pPr>
            <w:r w:rsidRPr="003253A0">
              <w:rPr>
                <w:sz w:val="20"/>
                <w:szCs w:val="20"/>
                <w:lang w:val="fr-FR" w:bidi="ar-SY"/>
              </w:rPr>
              <w:t>161</w:t>
            </w:r>
            <w:r w:rsidR="00262D44" w:rsidRPr="003253A0">
              <w:rPr>
                <w:sz w:val="20"/>
                <w:szCs w:val="20"/>
                <w:lang w:val="fr-FR" w:bidi="ar-SY"/>
              </w:rPr>
              <w:t>,</w:t>
            </w:r>
            <w:r w:rsidRPr="003253A0">
              <w:rPr>
                <w:sz w:val="20"/>
                <w:szCs w:val="20"/>
                <w:lang w:val="fr-FR" w:bidi="ar-SY"/>
              </w:rPr>
              <w:t>5</w:t>
            </w:r>
          </w:p>
        </w:tc>
        <w:tc>
          <w:tcPr>
            <w:tcW w:w="665" w:type="pct"/>
          </w:tcPr>
          <w:p w14:paraId="0E48C4C8" w14:textId="7E8E3D72" w:rsidR="008C7CF6" w:rsidRPr="003253A0" w:rsidRDefault="008C7CF6" w:rsidP="00582303">
            <w:pPr>
              <w:jc w:val="right"/>
              <w:rPr>
                <w:sz w:val="20"/>
                <w:szCs w:val="20"/>
                <w:lang w:val="fr-FR" w:bidi="ar-SY"/>
              </w:rPr>
            </w:pPr>
            <w:r w:rsidRPr="003253A0">
              <w:rPr>
                <w:sz w:val="20"/>
                <w:szCs w:val="20"/>
                <w:lang w:val="fr-FR" w:bidi="ar-SY"/>
              </w:rPr>
              <w:t>176</w:t>
            </w:r>
            <w:r w:rsidR="00262D44" w:rsidRPr="003253A0">
              <w:rPr>
                <w:sz w:val="20"/>
                <w:szCs w:val="20"/>
                <w:lang w:val="fr-FR" w:bidi="ar-SY"/>
              </w:rPr>
              <w:t>,</w:t>
            </w:r>
            <w:r w:rsidRPr="003253A0">
              <w:rPr>
                <w:sz w:val="20"/>
                <w:szCs w:val="20"/>
                <w:lang w:val="fr-FR" w:bidi="ar-SY"/>
              </w:rPr>
              <w:t>8</w:t>
            </w:r>
          </w:p>
        </w:tc>
        <w:tc>
          <w:tcPr>
            <w:tcW w:w="846" w:type="pct"/>
          </w:tcPr>
          <w:p w14:paraId="18B1D678" w14:textId="51BB9024" w:rsidR="008C7CF6" w:rsidRPr="003253A0" w:rsidRDefault="008C7CF6" w:rsidP="00582303">
            <w:pPr>
              <w:jc w:val="right"/>
              <w:rPr>
                <w:sz w:val="20"/>
                <w:szCs w:val="20"/>
                <w:lang w:val="fr-FR" w:bidi="ar-SY"/>
              </w:rPr>
            </w:pPr>
            <w:r w:rsidRPr="003253A0">
              <w:rPr>
                <w:sz w:val="20"/>
                <w:szCs w:val="20"/>
                <w:lang w:val="fr-FR" w:bidi="ar-SY"/>
              </w:rPr>
              <w:t>338</w:t>
            </w:r>
            <w:r w:rsidR="00262D44" w:rsidRPr="003253A0">
              <w:rPr>
                <w:sz w:val="20"/>
                <w:szCs w:val="20"/>
                <w:lang w:val="fr-FR" w:bidi="ar-SY"/>
              </w:rPr>
              <w:t>,</w:t>
            </w:r>
            <w:r w:rsidRPr="003253A0">
              <w:rPr>
                <w:sz w:val="20"/>
                <w:szCs w:val="20"/>
                <w:lang w:val="fr-FR" w:bidi="ar-SY"/>
              </w:rPr>
              <w:t>3</w:t>
            </w:r>
          </w:p>
        </w:tc>
      </w:tr>
      <w:tr w:rsidR="008D72B7" w:rsidRPr="003253A0" w14:paraId="1F887762" w14:textId="77777777" w:rsidTr="003253A0">
        <w:trPr>
          <w:trHeight w:val="255"/>
        </w:trPr>
        <w:tc>
          <w:tcPr>
            <w:tcW w:w="2659" w:type="pct"/>
          </w:tcPr>
          <w:p w14:paraId="5DD945AC" w14:textId="6BB95B7E" w:rsidR="008C7CF6" w:rsidRPr="003253A0" w:rsidRDefault="00262D44" w:rsidP="008C7CF6">
            <w:pPr>
              <w:rPr>
                <w:sz w:val="20"/>
                <w:szCs w:val="20"/>
                <w:lang w:val="fr-FR" w:bidi="ar-SY"/>
              </w:rPr>
            </w:pPr>
            <w:r w:rsidRPr="003253A0">
              <w:rPr>
                <w:sz w:val="20"/>
                <w:szCs w:val="20"/>
                <w:lang w:val="fr-FR" w:bidi="ar-SY"/>
              </w:rPr>
              <w:t>Réunions d’experts</w:t>
            </w:r>
          </w:p>
        </w:tc>
        <w:tc>
          <w:tcPr>
            <w:tcW w:w="830" w:type="pct"/>
          </w:tcPr>
          <w:p w14:paraId="7352C21B" w14:textId="3AAFC985" w:rsidR="008C7CF6" w:rsidRPr="003253A0" w:rsidRDefault="008C7CF6" w:rsidP="00582303">
            <w:pPr>
              <w:jc w:val="right"/>
              <w:rPr>
                <w:sz w:val="20"/>
                <w:szCs w:val="20"/>
                <w:lang w:val="fr-FR" w:bidi="ar-SY"/>
              </w:rPr>
            </w:pPr>
            <w:r w:rsidRPr="003253A0">
              <w:rPr>
                <w:sz w:val="20"/>
                <w:szCs w:val="20"/>
                <w:lang w:val="fr-FR" w:bidi="ar-SY"/>
              </w:rPr>
              <w:t xml:space="preserve"> 175</w:t>
            </w:r>
            <w:r w:rsidR="00262D44" w:rsidRPr="003253A0">
              <w:rPr>
                <w:sz w:val="20"/>
                <w:szCs w:val="20"/>
                <w:lang w:val="fr-FR" w:bidi="ar-SY"/>
              </w:rPr>
              <w:t>,</w:t>
            </w:r>
            <w:r w:rsidRPr="003253A0">
              <w:rPr>
                <w:sz w:val="20"/>
                <w:szCs w:val="20"/>
                <w:lang w:val="fr-FR" w:bidi="ar-SY"/>
              </w:rPr>
              <w:t>0</w:t>
            </w:r>
          </w:p>
        </w:tc>
        <w:tc>
          <w:tcPr>
            <w:tcW w:w="665" w:type="pct"/>
          </w:tcPr>
          <w:p w14:paraId="48ED71DB" w14:textId="244C3DC5" w:rsidR="008C7CF6" w:rsidRPr="003253A0" w:rsidRDefault="008C7CF6" w:rsidP="00582303">
            <w:pPr>
              <w:jc w:val="right"/>
              <w:rPr>
                <w:sz w:val="20"/>
                <w:szCs w:val="20"/>
                <w:lang w:val="fr-FR" w:bidi="ar-SY"/>
              </w:rPr>
            </w:pPr>
            <w:r w:rsidRPr="003253A0">
              <w:rPr>
                <w:sz w:val="20"/>
                <w:szCs w:val="20"/>
                <w:lang w:val="fr-FR" w:bidi="ar-SY"/>
              </w:rPr>
              <w:t>205</w:t>
            </w:r>
            <w:r w:rsidR="00262D44" w:rsidRPr="003253A0">
              <w:rPr>
                <w:sz w:val="20"/>
                <w:szCs w:val="20"/>
                <w:lang w:val="fr-FR" w:bidi="ar-SY"/>
              </w:rPr>
              <w:t>,</w:t>
            </w:r>
            <w:r w:rsidRPr="003253A0">
              <w:rPr>
                <w:sz w:val="20"/>
                <w:szCs w:val="20"/>
                <w:lang w:val="fr-FR" w:bidi="ar-SY"/>
              </w:rPr>
              <w:t>0</w:t>
            </w:r>
          </w:p>
        </w:tc>
        <w:tc>
          <w:tcPr>
            <w:tcW w:w="846" w:type="pct"/>
          </w:tcPr>
          <w:p w14:paraId="5835B5B3" w14:textId="0A24AD25" w:rsidR="008C7CF6" w:rsidRPr="003253A0" w:rsidRDefault="008C7CF6" w:rsidP="00582303">
            <w:pPr>
              <w:jc w:val="right"/>
              <w:rPr>
                <w:sz w:val="20"/>
                <w:szCs w:val="20"/>
                <w:lang w:val="fr-FR" w:bidi="ar-SY"/>
              </w:rPr>
            </w:pPr>
            <w:r w:rsidRPr="003253A0">
              <w:rPr>
                <w:sz w:val="20"/>
                <w:szCs w:val="20"/>
                <w:lang w:val="fr-FR" w:bidi="ar-SY"/>
              </w:rPr>
              <w:t>380</w:t>
            </w:r>
            <w:r w:rsidR="00262D44" w:rsidRPr="003253A0">
              <w:rPr>
                <w:sz w:val="20"/>
                <w:szCs w:val="20"/>
                <w:lang w:val="fr-FR" w:bidi="ar-SY"/>
              </w:rPr>
              <w:t>,</w:t>
            </w:r>
            <w:r w:rsidRPr="003253A0">
              <w:rPr>
                <w:sz w:val="20"/>
                <w:szCs w:val="20"/>
                <w:lang w:val="fr-FR" w:bidi="ar-SY"/>
              </w:rPr>
              <w:t>0</w:t>
            </w:r>
          </w:p>
        </w:tc>
      </w:tr>
      <w:tr w:rsidR="008D72B7" w:rsidRPr="003253A0" w14:paraId="34F7E4A6" w14:textId="77777777" w:rsidTr="003253A0">
        <w:trPr>
          <w:trHeight w:val="232"/>
        </w:trPr>
        <w:tc>
          <w:tcPr>
            <w:tcW w:w="2659" w:type="pct"/>
          </w:tcPr>
          <w:p w14:paraId="5158BEE5" w14:textId="3E4EAB2C" w:rsidR="008C7CF6" w:rsidRPr="003253A0" w:rsidRDefault="00262D44" w:rsidP="008C7CF6">
            <w:pPr>
              <w:rPr>
                <w:sz w:val="20"/>
                <w:szCs w:val="20"/>
                <w:lang w:val="fr-FR" w:bidi="ar-SY"/>
              </w:rPr>
            </w:pPr>
            <w:r w:rsidRPr="003253A0">
              <w:rPr>
                <w:sz w:val="20"/>
                <w:szCs w:val="20"/>
                <w:lang w:val="fr-FR" w:bidi="ar-SY"/>
              </w:rPr>
              <w:t xml:space="preserve">Réunions des organismes </w:t>
            </w:r>
            <w:proofErr w:type="spellStart"/>
            <w:r w:rsidRPr="003253A0">
              <w:rPr>
                <w:sz w:val="20"/>
                <w:szCs w:val="20"/>
                <w:lang w:val="fr-FR" w:bidi="ar-SY"/>
              </w:rPr>
              <w:t>intergouvernementaux</w:t>
            </w:r>
            <w:r w:rsidR="002A4A1D" w:rsidRPr="003253A0">
              <w:rPr>
                <w:i/>
                <w:iCs/>
                <w:sz w:val="20"/>
                <w:szCs w:val="20"/>
                <w:vertAlign w:val="superscript"/>
                <w:lang w:val="fr-FR" w:bidi="ar-SY"/>
              </w:rPr>
              <w:t>a</w:t>
            </w:r>
            <w:proofErr w:type="spellEnd"/>
          </w:p>
        </w:tc>
        <w:tc>
          <w:tcPr>
            <w:tcW w:w="830" w:type="pct"/>
          </w:tcPr>
          <w:p w14:paraId="54A03E4B" w14:textId="44D9B4E9" w:rsidR="008C7CF6" w:rsidRPr="003253A0" w:rsidRDefault="008C7CF6" w:rsidP="00582303">
            <w:pPr>
              <w:jc w:val="right"/>
              <w:rPr>
                <w:sz w:val="20"/>
                <w:szCs w:val="20"/>
                <w:lang w:val="fr-FR" w:bidi="ar-SY"/>
              </w:rPr>
            </w:pPr>
            <w:r w:rsidRPr="003253A0">
              <w:rPr>
                <w:sz w:val="20"/>
                <w:szCs w:val="20"/>
                <w:lang w:val="fr-FR" w:bidi="ar-SY"/>
              </w:rPr>
              <w:t>2 274</w:t>
            </w:r>
            <w:r w:rsidR="00262D44" w:rsidRPr="003253A0">
              <w:rPr>
                <w:sz w:val="20"/>
                <w:szCs w:val="20"/>
                <w:lang w:val="fr-FR" w:bidi="ar-SY"/>
              </w:rPr>
              <w:t>,</w:t>
            </w:r>
            <w:r w:rsidRPr="003253A0">
              <w:rPr>
                <w:sz w:val="20"/>
                <w:szCs w:val="20"/>
                <w:lang w:val="fr-FR" w:bidi="ar-SY"/>
              </w:rPr>
              <w:t>6</w:t>
            </w:r>
          </w:p>
        </w:tc>
        <w:tc>
          <w:tcPr>
            <w:tcW w:w="665" w:type="pct"/>
          </w:tcPr>
          <w:p w14:paraId="22829AB1" w14:textId="29CDF2EA" w:rsidR="008C7CF6" w:rsidRPr="003253A0" w:rsidRDefault="008C7CF6" w:rsidP="00582303">
            <w:pPr>
              <w:jc w:val="right"/>
              <w:rPr>
                <w:sz w:val="20"/>
                <w:szCs w:val="20"/>
                <w:lang w:val="fr-FR" w:bidi="ar-SY"/>
              </w:rPr>
            </w:pPr>
            <w:r w:rsidRPr="003253A0">
              <w:rPr>
                <w:sz w:val="20"/>
                <w:szCs w:val="20"/>
                <w:lang w:val="fr-FR" w:bidi="ar-SY"/>
              </w:rPr>
              <w:t>2 700</w:t>
            </w:r>
            <w:r w:rsidR="00262D44" w:rsidRPr="003253A0">
              <w:rPr>
                <w:sz w:val="20"/>
                <w:szCs w:val="20"/>
                <w:lang w:val="fr-FR" w:bidi="ar-SY"/>
              </w:rPr>
              <w:t>,</w:t>
            </w:r>
            <w:r w:rsidRPr="003253A0">
              <w:rPr>
                <w:sz w:val="20"/>
                <w:szCs w:val="20"/>
                <w:lang w:val="fr-FR" w:bidi="ar-SY"/>
              </w:rPr>
              <w:t>9</w:t>
            </w:r>
          </w:p>
        </w:tc>
        <w:tc>
          <w:tcPr>
            <w:tcW w:w="846" w:type="pct"/>
          </w:tcPr>
          <w:p w14:paraId="07752ACE" w14:textId="0413217E" w:rsidR="008C7CF6" w:rsidRPr="003253A0" w:rsidRDefault="008C7CF6" w:rsidP="00582303">
            <w:pPr>
              <w:jc w:val="right"/>
              <w:rPr>
                <w:sz w:val="20"/>
                <w:szCs w:val="20"/>
                <w:lang w:val="fr-FR" w:bidi="ar-SY"/>
              </w:rPr>
            </w:pPr>
            <w:r w:rsidRPr="003253A0">
              <w:rPr>
                <w:sz w:val="20"/>
                <w:szCs w:val="20"/>
                <w:lang w:val="fr-FR" w:bidi="ar-SY"/>
              </w:rPr>
              <w:t>4 975</w:t>
            </w:r>
            <w:r w:rsidR="00262D44" w:rsidRPr="003253A0">
              <w:rPr>
                <w:sz w:val="20"/>
                <w:szCs w:val="20"/>
                <w:lang w:val="fr-FR" w:bidi="ar-SY"/>
              </w:rPr>
              <w:t>,</w:t>
            </w:r>
            <w:r w:rsidRPr="003253A0">
              <w:rPr>
                <w:sz w:val="20"/>
                <w:szCs w:val="20"/>
                <w:lang w:val="fr-FR" w:bidi="ar-SY"/>
              </w:rPr>
              <w:t>5</w:t>
            </w:r>
          </w:p>
        </w:tc>
      </w:tr>
      <w:tr w:rsidR="008D72B7" w:rsidRPr="003253A0" w14:paraId="2C2B3CAC" w14:textId="77777777" w:rsidTr="003253A0">
        <w:trPr>
          <w:trHeight w:val="253"/>
        </w:trPr>
        <w:tc>
          <w:tcPr>
            <w:tcW w:w="2659" w:type="pct"/>
          </w:tcPr>
          <w:p w14:paraId="250B768B" w14:textId="77777777" w:rsidR="008C7CF6" w:rsidRPr="003253A0" w:rsidRDefault="008C7CF6" w:rsidP="008C7CF6">
            <w:pPr>
              <w:rPr>
                <w:sz w:val="20"/>
                <w:szCs w:val="20"/>
                <w:lang w:val="fr-FR" w:bidi="ar-SY"/>
              </w:rPr>
            </w:pPr>
            <w:r w:rsidRPr="003253A0">
              <w:rPr>
                <w:sz w:val="20"/>
                <w:szCs w:val="20"/>
                <w:lang w:val="fr-FR" w:bidi="ar-SY"/>
              </w:rPr>
              <w:t>Consultants</w:t>
            </w:r>
          </w:p>
        </w:tc>
        <w:tc>
          <w:tcPr>
            <w:tcW w:w="830" w:type="pct"/>
          </w:tcPr>
          <w:p w14:paraId="43CF7BDA" w14:textId="15D900E4" w:rsidR="008C7CF6" w:rsidRPr="003253A0" w:rsidRDefault="008C7CF6" w:rsidP="00582303">
            <w:pPr>
              <w:jc w:val="right"/>
              <w:rPr>
                <w:sz w:val="20"/>
                <w:szCs w:val="20"/>
                <w:lang w:val="fr-FR" w:bidi="ar-SY"/>
              </w:rPr>
            </w:pPr>
            <w:r w:rsidRPr="003253A0">
              <w:rPr>
                <w:sz w:val="20"/>
                <w:szCs w:val="20"/>
                <w:lang w:val="fr-FR" w:bidi="ar-SY"/>
              </w:rPr>
              <w:t>75</w:t>
            </w:r>
            <w:r w:rsidR="00262D44" w:rsidRPr="003253A0">
              <w:rPr>
                <w:sz w:val="20"/>
                <w:szCs w:val="20"/>
                <w:lang w:val="fr-FR" w:bidi="ar-SY"/>
              </w:rPr>
              <w:t>,</w:t>
            </w:r>
            <w:r w:rsidRPr="003253A0">
              <w:rPr>
                <w:sz w:val="20"/>
                <w:szCs w:val="20"/>
                <w:lang w:val="fr-FR" w:bidi="ar-SY"/>
              </w:rPr>
              <w:t>0</w:t>
            </w:r>
          </w:p>
        </w:tc>
        <w:tc>
          <w:tcPr>
            <w:tcW w:w="665" w:type="pct"/>
          </w:tcPr>
          <w:p w14:paraId="09CF2D5F" w14:textId="4FDE00B1" w:rsidR="008C7CF6" w:rsidRPr="003253A0" w:rsidRDefault="008C7CF6" w:rsidP="00582303">
            <w:pPr>
              <w:jc w:val="right"/>
              <w:rPr>
                <w:sz w:val="20"/>
                <w:szCs w:val="20"/>
                <w:lang w:val="fr-FR" w:bidi="ar-SY"/>
              </w:rPr>
            </w:pPr>
            <w:r w:rsidRPr="003253A0">
              <w:rPr>
                <w:sz w:val="20"/>
                <w:szCs w:val="20"/>
                <w:lang w:val="fr-FR" w:bidi="ar-SY"/>
              </w:rPr>
              <w:t>75</w:t>
            </w:r>
            <w:r w:rsidR="00262D44" w:rsidRPr="003253A0">
              <w:rPr>
                <w:sz w:val="20"/>
                <w:szCs w:val="20"/>
                <w:lang w:val="fr-FR" w:bidi="ar-SY"/>
              </w:rPr>
              <w:t>,</w:t>
            </w:r>
            <w:r w:rsidRPr="003253A0">
              <w:rPr>
                <w:sz w:val="20"/>
                <w:szCs w:val="20"/>
                <w:lang w:val="fr-FR" w:bidi="ar-SY"/>
              </w:rPr>
              <w:t>0</w:t>
            </w:r>
          </w:p>
        </w:tc>
        <w:tc>
          <w:tcPr>
            <w:tcW w:w="846" w:type="pct"/>
          </w:tcPr>
          <w:p w14:paraId="6C0C3A73" w14:textId="6DD6C0C3" w:rsidR="008C7CF6" w:rsidRPr="003253A0" w:rsidRDefault="008C7CF6" w:rsidP="00582303">
            <w:pPr>
              <w:jc w:val="right"/>
              <w:rPr>
                <w:sz w:val="20"/>
                <w:szCs w:val="20"/>
                <w:lang w:val="fr-FR" w:bidi="ar-SY"/>
              </w:rPr>
            </w:pPr>
            <w:r w:rsidRPr="003253A0">
              <w:rPr>
                <w:sz w:val="20"/>
                <w:szCs w:val="20"/>
                <w:lang w:val="fr-FR" w:bidi="ar-SY"/>
              </w:rPr>
              <w:t>150</w:t>
            </w:r>
            <w:r w:rsidR="00262D44" w:rsidRPr="003253A0">
              <w:rPr>
                <w:sz w:val="20"/>
                <w:szCs w:val="20"/>
                <w:lang w:val="fr-FR" w:bidi="ar-SY"/>
              </w:rPr>
              <w:t>,</w:t>
            </w:r>
            <w:r w:rsidRPr="003253A0">
              <w:rPr>
                <w:sz w:val="20"/>
                <w:szCs w:val="20"/>
                <w:lang w:val="fr-FR" w:bidi="ar-SY"/>
              </w:rPr>
              <w:t>0</w:t>
            </w:r>
          </w:p>
        </w:tc>
      </w:tr>
      <w:tr w:rsidR="008D72B7" w:rsidRPr="003253A0" w14:paraId="760B1AFC" w14:textId="77777777" w:rsidTr="003253A0">
        <w:trPr>
          <w:trHeight w:val="253"/>
        </w:trPr>
        <w:tc>
          <w:tcPr>
            <w:tcW w:w="2659" w:type="pct"/>
          </w:tcPr>
          <w:p w14:paraId="11C365BC" w14:textId="2270CA09" w:rsidR="008C7CF6" w:rsidRPr="003253A0" w:rsidRDefault="00262D44" w:rsidP="008C7CF6">
            <w:pPr>
              <w:rPr>
                <w:sz w:val="20"/>
                <w:szCs w:val="20"/>
                <w:lang w:val="fr-FR" w:bidi="ar-SY"/>
              </w:rPr>
            </w:pPr>
            <w:r w:rsidRPr="003253A0">
              <w:rPr>
                <w:sz w:val="20"/>
                <w:szCs w:val="20"/>
                <w:lang w:val="fr-FR" w:bidi="ar-SY"/>
              </w:rPr>
              <w:t>Examen fonctionnel</w:t>
            </w:r>
          </w:p>
        </w:tc>
        <w:tc>
          <w:tcPr>
            <w:tcW w:w="830" w:type="pct"/>
          </w:tcPr>
          <w:p w14:paraId="10228935" w14:textId="45A57ED9" w:rsidR="008C7CF6" w:rsidRPr="003253A0" w:rsidRDefault="008C7CF6" w:rsidP="00582303">
            <w:pPr>
              <w:jc w:val="right"/>
              <w:rPr>
                <w:sz w:val="20"/>
                <w:szCs w:val="20"/>
                <w:lang w:val="fr-FR" w:bidi="ar-SY"/>
              </w:rPr>
            </w:pPr>
            <w:r w:rsidRPr="003253A0">
              <w:rPr>
                <w:sz w:val="20"/>
                <w:szCs w:val="20"/>
                <w:lang w:val="fr-FR" w:bidi="ar-SY"/>
              </w:rPr>
              <w:t>250</w:t>
            </w:r>
            <w:r w:rsidR="00262D44" w:rsidRPr="003253A0">
              <w:rPr>
                <w:sz w:val="20"/>
                <w:szCs w:val="20"/>
                <w:lang w:val="fr-FR" w:bidi="ar-SY"/>
              </w:rPr>
              <w:t>,</w:t>
            </w:r>
            <w:r w:rsidRPr="003253A0">
              <w:rPr>
                <w:sz w:val="20"/>
                <w:szCs w:val="20"/>
                <w:lang w:val="fr-FR" w:bidi="ar-SY"/>
              </w:rPr>
              <w:t>0</w:t>
            </w:r>
          </w:p>
        </w:tc>
        <w:tc>
          <w:tcPr>
            <w:tcW w:w="665" w:type="pct"/>
          </w:tcPr>
          <w:p w14:paraId="17F67AAB" w14:textId="0801838A" w:rsidR="008C7CF6" w:rsidRPr="003253A0" w:rsidRDefault="008D72B7" w:rsidP="00582303">
            <w:pPr>
              <w:jc w:val="right"/>
              <w:rPr>
                <w:sz w:val="20"/>
                <w:szCs w:val="20"/>
                <w:lang w:val="fr-FR" w:bidi="ar-SY"/>
              </w:rPr>
            </w:pPr>
            <w:r w:rsidRPr="003253A0">
              <w:rPr>
                <w:sz w:val="20"/>
                <w:szCs w:val="20"/>
                <w:lang w:val="fr-FR" w:bidi="ar-SY"/>
              </w:rPr>
              <w:t>–</w:t>
            </w:r>
          </w:p>
        </w:tc>
        <w:tc>
          <w:tcPr>
            <w:tcW w:w="846" w:type="pct"/>
          </w:tcPr>
          <w:p w14:paraId="65CC9F60" w14:textId="16BF3E52" w:rsidR="008C7CF6" w:rsidRPr="003253A0" w:rsidRDefault="008C7CF6" w:rsidP="00582303">
            <w:pPr>
              <w:jc w:val="right"/>
              <w:rPr>
                <w:sz w:val="20"/>
                <w:szCs w:val="20"/>
                <w:lang w:val="fr-FR" w:bidi="ar-SY"/>
              </w:rPr>
            </w:pPr>
            <w:r w:rsidRPr="003253A0">
              <w:rPr>
                <w:sz w:val="20"/>
                <w:szCs w:val="20"/>
                <w:lang w:val="fr-FR" w:bidi="ar-SY"/>
              </w:rPr>
              <w:t>250</w:t>
            </w:r>
            <w:r w:rsidR="00262D44" w:rsidRPr="003253A0">
              <w:rPr>
                <w:sz w:val="20"/>
                <w:szCs w:val="20"/>
                <w:lang w:val="fr-FR" w:bidi="ar-SY"/>
              </w:rPr>
              <w:t>,</w:t>
            </w:r>
            <w:r w:rsidRPr="003253A0">
              <w:rPr>
                <w:sz w:val="20"/>
                <w:szCs w:val="20"/>
                <w:lang w:val="fr-FR" w:bidi="ar-SY"/>
              </w:rPr>
              <w:t>0</w:t>
            </w:r>
          </w:p>
        </w:tc>
      </w:tr>
      <w:tr w:rsidR="008D72B7" w:rsidRPr="003253A0" w14:paraId="76B6D7C5" w14:textId="77777777" w:rsidTr="003253A0">
        <w:trPr>
          <w:trHeight w:val="253"/>
        </w:trPr>
        <w:tc>
          <w:tcPr>
            <w:tcW w:w="2659" w:type="pct"/>
          </w:tcPr>
          <w:p w14:paraId="23173214" w14:textId="08CEBC18" w:rsidR="008C7CF6" w:rsidRPr="003253A0" w:rsidRDefault="00262D44" w:rsidP="008C7CF6">
            <w:pPr>
              <w:rPr>
                <w:sz w:val="20"/>
                <w:szCs w:val="20"/>
                <w:lang w:val="fr-FR" w:bidi="ar-SY"/>
              </w:rPr>
            </w:pPr>
            <w:r w:rsidRPr="003253A0">
              <w:rPr>
                <w:sz w:val="20"/>
                <w:szCs w:val="20"/>
                <w:lang w:val="fr-FR" w:bidi="ar-SY"/>
              </w:rPr>
              <w:t>Voyages officiels</w:t>
            </w:r>
          </w:p>
        </w:tc>
        <w:tc>
          <w:tcPr>
            <w:tcW w:w="830" w:type="pct"/>
          </w:tcPr>
          <w:p w14:paraId="4BE8FEE9" w14:textId="7A80B886" w:rsidR="008C7CF6" w:rsidRPr="003253A0" w:rsidRDefault="008C7CF6" w:rsidP="00582303">
            <w:pPr>
              <w:jc w:val="right"/>
              <w:rPr>
                <w:sz w:val="20"/>
                <w:szCs w:val="20"/>
                <w:lang w:val="fr-FR" w:bidi="ar-SY"/>
              </w:rPr>
            </w:pPr>
            <w:r w:rsidRPr="003253A0">
              <w:rPr>
                <w:sz w:val="20"/>
                <w:szCs w:val="20"/>
                <w:lang w:val="fr-FR" w:bidi="ar-SY"/>
              </w:rPr>
              <w:t>400</w:t>
            </w:r>
            <w:r w:rsidR="00262D44" w:rsidRPr="003253A0">
              <w:rPr>
                <w:sz w:val="20"/>
                <w:szCs w:val="20"/>
                <w:lang w:val="fr-FR" w:bidi="ar-SY"/>
              </w:rPr>
              <w:t>,</w:t>
            </w:r>
            <w:r w:rsidRPr="003253A0">
              <w:rPr>
                <w:sz w:val="20"/>
                <w:szCs w:val="20"/>
                <w:lang w:val="fr-FR" w:bidi="ar-SY"/>
              </w:rPr>
              <w:t>0</w:t>
            </w:r>
          </w:p>
        </w:tc>
        <w:tc>
          <w:tcPr>
            <w:tcW w:w="665" w:type="pct"/>
          </w:tcPr>
          <w:p w14:paraId="4487FBB9" w14:textId="5C5E7F81" w:rsidR="008C7CF6" w:rsidRPr="003253A0" w:rsidRDefault="008C7CF6" w:rsidP="00582303">
            <w:pPr>
              <w:jc w:val="right"/>
              <w:rPr>
                <w:sz w:val="20"/>
                <w:szCs w:val="20"/>
                <w:lang w:val="fr-FR" w:bidi="ar-SY"/>
              </w:rPr>
            </w:pPr>
            <w:r w:rsidRPr="003253A0">
              <w:rPr>
                <w:sz w:val="20"/>
                <w:szCs w:val="20"/>
                <w:lang w:val="fr-FR" w:bidi="ar-SY"/>
              </w:rPr>
              <w:t>450</w:t>
            </w:r>
            <w:r w:rsidR="00262D44" w:rsidRPr="003253A0">
              <w:rPr>
                <w:sz w:val="20"/>
                <w:szCs w:val="20"/>
                <w:lang w:val="fr-FR" w:bidi="ar-SY"/>
              </w:rPr>
              <w:t>,</w:t>
            </w:r>
            <w:r w:rsidRPr="003253A0">
              <w:rPr>
                <w:sz w:val="20"/>
                <w:szCs w:val="20"/>
                <w:lang w:val="fr-FR" w:bidi="ar-SY"/>
              </w:rPr>
              <w:t>0</w:t>
            </w:r>
          </w:p>
        </w:tc>
        <w:tc>
          <w:tcPr>
            <w:tcW w:w="846" w:type="pct"/>
          </w:tcPr>
          <w:p w14:paraId="2FD0C232" w14:textId="4A7E3716" w:rsidR="008C7CF6" w:rsidRPr="003253A0" w:rsidRDefault="008C7CF6" w:rsidP="00582303">
            <w:pPr>
              <w:jc w:val="right"/>
              <w:rPr>
                <w:sz w:val="20"/>
                <w:szCs w:val="20"/>
                <w:lang w:val="fr-FR" w:bidi="ar-SY"/>
              </w:rPr>
            </w:pPr>
            <w:r w:rsidRPr="003253A0">
              <w:rPr>
                <w:sz w:val="20"/>
                <w:szCs w:val="20"/>
                <w:lang w:val="fr-FR" w:bidi="ar-SY"/>
              </w:rPr>
              <w:t>850</w:t>
            </w:r>
            <w:r w:rsidR="00262D44" w:rsidRPr="003253A0">
              <w:rPr>
                <w:sz w:val="20"/>
                <w:szCs w:val="20"/>
                <w:lang w:val="fr-FR" w:bidi="ar-SY"/>
              </w:rPr>
              <w:t>,</w:t>
            </w:r>
            <w:r w:rsidRPr="003253A0">
              <w:rPr>
                <w:sz w:val="20"/>
                <w:szCs w:val="20"/>
                <w:lang w:val="fr-FR" w:bidi="ar-SY"/>
              </w:rPr>
              <w:t>0</w:t>
            </w:r>
          </w:p>
        </w:tc>
      </w:tr>
      <w:tr w:rsidR="008D72B7" w:rsidRPr="003253A0" w14:paraId="4E918BEE" w14:textId="77777777" w:rsidTr="003253A0">
        <w:trPr>
          <w:trHeight w:val="253"/>
        </w:trPr>
        <w:tc>
          <w:tcPr>
            <w:tcW w:w="2659" w:type="pct"/>
          </w:tcPr>
          <w:p w14:paraId="5F809813" w14:textId="7B5F5238" w:rsidR="008C7CF6" w:rsidRPr="003253A0" w:rsidRDefault="00262D44" w:rsidP="008C7CF6">
            <w:pPr>
              <w:rPr>
                <w:sz w:val="20"/>
                <w:szCs w:val="20"/>
                <w:lang w:val="fr-FR" w:bidi="ar-SY"/>
              </w:rPr>
            </w:pPr>
            <w:r w:rsidRPr="003253A0">
              <w:rPr>
                <w:sz w:val="20"/>
                <w:szCs w:val="20"/>
                <w:lang w:val="fr-FR" w:bidi="ar-SY"/>
              </w:rPr>
              <w:t>Loyers et frais connexes</w:t>
            </w:r>
          </w:p>
        </w:tc>
        <w:tc>
          <w:tcPr>
            <w:tcW w:w="830" w:type="pct"/>
          </w:tcPr>
          <w:p w14:paraId="63570650" w14:textId="07E957D3" w:rsidR="008C7CF6" w:rsidRPr="003253A0" w:rsidRDefault="008C7CF6" w:rsidP="00582303">
            <w:pPr>
              <w:jc w:val="right"/>
              <w:rPr>
                <w:sz w:val="20"/>
                <w:szCs w:val="20"/>
                <w:lang w:val="fr-FR" w:bidi="ar-SY"/>
              </w:rPr>
            </w:pPr>
            <w:r w:rsidRPr="003253A0">
              <w:rPr>
                <w:sz w:val="20"/>
                <w:szCs w:val="20"/>
                <w:lang w:val="fr-FR" w:bidi="ar-SY"/>
              </w:rPr>
              <w:t>1 462</w:t>
            </w:r>
            <w:r w:rsidR="00262D44" w:rsidRPr="003253A0">
              <w:rPr>
                <w:sz w:val="20"/>
                <w:szCs w:val="20"/>
                <w:lang w:val="fr-FR" w:bidi="ar-SY"/>
              </w:rPr>
              <w:t>,</w:t>
            </w:r>
            <w:r w:rsidRPr="003253A0">
              <w:rPr>
                <w:sz w:val="20"/>
                <w:szCs w:val="20"/>
                <w:lang w:val="fr-FR" w:bidi="ar-SY"/>
              </w:rPr>
              <w:t>6</w:t>
            </w:r>
          </w:p>
        </w:tc>
        <w:tc>
          <w:tcPr>
            <w:tcW w:w="665" w:type="pct"/>
          </w:tcPr>
          <w:p w14:paraId="1C9A1D1B" w14:textId="74126DC9" w:rsidR="008C7CF6" w:rsidRPr="003253A0" w:rsidRDefault="008C7CF6" w:rsidP="00582303">
            <w:pPr>
              <w:jc w:val="right"/>
              <w:rPr>
                <w:sz w:val="20"/>
                <w:szCs w:val="20"/>
                <w:lang w:val="fr-FR" w:bidi="ar-SY"/>
              </w:rPr>
            </w:pPr>
            <w:r w:rsidRPr="003253A0">
              <w:rPr>
                <w:sz w:val="20"/>
                <w:szCs w:val="20"/>
                <w:lang w:val="fr-FR" w:bidi="ar-SY"/>
              </w:rPr>
              <w:t>1 476</w:t>
            </w:r>
            <w:r w:rsidR="00262D44" w:rsidRPr="003253A0">
              <w:rPr>
                <w:sz w:val="20"/>
                <w:szCs w:val="20"/>
                <w:lang w:val="fr-FR" w:bidi="ar-SY"/>
              </w:rPr>
              <w:t>,</w:t>
            </w:r>
            <w:r w:rsidRPr="003253A0">
              <w:rPr>
                <w:sz w:val="20"/>
                <w:szCs w:val="20"/>
                <w:lang w:val="fr-FR" w:bidi="ar-SY"/>
              </w:rPr>
              <w:t>6</w:t>
            </w:r>
          </w:p>
        </w:tc>
        <w:tc>
          <w:tcPr>
            <w:tcW w:w="846" w:type="pct"/>
          </w:tcPr>
          <w:p w14:paraId="5F5B59D1" w14:textId="6E30AC8F" w:rsidR="008C7CF6" w:rsidRPr="003253A0" w:rsidRDefault="008C7CF6" w:rsidP="00582303">
            <w:pPr>
              <w:jc w:val="right"/>
              <w:rPr>
                <w:sz w:val="20"/>
                <w:szCs w:val="20"/>
                <w:lang w:val="fr-FR" w:bidi="ar-SY"/>
              </w:rPr>
            </w:pPr>
            <w:r w:rsidRPr="003253A0">
              <w:rPr>
                <w:sz w:val="20"/>
                <w:szCs w:val="20"/>
                <w:lang w:val="fr-FR" w:bidi="ar-SY"/>
              </w:rPr>
              <w:t>2 939</w:t>
            </w:r>
            <w:r w:rsidR="00262D44" w:rsidRPr="003253A0">
              <w:rPr>
                <w:sz w:val="20"/>
                <w:szCs w:val="20"/>
                <w:lang w:val="fr-FR" w:bidi="ar-SY"/>
              </w:rPr>
              <w:t>,</w:t>
            </w:r>
            <w:r w:rsidRPr="003253A0">
              <w:rPr>
                <w:sz w:val="20"/>
                <w:szCs w:val="20"/>
                <w:lang w:val="fr-FR" w:bidi="ar-SY"/>
              </w:rPr>
              <w:t>2</w:t>
            </w:r>
          </w:p>
        </w:tc>
      </w:tr>
      <w:tr w:rsidR="008D72B7" w:rsidRPr="003253A0" w14:paraId="615D0B84" w14:textId="77777777" w:rsidTr="003253A0">
        <w:trPr>
          <w:trHeight w:val="253"/>
        </w:trPr>
        <w:tc>
          <w:tcPr>
            <w:tcW w:w="2659" w:type="pct"/>
          </w:tcPr>
          <w:p w14:paraId="40B1FD9B" w14:textId="0992C5E6" w:rsidR="008C7CF6" w:rsidRPr="003253A0" w:rsidRDefault="00262D44" w:rsidP="008C7CF6">
            <w:pPr>
              <w:rPr>
                <w:sz w:val="20"/>
                <w:szCs w:val="20"/>
                <w:lang w:val="fr-FR" w:bidi="ar-SY"/>
              </w:rPr>
            </w:pPr>
            <w:r w:rsidRPr="003253A0">
              <w:rPr>
                <w:sz w:val="20"/>
                <w:szCs w:val="20"/>
                <w:lang w:val="fr-FR" w:bidi="ar-SY"/>
              </w:rPr>
              <w:t>Formation</w:t>
            </w:r>
          </w:p>
        </w:tc>
        <w:tc>
          <w:tcPr>
            <w:tcW w:w="830" w:type="pct"/>
          </w:tcPr>
          <w:p w14:paraId="075AFC7A" w14:textId="5A8BDDDF" w:rsidR="008C7CF6" w:rsidRPr="003253A0" w:rsidRDefault="008C7CF6" w:rsidP="00582303">
            <w:pPr>
              <w:jc w:val="right"/>
              <w:rPr>
                <w:sz w:val="20"/>
                <w:szCs w:val="20"/>
                <w:lang w:val="fr-FR" w:bidi="ar-SY"/>
              </w:rPr>
            </w:pPr>
            <w:r w:rsidRPr="003253A0">
              <w:rPr>
                <w:sz w:val="20"/>
                <w:szCs w:val="20"/>
                <w:lang w:val="fr-FR" w:bidi="ar-SY"/>
              </w:rPr>
              <w:t>5</w:t>
            </w:r>
            <w:r w:rsidR="00262D44" w:rsidRPr="003253A0">
              <w:rPr>
                <w:sz w:val="20"/>
                <w:szCs w:val="20"/>
                <w:lang w:val="fr-FR" w:bidi="ar-SY"/>
              </w:rPr>
              <w:t>,</w:t>
            </w:r>
            <w:r w:rsidRPr="003253A0">
              <w:rPr>
                <w:sz w:val="20"/>
                <w:szCs w:val="20"/>
                <w:lang w:val="fr-FR" w:bidi="ar-SY"/>
              </w:rPr>
              <w:t>0</w:t>
            </w:r>
          </w:p>
        </w:tc>
        <w:tc>
          <w:tcPr>
            <w:tcW w:w="665" w:type="pct"/>
          </w:tcPr>
          <w:p w14:paraId="48948DA4" w14:textId="1A54E499" w:rsidR="008C7CF6" w:rsidRPr="003253A0" w:rsidRDefault="008C7CF6" w:rsidP="00582303">
            <w:pPr>
              <w:jc w:val="right"/>
              <w:rPr>
                <w:sz w:val="20"/>
                <w:szCs w:val="20"/>
                <w:lang w:val="fr-FR" w:bidi="ar-SY"/>
              </w:rPr>
            </w:pPr>
            <w:r w:rsidRPr="003253A0">
              <w:rPr>
                <w:sz w:val="20"/>
                <w:szCs w:val="20"/>
                <w:lang w:val="fr-FR" w:bidi="ar-SY"/>
              </w:rPr>
              <w:t>5</w:t>
            </w:r>
            <w:r w:rsidR="00262D44" w:rsidRPr="003253A0">
              <w:rPr>
                <w:sz w:val="20"/>
                <w:szCs w:val="20"/>
                <w:lang w:val="fr-FR" w:bidi="ar-SY"/>
              </w:rPr>
              <w:t>,</w:t>
            </w:r>
            <w:r w:rsidRPr="003253A0">
              <w:rPr>
                <w:sz w:val="20"/>
                <w:szCs w:val="20"/>
                <w:lang w:val="fr-FR" w:bidi="ar-SY"/>
              </w:rPr>
              <w:t>0</w:t>
            </w:r>
          </w:p>
        </w:tc>
        <w:tc>
          <w:tcPr>
            <w:tcW w:w="846" w:type="pct"/>
          </w:tcPr>
          <w:p w14:paraId="060AA4B3" w14:textId="363AAE1D" w:rsidR="008C7CF6" w:rsidRPr="003253A0" w:rsidRDefault="008C7CF6" w:rsidP="00582303">
            <w:pPr>
              <w:jc w:val="right"/>
              <w:rPr>
                <w:sz w:val="20"/>
                <w:szCs w:val="20"/>
                <w:lang w:val="fr-FR" w:bidi="ar-SY"/>
              </w:rPr>
            </w:pPr>
            <w:r w:rsidRPr="003253A0">
              <w:rPr>
                <w:sz w:val="20"/>
                <w:szCs w:val="20"/>
                <w:lang w:val="fr-FR" w:bidi="ar-SY"/>
              </w:rPr>
              <w:t>10</w:t>
            </w:r>
            <w:r w:rsidR="00262D44" w:rsidRPr="003253A0">
              <w:rPr>
                <w:sz w:val="20"/>
                <w:szCs w:val="20"/>
                <w:lang w:val="fr-FR" w:bidi="ar-SY"/>
              </w:rPr>
              <w:t>,</w:t>
            </w:r>
            <w:r w:rsidRPr="003253A0">
              <w:rPr>
                <w:sz w:val="20"/>
                <w:szCs w:val="20"/>
                <w:lang w:val="fr-FR" w:bidi="ar-SY"/>
              </w:rPr>
              <w:t>0</w:t>
            </w:r>
          </w:p>
        </w:tc>
      </w:tr>
      <w:tr w:rsidR="008D72B7" w:rsidRPr="003253A0" w14:paraId="14CDF525" w14:textId="77777777" w:rsidTr="003253A0">
        <w:trPr>
          <w:trHeight w:val="253"/>
        </w:trPr>
        <w:tc>
          <w:tcPr>
            <w:tcW w:w="2659" w:type="pct"/>
          </w:tcPr>
          <w:p w14:paraId="498FB266" w14:textId="46155E81" w:rsidR="008C7CF6" w:rsidRPr="003253A0" w:rsidRDefault="00262D44" w:rsidP="008C7CF6">
            <w:pPr>
              <w:rPr>
                <w:sz w:val="20"/>
                <w:szCs w:val="20"/>
                <w:lang w:val="fr-FR" w:bidi="ar-SY"/>
              </w:rPr>
            </w:pPr>
            <w:r w:rsidRPr="003253A0">
              <w:rPr>
                <w:sz w:val="20"/>
                <w:szCs w:val="20"/>
                <w:lang w:val="fr-FR" w:bidi="ar-SY"/>
              </w:rPr>
              <w:t>Technologie de l’information</w:t>
            </w:r>
          </w:p>
        </w:tc>
        <w:tc>
          <w:tcPr>
            <w:tcW w:w="830" w:type="pct"/>
          </w:tcPr>
          <w:p w14:paraId="28BBDF07" w14:textId="3457F32E" w:rsidR="008C7CF6" w:rsidRPr="003253A0" w:rsidRDefault="008C7CF6" w:rsidP="00582303">
            <w:pPr>
              <w:jc w:val="right"/>
              <w:rPr>
                <w:sz w:val="20"/>
                <w:szCs w:val="20"/>
                <w:lang w:val="fr-FR" w:bidi="ar-SY"/>
              </w:rPr>
            </w:pPr>
            <w:r w:rsidRPr="003253A0">
              <w:rPr>
                <w:sz w:val="20"/>
                <w:szCs w:val="20"/>
                <w:lang w:val="fr-FR" w:bidi="ar-SY"/>
              </w:rPr>
              <w:t>65</w:t>
            </w:r>
            <w:r w:rsidR="00262D44" w:rsidRPr="003253A0">
              <w:rPr>
                <w:sz w:val="20"/>
                <w:szCs w:val="20"/>
                <w:lang w:val="fr-FR" w:bidi="ar-SY"/>
              </w:rPr>
              <w:t>,</w:t>
            </w:r>
            <w:r w:rsidRPr="003253A0">
              <w:rPr>
                <w:sz w:val="20"/>
                <w:szCs w:val="20"/>
                <w:lang w:val="fr-FR" w:bidi="ar-SY"/>
              </w:rPr>
              <w:t>0</w:t>
            </w:r>
          </w:p>
        </w:tc>
        <w:tc>
          <w:tcPr>
            <w:tcW w:w="665" w:type="pct"/>
          </w:tcPr>
          <w:p w14:paraId="4A67DF91" w14:textId="32BD71FE" w:rsidR="008C7CF6" w:rsidRPr="003253A0" w:rsidRDefault="008C7CF6" w:rsidP="00582303">
            <w:pPr>
              <w:jc w:val="right"/>
              <w:rPr>
                <w:sz w:val="20"/>
                <w:szCs w:val="20"/>
                <w:lang w:val="fr-FR" w:bidi="ar-SY"/>
              </w:rPr>
            </w:pPr>
            <w:r w:rsidRPr="003253A0">
              <w:rPr>
                <w:sz w:val="20"/>
                <w:szCs w:val="20"/>
                <w:lang w:val="fr-FR" w:bidi="ar-SY"/>
              </w:rPr>
              <w:t>65</w:t>
            </w:r>
            <w:r w:rsidR="00262D44" w:rsidRPr="003253A0">
              <w:rPr>
                <w:sz w:val="20"/>
                <w:szCs w:val="20"/>
                <w:lang w:val="fr-FR" w:bidi="ar-SY"/>
              </w:rPr>
              <w:t>,</w:t>
            </w:r>
            <w:r w:rsidRPr="003253A0">
              <w:rPr>
                <w:sz w:val="20"/>
                <w:szCs w:val="20"/>
                <w:lang w:val="fr-FR" w:bidi="ar-SY"/>
              </w:rPr>
              <w:t>0</w:t>
            </w:r>
          </w:p>
        </w:tc>
        <w:tc>
          <w:tcPr>
            <w:tcW w:w="846" w:type="pct"/>
          </w:tcPr>
          <w:p w14:paraId="0DF89738" w14:textId="0BB95942" w:rsidR="008C7CF6" w:rsidRPr="003253A0" w:rsidRDefault="008C7CF6" w:rsidP="00582303">
            <w:pPr>
              <w:jc w:val="right"/>
              <w:rPr>
                <w:sz w:val="20"/>
                <w:szCs w:val="20"/>
                <w:lang w:val="fr-FR" w:bidi="ar-SY"/>
              </w:rPr>
            </w:pPr>
            <w:r w:rsidRPr="003253A0">
              <w:rPr>
                <w:sz w:val="20"/>
                <w:szCs w:val="20"/>
                <w:lang w:val="fr-FR" w:bidi="ar-SY"/>
              </w:rPr>
              <w:t>130</w:t>
            </w:r>
            <w:r w:rsidR="00262D44" w:rsidRPr="003253A0">
              <w:rPr>
                <w:sz w:val="20"/>
                <w:szCs w:val="20"/>
                <w:lang w:val="fr-FR" w:bidi="ar-SY"/>
              </w:rPr>
              <w:t>,</w:t>
            </w:r>
            <w:r w:rsidRPr="003253A0">
              <w:rPr>
                <w:sz w:val="20"/>
                <w:szCs w:val="20"/>
                <w:lang w:val="fr-FR" w:bidi="ar-SY"/>
              </w:rPr>
              <w:t>0</w:t>
            </w:r>
          </w:p>
        </w:tc>
      </w:tr>
      <w:tr w:rsidR="008D72B7" w:rsidRPr="003253A0" w14:paraId="7F761384" w14:textId="77777777" w:rsidTr="003253A0">
        <w:trPr>
          <w:trHeight w:val="253"/>
        </w:trPr>
        <w:tc>
          <w:tcPr>
            <w:tcW w:w="2659" w:type="pct"/>
          </w:tcPr>
          <w:p w14:paraId="3C424FF4" w14:textId="77684316" w:rsidR="008C7CF6" w:rsidRPr="003253A0" w:rsidRDefault="00262D44" w:rsidP="008C7CF6">
            <w:pPr>
              <w:rPr>
                <w:sz w:val="20"/>
                <w:szCs w:val="20"/>
                <w:lang w:val="fr-FR" w:bidi="ar-SY"/>
              </w:rPr>
            </w:pPr>
            <w:r w:rsidRPr="003253A0">
              <w:rPr>
                <w:sz w:val="20"/>
                <w:szCs w:val="20"/>
                <w:lang w:val="fr-FR" w:bidi="ar-SY"/>
              </w:rPr>
              <w:t>Dépenses générales de fonctionnement</w:t>
            </w:r>
          </w:p>
        </w:tc>
        <w:tc>
          <w:tcPr>
            <w:tcW w:w="830" w:type="pct"/>
          </w:tcPr>
          <w:p w14:paraId="5702105E" w14:textId="3CE527BD" w:rsidR="008C7CF6" w:rsidRPr="003253A0" w:rsidRDefault="008C7CF6" w:rsidP="00582303">
            <w:pPr>
              <w:jc w:val="right"/>
              <w:rPr>
                <w:sz w:val="20"/>
                <w:szCs w:val="20"/>
                <w:lang w:val="fr-FR" w:bidi="ar-SY"/>
              </w:rPr>
            </w:pPr>
            <w:r w:rsidRPr="003253A0">
              <w:rPr>
                <w:sz w:val="20"/>
                <w:szCs w:val="20"/>
                <w:lang w:val="fr-FR" w:bidi="ar-SY"/>
              </w:rPr>
              <w:t>726</w:t>
            </w:r>
            <w:r w:rsidR="00262D44" w:rsidRPr="003253A0">
              <w:rPr>
                <w:sz w:val="20"/>
                <w:szCs w:val="20"/>
                <w:lang w:val="fr-FR" w:bidi="ar-SY"/>
              </w:rPr>
              <w:t>,</w:t>
            </w:r>
            <w:r w:rsidRPr="003253A0">
              <w:rPr>
                <w:sz w:val="20"/>
                <w:szCs w:val="20"/>
                <w:lang w:val="fr-FR" w:bidi="ar-SY"/>
              </w:rPr>
              <w:t>6</w:t>
            </w:r>
          </w:p>
        </w:tc>
        <w:tc>
          <w:tcPr>
            <w:tcW w:w="665" w:type="pct"/>
          </w:tcPr>
          <w:p w14:paraId="053ABFFE" w14:textId="2B87845B" w:rsidR="008C7CF6" w:rsidRPr="003253A0" w:rsidRDefault="008C7CF6" w:rsidP="00582303">
            <w:pPr>
              <w:jc w:val="right"/>
              <w:rPr>
                <w:sz w:val="20"/>
                <w:szCs w:val="20"/>
                <w:lang w:val="fr-FR" w:bidi="ar-SY"/>
              </w:rPr>
            </w:pPr>
            <w:r w:rsidRPr="003253A0">
              <w:rPr>
                <w:sz w:val="20"/>
                <w:szCs w:val="20"/>
                <w:lang w:val="fr-FR" w:bidi="ar-SY"/>
              </w:rPr>
              <w:t>726</w:t>
            </w:r>
            <w:r w:rsidR="00262D44" w:rsidRPr="003253A0">
              <w:rPr>
                <w:sz w:val="20"/>
                <w:szCs w:val="20"/>
                <w:lang w:val="fr-FR" w:bidi="ar-SY"/>
              </w:rPr>
              <w:t>,</w:t>
            </w:r>
            <w:r w:rsidRPr="003253A0">
              <w:rPr>
                <w:sz w:val="20"/>
                <w:szCs w:val="20"/>
                <w:lang w:val="fr-FR" w:bidi="ar-SY"/>
              </w:rPr>
              <w:t>6</w:t>
            </w:r>
          </w:p>
        </w:tc>
        <w:tc>
          <w:tcPr>
            <w:tcW w:w="846" w:type="pct"/>
          </w:tcPr>
          <w:p w14:paraId="39E41E95" w14:textId="15DAB2B5" w:rsidR="008C7CF6" w:rsidRPr="003253A0" w:rsidRDefault="008C7CF6" w:rsidP="00582303">
            <w:pPr>
              <w:jc w:val="right"/>
              <w:rPr>
                <w:sz w:val="20"/>
                <w:szCs w:val="20"/>
                <w:lang w:val="fr-FR" w:bidi="ar-SY"/>
              </w:rPr>
            </w:pPr>
            <w:r w:rsidRPr="003253A0">
              <w:rPr>
                <w:sz w:val="20"/>
                <w:szCs w:val="20"/>
                <w:lang w:val="fr-FR" w:bidi="ar-SY"/>
              </w:rPr>
              <w:t>1 453</w:t>
            </w:r>
            <w:r w:rsidR="00262D44" w:rsidRPr="003253A0">
              <w:rPr>
                <w:sz w:val="20"/>
                <w:szCs w:val="20"/>
                <w:lang w:val="fr-FR" w:bidi="ar-SY"/>
              </w:rPr>
              <w:t>,</w:t>
            </w:r>
            <w:r w:rsidRPr="003253A0">
              <w:rPr>
                <w:sz w:val="20"/>
                <w:szCs w:val="20"/>
                <w:lang w:val="fr-FR" w:bidi="ar-SY"/>
              </w:rPr>
              <w:t>2</w:t>
            </w:r>
          </w:p>
        </w:tc>
      </w:tr>
      <w:tr w:rsidR="008D72B7" w:rsidRPr="003253A0" w14:paraId="5AC76A0D" w14:textId="77777777" w:rsidTr="003253A0">
        <w:trPr>
          <w:trHeight w:val="255"/>
        </w:trPr>
        <w:tc>
          <w:tcPr>
            <w:tcW w:w="2659" w:type="pct"/>
          </w:tcPr>
          <w:p w14:paraId="6FD7A38A" w14:textId="501398C6" w:rsidR="008C7CF6" w:rsidRPr="003253A0" w:rsidRDefault="00262D44" w:rsidP="008C7CF6">
            <w:pPr>
              <w:rPr>
                <w:sz w:val="20"/>
                <w:szCs w:val="20"/>
                <w:lang w:val="fr-FR" w:bidi="ar-SY"/>
              </w:rPr>
            </w:pPr>
            <w:r w:rsidRPr="003253A0">
              <w:rPr>
                <w:sz w:val="20"/>
                <w:szCs w:val="20"/>
                <w:lang w:val="fr-FR" w:bidi="ar-SY"/>
              </w:rPr>
              <w:t>Matériel de sensibilisation du public</w:t>
            </w:r>
          </w:p>
        </w:tc>
        <w:tc>
          <w:tcPr>
            <w:tcW w:w="830" w:type="pct"/>
          </w:tcPr>
          <w:p w14:paraId="3EA9D740" w14:textId="4EDC6826" w:rsidR="008C7CF6" w:rsidRPr="003253A0" w:rsidRDefault="008C7CF6" w:rsidP="00582303">
            <w:pPr>
              <w:jc w:val="right"/>
              <w:rPr>
                <w:sz w:val="20"/>
                <w:szCs w:val="20"/>
                <w:lang w:val="fr-FR" w:bidi="ar-SY"/>
              </w:rPr>
            </w:pPr>
            <w:r w:rsidRPr="003253A0">
              <w:rPr>
                <w:sz w:val="20"/>
                <w:szCs w:val="20"/>
                <w:lang w:val="fr-FR" w:bidi="ar-SY"/>
              </w:rPr>
              <w:t>100</w:t>
            </w:r>
            <w:r w:rsidR="00262D44" w:rsidRPr="003253A0">
              <w:rPr>
                <w:sz w:val="20"/>
                <w:szCs w:val="20"/>
                <w:lang w:val="fr-FR" w:bidi="ar-SY"/>
              </w:rPr>
              <w:t>,</w:t>
            </w:r>
            <w:r w:rsidRPr="003253A0">
              <w:rPr>
                <w:sz w:val="20"/>
                <w:szCs w:val="20"/>
                <w:lang w:val="fr-FR" w:bidi="ar-SY"/>
              </w:rPr>
              <w:t>0</w:t>
            </w:r>
          </w:p>
        </w:tc>
        <w:tc>
          <w:tcPr>
            <w:tcW w:w="665" w:type="pct"/>
          </w:tcPr>
          <w:p w14:paraId="14B37E4E" w14:textId="6BB8FC5E" w:rsidR="008C7CF6" w:rsidRPr="003253A0" w:rsidRDefault="008C7CF6" w:rsidP="00582303">
            <w:pPr>
              <w:jc w:val="right"/>
              <w:rPr>
                <w:sz w:val="20"/>
                <w:szCs w:val="20"/>
                <w:lang w:val="fr-FR" w:bidi="ar-SY"/>
              </w:rPr>
            </w:pPr>
            <w:r w:rsidRPr="003253A0">
              <w:rPr>
                <w:sz w:val="20"/>
                <w:szCs w:val="20"/>
                <w:lang w:val="fr-FR" w:bidi="ar-SY"/>
              </w:rPr>
              <w:t>100</w:t>
            </w:r>
            <w:r w:rsidR="00262D44" w:rsidRPr="003253A0">
              <w:rPr>
                <w:sz w:val="20"/>
                <w:szCs w:val="20"/>
                <w:lang w:val="fr-FR" w:bidi="ar-SY"/>
              </w:rPr>
              <w:t>,</w:t>
            </w:r>
            <w:r w:rsidRPr="003253A0">
              <w:rPr>
                <w:sz w:val="20"/>
                <w:szCs w:val="20"/>
                <w:lang w:val="fr-FR" w:bidi="ar-SY"/>
              </w:rPr>
              <w:t>0</w:t>
            </w:r>
          </w:p>
        </w:tc>
        <w:tc>
          <w:tcPr>
            <w:tcW w:w="846" w:type="pct"/>
          </w:tcPr>
          <w:p w14:paraId="450137D3" w14:textId="1FA254EF" w:rsidR="008C7CF6" w:rsidRPr="003253A0" w:rsidRDefault="008C7CF6" w:rsidP="00582303">
            <w:pPr>
              <w:jc w:val="right"/>
              <w:rPr>
                <w:sz w:val="20"/>
                <w:szCs w:val="20"/>
                <w:lang w:val="fr-FR" w:bidi="ar-SY"/>
              </w:rPr>
            </w:pPr>
            <w:r w:rsidRPr="003253A0">
              <w:rPr>
                <w:sz w:val="20"/>
                <w:szCs w:val="20"/>
                <w:lang w:val="fr-FR" w:bidi="ar-SY"/>
              </w:rPr>
              <w:t>200</w:t>
            </w:r>
            <w:r w:rsidR="00262D44" w:rsidRPr="003253A0">
              <w:rPr>
                <w:sz w:val="20"/>
                <w:szCs w:val="20"/>
                <w:lang w:val="fr-FR" w:bidi="ar-SY"/>
              </w:rPr>
              <w:t>,</w:t>
            </w:r>
            <w:r w:rsidRPr="003253A0">
              <w:rPr>
                <w:sz w:val="20"/>
                <w:szCs w:val="20"/>
                <w:lang w:val="fr-FR" w:bidi="ar-SY"/>
              </w:rPr>
              <w:t>0</w:t>
            </w:r>
          </w:p>
        </w:tc>
      </w:tr>
      <w:tr w:rsidR="008D72B7" w:rsidRPr="003253A0" w14:paraId="3C217A71" w14:textId="77777777" w:rsidTr="003253A0">
        <w:trPr>
          <w:trHeight w:val="60"/>
        </w:trPr>
        <w:tc>
          <w:tcPr>
            <w:tcW w:w="2659" w:type="pct"/>
          </w:tcPr>
          <w:p w14:paraId="2F3C4ABE" w14:textId="60B63117" w:rsidR="008C7CF6" w:rsidRPr="003253A0" w:rsidRDefault="00262D44" w:rsidP="008C7CF6">
            <w:pPr>
              <w:rPr>
                <w:sz w:val="20"/>
                <w:szCs w:val="20"/>
                <w:lang w:val="fr-FR" w:bidi="ar-SY"/>
              </w:rPr>
            </w:pPr>
            <w:r w:rsidRPr="003253A0">
              <w:rPr>
                <w:sz w:val="20"/>
                <w:szCs w:val="20"/>
                <w:lang w:val="fr-FR" w:bidi="ar-SY"/>
              </w:rPr>
              <w:t>Traduction des sites Web du Centre d’échange</w:t>
            </w:r>
          </w:p>
        </w:tc>
        <w:tc>
          <w:tcPr>
            <w:tcW w:w="830" w:type="pct"/>
          </w:tcPr>
          <w:p w14:paraId="370C2295" w14:textId="0A7D5B80" w:rsidR="008C7CF6" w:rsidRPr="003253A0" w:rsidRDefault="008C7CF6" w:rsidP="00582303">
            <w:pPr>
              <w:jc w:val="right"/>
              <w:rPr>
                <w:sz w:val="20"/>
                <w:szCs w:val="20"/>
                <w:lang w:val="fr-FR" w:bidi="ar-SY"/>
              </w:rPr>
            </w:pPr>
            <w:r w:rsidRPr="003253A0">
              <w:rPr>
                <w:sz w:val="20"/>
                <w:szCs w:val="20"/>
                <w:lang w:val="fr-FR" w:bidi="ar-SY"/>
              </w:rPr>
              <w:t>65</w:t>
            </w:r>
            <w:r w:rsidR="00262D44" w:rsidRPr="003253A0">
              <w:rPr>
                <w:sz w:val="20"/>
                <w:szCs w:val="20"/>
                <w:lang w:val="fr-FR" w:bidi="ar-SY"/>
              </w:rPr>
              <w:t>,</w:t>
            </w:r>
            <w:r w:rsidRPr="003253A0">
              <w:rPr>
                <w:sz w:val="20"/>
                <w:szCs w:val="20"/>
                <w:lang w:val="fr-FR" w:bidi="ar-SY"/>
              </w:rPr>
              <w:t>0</w:t>
            </w:r>
          </w:p>
        </w:tc>
        <w:tc>
          <w:tcPr>
            <w:tcW w:w="665" w:type="pct"/>
          </w:tcPr>
          <w:p w14:paraId="67977383" w14:textId="600D49E0" w:rsidR="008C7CF6" w:rsidRPr="003253A0" w:rsidRDefault="008C7CF6" w:rsidP="00582303">
            <w:pPr>
              <w:jc w:val="right"/>
              <w:rPr>
                <w:sz w:val="20"/>
                <w:szCs w:val="20"/>
                <w:lang w:val="fr-FR" w:bidi="ar-SY"/>
              </w:rPr>
            </w:pPr>
            <w:r w:rsidRPr="003253A0">
              <w:rPr>
                <w:sz w:val="20"/>
                <w:szCs w:val="20"/>
                <w:lang w:val="fr-FR" w:bidi="ar-SY"/>
              </w:rPr>
              <w:t>65</w:t>
            </w:r>
            <w:r w:rsidR="00262D44" w:rsidRPr="003253A0">
              <w:rPr>
                <w:sz w:val="20"/>
                <w:szCs w:val="20"/>
                <w:lang w:val="fr-FR" w:bidi="ar-SY"/>
              </w:rPr>
              <w:t>,</w:t>
            </w:r>
            <w:r w:rsidRPr="003253A0">
              <w:rPr>
                <w:sz w:val="20"/>
                <w:szCs w:val="20"/>
                <w:lang w:val="fr-FR" w:bidi="ar-SY"/>
              </w:rPr>
              <w:t>0</w:t>
            </w:r>
          </w:p>
        </w:tc>
        <w:tc>
          <w:tcPr>
            <w:tcW w:w="846" w:type="pct"/>
          </w:tcPr>
          <w:p w14:paraId="38374A13" w14:textId="1409A766" w:rsidR="008C7CF6" w:rsidRPr="003253A0" w:rsidRDefault="008C7CF6" w:rsidP="00582303">
            <w:pPr>
              <w:jc w:val="right"/>
              <w:rPr>
                <w:sz w:val="20"/>
                <w:szCs w:val="20"/>
                <w:lang w:val="fr-FR" w:bidi="ar-SY"/>
              </w:rPr>
            </w:pPr>
            <w:r w:rsidRPr="003253A0">
              <w:rPr>
                <w:sz w:val="20"/>
                <w:szCs w:val="20"/>
                <w:lang w:val="fr-FR" w:bidi="ar-SY"/>
              </w:rPr>
              <w:t>130</w:t>
            </w:r>
            <w:r w:rsidR="00262D44" w:rsidRPr="003253A0">
              <w:rPr>
                <w:sz w:val="20"/>
                <w:szCs w:val="20"/>
                <w:lang w:val="fr-FR" w:bidi="ar-SY"/>
              </w:rPr>
              <w:t>,</w:t>
            </w:r>
            <w:r w:rsidRPr="003253A0">
              <w:rPr>
                <w:sz w:val="20"/>
                <w:szCs w:val="20"/>
                <w:lang w:val="fr-FR" w:bidi="ar-SY"/>
              </w:rPr>
              <w:t>0</w:t>
            </w:r>
          </w:p>
        </w:tc>
      </w:tr>
      <w:tr w:rsidR="008D72B7" w:rsidRPr="003253A0" w14:paraId="21294887" w14:textId="77777777" w:rsidTr="003253A0">
        <w:trPr>
          <w:trHeight w:val="213"/>
        </w:trPr>
        <w:tc>
          <w:tcPr>
            <w:tcW w:w="2659" w:type="pct"/>
          </w:tcPr>
          <w:p w14:paraId="6B631C16" w14:textId="3E1DC7C2" w:rsidR="008C7CF6" w:rsidRPr="003253A0" w:rsidRDefault="00751F5D" w:rsidP="00582303">
            <w:pPr>
              <w:tabs>
                <w:tab w:val="clear" w:pos="1134"/>
              </w:tabs>
              <w:ind w:left="284"/>
              <w:rPr>
                <w:b/>
                <w:bCs/>
                <w:sz w:val="20"/>
                <w:szCs w:val="20"/>
                <w:lang w:val="fr-FR" w:bidi="ar-SY"/>
              </w:rPr>
            </w:pPr>
            <w:r w:rsidRPr="003253A0">
              <w:rPr>
                <w:b/>
                <w:bCs/>
                <w:sz w:val="20"/>
                <w:szCs w:val="20"/>
                <w:lang w:val="fr-FR" w:bidi="ar-SY"/>
              </w:rPr>
              <w:t>Total partiel</w:t>
            </w:r>
          </w:p>
        </w:tc>
        <w:tc>
          <w:tcPr>
            <w:tcW w:w="830" w:type="pct"/>
          </w:tcPr>
          <w:p w14:paraId="54396C6E" w14:textId="12140CC0" w:rsidR="008C7CF6" w:rsidRPr="003253A0" w:rsidRDefault="008C7CF6" w:rsidP="00582303">
            <w:pPr>
              <w:jc w:val="right"/>
              <w:rPr>
                <w:b/>
                <w:bCs/>
                <w:sz w:val="20"/>
                <w:szCs w:val="20"/>
                <w:lang w:val="fr-FR" w:bidi="ar-SY"/>
              </w:rPr>
            </w:pPr>
            <w:r w:rsidRPr="003253A0">
              <w:rPr>
                <w:b/>
                <w:bCs/>
                <w:sz w:val="20"/>
                <w:szCs w:val="20"/>
                <w:lang w:val="fr-FR" w:bidi="ar-SY"/>
              </w:rPr>
              <w:t>19 161</w:t>
            </w:r>
            <w:r w:rsidR="00262D44" w:rsidRPr="003253A0">
              <w:rPr>
                <w:b/>
                <w:bCs/>
                <w:sz w:val="20"/>
                <w:szCs w:val="20"/>
                <w:lang w:val="fr-FR" w:bidi="ar-SY"/>
              </w:rPr>
              <w:t>,</w:t>
            </w:r>
            <w:r w:rsidRPr="003253A0">
              <w:rPr>
                <w:b/>
                <w:bCs/>
                <w:sz w:val="20"/>
                <w:szCs w:val="20"/>
                <w:lang w:val="fr-FR" w:bidi="ar-SY"/>
              </w:rPr>
              <w:t>3</w:t>
            </w:r>
          </w:p>
        </w:tc>
        <w:tc>
          <w:tcPr>
            <w:tcW w:w="665" w:type="pct"/>
          </w:tcPr>
          <w:p w14:paraId="3A019C4A" w14:textId="171FBC6E" w:rsidR="008C7CF6" w:rsidRPr="003253A0" w:rsidRDefault="008C7CF6" w:rsidP="00582303">
            <w:pPr>
              <w:jc w:val="right"/>
              <w:rPr>
                <w:b/>
                <w:bCs/>
                <w:sz w:val="20"/>
                <w:szCs w:val="20"/>
                <w:lang w:val="fr-FR" w:bidi="ar-SY"/>
              </w:rPr>
            </w:pPr>
            <w:r w:rsidRPr="003253A0">
              <w:rPr>
                <w:b/>
                <w:bCs/>
                <w:sz w:val="20"/>
                <w:szCs w:val="20"/>
                <w:lang w:val="fr-FR" w:bidi="ar-SY"/>
              </w:rPr>
              <w:t>20 008</w:t>
            </w:r>
            <w:r w:rsidR="00262D44" w:rsidRPr="003253A0">
              <w:rPr>
                <w:b/>
                <w:bCs/>
                <w:sz w:val="20"/>
                <w:szCs w:val="20"/>
                <w:lang w:val="fr-FR" w:bidi="ar-SY"/>
              </w:rPr>
              <w:t>,</w:t>
            </w:r>
            <w:r w:rsidRPr="003253A0">
              <w:rPr>
                <w:b/>
                <w:bCs/>
                <w:sz w:val="20"/>
                <w:szCs w:val="20"/>
                <w:lang w:val="fr-FR" w:bidi="ar-SY"/>
              </w:rPr>
              <w:t>6</w:t>
            </w:r>
          </w:p>
        </w:tc>
        <w:tc>
          <w:tcPr>
            <w:tcW w:w="846" w:type="pct"/>
          </w:tcPr>
          <w:p w14:paraId="6AD5A509" w14:textId="2550F360" w:rsidR="008C7CF6" w:rsidRPr="003253A0" w:rsidRDefault="008C7CF6" w:rsidP="00582303">
            <w:pPr>
              <w:pStyle w:val="Paragraphedeliste"/>
              <w:jc w:val="right"/>
              <w:rPr>
                <w:b/>
                <w:bCs/>
                <w:sz w:val="20"/>
                <w:szCs w:val="20"/>
                <w:lang w:val="fr-FR" w:bidi="ar-SY"/>
              </w:rPr>
            </w:pPr>
            <w:r w:rsidRPr="003253A0">
              <w:rPr>
                <w:b/>
                <w:bCs/>
                <w:sz w:val="20"/>
                <w:szCs w:val="20"/>
                <w:lang w:val="fr-FR" w:bidi="ar-SY"/>
              </w:rPr>
              <w:t>39 1</w:t>
            </w:r>
            <w:r w:rsidR="00990239" w:rsidRPr="003253A0">
              <w:rPr>
                <w:b/>
                <w:bCs/>
                <w:sz w:val="20"/>
                <w:szCs w:val="20"/>
                <w:lang w:val="fr-FR" w:bidi="ar-SY"/>
              </w:rPr>
              <w:t>69</w:t>
            </w:r>
            <w:r w:rsidR="00262D44" w:rsidRPr="003253A0">
              <w:rPr>
                <w:b/>
                <w:bCs/>
                <w:sz w:val="20"/>
                <w:szCs w:val="20"/>
                <w:lang w:val="fr-FR" w:bidi="ar-SY"/>
              </w:rPr>
              <w:t>,</w:t>
            </w:r>
            <w:r w:rsidR="00990239" w:rsidRPr="003253A0">
              <w:rPr>
                <w:b/>
                <w:bCs/>
                <w:sz w:val="20"/>
                <w:szCs w:val="20"/>
                <w:lang w:val="fr-FR" w:bidi="ar-SY"/>
              </w:rPr>
              <w:t>9</w:t>
            </w:r>
          </w:p>
        </w:tc>
      </w:tr>
      <w:tr w:rsidR="008D72B7" w:rsidRPr="003253A0" w14:paraId="66C2CED3" w14:textId="77777777" w:rsidTr="003253A0">
        <w:trPr>
          <w:trHeight w:val="213"/>
        </w:trPr>
        <w:tc>
          <w:tcPr>
            <w:tcW w:w="2659" w:type="pct"/>
          </w:tcPr>
          <w:p w14:paraId="47D01911" w14:textId="3038F465" w:rsidR="008C7CF6" w:rsidRPr="003253A0" w:rsidRDefault="00262D44" w:rsidP="00582303">
            <w:pPr>
              <w:tabs>
                <w:tab w:val="clear" w:pos="1134"/>
              </w:tabs>
              <w:jc w:val="left"/>
              <w:rPr>
                <w:sz w:val="20"/>
                <w:szCs w:val="20"/>
                <w:lang w:val="fr-FR" w:bidi="ar-SY"/>
              </w:rPr>
            </w:pPr>
            <w:r w:rsidRPr="003253A0">
              <w:rPr>
                <w:sz w:val="20"/>
                <w:szCs w:val="20"/>
                <w:lang w:val="fr-FR" w:bidi="ar-SY"/>
              </w:rPr>
              <w:t>Dépenses d’appui au programme</w:t>
            </w:r>
            <w:r w:rsidR="00EB2C16" w:rsidRPr="003253A0">
              <w:rPr>
                <w:sz w:val="20"/>
                <w:szCs w:val="20"/>
                <w:lang w:val="fr-FR" w:bidi="ar-SY"/>
              </w:rPr>
              <w:t xml:space="preserve"> </w:t>
            </w:r>
            <w:r w:rsidR="008C7CF6" w:rsidRPr="003253A0">
              <w:rPr>
                <w:sz w:val="20"/>
                <w:szCs w:val="20"/>
                <w:lang w:val="fr-FR" w:bidi="ar-SY"/>
              </w:rPr>
              <w:t>(13</w:t>
            </w:r>
            <w:r w:rsidRPr="003253A0">
              <w:rPr>
                <w:sz w:val="20"/>
                <w:szCs w:val="20"/>
                <w:lang w:val="fr-FR" w:bidi="ar-SY"/>
              </w:rPr>
              <w:t> %</w:t>
            </w:r>
            <w:r w:rsidR="008C7CF6" w:rsidRPr="003253A0">
              <w:rPr>
                <w:sz w:val="20"/>
                <w:szCs w:val="20"/>
                <w:lang w:val="fr-FR" w:bidi="ar-SY"/>
              </w:rPr>
              <w:t>)</w:t>
            </w:r>
          </w:p>
        </w:tc>
        <w:tc>
          <w:tcPr>
            <w:tcW w:w="830" w:type="pct"/>
          </w:tcPr>
          <w:p w14:paraId="155E7998" w14:textId="5A586742" w:rsidR="008C7CF6" w:rsidRPr="003253A0" w:rsidRDefault="008C7CF6" w:rsidP="00582303">
            <w:pPr>
              <w:jc w:val="right"/>
              <w:rPr>
                <w:sz w:val="20"/>
                <w:szCs w:val="20"/>
                <w:lang w:val="fr-FR" w:bidi="ar-SY"/>
              </w:rPr>
            </w:pPr>
            <w:r w:rsidRPr="003253A0">
              <w:rPr>
                <w:sz w:val="20"/>
                <w:szCs w:val="20"/>
                <w:lang w:val="fr-FR" w:bidi="ar-SY"/>
              </w:rPr>
              <w:t>2 491</w:t>
            </w:r>
            <w:r w:rsidR="00262D44" w:rsidRPr="003253A0">
              <w:rPr>
                <w:sz w:val="20"/>
                <w:szCs w:val="20"/>
                <w:lang w:val="fr-FR" w:bidi="ar-SY"/>
              </w:rPr>
              <w:t>,</w:t>
            </w:r>
            <w:r w:rsidRPr="003253A0">
              <w:rPr>
                <w:sz w:val="20"/>
                <w:szCs w:val="20"/>
                <w:lang w:val="fr-FR" w:bidi="ar-SY"/>
              </w:rPr>
              <w:t>0</w:t>
            </w:r>
          </w:p>
        </w:tc>
        <w:tc>
          <w:tcPr>
            <w:tcW w:w="665" w:type="pct"/>
          </w:tcPr>
          <w:p w14:paraId="646B7C95" w14:textId="5F18E9C9" w:rsidR="008C7CF6" w:rsidRPr="003253A0" w:rsidRDefault="008C7CF6" w:rsidP="00582303">
            <w:pPr>
              <w:jc w:val="right"/>
              <w:rPr>
                <w:sz w:val="20"/>
                <w:szCs w:val="20"/>
                <w:lang w:val="fr-FR" w:bidi="ar-SY"/>
              </w:rPr>
            </w:pPr>
            <w:r w:rsidRPr="003253A0">
              <w:rPr>
                <w:sz w:val="20"/>
                <w:szCs w:val="20"/>
                <w:lang w:val="fr-FR" w:bidi="ar-SY"/>
              </w:rPr>
              <w:t>2 601</w:t>
            </w:r>
            <w:r w:rsidR="00262D44" w:rsidRPr="003253A0">
              <w:rPr>
                <w:sz w:val="20"/>
                <w:szCs w:val="20"/>
                <w:lang w:val="fr-FR" w:bidi="ar-SY"/>
              </w:rPr>
              <w:t>,</w:t>
            </w:r>
            <w:r w:rsidRPr="003253A0">
              <w:rPr>
                <w:sz w:val="20"/>
                <w:szCs w:val="20"/>
                <w:lang w:val="fr-FR" w:bidi="ar-SY"/>
              </w:rPr>
              <w:t>1</w:t>
            </w:r>
          </w:p>
        </w:tc>
        <w:tc>
          <w:tcPr>
            <w:tcW w:w="846" w:type="pct"/>
          </w:tcPr>
          <w:p w14:paraId="0A973B18" w14:textId="42F6B285" w:rsidR="008C7CF6" w:rsidRPr="003253A0" w:rsidRDefault="008C7CF6" w:rsidP="00582303">
            <w:pPr>
              <w:jc w:val="right"/>
              <w:rPr>
                <w:sz w:val="20"/>
                <w:szCs w:val="20"/>
                <w:lang w:val="fr-FR" w:bidi="ar-SY"/>
              </w:rPr>
            </w:pPr>
            <w:r w:rsidRPr="003253A0">
              <w:rPr>
                <w:sz w:val="20"/>
                <w:szCs w:val="20"/>
                <w:lang w:val="fr-FR" w:bidi="ar-SY"/>
              </w:rPr>
              <w:t>5 092</w:t>
            </w:r>
            <w:r w:rsidR="00262D44" w:rsidRPr="003253A0">
              <w:rPr>
                <w:sz w:val="20"/>
                <w:szCs w:val="20"/>
                <w:lang w:val="fr-FR" w:bidi="ar-SY"/>
              </w:rPr>
              <w:t>,</w:t>
            </w:r>
            <w:r w:rsidRPr="003253A0">
              <w:rPr>
                <w:sz w:val="20"/>
                <w:szCs w:val="20"/>
                <w:lang w:val="fr-FR" w:bidi="ar-SY"/>
              </w:rPr>
              <w:t>1</w:t>
            </w:r>
          </w:p>
        </w:tc>
      </w:tr>
      <w:tr w:rsidR="008D72B7" w:rsidRPr="003253A0" w14:paraId="07C073DC" w14:textId="77777777" w:rsidTr="003253A0">
        <w:trPr>
          <w:trHeight w:val="213"/>
        </w:trPr>
        <w:tc>
          <w:tcPr>
            <w:tcW w:w="2659" w:type="pct"/>
          </w:tcPr>
          <w:p w14:paraId="5A855CF4" w14:textId="489F36D2" w:rsidR="008C7CF6" w:rsidRPr="003253A0" w:rsidRDefault="00751F5D" w:rsidP="00582303">
            <w:pPr>
              <w:tabs>
                <w:tab w:val="clear" w:pos="567"/>
                <w:tab w:val="clear" w:pos="1134"/>
              </w:tabs>
              <w:ind w:left="284"/>
              <w:rPr>
                <w:b/>
                <w:bCs/>
                <w:sz w:val="20"/>
                <w:szCs w:val="20"/>
                <w:lang w:val="fr-FR" w:bidi="ar-SY"/>
              </w:rPr>
            </w:pPr>
            <w:r w:rsidRPr="003253A0">
              <w:rPr>
                <w:b/>
                <w:bCs/>
                <w:sz w:val="20"/>
                <w:szCs w:val="20"/>
                <w:lang w:val="fr-FR" w:bidi="ar-SY"/>
              </w:rPr>
              <w:t>Total partiel</w:t>
            </w:r>
          </w:p>
        </w:tc>
        <w:tc>
          <w:tcPr>
            <w:tcW w:w="830" w:type="pct"/>
          </w:tcPr>
          <w:p w14:paraId="494BD07C" w14:textId="58C6E32F" w:rsidR="008C7CF6" w:rsidRPr="003253A0" w:rsidRDefault="008C7CF6" w:rsidP="00582303">
            <w:pPr>
              <w:jc w:val="right"/>
              <w:rPr>
                <w:b/>
                <w:bCs/>
                <w:sz w:val="20"/>
                <w:szCs w:val="20"/>
                <w:lang w:val="fr-FR" w:bidi="ar-SY"/>
              </w:rPr>
            </w:pPr>
            <w:r w:rsidRPr="003253A0">
              <w:rPr>
                <w:b/>
                <w:bCs/>
                <w:sz w:val="20"/>
                <w:szCs w:val="20"/>
                <w:lang w:val="fr-FR" w:bidi="ar-SY"/>
              </w:rPr>
              <w:t>21 652</w:t>
            </w:r>
            <w:r w:rsidR="00262D44" w:rsidRPr="003253A0">
              <w:rPr>
                <w:b/>
                <w:bCs/>
                <w:sz w:val="20"/>
                <w:szCs w:val="20"/>
                <w:lang w:val="fr-FR" w:bidi="ar-SY"/>
              </w:rPr>
              <w:t>,</w:t>
            </w:r>
            <w:r w:rsidRPr="003253A0">
              <w:rPr>
                <w:b/>
                <w:bCs/>
                <w:sz w:val="20"/>
                <w:szCs w:val="20"/>
                <w:lang w:val="fr-FR" w:bidi="ar-SY"/>
              </w:rPr>
              <w:t>3</w:t>
            </w:r>
          </w:p>
        </w:tc>
        <w:tc>
          <w:tcPr>
            <w:tcW w:w="665" w:type="pct"/>
          </w:tcPr>
          <w:p w14:paraId="7C8A08B3" w14:textId="4B3D7A79" w:rsidR="008C7CF6" w:rsidRPr="003253A0" w:rsidRDefault="008C7CF6" w:rsidP="00582303">
            <w:pPr>
              <w:jc w:val="right"/>
              <w:rPr>
                <w:b/>
                <w:bCs/>
                <w:sz w:val="20"/>
                <w:szCs w:val="20"/>
                <w:lang w:val="fr-FR" w:bidi="ar-SY"/>
              </w:rPr>
            </w:pPr>
            <w:r w:rsidRPr="003253A0">
              <w:rPr>
                <w:b/>
                <w:bCs/>
                <w:sz w:val="20"/>
                <w:szCs w:val="20"/>
                <w:lang w:val="fr-FR" w:bidi="ar-SY"/>
              </w:rPr>
              <w:t>22 609</w:t>
            </w:r>
            <w:r w:rsidR="00262D44" w:rsidRPr="003253A0">
              <w:rPr>
                <w:b/>
                <w:bCs/>
                <w:sz w:val="20"/>
                <w:szCs w:val="20"/>
                <w:lang w:val="fr-FR" w:bidi="ar-SY"/>
              </w:rPr>
              <w:t>,</w:t>
            </w:r>
            <w:r w:rsidRPr="003253A0">
              <w:rPr>
                <w:b/>
                <w:bCs/>
                <w:sz w:val="20"/>
                <w:szCs w:val="20"/>
                <w:lang w:val="fr-FR" w:bidi="ar-SY"/>
              </w:rPr>
              <w:t>8</w:t>
            </w:r>
          </w:p>
        </w:tc>
        <w:tc>
          <w:tcPr>
            <w:tcW w:w="846" w:type="pct"/>
          </w:tcPr>
          <w:p w14:paraId="567CAB32" w14:textId="0CB48963" w:rsidR="008C7CF6" w:rsidRPr="003253A0" w:rsidRDefault="008C7CF6" w:rsidP="00582303">
            <w:pPr>
              <w:pStyle w:val="Paragraphedeliste"/>
              <w:jc w:val="right"/>
              <w:rPr>
                <w:b/>
                <w:bCs/>
                <w:sz w:val="20"/>
                <w:szCs w:val="20"/>
                <w:lang w:val="fr-FR" w:bidi="ar-SY"/>
              </w:rPr>
            </w:pPr>
            <w:r w:rsidRPr="003253A0">
              <w:rPr>
                <w:b/>
                <w:bCs/>
                <w:sz w:val="20"/>
                <w:szCs w:val="20"/>
                <w:lang w:val="fr-FR" w:bidi="ar-SY"/>
              </w:rPr>
              <w:t>44 262</w:t>
            </w:r>
            <w:r w:rsidR="00262D44" w:rsidRPr="003253A0">
              <w:rPr>
                <w:b/>
                <w:bCs/>
                <w:sz w:val="20"/>
                <w:szCs w:val="20"/>
                <w:lang w:val="fr-FR" w:bidi="ar-SY"/>
              </w:rPr>
              <w:t>,</w:t>
            </w:r>
            <w:r w:rsidR="006C4655" w:rsidRPr="003253A0">
              <w:rPr>
                <w:b/>
                <w:bCs/>
                <w:sz w:val="20"/>
                <w:szCs w:val="20"/>
                <w:lang w:val="fr-FR" w:bidi="ar-SY"/>
              </w:rPr>
              <w:t>1</w:t>
            </w:r>
          </w:p>
        </w:tc>
      </w:tr>
      <w:tr w:rsidR="008D72B7" w:rsidRPr="003253A0" w14:paraId="131C4CE7" w14:textId="77777777" w:rsidTr="003253A0">
        <w:trPr>
          <w:trHeight w:val="213"/>
        </w:trPr>
        <w:tc>
          <w:tcPr>
            <w:tcW w:w="2659" w:type="pct"/>
          </w:tcPr>
          <w:p w14:paraId="7D297877" w14:textId="3FF2BC76" w:rsidR="008C7CF6" w:rsidRPr="003253A0" w:rsidRDefault="00262D44" w:rsidP="00582303">
            <w:pPr>
              <w:tabs>
                <w:tab w:val="clear" w:pos="1134"/>
              </w:tabs>
              <w:jc w:val="left"/>
              <w:rPr>
                <w:sz w:val="20"/>
                <w:szCs w:val="20"/>
                <w:lang w:val="fr-FR" w:bidi="ar-SY"/>
              </w:rPr>
            </w:pPr>
            <w:r w:rsidRPr="003253A0">
              <w:rPr>
                <w:sz w:val="20"/>
                <w:szCs w:val="20"/>
                <w:lang w:val="fr-FR" w:bidi="ar-SY"/>
              </w:rPr>
              <w:t>Réserve de fonds de roulement</w:t>
            </w:r>
          </w:p>
        </w:tc>
        <w:tc>
          <w:tcPr>
            <w:tcW w:w="830" w:type="pct"/>
          </w:tcPr>
          <w:p w14:paraId="3AFF5A40" w14:textId="03A11F01" w:rsidR="008C7CF6" w:rsidRPr="003253A0" w:rsidRDefault="008C7CF6" w:rsidP="00582303">
            <w:pPr>
              <w:jc w:val="right"/>
              <w:rPr>
                <w:sz w:val="20"/>
                <w:szCs w:val="20"/>
                <w:lang w:val="fr-FR" w:bidi="ar-SY"/>
              </w:rPr>
            </w:pPr>
            <w:r w:rsidRPr="003253A0">
              <w:rPr>
                <w:sz w:val="20"/>
                <w:szCs w:val="20"/>
                <w:lang w:val="fr-FR" w:bidi="ar-SY"/>
              </w:rPr>
              <w:t>29</w:t>
            </w:r>
            <w:r w:rsidR="00262D44" w:rsidRPr="003253A0">
              <w:rPr>
                <w:sz w:val="20"/>
                <w:szCs w:val="20"/>
                <w:lang w:val="fr-FR" w:bidi="ar-SY"/>
              </w:rPr>
              <w:t>,</w:t>
            </w:r>
            <w:r w:rsidR="009F7877" w:rsidRPr="003253A0">
              <w:rPr>
                <w:sz w:val="20"/>
                <w:szCs w:val="20"/>
                <w:lang w:val="fr-FR" w:bidi="ar-SY"/>
              </w:rPr>
              <w:t>8</w:t>
            </w:r>
          </w:p>
        </w:tc>
        <w:tc>
          <w:tcPr>
            <w:tcW w:w="665" w:type="pct"/>
          </w:tcPr>
          <w:p w14:paraId="71362E2D" w14:textId="44A8FED5" w:rsidR="008C7CF6" w:rsidRPr="003253A0" w:rsidRDefault="008C7CF6" w:rsidP="00582303">
            <w:pPr>
              <w:jc w:val="right"/>
              <w:rPr>
                <w:sz w:val="20"/>
                <w:szCs w:val="20"/>
                <w:lang w:val="fr-FR" w:bidi="ar-SY"/>
              </w:rPr>
            </w:pPr>
            <w:r w:rsidRPr="003253A0">
              <w:rPr>
                <w:sz w:val="20"/>
                <w:szCs w:val="20"/>
                <w:lang w:val="fr-FR" w:bidi="ar-SY"/>
              </w:rPr>
              <w:t>143</w:t>
            </w:r>
            <w:r w:rsidR="00262D44" w:rsidRPr="003253A0">
              <w:rPr>
                <w:sz w:val="20"/>
                <w:szCs w:val="20"/>
                <w:lang w:val="fr-FR" w:bidi="ar-SY"/>
              </w:rPr>
              <w:t>,</w:t>
            </w:r>
            <w:r w:rsidR="009F7877" w:rsidRPr="003253A0">
              <w:rPr>
                <w:sz w:val="20"/>
                <w:szCs w:val="20"/>
                <w:lang w:val="fr-FR" w:bidi="ar-SY"/>
              </w:rPr>
              <w:t>6</w:t>
            </w:r>
          </w:p>
        </w:tc>
        <w:tc>
          <w:tcPr>
            <w:tcW w:w="846" w:type="pct"/>
          </w:tcPr>
          <w:p w14:paraId="469667E3" w14:textId="4AF7D59B" w:rsidR="008C7CF6" w:rsidRPr="003253A0" w:rsidRDefault="008C7CF6" w:rsidP="00582303">
            <w:pPr>
              <w:jc w:val="right"/>
              <w:rPr>
                <w:sz w:val="20"/>
                <w:szCs w:val="20"/>
                <w:lang w:val="fr-FR" w:bidi="ar-SY"/>
              </w:rPr>
            </w:pPr>
            <w:r w:rsidRPr="003253A0">
              <w:rPr>
                <w:sz w:val="20"/>
                <w:szCs w:val="20"/>
                <w:lang w:val="fr-FR" w:bidi="ar-SY"/>
              </w:rPr>
              <w:t>173</w:t>
            </w:r>
            <w:r w:rsidR="00262D44" w:rsidRPr="003253A0">
              <w:rPr>
                <w:sz w:val="20"/>
                <w:szCs w:val="20"/>
                <w:lang w:val="fr-FR" w:bidi="ar-SY"/>
              </w:rPr>
              <w:t>,</w:t>
            </w:r>
            <w:r w:rsidR="009F7877" w:rsidRPr="003253A0">
              <w:rPr>
                <w:sz w:val="20"/>
                <w:szCs w:val="20"/>
                <w:lang w:val="fr-FR" w:bidi="ar-SY"/>
              </w:rPr>
              <w:t>4</w:t>
            </w:r>
          </w:p>
        </w:tc>
      </w:tr>
      <w:tr w:rsidR="008D72B7" w:rsidRPr="003253A0" w14:paraId="0891A5BB" w14:textId="77777777" w:rsidTr="003253A0">
        <w:trPr>
          <w:trHeight w:val="213"/>
        </w:trPr>
        <w:tc>
          <w:tcPr>
            <w:tcW w:w="2659" w:type="pct"/>
          </w:tcPr>
          <w:p w14:paraId="3FBF00CD" w14:textId="1859B88D" w:rsidR="008C7CF6" w:rsidRPr="003253A0" w:rsidRDefault="00E3792E" w:rsidP="00582303">
            <w:pPr>
              <w:ind w:left="284"/>
              <w:rPr>
                <w:b/>
                <w:bCs/>
                <w:sz w:val="20"/>
                <w:szCs w:val="20"/>
                <w:lang w:val="fr-FR" w:bidi="ar-SY"/>
              </w:rPr>
            </w:pPr>
            <w:r w:rsidRPr="003253A0">
              <w:rPr>
                <w:b/>
                <w:bCs/>
                <w:sz w:val="20"/>
                <w:szCs w:val="20"/>
                <w:lang w:val="fr-FR" w:bidi="ar-SY"/>
              </w:rPr>
              <w:t>T</w:t>
            </w:r>
            <w:r w:rsidR="008C7CF6" w:rsidRPr="003253A0">
              <w:rPr>
                <w:b/>
                <w:bCs/>
                <w:sz w:val="20"/>
                <w:szCs w:val="20"/>
                <w:lang w:val="fr-FR" w:bidi="ar-SY"/>
              </w:rPr>
              <w:t>otal</w:t>
            </w:r>
          </w:p>
        </w:tc>
        <w:tc>
          <w:tcPr>
            <w:tcW w:w="830" w:type="pct"/>
          </w:tcPr>
          <w:p w14:paraId="1D8E8BDF" w14:textId="1253409A" w:rsidR="008C7CF6" w:rsidRPr="003253A0" w:rsidRDefault="008C7CF6" w:rsidP="00582303">
            <w:pPr>
              <w:jc w:val="right"/>
              <w:rPr>
                <w:b/>
                <w:bCs/>
                <w:sz w:val="20"/>
                <w:szCs w:val="20"/>
                <w:lang w:val="fr-FR" w:bidi="ar-SY"/>
              </w:rPr>
            </w:pPr>
            <w:r w:rsidRPr="003253A0">
              <w:rPr>
                <w:b/>
                <w:bCs/>
                <w:sz w:val="20"/>
                <w:szCs w:val="20"/>
                <w:lang w:val="fr-FR" w:bidi="ar-SY"/>
              </w:rPr>
              <w:t>21 682</w:t>
            </w:r>
            <w:r w:rsidR="00262D44" w:rsidRPr="003253A0">
              <w:rPr>
                <w:b/>
                <w:bCs/>
                <w:sz w:val="20"/>
                <w:szCs w:val="20"/>
                <w:lang w:val="fr-FR" w:bidi="ar-SY"/>
              </w:rPr>
              <w:t>,</w:t>
            </w:r>
            <w:r w:rsidR="007C232B" w:rsidRPr="003253A0">
              <w:rPr>
                <w:b/>
                <w:bCs/>
                <w:sz w:val="20"/>
                <w:szCs w:val="20"/>
                <w:lang w:val="fr-FR" w:bidi="ar-SY"/>
              </w:rPr>
              <w:t>1</w:t>
            </w:r>
          </w:p>
        </w:tc>
        <w:tc>
          <w:tcPr>
            <w:tcW w:w="665" w:type="pct"/>
          </w:tcPr>
          <w:p w14:paraId="0098A3DC" w14:textId="5EEA9B6C" w:rsidR="008C7CF6" w:rsidRPr="003253A0" w:rsidRDefault="008C7CF6" w:rsidP="00582303">
            <w:pPr>
              <w:jc w:val="right"/>
              <w:rPr>
                <w:b/>
                <w:bCs/>
                <w:sz w:val="20"/>
                <w:szCs w:val="20"/>
                <w:lang w:val="fr-FR" w:bidi="ar-SY"/>
              </w:rPr>
            </w:pPr>
            <w:r w:rsidRPr="003253A0">
              <w:rPr>
                <w:b/>
                <w:bCs/>
                <w:sz w:val="20"/>
                <w:szCs w:val="20"/>
                <w:lang w:val="fr-FR" w:bidi="ar-SY"/>
              </w:rPr>
              <w:t>22 753</w:t>
            </w:r>
            <w:r w:rsidR="00262D44" w:rsidRPr="003253A0">
              <w:rPr>
                <w:b/>
                <w:bCs/>
                <w:sz w:val="20"/>
                <w:szCs w:val="20"/>
                <w:lang w:val="fr-FR" w:bidi="ar-SY"/>
              </w:rPr>
              <w:t>,</w:t>
            </w:r>
            <w:r w:rsidRPr="003253A0">
              <w:rPr>
                <w:b/>
                <w:bCs/>
                <w:sz w:val="20"/>
                <w:szCs w:val="20"/>
                <w:lang w:val="fr-FR" w:bidi="ar-SY"/>
              </w:rPr>
              <w:t>4</w:t>
            </w:r>
          </w:p>
        </w:tc>
        <w:tc>
          <w:tcPr>
            <w:tcW w:w="846" w:type="pct"/>
          </w:tcPr>
          <w:p w14:paraId="7AD2EB16" w14:textId="28A22861" w:rsidR="008C7CF6" w:rsidRPr="003253A0" w:rsidRDefault="008C7CF6" w:rsidP="00582303">
            <w:pPr>
              <w:jc w:val="right"/>
              <w:rPr>
                <w:b/>
                <w:bCs/>
                <w:sz w:val="20"/>
                <w:szCs w:val="20"/>
                <w:lang w:val="fr-FR" w:bidi="ar-SY"/>
              </w:rPr>
            </w:pPr>
            <w:r w:rsidRPr="003253A0">
              <w:rPr>
                <w:b/>
                <w:bCs/>
                <w:sz w:val="20"/>
                <w:szCs w:val="20"/>
                <w:lang w:val="fr-FR" w:bidi="ar-SY"/>
              </w:rPr>
              <w:t>44</w:t>
            </w:r>
            <w:r w:rsidR="00712295" w:rsidRPr="003253A0">
              <w:rPr>
                <w:b/>
                <w:bCs/>
                <w:sz w:val="20"/>
                <w:szCs w:val="20"/>
                <w:lang w:val="fr-FR" w:bidi="ar-SY"/>
              </w:rPr>
              <w:t> </w:t>
            </w:r>
            <w:r w:rsidRPr="003253A0">
              <w:rPr>
                <w:b/>
                <w:bCs/>
                <w:sz w:val="20"/>
                <w:szCs w:val="20"/>
                <w:lang w:val="fr-FR" w:bidi="ar-SY"/>
              </w:rPr>
              <w:t>435</w:t>
            </w:r>
            <w:r w:rsidR="00262D44" w:rsidRPr="003253A0">
              <w:rPr>
                <w:b/>
                <w:bCs/>
                <w:sz w:val="20"/>
                <w:szCs w:val="20"/>
                <w:lang w:val="fr-FR" w:bidi="ar-SY"/>
              </w:rPr>
              <w:t>,</w:t>
            </w:r>
            <w:r w:rsidR="007C232B" w:rsidRPr="003253A0">
              <w:rPr>
                <w:b/>
                <w:bCs/>
                <w:sz w:val="20"/>
                <w:szCs w:val="20"/>
                <w:lang w:val="fr-FR" w:bidi="ar-SY"/>
              </w:rPr>
              <w:t>5</w:t>
            </w:r>
          </w:p>
        </w:tc>
      </w:tr>
      <w:tr w:rsidR="008D72B7" w:rsidRPr="003253A0" w14:paraId="2B84A4F3" w14:textId="77777777" w:rsidTr="003253A0">
        <w:trPr>
          <w:trHeight w:val="213"/>
        </w:trPr>
        <w:tc>
          <w:tcPr>
            <w:tcW w:w="2659" w:type="pct"/>
          </w:tcPr>
          <w:p w14:paraId="568FA3D1" w14:textId="01627737" w:rsidR="008C7CF6" w:rsidRPr="003253A0" w:rsidRDefault="00262D44" w:rsidP="00582303">
            <w:pPr>
              <w:jc w:val="left"/>
              <w:rPr>
                <w:sz w:val="20"/>
                <w:szCs w:val="20"/>
                <w:lang w:val="fr-FR" w:bidi="ar-SY"/>
              </w:rPr>
            </w:pPr>
            <w:r w:rsidRPr="003253A0">
              <w:rPr>
                <w:sz w:val="20"/>
                <w:szCs w:val="20"/>
                <w:lang w:val="fr-FR" w:bidi="ar-SY"/>
              </w:rPr>
              <w:t>Part de la Convention sans le budget intégré</w:t>
            </w:r>
            <w:r w:rsidR="008C7CF6" w:rsidRPr="003253A0">
              <w:rPr>
                <w:sz w:val="20"/>
                <w:szCs w:val="20"/>
                <w:lang w:val="fr-FR" w:bidi="ar-SY"/>
              </w:rPr>
              <w:t xml:space="preserve"> (</w:t>
            </w:r>
            <w:r w:rsidR="001C1CB7" w:rsidRPr="003253A0">
              <w:rPr>
                <w:sz w:val="20"/>
                <w:szCs w:val="20"/>
                <w:lang w:val="fr-FR" w:bidi="ar-SY"/>
              </w:rPr>
              <w:t>72</w:t>
            </w:r>
            <w:r w:rsidRPr="003253A0">
              <w:rPr>
                <w:sz w:val="20"/>
                <w:szCs w:val="20"/>
                <w:lang w:val="fr-FR" w:bidi="ar-SY"/>
              </w:rPr>
              <w:t> %</w:t>
            </w:r>
            <w:r w:rsidR="008C7CF6" w:rsidRPr="003253A0">
              <w:rPr>
                <w:sz w:val="20"/>
                <w:szCs w:val="20"/>
                <w:lang w:val="fr-FR" w:bidi="ar-SY"/>
              </w:rPr>
              <w:t>)</w:t>
            </w:r>
          </w:p>
        </w:tc>
        <w:tc>
          <w:tcPr>
            <w:tcW w:w="830" w:type="pct"/>
          </w:tcPr>
          <w:p w14:paraId="5F8C5B32" w14:textId="7988C737" w:rsidR="008C7CF6" w:rsidRPr="003253A0" w:rsidRDefault="001C1CB7" w:rsidP="00582303">
            <w:pPr>
              <w:jc w:val="right"/>
              <w:rPr>
                <w:sz w:val="20"/>
                <w:szCs w:val="20"/>
                <w:lang w:val="fr-FR" w:bidi="ar-SY"/>
              </w:rPr>
            </w:pPr>
            <w:r w:rsidRPr="003253A0">
              <w:rPr>
                <w:sz w:val="20"/>
                <w:szCs w:val="20"/>
                <w:lang w:val="fr-FR" w:bidi="ar-SY"/>
              </w:rPr>
              <w:t xml:space="preserve">15 </w:t>
            </w:r>
            <w:r w:rsidR="0076136B" w:rsidRPr="003253A0">
              <w:rPr>
                <w:sz w:val="20"/>
                <w:szCs w:val="20"/>
                <w:lang w:val="fr-FR" w:bidi="ar-SY"/>
              </w:rPr>
              <w:t>611</w:t>
            </w:r>
            <w:r w:rsidR="00262D44" w:rsidRPr="003253A0">
              <w:rPr>
                <w:sz w:val="20"/>
                <w:szCs w:val="20"/>
                <w:lang w:val="fr-FR" w:bidi="ar-SY"/>
              </w:rPr>
              <w:t>,</w:t>
            </w:r>
            <w:r w:rsidR="0076136B" w:rsidRPr="003253A0">
              <w:rPr>
                <w:sz w:val="20"/>
                <w:szCs w:val="20"/>
                <w:lang w:val="fr-FR" w:bidi="ar-SY"/>
              </w:rPr>
              <w:t>1</w:t>
            </w:r>
          </w:p>
        </w:tc>
        <w:tc>
          <w:tcPr>
            <w:tcW w:w="665" w:type="pct"/>
          </w:tcPr>
          <w:p w14:paraId="269377F0" w14:textId="7571CE4E" w:rsidR="008C7CF6" w:rsidRPr="003253A0" w:rsidRDefault="001C1CB7" w:rsidP="00582303">
            <w:pPr>
              <w:jc w:val="right"/>
              <w:rPr>
                <w:sz w:val="20"/>
                <w:szCs w:val="20"/>
                <w:lang w:val="fr-FR" w:bidi="ar-SY"/>
              </w:rPr>
            </w:pPr>
            <w:r w:rsidRPr="003253A0">
              <w:rPr>
                <w:sz w:val="20"/>
                <w:szCs w:val="20"/>
                <w:lang w:val="fr-FR" w:bidi="ar-SY"/>
              </w:rPr>
              <w:t xml:space="preserve">16 </w:t>
            </w:r>
            <w:r w:rsidR="0076136B" w:rsidRPr="003253A0">
              <w:rPr>
                <w:sz w:val="20"/>
                <w:szCs w:val="20"/>
                <w:lang w:val="fr-FR" w:bidi="ar-SY"/>
              </w:rPr>
              <w:t>382</w:t>
            </w:r>
            <w:r w:rsidR="00262D44" w:rsidRPr="003253A0">
              <w:rPr>
                <w:sz w:val="20"/>
                <w:szCs w:val="20"/>
                <w:lang w:val="fr-FR" w:bidi="ar-SY"/>
              </w:rPr>
              <w:t>,</w:t>
            </w:r>
            <w:r w:rsidR="0076136B" w:rsidRPr="003253A0">
              <w:rPr>
                <w:sz w:val="20"/>
                <w:szCs w:val="20"/>
                <w:lang w:val="fr-FR" w:bidi="ar-SY"/>
              </w:rPr>
              <w:t>4</w:t>
            </w:r>
          </w:p>
        </w:tc>
        <w:tc>
          <w:tcPr>
            <w:tcW w:w="846" w:type="pct"/>
          </w:tcPr>
          <w:p w14:paraId="026D05D0" w14:textId="0B5F45CF" w:rsidR="008C7CF6" w:rsidRPr="003253A0" w:rsidRDefault="001C1CB7" w:rsidP="00582303">
            <w:pPr>
              <w:jc w:val="right"/>
              <w:rPr>
                <w:sz w:val="20"/>
                <w:szCs w:val="20"/>
                <w:lang w:val="fr-FR" w:bidi="ar-SY"/>
              </w:rPr>
            </w:pPr>
            <w:r w:rsidRPr="003253A0">
              <w:rPr>
                <w:sz w:val="20"/>
                <w:szCs w:val="20"/>
                <w:lang w:val="fr-FR" w:bidi="ar-SY"/>
              </w:rPr>
              <w:t xml:space="preserve">31 </w:t>
            </w:r>
            <w:r w:rsidR="0076136B" w:rsidRPr="003253A0">
              <w:rPr>
                <w:sz w:val="20"/>
                <w:szCs w:val="20"/>
                <w:lang w:val="fr-FR" w:bidi="ar-SY"/>
              </w:rPr>
              <w:t>993</w:t>
            </w:r>
            <w:r w:rsidR="00262D44" w:rsidRPr="003253A0">
              <w:rPr>
                <w:sz w:val="20"/>
                <w:szCs w:val="20"/>
                <w:lang w:val="fr-FR" w:bidi="ar-SY"/>
              </w:rPr>
              <w:t>,</w:t>
            </w:r>
            <w:r w:rsidR="0076136B" w:rsidRPr="003253A0">
              <w:rPr>
                <w:sz w:val="20"/>
                <w:szCs w:val="20"/>
                <w:lang w:val="fr-FR" w:bidi="ar-SY"/>
              </w:rPr>
              <w:t>5</w:t>
            </w:r>
          </w:p>
        </w:tc>
      </w:tr>
      <w:tr w:rsidR="008D72B7" w:rsidRPr="003253A0" w14:paraId="62ABC65B" w14:textId="77777777" w:rsidTr="003253A0">
        <w:trPr>
          <w:trHeight w:val="213"/>
        </w:trPr>
        <w:tc>
          <w:tcPr>
            <w:tcW w:w="2659" w:type="pct"/>
          </w:tcPr>
          <w:p w14:paraId="1AB8D473" w14:textId="4DCA4927" w:rsidR="008C7CF6" w:rsidRPr="003253A0" w:rsidRDefault="0002204C" w:rsidP="00582303">
            <w:pPr>
              <w:jc w:val="left"/>
              <w:rPr>
                <w:sz w:val="20"/>
                <w:szCs w:val="20"/>
                <w:lang w:val="fr-FR" w:bidi="ar-SY"/>
              </w:rPr>
            </w:pPr>
            <w:r w:rsidRPr="003253A0">
              <w:rPr>
                <w:sz w:val="20"/>
                <w:szCs w:val="20"/>
                <w:lang w:val="fr-FR" w:bidi="ar-SY"/>
              </w:rPr>
              <w:t>C</w:t>
            </w:r>
            <w:r w:rsidR="008C7CF6" w:rsidRPr="003253A0">
              <w:rPr>
                <w:sz w:val="20"/>
                <w:szCs w:val="20"/>
                <w:lang w:val="fr-FR" w:bidi="ar-SY"/>
              </w:rPr>
              <w:t xml:space="preserve">ontributions </w:t>
            </w:r>
            <w:r w:rsidR="00262D44" w:rsidRPr="003253A0">
              <w:rPr>
                <w:sz w:val="20"/>
                <w:szCs w:val="20"/>
                <w:lang w:val="fr-FR" w:bidi="ar-SY"/>
              </w:rPr>
              <w:t>du pays hôte</w:t>
            </w:r>
          </w:p>
        </w:tc>
        <w:tc>
          <w:tcPr>
            <w:tcW w:w="830" w:type="pct"/>
          </w:tcPr>
          <w:p w14:paraId="3FBB05E9" w14:textId="39723CDA" w:rsidR="008C7CF6" w:rsidRPr="003253A0" w:rsidRDefault="008C7CF6" w:rsidP="00582303">
            <w:pPr>
              <w:jc w:val="right"/>
              <w:rPr>
                <w:sz w:val="20"/>
                <w:szCs w:val="20"/>
                <w:lang w:val="fr-FR" w:bidi="ar-SY"/>
              </w:rPr>
            </w:pPr>
            <w:r w:rsidRPr="003253A0">
              <w:rPr>
                <w:sz w:val="20"/>
                <w:szCs w:val="20"/>
                <w:lang w:val="fr-FR" w:bidi="ar-SY"/>
              </w:rPr>
              <w:t>(</w:t>
            </w:r>
            <w:r w:rsidR="001C1CB7" w:rsidRPr="003253A0">
              <w:rPr>
                <w:sz w:val="20"/>
                <w:szCs w:val="20"/>
                <w:lang w:val="fr-FR" w:bidi="ar-SY"/>
              </w:rPr>
              <w:t>1 189</w:t>
            </w:r>
            <w:r w:rsidR="00262D44" w:rsidRPr="003253A0">
              <w:rPr>
                <w:sz w:val="20"/>
                <w:szCs w:val="20"/>
                <w:lang w:val="fr-FR" w:bidi="ar-SY"/>
              </w:rPr>
              <w:t>,</w:t>
            </w:r>
            <w:r w:rsidR="001C1CB7" w:rsidRPr="003253A0">
              <w:rPr>
                <w:sz w:val="20"/>
                <w:szCs w:val="20"/>
                <w:lang w:val="fr-FR" w:bidi="ar-SY"/>
              </w:rPr>
              <w:t>9</w:t>
            </w:r>
            <w:r w:rsidRPr="003253A0">
              <w:rPr>
                <w:sz w:val="20"/>
                <w:szCs w:val="20"/>
                <w:lang w:val="fr-FR" w:bidi="ar-SY"/>
              </w:rPr>
              <w:t>)</w:t>
            </w:r>
          </w:p>
        </w:tc>
        <w:tc>
          <w:tcPr>
            <w:tcW w:w="665" w:type="pct"/>
          </w:tcPr>
          <w:p w14:paraId="04DE9616" w14:textId="7092009B" w:rsidR="008C7CF6" w:rsidRPr="003253A0" w:rsidRDefault="008C7CF6" w:rsidP="00582303">
            <w:pPr>
              <w:jc w:val="right"/>
              <w:rPr>
                <w:sz w:val="20"/>
                <w:szCs w:val="20"/>
                <w:lang w:val="fr-FR" w:bidi="ar-SY"/>
              </w:rPr>
            </w:pPr>
            <w:r w:rsidRPr="003253A0">
              <w:rPr>
                <w:sz w:val="20"/>
                <w:szCs w:val="20"/>
                <w:lang w:val="fr-FR" w:bidi="ar-SY"/>
              </w:rPr>
              <w:t>(</w:t>
            </w:r>
            <w:r w:rsidR="001C1CB7" w:rsidRPr="003253A0">
              <w:rPr>
                <w:sz w:val="20"/>
                <w:szCs w:val="20"/>
                <w:lang w:val="fr-FR" w:bidi="ar-SY"/>
              </w:rPr>
              <w:t>1 201</w:t>
            </w:r>
            <w:r w:rsidR="00262D44" w:rsidRPr="003253A0">
              <w:rPr>
                <w:sz w:val="20"/>
                <w:szCs w:val="20"/>
                <w:lang w:val="fr-FR" w:bidi="ar-SY"/>
              </w:rPr>
              <w:t>,</w:t>
            </w:r>
            <w:r w:rsidR="001C1CB7" w:rsidRPr="003253A0">
              <w:rPr>
                <w:sz w:val="20"/>
                <w:szCs w:val="20"/>
                <w:lang w:val="fr-FR" w:bidi="ar-SY"/>
              </w:rPr>
              <w:t>4</w:t>
            </w:r>
            <w:r w:rsidRPr="003253A0">
              <w:rPr>
                <w:sz w:val="20"/>
                <w:szCs w:val="20"/>
                <w:lang w:val="fr-FR" w:bidi="ar-SY"/>
              </w:rPr>
              <w:t>)</w:t>
            </w:r>
          </w:p>
        </w:tc>
        <w:tc>
          <w:tcPr>
            <w:tcW w:w="846" w:type="pct"/>
          </w:tcPr>
          <w:p w14:paraId="6A3086AF" w14:textId="7FDBBB22" w:rsidR="008C7CF6" w:rsidRPr="003253A0" w:rsidRDefault="008C7CF6" w:rsidP="00582303">
            <w:pPr>
              <w:jc w:val="right"/>
              <w:rPr>
                <w:sz w:val="20"/>
                <w:szCs w:val="20"/>
                <w:lang w:val="fr-FR" w:bidi="ar-SY"/>
              </w:rPr>
            </w:pPr>
            <w:r w:rsidRPr="003253A0">
              <w:rPr>
                <w:sz w:val="20"/>
                <w:szCs w:val="20"/>
                <w:lang w:val="fr-FR" w:bidi="ar-SY"/>
              </w:rPr>
              <w:t>(</w:t>
            </w:r>
            <w:r w:rsidR="001C1CB7" w:rsidRPr="003253A0">
              <w:rPr>
                <w:sz w:val="20"/>
                <w:szCs w:val="20"/>
                <w:lang w:val="fr-FR" w:bidi="ar-SY"/>
              </w:rPr>
              <w:t>2 391</w:t>
            </w:r>
            <w:r w:rsidR="00262D44" w:rsidRPr="003253A0">
              <w:rPr>
                <w:sz w:val="20"/>
                <w:szCs w:val="20"/>
                <w:lang w:val="fr-FR" w:bidi="ar-SY"/>
              </w:rPr>
              <w:t>,</w:t>
            </w:r>
            <w:r w:rsidR="001C1CB7" w:rsidRPr="003253A0">
              <w:rPr>
                <w:sz w:val="20"/>
                <w:szCs w:val="20"/>
                <w:lang w:val="fr-FR" w:bidi="ar-SY"/>
              </w:rPr>
              <w:t>3)</w:t>
            </w:r>
          </w:p>
        </w:tc>
      </w:tr>
      <w:tr w:rsidR="008D72B7" w:rsidRPr="003253A0" w14:paraId="511785DA" w14:textId="77777777" w:rsidTr="003253A0">
        <w:trPr>
          <w:trHeight w:val="213"/>
        </w:trPr>
        <w:tc>
          <w:tcPr>
            <w:tcW w:w="2659" w:type="pct"/>
          </w:tcPr>
          <w:p w14:paraId="72E588A4" w14:textId="669F8BE0" w:rsidR="008C7CF6" w:rsidRPr="003253A0" w:rsidRDefault="00262D44" w:rsidP="00582303">
            <w:pPr>
              <w:jc w:val="left"/>
              <w:rPr>
                <w:sz w:val="20"/>
                <w:szCs w:val="20"/>
                <w:lang w:val="fr-FR" w:bidi="ar-SY"/>
              </w:rPr>
            </w:pPr>
            <w:r w:rsidRPr="003253A0">
              <w:rPr>
                <w:sz w:val="20"/>
                <w:szCs w:val="20"/>
                <w:lang w:val="fr-FR" w:bidi="ar-SY"/>
              </w:rPr>
              <w:t>Utilisation des réserves</w:t>
            </w:r>
          </w:p>
        </w:tc>
        <w:tc>
          <w:tcPr>
            <w:tcW w:w="830" w:type="pct"/>
          </w:tcPr>
          <w:p w14:paraId="6AB7F7E2" w14:textId="4107CDD9" w:rsidR="008C7CF6" w:rsidRPr="003253A0" w:rsidRDefault="00747782" w:rsidP="00582303">
            <w:pPr>
              <w:jc w:val="right"/>
              <w:rPr>
                <w:sz w:val="20"/>
                <w:szCs w:val="20"/>
                <w:lang w:val="fr-FR" w:bidi="ar-SY"/>
              </w:rPr>
            </w:pPr>
            <w:r w:rsidRPr="003253A0">
              <w:rPr>
                <w:sz w:val="20"/>
                <w:szCs w:val="20"/>
                <w:lang w:val="fr-FR" w:bidi="ar-SY"/>
              </w:rPr>
              <w:t>(342</w:t>
            </w:r>
            <w:r w:rsidR="00262D44" w:rsidRPr="003253A0">
              <w:rPr>
                <w:sz w:val="20"/>
                <w:szCs w:val="20"/>
                <w:lang w:val="fr-FR" w:bidi="ar-SY"/>
              </w:rPr>
              <w:t>,</w:t>
            </w:r>
            <w:r w:rsidRPr="003253A0">
              <w:rPr>
                <w:sz w:val="20"/>
                <w:szCs w:val="20"/>
                <w:lang w:val="fr-FR" w:bidi="ar-SY"/>
              </w:rPr>
              <w:t>5)</w:t>
            </w:r>
          </w:p>
        </w:tc>
        <w:tc>
          <w:tcPr>
            <w:tcW w:w="665" w:type="pct"/>
          </w:tcPr>
          <w:p w14:paraId="2EAD8021" w14:textId="7C2B4659" w:rsidR="008C7CF6" w:rsidRPr="003253A0" w:rsidRDefault="00747782" w:rsidP="00582303">
            <w:pPr>
              <w:jc w:val="right"/>
              <w:rPr>
                <w:sz w:val="20"/>
                <w:szCs w:val="20"/>
                <w:lang w:val="fr-FR" w:bidi="ar-SY"/>
              </w:rPr>
            </w:pPr>
            <w:r w:rsidRPr="003253A0">
              <w:rPr>
                <w:sz w:val="20"/>
                <w:szCs w:val="20"/>
                <w:lang w:val="fr-FR" w:bidi="ar-SY"/>
              </w:rPr>
              <w:t>(</w:t>
            </w:r>
            <w:r w:rsidR="0076136B" w:rsidRPr="003253A0">
              <w:rPr>
                <w:sz w:val="20"/>
                <w:szCs w:val="20"/>
                <w:lang w:val="fr-FR" w:bidi="ar-SY"/>
              </w:rPr>
              <w:t>139</w:t>
            </w:r>
            <w:r w:rsidR="00262D44" w:rsidRPr="003253A0">
              <w:rPr>
                <w:sz w:val="20"/>
                <w:szCs w:val="20"/>
                <w:lang w:val="fr-FR" w:bidi="ar-SY"/>
              </w:rPr>
              <w:t>,</w:t>
            </w:r>
            <w:r w:rsidR="0076136B" w:rsidRPr="003253A0">
              <w:rPr>
                <w:sz w:val="20"/>
                <w:szCs w:val="20"/>
                <w:lang w:val="fr-FR" w:bidi="ar-SY"/>
              </w:rPr>
              <w:t>1</w:t>
            </w:r>
            <w:r w:rsidRPr="003253A0">
              <w:rPr>
                <w:sz w:val="20"/>
                <w:szCs w:val="20"/>
                <w:lang w:val="fr-FR" w:bidi="ar-SY"/>
              </w:rPr>
              <w:t>)</w:t>
            </w:r>
          </w:p>
        </w:tc>
        <w:tc>
          <w:tcPr>
            <w:tcW w:w="846" w:type="pct"/>
          </w:tcPr>
          <w:p w14:paraId="51194276" w14:textId="0926D609" w:rsidR="008C7CF6" w:rsidRPr="003253A0" w:rsidRDefault="00747782" w:rsidP="00582303">
            <w:pPr>
              <w:jc w:val="right"/>
              <w:rPr>
                <w:sz w:val="20"/>
                <w:szCs w:val="20"/>
                <w:lang w:val="fr-FR" w:bidi="ar-SY"/>
              </w:rPr>
            </w:pPr>
            <w:r w:rsidRPr="003253A0">
              <w:rPr>
                <w:sz w:val="20"/>
                <w:szCs w:val="20"/>
                <w:lang w:val="fr-FR" w:bidi="ar-SY"/>
              </w:rPr>
              <w:t>(</w:t>
            </w:r>
            <w:r w:rsidR="0076136B" w:rsidRPr="003253A0">
              <w:rPr>
                <w:sz w:val="20"/>
                <w:szCs w:val="20"/>
                <w:lang w:val="fr-FR" w:bidi="ar-SY"/>
              </w:rPr>
              <w:t>481</w:t>
            </w:r>
            <w:r w:rsidR="00262D44" w:rsidRPr="003253A0">
              <w:rPr>
                <w:sz w:val="20"/>
                <w:szCs w:val="20"/>
                <w:lang w:val="fr-FR" w:bidi="ar-SY"/>
              </w:rPr>
              <w:t>,</w:t>
            </w:r>
            <w:r w:rsidR="0076136B" w:rsidRPr="003253A0">
              <w:rPr>
                <w:sz w:val="20"/>
                <w:szCs w:val="20"/>
                <w:lang w:val="fr-FR" w:bidi="ar-SY"/>
              </w:rPr>
              <w:t>6</w:t>
            </w:r>
            <w:r w:rsidRPr="003253A0">
              <w:rPr>
                <w:sz w:val="20"/>
                <w:szCs w:val="20"/>
                <w:lang w:val="fr-FR" w:bidi="ar-SY"/>
              </w:rPr>
              <w:t>)</w:t>
            </w:r>
          </w:p>
        </w:tc>
      </w:tr>
      <w:tr w:rsidR="008D72B7" w:rsidRPr="003253A0" w14:paraId="60E9F3A2" w14:textId="77777777" w:rsidTr="003253A0">
        <w:trPr>
          <w:trHeight w:val="213"/>
        </w:trPr>
        <w:tc>
          <w:tcPr>
            <w:tcW w:w="2659" w:type="pct"/>
          </w:tcPr>
          <w:p w14:paraId="0E76E5FF" w14:textId="7325D982" w:rsidR="008C7CF6" w:rsidRPr="003253A0" w:rsidRDefault="00262D44" w:rsidP="00582303">
            <w:pPr>
              <w:ind w:left="284"/>
              <w:jc w:val="left"/>
              <w:rPr>
                <w:b/>
                <w:bCs/>
                <w:sz w:val="20"/>
                <w:szCs w:val="20"/>
                <w:lang w:val="fr-FR" w:bidi="ar-SY"/>
              </w:rPr>
            </w:pPr>
            <w:r w:rsidRPr="003253A0">
              <w:rPr>
                <w:b/>
                <w:bCs/>
                <w:sz w:val="20"/>
                <w:szCs w:val="20"/>
                <w:lang w:val="fr-FR" w:bidi="ar-SY"/>
              </w:rPr>
              <w:t>Total net à répartir entre les Parties</w:t>
            </w:r>
          </w:p>
        </w:tc>
        <w:tc>
          <w:tcPr>
            <w:tcW w:w="830" w:type="pct"/>
          </w:tcPr>
          <w:p w14:paraId="02622D66" w14:textId="0DA9CEFB" w:rsidR="008C7CF6" w:rsidRPr="003253A0" w:rsidRDefault="00747782" w:rsidP="00582303">
            <w:pPr>
              <w:jc w:val="right"/>
              <w:rPr>
                <w:b/>
                <w:bCs/>
                <w:sz w:val="20"/>
                <w:szCs w:val="20"/>
                <w:lang w:val="fr-FR" w:bidi="ar-SY"/>
              </w:rPr>
            </w:pPr>
            <w:r w:rsidRPr="003253A0">
              <w:rPr>
                <w:b/>
                <w:bCs/>
                <w:sz w:val="20"/>
                <w:szCs w:val="20"/>
                <w:lang w:val="fr-FR" w:bidi="ar-SY"/>
              </w:rPr>
              <w:t xml:space="preserve">14 </w:t>
            </w:r>
            <w:r w:rsidR="0076136B" w:rsidRPr="003253A0">
              <w:rPr>
                <w:b/>
                <w:bCs/>
                <w:sz w:val="20"/>
                <w:szCs w:val="20"/>
                <w:lang w:val="fr-FR" w:bidi="ar-SY"/>
              </w:rPr>
              <w:t>078</w:t>
            </w:r>
            <w:r w:rsidR="00262D44" w:rsidRPr="003253A0">
              <w:rPr>
                <w:b/>
                <w:bCs/>
                <w:sz w:val="20"/>
                <w:szCs w:val="20"/>
                <w:lang w:val="fr-FR" w:bidi="ar-SY"/>
              </w:rPr>
              <w:t>,</w:t>
            </w:r>
            <w:r w:rsidR="0076136B" w:rsidRPr="003253A0">
              <w:rPr>
                <w:b/>
                <w:bCs/>
                <w:sz w:val="20"/>
                <w:szCs w:val="20"/>
                <w:lang w:val="fr-FR" w:bidi="ar-SY"/>
              </w:rPr>
              <w:t>7</w:t>
            </w:r>
          </w:p>
        </w:tc>
        <w:tc>
          <w:tcPr>
            <w:tcW w:w="665" w:type="pct"/>
          </w:tcPr>
          <w:p w14:paraId="0B7459A8" w14:textId="3DCFD1E7" w:rsidR="008C7CF6" w:rsidRPr="003253A0" w:rsidRDefault="0076136B" w:rsidP="00582303">
            <w:pPr>
              <w:jc w:val="right"/>
              <w:rPr>
                <w:b/>
                <w:bCs/>
                <w:sz w:val="20"/>
                <w:szCs w:val="20"/>
                <w:lang w:val="fr-FR" w:bidi="ar-SY"/>
              </w:rPr>
            </w:pPr>
            <w:r w:rsidRPr="003253A0">
              <w:rPr>
                <w:b/>
                <w:bCs/>
                <w:sz w:val="20"/>
                <w:szCs w:val="20"/>
                <w:lang w:val="fr-FR" w:bidi="ar-SY"/>
              </w:rPr>
              <w:t>15 042</w:t>
            </w:r>
            <w:r w:rsidR="00262D44" w:rsidRPr="003253A0">
              <w:rPr>
                <w:b/>
                <w:bCs/>
                <w:sz w:val="20"/>
                <w:szCs w:val="20"/>
                <w:lang w:val="fr-FR" w:bidi="ar-SY"/>
              </w:rPr>
              <w:t>,</w:t>
            </w:r>
            <w:r w:rsidRPr="003253A0">
              <w:rPr>
                <w:b/>
                <w:bCs/>
                <w:sz w:val="20"/>
                <w:szCs w:val="20"/>
                <w:lang w:val="fr-FR" w:bidi="ar-SY"/>
              </w:rPr>
              <w:t>0</w:t>
            </w:r>
          </w:p>
        </w:tc>
        <w:tc>
          <w:tcPr>
            <w:tcW w:w="846" w:type="pct"/>
          </w:tcPr>
          <w:p w14:paraId="09A02CF9" w14:textId="6BA9D6B9" w:rsidR="008C7CF6" w:rsidRPr="003253A0" w:rsidRDefault="0076136B" w:rsidP="00582303">
            <w:pPr>
              <w:jc w:val="right"/>
              <w:rPr>
                <w:b/>
                <w:bCs/>
                <w:sz w:val="20"/>
                <w:szCs w:val="20"/>
                <w:lang w:val="fr-FR" w:bidi="ar-SY"/>
              </w:rPr>
            </w:pPr>
            <w:r w:rsidRPr="003253A0">
              <w:rPr>
                <w:b/>
                <w:bCs/>
                <w:sz w:val="20"/>
                <w:szCs w:val="20"/>
                <w:lang w:val="fr-FR" w:bidi="ar-SY"/>
              </w:rPr>
              <w:t>29 120</w:t>
            </w:r>
            <w:r w:rsidR="00262D44" w:rsidRPr="003253A0">
              <w:rPr>
                <w:b/>
                <w:bCs/>
                <w:sz w:val="20"/>
                <w:szCs w:val="20"/>
                <w:lang w:val="fr-FR" w:bidi="ar-SY"/>
              </w:rPr>
              <w:t>,</w:t>
            </w:r>
            <w:r w:rsidRPr="003253A0">
              <w:rPr>
                <w:b/>
                <w:bCs/>
                <w:sz w:val="20"/>
                <w:szCs w:val="20"/>
                <w:lang w:val="fr-FR" w:bidi="ar-SY"/>
              </w:rPr>
              <w:t>6</w:t>
            </w:r>
          </w:p>
        </w:tc>
      </w:tr>
    </w:tbl>
    <w:bookmarkEnd w:id="6"/>
    <w:p w14:paraId="7D95986B" w14:textId="226D1EAF" w:rsidR="003253A0" w:rsidRDefault="002A4A1D" w:rsidP="003253A0">
      <w:pPr>
        <w:tabs>
          <w:tab w:val="left" w:pos="810"/>
        </w:tabs>
        <w:spacing w:before="120"/>
        <w:ind w:left="567" w:firstLine="284"/>
        <w:rPr>
          <w:sz w:val="18"/>
          <w:szCs w:val="18"/>
          <w:lang w:val="fr-FR" w:bidi="ar-SY"/>
        </w:rPr>
      </w:pPr>
      <w:proofErr w:type="spellStart"/>
      <w:r w:rsidRPr="00BA52C1">
        <w:rPr>
          <w:i/>
          <w:iCs/>
          <w:sz w:val="18"/>
          <w:szCs w:val="18"/>
          <w:vertAlign w:val="superscript"/>
          <w:lang w:val="fr-FR" w:bidi="ar-SY"/>
        </w:rPr>
        <w:t>a</w:t>
      </w:r>
      <w:proofErr w:type="spellEnd"/>
      <w:r w:rsidRPr="00BA52C1">
        <w:rPr>
          <w:i/>
          <w:iCs/>
          <w:sz w:val="18"/>
          <w:szCs w:val="18"/>
          <w:vertAlign w:val="superscript"/>
          <w:lang w:val="fr-FR" w:bidi="ar-SY"/>
        </w:rPr>
        <w:tab/>
      </w:r>
      <w:r w:rsidR="004824A3">
        <w:rPr>
          <w:sz w:val="18"/>
          <w:szCs w:val="18"/>
          <w:lang w:val="fr-FR" w:bidi="ar-SY"/>
        </w:rPr>
        <w:t>Première réunion de l’Organe subsidiaire chargé de l’article</w:t>
      </w:r>
      <w:r w:rsidR="00AA1A10">
        <w:rPr>
          <w:sz w:val="18"/>
          <w:szCs w:val="18"/>
          <w:lang w:val="fr-FR" w:bidi="ar-SY"/>
        </w:rPr>
        <w:t> </w:t>
      </w:r>
      <w:r w:rsidR="004824A3">
        <w:rPr>
          <w:sz w:val="18"/>
          <w:szCs w:val="18"/>
          <w:lang w:val="fr-FR" w:bidi="ar-SY"/>
        </w:rPr>
        <w:t>8 j) et de ses dispositions connexes de la Convention sur la diversité biologique concernant les peuples autochtones et communautés locales ; vingt-septième et vingt-huitième réunions de l’Organe subsidiaire chargé de fournir des avis scientifiques, techniques et technologiques ; sixième réunion de l’Organe subsidiaire chargé de l’application ; et tenues simultanément, dix-septième réunion de la Conférence des Parties à la Convention, douzième réunion de la Conférence des Parties siégeant en tant que réunion des Parties au Protocole de Cartagena et sixième réunion de la Conférence des Parties siégeant en tant que réunion des Parties au Protocole de Nagoya.</w:t>
      </w:r>
    </w:p>
    <w:p w14:paraId="4F3ED8F8" w14:textId="77777777" w:rsidR="003253A0" w:rsidRDefault="003253A0">
      <w:pPr>
        <w:tabs>
          <w:tab w:val="clear" w:pos="567"/>
          <w:tab w:val="clear" w:pos="1134"/>
          <w:tab w:val="clear" w:pos="1701"/>
          <w:tab w:val="clear" w:pos="2268"/>
        </w:tabs>
        <w:spacing w:after="160" w:line="259" w:lineRule="auto"/>
        <w:jc w:val="left"/>
        <w:rPr>
          <w:sz w:val="18"/>
          <w:szCs w:val="18"/>
          <w:lang w:val="fr-FR" w:bidi="ar-SY"/>
        </w:rPr>
      </w:pPr>
      <w:r>
        <w:rPr>
          <w:sz w:val="18"/>
          <w:szCs w:val="18"/>
          <w:lang w:val="fr-FR" w:bidi="ar-SY"/>
        </w:rPr>
        <w:br w:type="page"/>
      </w:r>
    </w:p>
    <w:p w14:paraId="2F76E515" w14:textId="252D0E74" w:rsidR="00201D78" w:rsidRPr="00BA52C1" w:rsidRDefault="00201D78" w:rsidP="00EB45D6">
      <w:pPr>
        <w:pStyle w:val="CBDTableTitle"/>
        <w:rPr>
          <w:lang w:val="fr-FR" w:eastAsia="zh-CN"/>
        </w:rPr>
      </w:pPr>
      <w:r w:rsidRPr="00BA52C1">
        <w:rPr>
          <w:b w:val="0"/>
          <w:bCs/>
          <w:lang w:val="fr-FR" w:eastAsia="zh-CN"/>
        </w:rPr>
        <w:lastRenderedPageBreak/>
        <w:t>Table</w:t>
      </w:r>
      <w:r w:rsidR="000249CF">
        <w:rPr>
          <w:b w:val="0"/>
          <w:bCs/>
          <w:lang w:val="fr-FR" w:eastAsia="zh-CN"/>
        </w:rPr>
        <w:t>au</w:t>
      </w:r>
      <w:r w:rsidR="00AA1A10">
        <w:rPr>
          <w:b w:val="0"/>
          <w:bCs/>
          <w:lang w:val="fr-FR" w:eastAsia="zh-CN"/>
        </w:rPr>
        <w:t> </w:t>
      </w:r>
      <w:r w:rsidR="005D4030" w:rsidRPr="00BA52C1">
        <w:rPr>
          <w:b w:val="0"/>
          <w:bCs/>
          <w:lang w:val="fr-FR" w:eastAsia="zh-CN"/>
        </w:rPr>
        <w:t>2</w:t>
      </w:r>
      <w:r w:rsidR="00E824B6" w:rsidRPr="00BA52C1">
        <w:rPr>
          <w:lang w:val="fr-FR" w:eastAsia="zh-CN"/>
        </w:rPr>
        <w:br/>
      </w:r>
      <w:r w:rsidR="000249CF">
        <w:rPr>
          <w:lang w:val="fr-FR" w:eastAsia="zh-CN"/>
        </w:rPr>
        <w:t xml:space="preserve">Budget biennal intégré des Fonds </w:t>
      </w:r>
      <w:r w:rsidR="006675ED">
        <w:rPr>
          <w:lang w:val="fr-FR"/>
        </w:rPr>
        <w:t>d’affectation spéciale</w:t>
      </w:r>
      <w:r w:rsidR="006675ED">
        <w:rPr>
          <w:lang w:val="fr-FR" w:eastAsia="zh-CN"/>
        </w:rPr>
        <w:t xml:space="preserve"> </w:t>
      </w:r>
      <w:r w:rsidR="00B40371">
        <w:rPr>
          <w:lang w:val="fr-FR" w:eastAsia="zh-CN"/>
        </w:rPr>
        <w:t>de base</w:t>
      </w:r>
      <w:r w:rsidR="000249CF">
        <w:rPr>
          <w:lang w:val="fr-FR" w:eastAsia="zh-CN"/>
        </w:rPr>
        <w:t xml:space="preserve"> de la Convention sur la diversité biologique et de ses Protocoles</w:t>
      </w:r>
      <w:r w:rsidR="004E1773">
        <w:rPr>
          <w:lang w:val="fr-FR" w:eastAsia="zh-CN"/>
        </w:rPr>
        <w:t xml:space="preserve">, </w:t>
      </w:r>
      <w:r w:rsidRPr="00BA52C1">
        <w:rPr>
          <w:lang w:val="fr-FR" w:eastAsia="zh-CN"/>
        </w:rPr>
        <w:t>2025</w:t>
      </w:r>
      <w:r w:rsidR="009101F9" w:rsidRPr="00BA52C1">
        <w:rPr>
          <w:lang w:val="fr-FR" w:eastAsia="zh-CN"/>
        </w:rPr>
        <w:t>–</w:t>
      </w:r>
      <w:r w:rsidRPr="00BA52C1">
        <w:rPr>
          <w:lang w:val="fr-FR" w:eastAsia="zh-CN"/>
        </w:rPr>
        <w:t>2026</w:t>
      </w:r>
      <w:r w:rsidR="0000439D" w:rsidRPr="00BA52C1">
        <w:rPr>
          <w:lang w:val="fr-FR" w:eastAsia="zh-CN"/>
        </w:rPr>
        <w:t xml:space="preserve"> </w:t>
      </w:r>
      <w:r w:rsidR="00EB45D6" w:rsidRPr="00BA52C1">
        <w:rPr>
          <w:bCs/>
          <w:lang w:val="fr-FR" w:eastAsia="zh-CN"/>
        </w:rPr>
        <w:t>(</w:t>
      </w:r>
      <w:r w:rsidR="000249CF">
        <w:rPr>
          <w:bCs/>
          <w:lang w:val="fr-FR" w:eastAsia="zh-CN"/>
        </w:rPr>
        <w:t>par composante</w:t>
      </w:r>
      <w:r w:rsidR="00EB45D6" w:rsidRPr="00BA52C1">
        <w:rPr>
          <w:bCs/>
          <w:lang w:val="fr-FR" w:eastAsia="zh-CN"/>
        </w:rPr>
        <w:t>)</w:t>
      </w:r>
    </w:p>
    <w:p w14:paraId="165496A1" w14:textId="73E0BAB5" w:rsidR="001239B2" w:rsidRPr="00BA52C1" w:rsidRDefault="001239B2" w:rsidP="00582303">
      <w:pPr>
        <w:pStyle w:val="CBDTableTitle"/>
        <w:spacing w:before="0"/>
        <w:rPr>
          <w:b w:val="0"/>
          <w:bCs/>
          <w:sz w:val="18"/>
          <w:szCs w:val="18"/>
          <w:lang w:val="fr-FR" w:eastAsia="zh-CN"/>
        </w:rPr>
      </w:pPr>
      <w:r w:rsidRPr="00BA52C1">
        <w:rPr>
          <w:rFonts w:eastAsia="Times New Roman"/>
          <w:b w:val="0"/>
          <w:bCs/>
          <w:color w:val="000000" w:themeColor="text1"/>
          <w:kern w:val="20"/>
          <w:sz w:val="18"/>
          <w:szCs w:val="18"/>
          <w:lang w:val="fr-FR" w:eastAsia="zh-CN"/>
        </w:rPr>
        <w:t>(</w:t>
      </w:r>
      <w:r w:rsidR="000249CF">
        <w:rPr>
          <w:rFonts w:eastAsia="Times New Roman"/>
          <w:b w:val="0"/>
          <w:bCs/>
          <w:color w:val="000000" w:themeColor="text1"/>
          <w:kern w:val="20"/>
          <w:sz w:val="18"/>
          <w:szCs w:val="18"/>
          <w:lang w:val="fr-FR" w:eastAsia="zh-CN"/>
        </w:rPr>
        <w:t>En milliers de dollars des États-Unis</w:t>
      </w:r>
      <w:r w:rsidRPr="00BA52C1">
        <w:rPr>
          <w:rFonts w:eastAsia="Times New Roman"/>
          <w:b w:val="0"/>
          <w:bCs/>
          <w:color w:val="000000" w:themeColor="text1"/>
          <w:kern w:val="20"/>
          <w:sz w:val="18"/>
          <w:szCs w:val="18"/>
          <w:lang w:val="fr-FR" w:eastAsia="zh-CN"/>
        </w:rPr>
        <w:t>)</w:t>
      </w:r>
    </w:p>
    <w:tbl>
      <w:tblPr>
        <w:tblW w:w="8132" w:type="dxa"/>
        <w:jc w:val="center"/>
        <w:tblLook w:val="04A0" w:firstRow="1" w:lastRow="0" w:firstColumn="1" w:lastColumn="0" w:noHBand="0" w:noVBand="1"/>
      </w:tblPr>
      <w:tblGrid>
        <w:gridCol w:w="5103"/>
        <w:gridCol w:w="992"/>
        <w:gridCol w:w="992"/>
        <w:gridCol w:w="1045"/>
      </w:tblGrid>
      <w:tr w:rsidR="00716AC3" w:rsidRPr="003253A0" w14:paraId="3AE541CA" w14:textId="77777777" w:rsidTr="00582303">
        <w:trPr>
          <w:tblHeader/>
          <w:jc w:val="center"/>
        </w:trPr>
        <w:tc>
          <w:tcPr>
            <w:tcW w:w="5103" w:type="dxa"/>
            <w:tcBorders>
              <w:top w:val="nil"/>
              <w:left w:val="nil"/>
              <w:bottom w:val="nil"/>
              <w:right w:val="nil"/>
            </w:tcBorders>
            <w:shd w:val="clear" w:color="auto" w:fill="auto"/>
            <w:vAlign w:val="center"/>
          </w:tcPr>
          <w:p w14:paraId="5AE55745" w14:textId="02A9763C" w:rsidR="00201D78" w:rsidRPr="003253A0" w:rsidRDefault="000249CF" w:rsidP="004C46A6">
            <w:pPr>
              <w:keepNext/>
              <w:keepLines/>
              <w:tabs>
                <w:tab w:val="clear" w:pos="567"/>
                <w:tab w:val="clear" w:pos="1134"/>
                <w:tab w:val="clear" w:pos="1701"/>
                <w:tab w:val="clear" w:pos="2268"/>
              </w:tabs>
              <w:spacing w:before="20" w:after="20"/>
              <w:jc w:val="left"/>
              <w:rPr>
                <w:rFonts w:eastAsia="Times New Roman"/>
                <w:i/>
                <w:iCs/>
                <w:color w:val="000000"/>
                <w:sz w:val="20"/>
                <w:szCs w:val="20"/>
                <w:lang w:val="fr-FR" w:eastAsia="zh-CN"/>
              </w:rPr>
            </w:pPr>
            <w:r w:rsidRPr="003253A0">
              <w:rPr>
                <w:rFonts w:eastAsia="Times New Roman"/>
                <w:i/>
                <w:iCs/>
                <w:color w:val="000000"/>
                <w:sz w:val="20"/>
                <w:szCs w:val="20"/>
                <w:lang w:val="fr-FR" w:eastAsia="zh-CN"/>
              </w:rPr>
              <w:t>Composante</w:t>
            </w:r>
          </w:p>
        </w:tc>
        <w:tc>
          <w:tcPr>
            <w:tcW w:w="992" w:type="dxa"/>
            <w:tcBorders>
              <w:top w:val="nil"/>
              <w:left w:val="nil"/>
              <w:bottom w:val="nil"/>
              <w:right w:val="nil"/>
            </w:tcBorders>
            <w:shd w:val="clear" w:color="auto" w:fill="auto"/>
            <w:vAlign w:val="center"/>
          </w:tcPr>
          <w:p w14:paraId="2B51DBA4" w14:textId="77777777" w:rsidR="00201D78" w:rsidRPr="003253A0" w:rsidRDefault="00201D78" w:rsidP="004C46A6">
            <w:pPr>
              <w:keepNext/>
              <w:keepLines/>
              <w:tabs>
                <w:tab w:val="clear" w:pos="567"/>
                <w:tab w:val="clear" w:pos="1134"/>
                <w:tab w:val="clear" w:pos="1701"/>
                <w:tab w:val="clear" w:pos="2268"/>
              </w:tabs>
              <w:spacing w:before="20" w:after="20"/>
              <w:jc w:val="right"/>
              <w:rPr>
                <w:rFonts w:eastAsia="Times New Roman"/>
                <w:i/>
                <w:iCs/>
                <w:color w:val="000000"/>
                <w:sz w:val="20"/>
                <w:szCs w:val="20"/>
                <w:lang w:val="fr-FR" w:eastAsia="zh-CN"/>
              </w:rPr>
            </w:pPr>
            <w:r w:rsidRPr="003253A0">
              <w:rPr>
                <w:rFonts w:eastAsia="Times New Roman"/>
                <w:i/>
                <w:iCs/>
                <w:color w:val="000000"/>
                <w:sz w:val="20"/>
                <w:szCs w:val="20"/>
                <w:lang w:val="fr-FR" w:eastAsia="zh-CN"/>
              </w:rPr>
              <w:t>2025</w:t>
            </w:r>
          </w:p>
        </w:tc>
        <w:tc>
          <w:tcPr>
            <w:tcW w:w="992" w:type="dxa"/>
            <w:tcBorders>
              <w:top w:val="nil"/>
              <w:left w:val="nil"/>
              <w:bottom w:val="nil"/>
              <w:right w:val="nil"/>
            </w:tcBorders>
            <w:shd w:val="clear" w:color="auto" w:fill="auto"/>
            <w:vAlign w:val="center"/>
          </w:tcPr>
          <w:p w14:paraId="7E63F9CB" w14:textId="08C4DE45" w:rsidR="00201D78" w:rsidRPr="003253A0" w:rsidRDefault="00201D78" w:rsidP="004C46A6">
            <w:pPr>
              <w:keepNext/>
              <w:keepLines/>
              <w:tabs>
                <w:tab w:val="clear" w:pos="567"/>
                <w:tab w:val="clear" w:pos="1134"/>
                <w:tab w:val="clear" w:pos="1701"/>
                <w:tab w:val="clear" w:pos="2268"/>
              </w:tabs>
              <w:spacing w:before="20" w:after="20"/>
              <w:jc w:val="right"/>
              <w:rPr>
                <w:rFonts w:eastAsia="Times New Roman"/>
                <w:i/>
                <w:iCs/>
                <w:color w:val="000000"/>
                <w:sz w:val="20"/>
                <w:szCs w:val="20"/>
                <w:lang w:val="fr-FR" w:eastAsia="zh-CN"/>
              </w:rPr>
            </w:pPr>
            <w:r w:rsidRPr="003253A0">
              <w:rPr>
                <w:rFonts w:eastAsia="Times New Roman"/>
                <w:i/>
                <w:iCs/>
                <w:color w:val="000000"/>
                <w:sz w:val="20"/>
                <w:szCs w:val="20"/>
                <w:lang w:val="fr-FR" w:eastAsia="zh-CN"/>
              </w:rPr>
              <w:t>202</w:t>
            </w:r>
            <w:r w:rsidR="00C06A85" w:rsidRPr="003253A0">
              <w:rPr>
                <w:rFonts w:eastAsia="Times New Roman"/>
                <w:i/>
                <w:iCs/>
                <w:color w:val="000000"/>
                <w:sz w:val="20"/>
                <w:szCs w:val="20"/>
                <w:lang w:val="fr-FR" w:eastAsia="zh-CN"/>
              </w:rPr>
              <w:t>6</w:t>
            </w:r>
          </w:p>
        </w:tc>
        <w:tc>
          <w:tcPr>
            <w:tcW w:w="1045" w:type="dxa"/>
            <w:tcBorders>
              <w:top w:val="nil"/>
              <w:left w:val="nil"/>
              <w:bottom w:val="nil"/>
              <w:right w:val="nil"/>
            </w:tcBorders>
            <w:shd w:val="clear" w:color="auto" w:fill="auto"/>
            <w:vAlign w:val="center"/>
          </w:tcPr>
          <w:p w14:paraId="5C72CB11" w14:textId="038FA2E9" w:rsidR="00201D78" w:rsidRPr="003253A0" w:rsidRDefault="00201D78" w:rsidP="004C46A6">
            <w:pPr>
              <w:keepNext/>
              <w:keepLines/>
              <w:tabs>
                <w:tab w:val="clear" w:pos="567"/>
                <w:tab w:val="clear" w:pos="1134"/>
                <w:tab w:val="clear" w:pos="1701"/>
                <w:tab w:val="clear" w:pos="2268"/>
              </w:tabs>
              <w:spacing w:before="20" w:after="20"/>
              <w:jc w:val="right"/>
              <w:rPr>
                <w:rFonts w:eastAsia="Times New Roman"/>
                <w:b/>
                <w:bCs/>
                <w:i/>
                <w:iCs/>
                <w:color w:val="000000"/>
                <w:sz w:val="20"/>
                <w:szCs w:val="20"/>
                <w:lang w:val="fr-FR" w:eastAsia="zh-CN"/>
              </w:rPr>
            </w:pPr>
            <w:r w:rsidRPr="003253A0">
              <w:rPr>
                <w:rFonts w:eastAsia="Times New Roman"/>
                <w:i/>
                <w:iCs/>
                <w:color w:val="000000"/>
                <w:sz w:val="20"/>
                <w:szCs w:val="20"/>
                <w:lang w:val="fr-FR" w:eastAsia="zh-CN"/>
              </w:rPr>
              <w:t>2025</w:t>
            </w:r>
            <w:r w:rsidR="007327C8" w:rsidRPr="003253A0">
              <w:rPr>
                <w:rFonts w:eastAsia="Times New Roman"/>
                <w:i/>
                <w:iCs/>
                <w:color w:val="000000"/>
                <w:sz w:val="20"/>
                <w:szCs w:val="20"/>
                <w:lang w:val="fr-FR" w:eastAsia="zh-CN"/>
              </w:rPr>
              <w:t>–</w:t>
            </w:r>
            <w:r w:rsidRPr="003253A0">
              <w:rPr>
                <w:rFonts w:eastAsia="Times New Roman"/>
                <w:i/>
                <w:iCs/>
                <w:color w:val="000000"/>
                <w:sz w:val="20"/>
                <w:szCs w:val="20"/>
                <w:lang w:val="fr-FR" w:eastAsia="zh-CN"/>
              </w:rPr>
              <w:t>2026</w:t>
            </w:r>
          </w:p>
        </w:tc>
      </w:tr>
      <w:tr w:rsidR="004F2716" w:rsidRPr="003253A0" w14:paraId="3521FE2E" w14:textId="77777777" w:rsidTr="00582303">
        <w:trPr>
          <w:jc w:val="center"/>
        </w:trPr>
        <w:tc>
          <w:tcPr>
            <w:tcW w:w="5103" w:type="dxa"/>
            <w:tcBorders>
              <w:top w:val="single" w:sz="4" w:space="0" w:color="auto"/>
              <w:left w:val="nil"/>
              <w:bottom w:val="nil"/>
              <w:right w:val="nil"/>
            </w:tcBorders>
            <w:shd w:val="clear" w:color="auto" w:fill="auto"/>
            <w:vAlign w:val="center"/>
            <w:hideMark/>
          </w:tcPr>
          <w:p w14:paraId="5B0F30A8" w14:textId="5D68F95D" w:rsidR="004F2716" w:rsidRPr="003253A0" w:rsidRDefault="004F2716" w:rsidP="004C46A6">
            <w:pPr>
              <w:keepNext/>
              <w:keepLines/>
              <w:tabs>
                <w:tab w:val="clear" w:pos="567"/>
                <w:tab w:val="clear" w:pos="1134"/>
                <w:tab w:val="clear" w:pos="1701"/>
                <w:tab w:val="clear" w:pos="2268"/>
              </w:tabs>
              <w:spacing w:before="20" w:after="20"/>
              <w:jc w:val="left"/>
              <w:rPr>
                <w:rFonts w:eastAsia="Times New Roman"/>
                <w:color w:val="000000"/>
                <w:sz w:val="20"/>
                <w:szCs w:val="20"/>
                <w:lang w:val="fr-FR" w:eastAsia="zh-CN"/>
              </w:rPr>
            </w:pPr>
            <w:r w:rsidRPr="003253A0">
              <w:rPr>
                <w:rFonts w:eastAsia="Times New Roman"/>
                <w:color w:val="000000"/>
                <w:sz w:val="20"/>
                <w:szCs w:val="20"/>
                <w:lang w:val="fr-FR" w:eastAsia="zh-CN"/>
              </w:rPr>
              <w:t xml:space="preserve">A. </w:t>
            </w:r>
            <w:r w:rsidR="000249CF" w:rsidRPr="003253A0">
              <w:rPr>
                <w:rFonts w:eastAsia="Times New Roman"/>
                <w:color w:val="000000"/>
                <w:sz w:val="20"/>
                <w:szCs w:val="20"/>
                <w:lang w:val="fr-FR" w:eastAsia="zh-CN"/>
              </w:rPr>
              <w:t>Organes directeurs et organes subsidiaires</w:t>
            </w:r>
          </w:p>
        </w:tc>
        <w:tc>
          <w:tcPr>
            <w:tcW w:w="992" w:type="dxa"/>
            <w:tcBorders>
              <w:top w:val="single" w:sz="4" w:space="0" w:color="auto"/>
              <w:left w:val="nil"/>
              <w:bottom w:val="nil"/>
              <w:right w:val="nil"/>
            </w:tcBorders>
            <w:shd w:val="clear" w:color="auto" w:fill="auto"/>
            <w:vAlign w:val="center"/>
            <w:hideMark/>
          </w:tcPr>
          <w:p w14:paraId="70CA85C7" w14:textId="0857724E" w:rsidR="004F2716" w:rsidRPr="003253A0" w:rsidRDefault="004F2716" w:rsidP="004C46A6">
            <w:pPr>
              <w:keepNext/>
              <w:keepLines/>
              <w:tabs>
                <w:tab w:val="clear" w:pos="567"/>
                <w:tab w:val="clear" w:pos="1134"/>
                <w:tab w:val="clear" w:pos="1701"/>
                <w:tab w:val="clear" w:pos="2268"/>
              </w:tabs>
              <w:spacing w:before="20" w:after="20"/>
              <w:jc w:val="right"/>
              <w:rPr>
                <w:rFonts w:eastAsia="Times New Roman"/>
                <w:color w:val="000000"/>
                <w:sz w:val="20"/>
                <w:szCs w:val="20"/>
                <w:lang w:val="fr-FR" w:eastAsia="zh-CN"/>
              </w:rPr>
            </w:pPr>
            <w:r w:rsidRPr="003253A0">
              <w:rPr>
                <w:rFonts w:eastAsia="Times New Roman"/>
                <w:color w:val="000000"/>
                <w:sz w:val="20"/>
                <w:szCs w:val="20"/>
                <w:lang w:val="fr-FR" w:eastAsia="zh-CN"/>
              </w:rPr>
              <w:t>2 611</w:t>
            </w:r>
            <w:r w:rsidR="000C12E8" w:rsidRPr="003253A0">
              <w:rPr>
                <w:rFonts w:eastAsia="Times New Roman"/>
                <w:color w:val="000000"/>
                <w:sz w:val="20"/>
                <w:szCs w:val="20"/>
                <w:lang w:val="fr-FR" w:eastAsia="zh-CN"/>
              </w:rPr>
              <w:t>,</w:t>
            </w:r>
            <w:r w:rsidRPr="003253A0">
              <w:rPr>
                <w:rFonts w:eastAsia="Times New Roman"/>
                <w:color w:val="000000"/>
                <w:sz w:val="20"/>
                <w:szCs w:val="20"/>
                <w:lang w:val="fr-FR" w:eastAsia="zh-CN"/>
              </w:rPr>
              <w:t>2</w:t>
            </w:r>
          </w:p>
        </w:tc>
        <w:tc>
          <w:tcPr>
            <w:tcW w:w="992" w:type="dxa"/>
            <w:tcBorders>
              <w:top w:val="single" w:sz="4" w:space="0" w:color="auto"/>
              <w:left w:val="nil"/>
              <w:bottom w:val="nil"/>
              <w:right w:val="nil"/>
            </w:tcBorders>
            <w:shd w:val="clear" w:color="auto" w:fill="auto"/>
            <w:vAlign w:val="center"/>
            <w:hideMark/>
          </w:tcPr>
          <w:p w14:paraId="247B20F3" w14:textId="39870D84" w:rsidR="004F2716" w:rsidRPr="003253A0" w:rsidRDefault="004F2716" w:rsidP="004C46A6">
            <w:pPr>
              <w:keepNext/>
              <w:keepLines/>
              <w:tabs>
                <w:tab w:val="clear" w:pos="567"/>
                <w:tab w:val="clear" w:pos="1134"/>
                <w:tab w:val="clear" w:pos="1701"/>
                <w:tab w:val="clear" w:pos="2268"/>
              </w:tabs>
              <w:spacing w:before="20" w:after="20"/>
              <w:jc w:val="right"/>
              <w:rPr>
                <w:rFonts w:eastAsia="Times New Roman"/>
                <w:color w:val="000000"/>
                <w:sz w:val="20"/>
                <w:szCs w:val="20"/>
                <w:lang w:val="fr-FR" w:eastAsia="zh-CN"/>
              </w:rPr>
            </w:pPr>
            <w:r w:rsidRPr="003253A0">
              <w:rPr>
                <w:rFonts w:eastAsia="Times New Roman"/>
                <w:color w:val="000000"/>
                <w:sz w:val="20"/>
                <w:szCs w:val="20"/>
                <w:lang w:val="fr-FR" w:eastAsia="zh-CN"/>
              </w:rPr>
              <w:t>3 082</w:t>
            </w:r>
            <w:r w:rsidR="000C12E8" w:rsidRPr="003253A0">
              <w:rPr>
                <w:rFonts w:eastAsia="Times New Roman"/>
                <w:color w:val="000000"/>
                <w:sz w:val="20"/>
                <w:szCs w:val="20"/>
                <w:lang w:val="fr-FR" w:eastAsia="zh-CN"/>
              </w:rPr>
              <w:t>,</w:t>
            </w:r>
            <w:r w:rsidRPr="003253A0">
              <w:rPr>
                <w:rFonts w:eastAsia="Times New Roman"/>
                <w:color w:val="000000"/>
                <w:sz w:val="20"/>
                <w:szCs w:val="20"/>
                <w:lang w:val="fr-FR" w:eastAsia="zh-CN"/>
              </w:rPr>
              <w:t>7</w:t>
            </w:r>
          </w:p>
        </w:tc>
        <w:tc>
          <w:tcPr>
            <w:tcW w:w="1045" w:type="dxa"/>
            <w:tcBorders>
              <w:top w:val="single" w:sz="4" w:space="0" w:color="auto"/>
              <w:left w:val="nil"/>
              <w:bottom w:val="nil"/>
              <w:right w:val="nil"/>
            </w:tcBorders>
            <w:shd w:val="clear" w:color="auto" w:fill="auto"/>
            <w:vAlign w:val="center"/>
            <w:hideMark/>
          </w:tcPr>
          <w:p w14:paraId="22ABD548" w14:textId="5CAB5C2A" w:rsidR="004F2716" w:rsidRPr="003253A0" w:rsidRDefault="004F2716" w:rsidP="004C46A6">
            <w:pPr>
              <w:keepNext/>
              <w:keepLines/>
              <w:tabs>
                <w:tab w:val="clear" w:pos="567"/>
                <w:tab w:val="clear" w:pos="1134"/>
                <w:tab w:val="clear" w:pos="1701"/>
                <w:tab w:val="clear" w:pos="2268"/>
              </w:tabs>
              <w:spacing w:before="20" w:after="20"/>
              <w:jc w:val="right"/>
              <w:rPr>
                <w:rFonts w:eastAsia="Times New Roman"/>
                <w:color w:val="000000"/>
                <w:sz w:val="20"/>
                <w:szCs w:val="20"/>
                <w:lang w:val="fr-FR" w:eastAsia="zh-CN"/>
              </w:rPr>
            </w:pPr>
            <w:r w:rsidRPr="003253A0">
              <w:rPr>
                <w:rFonts w:eastAsia="Times New Roman"/>
                <w:color w:val="000000"/>
                <w:sz w:val="20"/>
                <w:szCs w:val="20"/>
                <w:lang w:val="fr-FR" w:eastAsia="zh-CN"/>
              </w:rPr>
              <w:t>5 693</w:t>
            </w:r>
            <w:r w:rsidR="000C12E8" w:rsidRPr="003253A0">
              <w:rPr>
                <w:rFonts w:eastAsia="Times New Roman"/>
                <w:color w:val="000000"/>
                <w:sz w:val="20"/>
                <w:szCs w:val="20"/>
                <w:lang w:val="fr-FR" w:eastAsia="zh-CN"/>
              </w:rPr>
              <w:t>,</w:t>
            </w:r>
            <w:r w:rsidRPr="003253A0">
              <w:rPr>
                <w:rFonts w:eastAsia="Times New Roman"/>
                <w:color w:val="000000"/>
                <w:sz w:val="20"/>
                <w:szCs w:val="20"/>
                <w:lang w:val="fr-FR" w:eastAsia="zh-CN"/>
              </w:rPr>
              <w:t>9</w:t>
            </w:r>
          </w:p>
        </w:tc>
      </w:tr>
      <w:tr w:rsidR="004F2716" w:rsidRPr="003253A0" w14:paraId="4E0AE460" w14:textId="77777777" w:rsidTr="00582303">
        <w:trPr>
          <w:jc w:val="center"/>
        </w:trPr>
        <w:tc>
          <w:tcPr>
            <w:tcW w:w="5103" w:type="dxa"/>
            <w:tcBorders>
              <w:top w:val="nil"/>
              <w:left w:val="nil"/>
              <w:bottom w:val="nil"/>
              <w:right w:val="nil"/>
            </w:tcBorders>
            <w:shd w:val="clear" w:color="auto" w:fill="auto"/>
            <w:vAlign w:val="center"/>
            <w:hideMark/>
          </w:tcPr>
          <w:p w14:paraId="7420E813" w14:textId="0416DA19" w:rsidR="004F2716" w:rsidRPr="003253A0" w:rsidRDefault="004F2716" w:rsidP="004C46A6">
            <w:pPr>
              <w:keepNext/>
              <w:keepLines/>
              <w:tabs>
                <w:tab w:val="clear" w:pos="567"/>
                <w:tab w:val="clear" w:pos="1134"/>
                <w:tab w:val="clear" w:pos="1701"/>
                <w:tab w:val="clear" w:pos="2268"/>
              </w:tabs>
              <w:spacing w:before="20" w:after="20"/>
              <w:jc w:val="left"/>
              <w:rPr>
                <w:rFonts w:eastAsia="Times New Roman"/>
                <w:color w:val="000000"/>
                <w:sz w:val="20"/>
                <w:szCs w:val="20"/>
                <w:lang w:val="fr-FR" w:eastAsia="zh-CN"/>
              </w:rPr>
            </w:pPr>
            <w:r w:rsidRPr="003253A0">
              <w:rPr>
                <w:rFonts w:eastAsia="Times New Roman"/>
                <w:color w:val="000000"/>
                <w:sz w:val="20"/>
                <w:szCs w:val="20"/>
                <w:lang w:val="fr-FR" w:eastAsia="zh-CN"/>
              </w:rPr>
              <w:t xml:space="preserve">B. </w:t>
            </w:r>
            <w:r w:rsidR="000249CF" w:rsidRPr="003253A0">
              <w:rPr>
                <w:rFonts w:eastAsia="Times New Roman"/>
                <w:color w:val="000000"/>
                <w:sz w:val="20"/>
                <w:szCs w:val="20"/>
                <w:lang w:val="fr-FR" w:eastAsia="zh-CN"/>
              </w:rPr>
              <w:t>Direction exécutive et administration</w:t>
            </w:r>
          </w:p>
        </w:tc>
        <w:tc>
          <w:tcPr>
            <w:tcW w:w="992" w:type="dxa"/>
            <w:tcBorders>
              <w:top w:val="nil"/>
              <w:left w:val="nil"/>
              <w:bottom w:val="nil"/>
              <w:right w:val="nil"/>
            </w:tcBorders>
            <w:shd w:val="clear" w:color="auto" w:fill="auto"/>
            <w:vAlign w:val="center"/>
            <w:hideMark/>
          </w:tcPr>
          <w:p w14:paraId="2D74180A" w14:textId="32E03369" w:rsidR="004F2716" w:rsidRPr="003253A0" w:rsidRDefault="004F2716" w:rsidP="004C46A6">
            <w:pPr>
              <w:keepNext/>
              <w:keepLines/>
              <w:tabs>
                <w:tab w:val="clear" w:pos="567"/>
                <w:tab w:val="clear" w:pos="1134"/>
                <w:tab w:val="clear" w:pos="1701"/>
                <w:tab w:val="clear" w:pos="2268"/>
              </w:tabs>
              <w:spacing w:before="20" w:after="20"/>
              <w:jc w:val="right"/>
              <w:rPr>
                <w:rFonts w:eastAsia="Times New Roman"/>
                <w:color w:val="000000"/>
                <w:sz w:val="20"/>
                <w:szCs w:val="20"/>
                <w:lang w:val="fr-FR" w:eastAsia="zh-CN"/>
              </w:rPr>
            </w:pPr>
            <w:r w:rsidRPr="003253A0">
              <w:rPr>
                <w:rFonts w:eastAsia="Times New Roman"/>
                <w:color w:val="000000"/>
                <w:sz w:val="20"/>
                <w:szCs w:val="20"/>
                <w:lang w:val="fr-FR" w:eastAsia="zh-CN"/>
              </w:rPr>
              <w:t>2 946</w:t>
            </w:r>
            <w:r w:rsidR="000C12E8" w:rsidRPr="003253A0">
              <w:rPr>
                <w:rFonts w:eastAsia="Times New Roman"/>
                <w:color w:val="000000"/>
                <w:sz w:val="20"/>
                <w:szCs w:val="20"/>
                <w:lang w:val="fr-FR" w:eastAsia="zh-CN"/>
              </w:rPr>
              <w:t>,</w:t>
            </w:r>
            <w:r w:rsidRPr="003253A0">
              <w:rPr>
                <w:rFonts w:eastAsia="Times New Roman"/>
                <w:color w:val="000000"/>
                <w:sz w:val="20"/>
                <w:szCs w:val="20"/>
                <w:lang w:val="fr-FR" w:eastAsia="zh-CN"/>
              </w:rPr>
              <w:t>8</w:t>
            </w:r>
          </w:p>
        </w:tc>
        <w:tc>
          <w:tcPr>
            <w:tcW w:w="992" w:type="dxa"/>
            <w:tcBorders>
              <w:top w:val="nil"/>
              <w:left w:val="nil"/>
              <w:bottom w:val="nil"/>
              <w:right w:val="nil"/>
            </w:tcBorders>
            <w:shd w:val="clear" w:color="auto" w:fill="auto"/>
            <w:vAlign w:val="center"/>
            <w:hideMark/>
          </w:tcPr>
          <w:p w14:paraId="59CB0A47" w14:textId="33E6A950" w:rsidR="004F2716" w:rsidRPr="003253A0" w:rsidRDefault="004F2716" w:rsidP="004C46A6">
            <w:pPr>
              <w:keepNext/>
              <w:keepLines/>
              <w:tabs>
                <w:tab w:val="clear" w:pos="567"/>
                <w:tab w:val="clear" w:pos="1134"/>
                <w:tab w:val="clear" w:pos="1701"/>
                <w:tab w:val="clear" w:pos="2268"/>
              </w:tabs>
              <w:spacing w:before="20" w:after="20"/>
              <w:jc w:val="right"/>
              <w:rPr>
                <w:rFonts w:eastAsia="Times New Roman"/>
                <w:color w:val="000000"/>
                <w:sz w:val="20"/>
                <w:szCs w:val="20"/>
                <w:lang w:val="fr-FR" w:eastAsia="zh-CN"/>
              </w:rPr>
            </w:pPr>
            <w:r w:rsidRPr="003253A0">
              <w:rPr>
                <w:rFonts w:eastAsia="Times New Roman"/>
                <w:color w:val="000000"/>
                <w:sz w:val="20"/>
                <w:szCs w:val="20"/>
                <w:lang w:val="fr-FR" w:eastAsia="zh-CN"/>
              </w:rPr>
              <w:t>3 098</w:t>
            </w:r>
            <w:r w:rsidR="000C12E8" w:rsidRPr="003253A0">
              <w:rPr>
                <w:rFonts w:eastAsia="Times New Roman"/>
                <w:color w:val="000000"/>
                <w:sz w:val="20"/>
                <w:szCs w:val="20"/>
                <w:lang w:val="fr-FR" w:eastAsia="zh-CN"/>
              </w:rPr>
              <w:t>,</w:t>
            </w:r>
            <w:r w:rsidRPr="003253A0">
              <w:rPr>
                <w:rFonts w:eastAsia="Times New Roman"/>
                <w:color w:val="000000"/>
                <w:sz w:val="20"/>
                <w:szCs w:val="20"/>
                <w:lang w:val="fr-FR" w:eastAsia="zh-CN"/>
              </w:rPr>
              <w:t>4</w:t>
            </w:r>
          </w:p>
        </w:tc>
        <w:tc>
          <w:tcPr>
            <w:tcW w:w="1045" w:type="dxa"/>
            <w:tcBorders>
              <w:top w:val="nil"/>
              <w:left w:val="nil"/>
              <w:bottom w:val="nil"/>
              <w:right w:val="nil"/>
            </w:tcBorders>
            <w:shd w:val="clear" w:color="auto" w:fill="auto"/>
            <w:vAlign w:val="center"/>
            <w:hideMark/>
          </w:tcPr>
          <w:p w14:paraId="5D562D0B" w14:textId="40C28DAA" w:rsidR="004F2716" w:rsidRPr="003253A0" w:rsidRDefault="004F2716" w:rsidP="004C46A6">
            <w:pPr>
              <w:keepNext/>
              <w:keepLines/>
              <w:tabs>
                <w:tab w:val="clear" w:pos="567"/>
                <w:tab w:val="clear" w:pos="1134"/>
                <w:tab w:val="clear" w:pos="1701"/>
                <w:tab w:val="clear" w:pos="2268"/>
              </w:tabs>
              <w:spacing w:before="20" w:after="20"/>
              <w:jc w:val="right"/>
              <w:rPr>
                <w:rFonts w:eastAsia="Times New Roman"/>
                <w:color w:val="000000"/>
                <w:sz w:val="20"/>
                <w:szCs w:val="20"/>
                <w:lang w:val="fr-FR" w:eastAsia="zh-CN"/>
              </w:rPr>
            </w:pPr>
            <w:r w:rsidRPr="003253A0">
              <w:rPr>
                <w:rFonts w:eastAsia="Times New Roman"/>
                <w:color w:val="000000"/>
                <w:sz w:val="20"/>
                <w:szCs w:val="20"/>
                <w:lang w:val="fr-FR" w:eastAsia="zh-CN"/>
              </w:rPr>
              <w:t>6 045</w:t>
            </w:r>
            <w:r w:rsidR="000C12E8" w:rsidRPr="003253A0">
              <w:rPr>
                <w:rFonts w:eastAsia="Times New Roman"/>
                <w:color w:val="000000"/>
                <w:sz w:val="20"/>
                <w:szCs w:val="20"/>
                <w:lang w:val="fr-FR" w:eastAsia="zh-CN"/>
              </w:rPr>
              <w:t>,</w:t>
            </w:r>
            <w:r w:rsidRPr="003253A0">
              <w:rPr>
                <w:rFonts w:eastAsia="Times New Roman"/>
                <w:color w:val="000000"/>
                <w:sz w:val="20"/>
                <w:szCs w:val="20"/>
                <w:lang w:val="fr-FR" w:eastAsia="zh-CN"/>
              </w:rPr>
              <w:t>1</w:t>
            </w:r>
          </w:p>
        </w:tc>
      </w:tr>
      <w:tr w:rsidR="004F2716" w:rsidRPr="003253A0" w14:paraId="599C1AB6" w14:textId="77777777" w:rsidTr="00582303">
        <w:trPr>
          <w:jc w:val="center"/>
        </w:trPr>
        <w:tc>
          <w:tcPr>
            <w:tcW w:w="5103" w:type="dxa"/>
            <w:tcBorders>
              <w:top w:val="nil"/>
              <w:left w:val="nil"/>
              <w:bottom w:val="nil"/>
              <w:right w:val="nil"/>
            </w:tcBorders>
            <w:shd w:val="clear" w:color="auto" w:fill="auto"/>
            <w:vAlign w:val="center"/>
            <w:hideMark/>
          </w:tcPr>
          <w:p w14:paraId="12E80780" w14:textId="02E201EB" w:rsidR="004F2716" w:rsidRPr="003253A0" w:rsidRDefault="004F2716" w:rsidP="004C46A6">
            <w:pPr>
              <w:keepNext/>
              <w:keepLines/>
              <w:tabs>
                <w:tab w:val="clear" w:pos="567"/>
                <w:tab w:val="clear" w:pos="1134"/>
                <w:tab w:val="clear" w:pos="1701"/>
                <w:tab w:val="clear" w:pos="2268"/>
              </w:tabs>
              <w:spacing w:before="20" w:after="20"/>
              <w:jc w:val="left"/>
              <w:rPr>
                <w:rFonts w:eastAsia="Times New Roman"/>
                <w:color w:val="000000"/>
                <w:sz w:val="20"/>
                <w:szCs w:val="20"/>
                <w:lang w:val="fr-FR" w:eastAsia="zh-CN"/>
              </w:rPr>
            </w:pPr>
            <w:r w:rsidRPr="003253A0">
              <w:rPr>
                <w:rFonts w:eastAsia="Times New Roman"/>
                <w:color w:val="000000"/>
                <w:sz w:val="20"/>
                <w:szCs w:val="20"/>
                <w:lang w:val="fr-FR" w:eastAsia="zh-CN"/>
              </w:rPr>
              <w:t xml:space="preserve">C. </w:t>
            </w:r>
            <w:r w:rsidR="000249CF" w:rsidRPr="003253A0">
              <w:rPr>
                <w:rFonts w:eastAsia="Times New Roman"/>
                <w:color w:val="000000"/>
                <w:sz w:val="20"/>
                <w:szCs w:val="20"/>
                <w:lang w:val="fr-FR" w:eastAsia="zh-CN"/>
              </w:rPr>
              <w:t>Programme de travail</w:t>
            </w:r>
          </w:p>
        </w:tc>
        <w:tc>
          <w:tcPr>
            <w:tcW w:w="992" w:type="dxa"/>
            <w:tcBorders>
              <w:top w:val="nil"/>
              <w:left w:val="nil"/>
              <w:bottom w:val="nil"/>
              <w:right w:val="nil"/>
            </w:tcBorders>
            <w:shd w:val="clear" w:color="auto" w:fill="auto"/>
            <w:vAlign w:val="center"/>
            <w:hideMark/>
          </w:tcPr>
          <w:p w14:paraId="6A747E0F" w14:textId="56BFD54E" w:rsidR="004F2716" w:rsidRPr="003253A0" w:rsidRDefault="004F2716" w:rsidP="004C46A6">
            <w:pPr>
              <w:keepNext/>
              <w:keepLines/>
              <w:tabs>
                <w:tab w:val="clear" w:pos="567"/>
                <w:tab w:val="clear" w:pos="1134"/>
                <w:tab w:val="clear" w:pos="1701"/>
                <w:tab w:val="clear" w:pos="2268"/>
              </w:tabs>
              <w:spacing w:before="20" w:after="20"/>
              <w:jc w:val="right"/>
              <w:rPr>
                <w:rFonts w:eastAsia="Times New Roman"/>
                <w:color w:val="000000"/>
                <w:sz w:val="20"/>
                <w:szCs w:val="20"/>
                <w:lang w:val="fr-FR" w:eastAsia="zh-CN"/>
              </w:rPr>
            </w:pPr>
            <w:r w:rsidRPr="003253A0">
              <w:rPr>
                <w:rFonts w:eastAsia="Times New Roman"/>
                <w:color w:val="000000"/>
                <w:sz w:val="20"/>
                <w:szCs w:val="20"/>
                <w:lang w:val="fr-FR" w:eastAsia="zh-CN"/>
              </w:rPr>
              <w:t>10 013</w:t>
            </w:r>
            <w:r w:rsidR="000C12E8" w:rsidRPr="003253A0">
              <w:rPr>
                <w:rFonts w:eastAsia="Times New Roman"/>
                <w:color w:val="000000"/>
                <w:sz w:val="20"/>
                <w:szCs w:val="20"/>
                <w:lang w:val="fr-FR" w:eastAsia="zh-CN"/>
              </w:rPr>
              <w:t>,</w:t>
            </w:r>
            <w:r w:rsidRPr="003253A0">
              <w:rPr>
                <w:rFonts w:eastAsia="Times New Roman"/>
                <w:color w:val="000000"/>
                <w:sz w:val="20"/>
                <w:szCs w:val="20"/>
                <w:lang w:val="fr-FR" w:eastAsia="zh-CN"/>
              </w:rPr>
              <w:t>3</w:t>
            </w:r>
          </w:p>
        </w:tc>
        <w:tc>
          <w:tcPr>
            <w:tcW w:w="992" w:type="dxa"/>
            <w:tcBorders>
              <w:top w:val="nil"/>
              <w:left w:val="nil"/>
              <w:bottom w:val="nil"/>
              <w:right w:val="nil"/>
            </w:tcBorders>
            <w:shd w:val="clear" w:color="auto" w:fill="auto"/>
            <w:vAlign w:val="center"/>
            <w:hideMark/>
          </w:tcPr>
          <w:p w14:paraId="1214E702" w14:textId="3F9E02EB" w:rsidR="004F2716" w:rsidRPr="003253A0" w:rsidRDefault="004F2716" w:rsidP="004C46A6">
            <w:pPr>
              <w:keepNext/>
              <w:keepLines/>
              <w:tabs>
                <w:tab w:val="clear" w:pos="567"/>
                <w:tab w:val="clear" w:pos="1134"/>
                <w:tab w:val="clear" w:pos="1701"/>
                <w:tab w:val="clear" w:pos="2268"/>
              </w:tabs>
              <w:spacing w:before="20" w:after="20"/>
              <w:jc w:val="right"/>
              <w:rPr>
                <w:rFonts w:eastAsia="Times New Roman"/>
                <w:color w:val="000000"/>
                <w:sz w:val="20"/>
                <w:szCs w:val="20"/>
                <w:lang w:val="fr-FR" w:eastAsia="zh-CN"/>
              </w:rPr>
            </w:pPr>
            <w:r w:rsidRPr="003253A0">
              <w:rPr>
                <w:rFonts w:eastAsia="Times New Roman"/>
                <w:color w:val="000000"/>
                <w:sz w:val="20"/>
                <w:szCs w:val="20"/>
                <w:lang w:val="fr-FR" w:eastAsia="zh-CN"/>
              </w:rPr>
              <w:t>10 384</w:t>
            </w:r>
            <w:r w:rsidR="000C12E8" w:rsidRPr="003253A0">
              <w:rPr>
                <w:rFonts w:eastAsia="Times New Roman"/>
                <w:color w:val="000000"/>
                <w:sz w:val="20"/>
                <w:szCs w:val="20"/>
                <w:lang w:val="fr-FR" w:eastAsia="zh-CN"/>
              </w:rPr>
              <w:t>,</w:t>
            </w:r>
            <w:r w:rsidRPr="003253A0">
              <w:rPr>
                <w:rFonts w:eastAsia="Times New Roman"/>
                <w:color w:val="000000"/>
                <w:sz w:val="20"/>
                <w:szCs w:val="20"/>
                <w:lang w:val="fr-FR" w:eastAsia="zh-CN"/>
              </w:rPr>
              <w:t>3</w:t>
            </w:r>
          </w:p>
        </w:tc>
        <w:tc>
          <w:tcPr>
            <w:tcW w:w="1045" w:type="dxa"/>
            <w:tcBorders>
              <w:top w:val="nil"/>
              <w:left w:val="nil"/>
              <w:bottom w:val="nil"/>
              <w:right w:val="nil"/>
            </w:tcBorders>
            <w:shd w:val="clear" w:color="auto" w:fill="auto"/>
            <w:vAlign w:val="center"/>
            <w:hideMark/>
          </w:tcPr>
          <w:p w14:paraId="46EEFE3C" w14:textId="379A7CC8" w:rsidR="004F2716" w:rsidRPr="003253A0" w:rsidRDefault="004F2716" w:rsidP="004C46A6">
            <w:pPr>
              <w:keepNext/>
              <w:keepLines/>
              <w:tabs>
                <w:tab w:val="clear" w:pos="567"/>
                <w:tab w:val="clear" w:pos="1134"/>
                <w:tab w:val="clear" w:pos="1701"/>
                <w:tab w:val="clear" w:pos="2268"/>
              </w:tabs>
              <w:spacing w:before="20" w:after="20"/>
              <w:jc w:val="right"/>
              <w:rPr>
                <w:rFonts w:eastAsia="Times New Roman"/>
                <w:color w:val="000000"/>
                <w:sz w:val="20"/>
                <w:szCs w:val="20"/>
                <w:lang w:val="fr-FR" w:eastAsia="zh-CN"/>
              </w:rPr>
            </w:pPr>
            <w:r w:rsidRPr="003253A0">
              <w:rPr>
                <w:rFonts w:eastAsia="Times New Roman"/>
                <w:color w:val="000000"/>
                <w:sz w:val="20"/>
                <w:szCs w:val="20"/>
                <w:lang w:val="fr-FR" w:eastAsia="zh-CN"/>
              </w:rPr>
              <w:t>20 397</w:t>
            </w:r>
            <w:r w:rsidR="000C12E8" w:rsidRPr="003253A0">
              <w:rPr>
                <w:rFonts w:eastAsia="Times New Roman"/>
                <w:color w:val="000000"/>
                <w:sz w:val="20"/>
                <w:szCs w:val="20"/>
                <w:lang w:val="fr-FR" w:eastAsia="zh-CN"/>
              </w:rPr>
              <w:t>,</w:t>
            </w:r>
            <w:r w:rsidRPr="003253A0">
              <w:rPr>
                <w:rFonts w:eastAsia="Times New Roman"/>
                <w:color w:val="000000"/>
                <w:sz w:val="20"/>
                <w:szCs w:val="20"/>
                <w:lang w:val="fr-FR" w:eastAsia="zh-CN"/>
              </w:rPr>
              <w:t>6</w:t>
            </w:r>
          </w:p>
        </w:tc>
      </w:tr>
      <w:tr w:rsidR="004F2716" w:rsidRPr="003253A0" w14:paraId="78DFC76C" w14:textId="77777777" w:rsidTr="00582303">
        <w:trPr>
          <w:jc w:val="center"/>
        </w:trPr>
        <w:tc>
          <w:tcPr>
            <w:tcW w:w="5103" w:type="dxa"/>
            <w:tcBorders>
              <w:top w:val="nil"/>
              <w:left w:val="nil"/>
              <w:bottom w:val="single" w:sz="4" w:space="0" w:color="auto"/>
              <w:right w:val="nil"/>
            </w:tcBorders>
            <w:shd w:val="clear" w:color="auto" w:fill="auto"/>
            <w:vAlign w:val="center"/>
            <w:hideMark/>
          </w:tcPr>
          <w:p w14:paraId="54B9ACEE" w14:textId="4D25508E" w:rsidR="004F2716" w:rsidRPr="003253A0" w:rsidRDefault="004F2716" w:rsidP="004C46A6">
            <w:pPr>
              <w:keepNext/>
              <w:keepLines/>
              <w:tabs>
                <w:tab w:val="clear" w:pos="567"/>
                <w:tab w:val="clear" w:pos="1134"/>
                <w:tab w:val="clear" w:pos="1701"/>
                <w:tab w:val="clear" w:pos="2268"/>
              </w:tabs>
              <w:spacing w:before="20" w:after="20"/>
              <w:jc w:val="left"/>
              <w:rPr>
                <w:rFonts w:eastAsia="Times New Roman"/>
                <w:color w:val="000000"/>
                <w:sz w:val="20"/>
                <w:szCs w:val="20"/>
                <w:lang w:val="fr-FR" w:eastAsia="zh-CN"/>
              </w:rPr>
            </w:pPr>
            <w:r w:rsidRPr="003253A0">
              <w:rPr>
                <w:rFonts w:eastAsia="Times New Roman"/>
                <w:color w:val="000000"/>
                <w:sz w:val="20"/>
                <w:szCs w:val="20"/>
                <w:lang w:val="fr-FR" w:eastAsia="zh-CN"/>
              </w:rPr>
              <w:t xml:space="preserve">D. </w:t>
            </w:r>
            <w:r w:rsidR="000249CF" w:rsidRPr="003253A0">
              <w:rPr>
                <w:rFonts w:eastAsia="Times New Roman"/>
                <w:color w:val="000000"/>
                <w:sz w:val="20"/>
                <w:szCs w:val="20"/>
                <w:lang w:val="fr-FR" w:eastAsia="zh-CN"/>
              </w:rPr>
              <w:t>Appui administratif</w:t>
            </w:r>
          </w:p>
        </w:tc>
        <w:tc>
          <w:tcPr>
            <w:tcW w:w="992" w:type="dxa"/>
            <w:tcBorders>
              <w:top w:val="nil"/>
              <w:left w:val="nil"/>
              <w:bottom w:val="single" w:sz="4" w:space="0" w:color="auto"/>
              <w:right w:val="nil"/>
            </w:tcBorders>
            <w:shd w:val="clear" w:color="auto" w:fill="auto"/>
            <w:vAlign w:val="center"/>
            <w:hideMark/>
          </w:tcPr>
          <w:p w14:paraId="722C071E" w14:textId="0B6745B4" w:rsidR="004F2716" w:rsidRPr="003253A0" w:rsidRDefault="004F2716" w:rsidP="004C46A6">
            <w:pPr>
              <w:keepNext/>
              <w:keepLines/>
              <w:tabs>
                <w:tab w:val="clear" w:pos="567"/>
                <w:tab w:val="clear" w:pos="1134"/>
                <w:tab w:val="clear" w:pos="1701"/>
                <w:tab w:val="clear" w:pos="2268"/>
              </w:tabs>
              <w:spacing w:before="20" w:after="20"/>
              <w:jc w:val="right"/>
              <w:rPr>
                <w:rFonts w:eastAsia="Times New Roman"/>
                <w:color w:val="000000"/>
                <w:sz w:val="20"/>
                <w:szCs w:val="20"/>
                <w:lang w:val="fr-FR" w:eastAsia="zh-CN"/>
              </w:rPr>
            </w:pPr>
            <w:r w:rsidRPr="003253A0">
              <w:rPr>
                <w:rFonts w:eastAsia="Times New Roman"/>
                <w:color w:val="000000"/>
                <w:sz w:val="20"/>
                <w:szCs w:val="20"/>
                <w:lang w:val="fr-FR" w:eastAsia="zh-CN"/>
              </w:rPr>
              <w:t>3 590</w:t>
            </w:r>
            <w:r w:rsidR="000C12E8" w:rsidRPr="003253A0">
              <w:rPr>
                <w:rFonts w:eastAsia="Times New Roman"/>
                <w:color w:val="000000"/>
                <w:sz w:val="20"/>
                <w:szCs w:val="20"/>
                <w:lang w:val="fr-FR" w:eastAsia="zh-CN"/>
              </w:rPr>
              <w:t>,</w:t>
            </w:r>
            <w:r w:rsidRPr="003253A0">
              <w:rPr>
                <w:rFonts w:eastAsia="Times New Roman"/>
                <w:color w:val="000000"/>
                <w:sz w:val="20"/>
                <w:szCs w:val="20"/>
                <w:lang w:val="fr-FR" w:eastAsia="zh-CN"/>
              </w:rPr>
              <w:t>2</w:t>
            </w:r>
          </w:p>
        </w:tc>
        <w:tc>
          <w:tcPr>
            <w:tcW w:w="992" w:type="dxa"/>
            <w:tcBorders>
              <w:top w:val="nil"/>
              <w:left w:val="nil"/>
              <w:bottom w:val="single" w:sz="4" w:space="0" w:color="auto"/>
              <w:right w:val="nil"/>
            </w:tcBorders>
            <w:shd w:val="clear" w:color="auto" w:fill="auto"/>
            <w:vAlign w:val="center"/>
            <w:hideMark/>
          </w:tcPr>
          <w:p w14:paraId="1E19EFE1" w14:textId="0BCF00AC" w:rsidR="004F2716" w:rsidRPr="003253A0" w:rsidRDefault="004F2716" w:rsidP="004C46A6">
            <w:pPr>
              <w:keepNext/>
              <w:keepLines/>
              <w:tabs>
                <w:tab w:val="clear" w:pos="567"/>
                <w:tab w:val="clear" w:pos="1134"/>
                <w:tab w:val="clear" w:pos="1701"/>
                <w:tab w:val="clear" w:pos="2268"/>
              </w:tabs>
              <w:spacing w:before="20" w:after="20"/>
              <w:jc w:val="right"/>
              <w:rPr>
                <w:rFonts w:eastAsia="Times New Roman"/>
                <w:color w:val="000000"/>
                <w:sz w:val="20"/>
                <w:szCs w:val="20"/>
                <w:lang w:val="fr-FR" w:eastAsia="zh-CN"/>
              </w:rPr>
            </w:pPr>
            <w:r w:rsidRPr="003253A0">
              <w:rPr>
                <w:rFonts w:eastAsia="Times New Roman"/>
                <w:color w:val="000000"/>
                <w:sz w:val="20"/>
                <w:szCs w:val="20"/>
                <w:lang w:val="fr-FR" w:eastAsia="zh-CN"/>
              </w:rPr>
              <w:t>3 443</w:t>
            </w:r>
            <w:r w:rsidR="000C12E8" w:rsidRPr="003253A0">
              <w:rPr>
                <w:rFonts w:eastAsia="Times New Roman"/>
                <w:color w:val="000000"/>
                <w:sz w:val="20"/>
                <w:szCs w:val="20"/>
                <w:lang w:val="fr-FR" w:eastAsia="zh-CN"/>
              </w:rPr>
              <w:t>,</w:t>
            </w:r>
            <w:r w:rsidRPr="003253A0">
              <w:rPr>
                <w:rFonts w:eastAsia="Times New Roman"/>
                <w:color w:val="000000"/>
                <w:sz w:val="20"/>
                <w:szCs w:val="20"/>
                <w:lang w:val="fr-FR" w:eastAsia="zh-CN"/>
              </w:rPr>
              <w:t>2</w:t>
            </w:r>
          </w:p>
        </w:tc>
        <w:tc>
          <w:tcPr>
            <w:tcW w:w="1045" w:type="dxa"/>
            <w:tcBorders>
              <w:top w:val="nil"/>
              <w:left w:val="nil"/>
              <w:bottom w:val="single" w:sz="4" w:space="0" w:color="auto"/>
              <w:right w:val="nil"/>
            </w:tcBorders>
            <w:shd w:val="clear" w:color="auto" w:fill="auto"/>
            <w:vAlign w:val="center"/>
            <w:hideMark/>
          </w:tcPr>
          <w:p w14:paraId="64144674" w14:textId="49B3A0FE" w:rsidR="004F2716" w:rsidRPr="003253A0" w:rsidRDefault="004F2716" w:rsidP="004C46A6">
            <w:pPr>
              <w:keepNext/>
              <w:keepLines/>
              <w:tabs>
                <w:tab w:val="clear" w:pos="567"/>
                <w:tab w:val="clear" w:pos="1134"/>
                <w:tab w:val="clear" w:pos="1701"/>
                <w:tab w:val="clear" w:pos="2268"/>
              </w:tabs>
              <w:spacing w:before="20" w:after="20"/>
              <w:jc w:val="right"/>
              <w:rPr>
                <w:rFonts w:eastAsia="Times New Roman"/>
                <w:color w:val="000000"/>
                <w:sz w:val="20"/>
                <w:szCs w:val="20"/>
                <w:lang w:val="fr-FR" w:eastAsia="zh-CN"/>
              </w:rPr>
            </w:pPr>
            <w:r w:rsidRPr="003253A0">
              <w:rPr>
                <w:rFonts w:eastAsia="Times New Roman"/>
                <w:color w:val="000000"/>
                <w:sz w:val="20"/>
                <w:szCs w:val="20"/>
                <w:lang w:val="fr-FR" w:eastAsia="zh-CN"/>
              </w:rPr>
              <w:t>7 033</w:t>
            </w:r>
            <w:r w:rsidR="000C12E8" w:rsidRPr="003253A0">
              <w:rPr>
                <w:rFonts w:eastAsia="Times New Roman"/>
                <w:color w:val="000000"/>
                <w:sz w:val="20"/>
                <w:szCs w:val="20"/>
                <w:lang w:val="fr-FR" w:eastAsia="zh-CN"/>
              </w:rPr>
              <w:t>,</w:t>
            </w:r>
            <w:r w:rsidRPr="003253A0">
              <w:rPr>
                <w:rFonts w:eastAsia="Times New Roman"/>
                <w:color w:val="000000"/>
                <w:sz w:val="20"/>
                <w:szCs w:val="20"/>
                <w:lang w:val="fr-FR" w:eastAsia="zh-CN"/>
              </w:rPr>
              <w:t>4</w:t>
            </w:r>
          </w:p>
        </w:tc>
      </w:tr>
      <w:tr w:rsidR="004F2716" w:rsidRPr="003253A0" w14:paraId="7123ACCF" w14:textId="77777777" w:rsidTr="00582303">
        <w:trPr>
          <w:jc w:val="center"/>
        </w:trPr>
        <w:tc>
          <w:tcPr>
            <w:tcW w:w="5103" w:type="dxa"/>
            <w:tcBorders>
              <w:top w:val="single" w:sz="4" w:space="0" w:color="auto"/>
              <w:left w:val="nil"/>
              <w:bottom w:val="single" w:sz="4" w:space="0" w:color="auto"/>
              <w:right w:val="nil"/>
            </w:tcBorders>
            <w:shd w:val="clear" w:color="auto" w:fill="auto"/>
            <w:vAlign w:val="center"/>
            <w:hideMark/>
          </w:tcPr>
          <w:p w14:paraId="3BF28108" w14:textId="4126A067" w:rsidR="004F2716" w:rsidRPr="003253A0" w:rsidRDefault="00751F5D" w:rsidP="004C46A6">
            <w:pPr>
              <w:tabs>
                <w:tab w:val="clear" w:pos="567"/>
                <w:tab w:val="clear" w:pos="1134"/>
                <w:tab w:val="clear" w:pos="1701"/>
                <w:tab w:val="clear" w:pos="2268"/>
              </w:tabs>
              <w:spacing w:before="20" w:after="20"/>
              <w:jc w:val="left"/>
              <w:rPr>
                <w:rFonts w:eastAsia="Times New Roman"/>
                <w:b/>
                <w:bCs/>
                <w:color w:val="000000"/>
                <w:sz w:val="20"/>
                <w:szCs w:val="20"/>
                <w:lang w:val="fr-FR" w:eastAsia="zh-CN"/>
              </w:rPr>
            </w:pPr>
            <w:r w:rsidRPr="003253A0">
              <w:rPr>
                <w:rFonts w:eastAsia="Times New Roman"/>
                <w:b/>
                <w:bCs/>
                <w:color w:val="000000"/>
                <w:sz w:val="20"/>
                <w:szCs w:val="20"/>
                <w:lang w:val="fr-FR" w:eastAsia="zh-CN"/>
              </w:rPr>
              <w:t>Total partiel</w:t>
            </w:r>
          </w:p>
        </w:tc>
        <w:tc>
          <w:tcPr>
            <w:tcW w:w="992" w:type="dxa"/>
            <w:tcBorders>
              <w:top w:val="single" w:sz="4" w:space="0" w:color="auto"/>
              <w:left w:val="nil"/>
              <w:bottom w:val="single" w:sz="4" w:space="0" w:color="auto"/>
              <w:right w:val="nil"/>
            </w:tcBorders>
            <w:shd w:val="clear" w:color="auto" w:fill="auto"/>
            <w:vAlign w:val="center"/>
            <w:hideMark/>
          </w:tcPr>
          <w:p w14:paraId="614CE10D" w14:textId="65BFB45A" w:rsidR="004F2716" w:rsidRPr="003253A0" w:rsidRDefault="004F2716" w:rsidP="004C46A6">
            <w:pPr>
              <w:tabs>
                <w:tab w:val="clear" w:pos="567"/>
                <w:tab w:val="clear" w:pos="1134"/>
                <w:tab w:val="clear" w:pos="1701"/>
                <w:tab w:val="clear" w:pos="2268"/>
              </w:tabs>
              <w:spacing w:before="20" w:after="20"/>
              <w:jc w:val="right"/>
              <w:rPr>
                <w:rFonts w:eastAsia="Times New Roman"/>
                <w:b/>
                <w:bCs/>
                <w:color w:val="000000"/>
                <w:sz w:val="20"/>
                <w:szCs w:val="20"/>
                <w:lang w:val="fr-FR" w:eastAsia="zh-CN"/>
              </w:rPr>
            </w:pPr>
            <w:r w:rsidRPr="003253A0">
              <w:rPr>
                <w:rFonts w:eastAsia="Times New Roman"/>
                <w:b/>
                <w:bCs/>
                <w:color w:val="000000"/>
                <w:sz w:val="20"/>
                <w:szCs w:val="20"/>
                <w:lang w:val="fr-FR" w:eastAsia="zh-CN"/>
              </w:rPr>
              <w:t>19 161</w:t>
            </w:r>
            <w:r w:rsidR="000C12E8" w:rsidRPr="003253A0">
              <w:rPr>
                <w:rFonts w:eastAsia="Times New Roman"/>
                <w:b/>
                <w:bCs/>
                <w:color w:val="000000"/>
                <w:sz w:val="20"/>
                <w:szCs w:val="20"/>
                <w:lang w:val="fr-FR" w:eastAsia="zh-CN"/>
              </w:rPr>
              <w:t>,</w:t>
            </w:r>
            <w:r w:rsidRPr="003253A0">
              <w:rPr>
                <w:rFonts w:eastAsia="Times New Roman"/>
                <w:b/>
                <w:bCs/>
                <w:color w:val="000000"/>
                <w:sz w:val="20"/>
                <w:szCs w:val="20"/>
                <w:lang w:val="fr-FR" w:eastAsia="zh-CN"/>
              </w:rPr>
              <w:t>3</w:t>
            </w:r>
          </w:p>
        </w:tc>
        <w:tc>
          <w:tcPr>
            <w:tcW w:w="992" w:type="dxa"/>
            <w:tcBorders>
              <w:top w:val="single" w:sz="4" w:space="0" w:color="auto"/>
              <w:left w:val="nil"/>
              <w:bottom w:val="single" w:sz="4" w:space="0" w:color="auto"/>
              <w:right w:val="nil"/>
            </w:tcBorders>
            <w:shd w:val="clear" w:color="auto" w:fill="auto"/>
            <w:vAlign w:val="center"/>
            <w:hideMark/>
          </w:tcPr>
          <w:p w14:paraId="5D62A50F" w14:textId="18375965" w:rsidR="004F2716" w:rsidRPr="003253A0" w:rsidRDefault="004F2716" w:rsidP="004C46A6">
            <w:pPr>
              <w:tabs>
                <w:tab w:val="clear" w:pos="567"/>
                <w:tab w:val="clear" w:pos="1134"/>
                <w:tab w:val="clear" w:pos="1701"/>
                <w:tab w:val="clear" w:pos="2268"/>
              </w:tabs>
              <w:spacing w:before="20" w:after="20"/>
              <w:jc w:val="right"/>
              <w:rPr>
                <w:rFonts w:eastAsia="Times New Roman"/>
                <w:b/>
                <w:bCs/>
                <w:color w:val="000000"/>
                <w:sz w:val="20"/>
                <w:szCs w:val="20"/>
                <w:lang w:val="fr-FR" w:eastAsia="zh-CN"/>
              </w:rPr>
            </w:pPr>
            <w:r w:rsidRPr="003253A0">
              <w:rPr>
                <w:rFonts w:eastAsia="Times New Roman"/>
                <w:b/>
                <w:bCs/>
                <w:color w:val="000000"/>
                <w:sz w:val="20"/>
                <w:szCs w:val="20"/>
                <w:lang w:val="fr-FR" w:eastAsia="zh-CN"/>
              </w:rPr>
              <w:t>20 008</w:t>
            </w:r>
            <w:r w:rsidR="000C12E8" w:rsidRPr="003253A0">
              <w:rPr>
                <w:rFonts w:eastAsia="Times New Roman"/>
                <w:b/>
                <w:bCs/>
                <w:color w:val="000000"/>
                <w:sz w:val="20"/>
                <w:szCs w:val="20"/>
                <w:lang w:val="fr-FR" w:eastAsia="zh-CN"/>
              </w:rPr>
              <w:t>,</w:t>
            </w:r>
            <w:r w:rsidRPr="003253A0">
              <w:rPr>
                <w:rFonts w:eastAsia="Times New Roman"/>
                <w:b/>
                <w:bCs/>
                <w:color w:val="000000"/>
                <w:sz w:val="20"/>
                <w:szCs w:val="20"/>
                <w:lang w:val="fr-FR" w:eastAsia="zh-CN"/>
              </w:rPr>
              <w:t>6</w:t>
            </w:r>
          </w:p>
        </w:tc>
        <w:tc>
          <w:tcPr>
            <w:tcW w:w="1045" w:type="dxa"/>
            <w:tcBorders>
              <w:top w:val="single" w:sz="4" w:space="0" w:color="auto"/>
              <w:left w:val="nil"/>
              <w:bottom w:val="single" w:sz="4" w:space="0" w:color="auto"/>
              <w:right w:val="nil"/>
            </w:tcBorders>
            <w:shd w:val="clear" w:color="auto" w:fill="auto"/>
            <w:vAlign w:val="center"/>
            <w:hideMark/>
          </w:tcPr>
          <w:p w14:paraId="2C631B86" w14:textId="5F8226BF" w:rsidR="004F2716" w:rsidRPr="003253A0" w:rsidRDefault="004F2716" w:rsidP="004C46A6">
            <w:pPr>
              <w:tabs>
                <w:tab w:val="clear" w:pos="567"/>
                <w:tab w:val="clear" w:pos="1134"/>
                <w:tab w:val="clear" w:pos="1701"/>
                <w:tab w:val="clear" w:pos="2268"/>
              </w:tabs>
              <w:spacing w:before="20" w:after="20"/>
              <w:jc w:val="right"/>
              <w:rPr>
                <w:rFonts w:eastAsia="Times New Roman"/>
                <w:b/>
                <w:bCs/>
                <w:color w:val="000000"/>
                <w:sz w:val="20"/>
                <w:szCs w:val="20"/>
                <w:lang w:val="fr-FR" w:eastAsia="zh-CN"/>
              </w:rPr>
            </w:pPr>
            <w:r w:rsidRPr="003253A0">
              <w:rPr>
                <w:rFonts w:eastAsia="Times New Roman"/>
                <w:b/>
                <w:bCs/>
                <w:color w:val="000000"/>
                <w:sz w:val="20"/>
                <w:szCs w:val="20"/>
                <w:lang w:val="fr-FR" w:eastAsia="zh-CN"/>
              </w:rPr>
              <w:t>39 170</w:t>
            </w:r>
            <w:r w:rsidR="000C12E8" w:rsidRPr="003253A0">
              <w:rPr>
                <w:rFonts w:eastAsia="Times New Roman"/>
                <w:b/>
                <w:bCs/>
                <w:color w:val="000000"/>
                <w:sz w:val="20"/>
                <w:szCs w:val="20"/>
                <w:lang w:val="fr-FR" w:eastAsia="zh-CN"/>
              </w:rPr>
              <w:t>,</w:t>
            </w:r>
            <w:r w:rsidRPr="003253A0">
              <w:rPr>
                <w:rFonts w:eastAsia="Times New Roman"/>
                <w:b/>
                <w:bCs/>
                <w:color w:val="000000"/>
                <w:sz w:val="20"/>
                <w:szCs w:val="20"/>
                <w:lang w:val="fr-FR" w:eastAsia="zh-CN"/>
              </w:rPr>
              <w:t>0</w:t>
            </w:r>
          </w:p>
        </w:tc>
      </w:tr>
      <w:tr w:rsidR="004F2716" w:rsidRPr="003253A0" w14:paraId="63F8C948" w14:textId="77777777" w:rsidTr="00582303">
        <w:trPr>
          <w:jc w:val="center"/>
        </w:trPr>
        <w:tc>
          <w:tcPr>
            <w:tcW w:w="5103" w:type="dxa"/>
            <w:tcBorders>
              <w:top w:val="single" w:sz="4" w:space="0" w:color="auto"/>
              <w:left w:val="nil"/>
              <w:bottom w:val="nil"/>
              <w:right w:val="nil"/>
            </w:tcBorders>
            <w:shd w:val="clear" w:color="auto" w:fill="auto"/>
            <w:vAlign w:val="center"/>
            <w:hideMark/>
          </w:tcPr>
          <w:p w14:paraId="00A965D5" w14:textId="1CF5F9CD" w:rsidR="004F2716" w:rsidRPr="003253A0" w:rsidRDefault="000249CF" w:rsidP="004C46A6">
            <w:pPr>
              <w:tabs>
                <w:tab w:val="clear" w:pos="567"/>
                <w:tab w:val="clear" w:pos="1134"/>
                <w:tab w:val="clear" w:pos="1701"/>
                <w:tab w:val="clear" w:pos="2268"/>
              </w:tabs>
              <w:spacing w:before="20" w:after="20"/>
              <w:jc w:val="left"/>
              <w:rPr>
                <w:rFonts w:eastAsia="Times New Roman"/>
                <w:color w:val="000000"/>
                <w:sz w:val="20"/>
                <w:szCs w:val="20"/>
                <w:lang w:val="fr-FR" w:eastAsia="zh-CN"/>
              </w:rPr>
            </w:pPr>
            <w:r w:rsidRPr="003253A0">
              <w:rPr>
                <w:rFonts w:eastAsia="Times New Roman"/>
                <w:color w:val="000000"/>
                <w:sz w:val="20"/>
                <w:szCs w:val="20"/>
                <w:lang w:val="fr-FR" w:eastAsia="zh-CN"/>
              </w:rPr>
              <w:t>Dépenses d’appui au programme</w:t>
            </w:r>
            <w:r w:rsidR="00BA7C78">
              <w:rPr>
                <w:rFonts w:eastAsia="Times New Roman"/>
                <w:color w:val="000000"/>
                <w:sz w:val="20"/>
                <w:szCs w:val="20"/>
                <w:lang w:val="fr-FR" w:eastAsia="zh-CN"/>
              </w:rPr>
              <w:t xml:space="preserve"> (13 %)</w:t>
            </w:r>
          </w:p>
        </w:tc>
        <w:tc>
          <w:tcPr>
            <w:tcW w:w="992" w:type="dxa"/>
            <w:tcBorders>
              <w:top w:val="single" w:sz="4" w:space="0" w:color="auto"/>
              <w:left w:val="nil"/>
              <w:bottom w:val="nil"/>
              <w:right w:val="nil"/>
            </w:tcBorders>
            <w:shd w:val="clear" w:color="auto" w:fill="auto"/>
            <w:vAlign w:val="center"/>
            <w:hideMark/>
          </w:tcPr>
          <w:p w14:paraId="7DB44DC1" w14:textId="0EF866A2" w:rsidR="004F2716" w:rsidRPr="003253A0" w:rsidRDefault="004F2716" w:rsidP="004C46A6">
            <w:pPr>
              <w:tabs>
                <w:tab w:val="clear" w:pos="567"/>
                <w:tab w:val="clear" w:pos="1134"/>
                <w:tab w:val="clear" w:pos="1701"/>
                <w:tab w:val="clear" w:pos="2268"/>
              </w:tabs>
              <w:spacing w:before="20" w:after="20"/>
              <w:jc w:val="right"/>
              <w:rPr>
                <w:rFonts w:eastAsia="Times New Roman"/>
                <w:color w:val="000000"/>
                <w:sz w:val="20"/>
                <w:szCs w:val="20"/>
                <w:lang w:val="fr-FR" w:eastAsia="zh-CN"/>
              </w:rPr>
            </w:pPr>
            <w:r w:rsidRPr="003253A0">
              <w:rPr>
                <w:rFonts w:eastAsia="Times New Roman"/>
                <w:color w:val="000000"/>
                <w:sz w:val="20"/>
                <w:szCs w:val="20"/>
                <w:lang w:val="fr-FR" w:eastAsia="zh-CN"/>
              </w:rPr>
              <w:t>2 491</w:t>
            </w:r>
            <w:r w:rsidR="000C12E8" w:rsidRPr="003253A0">
              <w:rPr>
                <w:rFonts w:eastAsia="Times New Roman"/>
                <w:color w:val="000000"/>
                <w:sz w:val="20"/>
                <w:szCs w:val="20"/>
                <w:lang w:val="fr-FR" w:eastAsia="zh-CN"/>
              </w:rPr>
              <w:t>,</w:t>
            </w:r>
            <w:r w:rsidRPr="003253A0">
              <w:rPr>
                <w:rFonts w:eastAsia="Times New Roman"/>
                <w:color w:val="000000"/>
                <w:sz w:val="20"/>
                <w:szCs w:val="20"/>
                <w:lang w:val="fr-FR" w:eastAsia="zh-CN"/>
              </w:rPr>
              <w:t>0</w:t>
            </w:r>
          </w:p>
        </w:tc>
        <w:tc>
          <w:tcPr>
            <w:tcW w:w="992" w:type="dxa"/>
            <w:tcBorders>
              <w:top w:val="single" w:sz="4" w:space="0" w:color="auto"/>
              <w:left w:val="nil"/>
              <w:bottom w:val="nil"/>
              <w:right w:val="nil"/>
            </w:tcBorders>
            <w:shd w:val="clear" w:color="auto" w:fill="auto"/>
            <w:vAlign w:val="center"/>
            <w:hideMark/>
          </w:tcPr>
          <w:p w14:paraId="0917D9DB" w14:textId="33702AE3" w:rsidR="004F2716" w:rsidRPr="003253A0" w:rsidRDefault="004F2716" w:rsidP="004C46A6">
            <w:pPr>
              <w:tabs>
                <w:tab w:val="clear" w:pos="567"/>
                <w:tab w:val="clear" w:pos="1134"/>
                <w:tab w:val="clear" w:pos="1701"/>
                <w:tab w:val="clear" w:pos="2268"/>
              </w:tabs>
              <w:spacing w:before="20" w:after="20"/>
              <w:jc w:val="right"/>
              <w:rPr>
                <w:rFonts w:eastAsia="Times New Roman"/>
                <w:color w:val="000000"/>
                <w:sz w:val="20"/>
                <w:szCs w:val="20"/>
                <w:lang w:val="fr-FR" w:eastAsia="zh-CN"/>
              </w:rPr>
            </w:pPr>
            <w:r w:rsidRPr="003253A0">
              <w:rPr>
                <w:rFonts w:eastAsia="Times New Roman"/>
                <w:color w:val="000000"/>
                <w:sz w:val="20"/>
                <w:szCs w:val="20"/>
                <w:lang w:val="fr-FR" w:eastAsia="zh-CN"/>
              </w:rPr>
              <w:t>2 601</w:t>
            </w:r>
            <w:r w:rsidR="000C12E8" w:rsidRPr="003253A0">
              <w:rPr>
                <w:rFonts w:eastAsia="Times New Roman"/>
                <w:color w:val="000000"/>
                <w:sz w:val="20"/>
                <w:szCs w:val="20"/>
                <w:lang w:val="fr-FR" w:eastAsia="zh-CN"/>
              </w:rPr>
              <w:t>,</w:t>
            </w:r>
            <w:r w:rsidRPr="003253A0">
              <w:rPr>
                <w:rFonts w:eastAsia="Times New Roman"/>
                <w:color w:val="000000"/>
                <w:sz w:val="20"/>
                <w:szCs w:val="20"/>
                <w:lang w:val="fr-FR" w:eastAsia="zh-CN"/>
              </w:rPr>
              <w:t>1</w:t>
            </w:r>
          </w:p>
        </w:tc>
        <w:tc>
          <w:tcPr>
            <w:tcW w:w="1045" w:type="dxa"/>
            <w:tcBorders>
              <w:top w:val="single" w:sz="4" w:space="0" w:color="auto"/>
              <w:left w:val="nil"/>
              <w:bottom w:val="nil"/>
              <w:right w:val="nil"/>
            </w:tcBorders>
            <w:shd w:val="clear" w:color="auto" w:fill="auto"/>
            <w:vAlign w:val="center"/>
            <w:hideMark/>
          </w:tcPr>
          <w:p w14:paraId="730D656C" w14:textId="75C1DD8D" w:rsidR="004F2716" w:rsidRPr="003253A0" w:rsidRDefault="004F2716" w:rsidP="004C46A6">
            <w:pPr>
              <w:tabs>
                <w:tab w:val="clear" w:pos="567"/>
                <w:tab w:val="clear" w:pos="1134"/>
                <w:tab w:val="clear" w:pos="1701"/>
                <w:tab w:val="clear" w:pos="2268"/>
              </w:tabs>
              <w:spacing w:before="20" w:after="20"/>
              <w:jc w:val="right"/>
              <w:rPr>
                <w:rFonts w:eastAsia="Times New Roman"/>
                <w:color w:val="000000"/>
                <w:sz w:val="20"/>
                <w:szCs w:val="20"/>
                <w:lang w:val="fr-FR" w:eastAsia="zh-CN"/>
              </w:rPr>
            </w:pPr>
            <w:r w:rsidRPr="003253A0">
              <w:rPr>
                <w:rFonts w:eastAsia="Times New Roman"/>
                <w:color w:val="000000"/>
                <w:sz w:val="20"/>
                <w:szCs w:val="20"/>
                <w:lang w:val="fr-FR" w:eastAsia="zh-CN"/>
              </w:rPr>
              <w:t>5 092</w:t>
            </w:r>
            <w:r w:rsidR="000C12E8" w:rsidRPr="003253A0">
              <w:rPr>
                <w:rFonts w:eastAsia="Times New Roman"/>
                <w:color w:val="000000"/>
                <w:sz w:val="20"/>
                <w:szCs w:val="20"/>
                <w:lang w:val="fr-FR" w:eastAsia="zh-CN"/>
              </w:rPr>
              <w:t>,</w:t>
            </w:r>
            <w:r w:rsidRPr="003253A0">
              <w:rPr>
                <w:rFonts w:eastAsia="Times New Roman"/>
                <w:color w:val="000000"/>
                <w:sz w:val="20"/>
                <w:szCs w:val="20"/>
                <w:lang w:val="fr-FR" w:eastAsia="zh-CN"/>
              </w:rPr>
              <w:t>1</w:t>
            </w:r>
          </w:p>
        </w:tc>
      </w:tr>
      <w:tr w:rsidR="004F2716" w:rsidRPr="003253A0" w14:paraId="5588E957" w14:textId="77777777" w:rsidTr="00582303">
        <w:trPr>
          <w:jc w:val="center"/>
        </w:trPr>
        <w:tc>
          <w:tcPr>
            <w:tcW w:w="5103" w:type="dxa"/>
            <w:tcBorders>
              <w:top w:val="nil"/>
              <w:left w:val="nil"/>
              <w:bottom w:val="single" w:sz="4" w:space="0" w:color="auto"/>
              <w:right w:val="nil"/>
            </w:tcBorders>
            <w:shd w:val="clear" w:color="auto" w:fill="auto"/>
            <w:vAlign w:val="center"/>
            <w:hideMark/>
          </w:tcPr>
          <w:p w14:paraId="5A4EC278" w14:textId="4DE4DD33" w:rsidR="004F2716" w:rsidRPr="003253A0" w:rsidRDefault="000249CF" w:rsidP="004C46A6">
            <w:pPr>
              <w:tabs>
                <w:tab w:val="clear" w:pos="567"/>
                <w:tab w:val="clear" w:pos="1134"/>
                <w:tab w:val="clear" w:pos="1701"/>
                <w:tab w:val="clear" w:pos="2268"/>
              </w:tabs>
              <w:spacing w:before="20" w:after="20"/>
              <w:jc w:val="left"/>
              <w:rPr>
                <w:rFonts w:eastAsia="Times New Roman"/>
                <w:color w:val="000000"/>
                <w:sz w:val="20"/>
                <w:szCs w:val="20"/>
                <w:lang w:val="fr-FR" w:eastAsia="zh-CN"/>
              </w:rPr>
            </w:pPr>
            <w:r w:rsidRPr="003253A0">
              <w:rPr>
                <w:rFonts w:eastAsia="Times New Roman"/>
                <w:color w:val="000000"/>
                <w:sz w:val="20"/>
                <w:szCs w:val="20"/>
                <w:lang w:val="fr-FR" w:eastAsia="zh-CN"/>
              </w:rPr>
              <w:t>Réserve de fonds de roulement</w:t>
            </w:r>
          </w:p>
        </w:tc>
        <w:tc>
          <w:tcPr>
            <w:tcW w:w="992" w:type="dxa"/>
            <w:tcBorders>
              <w:top w:val="nil"/>
              <w:left w:val="nil"/>
              <w:bottom w:val="single" w:sz="4" w:space="0" w:color="auto"/>
              <w:right w:val="nil"/>
            </w:tcBorders>
            <w:shd w:val="clear" w:color="auto" w:fill="auto"/>
            <w:vAlign w:val="center"/>
            <w:hideMark/>
          </w:tcPr>
          <w:p w14:paraId="1A876457" w14:textId="0D9CB322" w:rsidR="004F2716" w:rsidRPr="003253A0" w:rsidRDefault="004F2716" w:rsidP="004C46A6">
            <w:pPr>
              <w:tabs>
                <w:tab w:val="clear" w:pos="567"/>
                <w:tab w:val="clear" w:pos="1134"/>
                <w:tab w:val="clear" w:pos="1701"/>
                <w:tab w:val="clear" w:pos="2268"/>
              </w:tabs>
              <w:spacing w:before="20" w:after="20"/>
              <w:jc w:val="right"/>
              <w:rPr>
                <w:rFonts w:eastAsia="Times New Roman"/>
                <w:color w:val="000000"/>
                <w:sz w:val="20"/>
                <w:szCs w:val="20"/>
                <w:lang w:val="fr-FR" w:eastAsia="zh-CN"/>
              </w:rPr>
            </w:pPr>
            <w:r w:rsidRPr="003253A0">
              <w:rPr>
                <w:rFonts w:eastAsia="Times New Roman"/>
                <w:color w:val="000000"/>
                <w:sz w:val="20"/>
                <w:szCs w:val="20"/>
                <w:lang w:val="fr-FR" w:eastAsia="zh-CN"/>
              </w:rPr>
              <w:t>29</w:t>
            </w:r>
            <w:r w:rsidR="00AA1A10" w:rsidRPr="003253A0">
              <w:rPr>
                <w:rFonts w:eastAsia="Times New Roman"/>
                <w:color w:val="000000"/>
                <w:sz w:val="20"/>
                <w:szCs w:val="20"/>
                <w:lang w:val="fr-FR" w:eastAsia="zh-CN"/>
              </w:rPr>
              <w:t>,</w:t>
            </w:r>
            <w:r w:rsidRPr="003253A0">
              <w:rPr>
                <w:rFonts w:eastAsia="Times New Roman"/>
                <w:color w:val="000000"/>
                <w:sz w:val="20"/>
                <w:szCs w:val="20"/>
                <w:lang w:val="fr-FR" w:eastAsia="zh-CN"/>
              </w:rPr>
              <w:t>8</w:t>
            </w:r>
          </w:p>
        </w:tc>
        <w:tc>
          <w:tcPr>
            <w:tcW w:w="992" w:type="dxa"/>
            <w:tcBorders>
              <w:top w:val="nil"/>
              <w:left w:val="nil"/>
              <w:bottom w:val="single" w:sz="4" w:space="0" w:color="auto"/>
              <w:right w:val="nil"/>
            </w:tcBorders>
            <w:shd w:val="clear" w:color="auto" w:fill="auto"/>
            <w:vAlign w:val="center"/>
            <w:hideMark/>
          </w:tcPr>
          <w:p w14:paraId="572122EA" w14:textId="04AF6144" w:rsidR="004F2716" w:rsidRPr="003253A0" w:rsidRDefault="004F2716" w:rsidP="004C46A6">
            <w:pPr>
              <w:tabs>
                <w:tab w:val="clear" w:pos="567"/>
                <w:tab w:val="clear" w:pos="1134"/>
                <w:tab w:val="clear" w:pos="1701"/>
                <w:tab w:val="clear" w:pos="2268"/>
              </w:tabs>
              <w:spacing w:before="20" w:after="20"/>
              <w:jc w:val="right"/>
              <w:rPr>
                <w:rFonts w:eastAsia="Times New Roman"/>
                <w:color w:val="000000"/>
                <w:sz w:val="20"/>
                <w:szCs w:val="20"/>
                <w:lang w:val="fr-FR" w:eastAsia="zh-CN"/>
              </w:rPr>
            </w:pPr>
            <w:r w:rsidRPr="003253A0">
              <w:rPr>
                <w:rFonts w:eastAsia="Times New Roman"/>
                <w:color w:val="000000"/>
                <w:sz w:val="20"/>
                <w:szCs w:val="20"/>
                <w:lang w:val="fr-FR" w:eastAsia="zh-CN"/>
              </w:rPr>
              <w:t>143</w:t>
            </w:r>
            <w:r w:rsidR="00AA1A10" w:rsidRPr="003253A0">
              <w:rPr>
                <w:rFonts w:eastAsia="Times New Roman"/>
                <w:color w:val="000000"/>
                <w:sz w:val="20"/>
                <w:szCs w:val="20"/>
                <w:lang w:val="fr-FR" w:eastAsia="zh-CN"/>
              </w:rPr>
              <w:t>,</w:t>
            </w:r>
            <w:r w:rsidRPr="003253A0">
              <w:rPr>
                <w:rFonts w:eastAsia="Times New Roman"/>
                <w:color w:val="000000"/>
                <w:sz w:val="20"/>
                <w:szCs w:val="20"/>
                <w:lang w:val="fr-FR" w:eastAsia="zh-CN"/>
              </w:rPr>
              <w:t>6</w:t>
            </w:r>
          </w:p>
        </w:tc>
        <w:tc>
          <w:tcPr>
            <w:tcW w:w="1045" w:type="dxa"/>
            <w:tcBorders>
              <w:top w:val="nil"/>
              <w:left w:val="nil"/>
              <w:bottom w:val="single" w:sz="4" w:space="0" w:color="auto"/>
              <w:right w:val="nil"/>
            </w:tcBorders>
            <w:shd w:val="clear" w:color="auto" w:fill="auto"/>
            <w:noWrap/>
            <w:vAlign w:val="center"/>
            <w:hideMark/>
          </w:tcPr>
          <w:p w14:paraId="2D454586" w14:textId="5EE31B03" w:rsidR="004F2716" w:rsidRPr="003253A0" w:rsidRDefault="004F2716" w:rsidP="004C46A6">
            <w:pPr>
              <w:tabs>
                <w:tab w:val="clear" w:pos="567"/>
                <w:tab w:val="clear" w:pos="1134"/>
                <w:tab w:val="clear" w:pos="1701"/>
                <w:tab w:val="clear" w:pos="2268"/>
              </w:tabs>
              <w:spacing w:before="20" w:after="20"/>
              <w:jc w:val="right"/>
              <w:rPr>
                <w:rFonts w:eastAsia="Times New Roman"/>
                <w:color w:val="000000"/>
                <w:sz w:val="20"/>
                <w:szCs w:val="20"/>
                <w:lang w:val="fr-FR" w:eastAsia="zh-CN"/>
              </w:rPr>
            </w:pPr>
            <w:r w:rsidRPr="003253A0">
              <w:rPr>
                <w:rFonts w:eastAsia="Times New Roman"/>
                <w:color w:val="000000"/>
                <w:sz w:val="20"/>
                <w:szCs w:val="20"/>
                <w:lang w:val="fr-FR" w:eastAsia="zh-CN"/>
              </w:rPr>
              <w:t>173</w:t>
            </w:r>
            <w:r w:rsidR="00AA1A10" w:rsidRPr="003253A0">
              <w:rPr>
                <w:rFonts w:eastAsia="Times New Roman"/>
                <w:color w:val="000000"/>
                <w:sz w:val="20"/>
                <w:szCs w:val="20"/>
                <w:lang w:val="fr-FR" w:eastAsia="zh-CN"/>
              </w:rPr>
              <w:t>,</w:t>
            </w:r>
            <w:r w:rsidRPr="003253A0">
              <w:rPr>
                <w:rFonts w:eastAsia="Times New Roman"/>
                <w:color w:val="000000"/>
                <w:sz w:val="20"/>
                <w:szCs w:val="20"/>
                <w:lang w:val="fr-FR" w:eastAsia="zh-CN"/>
              </w:rPr>
              <w:t>4</w:t>
            </w:r>
          </w:p>
        </w:tc>
      </w:tr>
      <w:tr w:rsidR="004F2716" w:rsidRPr="003253A0" w14:paraId="65B69F0A" w14:textId="77777777" w:rsidTr="00582303">
        <w:trPr>
          <w:jc w:val="center"/>
        </w:trPr>
        <w:tc>
          <w:tcPr>
            <w:tcW w:w="5103" w:type="dxa"/>
            <w:tcBorders>
              <w:top w:val="single" w:sz="4" w:space="0" w:color="auto"/>
              <w:left w:val="nil"/>
              <w:bottom w:val="single" w:sz="4" w:space="0" w:color="auto"/>
              <w:right w:val="nil"/>
            </w:tcBorders>
            <w:shd w:val="clear" w:color="auto" w:fill="auto"/>
            <w:vAlign w:val="center"/>
            <w:hideMark/>
          </w:tcPr>
          <w:p w14:paraId="006C8946" w14:textId="090F34A8" w:rsidR="004F2716" w:rsidRPr="003253A0" w:rsidRDefault="004F2716" w:rsidP="004C46A6">
            <w:pPr>
              <w:tabs>
                <w:tab w:val="clear" w:pos="567"/>
                <w:tab w:val="clear" w:pos="1134"/>
                <w:tab w:val="clear" w:pos="1701"/>
                <w:tab w:val="clear" w:pos="2268"/>
              </w:tabs>
              <w:spacing w:before="20" w:after="20"/>
              <w:jc w:val="left"/>
              <w:rPr>
                <w:rFonts w:eastAsia="Times New Roman"/>
                <w:b/>
                <w:bCs/>
                <w:color w:val="000000"/>
                <w:sz w:val="20"/>
                <w:szCs w:val="20"/>
                <w:lang w:val="fr-FR" w:eastAsia="zh-CN"/>
              </w:rPr>
            </w:pPr>
            <w:r w:rsidRPr="003253A0">
              <w:rPr>
                <w:rFonts w:eastAsia="Times New Roman"/>
                <w:b/>
                <w:bCs/>
                <w:color w:val="000000"/>
                <w:sz w:val="20"/>
                <w:szCs w:val="20"/>
                <w:lang w:val="fr-FR" w:eastAsia="zh-CN"/>
              </w:rPr>
              <w:t xml:space="preserve">Total </w:t>
            </w:r>
            <w:r w:rsidR="000249CF" w:rsidRPr="003253A0">
              <w:rPr>
                <w:rFonts w:eastAsia="Times New Roman"/>
                <w:b/>
                <w:bCs/>
                <w:color w:val="000000"/>
                <w:sz w:val="20"/>
                <w:szCs w:val="20"/>
                <w:lang w:val="fr-FR" w:eastAsia="zh-CN"/>
              </w:rPr>
              <w:t>général</w:t>
            </w:r>
          </w:p>
        </w:tc>
        <w:tc>
          <w:tcPr>
            <w:tcW w:w="992" w:type="dxa"/>
            <w:tcBorders>
              <w:top w:val="single" w:sz="4" w:space="0" w:color="auto"/>
              <w:left w:val="nil"/>
              <w:bottom w:val="single" w:sz="4" w:space="0" w:color="auto"/>
              <w:right w:val="nil"/>
            </w:tcBorders>
            <w:shd w:val="clear" w:color="auto" w:fill="auto"/>
            <w:vAlign w:val="center"/>
            <w:hideMark/>
          </w:tcPr>
          <w:p w14:paraId="5EDAEDA9" w14:textId="3A6C5589" w:rsidR="004F2716" w:rsidRPr="003253A0" w:rsidRDefault="004F2716" w:rsidP="004C46A6">
            <w:pPr>
              <w:tabs>
                <w:tab w:val="clear" w:pos="567"/>
                <w:tab w:val="clear" w:pos="1134"/>
                <w:tab w:val="clear" w:pos="1701"/>
                <w:tab w:val="clear" w:pos="2268"/>
              </w:tabs>
              <w:spacing w:before="20" w:after="20"/>
              <w:jc w:val="right"/>
              <w:rPr>
                <w:rFonts w:eastAsia="Times New Roman"/>
                <w:b/>
                <w:bCs/>
                <w:color w:val="000000"/>
                <w:sz w:val="20"/>
                <w:szCs w:val="20"/>
                <w:lang w:val="fr-FR" w:eastAsia="zh-CN"/>
              </w:rPr>
            </w:pPr>
            <w:r w:rsidRPr="003253A0">
              <w:rPr>
                <w:rFonts w:eastAsia="Times New Roman"/>
                <w:b/>
                <w:bCs/>
                <w:color w:val="000000"/>
                <w:sz w:val="20"/>
                <w:szCs w:val="20"/>
                <w:lang w:val="fr-FR" w:eastAsia="zh-CN"/>
              </w:rPr>
              <w:t>21 682</w:t>
            </w:r>
            <w:r w:rsidR="00AA1A10" w:rsidRPr="003253A0">
              <w:rPr>
                <w:rFonts w:eastAsia="Times New Roman"/>
                <w:b/>
                <w:bCs/>
                <w:color w:val="000000"/>
                <w:sz w:val="20"/>
                <w:szCs w:val="20"/>
                <w:lang w:val="fr-FR" w:eastAsia="zh-CN"/>
              </w:rPr>
              <w:t>,</w:t>
            </w:r>
            <w:r w:rsidRPr="003253A0">
              <w:rPr>
                <w:rFonts w:eastAsia="Times New Roman"/>
                <w:b/>
                <w:bCs/>
                <w:color w:val="000000"/>
                <w:sz w:val="20"/>
                <w:szCs w:val="20"/>
                <w:lang w:val="fr-FR" w:eastAsia="zh-CN"/>
              </w:rPr>
              <w:t>1</w:t>
            </w:r>
          </w:p>
        </w:tc>
        <w:tc>
          <w:tcPr>
            <w:tcW w:w="992" w:type="dxa"/>
            <w:tcBorders>
              <w:top w:val="single" w:sz="4" w:space="0" w:color="auto"/>
              <w:left w:val="nil"/>
              <w:bottom w:val="single" w:sz="4" w:space="0" w:color="auto"/>
              <w:right w:val="nil"/>
            </w:tcBorders>
            <w:shd w:val="clear" w:color="auto" w:fill="auto"/>
            <w:vAlign w:val="center"/>
            <w:hideMark/>
          </w:tcPr>
          <w:p w14:paraId="0FDC652F" w14:textId="2FC2091D" w:rsidR="004F2716" w:rsidRPr="003253A0" w:rsidRDefault="004F2716" w:rsidP="004C46A6">
            <w:pPr>
              <w:tabs>
                <w:tab w:val="clear" w:pos="567"/>
                <w:tab w:val="clear" w:pos="1134"/>
                <w:tab w:val="clear" w:pos="1701"/>
                <w:tab w:val="clear" w:pos="2268"/>
              </w:tabs>
              <w:spacing w:before="20" w:after="20"/>
              <w:jc w:val="right"/>
              <w:rPr>
                <w:rFonts w:eastAsia="Times New Roman"/>
                <w:b/>
                <w:bCs/>
                <w:color w:val="000000"/>
                <w:sz w:val="20"/>
                <w:szCs w:val="20"/>
                <w:lang w:val="fr-FR" w:eastAsia="zh-CN"/>
              </w:rPr>
            </w:pPr>
            <w:r w:rsidRPr="003253A0">
              <w:rPr>
                <w:rFonts w:eastAsia="Times New Roman"/>
                <w:b/>
                <w:bCs/>
                <w:color w:val="000000"/>
                <w:sz w:val="20"/>
                <w:szCs w:val="20"/>
                <w:lang w:val="fr-FR" w:eastAsia="zh-CN"/>
              </w:rPr>
              <w:t>22 753</w:t>
            </w:r>
            <w:r w:rsidR="00AA1A10" w:rsidRPr="003253A0">
              <w:rPr>
                <w:rFonts w:eastAsia="Times New Roman"/>
                <w:b/>
                <w:bCs/>
                <w:color w:val="000000"/>
                <w:sz w:val="20"/>
                <w:szCs w:val="20"/>
                <w:lang w:val="fr-FR" w:eastAsia="zh-CN"/>
              </w:rPr>
              <w:t>,</w:t>
            </w:r>
            <w:r w:rsidRPr="003253A0">
              <w:rPr>
                <w:rFonts w:eastAsia="Times New Roman"/>
                <w:b/>
                <w:bCs/>
                <w:color w:val="000000"/>
                <w:sz w:val="20"/>
                <w:szCs w:val="20"/>
                <w:lang w:val="fr-FR" w:eastAsia="zh-CN"/>
              </w:rPr>
              <w:t>4</w:t>
            </w:r>
          </w:p>
        </w:tc>
        <w:tc>
          <w:tcPr>
            <w:tcW w:w="1045" w:type="dxa"/>
            <w:tcBorders>
              <w:top w:val="single" w:sz="4" w:space="0" w:color="auto"/>
              <w:left w:val="nil"/>
              <w:bottom w:val="single" w:sz="4" w:space="0" w:color="auto"/>
              <w:right w:val="nil"/>
            </w:tcBorders>
            <w:shd w:val="clear" w:color="auto" w:fill="auto"/>
            <w:vAlign w:val="center"/>
            <w:hideMark/>
          </w:tcPr>
          <w:p w14:paraId="15227386" w14:textId="70C23DB7" w:rsidR="004F2716" w:rsidRPr="003253A0" w:rsidRDefault="004F2716" w:rsidP="004C46A6">
            <w:pPr>
              <w:tabs>
                <w:tab w:val="clear" w:pos="567"/>
                <w:tab w:val="clear" w:pos="1134"/>
                <w:tab w:val="clear" w:pos="1701"/>
                <w:tab w:val="clear" w:pos="2268"/>
              </w:tabs>
              <w:spacing w:before="20" w:after="20"/>
              <w:jc w:val="right"/>
              <w:rPr>
                <w:rFonts w:eastAsia="Times New Roman"/>
                <w:b/>
                <w:bCs/>
                <w:color w:val="000000"/>
                <w:sz w:val="20"/>
                <w:szCs w:val="20"/>
                <w:lang w:val="fr-FR" w:eastAsia="zh-CN"/>
              </w:rPr>
            </w:pPr>
            <w:r w:rsidRPr="003253A0">
              <w:rPr>
                <w:rFonts w:eastAsia="Times New Roman"/>
                <w:b/>
                <w:bCs/>
                <w:color w:val="000000"/>
                <w:sz w:val="20"/>
                <w:szCs w:val="20"/>
                <w:lang w:val="fr-FR" w:eastAsia="zh-CN"/>
              </w:rPr>
              <w:t>44 435</w:t>
            </w:r>
            <w:r w:rsidR="00AA1A10" w:rsidRPr="003253A0">
              <w:rPr>
                <w:rFonts w:eastAsia="Times New Roman"/>
                <w:b/>
                <w:bCs/>
                <w:color w:val="000000"/>
                <w:sz w:val="20"/>
                <w:szCs w:val="20"/>
                <w:lang w:val="fr-FR" w:eastAsia="zh-CN"/>
              </w:rPr>
              <w:t>,</w:t>
            </w:r>
            <w:r w:rsidR="006D750F" w:rsidRPr="003253A0">
              <w:rPr>
                <w:rFonts w:eastAsia="Times New Roman"/>
                <w:b/>
                <w:bCs/>
                <w:color w:val="000000"/>
                <w:sz w:val="20"/>
                <w:szCs w:val="20"/>
                <w:lang w:val="fr-FR" w:eastAsia="zh-CN"/>
              </w:rPr>
              <w:t>5</w:t>
            </w:r>
          </w:p>
        </w:tc>
      </w:tr>
      <w:tr w:rsidR="004F2716" w:rsidRPr="003253A0" w14:paraId="025F4535" w14:textId="77777777" w:rsidTr="00582303">
        <w:trPr>
          <w:jc w:val="center"/>
        </w:trPr>
        <w:tc>
          <w:tcPr>
            <w:tcW w:w="5103" w:type="dxa"/>
            <w:tcBorders>
              <w:top w:val="single" w:sz="4" w:space="0" w:color="auto"/>
              <w:left w:val="nil"/>
              <w:right w:val="nil"/>
            </w:tcBorders>
            <w:shd w:val="clear" w:color="auto" w:fill="auto"/>
            <w:vAlign w:val="center"/>
            <w:hideMark/>
          </w:tcPr>
          <w:p w14:paraId="2A0027CA" w14:textId="708EB1BB" w:rsidR="004F2716" w:rsidRPr="003253A0" w:rsidRDefault="000249CF" w:rsidP="004C46A6">
            <w:pPr>
              <w:tabs>
                <w:tab w:val="clear" w:pos="567"/>
                <w:tab w:val="clear" w:pos="1134"/>
                <w:tab w:val="clear" w:pos="1701"/>
                <w:tab w:val="clear" w:pos="2268"/>
              </w:tabs>
              <w:spacing w:before="20" w:after="20"/>
              <w:jc w:val="left"/>
              <w:rPr>
                <w:rFonts w:eastAsia="Times New Roman"/>
                <w:color w:val="000000"/>
                <w:sz w:val="20"/>
                <w:szCs w:val="20"/>
                <w:lang w:val="fr-FR" w:eastAsia="zh-CN"/>
              </w:rPr>
            </w:pPr>
            <w:r w:rsidRPr="003253A0">
              <w:rPr>
                <w:rFonts w:eastAsia="Times New Roman"/>
                <w:color w:val="000000"/>
                <w:sz w:val="20"/>
                <w:szCs w:val="20"/>
                <w:lang w:val="fr-FR" w:eastAsia="zh-CN"/>
              </w:rPr>
              <w:t>Part de la Convention dans le budget intégré</w:t>
            </w:r>
            <w:r w:rsidR="004F2716" w:rsidRPr="003253A0">
              <w:rPr>
                <w:rFonts w:eastAsia="Times New Roman"/>
                <w:color w:val="000000"/>
                <w:sz w:val="20"/>
                <w:szCs w:val="20"/>
                <w:lang w:val="fr-FR" w:eastAsia="zh-CN"/>
              </w:rPr>
              <w:t xml:space="preserve"> (72</w:t>
            </w:r>
            <w:r w:rsidRPr="003253A0">
              <w:rPr>
                <w:rFonts w:eastAsia="Times New Roman"/>
                <w:color w:val="000000"/>
                <w:sz w:val="20"/>
                <w:szCs w:val="20"/>
                <w:lang w:val="fr-FR" w:eastAsia="zh-CN"/>
              </w:rPr>
              <w:t> %</w:t>
            </w:r>
            <w:r w:rsidR="004F2716" w:rsidRPr="003253A0">
              <w:rPr>
                <w:rFonts w:eastAsia="Times New Roman"/>
                <w:color w:val="000000"/>
                <w:sz w:val="20"/>
                <w:szCs w:val="20"/>
                <w:lang w:val="fr-FR" w:eastAsia="zh-CN"/>
              </w:rPr>
              <w:t>)</w:t>
            </w:r>
          </w:p>
        </w:tc>
        <w:tc>
          <w:tcPr>
            <w:tcW w:w="992" w:type="dxa"/>
            <w:tcBorders>
              <w:top w:val="single" w:sz="4" w:space="0" w:color="auto"/>
              <w:left w:val="nil"/>
              <w:right w:val="nil"/>
            </w:tcBorders>
            <w:shd w:val="clear" w:color="auto" w:fill="auto"/>
            <w:vAlign w:val="center"/>
            <w:hideMark/>
          </w:tcPr>
          <w:p w14:paraId="63032C19" w14:textId="679AB816" w:rsidR="004F2716" w:rsidRPr="003253A0" w:rsidRDefault="004F2716" w:rsidP="004C46A6">
            <w:pPr>
              <w:tabs>
                <w:tab w:val="clear" w:pos="567"/>
                <w:tab w:val="clear" w:pos="1134"/>
                <w:tab w:val="clear" w:pos="1701"/>
                <w:tab w:val="clear" w:pos="2268"/>
              </w:tabs>
              <w:spacing w:before="20" w:after="20"/>
              <w:jc w:val="right"/>
              <w:rPr>
                <w:rFonts w:eastAsia="Times New Roman"/>
                <w:color w:val="000000"/>
                <w:sz w:val="20"/>
                <w:szCs w:val="20"/>
                <w:lang w:val="fr-FR" w:eastAsia="zh-CN"/>
              </w:rPr>
            </w:pPr>
            <w:r w:rsidRPr="003253A0">
              <w:rPr>
                <w:rFonts w:eastAsia="Times New Roman"/>
                <w:color w:val="000000"/>
                <w:sz w:val="20"/>
                <w:szCs w:val="20"/>
                <w:lang w:val="fr-FR" w:eastAsia="zh-CN"/>
              </w:rPr>
              <w:t>15 611</w:t>
            </w:r>
            <w:r w:rsidR="00AA1A10" w:rsidRPr="003253A0">
              <w:rPr>
                <w:rFonts w:eastAsia="Times New Roman"/>
                <w:color w:val="000000"/>
                <w:sz w:val="20"/>
                <w:szCs w:val="20"/>
                <w:lang w:val="fr-FR" w:eastAsia="zh-CN"/>
              </w:rPr>
              <w:t>,</w:t>
            </w:r>
            <w:r w:rsidRPr="003253A0">
              <w:rPr>
                <w:rFonts w:eastAsia="Times New Roman"/>
                <w:color w:val="000000"/>
                <w:sz w:val="20"/>
                <w:szCs w:val="20"/>
                <w:lang w:val="fr-FR" w:eastAsia="zh-CN"/>
              </w:rPr>
              <w:t>1</w:t>
            </w:r>
          </w:p>
        </w:tc>
        <w:tc>
          <w:tcPr>
            <w:tcW w:w="992" w:type="dxa"/>
            <w:tcBorders>
              <w:top w:val="single" w:sz="4" w:space="0" w:color="auto"/>
              <w:left w:val="nil"/>
              <w:right w:val="nil"/>
            </w:tcBorders>
            <w:shd w:val="clear" w:color="auto" w:fill="auto"/>
            <w:vAlign w:val="center"/>
            <w:hideMark/>
          </w:tcPr>
          <w:p w14:paraId="0BBFB25F" w14:textId="322DAB48" w:rsidR="004F2716" w:rsidRPr="003253A0" w:rsidRDefault="004F2716" w:rsidP="004C46A6">
            <w:pPr>
              <w:tabs>
                <w:tab w:val="clear" w:pos="567"/>
                <w:tab w:val="clear" w:pos="1134"/>
                <w:tab w:val="clear" w:pos="1701"/>
                <w:tab w:val="clear" w:pos="2268"/>
              </w:tabs>
              <w:spacing w:before="20" w:after="20"/>
              <w:jc w:val="right"/>
              <w:rPr>
                <w:rFonts w:eastAsia="Times New Roman"/>
                <w:color w:val="000000"/>
                <w:sz w:val="20"/>
                <w:szCs w:val="20"/>
                <w:lang w:val="fr-FR" w:eastAsia="zh-CN"/>
              </w:rPr>
            </w:pPr>
            <w:r w:rsidRPr="003253A0">
              <w:rPr>
                <w:rFonts w:eastAsia="Times New Roman"/>
                <w:color w:val="000000"/>
                <w:sz w:val="20"/>
                <w:szCs w:val="20"/>
                <w:lang w:val="fr-FR" w:eastAsia="zh-CN"/>
              </w:rPr>
              <w:t>16 382</w:t>
            </w:r>
            <w:r w:rsidR="00AA1A10" w:rsidRPr="003253A0">
              <w:rPr>
                <w:rFonts w:eastAsia="Times New Roman"/>
                <w:color w:val="000000"/>
                <w:sz w:val="20"/>
                <w:szCs w:val="20"/>
                <w:lang w:val="fr-FR" w:eastAsia="zh-CN"/>
              </w:rPr>
              <w:t>,</w:t>
            </w:r>
            <w:r w:rsidRPr="003253A0">
              <w:rPr>
                <w:rFonts w:eastAsia="Times New Roman"/>
                <w:color w:val="000000"/>
                <w:sz w:val="20"/>
                <w:szCs w:val="20"/>
                <w:lang w:val="fr-FR" w:eastAsia="zh-CN"/>
              </w:rPr>
              <w:t>4</w:t>
            </w:r>
          </w:p>
        </w:tc>
        <w:tc>
          <w:tcPr>
            <w:tcW w:w="1045" w:type="dxa"/>
            <w:tcBorders>
              <w:top w:val="single" w:sz="4" w:space="0" w:color="auto"/>
              <w:left w:val="nil"/>
              <w:right w:val="nil"/>
            </w:tcBorders>
            <w:shd w:val="clear" w:color="auto" w:fill="auto"/>
            <w:vAlign w:val="center"/>
            <w:hideMark/>
          </w:tcPr>
          <w:p w14:paraId="542AA095" w14:textId="25A872BC" w:rsidR="004F2716" w:rsidRPr="003253A0" w:rsidRDefault="004F2716" w:rsidP="004C46A6">
            <w:pPr>
              <w:tabs>
                <w:tab w:val="clear" w:pos="567"/>
                <w:tab w:val="clear" w:pos="1134"/>
                <w:tab w:val="clear" w:pos="1701"/>
                <w:tab w:val="clear" w:pos="2268"/>
              </w:tabs>
              <w:spacing w:before="20" w:after="20"/>
              <w:jc w:val="right"/>
              <w:rPr>
                <w:rFonts w:eastAsia="Times New Roman"/>
                <w:color w:val="000000"/>
                <w:sz w:val="20"/>
                <w:szCs w:val="20"/>
                <w:lang w:val="fr-FR" w:eastAsia="zh-CN"/>
              </w:rPr>
            </w:pPr>
            <w:r w:rsidRPr="003253A0">
              <w:rPr>
                <w:rFonts w:eastAsia="Times New Roman"/>
                <w:color w:val="000000"/>
                <w:sz w:val="20"/>
                <w:szCs w:val="20"/>
                <w:lang w:val="fr-FR" w:eastAsia="zh-CN"/>
              </w:rPr>
              <w:t>31 993</w:t>
            </w:r>
            <w:r w:rsidR="00AA1A10" w:rsidRPr="003253A0">
              <w:rPr>
                <w:rFonts w:eastAsia="Times New Roman"/>
                <w:color w:val="000000"/>
                <w:sz w:val="20"/>
                <w:szCs w:val="20"/>
                <w:lang w:val="fr-FR" w:eastAsia="zh-CN"/>
              </w:rPr>
              <w:t>,</w:t>
            </w:r>
            <w:r w:rsidRPr="003253A0">
              <w:rPr>
                <w:rFonts w:eastAsia="Times New Roman"/>
                <w:color w:val="000000"/>
                <w:sz w:val="20"/>
                <w:szCs w:val="20"/>
                <w:lang w:val="fr-FR" w:eastAsia="zh-CN"/>
              </w:rPr>
              <w:t>5</w:t>
            </w:r>
          </w:p>
        </w:tc>
      </w:tr>
      <w:tr w:rsidR="004F2716" w:rsidRPr="003253A0" w14:paraId="2B1DABFB" w14:textId="77777777" w:rsidTr="00582303">
        <w:trPr>
          <w:jc w:val="center"/>
        </w:trPr>
        <w:tc>
          <w:tcPr>
            <w:tcW w:w="5103" w:type="dxa"/>
            <w:tcBorders>
              <w:left w:val="nil"/>
              <w:bottom w:val="nil"/>
              <w:right w:val="nil"/>
            </w:tcBorders>
            <w:shd w:val="clear" w:color="auto" w:fill="auto"/>
            <w:vAlign w:val="center"/>
            <w:hideMark/>
          </w:tcPr>
          <w:p w14:paraId="1BEEA3E6" w14:textId="012C2BBB" w:rsidR="004F2716" w:rsidRPr="003253A0" w:rsidRDefault="000249CF" w:rsidP="004C46A6">
            <w:pPr>
              <w:tabs>
                <w:tab w:val="clear" w:pos="567"/>
                <w:tab w:val="clear" w:pos="1134"/>
                <w:tab w:val="clear" w:pos="1701"/>
                <w:tab w:val="clear" w:pos="2268"/>
              </w:tabs>
              <w:spacing w:before="20" w:after="20"/>
              <w:jc w:val="left"/>
              <w:rPr>
                <w:rFonts w:eastAsia="Times New Roman"/>
                <w:color w:val="000000"/>
                <w:sz w:val="20"/>
                <w:szCs w:val="20"/>
                <w:lang w:val="fr-FR" w:eastAsia="zh-CN"/>
              </w:rPr>
            </w:pPr>
            <w:r w:rsidRPr="003253A0">
              <w:rPr>
                <w:rFonts w:eastAsia="Times New Roman"/>
                <w:color w:val="000000"/>
                <w:sz w:val="20"/>
                <w:szCs w:val="20"/>
                <w:lang w:val="fr-FR" w:eastAsia="zh-CN"/>
              </w:rPr>
              <w:t>Contributions du pays hôte</w:t>
            </w:r>
          </w:p>
        </w:tc>
        <w:tc>
          <w:tcPr>
            <w:tcW w:w="992" w:type="dxa"/>
            <w:tcBorders>
              <w:left w:val="nil"/>
              <w:bottom w:val="nil"/>
              <w:right w:val="nil"/>
            </w:tcBorders>
            <w:shd w:val="clear" w:color="auto" w:fill="auto"/>
            <w:vAlign w:val="center"/>
            <w:hideMark/>
          </w:tcPr>
          <w:p w14:paraId="2D127764" w14:textId="092978D5" w:rsidR="004F2716" w:rsidRPr="003253A0" w:rsidRDefault="004F2716" w:rsidP="004C46A6">
            <w:pPr>
              <w:tabs>
                <w:tab w:val="clear" w:pos="567"/>
                <w:tab w:val="clear" w:pos="1134"/>
                <w:tab w:val="clear" w:pos="1701"/>
                <w:tab w:val="clear" w:pos="2268"/>
              </w:tabs>
              <w:spacing w:before="20" w:after="20"/>
              <w:jc w:val="right"/>
              <w:rPr>
                <w:rFonts w:eastAsia="Times New Roman"/>
                <w:color w:val="000000"/>
                <w:sz w:val="20"/>
                <w:szCs w:val="20"/>
                <w:lang w:val="fr-FR" w:eastAsia="zh-CN"/>
              </w:rPr>
            </w:pPr>
            <w:r w:rsidRPr="003253A0">
              <w:rPr>
                <w:rFonts w:eastAsia="Times New Roman"/>
                <w:color w:val="000000"/>
                <w:sz w:val="20"/>
                <w:szCs w:val="20"/>
                <w:lang w:val="fr-FR" w:eastAsia="zh-CN"/>
              </w:rPr>
              <w:t>(1 189</w:t>
            </w:r>
            <w:r w:rsidR="00AA1A10" w:rsidRPr="003253A0">
              <w:rPr>
                <w:rFonts w:eastAsia="Times New Roman"/>
                <w:color w:val="000000"/>
                <w:sz w:val="20"/>
                <w:szCs w:val="20"/>
                <w:lang w:val="fr-FR" w:eastAsia="zh-CN"/>
              </w:rPr>
              <w:t>,</w:t>
            </w:r>
            <w:r w:rsidRPr="003253A0">
              <w:rPr>
                <w:rFonts w:eastAsia="Times New Roman"/>
                <w:color w:val="000000"/>
                <w:sz w:val="20"/>
                <w:szCs w:val="20"/>
                <w:lang w:val="fr-FR" w:eastAsia="zh-CN"/>
              </w:rPr>
              <w:t>9)</w:t>
            </w:r>
          </w:p>
        </w:tc>
        <w:tc>
          <w:tcPr>
            <w:tcW w:w="992" w:type="dxa"/>
            <w:tcBorders>
              <w:left w:val="nil"/>
              <w:bottom w:val="nil"/>
              <w:right w:val="nil"/>
            </w:tcBorders>
            <w:shd w:val="clear" w:color="auto" w:fill="auto"/>
            <w:vAlign w:val="center"/>
            <w:hideMark/>
          </w:tcPr>
          <w:p w14:paraId="387AF0B9" w14:textId="72AA8DF5" w:rsidR="004F2716" w:rsidRPr="003253A0" w:rsidRDefault="004F2716" w:rsidP="004C46A6">
            <w:pPr>
              <w:tabs>
                <w:tab w:val="clear" w:pos="567"/>
                <w:tab w:val="clear" w:pos="1134"/>
                <w:tab w:val="clear" w:pos="1701"/>
                <w:tab w:val="clear" w:pos="2268"/>
              </w:tabs>
              <w:spacing w:before="20" w:after="20"/>
              <w:jc w:val="right"/>
              <w:rPr>
                <w:rFonts w:eastAsia="Times New Roman"/>
                <w:color w:val="000000"/>
                <w:sz w:val="20"/>
                <w:szCs w:val="20"/>
                <w:lang w:val="fr-FR" w:eastAsia="zh-CN"/>
              </w:rPr>
            </w:pPr>
            <w:r w:rsidRPr="003253A0">
              <w:rPr>
                <w:rFonts w:eastAsia="Times New Roman"/>
                <w:color w:val="000000"/>
                <w:sz w:val="20"/>
                <w:szCs w:val="20"/>
                <w:lang w:val="fr-FR" w:eastAsia="zh-CN"/>
              </w:rPr>
              <w:t>(1 201</w:t>
            </w:r>
            <w:r w:rsidR="00AA1A10" w:rsidRPr="003253A0">
              <w:rPr>
                <w:rFonts w:eastAsia="Times New Roman"/>
                <w:color w:val="000000"/>
                <w:sz w:val="20"/>
                <w:szCs w:val="20"/>
                <w:lang w:val="fr-FR" w:eastAsia="zh-CN"/>
              </w:rPr>
              <w:t>,</w:t>
            </w:r>
            <w:r w:rsidRPr="003253A0">
              <w:rPr>
                <w:rFonts w:eastAsia="Times New Roman"/>
                <w:color w:val="000000"/>
                <w:sz w:val="20"/>
                <w:szCs w:val="20"/>
                <w:lang w:val="fr-FR" w:eastAsia="zh-CN"/>
              </w:rPr>
              <w:t>4)</w:t>
            </w:r>
          </w:p>
        </w:tc>
        <w:tc>
          <w:tcPr>
            <w:tcW w:w="1045" w:type="dxa"/>
            <w:tcBorders>
              <w:left w:val="nil"/>
              <w:bottom w:val="nil"/>
              <w:right w:val="nil"/>
            </w:tcBorders>
            <w:shd w:val="clear" w:color="auto" w:fill="auto"/>
            <w:vAlign w:val="center"/>
            <w:hideMark/>
          </w:tcPr>
          <w:p w14:paraId="5F71C84A" w14:textId="0236143E" w:rsidR="004F2716" w:rsidRPr="003253A0" w:rsidRDefault="004F2716" w:rsidP="004C46A6">
            <w:pPr>
              <w:tabs>
                <w:tab w:val="clear" w:pos="567"/>
                <w:tab w:val="clear" w:pos="1134"/>
                <w:tab w:val="clear" w:pos="1701"/>
                <w:tab w:val="clear" w:pos="2268"/>
              </w:tabs>
              <w:spacing w:before="20" w:after="20"/>
              <w:jc w:val="right"/>
              <w:rPr>
                <w:rFonts w:eastAsia="Times New Roman"/>
                <w:color w:val="000000"/>
                <w:sz w:val="20"/>
                <w:szCs w:val="20"/>
                <w:lang w:val="fr-FR" w:eastAsia="zh-CN"/>
              </w:rPr>
            </w:pPr>
            <w:r w:rsidRPr="003253A0">
              <w:rPr>
                <w:rFonts w:eastAsia="Times New Roman"/>
                <w:color w:val="000000"/>
                <w:sz w:val="20"/>
                <w:szCs w:val="20"/>
                <w:lang w:val="fr-FR" w:eastAsia="zh-CN"/>
              </w:rPr>
              <w:t>(2 391</w:t>
            </w:r>
            <w:r w:rsidR="00AA1A10" w:rsidRPr="003253A0">
              <w:rPr>
                <w:rFonts w:eastAsia="Times New Roman"/>
                <w:color w:val="000000"/>
                <w:sz w:val="20"/>
                <w:szCs w:val="20"/>
                <w:lang w:val="fr-FR" w:eastAsia="zh-CN"/>
              </w:rPr>
              <w:t>,</w:t>
            </w:r>
            <w:r w:rsidRPr="003253A0">
              <w:rPr>
                <w:rFonts w:eastAsia="Times New Roman"/>
                <w:color w:val="000000"/>
                <w:sz w:val="20"/>
                <w:szCs w:val="20"/>
                <w:lang w:val="fr-FR" w:eastAsia="zh-CN"/>
              </w:rPr>
              <w:t>3)</w:t>
            </w:r>
          </w:p>
        </w:tc>
      </w:tr>
      <w:tr w:rsidR="004F2716" w:rsidRPr="003253A0" w14:paraId="79515F3A" w14:textId="77777777" w:rsidTr="00582303">
        <w:trPr>
          <w:jc w:val="center"/>
        </w:trPr>
        <w:tc>
          <w:tcPr>
            <w:tcW w:w="5103" w:type="dxa"/>
            <w:tcBorders>
              <w:top w:val="nil"/>
              <w:left w:val="nil"/>
              <w:bottom w:val="single" w:sz="8" w:space="0" w:color="auto"/>
              <w:right w:val="nil"/>
            </w:tcBorders>
            <w:shd w:val="clear" w:color="auto" w:fill="auto"/>
            <w:vAlign w:val="center"/>
            <w:hideMark/>
          </w:tcPr>
          <w:p w14:paraId="2C5B81A5" w14:textId="1DD687D5" w:rsidR="004F2716" w:rsidRPr="003253A0" w:rsidRDefault="004F2716" w:rsidP="004C46A6">
            <w:pPr>
              <w:tabs>
                <w:tab w:val="clear" w:pos="567"/>
                <w:tab w:val="clear" w:pos="1134"/>
                <w:tab w:val="clear" w:pos="1701"/>
                <w:tab w:val="clear" w:pos="2268"/>
              </w:tabs>
              <w:spacing w:before="20" w:after="20"/>
              <w:jc w:val="left"/>
              <w:rPr>
                <w:rFonts w:eastAsia="Times New Roman"/>
                <w:color w:val="000000"/>
                <w:sz w:val="20"/>
                <w:szCs w:val="20"/>
                <w:lang w:val="fr-FR" w:eastAsia="zh-CN"/>
              </w:rPr>
            </w:pPr>
            <w:r w:rsidRPr="003253A0">
              <w:rPr>
                <w:rFonts w:eastAsia="Times New Roman"/>
                <w:color w:val="000000"/>
                <w:sz w:val="20"/>
                <w:szCs w:val="20"/>
                <w:lang w:val="fr-FR" w:eastAsia="zh-CN"/>
              </w:rPr>
              <w:t>R</w:t>
            </w:r>
            <w:r w:rsidR="000249CF" w:rsidRPr="003253A0">
              <w:rPr>
                <w:rFonts w:eastAsia="Times New Roman"/>
                <w:color w:val="000000"/>
                <w:sz w:val="20"/>
                <w:szCs w:val="20"/>
                <w:lang w:val="fr-FR" w:eastAsia="zh-CN"/>
              </w:rPr>
              <w:t>é</w:t>
            </w:r>
            <w:r w:rsidRPr="003253A0">
              <w:rPr>
                <w:rFonts w:eastAsia="Times New Roman"/>
                <w:color w:val="000000"/>
                <w:sz w:val="20"/>
                <w:szCs w:val="20"/>
                <w:lang w:val="fr-FR" w:eastAsia="zh-CN"/>
              </w:rPr>
              <w:t xml:space="preserve">serve </w:t>
            </w:r>
          </w:p>
        </w:tc>
        <w:tc>
          <w:tcPr>
            <w:tcW w:w="992" w:type="dxa"/>
            <w:tcBorders>
              <w:top w:val="nil"/>
              <w:left w:val="nil"/>
              <w:bottom w:val="single" w:sz="8" w:space="0" w:color="auto"/>
              <w:right w:val="nil"/>
            </w:tcBorders>
            <w:shd w:val="clear" w:color="auto" w:fill="auto"/>
            <w:vAlign w:val="center"/>
            <w:hideMark/>
          </w:tcPr>
          <w:p w14:paraId="4D895907" w14:textId="4CCC5698" w:rsidR="004F2716" w:rsidRPr="003253A0" w:rsidRDefault="004F2716" w:rsidP="004C46A6">
            <w:pPr>
              <w:tabs>
                <w:tab w:val="clear" w:pos="567"/>
                <w:tab w:val="clear" w:pos="1134"/>
                <w:tab w:val="clear" w:pos="1701"/>
                <w:tab w:val="clear" w:pos="2268"/>
              </w:tabs>
              <w:spacing w:before="20" w:after="20"/>
              <w:jc w:val="right"/>
              <w:rPr>
                <w:rFonts w:eastAsia="Times New Roman"/>
                <w:color w:val="000000"/>
                <w:sz w:val="20"/>
                <w:szCs w:val="20"/>
                <w:lang w:val="fr-FR" w:eastAsia="zh-CN"/>
              </w:rPr>
            </w:pPr>
            <w:r w:rsidRPr="003253A0">
              <w:rPr>
                <w:rFonts w:eastAsia="Times New Roman"/>
                <w:color w:val="000000"/>
                <w:sz w:val="20"/>
                <w:szCs w:val="20"/>
                <w:lang w:val="fr-FR" w:eastAsia="zh-CN"/>
              </w:rPr>
              <w:t>(342</w:t>
            </w:r>
            <w:r w:rsidR="00AA1A10" w:rsidRPr="003253A0">
              <w:rPr>
                <w:rFonts w:eastAsia="Times New Roman"/>
                <w:color w:val="000000"/>
                <w:sz w:val="20"/>
                <w:szCs w:val="20"/>
                <w:lang w:val="fr-FR" w:eastAsia="zh-CN"/>
              </w:rPr>
              <w:t>,</w:t>
            </w:r>
            <w:r w:rsidRPr="003253A0">
              <w:rPr>
                <w:rFonts w:eastAsia="Times New Roman"/>
                <w:color w:val="000000"/>
                <w:sz w:val="20"/>
                <w:szCs w:val="20"/>
                <w:lang w:val="fr-FR" w:eastAsia="zh-CN"/>
              </w:rPr>
              <w:t>5)</w:t>
            </w:r>
          </w:p>
        </w:tc>
        <w:tc>
          <w:tcPr>
            <w:tcW w:w="992" w:type="dxa"/>
            <w:tcBorders>
              <w:top w:val="nil"/>
              <w:left w:val="nil"/>
              <w:bottom w:val="single" w:sz="8" w:space="0" w:color="auto"/>
              <w:right w:val="nil"/>
            </w:tcBorders>
            <w:shd w:val="clear" w:color="auto" w:fill="auto"/>
            <w:vAlign w:val="center"/>
            <w:hideMark/>
          </w:tcPr>
          <w:p w14:paraId="29294353" w14:textId="13470EF3" w:rsidR="004F2716" w:rsidRPr="003253A0" w:rsidRDefault="004F2716" w:rsidP="004C46A6">
            <w:pPr>
              <w:tabs>
                <w:tab w:val="clear" w:pos="567"/>
                <w:tab w:val="clear" w:pos="1134"/>
                <w:tab w:val="clear" w:pos="1701"/>
                <w:tab w:val="clear" w:pos="2268"/>
              </w:tabs>
              <w:spacing w:before="20" w:after="20"/>
              <w:jc w:val="right"/>
              <w:rPr>
                <w:rFonts w:eastAsia="Times New Roman"/>
                <w:color w:val="000000"/>
                <w:sz w:val="20"/>
                <w:szCs w:val="20"/>
                <w:lang w:val="fr-FR" w:eastAsia="zh-CN"/>
              </w:rPr>
            </w:pPr>
            <w:r w:rsidRPr="003253A0">
              <w:rPr>
                <w:rFonts w:eastAsia="Times New Roman"/>
                <w:color w:val="000000"/>
                <w:sz w:val="20"/>
                <w:szCs w:val="20"/>
                <w:lang w:val="fr-FR" w:eastAsia="zh-CN"/>
              </w:rPr>
              <w:t>(139</w:t>
            </w:r>
            <w:r w:rsidR="00AA1A10" w:rsidRPr="003253A0">
              <w:rPr>
                <w:rFonts w:eastAsia="Times New Roman"/>
                <w:color w:val="000000"/>
                <w:sz w:val="20"/>
                <w:szCs w:val="20"/>
                <w:lang w:val="fr-FR" w:eastAsia="zh-CN"/>
              </w:rPr>
              <w:t>,</w:t>
            </w:r>
            <w:r w:rsidRPr="003253A0">
              <w:rPr>
                <w:rFonts w:eastAsia="Times New Roman"/>
                <w:color w:val="000000"/>
                <w:sz w:val="20"/>
                <w:szCs w:val="20"/>
                <w:lang w:val="fr-FR" w:eastAsia="zh-CN"/>
              </w:rPr>
              <w:t>1)</w:t>
            </w:r>
          </w:p>
        </w:tc>
        <w:tc>
          <w:tcPr>
            <w:tcW w:w="1045" w:type="dxa"/>
            <w:tcBorders>
              <w:top w:val="nil"/>
              <w:left w:val="nil"/>
              <w:bottom w:val="nil"/>
              <w:right w:val="nil"/>
            </w:tcBorders>
            <w:shd w:val="clear" w:color="auto" w:fill="auto"/>
            <w:vAlign w:val="center"/>
            <w:hideMark/>
          </w:tcPr>
          <w:p w14:paraId="2F08A291" w14:textId="5468D701" w:rsidR="004F2716" w:rsidRPr="003253A0" w:rsidRDefault="004F2716" w:rsidP="004C46A6">
            <w:pPr>
              <w:tabs>
                <w:tab w:val="clear" w:pos="567"/>
                <w:tab w:val="clear" w:pos="1134"/>
                <w:tab w:val="clear" w:pos="1701"/>
                <w:tab w:val="clear" w:pos="2268"/>
              </w:tabs>
              <w:spacing w:before="20" w:after="20"/>
              <w:jc w:val="right"/>
              <w:rPr>
                <w:rFonts w:eastAsia="Times New Roman"/>
                <w:color w:val="000000"/>
                <w:sz w:val="20"/>
                <w:szCs w:val="20"/>
                <w:lang w:val="fr-FR" w:eastAsia="zh-CN"/>
              </w:rPr>
            </w:pPr>
            <w:r w:rsidRPr="003253A0">
              <w:rPr>
                <w:rFonts w:eastAsia="Times New Roman"/>
                <w:color w:val="000000"/>
                <w:sz w:val="20"/>
                <w:szCs w:val="20"/>
                <w:lang w:val="fr-FR" w:eastAsia="zh-CN"/>
              </w:rPr>
              <w:t>(481</w:t>
            </w:r>
            <w:r w:rsidR="00AA1A10" w:rsidRPr="003253A0">
              <w:rPr>
                <w:rFonts w:eastAsia="Times New Roman"/>
                <w:color w:val="000000"/>
                <w:sz w:val="20"/>
                <w:szCs w:val="20"/>
                <w:lang w:val="fr-FR" w:eastAsia="zh-CN"/>
              </w:rPr>
              <w:t>,</w:t>
            </w:r>
            <w:r w:rsidRPr="003253A0">
              <w:rPr>
                <w:rFonts w:eastAsia="Times New Roman"/>
                <w:color w:val="000000"/>
                <w:sz w:val="20"/>
                <w:szCs w:val="20"/>
                <w:lang w:val="fr-FR" w:eastAsia="zh-CN"/>
              </w:rPr>
              <w:t>6)</w:t>
            </w:r>
          </w:p>
        </w:tc>
      </w:tr>
      <w:tr w:rsidR="004F2716" w:rsidRPr="003253A0" w14:paraId="71BB84C6" w14:textId="77777777" w:rsidTr="00582303">
        <w:trPr>
          <w:jc w:val="center"/>
        </w:trPr>
        <w:tc>
          <w:tcPr>
            <w:tcW w:w="5103" w:type="dxa"/>
            <w:tcBorders>
              <w:top w:val="nil"/>
              <w:left w:val="nil"/>
              <w:bottom w:val="single" w:sz="8" w:space="0" w:color="auto"/>
              <w:right w:val="nil"/>
            </w:tcBorders>
            <w:shd w:val="clear" w:color="auto" w:fill="auto"/>
            <w:vAlign w:val="center"/>
            <w:hideMark/>
          </w:tcPr>
          <w:p w14:paraId="41BF2A02" w14:textId="0374A0BF" w:rsidR="004F2716" w:rsidRPr="003253A0" w:rsidRDefault="000249CF" w:rsidP="004C46A6">
            <w:pPr>
              <w:tabs>
                <w:tab w:val="clear" w:pos="567"/>
                <w:tab w:val="clear" w:pos="1134"/>
                <w:tab w:val="clear" w:pos="1701"/>
                <w:tab w:val="clear" w:pos="2268"/>
              </w:tabs>
              <w:spacing w:before="20" w:after="20"/>
              <w:jc w:val="left"/>
              <w:rPr>
                <w:rFonts w:eastAsia="Times New Roman"/>
                <w:b/>
                <w:bCs/>
                <w:color w:val="000000"/>
                <w:sz w:val="20"/>
                <w:szCs w:val="20"/>
                <w:lang w:val="fr-FR" w:eastAsia="zh-CN"/>
              </w:rPr>
            </w:pPr>
            <w:r w:rsidRPr="003253A0">
              <w:rPr>
                <w:rFonts w:eastAsia="Times New Roman"/>
                <w:b/>
                <w:bCs/>
                <w:color w:val="000000"/>
                <w:sz w:val="20"/>
                <w:szCs w:val="20"/>
                <w:lang w:val="fr-FR" w:eastAsia="zh-CN"/>
              </w:rPr>
              <w:t xml:space="preserve">Total net </w:t>
            </w:r>
            <w:r w:rsidR="004F2716" w:rsidRPr="003253A0">
              <w:rPr>
                <w:rFonts w:eastAsia="Times New Roman"/>
                <w:b/>
                <w:bCs/>
                <w:color w:val="000000"/>
                <w:sz w:val="20"/>
                <w:szCs w:val="20"/>
                <w:lang w:val="fr-FR" w:eastAsia="zh-CN"/>
              </w:rPr>
              <w:t>(</w:t>
            </w:r>
            <w:r w:rsidRPr="003253A0">
              <w:rPr>
                <w:rFonts w:eastAsia="Times New Roman"/>
                <w:b/>
                <w:bCs/>
                <w:color w:val="000000"/>
                <w:sz w:val="20"/>
                <w:szCs w:val="20"/>
                <w:lang w:val="fr-FR" w:eastAsia="zh-CN"/>
              </w:rPr>
              <w:t>à répartir entre les Parties</w:t>
            </w:r>
            <w:r w:rsidR="004F2716" w:rsidRPr="003253A0">
              <w:rPr>
                <w:rFonts w:eastAsia="Times New Roman"/>
                <w:b/>
                <w:bCs/>
                <w:color w:val="000000"/>
                <w:sz w:val="20"/>
                <w:szCs w:val="20"/>
                <w:lang w:val="fr-FR" w:eastAsia="zh-CN"/>
              </w:rPr>
              <w:t>)</w:t>
            </w:r>
          </w:p>
        </w:tc>
        <w:tc>
          <w:tcPr>
            <w:tcW w:w="992" w:type="dxa"/>
            <w:tcBorders>
              <w:top w:val="nil"/>
              <w:left w:val="nil"/>
              <w:bottom w:val="single" w:sz="8" w:space="0" w:color="auto"/>
              <w:right w:val="nil"/>
            </w:tcBorders>
            <w:shd w:val="clear" w:color="auto" w:fill="auto"/>
            <w:vAlign w:val="center"/>
            <w:hideMark/>
          </w:tcPr>
          <w:p w14:paraId="5DBB64F8" w14:textId="729FEE25" w:rsidR="004F2716" w:rsidRPr="003253A0" w:rsidRDefault="004F2716" w:rsidP="004C46A6">
            <w:pPr>
              <w:tabs>
                <w:tab w:val="clear" w:pos="567"/>
                <w:tab w:val="clear" w:pos="1134"/>
                <w:tab w:val="clear" w:pos="1701"/>
                <w:tab w:val="clear" w:pos="2268"/>
              </w:tabs>
              <w:spacing w:before="20" w:after="20"/>
              <w:jc w:val="right"/>
              <w:rPr>
                <w:rFonts w:eastAsia="Times New Roman"/>
                <w:b/>
                <w:bCs/>
                <w:i/>
                <w:iCs/>
                <w:color w:val="000000"/>
                <w:sz w:val="20"/>
                <w:szCs w:val="20"/>
                <w:lang w:val="fr-FR" w:eastAsia="zh-CN"/>
              </w:rPr>
            </w:pPr>
            <w:r w:rsidRPr="003253A0">
              <w:rPr>
                <w:rFonts w:eastAsia="Times New Roman"/>
                <w:b/>
                <w:bCs/>
                <w:color w:val="000000"/>
                <w:sz w:val="20"/>
                <w:szCs w:val="20"/>
                <w:lang w:val="fr-FR" w:eastAsia="zh-CN"/>
              </w:rPr>
              <w:t>14 078</w:t>
            </w:r>
            <w:r w:rsidR="00AA1A10" w:rsidRPr="003253A0">
              <w:rPr>
                <w:rFonts w:eastAsia="Times New Roman"/>
                <w:b/>
                <w:bCs/>
                <w:color w:val="000000"/>
                <w:sz w:val="20"/>
                <w:szCs w:val="20"/>
                <w:lang w:val="fr-FR" w:eastAsia="zh-CN"/>
              </w:rPr>
              <w:t>,</w:t>
            </w:r>
            <w:r w:rsidRPr="003253A0">
              <w:rPr>
                <w:rFonts w:eastAsia="Times New Roman"/>
                <w:b/>
                <w:bCs/>
                <w:color w:val="000000"/>
                <w:sz w:val="20"/>
                <w:szCs w:val="20"/>
                <w:lang w:val="fr-FR" w:eastAsia="zh-CN"/>
              </w:rPr>
              <w:t>7</w:t>
            </w:r>
          </w:p>
        </w:tc>
        <w:tc>
          <w:tcPr>
            <w:tcW w:w="992" w:type="dxa"/>
            <w:tcBorders>
              <w:top w:val="nil"/>
              <w:left w:val="nil"/>
              <w:bottom w:val="single" w:sz="8" w:space="0" w:color="auto"/>
              <w:right w:val="nil"/>
            </w:tcBorders>
            <w:shd w:val="clear" w:color="auto" w:fill="auto"/>
            <w:vAlign w:val="center"/>
            <w:hideMark/>
          </w:tcPr>
          <w:p w14:paraId="791D5A8D" w14:textId="56951FA2" w:rsidR="004F2716" w:rsidRPr="003253A0" w:rsidRDefault="004F2716" w:rsidP="004C46A6">
            <w:pPr>
              <w:tabs>
                <w:tab w:val="clear" w:pos="567"/>
                <w:tab w:val="clear" w:pos="1134"/>
                <w:tab w:val="clear" w:pos="1701"/>
                <w:tab w:val="clear" w:pos="2268"/>
              </w:tabs>
              <w:spacing w:before="20" w:after="20"/>
              <w:jc w:val="right"/>
              <w:rPr>
                <w:rFonts w:eastAsia="Times New Roman"/>
                <w:b/>
                <w:bCs/>
                <w:i/>
                <w:iCs/>
                <w:color w:val="000000"/>
                <w:sz w:val="20"/>
                <w:szCs w:val="20"/>
                <w:lang w:val="fr-FR" w:eastAsia="zh-CN"/>
              </w:rPr>
            </w:pPr>
            <w:r w:rsidRPr="003253A0">
              <w:rPr>
                <w:rFonts w:eastAsia="Times New Roman"/>
                <w:b/>
                <w:bCs/>
                <w:color w:val="000000"/>
                <w:sz w:val="20"/>
                <w:szCs w:val="20"/>
                <w:lang w:val="fr-FR" w:eastAsia="zh-CN"/>
              </w:rPr>
              <w:t>15 042</w:t>
            </w:r>
            <w:r w:rsidR="00AA1A10" w:rsidRPr="003253A0">
              <w:rPr>
                <w:rFonts w:eastAsia="Times New Roman"/>
                <w:b/>
                <w:bCs/>
                <w:color w:val="000000"/>
                <w:sz w:val="20"/>
                <w:szCs w:val="20"/>
                <w:lang w:val="fr-FR" w:eastAsia="zh-CN"/>
              </w:rPr>
              <w:t>,</w:t>
            </w:r>
            <w:r w:rsidRPr="003253A0">
              <w:rPr>
                <w:rFonts w:eastAsia="Times New Roman"/>
                <w:b/>
                <w:bCs/>
                <w:color w:val="000000"/>
                <w:sz w:val="20"/>
                <w:szCs w:val="20"/>
                <w:lang w:val="fr-FR" w:eastAsia="zh-CN"/>
              </w:rPr>
              <w:t>0</w:t>
            </w:r>
          </w:p>
        </w:tc>
        <w:tc>
          <w:tcPr>
            <w:tcW w:w="1045" w:type="dxa"/>
            <w:tcBorders>
              <w:top w:val="single" w:sz="8" w:space="0" w:color="auto"/>
              <w:left w:val="nil"/>
              <w:bottom w:val="single" w:sz="8" w:space="0" w:color="auto"/>
              <w:right w:val="nil"/>
            </w:tcBorders>
            <w:shd w:val="clear" w:color="auto" w:fill="auto"/>
            <w:vAlign w:val="center"/>
            <w:hideMark/>
          </w:tcPr>
          <w:p w14:paraId="7627D8F7" w14:textId="321C63C7" w:rsidR="004F2716" w:rsidRPr="003253A0" w:rsidRDefault="004F2716" w:rsidP="004C46A6">
            <w:pPr>
              <w:tabs>
                <w:tab w:val="clear" w:pos="567"/>
                <w:tab w:val="clear" w:pos="1134"/>
                <w:tab w:val="clear" w:pos="1701"/>
                <w:tab w:val="clear" w:pos="2268"/>
              </w:tabs>
              <w:spacing w:before="20" w:after="20"/>
              <w:jc w:val="right"/>
              <w:rPr>
                <w:rFonts w:eastAsia="Times New Roman"/>
                <w:b/>
                <w:bCs/>
                <w:i/>
                <w:iCs/>
                <w:color w:val="000000"/>
                <w:sz w:val="20"/>
                <w:szCs w:val="20"/>
                <w:lang w:val="fr-FR" w:eastAsia="zh-CN"/>
              </w:rPr>
            </w:pPr>
            <w:r w:rsidRPr="003253A0">
              <w:rPr>
                <w:rFonts w:eastAsia="Times New Roman"/>
                <w:b/>
                <w:bCs/>
                <w:color w:val="000000"/>
                <w:sz w:val="20"/>
                <w:szCs w:val="20"/>
                <w:lang w:val="fr-FR" w:eastAsia="zh-CN"/>
              </w:rPr>
              <w:t>29 120</w:t>
            </w:r>
            <w:r w:rsidR="00AA1A10" w:rsidRPr="003253A0">
              <w:rPr>
                <w:rFonts w:eastAsia="Times New Roman"/>
                <w:b/>
                <w:bCs/>
                <w:color w:val="000000"/>
                <w:sz w:val="20"/>
                <w:szCs w:val="20"/>
                <w:lang w:val="fr-FR" w:eastAsia="zh-CN"/>
              </w:rPr>
              <w:t>,</w:t>
            </w:r>
            <w:r w:rsidRPr="003253A0">
              <w:rPr>
                <w:rFonts w:eastAsia="Times New Roman"/>
                <w:b/>
                <w:bCs/>
                <w:color w:val="000000"/>
                <w:sz w:val="20"/>
                <w:szCs w:val="20"/>
                <w:lang w:val="fr-FR" w:eastAsia="zh-CN"/>
              </w:rPr>
              <w:t>6</w:t>
            </w:r>
          </w:p>
        </w:tc>
      </w:tr>
    </w:tbl>
    <w:p w14:paraId="07F14569" w14:textId="450D1B93" w:rsidR="00282C85" w:rsidRPr="00BA52C1" w:rsidRDefault="00282C85" w:rsidP="00582303">
      <w:pPr>
        <w:pStyle w:val="CBDTableTitle"/>
        <w:spacing w:before="240"/>
        <w:rPr>
          <w:lang w:val="fr-FR"/>
        </w:rPr>
      </w:pPr>
      <w:r w:rsidRPr="00BA52C1">
        <w:rPr>
          <w:b w:val="0"/>
          <w:bCs/>
          <w:lang w:val="fr-FR"/>
        </w:rPr>
        <w:t>Table</w:t>
      </w:r>
      <w:r w:rsidR="000249CF">
        <w:rPr>
          <w:b w:val="0"/>
          <w:bCs/>
          <w:lang w:val="fr-FR"/>
        </w:rPr>
        <w:t>au</w:t>
      </w:r>
      <w:r w:rsidR="00AA1A10">
        <w:rPr>
          <w:b w:val="0"/>
          <w:bCs/>
          <w:lang w:val="fr-FR"/>
        </w:rPr>
        <w:t> </w:t>
      </w:r>
      <w:r w:rsidR="00464048" w:rsidRPr="00BA52C1">
        <w:rPr>
          <w:b w:val="0"/>
          <w:bCs/>
          <w:lang w:val="fr-FR"/>
        </w:rPr>
        <w:t>3</w:t>
      </w:r>
      <w:r w:rsidR="00E824B6" w:rsidRPr="00BA52C1">
        <w:rPr>
          <w:lang w:val="fr-FR"/>
        </w:rPr>
        <w:br/>
      </w:r>
      <w:r w:rsidR="000249CF">
        <w:rPr>
          <w:lang w:val="fr-FR"/>
        </w:rPr>
        <w:t>Besoins en effectifs du Secrétariat financés par les budgets de base de la Convention et de ses Protocoles</w:t>
      </w:r>
      <w:r w:rsidR="004E1773">
        <w:rPr>
          <w:lang w:val="fr-FR"/>
        </w:rPr>
        <w:t>,</w:t>
      </w:r>
      <w:r w:rsidR="00AA1A10">
        <w:rPr>
          <w:lang w:val="fr-FR"/>
        </w:rPr>
        <w:t> </w:t>
      </w:r>
      <w:r w:rsidRPr="00BA52C1">
        <w:rPr>
          <w:lang w:val="fr-FR"/>
        </w:rPr>
        <w:t>2025</w:t>
      </w:r>
      <w:r w:rsidR="000541AE" w:rsidRPr="00BA52C1">
        <w:rPr>
          <w:lang w:val="fr-FR"/>
        </w:rPr>
        <w:t>–</w:t>
      </w:r>
      <w:r w:rsidRPr="00BA52C1">
        <w:rPr>
          <w:lang w:val="fr-FR"/>
        </w:rPr>
        <w:t>2026</w:t>
      </w:r>
    </w:p>
    <w:tbl>
      <w:tblPr>
        <w:tblW w:w="8124" w:type="dxa"/>
        <w:jc w:val="center"/>
        <w:tblLook w:val="04A0" w:firstRow="1" w:lastRow="0" w:firstColumn="1" w:lastColumn="0" w:noHBand="0" w:noVBand="1"/>
      </w:tblPr>
      <w:tblGrid>
        <w:gridCol w:w="3261"/>
        <w:gridCol w:w="2551"/>
        <w:gridCol w:w="128"/>
        <w:gridCol w:w="2184"/>
      </w:tblGrid>
      <w:tr w:rsidR="009641CA" w:rsidRPr="003253A0" w14:paraId="39249F30" w14:textId="77777777" w:rsidTr="000249CF">
        <w:trPr>
          <w:cantSplit/>
          <w:tblHeader/>
          <w:jc w:val="center"/>
        </w:trPr>
        <w:tc>
          <w:tcPr>
            <w:tcW w:w="3261" w:type="dxa"/>
            <w:tcBorders>
              <w:top w:val="single" w:sz="4"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4E0077EE" w14:textId="68CC6ADB" w:rsidR="00282C85" w:rsidRPr="003253A0" w:rsidRDefault="000249CF" w:rsidP="004C46A6">
            <w:pPr>
              <w:keepNext/>
              <w:keepLines/>
              <w:suppressLineNumbers/>
              <w:suppressAutoHyphens/>
              <w:spacing w:before="20" w:after="20"/>
              <w:jc w:val="left"/>
              <w:rPr>
                <w:rFonts w:asciiTheme="majorBidi" w:hAnsiTheme="majorBidi" w:cstheme="majorBidi"/>
                <w:bCs/>
                <w:i/>
                <w:iCs/>
                <w:kern w:val="22"/>
                <w:sz w:val="20"/>
                <w:szCs w:val="20"/>
                <w:lang w:val="fr-FR"/>
              </w:rPr>
            </w:pPr>
            <w:r w:rsidRPr="003253A0">
              <w:rPr>
                <w:rFonts w:asciiTheme="majorBidi" w:hAnsiTheme="majorBidi" w:cstheme="majorBidi"/>
                <w:bCs/>
                <w:i/>
                <w:iCs/>
                <w:kern w:val="22"/>
                <w:sz w:val="20"/>
                <w:szCs w:val="20"/>
                <w:lang w:val="fr-FR"/>
              </w:rPr>
              <w:t>Catégorie et niveau</w:t>
            </w:r>
          </w:p>
        </w:tc>
        <w:tc>
          <w:tcPr>
            <w:tcW w:w="2551" w:type="dxa"/>
            <w:tcBorders>
              <w:top w:val="single" w:sz="4" w:space="0" w:color="auto"/>
              <w:left w:val="nil"/>
              <w:bottom w:val="single" w:sz="8" w:space="0" w:color="auto"/>
              <w:right w:val="nil"/>
            </w:tcBorders>
            <w:shd w:val="clear" w:color="auto" w:fill="auto"/>
          </w:tcPr>
          <w:p w14:paraId="0305B470" w14:textId="77D0C3AD" w:rsidR="00282C85" w:rsidRPr="003253A0" w:rsidRDefault="000249CF" w:rsidP="004C46A6">
            <w:pPr>
              <w:keepNext/>
              <w:keepLines/>
              <w:suppressLineNumbers/>
              <w:suppressAutoHyphens/>
              <w:spacing w:before="20" w:after="20"/>
              <w:jc w:val="right"/>
              <w:rPr>
                <w:rFonts w:asciiTheme="majorBidi" w:hAnsiTheme="majorBidi" w:cstheme="majorBidi"/>
                <w:bCs/>
                <w:i/>
                <w:iCs/>
                <w:kern w:val="22"/>
                <w:sz w:val="20"/>
                <w:szCs w:val="20"/>
                <w:lang w:val="fr-FR"/>
              </w:rPr>
            </w:pPr>
            <w:r w:rsidRPr="003253A0">
              <w:rPr>
                <w:rFonts w:asciiTheme="majorBidi" w:hAnsiTheme="majorBidi" w:cstheme="majorBidi"/>
                <w:bCs/>
                <w:i/>
                <w:iCs/>
                <w:kern w:val="22"/>
                <w:sz w:val="20"/>
                <w:szCs w:val="20"/>
                <w:lang w:val="fr-FR"/>
              </w:rPr>
              <w:t>Approuvé pour</w:t>
            </w:r>
            <w:r w:rsidR="00044396" w:rsidRPr="003253A0">
              <w:rPr>
                <w:rFonts w:asciiTheme="majorBidi" w:hAnsiTheme="majorBidi" w:cstheme="majorBidi"/>
                <w:bCs/>
                <w:i/>
                <w:iCs/>
                <w:kern w:val="22"/>
                <w:sz w:val="20"/>
                <w:szCs w:val="20"/>
                <w:lang w:val="fr-FR"/>
              </w:rPr>
              <w:t xml:space="preserve"> </w:t>
            </w:r>
            <w:r w:rsidR="00282C85" w:rsidRPr="003253A0">
              <w:rPr>
                <w:rFonts w:asciiTheme="majorBidi" w:hAnsiTheme="majorBidi" w:cstheme="majorBidi"/>
                <w:bCs/>
                <w:i/>
                <w:iCs/>
                <w:kern w:val="22"/>
                <w:sz w:val="20"/>
                <w:szCs w:val="20"/>
                <w:lang w:val="fr-FR"/>
              </w:rPr>
              <w:t>2023</w:t>
            </w:r>
            <w:r w:rsidR="007A615E" w:rsidRPr="003253A0">
              <w:rPr>
                <w:rFonts w:asciiTheme="majorBidi" w:hAnsiTheme="majorBidi" w:cstheme="majorBidi"/>
                <w:bCs/>
                <w:i/>
                <w:iCs/>
                <w:kern w:val="22"/>
                <w:sz w:val="20"/>
                <w:szCs w:val="20"/>
                <w:lang w:val="fr-FR"/>
              </w:rPr>
              <w:t>–</w:t>
            </w:r>
            <w:r w:rsidR="00282C85" w:rsidRPr="003253A0">
              <w:rPr>
                <w:rFonts w:asciiTheme="majorBidi" w:hAnsiTheme="majorBidi" w:cstheme="majorBidi"/>
                <w:bCs/>
                <w:i/>
                <w:iCs/>
                <w:kern w:val="22"/>
                <w:sz w:val="20"/>
                <w:szCs w:val="20"/>
                <w:lang w:val="fr-FR"/>
              </w:rPr>
              <w:t>2024</w:t>
            </w:r>
          </w:p>
        </w:tc>
        <w:tc>
          <w:tcPr>
            <w:tcW w:w="2312" w:type="dxa"/>
            <w:gridSpan w:val="2"/>
            <w:tcBorders>
              <w:top w:val="single" w:sz="4" w:space="0" w:color="auto"/>
              <w:left w:val="nil"/>
              <w:bottom w:val="single" w:sz="8" w:space="0" w:color="auto"/>
              <w:right w:val="nil"/>
            </w:tcBorders>
            <w:tcMar>
              <w:top w:w="14" w:type="dxa"/>
              <w:left w:w="115" w:type="dxa"/>
              <w:bottom w:w="14" w:type="dxa"/>
              <w:right w:w="115" w:type="dxa"/>
            </w:tcMar>
            <w:vAlign w:val="center"/>
            <w:hideMark/>
          </w:tcPr>
          <w:p w14:paraId="0CE7F166" w14:textId="484AB28F" w:rsidR="00282C85" w:rsidRPr="003253A0" w:rsidRDefault="000249CF" w:rsidP="004C46A6">
            <w:pPr>
              <w:keepNext/>
              <w:keepLines/>
              <w:suppressLineNumbers/>
              <w:suppressAutoHyphens/>
              <w:spacing w:before="20" w:after="20"/>
              <w:jc w:val="right"/>
              <w:rPr>
                <w:rFonts w:asciiTheme="majorBidi" w:hAnsiTheme="majorBidi" w:cstheme="majorBidi"/>
                <w:bCs/>
                <w:i/>
                <w:iCs/>
                <w:kern w:val="22"/>
                <w:sz w:val="20"/>
                <w:szCs w:val="20"/>
                <w:lang w:val="fr-FR"/>
              </w:rPr>
            </w:pPr>
            <w:r w:rsidRPr="003253A0">
              <w:rPr>
                <w:rFonts w:asciiTheme="majorBidi" w:hAnsiTheme="majorBidi" w:cstheme="majorBidi"/>
                <w:bCs/>
                <w:i/>
                <w:iCs/>
                <w:kern w:val="22"/>
                <w:sz w:val="20"/>
                <w:szCs w:val="20"/>
                <w:lang w:val="fr-FR"/>
              </w:rPr>
              <w:t>Approuvé pour</w:t>
            </w:r>
            <w:r w:rsidR="00044396" w:rsidRPr="003253A0">
              <w:rPr>
                <w:rFonts w:asciiTheme="majorBidi" w:hAnsiTheme="majorBidi" w:cstheme="majorBidi"/>
                <w:bCs/>
                <w:i/>
                <w:iCs/>
                <w:kern w:val="22"/>
                <w:sz w:val="20"/>
                <w:szCs w:val="20"/>
                <w:lang w:val="fr-FR"/>
              </w:rPr>
              <w:t xml:space="preserve"> </w:t>
            </w:r>
            <w:r w:rsidR="00282C85" w:rsidRPr="003253A0">
              <w:rPr>
                <w:rFonts w:asciiTheme="majorBidi" w:hAnsiTheme="majorBidi" w:cstheme="majorBidi"/>
                <w:bCs/>
                <w:i/>
                <w:iCs/>
                <w:kern w:val="22"/>
                <w:sz w:val="20"/>
                <w:szCs w:val="20"/>
                <w:lang w:val="fr-FR"/>
              </w:rPr>
              <w:t>2025</w:t>
            </w:r>
            <w:r w:rsidR="007A615E" w:rsidRPr="003253A0">
              <w:rPr>
                <w:rFonts w:asciiTheme="majorBidi" w:hAnsiTheme="majorBidi" w:cstheme="majorBidi"/>
                <w:bCs/>
                <w:i/>
                <w:iCs/>
                <w:kern w:val="22"/>
                <w:sz w:val="20"/>
                <w:szCs w:val="20"/>
                <w:lang w:val="fr-FR"/>
              </w:rPr>
              <w:t>–</w:t>
            </w:r>
            <w:r w:rsidR="00282C85" w:rsidRPr="003253A0">
              <w:rPr>
                <w:rFonts w:asciiTheme="majorBidi" w:hAnsiTheme="majorBidi" w:cstheme="majorBidi"/>
                <w:bCs/>
                <w:i/>
                <w:iCs/>
                <w:kern w:val="22"/>
                <w:sz w:val="20"/>
                <w:szCs w:val="20"/>
                <w:lang w:val="fr-FR"/>
              </w:rPr>
              <w:t>2026</w:t>
            </w:r>
            <w:r w:rsidR="00CB196D" w:rsidRPr="003253A0">
              <w:rPr>
                <w:rFonts w:asciiTheme="majorBidi" w:hAnsiTheme="majorBidi" w:cstheme="majorBidi"/>
                <w:bCs/>
                <w:i/>
                <w:iCs/>
                <w:kern w:val="22"/>
                <w:sz w:val="20"/>
                <w:szCs w:val="20"/>
                <w:vertAlign w:val="superscript"/>
                <w:lang w:val="fr-FR"/>
              </w:rPr>
              <w:t>a</w:t>
            </w:r>
          </w:p>
        </w:tc>
      </w:tr>
      <w:tr w:rsidR="00282C85" w:rsidRPr="003253A0" w14:paraId="25D1ACE3" w14:textId="77777777" w:rsidTr="000249CF">
        <w:trPr>
          <w:cantSplit/>
          <w:jc w:val="center"/>
        </w:trPr>
        <w:tc>
          <w:tcPr>
            <w:tcW w:w="3261" w:type="dxa"/>
            <w:tcBorders>
              <w:top w:val="nil"/>
              <w:left w:val="nil"/>
              <w:bottom w:val="nil"/>
              <w:right w:val="nil"/>
            </w:tcBorders>
            <w:shd w:val="clear" w:color="auto" w:fill="auto"/>
            <w:noWrap/>
            <w:tcMar>
              <w:top w:w="14" w:type="dxa"/>
              <w:left w:w="115" w:type="dxa"/>
              <w:bottom w:w="14" w:type="dxa"/>
              <w:right w:w="115" w:type="dxa"/>
            </w:tcMar>
            <w:vAlign w:val="center"/>
            <w:hideMark/>
          </w:tcPr>
          <w:p w14:paraId="4CFBC9B2" w14:textId="18A015E3" w:rsidR="00282C85" w:rsidRPr="003253A0" w:rsidRDefault="00282C85" w:rsidP="004C46A6">
            <w:pPr>
              <w:keepNext/>
              <w:keepLines/>
              <w:suppressLineNumbers/>
              <w:suppressAutoHyphens/>
              <w:spacing w:before="20" w:after="20"/>
              <w:rPr>
                <w:rFonts w:asciiTheme="majorBidi" w:hAnsiTheme="majorBidi" w:cstheme="majorBidi"/>
                <w:bCs/>
                <w:kern w:val="22"/>
                <w:sz w:val="20"/>
                <w:szCs w:val="20"/>
                <w:lang w:val="fr-FR"/>
              </w:rPr>
            </w:pPr>
            <w:r w:rsidRPr="003253A0">
              <w:rPr>
                <w:rFonts w:asciiTheme="majorBidi" w:hAnsiTheme="majorBidi" w:cstheme="majorBidi"/>
                <w:bCs/>
                <w:kern w:val="22"/>
                <w:sz w:val="20"/>
                <w:szCs w:val="20"/>
                <w:lang w:val="fr-FR"/>
              </w:rPr>
              <w:t>Profession</w:t>
            </w:r>
            <w:r w:rsidR="00DF21EF" w:rsidRPr="003253A0">
              <w:rPr>
                <w:rFonts w:asciiTheme="majorBidi" w:hAnsiTheme="majorBidi" w:cstheme="majorBidi"/>
                <w:bCs/>
                <w:kern w:val="22"/>
                <w:sz w:val="20"/>
                <w:szCs w:val="20"/>
                <w:lang w:val="fr-FR"/>
              </w:rPr>
              <w:t>n</w:t>
            </w:r>
            <w:r w:rsidR="000249CF" w:rsidRPr="003253A0">
              <w:rPr>
                <w:rFonts w:asciiTheme="majorBidi" w:hAnsiTheme="majorBidi" w:cstheme="majorBidi"/>
                <w:bCs/>
                <w:kern w:val="22"/>
                <w:sz w:val="20"/>
                <w:szCs w:val="20"/>
                <w:lang w:val="fr-FR"/>
              </w:rPr>
              <w:t>e</w:t>
            </w:r>
            <w:r w:rsidRPr="003253A0">
              <w:rPr>
                <w:rFonts w:asciiTheme="majorBidi" w:hAnsiTheme="majorBidi" w:cstheme="majorBidi"/>
                <w:bCs/>
                <w:kern w:val="22"/>
                <w:sz w:val="20"/>
                <w:szCs w:val="20"/>
                <w:lang w:val="fr-FR"/>
              </w:rPr>
              <w:t xml:space="preserve">l </w:t>
            </w:r>
            <w:r w:rsidR="000249CF" w:rsidRPr="003253A0">
              <w:rPr>
                <w:rFonts w:asciiTheme="majorBidi" w:hAnsiTheme="majorBidi" w:cstheme="majorBidi"/>
                <w:bCs/>
                <w:kern w:val="22"/>
                <w:sz w:val="20"/>
                <w:szCs w:val="20"/>
                <w:lang w:val="fr-FR"/>
              </w:rPr>
              <w:t>et supérieur</w:t>
            </w:r>
          </w:p>
        </w:tc>
        <w:tc>
          <w:tcPr>
            <w:tcW w:w="2679" w:type="dxa"/>
            <w:gridSpan w:val="2"/>
            <w:tcBorders>
              <w:top w:val="nil"/>
              <w:left w:val="nil"/>
              <w:bottom w:val="nil"/>
              <w:right w:val="nil"/>
            </w:tcBorders>
            <w:shd w:val="clear" w:color="auto" w:fill="auto"/>
          </w:tcPr>
          <w:p w14:paraId="72759757" w14:textId="77777777" w:rsidR="00282C85" w:rsidRPr="003253A0" w:rsidRDefault="00282C85" w:rsidP="004C46A6">
            <w:pPr>
              <w:keepNext/>
              <w:keepLines/>
              <w:suppressLineNumbers/>
              <w:suppressAutoHyphens/>
              <w:spacing w:before="20" w:after="20"/>
              <w:ind w:right="432"/>
              <w:jc w:val="right"/>
              <w:rPr>
                <w:rFonts w:asciiTheme="majorBidi" w:hAnsiTheme="majorBidi" w:cstheme="majorBidi"/>
                <w:bCs/>
                <w:kern w:val="22"/>
                <w:sz w:val="20"/>
                <w:szCs w:val="20"/>
                <w:lang w:val="fr-FR"/>
              </w:rPr>
            </w:pPr>
          </w:p>
        </w:tc>
        <w:tc>
          <w:tcPr>
            <w:tcW w:w="2184" w:type="dxa"/>
            <w:tcBorders>
              <w:top w:val="nil"/>
              <w:left w:val="nil"/>
              <w:bottom w:val="nil"/>
              <w:right w:val="nil"/>
            </w:tcBorders>
            <w:tcMar>
              <w:top w:w="14" w:type="dxa"/>
              <w:left w:w="115" w:type="dxa"/>
              <w:bottom w:w="14" w:type="dxa"/>
              <w:right w:w="115" w:type="dxa"/>
            </w:tcMar>
            <w:vAlign w:val="center"/>
            <w:hideMark/>
          </w:tcPr>
          <w:p w14:paraId="243BD11B" w14:textId="77777777" w:rsidR="00282C85" w:rsidRPr="003253A0" w:rsidRDefault="00282C85" w:rsidP="004C46A6">
            <w:pPr>
              <w:keepNext/>
              <w:keepLines/>
              <w:suppressLineNumbers/>
              <w:suppressAutoHyphens/>
              <w:spacing w:before="20" w:after="20"/>
              <w:ind w:right="432"/>
              <w:jc w:val="right"/>
              <w:rPr>
                <w:rFonts w:asciiTheme="majorBidi" w:hAnsiTheme="majorBidi" w:cstheme="majorBidi"/>
                <w:bCs/>
                <w:kern w:val="22"/>
                <w:sz w:val="20"/>
                <w:szCs w:val="20"/>
                <w:lang w:val="fr-FR"/>
              </w:rPr>
            </w:pPr>
          </w:p>
        </w:tc>
      </w:tr>
      <w:tr w:rsidR="00282C85" w:rsidRPr="003253A0" w14:paraId="177CF01F" w14:textId="77777777" w:rsidTr="000249CF">
        <w:trPr>
          <w:cantSplit/>
          <w:jc w:val="center"/>
        </w:trPr>
        <w:tc>
          <w:tcPr>
            <w:tcW w:w="3261" w:type="dxa"/>
            <w:tcBorders>
              <w:top w:val="nil"/>
              <w:left w:val="nil"/>
              <w:bottom w:val="nil"/>
              <w:right w:val="nil"/>
            </w:tcBorders>
            <w:shd w:val="clear" w:color="auto" w:fill="auto"/>
            <w:tcMar>
              <w:top w:w="14" w:type="dxa"/>
              <w:left w:w="115" w:type="dxa"/>
              <w:bottom w:w="14" w:type="dxa"/>
              <w:right w:w="115" w:type="dxa"/>
            </w:tcMar>
            <w:vAlign w:val="center"/>
            <w:hideMark/>
          </w:tcPr>
          <w:p w14:paraId="77E23D27" w14:textId="77777777" w:rsidR="00282C85" w:rsidRPr="003253A0" w:rsidRDefault="00282C85" w:rsidP="004C46A6">
            <w:pPr>
              <w:keepNext/>
              <w:keepLines/>
              <w:suppressLineNumbers/>
              <w:suppressAutoHyphens/>
              <w:spacing w:before="20" w:after="20"/>
              <w:ind w:left="164"/>
              <w:rPr>
                <w:rFonts w:asciiTheme="majorBidi" w:hAnsiTheme="majorBidi" w:cstheme="majorBidi"/>
                <w:kern w:val="22"/>
                <w:sz w:val="20"/>
                <w:szCs w:val="20"/>
                <w:lang w:val="fr-FR"/>
              </w:rPr>
            </w:pPr>
            <w:r w:rsidRPr="003253A0">
              <w:rPr>
                <w:rFonts w:asciiTheme="majorBidi" w:hAnsiTheme="majorBidi" w:cstheme="majorBidi"/>
                <w:kern w:val="22"/>
                <w:sz w:val="20"/>
                <w:szCs w:val="20"/>
                <w:lang w:val="fr-FR"/>
              </w:rPr>
              <w:t>ASG</w:t>
            </w:r>
          </w:p>
        </w:tc>
        <w:tc>
          <w:tcPr>
            <w:tcW w:w="2679" w:type="dxa"/>
            <w:gridSpan w:val="2"/>
            <w:tcBorders>
              <w:top w:val="nil"/>
              <w:left w:val="nil"/>
              <w:bottom w:val="nil"/>
              <w:right w:val="nil"/>
            </w:tcBorders>
            <w:shd w:val="clear" w:color="auto" w:fill="auto"/>
          </w:tcPr>
          <w:p w14:paraId="3D510651" w14:textId="77777777" w:rsidR="00282C85" w:rsidRPr="003253A0" w:rsidRDefault="00282C85" w:rsidP="004C46A6">
            <w:pPr>
              <w:keepNext/>
              <w:keepLines/>
              <w:suppressLineNumbers/>
              <w:tabs>
                <w:tab w:val="clear" w:pos="1701"/>
              </w:tabs>
              <w:suppressAutoHyphens/>
              <w:spacing w:before="20" w:after="20"/>
              <w:ind w:right="24"/>
              <w:jc w:val="right"/>
              <w:rPr>
                <w:rFonts w:asciiTheme="majorBidi" w:hAnsiTheme="majorBidi" w:cstheme="majorBidi"/>
                <w:kern w:val="22"/>
                <w:sz w:val="20"/>
                <w:szCs w:val="20"/>
                <w:lang w:val="fr-FR"/>
              </w:rPr>
            </w:pPr>
            <w:r w:rsidRPr="003253A0">
              <w:rPr>
                <w:rFonts w:asciiTheme="majorBidi" w:hAnsiTheme="majorBidi" w:cstheme="majorBidi"/>
                <w:kern w:val="22"/>
                <w:sz w:val="20"/>
                <w:szCs w:val="20"/>
                <w:lang w:val="fr-FR"/>
              </w:rPr>
              <w:t>1</w:t>
            </w:r>
          </w:p>
        </w:tc>
        <w:tc>
          <w:tcPr>
            <w:tcW w:w="2184" w:type="dxa"/>
            <w:tcBorders>
              <w:top w:val="nil"/>
              <w:left w:val="nil"/>
              <w:bottom w:val="nil"/>
              <w:right w:val="nil"/>
            </w:tcBorders>
            <w:tcMar>
              <w:top w:w="14" w:type="dxa"/>
              <w:left w:w="115" w:type="dxa"/>
              <w:bottom w:w="14" w:type="dxa"/>
              <w:right w:w="115" w:type="dxa"/>
            </w:tcMar>
            <w:vAlign w:val="center"/>
            <w:hideMark/>
          </w:tcPr>
          <w:p w14:paraId="686C22B9" w14:textId="77777777" w:rsidR="00282C85" w:rsidRPr="003253A0" w:rsidRDefault="00282C85" w:rsidP="004C46A6">
            <w:pPr>
              <w:keepNext/>
              <w:keepLines/>
              <w:suppressLineNumbers/>
              <w:tabs>
                <w:tab w:val="clear" w:pos="1701"/>
              </w:tabs>
              <w:suppressAutoHyphens/>
              <w:spacing w:before="20" w:after="20"/>
              <w:ind w:right="24"/>
              <w:jc w:val="right"/>
              <w:rPr>
                <w:rFonts w:asciiTheme="majorBidi" w:hAnsiTheme="majorBidi" w:cstheme="majorBidi"/>
                <w:kern w:val="22"/>
                <w:sz w:val="20"/>
                <w:szCs w:val="20"/>
                <w:lang w:val="fr-FR"/>
              </w:rPr>
            </w:pPr>
            <w:r w:rsidRPr="003253A0">
              <w:rPr>
                <w:rFonts w:asciiTheme="majorBidi" w:hAnsiTheme="majorBidi" w:cstheme="majorBidi"/>
                <w:kern w:val="22"/>
                <w:sz w:val="20"/>
                <w:szCs w:val="20"/>
                <w:lang w:val="fr-FR"/>
              </w:rPr>
              <w:t>1</w:t>
            </w:r>
          </w:p>
        </w:tc>
      </w:tr>
      <w:tr w:rsidR="00282C85" w:rsidRPr="003253A0" w14:paraId="67F4279F" w14:textId="77777777" w:rsidTr="000249CF">
        <w:trPr>
          <w:cantSplit/>
          <w:jc w:val="center"/>
        </w:trPr>
        <w:tc>
          <w:tcPr>
            <w:tcW w:w="3261" w:type="dxa"/>
            <w:tcBorders>
              <w:top w:val="nil"/>
              <w:left w:val="nil"/>
              <w:bottom w:val="nil"/>
              <w:right w:val="nil"/>
            </w:tcBorders>
            <w:shd w:val="clear" w:color="auto" w:fill="auto"/>
            <w:tcMar>
              <w:top w:w="14" w:type="dxa"/>
              <w:left w:w="115" w:type="dxa"/>
              <w:bottom w:w="14" w:type="dxa"/>
              <w:right w:w="115" w:type="dxa"/>
            </w:tcMar>
            <w:vAlign w:val="center"/>
            <w:hideMark/>
          </w:tcPr>
          <w:p w14:paraId="2F1491BB" w14:textId="77777777" w:rsidR="00282C85" w:rsidRPr="003253A0" w:rsidRDefault="00282C85" w:rsidP="004C46A6">
            <w:pPr>
              <w:keepNext/>
              <w:keepLines/>
              <w:suppressLineNumbers/>
              <w:suppressAutoHyphens/>
              <w:spacing w:before="20" w:after="20"/>
              <w:ind w:left="164"/>
              <w:rPr>
                <w:rFonts w:asciiTheme="majorBidi" w:hAnsiTheme="majorBidi" w:cstheme="majorBidi"/>
                <w:kern w:val="22"/>
                <w:sz w:val="20"/>
                <w:szCs w:val="20"/>
                <w:lang w:val="fr-FR"/>
              </w:rPr>
            </w:pPr>
            <w:r w:rsidRPr="003253A0">
              <w:rPr>
                <w:rFonts w:asciiTheme="majorBidi" w:hAnsiTheme="majorBidi" w:cstheme="majorBidi"/>
                <w:kern w:val="22"/>
                <w:sz w:val="20"/>
                <w:szCs w:val="20"/>
                <w:lang w:val="fr-FR"/>
              </w:rPr>
              <w:t>D-1</w:t>
            </w:r>
          </w:p>
        </w:tc>
        <w:tc>
          <w:tcPr>
            <w:tcW w:w="2679" w:type="dxa"/>
            <w:gridSpan w:val="2"/>
            <w:tcBorders>
              <w:top w:val="nil"/>
              <w:left w:val="nil"/>
              <w:bottom w:val="nil"/>
              <w:right w:val="nil"/>
            </w:tcBorders>
            <w:shd w:val="clear" w:color="auto" w:fill="auto"/>
          </w:tcPr>
          <w:p w14:paraId="43277CD0" w14:textId="77777777" w:rsidR="00282C85" w:rsidRPr="003253A0" w:rsidRDefault="00282C85" w:rsidP="004C46A6">
            <w:pPr>
              <w:keepNext/>
              <w:keepLines/>
              <w:suppressLineNumbers/>
              <w:tabs>
                <w:tab w:val="clear" w:pos="1701"/>
              </w:tabs>
              <w:suppressAutoHyphens/>
              <w:spacing w:before="20" w:after="20"/>
              <w:ind w:right="24"/>
              <w:jc w:val="right"/>
              <w:rPr>
                <w:rFonts w:asciiTheme="majorBidi" w:hAnsiTheme="majorBidi" w:cstheme="majorBidi"/>
                <w:kern w:val="22"/>
                <w:sz w:val="20"/>
                <w:szCs w:val="20"/>
                <w:lang w:val="fr-FR"/>
              </w:rPr>
            </w:pPr>
            <w:r w:rsidRPr="003253A0">
              <w:rPr>
                <w:rFonts w:asciiTheme="majorBidi" w:hAnsiTheme="majorBidi" w:cstheme="majorBidi"/>
                <w:kern w:val="22"/>
                <w:sz w:val="20"/>
                <w:szCs w:val="20"/>
                <w:lang w:val="fr-FR"/>
              </w:rPr>
              <w:t>3</w:t>
            </w:r>
          </w:p>
        </w:tc>
        <w:tc>
          <w:tcPr>
            <w:tcW w:w="2184" w:type="dxa"/>
            <w:tcBorders>
              <w:top w:val="nil"/>
              <w:left w:val="nil"/>
              <w:bottom w:val="nil"/>
              <w:right w:val="nil"/>
            </w:tcBorders>
            <w:tcMar>
              <w:top w:w="14" w:type="dxa"/>
              <w:left w:w="115" w:type="dxa"/>
              <w:bottom w:w="14" w:type="dxa"/>
              <w:right w:w="115" w:type="dxa"/>
            </w:tcMar>
            <w:vAlign w:val="center"/>
            <w:hideMark/>
          </w:tcPr>
          <w:p w14:paraId="5CEC1526" w14:textId="77777777" w:rsidR="00282C85" w:rsidRPr="003253A0" w:rsidRDefault="00282C85" w:rsidP="004C46A6">
            <w:pPr>
              <w:keepNext/>
              <w:keepLines/>
              <w:suppressLineNumbers/>
              <w:tabs>
                <w:tab w:val="clear" w:pos="1701"/>
              </w:tabs>
              <w:suppressAutoHyphens/>
              <w:spacing w:before="20" w:after="20"/>
              <w:ind w:right="24"/>
              <w:jc w:val="right"/>
              <w:rPr>
                <w:rFonts w:asciiTheme="majorBidi" w:hAnsiTheme="majorBidi" w:cstheme="majorBidi"/>
                <w:kern w:val="22"/>
                <w:sz w:val="20"/>
                <w:szCs w:val="20"/>
                <w:lang w:val="fr-FR"/>
              </w:rPr>
            </w:pPr>
            <w:r w:rsidRPr="003253A0">
              <w:rPr>
                <w:rFonts w:asciiTheme="majorBidi" w:hAnsiTheme="majorBidi" w:cstheme="majorBidi"/>
                <w:kern w:val="22"/>
                <w:sz w:val="20"/>
                <w:szCs w:val="20"/>
                <w:lang w:val="fr-FR"/>
              </w:rPr>
              <w:t>3</w:t>
            </w:r>
          </w:p>
        </w:tc>
      </w:tr>
      <w:tr w:rsidR="00282C85" w:rsidRPr="003253A0" w14:paraId="5FAAC6AE" w14:textId="77777777" w:rsidTr="000249CF">
        <w:trPr>
          <w:cantSplit/>
          <w:jc w:val="center"/>
        </w:trPr>
        <w:tc>
          <w:tcPr>
            <w:tcW w:w="3261" w:type="dxa"/>
            <w:tcBorders>
              <w:top w:val="nil"/>
              <w:left w:val="nil"/>
              <w:bottom w:val="nil"/>
              <w:right w:val="nil"/>
            </w:tcBorders>
            <w:shd w:val="clear" w:color="auto" w:fill="auto"/>
            <w:tcMar>
              <w:top w:w="14" w:type="dxa"/>
              <w:left w:w="115" w:type="dxa"/>
              <w:bottom w:w="14" w:type="dxa"/>
              <w:right w:w="115" w:type="dxa"/>
            </w:tcMar>
            <w:vAlign w:val="center"/>
            <w:hideMark/>
          </w:tcPr>
          <w:p w14:paraId="1CA0F048" w14:textId="77777777" w:rsidR="00282C85" w:rsidRPr="003253A0" w:rsidRDefault="00282C85" w:rsidP="004C46A6">
            <w:pPr>
              <w:keepNext/>
              <w:keepLines/>
              <w:suppressLineNumbers/>
              <w:suppressAutoHyphens/>
              <w:spacing w:before="20" w:after="20"/>
              <w:ind w:left="164"/>
              <w:rPr>
                <w:rFonts w:asciiTheme="majorBidi" w:hAnsiTheme="majorBidi" w:cstheme="majorBidi"/>
                <w:kern w:val="22"/>
                <w:sz w:val="20"/>
                <w:szCs w:val="20"/>
                <w:lang w:val="fr-FR"/>
              </w:rPr>
            </w:pPr>
            <w:r w:rsidRPr="003253A0">
              <w:rPr>
                <w:rFonts w:asciiTheme="majorBidi" w:hAnsiTheme="majorBidi" w:cstheme="majorBidi"/>
                <w:kern w:val="22"/>
                <w:sz w:val="20"/>
                <w:szCs w:val="20"/>
                <w:lang w:val="fr-FR"/>
              </w:rPr>
              <w:t>P-5</w:t>
            </w:r>
          </w:p>
        </w:tc>
        <w:tc>
          <w:tcPr>
            <w:tcW w:w="2679" w:type="dxa"/>
            <w:gridSpan w:val="2"/>
            <w:tcBorders>
              <w:top w:val="nil"/>
              <w:left w:val="nil"/>
              <w:bottom w:val="nil"/>
              <w:right w:val="nil"/>
            </w:tcBorders>
            <w:shd w:val="clear" w:color="auto" w:fill="auto"/>
          </w:tcPr>
          <w:p w14:paraId="652EB4C0" w14:textId="77777777" w:rsidR="00282C85" w:rsidRPr="003253A0" w:rsidRDefault="00282C85" w:rsidP="004C46A6">
            <w:pPr>
              <w:keepNext/>
              <w:keepLines/>
              <w:suppressLineNumbers/>
              <w:tabs>
                <w:tab w:val="clear" w:pos="1701"/>
              </w:tabs>
              <w:suppressAutoHyphens/>
              <w:spacing w:before="20" w:after="20"/>
              <w:ind w:right="24"/>
              <w:jc w:val="right"/>
              <w:rPr>
                <w:rFonts w:asciiTheme="majorBidi" w:hAnsiTheme="majorBidi" w:cstheme="majorBidi"/>
                <w:kern w:val="22"/>
                <w:sz w:val="20"/>
                <w:szCs w:val="20"/>
                <w:lang w:val="fr-FR"/>
              </w:rPr>
            </w:pPr>
            <w:r w:rsidRPr="003253A0">
              <w:rPr>
                <w:rFonts w:asciiTheme="majorBidi" w:hAnsiTheme="majorBidi" w:cstheme="majorBidi"/>
                <w:kern w:val="22"/>
                <w:sz w:val="20"/>
                <w:szCs w:val="20"/>
                <w:lang w:val="fr-FR"/>
              </w:rPr>
              <w:t>10</w:t>
            </w:r>
          </w:p>
        </w:tc>
        <w:tc>
          <w:tcPr>
            <w:tcW w:w="2184" w:type="dxa"/>
            <w:tcBorders>
              <w:top w:val="nil"/>
              <w:left w:val="nil"/>
              <w:bottom w:val="nil"/>
              <w:right w:val="nil"/>
            </w:tcBorders>
            <w:tcMar>
              <w:top w:w="14" w:type="dxa"/>
              <w:left w:w="115" w:type="dxa"/>
              <w:bottom w:w="14" w:type="dxa"/>
              <w:right w:w="115" w:type="dxa"/>
            </w:tcMar>
            <w:vAlign w:val="center"/>
            <w:hideMark/>
          </w:tcPr>
          <w:p w14:paraId="4BD9053D" w14:textId="77777777" w:rsidR="00282C85" w:rsidRPr="003253A0" w:rsidRDefault="00282C85" w:rsidP="004C46A6">
            <w:pPr>
              <w:keepNext/>
              <w:keepLines/>
              <w:suppressLineNumbers/>
              <w:tabs>
                <w:tab w:val="clear" w:pos="1701"/>
              </w:tabs>
              <w:suppressAutoHyphens/>
              <w:spacing w:before="20" w:after="20"/>
              <w:ind w:right="24"/>
              <w:jc w:val="right"/>
              <w:rPr>
                <w:rFonts w:asciiTheme="majorBidi" w:hAnsiTheme="majorBidi" w:cstheme="majorBidi"/>
                <w:kern w:val="22"/>
                <w:sz w:val="20"/>
                <w:szCs w:val="20"/>
                <w:lang w:val="fr-FR"/>
              </w:rPr>
            </w:pPr>
            <w:r w:rsidRPr="003253A0">
              <w:rPr>
                <w:rFonts w:asciiTheme="majorBidi" w:hAnsiTheme="majorBidi" w:cstheme="majorBidi"/>
                <w:kern w:val="22"/>
                <w:sz w:val="20"/>
                <w:szCs w:val="20"/>
                <w:lang w:val="fr-FR"/>
              </w:rPr>
              <w:t>10</w:t>
            </w:r>
          </w:p>
        </w:tc>
      </w:tr>
      <w:tr w:rsidR="00282C85" w:rsidRPr="003253A0" w14:paraId="7452EBBD" w14:textId="77777777" w:rsidTr="000249CF">
        <w:trPr>
          <w:cantSplit/>
          <w:jc w:val="center"/>
        </w:trPr>
        <w:tc>
          <w:tcPr>
            <w:tcW w:w="3261" w:type="dxa"/>
            <w:tcBorders>
              <w:top w:val="nil"/>
              <w:left w:val="nil"/>
              <w:bottom w:val="nil"/>
              <w:right w:val="nil"/>
            </w:tcBorders>
            <w:shd w:val="clear" w:color="auto" w:fill="auto"/>
            <w:tcMar>
              <w:top w:w="14" w:type="dxa"/>
              <w:left w:w="115" w:type="dxa"/>
              <w:bottom w:w="14" w:type="dxa"/>
              <w:right w:w="115" w:type="dxa"/>
            </w:tcMar>
            <w:vAlign w:val="center"/>
            <w:hideMark/>
          </w:tcPr>
          <w:p w14:paraId="3594F307" w14:textId="77777777" w:rsidR="00282C85" w:rsidRPr="003253A0" w:rsidRDefault="00282C85" w:rsidP="004C46A6">
            <w:pPr>
              <w:keepNext/>
              <w:keepLines/>
              <w:suppressLineNumbers/>
              <w:suppressAutoHyphens/>
              <w:spacing w:before="20" w:after="20"/>
              <w:ind w:left="164"/>
              <w:rPr>
                <w:rFonts w:asciiTheme="majorBidi" w:hAnsiTheme="majorBidi" w:cstheme="majorBidi"/>
                <w:kern w:val="22"/>
                <w:sz w:val="20"/>
                <w:szCs w:val="20"/>
                <w:lang w:val="fr-FR"/>
              </w:rPr>
            </w:pPr>
            <w:r w:rsidRPr="003253A0">
              <w:rPr>
                <w:rFonts w:asciiTheme="majorBidi" w:hAnsiTheme="majorBidi" w:cstheme="majorBidi"/>
                <w:kern w:val="22"/>
                <w:sz w:val="20"/>
                <w:szCs w:val="20"/>
                <w:lang w:val="fr-FR"/>
              </w:rPr>
              <w:t>P-4</w:t>
            </w:r>
          </w:p>
        </w:tc>
        <w:tc>
          <w:tcPr>
            <w:tcW w:w="2679" w:type="dxa"/>
            <w:gridSpan w:val="2"/>
            <w:tcBorders>
              <w:top w:val="nil"/>
              <w:left w:val="nil"/>
              <w:bottom w:val="nil"/>
              <w:right w:val="nil"/>
            </w:tcBorders>
            <w:shd w:val="clear" w:color="auto" w:fill="auto"/>
          </w:tcPr>
          <w:p w14:paraId="2E3C2A03" w14:textId="77777777" w:rsidR="00282C85" w:rsidRPr="003253A0" w:rsidRDefault="00282C85" w:rsidP="004C46A6">
            <w:pPr>
              <w:keepNext/>
              <w:keepLines/>
              <w:suppressLineNumbers/>
              <w:tabs>
                <w:tab w:val="clear" w:pos="1701"/>
              </w:tabs>
              <w:suppressAutoHyphens/>
              <w:spacing w:before="20" w:after="20"/>
              <w:ind w:right="24"/>
              <w:jc w:val="right"/>
              <w:rPr>
                <w:rFonts w:asciiTheme="majorBidi" w:hAnsiTheme="majorBidi" w:cstheme="majorBidi"/>
                <w:kern w:val="22"/>
                <w:sz w:val="20"/>
                <w:szCs w:val="20"/>
                <w:lang w:val="fr-FR"/>
              </w:rPr>
            </w:pPr>
            <w:r w:rsidRPr="003253A0">
              <w:rPr>
                <w:rFonts w:asciiTheme="majorBidi" w:hAnsiTheme="majorBidi" w:cstheme="majorBidi"/>
                <w:kern w:val="22"/>
                <w:sz w:val="20"/>
                <w:szCs w:val="20"/>
                <w:lang w:val="fr-FR"/>
              </w:rPr>
              <w:t>14</w:t>
            </w:r>
          </w:p>
        </w:tc>
        <w:tc>
          <w:tcPr>
            <w:tcW w:w="2184" w:type="dxa"/>
            <w:tcBorders>
              <w:top w:val="nil"/>
              <w:left w:val="nil"/>
              <w:bottom w:val="nil"/>
              <w:right w:val="nil"/>
            </w:tcBorders>
            <w:tcMar>
              <w:top w:w="14" w:type="dxa"/>
              <w:left w:w="115" w:type="dxa"/>
              <w:bottom w:w="14" w:type="dxa"/>
              <w:right w:w="115" w:type="dxa"/>
            </w:tcMar>
            <w:vAlign w:val="center"/>
            <w:hideMark/>
          </w:tcPr>
          <w:p w14:paraId="55248018" w14:textId="77777777" w:rsidR="00282C85" w:rsidRPr="003253A0" w:rsidRDefault="00282C85" w:rsidP="004C46A6">
            <w:pPr>
              <w:keepNext/>
              <w:keepLines/>
              <w:suppressLineNumbers/>
              <w:tabs>
                <w:tab w:val="clear" w:pos="1701"/>
              </w:tabs>
              <w:suppressAutoHyphens/>
              <w:spacing w:before="20" w:after="20"/>
              <w:ind w:right="24"/>
              <w:jc w:val="right"/>
              <w:rPr>
                <w:rFonts w:asciiTheme="majorBidi" w:hAnsiTheme="majorBidi" w:cstheme="majorBidi"/>
                <w:kern w:val="22"/>
                <w:sz w:val="20"/>
                <w:szCs w:val="20"/>
                <w:lang w:val="fr-FR"/>
              </w:rPr>
            </w:pPr>
            <w:r w:rsidRPr="003253A0">
              <w:rPr>
                <w:rFonts w:asciiTheme="majorBidi" w:hAnsiTheme="majorBidi" w:cstheme="majorBidi"/>
                <w:kern w:val="22"/>
                <w:sz w:val="20"/>
                <w:szCs w:val="20"/>
                <w:lang w:val="fr-FR"/>
              </w:rPr>
              <w:t>16</w:t>
            </w:r>
          </w:p>
        </w:tc>
      </w:tr>
      <w:tr w:rsidR="00282C85" w:rsidRPr="003253A0" w14:paraId="0C1DB9E9" w14:textId="77777777" w:rsidTr="000249CF">
        <w:trPr>
          <w:cantSplit/>
          <w:jc w:val="center"/>
        </w:trPr>
        <w:tc>
          <w:tcPr>
            <w:tcW w:w="3261" w:type="dxa"/>
            <w:tcBorders>
              <w:top w:val="nil"/>
              <w:left w:val="nil"/>
              <w:bottom w:val="nil"/>
              <w:right w:val="nil"/>
            </w:tcBorders>
            <w:shd w:val="clear" w:color="auto" w:fill="auto"/>
            <w:tcMar>
              <w:top w:w="14" w:type="dxa"/>
              <w:left w:w="115" w:type="dxa"/>
              <w:bottom w:w="14" w:type="dxa"/>
              <w:right w:w="115" w:type="dxa"/>
            </w:tcMar>
            <w:vAlign w:val="center"/>
            <w:hideMark/>
          </w:tcPr>
          <w:p w14:paraId="2C2A9564" w14:textId="77777777" w:rsidR="00282C85" w:rsidRPr="003253A0" w:rsidRDefault="00282C85" w:rsidP="004C46A6">
            <w:pPr>
              <w:keepNext/>
              <w:keepLines/>
              <w:suppressLineNumbers/>
              <w:suppressAutoHyphens/>
              <w:spacing w:before="20" w:after="20"/>
              <w:ind w:left="164"/>
              <w:rPr>
                <w:rFonts w:asciiTheme="majorBidi" w:hAnsiTheme="majorBidi" w:cstheme="majorBidi"/>
                <w:kern w:val="22"/>
                <w:sz w:val="20"/>
                <w:szCs w:val="20"/>
                <w:lang w:val="fr-FR"/>
              </w:rPr>
            </w:pPr>
            <w:r w:rsidRPr="003253A0">
              <w:rPr>
                <w:rFonts w:asciiTheme="majorBidi" w:hAnsiTheme="majorBidi" w:cstheme="majorBidi"/>
                <w:kern w:val="22"/>
                <w:sz w:val="20"/>
                <w:szCs w:val="20"/>
                <w:lang w:val="fr-FR"/>
              </w:rPr>
              <w:t>P-3</w:t>
            </w:r>
          </w:p>
        </w:tc>
        <w:tc>
          <w:tcPr>
            <w:tcW w:w="2679" w:type="dxa"/>
            <w:gridSpan w:val="2"/>
            <w:tcBorders>
              <w:top w:val="nil"/>
              <w:left w:val="nil"/>
              <w:bottom w:val="nil"/>
              <w:right w:val="nil"/>
            </w:tcBorders>
            <w:shd w:val="clear" w:color="auto" w:fill="auto"/>
          </w:tcPr>
          <w:p w14:paraId="78B1EE2C" w14:textId="77777777" w:rsidR="00282C85" w:rsidRPr="003253A0" w:rsidRDefault="00282C85" w:rsidP="004C46A6">
            <w:pPr>
              <w:keepNext/>
              <w:keepLines/>
              <w:suppressLineNumbers/>
              <w:tabs>
                <w:tab w:val="clear" w:pos="1701"/>
              </w:tabs>
              <w:suppressAutoHyphens/>
              <w:spacing w:before="20" w:after="20"/>
              <w:ind w:right="24"/>
              <w:jc w:val="right"/>
              <w:rPr>
                <w:rFonts w:asciiTheme="majorBidi" w:hAnsiTheme="majorBidi" w:cstheme="majorBidi"/>
                <w:kern w:val="22"/>
                <w:sz w:val="20"/>
                <w:szCs w:val="20"/>
                <w:lang w:val="fr-FR"/>
              </w:rPr>
            </w:pPr>
            <w:r w:rsidRPr="003253A0">
              <w:rPr>
                <w:rFonts w:asciiTheme="majorBidi" w:hAnsiTheme="majorBidi" w:cstheme="majorBidi"/>
                <w:kern w:val="22"/>
                <w:sz w:val="20"/>
                <w:szCs w:val="20"/>
                <w:lang w:val="fr-FR"/>
              </w:rPr>
              <w:t>15</w:t>
            </w:r>
          </w:p>
        </w:tc>
        <w:tc>
          <w:tcPr>
            <w:tcW w:w="2184" w:type="dxa"/>
            <w:tcBorders>
              <w:top w:val="nil"/>
              <w:left w:val="nil"/>
              <w:bottom w:val="nil"/>
              <w:right w:val="nil"/>
            </w:tcBorders>
            <w:tcMar>
              <w:top w:w="14" w:type="dxa"/>
              <w:left w:w="115" w:type="dxa"/>
              <w:bottom w:w="14" w:type="dxa"/>
              <w:right w:w="115" w:type="dxa"/>
            </w:tcMar>
            <w:vAlign w:val="center"/>
            <w:hideMark/>
          </w:tcPr>
          <w:p w14:paraId="5D0B0DD0" w14:textId="77777777" w:rsidR="00282C85" w:rsidRPr="003253A0" w:rsidRDefault="00282C85" w:rsidP="004C46A6">
            <w:pPr>
              <w:keepNext/>
              <w:keepLines/>
              <w:suppressLineNumbers/>
              <w:tabs>
                <w:tab w:val="clear" w:pos="1701"/>
              </w:tabs>
              <w:suppressAutoHyphens/>
              <w:spacing w:before="20" w:after="20"/>
              <w:ind w:right="24"/>
              <w:jc w:val="right"/>
              <w:rPr>
                <w:rFonts w:asciiTheme="majorBidi" w:hAnsiTheme="majorBidi" w:cstheme="majorBidi"/>
                <w:kern w:val="22"/>
                <w:sz w:val="20"/>
                <w:szCs w:val="20"/>
                <w:lang w:val="fr-FR"/>
              </w:rPr>
            </w:pPr>
            <w:r w:rsidRPr="003253A0">
              <w:rPr>
                <w:rFonts w:asciiTheme="majorBidi" w:hAnsiTheme="majorBidi" w:cstheme="majorBidi"/>
                <w:kern w:val="22"/>
                <w:sz w:val="20"/>
                <w:szCs w:val="20"/>
                <w:lang w:val="fr-FR"/>
              </w:rPr>
              <w:t>16</w:t>
            </w:r>
          </w:p>
        </w:tc>
      </w:tr>
      <w:tr w:rsidR="00282C85" w:rsidRPr="003253A0" w14:paraId="16E89785" w14:textId="77777777" w:rsidTr="000249CF">
        <w:trPr>
          <w:cantSplit/>
          <w:jc w:val="center"/>
        </w:trPr>
        <w:tc>
          <w:tcPr>
            <w:tcW w:w="3261" w:type="dxa"/>
            <w:tcBorders>
              <w:top w:val="nil"/>
              <w:left w:val="nil"/>
              <w:bottom w:val="nil"/>
              <w:right w:val="nil"/>
            </w:tcBorders>
            <w:shd w:val="clear" w:color="auto" w:fill="auto"/>
            <w:tcMar>
              <w:top w:w="14" w:type="dxa"/>
              <w:left w:w="115" w:type="dxa"/>
              <w:bottom w:w="14" w:type="dxa"/>
              <w:right w:w="115" w:type="dxa"/>
            </w:tcMar>
            <w:vAlign w:val="center"/>
            <w:hideMark/>
          </w:tcPr>
          <w:p w14:paraId="6B71CED9" w14:textId="77777777" w:rsidR="00282C85" w:rsidRPr="003253A0" w:rsidRDefault="00282C85" w:rsidP="004C46A6">
            <w:pPr>
              <w:keepNext/>
              <w:keepLines/>
              <w:suppressLineNumbers/>
              <w:suppressAutoHyphens/>
              <w:spacing w:before="20" w:after="20"/>
              <w:ind w:left="164"/>
              <w:rPr>
                <w:rFonts w:asciiTheme="majorBidi" w:hAnsiTheme="majorBidi" w:cstheme="majorBidi"/>
                <w:kern w:val="22"/>
                <w:sz w:val="20"/>
                <w:szCs w:val="20"/>
                <w:lang w:val="fr-FR"/>
              </w:rPr>
            </w:pPr>
            <w:r w:rsidRPr="003253A0">
              <w:rPr>
                <w:rFonts w:asciiTheme="majorBidi" w:hAnsiTheme="majorBidi" w:cstheme="majorBidi"/>
                <w:kern w:val="22"/>
                <w:sz w:val="20"/>
                <w:szCs w:val="20"/>
                <w:lang w:val="fr-FR"/>
              </w:rPr>
              <w:t>P-2/1</w:t>
            </w:r>
          </w:p>
        </w:tc>
        <w:tc>
          <w:tcPr>
            <w:tcW w:w="2679" w:type="dxa"/>
            <w:gridSpan w:val="2"/>
            <w:tcBorders>
              <w:top w:val="nil"/>
              <w:left w:val="nil"/>
              <w:bottom w:val="nil"/>
              <w:right w:val="nil"/>
            </w:tcBorders>
            <w:shd w:val="clear" w:color="auto" w:fill="auto"/>
          </w:tcPr>
          <w:p w14:paraId="0819454F" w14:textId="77777777" w:rsidR="00282C85" w:rsidRPr="003253A0" w:rsidRDefault="00282C85" w:rsidP="004C46A6">
            <w:pPr>
              <w:keepNext/>
              <w:keepLines/>
              <w:suppressLineNumbers/>
              <w:tabs>
                <w:tab w:val="clear" w:pos="1701"/>
              </w:tabs>
              <w:suppressAutoHyphens/>
              <w:spacing w:before="20" w:after="20"/>
              <w:ind w:right="24"/>
              <w:jc w:val="right"/>
              <w:rPr>
                <w:rFonts w:asciiTheme="majorBidi" w:hAnsiTheme="majorBidi" w:cstheme="majorBidi"/>
                <w:kern w:val="22"/>
                <w:sz w:val="20"/>
                <w:szCs w:val="20"/>
                <w:lang w:val="fr-FR"/>
              </w:rPr>
            </w:pPr>
            <w:r w:rsidRPr="003253A0">
              <w:rPr>
                <w:rFonts w:asciiTheme="majorBidi" w:hAnsiTheme="majorBidi" w:cstheme="majorBidi"/>
                <w:kern w:val="22"/>
                <w:sz w:val="20"/>
                <w:szCs w:val="20"/>
                <w:lang w:val="fr-FR"/>
              </w:rPr>
              <w:t>10</w:t>
            </w:r>
          </w:p>
        </w:tc>
        <w:tc>
          <w:tcPr>
            <w:tcW w:w="2184" w:type="dxa"/>
            <w:tcBorders>
              <w:top w:val="nil"/>
              <w:left w:val="nil"/>
              <w:bottom w:val="nil"/>
              <w:right w:val="nil"/>
            </w:tcBorders>
            <w:tcMar>
              <w:top w:w="14" w:type="dxa"/>
              <w:left w:w="115" w:type="dxa"/>
              <w:bottom w:w="14" w:type="dxa"/>
              <w:right w:w="115" w:type="dxa"/>
            </w:tcMar>
            <w:vAlign w:val="center"/>
            <w:hideMark/>
          </w:tcPr>
          <w:p w14:paraId="4C849F85" w14:textId="77777777" w:rsidR="00282C85" w:rsidRPr="003253A0" w:rsidRDefault="00282C85" w:rsidP="004C46A6">
            <w:pPr>
              <w:keepNext/>
              <w:keepLines/>
              <w:suppressLineNumbers/>
              <w:tabs>
                <w:tab w:val="clear" w:pos="1701"/>
              </w:tabs>
              <w:suppressAutoHyphens/>
              <w:spacing w:before="20" w:after="20"/>
              <w:ind w:right="24"/>
              <w:jc w:val="right"/>
              <w:rPr>
                <w:rFonts w:asciiTheme="majorBidi" w:hAnsiTheme="majorBidi" w:cstheme="majorBidi"/>
                <w:kern w:val="22"/>
                <w:sz w:val="20"/>
                <w:szCs w:val="20"/>
                <w:lang w:val="fr-FR"/>
              </w:rPr>
            </w:pPr>
            <w:r w:rsidRPr="003253A0">
              <w:rPr>
                <w:rFonts w:asciiTheme="majorBidi" w:hAnsiTheme="majorBidi" w:cstheme="majorBidi"/>
                <w:kern w:val="22"/>
                <w:sz w:val="20"/>
                <w:szCs w:val="20"/>
                <w:lang w:val="fr-FR"/>
              </w:rPr>
              <w:t>10</w:t>
            </w:r>
          </w:p>
        </w:tc>
      </w:tr>
      <w:tr w:rsidR="00282C85" w:rsidRPr="003253A0" w14:paraId="62DB91FA" w14:textId="77777777" w:rsidTr="000249CF">
        <w:trPr>
          <w:cantSplit/>
          <w:jc w:val="center"/>
        </w:trPr>
        <w:tc>
          <w:tcPr>
            <w:tcW w:w="3261"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740999DD" w14:textId="454CA310" w:rsidR="00282C85" w:rsidRPr="003253A0" w:rsidRDefault="00C166A5" w:rsidP="004C46A6">
            <w:pPr>
              <w:keepNext/>
              <w:keepLines/>
              <w:suppressLineNumbers/>
              <w:suppressAutoHyphens/>
              <w:spacing w:before="20" w:after="20"/>
              <w:ind w:left="308"/>
              <w:rPr>
                <w:rFonts w:asciiTheme="majorBidi" w:hAnsiTheme="majorBidi" w:cstheme="majorBidi"/>
                <w:b/>
                <w:kern w:val="22"/>
                <w:sz w:val="20"/>
                <w:szCs w:val="20"/>
                <w:lang w:val="fr-FR"/>
              </w:rPr>
            </w:pPr>
            <w:r>
              <w:rPr>
                <w:rFonts w:asciiTheme="majorBidi" w:hAnsiTheme="majorBidi" w:cstheme="majorBidi"/>
                <w:b/>
                <w:kern w:val="22"/>
                <w:sz w:val="20"/>
                <w:szCs w:val="20"/>
                <w:lang w:val="fr-FR"/>
              </w:rPr>
              <w:t>Total partiel</w:t>
            </w:r>
          </w:p>
        </w:tc>
        <w:tc>
          <w:tcPr>
            <w:tcW w:w="2679" w:type="dxa"/>
            <w:gridSpan w:val="2"/>
            <w:tcBorders>
              <w:top w:val="single" w:sz="8" w:space="0" w:color="auto"/>
              <w:left w:val="nil"/>
              <w:bottom w:val="single" w:sz="8" w:space="0" w:color="auto"/>
              <w:right w:val="nil"/>
            </w:tcBorders>
            <w:shd w:val="clear" w:color="auto" w:fill="auto"/>
          </w:tcPr>
          <w:p w14:paraId="2F60973E" w14:textId="77777777" w:rsidR="00282C85" w:rsidRPr="003253A0" w:rsidRDefault="00282C85" w:rsidP="004C46A6">
            <w:pPr>
              <w:keepNext/>
              <w:keepLines/>
              <w:suppressLineNumbers/>
              <w:tabs>
                <w:tab w:val="clear" w:pos="1701"/>
              </w:tabs>
              <w:suppressAutoHyphens/>
              <w:spacing w:before="20" w:after="20"/>
              <w:ind w:right="24"/>
              <w:jc w:val="right"/>
              <w:rPr>
                <w:rFonts w:asciiTheme="majorBidi" w:hAnsiTheme="majorBidi" w:cstheme="majorBidi"/>
                <w:b/>
                <w:kern w:val="22"/>
                <w:sz w:val="20"/>
                <w:szCs w:val="20"/>
                <w:lang w:val="fr-FR"/>
              </w:rPr>
            </w:pPr>
            <w:r w:rsidRPr="003253A0">
              <w:rPr>
                <w:rFonts w:asciiTheme="majorBidi" w:hAnsiTheme="majorBidi" w:cstheme="majorBidi"/>
                <w:b/>
                <w:kern w:val="22"/>
                <w:sz w:val="20"/>
                <w:szCs w:val="20"/>
                <w:lang w:val="fr-FR"/>
              </w:rPr>
              <w:t>53</w:t>
            </w:r>
          </w:p>
        </w:tc>
        <w:tc>
          <w:tcPr>
            <w:tcW w:w="2184" w:type="dxa"/>
            <w:tcBorders>
              <w:top w:val="single" w:sz="8" w:space="0" w:color="auto"/>
              <w:left w:val="nil"/>
              <w:bottom w:val="single" w:sz="8" w:space="0" w:color="auto"/>
              <w:right w:val="nil"/>
            </w:tcBorders>
            <w:tcMar>
              <w:top w:w="14" w:type="dxa"/>
              <w:left w:w="115" w:type="dxa"/>
              <w:bottom w:w="14" w:type="dxa"/>
              <w:right w:w="115" w:type="dxa"/>
            </w:tcMar>
            <w:vAlign w:val="center"/>
            <w:hideMark/>
          </w:tcPr>
          <w:p w14:paraId="2796E4FD" w14:textId="77777777" w:rsidR="00282C85" w:rsidRPr="003253A0" w:rsidRDefault="00282C85" w:rsidP="004C46A6">
            <w:pPr>
              <w:keepNext/>
              <w:keepLines/>
              <w:suppressLineNumbers/>
              <w:tabs>
                <w:tab w:val="clear" w:pos="1701"/>
              </w:tabs>
              <w:suppressAutoHyphens/>
              <w:spacing w:before="20" w:after="20"/>
              <w:ind w:right="24"/>
              <w:jc w:val="right"/>
              <w:rPr>
                <w:rFonts w:asciiTheme="majorBidi" w:hAnsiTheme="majorBidi" w:cstheme="majorBidi"/>
                <w:b/>
                <w:kern w:val="22"/>
                <w:sz w:val="20"/>
                <w:szCs w:val="20"/>
                <w:lang w:val="fr-FR"/>
              </w:rPr>
            </w:pPr>
            <w:r w:rsidRPr="003253A0">
              <w:rPr>
                <w:rFonts w:asciiTheme="majorBidi" w:hAnsiTheme="majorBidi" w:cstheme="majorBidi"/>
                <w:b/>
                <w:kern w:val="22"/>
                <w:sz w:val="20"/>
                <w:szCs w:val="20"/>
                <w:lang w:val="fr-FR"/>
              </w:rPr>
              <w:t>56</w:t>
            </w:r>
          </w:p>
        </w:tc>
      </w:tr>
      <w:tr w:rsidR="00282C85" w:rsidRPr="003253A0" w14:paraId="0948AB0A" w14:textId="77777777" w:rsidTr="000249CF">
        <w:trPr>
          <w:cantSplit/>
          <w:jc w:val="center"/>
        </w:trPr>
        <w:tc>
          <w:tcPr>
            <w:tcW w:w="3261"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1C7C1C62" w14:textId="7B1ABDF7" w:rsidR="00282C85" w:rsidRPr="003253A0" w:rsidRDefault="00282C85" w:rsidP="004C46A6">
            <w:pPr>
              <w:keepNext/>
              <w:keepLines/>
              <w:suppressLineNumbers/>
              <w:suppressAutoHyphens/>
              <w:spacing w:before="20" w:after="20"/>
              <w:rPr>
                <w:rFonts w:asciiTheme="majorBidi" w:hAnsiTheme="majorBidi" w:cstheme="majorBidi"/>
                <w:bCs/>
                <w:kern w:val="22"/>
                <w:sz w:val="20"/>
                <w:szCs w:val="20"/>
                <w:lang w:val="fr-FR"/>
              </w:rPr>
            </w:pPr>
            <w:r w:rsidRPr="003253A0">
              <w:rPr>
                <w:rFonts w:asciiTheme="majorBidi" w:hAnsiTheme="majorBidi" w:cstheme="majorBidi"/>
                <w:bCs/>
                <w:kern w:val="22"/>
                <w:sz w:val="20"/>
                <w:szCs w:val="20"/>
                <w:lang w:val="fr-FR"/>
              </w:rPr>
              <w:t>Service</w:t>
            </w:r>
            <w:r w:rsidR="00DF21EF" w:rsidRPr="003253A0">
              <w:rPr>
                <w:rFonts w:asciiTheme="majorBidi" w:hAnsiTheme="majorBidi" w:cstheme="majorBidi"/>
                <w:bCs/>
                <w:kern w:val="22"/>
                <w:sz w:val="20"/>
                <w:szCs w:val="20"/>
                <w:lang w:val="fr-FR"/>
              </w:rPr>
              <w:t xml:space="preserve"> général</w:t>
            </w:r>
          </w:p>
        </w:tc>
        <w:tc>
          <w:tcPr>
            <w:tcW w:w="2679" w:type="dxa"/>
            <w:gridSpan w:val="2"/>
            <w:tcBorders>
              <w:top w:val="nil"/>
              <w:left w:val="nil"/>
              <w:bottom w:val="single" w:sz="8" w:space="0" w:color="auto"/>
              <w:right w:val="nil"/>
            </w:tcBorders>
            <w:shd w:val="clear" w:color="auto" w:fill="auto"/>
          </w:tcPr>
          <w:p w14:paraId="6059990B" w14:textId="77777777" w:rsidR="00282C85" w:rsidRPr="003253A0" w:rsidRDefault="00282C85" w:rsidP="004C46A6">
            <w:pPr>
              <w:keepNext/>
              <w:keepLines/>
              <w:suppressLineNumbers/>
              <w:tabs>
                <w:tab w:val="clear" w:pos="1701"/>
              </w:tabs>
              <w:suppressAutoHyphens/>
              <w:spacing w:before="20" w:after="20"/>
              <w:ind w:right="24"/>
              <w:jc w:val="right"/>
              <w:rPr>
                <w:rFonts w:asciiTheme="majorBidi" w:hAnsiTheme="majorBidi" w:cstheme="majorBidi"/>
                <w:bCs/>
                <w:kern w:val="22"/>
                <w:sz w:val="20"/>
                <w:szCs w:val="20"/>
                <w:lang w:val="fr-FR"/>
              </w:rPr>
            </w:pPr>
            <w:r w:rsidRPr="003253A0">
              <w:rPr>
                <w:rFonts w:asciiTheme="majorBidi" w:hAnsiTheme="majorBidi" w:cstheme="majorBidi"/>
                <w:bCs/>
                <w:kern w:val="22"/>
                <w:sz w:val="20"/>
                <w:szCs w:val="20"/>
                <w:lang w:val="fr-FR"/>
              </w:rPr>
              <w:t>29</w:t>
            </w:r>
          </w:p>
        </w:tc>
        <w:tc>
          <w:tcPr>
            <w:tcW w:w="2184" w:type="dxa"/>
            <w:tcBorders>
              <w:top w:val="nil"/>
              <w:left w:val="nil"/>
              <w:bottom w:val="single" w:sz="8" w:space="0" w:color="auto"/>
              <w:right w:val="nil"/>
            </w:tcBorders>
            <w:tcMar>
              <w:top w:w="14" w:type="dxa"/>
              <w:left w:w="115" w:type="dxa"/>
              <w:bottom w:w="14" w:type="dxa"/>
              <w:right w:w="115" w:type="dxa"/>
            </w:tcMar>
            <w:vAlign w:val="center"/>
            <w:hideMark/>
          </w:tcPr>
          <w:p w14:paraId="685112BC" w14:textId="77777777" w:rsidR="00282C85" w:rsidRPr="003253A0" w:rsidRDefault="00282C85" w:rsidP="004C46A6">
            <w:pPr>
              <w:keepNext/>
              <w:keepLines/>
              <w:suppressLineNumbers/>
              <w:tabs>
                <w:tab w:val="clear" w:pos="1701"/>
              </w:tabs>
              <w:suppressAutoHyphens/>
              <w:spacing w:before="20" w:after="20"/>
              <w:ind w:right="24"/>
              <w:jc w:val="right"/>
              <w:rPr>
                <w:rFonts w:asciiTheme="majorBidi" w:hAnsiTheme="majorBidi" w:cstheme="majorBidi"/>
                <w:bCs/>
                <w:kern w:val="22"/>
                <w:sz w:val="20"/>
                <w:szCs w:val="20"/>
                <w:lang w:val="fr-FR"/>
              </w:rPr>
            </w:pPr>
            <w:r w:rsidRPr="003253A0">
              <w:rPr>
                <w:rFonts w:asciiTheme="majorBidi" w:hAnsiTheme="majorBidi" w:cstheme="majorBidi"/>
                <w:bCs/>
                <w:kern w:val="22"/>
                <w:sz w:val="20"/>
                <w:szCs w:val="20"/>
                <w:lang w:val="fr-FR"/>
              </w:rPr>
              <w:t>31</w:t>
            </w:r>
          </w:p>
        </w:tc>
      </w:tr>
      <w:tr w:rsidR="009641CA" w:rsidRPr="003253A0" w14:paraId="0FFE15BF" w14:textId="77777777" w:rsidTr="000249CF">
        <w:trPr>
          <w:cantSplit/>
          <w:jc w:val="center"/>
        </w:trPr>
        <w:tc>
          <w:tcPr>
            <w:tcW w:w="3261" w:type="dxa"/>
            <w:tcBorders>
              <w:top w:val="single" w:sz="8" w:space="0" w:color="auto"/>
              <w:left w:val="nil"/>
              <w:bottom w:val="single" w:sz="4" w:space="0" w:color="auto"/>
              <w:right w:val="nil"/>
            </w:tcBorders>
            <w:shd w:val="clear" w:color="auto" w:fill="auto"/>
            <w:tcMar>
              <w:top w:w="14" w:type="dxa"/>
              <w:left w:w="115" w:type="dxa"/>
              <w:bottom w:w="14" w:type="dxa"/>
              <w:right w:w="115" w:type="dxa"/>
            </w:tcMar>
            <w:vAlign w:val="center"/>
            <w:hideMark/>
          </w:tcPr>
          <w:p w14:paraId="43D651F5" w14:textId="77777777" w:rsidR="00282C85" w:rsidRPr="003253A0" w:rsidRDefault="00282C85" w:rsidP="004C46A6">
            <w:pPr>
              <w:keepNext/>
              <w:keepLines/>
              <w:suppressLineNumbers/>
              <w:suppressAutoHyphens/>
              <w:spacing w:before="20" w:after="20"/>
              <w:ind w:left="308"/>
              <w:rPr>
                <w:rFonts w:asciiTheme="majorBidi" w:hAnsiTheme="majorBidi" w:cstheme="majorBidi"/>
                <w:b/>
                <w:kern w:val="22"/>
                <w:sz w:val="20"/>
                <w:szCs w:val="20"/>
                <w:lang w:val="fr-FR"/>
              </w:rPr>
            </w:pPr>
            <w:r w:rsidRPr="003253A0">
              <w:rPr>
                <w:rFonts w:asciiTheme="majorBidi" w:hAnsiTheme="majorBidi" w:cstheme="majorBidi"/>
                <w:b/>
                <w:kern w:val="22"/>
                <w:sz w:val="20"/>
                <w:szCs w:val="20"/>
                <w:lang w:val="fr-FR"/>
              </w:rPr>
              <w:t>Total</w:t>
            </w:r>
          </w:p>
        </w:tc>
        <w:tc>
          <w:tcPr>
            <w:tcW w:w="2679" w:type="dxa"/>
            <w:gridSpan w:val="2"/>
            <w:tcBorders>
              <w:top w:val="single" w:sz="8" w:space="0" w:color="auto"/>
              <w:left w:val="nil"/>
              <w:bottom w:val="single" w:sz="4" w:space="0" w:color="auto"/>
              <w:right w:val="nil"/>
            </w:tcBorders>
            <w:shd w:val="clear" w:color="auto" w:fill="auto"/>
          </w:tcPr>
          <w:p w14:paraId="10130E1B" w14:textId="77777777" w:rsidR="00282C85" w:rsidRPr="003253A0" w:rsidRDefault="00282C85" w:rsidP="004C46A6">
            <w:pPr>
              <w:keepNext/>
              <w:keepLines/>
              <w:suppressLineNumbers/>
              <w:tabs>
                <w:tab w:val="clear" w:pos="1701"/>
              </w:tabs>
              <w:suppressAutoHyphens/>
              <w:spacing w:before="20" w:after="20"/>
              <w:ind w:right="24"/>
              <w:jc w:val="right"/>
              <w:rPr>
                <w:rFonts w:asciiTheme="majorBidi" w:hAnsiTheme="majorBidi" w:cstheme="majorBidi"/>
                <w:b/>
                <w:kern w:val="22"/>
                <w:sz w:val="20"/>
                <w:szCs w:val="20"/>
                <w:lang w:val="fr-FR"/>
              </w:rPr>
            </w:pPr>
            <w:r w:rsidRPr="003253A0">
              <w:rPr>
                <w:rFonts w:asciiTheme="majorBidi" w:hAnsiTheme="majorBidi" w:cstheme="majorBidi"/>
                <w:b/>
                <w:kern w:val="22"/>
                <w:sz w:val="20"/>
                <w:szCs w:val="20"/>
                <w:lang w:val="fr-FR"/>
              </w:rPr>
              <w:t>82</w:t>
            </w:r>
          </w:p>
        </w:tc>
        <w:tc>
          <w:tcPr>
            <w:tcW w:w="2184" w:type="dxa"/>
            <w:tcBorders>
              <w:top w:val="single" w:sz="8" w:space="0" w:color="auto"/>
              <w:left w:val="nil"/>
              <w:bottom w:val="single" w:sz="4" w:space="0" w:color="auto"/>
              <w:right w:val="nil"/>
            </w:tcBorders>
            <w:tcMar>
              <w:top w:w="14" w:type="dxa"/>
              <w:left w:w="115" w:type="dxa"/>
              <w:bottom w:w="14" w:type="dxa"/>
              <w:right w:w="115" w:type="dxa"/>
            </w:tcMar>
            <w:vAlign w:val="center"/>
            <w:hideMark/>
          </w:tcPr>
          <w:p w14:paraId="4610DD14" w14:textId="77777777" w:rsidR="00282C85" w:rsidRPr="003253A0" w:rsidRDefault="00282C85" w:rsidP="004C46A6">
            <w:pPr>
              <w:keepNext/>
              <w:keepLines/>
              <w:suppressLineNumbers/>
              <w:tabs>
                <w:tab w:val="clear" w:pos="1701"/>
              </w:tabs>
              <w:suppressAutoHyphens/>
              <w:spacing w:before="20" w:after="20"/>
              <w:ind w:right="24"/>
              <w:jc w:val="right"/>
              <w:rPr>
                <w:rFonts w:asciiTheme="majorBidi" w:hAnsiTheme="majorBidi" w:cstheme="majorBidi"/>
                <w:b/>
                <w:kern w:val="22"/>
                <w:sz w:val="20"/>
                <w:szCs w:val="20"/>
                <w:lang w:val="fr-FR"/>
              </w:rPr>
            </w:pPr>
            <w:r w:rsidRPr="003253A0">
              <w:rPr>
                <w:rFonts w:asciiTheme="majorBidi" w:hAnsiTheme="majorBidi" w:cstheme="majorBidi"/>
                <w:b/>
                <w:kern w:val="22"/>
                <w:sz w:val="20"/>
                <w:szCs w:val="20"/>
                <w:lang w:val="fr-FR"/>
              </w:rPr>
              <w:t>87</w:t>
            </w:r>
          </w:p>
        </w:tc>
      </w:tr>
    </w:tbl>
    <w:p w14:paraId="3B0CC1B1" w14:textId="6A0280DD" w:rsidR="00330F20" w:rsidRPr="00BA52C1" w:rsidRDefault="00954BD0" w:rsidP="00740DF9">
      <w:pPr>
        <w:pStyle w:val="CBDFootnoteText"/>
        <w:tabs>
          <w:tab w:val="clear" w:pos="1134"/>
          <w:tab w:val="left" w:pos="990"/>
        </w:tabs>
        <w:spacing w:before="120"/>
        <w:ind w:left="624"/>
        <w:rPr>
          <w:szCs w:val="18"/>
          <w:lang w:val="fr-FR"/>
        </w:rPr>
      </w:pPr>
      <w:r w:rsidRPr="00BA52C1">
        <w:rPr>
          <w:i/>
          <w:iCs/>
          <w:szCs w:val="18"/>
          <w:lang w:val="fr-FR"/>
        </w:rPr>
        <w:tab/>
      </w:r>
      <w:r w:rsidR="00DF21EF" w:rsidRPr="00BA52C1">
        <w:rPr>
          <w:i/>
          <w:iCs/>
          <w:szCs w:val="18"/>
          <w:lang w:val="fr-FR"/>
        </w:rPr>
        <w:t>Abréviations</w:t>
      </w:r>
      <w:r w:rsidR="007F0380">
        <w:rPr>
          <w:i/>
          <w:iCs/>
          <w:szCs w:val="18"/>
          <w:lang w:val="fr-FR"/>
        </w:rPr>
        <w:t> </w:t>
      </w:r>
      <w:r w:rsidR="00330F20" w:rsidRPr="00BA52C1">
        <w:rPr>
          <w:i/>
          <w:iCs/>
          <w:szCs w:val="18"/>
          <w:lang w:val="fr-FR"/>
        </w:rPr>
        <w:t xml:space="preserve">: </w:t>
      </w:r>
      <w:r w:rsidR="00330F20" w:rsidRPr="00BA52C1">
        <w:rPr>
          <w:szCs w:val="18"/>
          <w:lang w:val="fr-FR"/>
        </w:rPr>
        <w:t>ASG</w:t>
      </w:r>
      <w:r w:rsidRPr="00BA52C1">
        <w:rPr>
          <w:szCs w:val="18"/>
          <w:lang w:val="fr-FR"/>
        </w:rPr>
        <w:t xml:space="preserve">, </w:t>
      </w:r>
      <w:r w:rsidR="007F0380">
        <w:rPr>
          <w:szCs w:val="18"/>
          <w:lang w:val="fr-FR"/>
        </w:rPr>
        <w:t>Sous-Secrétaire général </w:t>
      </w:r>
      <w:r w:rsidRPr="00BA52C1">
        <w:rPr>
          <w:szCs w:val="18"/>
          <w:lang w:val="fr-FR"/>
        </w:rPr>
        <w:t xml:space="preserve">; D, </w:t>
      </w:r>
      <w:r w:rsidR="007F0380">
        <w:rPr>
          <w:szCs w:val="18"/>
          <w:lang w:val="fr-FR"/>
        </w:rPr>
        <w:t>Directeur </w:t>
      </w:r>
      <w:r w:rsidRPr="00BA52C1">
        <w:rPr>
          <w:szCs w:val="18"/>
          <w:lang w:val="fr-FR"/>
        </w:rPr>
        <w:t xml:space="preserve">; P, </w:t>
      </w:r>
      <w:r w:rsidR="007F0380">
        <w:rPr>
          <w:szCs w:val="18"/>
          <w:lang w:val="fr-FR"/>
        </w:rPr>
        <w:t>Professionnel</w:t>
      </w:r>
      <w:r w:rsidRPr="00BA52C1">
        <w:rPr>
          <w:szCs w:val="18"/>
          <w:lang w:val="fr-FR"/>
        </w:rPr>
        <w:t>.</w:t>
      </w:r>
    </w:p>
    <w:p w14:paraId="3B178FE0" w14:textId="0CB7DC1B" w:rsidR="004C46A6" w:rsidRDefault="00954BD0" w:rsidP="00582303">
      <w:pPr>
        <w:pStyle w:val="CBDFootnoteText"/>
        <w:tabs>
          <w:tab w:val="clear" w:pos="1134"/>
          <w:tab w:val="left" w:pos="990"/>
        </w:tabs>
        <w:ind w:left="630"/>
        <w:rPr>
          <w:szCs w:val="18"/>
          <w:lang w:val="fr-FR"/>
        </w:rPr>
      </w:pPr>
      <w:r w:rsidRPr="00BA52C1">
        <w:rPr>
          <w:i/>
          <w:iCs/>
          <w:szCs w:val="18"/>
          <w:vertAlign w:val="superscript"/>
          <w:lang w:val="fr-FR"/>
        </w:rPr>
        <w:tab/>
      </w:r>
      <w:proofErr w:type="gramStart"/>
      <w:r w:rsidR="00EB4322">
        <w:rPr>
          <w:i/>
          <w:iCs/>
          <w:szCs w:val="18"/>
          <w:vertAlign w:val="superscript"/>
          <w:lang w:val="fr-FR"/>
        </w:rPr>
        <w:t>a</w:t>
      </w:r>
      <w:r w:rsidR="00740DF9">
        <w:rPr>
          <w:i/>
          <w:iCs/>
          <w:szCs w:val="18"/>
          <w:vertAlign w:val="superscript"/>
          <w:lang w:val="fr-FR"/>
        </w:rPr>
        <w:t xml:space="preserve"> </w:t>
      </w:r>
      <w:r w:rsidR="00EB4322">
        <w:rPr>
          <w:i/>
          <w:iCs/>
          <w:szCs w:val="18"/>
          <w:vertAlign w:val="superscript"/>
          <w:lang w:val="fr-FR"/>
        </w:rPr>
        <w:t xml:space="preserve"> </w:t>
      </w:r>
      <w:r w:rsidR="00EB4322" w:rsidRPr="003253A0">
        <w:rPr>
          <w:szCs w:val="18"/>
          <w:lang w:val="fr-FR"/>
        </w:rPr>
        <w:t>Nouveaux</w:t>
      </w:r>
      <w:proofErr w:type="gramEnd"/>
      <w:r w:rsidR="007F0380">
        <w:rPr>
          <w:szCs w:val="18"/>
          <w:lang w:val="fr-FR"/>
        </w:rPr>
        <w:t xml:space="preserve"> postes approuvés par la Conférence des Parties à sa seizième réunion </w:t>
      </w:r>
      <w:r w:rsidR="007A615E" w:rsidRPr="00BA52C1">
        <w:rPr>
          <w:szCs w:val="18"/>
          <w:lang w:val="fr-FR"/>
        </w:rPr>
        <w:t xml:space="preserve">: </w:t>
      </w:r>
      <w:r w:rsidR="007F0380">
        <w:rPr>
          <w:szCs w:val="18"/>
          <w:lang w:val="fr-FR"/>
        </w:rPr>
        <w:t>un Responsable de gestion de programme</w:t>
      </w:r>
      <w:r w:rsidR="007A615E" w:rsidRPr="00BA52C1">
        <w:rPr>
          <w:szCs w:val="18"/>
          <w:lang w:val="fr-FR"/>
        </w:rPr>
        <w:t xml:space="preserve"> – </w:t>
      </w:r>
      <w:r w:rsidR="007F0380">
        <w:rPr>
          <w:szCs w:val="18"/>
          <w:lang w:val="fr-FR"/>
        </w:rPr>
        <w:t>Informations de séquençage numérique</w:t>
      </w:r>
      <w:r w:rsidR="007A615E" w:rsidRPr="00BA52C1">
        <w:rPr>
          <w:szCs w:val="18"/>
          <w:lang w:val="fr-FR"/>
        </w:rPr>
        <w:t xml:space="preserve"> (P</w:t>
      </w:r>
      <w:r w:rsidR="007A615E" w:rsidRPr="00BA52C1">
        <w:rPr>
          <w:szCs w:val="18"/>
          <w:vertAlign w:val="subscript"/>
          <w:lang w:val="fr-FR"/>
        </w:rPr>
        <w:noBreakHyphen/>
      </w:r>
      <w:r w:rsidR="007A615E" w:rsidRPr="00BA52C1">
        <w:rPr>
          <w:szCs w:val="18"/>
          <w:lang w:val="fr-FR"/>
        </w:rPr>
        <w:t>4)</w:t>
      </w:r>
      <w:r w:rsidR="00AA1A10">
        <w:rPr>
          <w:szCs w:val="18"/>
          <w:lang w:val="fr-FR"/>
        </w:rPr>
        <w:t> </w:t>
      </w:r>
      <w:r w:rsidR="007A615E" w:rsidRPr="00BA52C1">
        <w:rPr>
          <w:szCs w:val="18"/>
          <w:lang w:val="fr-FR"/>
        </w:rPr>
        <w:t xml:space="preserve">; </w:t>
      </w:r>
      <w:r w:rsidR="007F0380">
        <w:rPr>
          <w:szCs w:val="18"/>
          <w:lang w:val="fr-FR"/>
        </w:rPr>
        <w:t xml:space="preserve">un Responsable de gestion de programme </w:t>
      </w:r>
      <w:r w:rsidR="007A615E" w:rsidRPr="00BA52C1">
        <w:rPr>
          <w:szCs w:val="18"/>
          <w:lang w:val="fr-FR"/>
        </w:rPr>
        <w:t xml:space="preserve">– </w:t>
      </w:r>
      <w:r w:rsidR="007F0380">
        <w:rPr>
          <w:szCs w:val="18"/>
          <w:lang w:val="fr-FR"/>
        </w:rPr>
        <w:t>Peuples autochtones et communautés locales et savoirs traditionnels</w:t>
      </w:r>
      <w:r w:rsidR="007A615E" w:rsidRPr="00BA52C1">
        <w:rPr>
          <w:szCs w:val="18"/>
          <w:lang w:val="fr-FR"/>
        </w:rPr>
        <w:t xml:space="preserve"> (P-4)</w:t>
      </w:r>
      <w:r w:rsidR="00AA1A10">
        <w:rPr>
          <w:szCs w:val="18"/>
          <w:lang w:val="fr-FR"/>
        </w:rPr>
        <w:t> </w:t>
      </w:r>
      <w:r w:rsidR="007A615E" w:rsidRPr="00BA52C1">
        <w:rPr>
          <w:szCs w:val="18"/>
          <w:lang w:val="fr-FR"/>
        </w:rPr>
        <w:t xml:space="preserve">; </w:t>
      </w:r>
      <w:r w:rsidR="007F0380">
        <w:rPr>
          <w:szCs w:val="18"/>
          <w:lang w:val="fr-FR"/>
        </w:rPr>
        <w:t>un Éditeur</w:t>
      </w:r>
      <w:r w:rsidR="007A615E" w:rsidRPr="00BA52C1">
        <w:rPr>
          <w:szCs w:val="18"/>
          <w:lang w:val="fr-FR"/>
        </w:rPr>
        <w:t xml:space="preserve"> (P-3)</w:t>
      </w:r>
      <w:r w:rsidR="00AA1A10">
        <w:rPr>
          <w:szCs w:val="18"/>
          <w:lang w:val="fr-FR"/>
        </w:rPr>
        <w:t> </w:t>
      </w:r>
      <w:r w:rsidR="007A615E" w:rsidRPr="00BA52C1">
        <w:rPr>
          <w:szCs w:val="18"/>
          <w:lang w:val="fr-FR"/>
        </w:rPr>
        <w:t xml:space="preserve">; </w:t>
      </w:r>
      <w:r w:rsidR="007F0380">
        <w:rPr>
          <w:szCs w:val="18"/>
          <w:lang w:val="fr-FR"/>
        </w:rPr>
        <w:t xml:space="preserve">et deux Assistants de réunions </w:t>
      </w:r>
      <w:r w:rsidR="007A615E" w:rsidRPr="00BA52C1">
        <w:rPr>
          <w:szCs w:val="18"/>
          <w:lang w:val="fr-FR"/>
        </w:rPr>
        <w:t>(G-6).</w:t>
      </w:r>
    </w:p>
    <w:p w14:paraId="115185A1" w14:textId="77777777" w:rsidR="004C46A6" w:rsidRDefault="004C46A6">
      <w:pPr>
        <w:tabs>
          <w:tab w:val="clear" w:pos="567"/>
          <w:tab w:val="clear" w:pos="1134"/>
          <w:tab w:val="clear" w:pos="1701"/>
          <w:tab w:val="clear" w:pos="2268"/>
        </w:tabs>
        <w:spacing w:after="160" w:line="259" w:lineRule="auto"/>
        <w:jc w:val="left"/>
        <w:rPr>
          <w:sz w:val="18"/>
          <w:szCs w:val="18"/>
          <w:lang w:val="fr-FR"/>
        </w:rPr>
      </w:pPr>
      <w:r>
        <w:rPr>
          <w:szCs w:val="18"/>
          <w:lang w:val="fr-FR"/>
        </w:rPr>
        <w:br w:type="page"/>
      </w:r>
    </w:p>
    <w:p w14:paraId="29A954C0" w14:textId="5ED8B5C8" w:rsidR="00201D78" w:rsidRDefault="00201D78" w:rsidP="00582303">
      <w:pPr>
        <w:pStyle w:val="CBDTableTitle"/>
        <w:rPr>
          <w:lang w:val="fr-FR" w:bidi="ar-SY"/>
        </w:rPr>
      </w:pPr>
      <w:r w:rsidRPr="00305135">
        <w:rPr>
          <w:b w:val="0"/>
          <w:bCs/>
          <w:lang w:val="fr-FR"/>
        </w:rPr>
        <w:lastRenderedPageBreak/>
        <w:t>Table</w:t>
      </w:r>
      <w:r w:rsidR="007F0380" w:rsidRPr="00305135">
        <w:rPr>
          <w:b w:val="0"/>
          <w:bCs/>
          <w:lang w:val="fr-FR"/>
        </w:rPr>
        <w:t>au </w:t>
      </w:r>
      <w:r w:rsidR="00D652DF" w:rsidRPr="00305135">
        <w:rPr>
          <w:b w:val="0"/>
          <w:bCs/>
          <w:lang w:val="fr-FR"/>
        </w:rPr>
        <w:t>4</w:t>
      </w:r>
      <w:r w:rsidR="00E824B6" w:rsidRPr="00BA52C1">
        <w:rPr>
          <w:lang w:val="fr-FR"/>
        </w:rPr>
        <w:br/>
      </w:r>
      <w:bookmarkStart w:id="7" w:name="_Hlk183881230"/>
      <w:r w:rsidR="000D5BAE">
        <w:rPr>
          <w:lang w:val="fr-FR" w:bidi="ar-SY"/>
        </w:rPr>
        <w:t xml:space="preserve">Ressources nécessaires au titre </w:t>
      </w:r>
      <w:r w:rsidR="007F0380" w:rsidRPr="000D5E71">
        <w:rPr>
          <w:lang w:val="fr-FR" w:bidi="ar-SY"/>
        </w:rPr>
        <w:t xml:space="preserve">du </w:t>
      </w:r>
      <w:r w:rsidR="00AA1A10" w:rsidRPr="000D5E71">
        <w:rPr>
          <w:lang w:val="fr-FR" w:bidi="ar-SY"/>
        </w:rPr>
        <w:t xml:space="preserve">Fonds </w:t>
      </w:r>
      <w:r w:rsidR="001E2D71" w:rsidRPr="000D5E71">
        <w:rPr>
          <w:lang w:val="fr-FR" w:bidi="ar-SY"/>
        </w:rPr>
        <w:t xml:space="preserve">spécial </w:t>
      </w:r>
      <w:r w:rsidR="000D5E71" w:rsidRPr="000D5E71">
        <w:rPr>
          <w:lang w:val="fr-FR" w:bidi="ar-SY"/>
        </w:rPr>
        <w:t>de contributions</w:t>
      </w:r>
      <w:r w:rsidR="000D5BAE" w:rsidRPr="000D5E71">
        <w:rPr>
          <w:lang w:val="fr-FR" w:bidi="ar-SY"/>
        </w:rPr>
        <w:t xml:space="preserve"> </w:t>
      </w:r>
      <w:r w:rsidR="001E2D71" w:rsidRPr="000D5E71">
        <w:rPr>
          <w:lang w:val="fr-FR" w:bidi="ar-SY"/>
        </w:rPr>
        <w:t>volontaire</w:t>
      </w:r>
      <w:r w:rsidR="000D5E71" w:rsidRPr="000D5E71">
        <w:rPr>
          <w:lang w:val="fr-FR" w:bidi="ar-SY"/>
        </w:rPr>
        <w:t>s destiné à des activités supplémentaires approuvées au titre</w:t>
      </w:r>
      <w:r w:rsidR="007F0380" w:rsidRPr="000D5E71">
        <w:rPr>
          <w:lang w:val="fr-FR" w:bidi="ar-SY"/>
        </w:rPr>
        <w:t xml:space="preserve"> de la Convention et de ses Protocoles</w:t>
      </w:r>
      <w:bookmarkEnd w:id="7"/>
      <w:r w:rsidR="004E1773">
        <w:rPr>
          <w:lang w:val="fr-FR" w:bidi="ar-SY"/>
        </w:rPr>
        <w:t>,</w:t>
      </w:r>
      <w:r w:rsidR="00AA1A10">
        <w:rPr>
          <w:lang w:val="fr-FR" w:bidi="ar-SY"/>
        </w:rPr>
        <w:t> </w:t>
      </w:r>
      <w:r w:rsidRPr="00BA52C1">
        <w:rPr>
          <w:lang w:val="fr-FR" w:bidi="ar-SY"/>
        </w:rPr>
        <w:t>202</w:t>
      </w:r>
      <w:r w:rsidR="006813FA" w:rsidRPr="00BA52C1">
        <w:rPr>
          <w:lang w:val="fr-FR" w:bidi="ar-SY"/>
        </w:rPr>
        <w:t>5</w:t>
      </w:r>
      <w:r w:rsidR="002E5A1A" w:rsidRPr="00BA52C1">
        <w:rPr>
          <w:lang w:val="fr-FR" w:bidi="ar-SY"/>
        </w:rPr>
        <w:t>–</w:t>
      </w:r>
      <w:r w:rsidRPr="00BA52C1">
        <w:rPr>
          <w:lang w:val="fr-FR" w:bidi="ar-SY"/>
        </w:rPr>
        <w:t>202</w:t>
      </w:r>
      <w:r w:rsidR="006813FA" w:rsidRPr="00BA52C1">
        <w:rPr>
          <w:lang w:val="fr-FR" w:bidi="ar-SY"/>
        </w:rPr>
        <w:t>6</w:t>
      </w:r>
      <w:r w:rsidR="007E7AB8">
        <w:rPr>
          <w:lang w:val="fr-FR" w:bidi="ar-SY"/>
        </w:rPr>
        <w:t xml:space="preserve"> : </w:t>
      </w:r>
      <w:r w:rsidR="003253A0">
        <w:rPr>
          <w:lang w:val="fr-FR" w:bidi="ar-SY"/>
        </w:rPr>
        <w:t>financements nécessaires</w:t>
      </w:r>
      <w:r w:rsidR="007E7AB8">
        <w:rPr>
          <w:lang w:val="fr-FR" w:bidi="ar-SY"/>
        </w:rPr>
        <w:t xml:space="preserve">, par </w:t>
      </w:r>
      <w:r w:rsidR="003457D9">
        <w:rPr>
          <w:lang w:val="fr-FR" w:bidi="ar-SY"/>
        </w:rPr>
        <w:t>domaine thématique</w:t>
      </w:r>
      <w:r w:rsidR="007E7AB8">
        <w:rPr>
          <w:lang w:val="fr-FR" w:bidi="ar-SY"/>
        </w:rPr>
        <w:t xml:space="preserve"> et poste de dépense</w:t>
      </w:r>
    </w:p>
    <w:p w14:paraId="58B00704" w14:textId="1F430C6E" w:rsidR="007E7AB8" w:rsidRPr="00BA52C1" w:rsidRDefault="007E7AB8" w:rsidP="007E7AB8">
      <w:pPr>
        <w:pStyle w:val="CBDNormalNoNumber"/>
        <w:keepNext/>
        <w:spacing w:after="60"/>
        <w:ind w:left="562"/>
        <w:rPr>
          <w:sz w:val="18"/>
          <w:szCs w:val="18"/>
          <w:lang w:val="fr-FR"/>
        </w:rPr>
      </w:pPr>
      <w:r w:rsidRPr="00BA52C1">
        <w:rPr>
          <w:sz w:val="18"/>
          <w:szCs w:val="18"/>
          <w:lang w:val="fr-FR"/>
        </w:rPr>
        <w:t>(</w:t>
      </w:r>
      <w:r>
        <w:rPr>
          <w:sz w:val="18"/>
          <w:szCs w:val="18"/>
          <w:lang w:val="fr-FR"/>
        </w:rPr>
        <w:t>En dollars des États-Unis</w:t>
      </w:r>
      <w:r w:rsidRPr="00BA52C1">
        <w:rPr>
          <w:sz w:val="18"/>
          <w:szCs w:val="18"/>
          <w:lang w:val="fr-FR"/>
        </w:rPr>
        <w:t>)</w:t>
      </w:r>
    </w:p>
    <w:tbl>
      <w:tblPr>
        <w:tblStyle w:val="Grilledutableau"/>
        <w:tblW w:w="962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6"/>
        <w:gridCol w:w="1316"/>
        <w:gridCol w:w="1216"/>
        <w:gridCol w:w="1216"/>
        <w:gridCol w:w="1116"/>
      </w:tblGrid>
      <w:tr w:rsidR="007E7AB8" w:rsidRPr="00697636" w14:paraId="120002E3" w14:textId="77777777" w:rsidTr="00D86899">
        <w:trPr>
          <w:tblHeader/>
        </w:trPr>
        <w:tc>
          <w:tcPr>
            <w:tcW w:w="4756" w:type="dxa"/>
            <w:tcBorders>
              <w:top w:val="single" w:sz="4" w:space="0" w:color="auto"/>
              <w:bottom w:val="single" w:sz="4" w:space="0" w:color="auto"/>
            </w:tcBorders>
            <w:noWrap/>
            <w:vAlign w:val="bottom"/>
            <w:hideMark/>
          </w:tcPr>
          <w:p w14:paraId="04B5A696" w14:textId="0D8C7231" w:rsidR="007E7AB8" w:rsidRPr="00697636" w:rsidRDefault="003457D9" w:rsidP="00D86899">
            <w:pPr>
              <w:spacing w:before="20" w:after="20"/>
              <w:jc w:val="left"/>
              <w:rPr>
                <w:rFonts w:asciiTheme="majorBidi" w:hAnsiTheme="majorBidi" w:cstheme="majorBidi"/>
                <w:i/>
                <w:iCs/>
                <w:sz w:val="20"/>
                <w:szCs w:val="20"/>
                <w:lang w:val="fr-FR"/>
              </w:rPr>
            </w:pPr>
            <w:r>
              <w:rPr>
                <w:rFonts w:asciiTheme="majorBidi" w:hAnsiTheme="majorBidi" w:cstheme="majorBidi"/>
                <w:i/>
                <w:iCs/>
                <w:sz w:val="20"/>
                <w:szCs w:val="20"/>
                <w:lang w:val="fr-FR"/>
              </w:rPr>
              <w:t>Domaine thématique</w:t>
            </w:r>
          </w:p>
        </w:tc>
        <w:tc>
          <w:tcPr>
            <w:tcW w:w="1316" w:type="dxa"/>
            <w:tcBorders>
              <w:top w:val="single" w:sz="4" w:space="0" w:color="auto"/>
              <w:bottom w:val="single" w:sz="4" w:space="0" w:color="auto"/>
            </w:tcBorders>
            <w:noWrap/>
            <w:vAlign w:val="bottom"/>
            <w:hideMark/>
          </w:tcPr>
          <w:p w14:paraId="47C47945" w14:textId="726CB237" w:rsidR="007E7AB8" w:rsidRPr="00697636" w:rsidRDefault="007E7AB8" w:rsidP="00D86899">
            <w:pPr>
              <w:spacing w:before="20" w:after="20"/>
              <w:jc w:val="right"/>
              <w:rPr>
                <w:rFonts w:asciiTheme="majorBidi" w:hAnsiTheme="majorBidi" w:cstheme="majorBidi"/>
                <w:i/>
                <w:iCs/>
                <w:sz w:val="20"/>
                <w:szCs w:val="20"/>
                <w:lang w:val="fr-FR"/>
              </w:rPr>
            </w:pPr>
            <w:r w:rsidRPr="00697636">
              <w:rPr>
                <w:rFonts w:asciiTheme="majorBidi" w:hAnsiTheme="majorBidi" w:cstheme="majorBidi"/>
                <w:i/>
                <w:iCs/>
                <w:sz w:val="20"/>
                <w:szCs w:val="20"/>
                <w:lang w:val="fr-FR"/>
              </w:rPr>
              <w:t>Dépenses liées à la réunion</w:t>
            </w:r>
          </w:p>
        </w:tc>
        <w:tc>
          <w:tcPr>
            <w:tcW w:w="1216" w:type="dxa"/>
            <w:tcBorders>
              <w:top w:val="single" w:sz="4" w:space="0" w:color="auto"/>
              <w:bottom w:val="single" w:sz="4" w:space="0" w:color="auto"/>
            </w:tcBorders>
            <w:noWrap/>
            <w:vAlign w:val="bottom"/>
            <w:hideMark/>
          </w:tcPr>
          <w:p w14:paraId="576D2F6C" w14:textId="579B05F5" w:rsidR="007E7AB8" w:rsidRPr="00697636" w:rsidRDefault="00697636" w:rsidP="00D86899">
            <w:pPr>
              <w:spacing w:before="20" w:after="20"/>
              <w:jc w:val="right"/>
              <w:rPr>
                <w:rFonts w:asciiTheme="majorBidi" w:hAnsiTheme="majorBidi" w:cstheme="majorBidi"/>
                <w:i/>
                <w:iCs/>
                <w:sz w:val="20"/>
                <w:szCs w:val="20"/>
                <w:lang w:val="fr-FR"/>
              </w:rPr>
            </w:pPr>
            <w:r w:rsidRPr="00697636">
              <w:rPr>
                <w:rFonts w:asciiTheme="majorBidi" w:hAnsiTheme="majorBidi" w:cstheme="majorBidi"/>
                <w:i/>
                <w:iCs/>
                <w:sz w:val="20"/>
                <w:szCs w:val="20"/>
                <w:lang w:val="fr-FR"/>
              </w:rPr>
              <w:t>Frais de voyage du personnel</w:t>
            </w:r>
          </w:p>
        </w:tc>
        <w:tc>
          <w:tcPr>
            <w:tcW w:w="1216" w:type="dxa"/>
            <w:tcBorders>
              <w:top w:val="single" w:sz="4" w:space="0" w:color="auto"/>
              <w:bottom w:val="single" w:sz="4" w:space="0" w:color="auto"/>
            </w:tcBorders>
            <w:noWrap/>
            <w:vAlign w:val="bottom"/>
            <w:hideMark/>
          </w:tcPr>
          <w:p w14:paraId="12C11688" w14:textId="216619D7" w:rsidR="007E7AB8" w:rsidRPr="00697636" w:rsidRDefault="00697636" w:rsidP="00D86899">
            <w:pPr>
              <w:spacing w:before="20" w:after="20"/>
              <w:jc w:val="right"/>
              <w:rPr>
                <w:rFonts w:asciiTheme="majorBidi" w:hAnsiTheme="majorBidi" w:cstheme="majorBidi"/>
                <w:i/>
                <w:iCs/>
                <w:sz w:val="20"/>
                <w:szCs w:val="20"/>
                <w:lang w:val="fr-FR"/>
              </w:rPr>
            </w:pPr>
            <w:r w:rsidRPr="00697636">
              <w:rPr>
                <w:rFonts w:asciiTheme="majorBidi" w:hAnsiTheme="majorBidi" w:cstheme="majorBidi"/>
                <w:i/>
                <w:iCs/>
                <w:sz w:val="20"/>
                <w:szCs w:val="20"/>
                <w:lang w:val="fr-FR"/>
              </w:rPr>
              <w:t>Consultants</w:t>
            </w:r>
          </w:p>
        </w:tc>
        <w:tc>
          <w:tcPr>
            <w:tcW w:w="1116" w:type="dxa"/>
            <w:tcBorders>
              <w:top w:val="single" w:sz="4" w:space="0" w:color="auto"/>
              <w:bottom w:val="single" w:sz="4" w:space="0" w:color="auto"/>
            </w:tcBorders>
            <w:noWrap/>
            <w:vAlign w:val="bottom"/>
            <w:hideMark/>
          </w:tcPr>
          <w:p w14:paraId="148A2026" w14:textId="702BC75E" w:rsidR="007E7AB8" w:rsidRPr="00697636" w:rsidRDefault="00697636" w:rsidP="00D86899">
            <w:pPr>
              <w:spacing w:before="20" w:after="20"/>
              <w:jc w:val="right"/>
              <w:rPr>
                <w:rFonts w:asciiTheme="majorBidi" w:hAnsiTheme="majorBidi" w:cstheme="majorBidi"/>
                <w:i/>
                <w:iCs/>
                <w:sz w:val="20"/>
                <w:szCs w:val="20"/>
                <w:lang w:val="fr-FR"/>
              </w:rPr>
            </w:pPr>
            <w:r w:rsidRPr="00697636">
              <w:rPr>
                <w:rFonts w:asciiTheme="majorBidi" w:hAnsiTheme="majorBidi" w:cstheme="majorBidi"/>
                <w:i/>
                <w:iCs/>
                <w:sz w:val="20"/>
                <w:szCs w:val="20"/>
                <w:lang w:val="fr-FR"/>
              </w:rPr>
              <w:t>Total</w:t>
            </w:r>
          </w:p>
        </w:tc>
      </w:tr>
      <w:tr w:rsidR="007E7AB8" w:rsidRPr="00697636" w14:paraId="0BA99DE8" w14:textId="77777777" w:rsidTr="00D86899">
        <w:tc>
          <w:tcPr>
            <w:tcW w:w="9620" w:type="dxa"/>
            <w:gridSpan w:val="5"/>
            <w:tcBorders>
              <w:top w:val="single" w:sz="4" w:space="0" w:color="auto"/>
              <w:bottom w:val="single" w:sz="4" w:space="0" w:color="auto"/>
            </w:tcBorders>
            <w:noWrap/>
            <w:vAlign w:val="bottom"/>
            <w:hideMark/>
          </w:tcPr>
          <w:p w14:paraId="257B70F8" w14:textId="5018891E" w:rsidR="007E7AB8" w:rsidRPr="00697636" w:rsidRDefault="007E7AB8" w:rsidP="00D86899">
            <w:pPr>
              <w:spacing w:before="20" w:after="20"/>
              <w:jc w:val="left"/>
              <w:rPr>
                <w:rFonts w:asciiTheme="majorBidi" w:hAnsiTheme="majorBidi" w:cstheme="majorBidi"/>
                <w:sz w:val="20"/>
                <w:szCs w:val="20"/>
                <w:lang w:val="fr-FR"/>
              </w:rPr>
            </w:pPr>
            <w:r w:rsidRPr="00697636">
              <w:rPr>
                <w:rFonts w:asciiTheme="majorBidi" w:hAnsiTheme="majorBidi" w:cstheme="majorBidi"/>
                <w:b/>
                <w:bCs/>
                <w:sz w:val="20"/>
                <w:szCs w:val="20"/>
                <w:lang w:val="fr-FR"/>
              </w:rPr>
              <w:t xml:space="preserve">A. Convention </w:t>
            </w:r>
            <w:r w:rsidR="00697636">
              <w:rPr>
                <w:rFonts w:asciiTheme="majorBidi" w:hAnsiTheme="majorBidi" w:cstheme="majorBidi"/>
                <w:b/>
                <w:bCs/>
                <w:sz w:val="20"/>
                <w:szCs w:val="20"/>
                <w:lang w:val="fr-FR"/>
              </w:rPr>
              <w:t>sur la diversité biologique</w:t>
            </w:r>
          </w:p>
        </w:tc>
      </w:tr>
      <w:tr w:rsidR="007E7AB8" w:rsidRPr="00697636" w14:paraId="46EE1D2D" w14:textId="77777777" w:rsidTr="00D86899">
        <w:tc>
          <w:tcPr>
            <w:tcW w:w="4756" w:type="dxa"/>
            <w:tcBorders>
              <w:top w:val="single" w:sz="4" w:space="0" w:color="auto"/>
            </w:tcBorders>
            <w:noWrap/>
            <w:vAlign w:val="bottom"/>
            <w:hideMark/>
          </w:tcPr>
          <w:p w14:paraId="051B8F86" w14:textId="18FF0273" w:rsidR="007E7AB8" w:rsidRPr="00697636" w:rsidRDefault="00697636" w:rsidP="00D86899">
            <w:pPr>
              <w:spacing w:before="20" w:after="20"/>
              <w:jc w:val="left"/>
              <w:rPr>
                <w:rFonts w:asciiTheme="majorBidi" w:hAnsiTheme="majorBidi" w:cstheme="majorBidi"/>
                <w:sz w:val="20"/>
                <w:szCs w:val="20"/>
                <w:lang w:val="fr-FR"/>
              </w:rPr>
            </w:pPr>
            <w:r>
              <w:rPr>
                <w:rFonts w:asciiTheme="majorBidi" w:hAnsiTheme="majorBidi" w:cstheme="majorBidi"/>
                <w:sz w:val="20"/>
                <w:szCs w:val="20"/>
                <w:lang w:val="fr-FR"/>
              </w:rPr>
              <w:t>Information de séquençage numérique sur les ressources génétiques</w:t>
            </w:r>
          </w:p>
        </w:tc>
        <w:tc>
          <w:tcPr>
            <w:tcW w:w="1316" w:type="dxa"/>
            <w:tcBorders>
              <w:top w:val="single" w:sz="4" w:space="0" w:color="auto"/>
            </w:tcBorders>
            <w:noWrap/>
            <w:vAlign w:val="bottom"/>
            <w:hideMark/>
          </w:tcPr>
          <w:p w14:paraId="0D5DAAAD"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317 600</w:t>
            </w:r>
          </w:p>
        </w:tc>
        <w:tc>
          <w:tcPr>
            <w:tcW w:w="1216" w:type="dxa"/>
            <w:tcBorders>
              <w:top w:val="single" w:sz="4" w:space="0" w:color="auto"/>
            </w:tcBorders>
            <w:noWrap/>
            <w:vAlign w:val="bottom"/>
            <w:hideMark/>
          </w:tcPr>
          <w:p w14:paraId="5D695BA7"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66 500</w:t>
            </w:r>
          </w:p>
        </w:tc>
        <w:tc>
          <w:tcPr>
            <w:tcW w:w="1216" w:type="dxa"/>
            <w:tcBorders>
              <w:top w:val="single" w:sz="4" w:space="0" w:color="auto"/>
            </w:tcBorders>
            <w:noWrap/>
            <w:vAlign w:val="bottom"/>
            <w:hideMark/>
          </w:tcPr>
          <w:p w14:paraId="2DEE0756"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450 000</w:t>
            </w:r>
          </w:p>
        </w:tc>
        <w:tc>
          <w:tcPr>
            <w:tcW w:w="1116" w:type="dxa"/>
            <w:tcBorders>
              <w:top w:val="single" w:sz="4" w:space="0" w:color="auto"/>
            </w:tcBorders>
            <w:noWrap/>
            <w:vAlign w:val="bottom"/>
            <w:hideMark/>
          </w:tcPr>
          <w:p w14:paraId="1F9C36C6"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834 100</w:t>
            </w:r>
          </w:p>
        </w:tc>
      </w:tr>
      <w:tr w:rsidR="007E7AB8" w:rsidRPr="00697636" w14:paraId="585B88E4" w14:textId="77777777" w:rsidTr="00D86899">
        <w:tc>
          <w:tcPr>
            <w:tcW w:w="4756" w:type="dxa"/>
            <w:vAlign w:val="bottom"/>
            <w:hideMark/>
          </w:tcPr>
          <w:p w14:paraId="37E2199F" w14:textId="5D4B5D40" w:rsidR="007E7AB8" w:rsidRPr="00697636" w:rsidRDefault="00697636" w:rsidP="00D86899">
            <w:pPr>
              <w:spacing w:before="20" w:after="20"/>
              <w:jc w:val="left"/>
              <w:rPr>
                <w:rFonts w:asciiTheme="majorBidi" w:hAnsiTheme="majorBidi" w:cstheme="majorBidi"/>
                <w:sz w:val="20"/>
                <w:szCs w:val="20"/>
                <w:lang w:val="fr-FR"/>
              </w:rPr>
            </w:pPr>
            <w:r>
              <w:rPr>
                <w:rFonts w:asciiTheme="majorBidi" w:hAnsiTheme="majorBidi" w:cstheme="majorBidi"/>
                <w:sz w:val="20"/>
                <w:szCs w:val="20"/>
                <w:lang w:val="fr-FR"/>
              </w:rPr>
              <w:t>Renforcement et développement des capacités, coopération technique et scientifique et transfert de technologie</w:t>
            </w:r>
          </w:p>
        </w:tc>
        <w:tc>
          <w:tcPr>
            <w:tcW w:w="1316" w:type="dxa"/>
            <w:noWrap/>
            <w:vAlign w:val="bottom"/>
            <w:hideMark/>
          </w:tcPr>
          <w:p w14:paraId="77FDAD2B"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608 050</w:t>
            </w:r>
          </w:p>
        </w:tc>
        <w:tc>
          <w:tcPr>
            <w:tcW w:w="1216" w:type="dxa"/>
            <w:noWrap/>
            <w:vAlign w:val="bottom"/>
            <w:hideMark/>
          </w:tcPr>
          <w:p w14:paraId="59E9449A"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185 750</w:t>
            </w:r>
          </w:p>
        </w:tc>
        <w:tc>
          <w:tcPr>
            <w:tcW w:w="1216" w:type="dxa"/>
            <w:noWrap/>
            <w:vAlign w:val="bottom"/>
            <w:hideMark/>
          </w:tcPr>
          <w:p w14:paraId="64F9BD0E"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486 000</w:t>
            </w:r>
          </w:p>
        </w:tc>
        <w:tc>
          <w:tcPr>
            <w:tcW w:w="1116" w:type="dxa"/>
            <w:noWrap/>
            <w:vAlign w:val="bottom"/>
            <w:hideMark/>
          </w:tcPr>
          <w:p w14:paraId="5BD6BE9E"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1 279 800</w:t>
            </w:r>
          </w:p>
        </w:tc>
      </w:tr>
      <w:tr w:rsidR="007E7AB8" w:rsidRPr="00697636" w14:paraId="4982DA3E" w14:textId="77777777" w:rsidTr="00D86899">
        <w:tc>
          <w:tcPr>
            <w:tcW w:w="4756" w:type="dxa"/>
            <w:vAlign w:val="bottom"/>
            <w:hideMark/>
          </w:tcPr>
          <w:p w14:paraId="4A9F7655" w14:textId="1F2801D9" w:rsidR="007E7AB8" w:rsidRPr="00697636" w:rsidRDefault="00697636" w:rsidP="00D86899">
            <w:pPr>
              <w:spacing w:before="20" w:after="20"/>
              <w:jc w:val="left"/>
              <w:rPr>
                <w:rFonts w:asciiTheme="majorBidi" w:hAnsiTheme="majorBidi" w:cstheme="majorBidi"/>
                <w:strike/>
                <w:sz w:val="20"/>
                <w:szCs w:val="20"/>
                <w:lang w:val="fr-FR"/>
              </w:rPr>
            </w:pPr>
            <w:r>
              <w:rPr>
                <w:rFonts w:asciiTheme="majorBidi" w:hAnsiTheme="majorBidi" w:cstheme="majorBidi"/>
                <w:sz w:val="20"/>
                <w:szCs w:val="20"/>
                <w:lang w:val="fr-FR"/>
              </w:rPr>
              <w:t xml:space="preserve">Programme de travail </w:t>
            </w:r>
            <w:r w:rsidR="004C0F7D">
              <w:rPr>
                <w:rFonts w:asciiTheme="majorBidi" w:hAnsiTheme="majorBidi" w:cstheme="majorBidi"/>
                <w:sz w:val="20"/>
                <w:szCs w:val="20"/>
                <w:lang w:val="fr-FR"/>
              </w:rPr>
              <w:t>sur</w:t>
            </w:r>
            <w:r>
              <w:rPr>
                <w:rFonts w:asciiTheme="majorBidi" w:hAnsiTheme="majorBidi" w:cstheme="majorBidi"/>
                <w:sz w:val="20"/>
                <w:szCs w:val="20"/>
                <w:lang w:val="fr-FR"/>
              </w:rPr>
              <w:t xml:space="preserve"> l’article 8 j) et </w:t>
            </w:r>
            <w:r w:rsidR="004C0F7D">
              <w:rPr>
                <w:rFonts w:asciiTheme="majorBidi" w:hAnsiTheme="majorBidi" w:cstheme="majorBidi"/>
                <w:sz w:val="20"/>
                <w:szCs w:val="20"/>
                <w:lang w:val="fr-FR"/>
              </w:rPr>
              <w:t xml:space="preserve">d’autres </w:t>
            </w:r>
            <w:r>
              <w:rPr>
                <w:rFonts w:asciiTheme="majorBidi" w:hAnsiTheme="majorBidi" w:cstheme="majorBidi"/>
                <w:sz w:val="20"/>
                <w:szCs w:val="20"/>
                <w:lang w:val="fr-FR"/>
              </w:rPr>
              <w:t xml:space="preserve">dispositions de la Convention sur la diversité biologique </w:t>
            </w:r>
            <w:r w:rsidR="004C0F7D">
              <w:rPr>
                <w:rFonts w:asciiTheme="majorBidi" w:hAnsiTheme="majorBidi" w:cstheme="majorBidi"/>
                <w:sz w:val="20"/>
                <w:szCs w:val="20"/>
                <w:lang w:val="fr-FR"/>
              </w:rPr>
              <w:t>relatives aux</w:t>
            </w:r>
            <w:r>
              <w:rPr>
                <w:rFonts w:asciiTheme="majorBidi" w:hAnsiTheme="majorBidi" w:cstheme="majorBidi"/>
                <w:sz w:val="20"/>
                <w:szCs w:val="20"/>
                <w:lang w:val="fr-FR"/>
              </w:rPr>
              <w:t xml:space="preserve"> peuples autochtones et communautés locales </w:t>
            </w:r>
            <w:r w:rsidR="004C0F7D">
              <w:rPr>
                <w:rFonts w:asciiTheme="majorBidi" w:hAnsiTheme="majorBidi" w:cstheme="majorBidi"/>
                <w:sz w:val="20"/>
                <w:szCs w:val="20"/>
                <w:lang w:val="fr-FR"/>
              </w:rPr>
              <w:t>d’ici à 2030</w:t>
            </w:r>
          </w:p>
        </w:tc>
        <w:tc>
          <w:tcPr>
            <w:tcW w:w="1316" w:type="dxa"/>
            <w:noWrap/>
            <w:vAlign w:val="bottom"/>
            <w:hideMark/>
          </w:tcPr>
          <w:p w14:paraId="628B7D1C"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431 950</w:t>
            </w:r>
          </w:p>
        </w:tc>
        <w:tc>
          <w:tcPr>
            <w:tcW w:w="1216" w:type="dxa"/>
            <w:noWrap/>
            <w:vAlign w:val="bottom"/>
            <w:hideMark/>
          </w:tcPr>
          <w:p w14:paraId="1C4B7A09"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149 000</w:t>
            </w:r>
          </w:p>
        </w:tc>
        <w:tc>
          <w:tcPr>
            <w:tcW w:w="1216" w:type="dxa"/>
            <w:noWrap/>
            <w:vAlign w:val="bottom"/>
            <w:hideMark/>
          </w:tcPr>
          <w:p w14:paraId="16955D1A"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216 000</w:t>
            </w:r>
          </w:p>
        </w:tc>
        <w:tc>
          <w:tcPr>
            <w:tcW w:w="1116" w:type="dxa"/>
            <w:noWrap/>
            <w:vAlign w:val="bottom"/>
            <w:hideMark/>
          </w:tcPr>
          <w:p w14:paraId="7B2159E7"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796 950</w:t>
            </w:r>
          </w:p>
        </w:tc>
      </w:tr>
      <w:tr w:rsidR="007E7AB8" w:rsidRPr="00697636" w14:paraId="6BBE05E6" w14:textId="77777777" w:rsidTr="00D86899">
        <w:tc>
          <w:tcPr>
            <w:tcW w:w="4756" w:type="dxa"/>
            <w:noWrap/>
            <w:vAlign w:val="bottom"/>
            <w:hideMark/>
          </w:tcPr>
          <w:p w14:paraId="3BFB68F2" w14:textId="7E1B571E" w:rsidR="007E7AB8" w:rsidRPr="00697636" w:rsidRDefault="003457D9" w:rsidP="00D86899">
            <w:pPr>
              <w:spacing w:before="20" w:after="20"/>
              <w:jc w:val="left"/>
              <w:rPr>
                <w:rFonts w:asciiTheme="majorBidi" w:hAnsiTheme="majorBidi" w:cstheme="majorBidi"/>
                <w:sz w:val="20"/>
                <w:szCs w:val="20"/>
                <w:lang w:val="fr-FR"/>
              </w:rPr>
            </w:pPr>
            <w:r>
              <w:rPr>
                <w:rFonts w:asciiTheme="majorBidi" w:hAnsiTheme="majorBidi" w:cstheme="majorBidi"/>
                <w:sz w:val="20"/>
                <w:szCs w:val="20"/>
                <w:lang w:val="fr-FR"/>
              </w:rPr>
              <w:t>Mécanisme d’échange d’informations et gestion des connaissances</w:t>
            </w:r>
          </w:p>
        </w:tc>
        <w:tc>
          <w:tcPr>
            <w:tcW w:w="1316" w:type="dxa"/>
            <w:noWrap/>
            <w:vAlign w:val="bottom"/>
            <w:hideMark/>
          </w:tcPr>
          <w:p w14:paraId="36F5DF63"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1 778 950</w:t>
            </w:r>
          </w:p>
        </w:tc>
        <w:tc>
          <w:tcPr>
            <w:tcW w:w="1216" w:type="dxa"/>
            <w:noWrap/>
            <w:vAlign w:val="bottom"/>
            <w:hideMark/>
          </w:tcPr>
          <w:p w14:paraId="118799C8"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210 500</w:t>
            </w:r>
          </w:p>
        </w:tc>
        <w:tc>
          <w:tcPr>
            <w:tcW w:w="1216" w:type="dxa"/>
            <w:noWrap/>
            <w:vAlign w:val="bottom"/>
            <w:hideMark/>
          </w:tcPr>
          <w:p w14:paraId="1A2345B5"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1 296 000</w:t>
            </w:r>
          </w:p>
        </w:tc>
        <w:tc>
          <w:tcPr>
            <w:tcW w:w="1116" w:type="dxa"/>
            <w:noWrap/>
            <w:vAlign w:val="bottom"/>
            <w:hideMark/>
          </w:tcPr>
          <w:p w14:paraId="5635DF22"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3 285 450</w:t>
            </w:r>
          </w:p>
        </w:tc>
      </w:tr>
      <w:tr w:rsidR="007E7AB8" w:rsidRPr="00697636" w14:paraId="380D540C" w14:textId="77777777" w:rsidTr="00D86899">
        <w:tc>
          <w:tcPr>
            <w:tcW w:w="4756" w:type="dxa"/>
            <w:noWrap/>
            <w:vAlign w:val="bottom"/>
            <w:hideMark/>
          </w:tcPr>
          <w:p w14:paraId="73F52DA1" w14:textId="4D349D2F" w:rsidR="007E7AB8" w:rsidRPr="00697636" w:rsidRDefault="007E7AB8" w:rsidP="00D86899">
            <w:pPr>
              <w:spacing w:before="20" w:after="20"/>
              <w:jc w:val="left"/>
              <w:rPr>
                <w:rFonts w:asciiTheme="majorBidi" w:hAnsiTheme="majorBidi" w:cstheme="majorBidi"/>
                <w:sz w:val="20"/>
                <w:szCs w:val="20"/>
                <w:lang w:val="fr-FR"/>
              </w:rPr>
            </w:pPr>
            <w:r w:rsidRPr="00697636">
              <w:rPr>
                <w:rFonts w:asciiTheme="majorBidi" w:hAnsiTheme="majorBidi" w:cstheme="majorBidi"/>
                <w:sz w:val="20"/>
                <w:szCs w:val="20"/>
                <w:lang w:val="fr-FR"/>
              </w:rPr>
              <w:t xml:space="preserve">Communication, </w:t>
            </w:r>
            <w:r w:rsidR="004C0F7D">
              <w:rPr>
                <w:rFonts w:asciiTheme="majorBidi" w:hAnsiTheme="majorBidi" w:cstheme="majorBidi"/>
                <w:sz w:val="20"/>
                <w:szCs w:val="20"/>
                <w:lang w:val="fr-FR"/>
              </w:rPr>
              <w:t>é</w:t>
            </w:r>
            <w:r w:rsidRPr="00697636">
              <w:rPr>
                <w:rFonts w:asciiTheme="majorBidi" w:hAnsiTheme="majorBidi" w:cstheme="majorBidi"/>
                <w:sz w:val="20"/>
                <w:szCs w:val="20"/>
                <w:lang w:val="fr-FR"/>
              </w:rPr>
              <w:t xml:space="preserve">ducation </w:t>
            </w:r>
            <w:r w:rsidR="004C0F7D">
              <w:rPr>
                <w:rFonts w:asciiTheme="majorBidi" w:hAnsiTheme="majorBidi" w:cstheme="majorBidi"/>
                <w:sz w:val="20"/>
                <w:szCs w:val="20"/>
                <w:lang w:val="fr-FR"/>
              </w:rPr>
              <w:t>et sensibilisation du</w:t>
            </w:r>
            <w:r w:rsidRPr="00697636">
              <w:rPr>
                <w:rFonts w:asciiTheme="majorBidi" w:hAnsiTheme="majorBidi" w:cstheme="majorBidi"/>
                <w:sz w:val="20"/>
                <w:szCs w:val="20"/>
                <w:lang w:val="fr-FR"/>
              </w:rPr>
              <w:t xml:space="preserve"> public</w:t>
            </w:r>
          </w:p>
        </w:tc>
        <w:tc>
          <w:tcPr>
            <w:tcW w:w="1316" w:type="dxa"/>
            <w:noWrap/>
            <w:vAlign w:val="bottom"/>
            <w:hideMark/>
          </w:tcPr>
          <w:p w14:paraId="1FE47B0B"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311 300</w:t>
            </w:r>
          </w:p>
        </w:tc>
        <w:tc>
          <w:tcPr>
            <w:tcW w:w="1216" w:type="dxa"/>
            <w:noWrap/>
            <w:vAlign w:val="bottom"/>
            <w:hideMark/>
          </w:tcPr>
          <w:p w14:paraId="1B510AB9"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59 750</w:t>
            </w:r>
          </w:p>
        </w:tc>
        <w:tc>
          <w:tcPr>
            <w:tcW w:w="1216" w:type="dxa"/>
            <w:noWrap/>
            <w:vAlign w:val="bottom"/>
            <w:hideMark/>
          </w:tcPr>
          <w:p w14:paraId="0F1517C1"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522 500</w:t>
            </w:r>
          </w:p>
        </w:tc>
        <w:tc>
          <w:tcPr>
            <w:tcW w:w="1116" w:type="dxa"/>
            <w:noWrap/>
            <w:vAlign w:val="bottom"/>
            <w:hideMark/>
          </w:tcPr>
          <w:p w14:paraId="373CF199"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893 550</w:t>
            </w:r>
          </w:p>
        </w:tc>
      </w:tr>
      <w:tr w:rsidR="007E7AB8" w:rsidRPr="00697636" w14:paraId="7E7205C3" w14:textId="77777777" w:rsidTr="00D86899">
        <w:tc>
          <w:tcPr>
            <w:tcW w:w="4756" w:type="dxa"/>
            <w:vAlign w:val="bottom"/>
            <w:hideMark/>
          </w:tcPr>
          <w:p w14:paraId="725E258D" w14:textId="5C2AF991" w:rsidR="007E7AB8" w:rsidRPr="00697636" w:rsidRDefault="002169EA" w:rsidP="00D86899">
            <w:pPr>
              <w:spacing w:before="20" w:after="20"/>
              <w:jc w:val="left"/>
              <w:rPr>
                <w:rFonts w:asciiTheme="majorBidi" w:hAnsiTheme="majorBidi" w:cstheme="majorBidi"/>
                <w:sz w:val="20"/>
                <w:szCs w:val="20"/>
                <w:lang w:val="fr-FR"/>
              </w:rPr>
            </w:pPr>
            <w:r>
              <w:rPr>
                <w:rFonts w:asciiTheme="majorBidi" w:hAnsiTheme="majorBidi" w:cstheme="majorBidi"/>
                <w:sz w:val="20"/>
                <w:szCs w:val="20"/>
                <w:lang w:val="fr-FR"/>
              </w:rPr>
              <w:t>Questions relatives au programme de travail de la plateforme intergouvernementale scientifique et politique sur la biodiversité et les services écosystémiques</w:t>
            </w:r>
          </w:p>
        </w:tc>
        <w:tc>
          <w:tcPr>
            <w:tcW w:w="1316" w:type="dxa"/>
            <w:noWrap/>
            <w:vAlign w:val="bottom"/>
            <w:hideMark/>
          </w:tcPr>
          <w:p w14:paraId="20D38038"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23 300</w:t>
            </w:r>
          </w:p>
        </w:tc>
        <w:tc>
          <w:tcPr>
            <w:tcW w:w="1216" w:type="dxa"/>
            <w:noWrap/>
            <w:vAlign w:val="bottom"/>
            <w:hideMark/>
          </w:tcPr>
          <w:p w14:paraId="6CEAB0B1"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27 250</w:t>
            </w:r>
          </w:p>
        </w:tc>
        <w:tc>
          <w:tcPr>
            <w:tcW w:w="1216" w:type="dxa"/>
            <w:noWrap/>
            <w:vAlign w:val="bottom"/>
            <w:hideMark/>
          </w:tcPr>
          <w:p w14:paraId="02897A07"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sz w:val="20"/>
                <w:szCs w:val="20"/>
                <w:lang w:val="fr-FR" w:bidi="ar-SY"/>
              </w:rPr>
              <w:t>–</w:t>
            </w:r>
          </w:p>
        </w:tc>
        <w:tc>
          <w:tcPr>
            <w:tcW w:w="1116" w:type="dxa"/>
            <w:noWrap/>
            <w:vAlign w:val="bottom"/>
            <w:hideMark/>
          </w:tcPr>
          <w:p w14:paraId="6F1B1E9B"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50 550</w:t>
            </w:r>
          </w:p>
        </w:tc>
      </w:tr>
      <w:tr w:rsidR="007E7AB8" w:rsidRPr="00697636" w14:paraId="76C09E69" w14:textId="77777777" w:rsidTr="00D86899">
        <w:tc>
          <w:tcPr>
            <w:tcW w:w="4756" w:type="dxa"/>
            <w:vAlign w:val="bottom"/>
            <w:hideMark/>
          </w:tcPr>
          <w:p w14:paraId="7753F882" w14:textId="2A8D1933" w:rsidR="007E7AB8" w:rsidRPr="00697636" w:rsidRDefault="005A014B" w:rsidP="00D86899">
            <w:pPr>
              <w:spacing w:before="20" w:after="20"/>
              <w:jc w:val="left"/>
              <w:rPr>
                <w:rFonts w:asciiTheme="majorBidi" w:hAnsiTheme="majorBidi" w:cstheme="majorBidi"/>
                <w:sz w:val="20"/>
                <w:szCs w:val="20"/>
                <w:lang w:val="fr-FR"/>
              </w:rPr>
            </w:pPr>
            <w:r>
              <w:rPr>
                <w:rFonts w:asciiTheme="majorBidi" w:hAnsiTheme="majorBidi" w:cstheme="majorBidi"/>
                <w:sz w:val="20"/>
                <w:szCs w:val="20"/>
                <w:lang w:val="fr-FR"/>
              </w:rPr>
              <w:t>Besoins scientifiques et techniques pour appuyer la mise en œuvre du Cadre mondial de la biodiversité de Kunming-Montréal</w:t>
            </w:r>
          </w:p>
        </w:tc>
        <w:tc>
          <w:tcPr>
            <w:tcW w:w="1316" w:type="dxa"/>
            <w:noWrap/>
            <w:vAlign w:val="bottom"/>
            <w:hideMark/>
          </w:tcPr>
          <w:p w14:paraId="6B717801"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449 400</w:t>
            </w:r>
          </w:p>
        </w:tc>
        <w:tc>
          <w:tcPr>
            <w:tcW w:w="1216" w:type="dxa"/>
            <w:noWrap/>
            <w:vAlign w:val="bottom"/>
            <w:hideMark/>
          </w:tcPr>
          <w:p w14:paraId="7B15A40A"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49 000</w:t>
            </w:r>
          </w:p>
        </w:tc>
        <w:tc>
          <w:tcPr>
            <w:tcW w:w="1216" w:type="dxa"/>
            <w:noWrap/>
            <w:vAlign w:val="bottom"/>
            <w:hideMark/>
          </w:tcPr>
          <w:p w14:paraId="08430035"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234 000</w:t>
            </w:r>
          </w:p>
        </w:tc>
        <w:tc>
          <w:tcPr>
            <w:tcW w:w="1116" w:type="dxa"/>
            <w:noWrap/>
            <w:vAlign w:val="bottom"/>
            <w:hideMark/>
          </w:tcPr>
          <w:p w14:paraId="0D6BAC60"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732 400</w:t>
            </w:r>
          </w:p>
        </w:tc>
      </w:tr>
      <w:tr w:rsidR="007E7AB8" w:rsidRPr="00697636" w14:paraId="6AFA2345" w14:textId="77777777" w:rsidTr="00D86899">
        <w:tc>
          <w:tcPr>
            <w:tcW w:w="4756" w:type="dxa"/>
            <w:vAlign w:val="bottom"/>
            <w:hideMark/>
          </w:tcPr>
          <w:p w14:paraId="568A238B" w14:textId="0CC22B0D" w:rsidR="007E7AB8" w:rsidRPr="00697636" w:rsidRDefault="005A014B" w:rsidP="00D86899">
            <w:pPr>
              <w:spacing w:before="20" w:after="20"/>
              <w:jc w:val="left"/>
              <w:rPr>
                <w:rFonts w:asciiTheme="majorBidi" w:hAnsiTheme="majorBidi" w:cstheme="majorBidi"/>
                <w:sz w:val="20"/>
                <w:szCs w:val="20"/>
                <w:lang w:val="fr-FR"/>
              </w:rPr>
            </w:pPr>
            <w:r>
              <w:rPr>
                <w:rFonts w:asciiTheme="majorBidi" w:hAnsiTheme="majorBidi" w:cstheme="majorBidi"/>
                <w:sz w:val="20"/>
                <w:szCs w:val="20"/>
                <w:lang w:val="fr-FR"/>
              </w:rPr>
              <w:t>Intégration de la biodiversité dans et entre les secteurs</w:t>
            </w:r>
          </w:p>
        </w:tc>
        <w:tc>
          <w:tcPr>
            <w:tcW w:w="1316" w:type="dxa"/>
            <w:noWrap/>
            <w:vAlign w:val="bottom"/>
            <w:hideMark/>
          </w:tcPr>
          <w:p w14:paraId="0C828003"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w:t>
            </w:r>
          </w:p>
        </w:tc>
        <w:tc>
          <w:tcPr>
            <w:tcW w:w="1216" w:type="dxa"/>
            <w:noWrap/>
            <w:vAlign w:val="bottom"/>
            <w:hideMark/>
          </w:tcPr>
          <w:p w14:paraId="0575B7E1"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28 500</w:t>
            </w:r>
          </w:p>
        </w:tc>
        <w:tc>
          <w:tcPr>
            <w:tcW w:w="1216" w:type="dxa"/>
            <w:noWrap/>
            <w:vAlign w:val="bottom"/>
            <w:hideMark/>
          </w:tcPr>
          <w:p w14:paraId="101BDC7A"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31 500</w:t>
            </w:r>
          </w:p>
        </w:tc>
        <w:tc>
          <w:tcPr>
            <w:tcW w:w="1116" w:type="dxa"/>
            <w:noWrap/>
            <w:vAlign w:val="bottom"/>
            <w:hideMark/>
          </w:tcPr>
          <w:p w14:paraId="17E5EE78"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60 000</w:t>
            </w:r>
          </w:p>
        </w:tc>
      </w:tr>
      <w:tr w:rsidR="007E7AB8" w:rsidRPr="00697636" w14:paraId="7A0BD1E7" w14:textId="77777777" w:rsidTr="00D86899">
        <w:tc>
          <w:tcPr>
            <w:tcW w:w="4756" w:type="dxa"/>
            <w:noWrap/>
            <w:vAlign w:val="bottom"/>
            <w:hideMark/>
          </w:tcPr>
          <w:p w14:paraId="1927F851" w14:textId="49337847" w:rsidR="007E7AB8" w:rsidRPr="00697636" w:rsidRDefault="005A014B" w:rsidP="00D86899">
            <w:pPr>
              <w:spacing w:before="20" w:after="20"/>
              <w:jc w:val="left"/>
              <w:rPr>
                <w:rFonts w:asciiTheme="majorBidi" w:hAnsiTheme="majorBidi" w:cstheme="majorBidi"/>
                <w:sz w:val="20"/>
                <w:szCs w:val="20"/>
                <w:lang w:val="fr-FR"/>
              </w:rPr>
            </w:pPr>
            <w:r>
              <w:rPr>
                <w:rFonts w:asciiTheme="majorBidi" w:hAnsiTheme="majorBidi" w:cstheme="majorBidi"/>
                <w:sz w:val="20"/>
                <w:szCs w:val="20"/>
                <w:lang w:val="fr-FR"/>
              </w:rPr>
              <w:t>Gestion durable de la faune sauvage</w:t>
            </w:r>
          </w:p>
        </w:tc>
        <w:tc>
          <w:tcPr>
            <w:tcW w:w="1316" w:type="dxa"/>
            <w:noWrap/>
            <w:vAlign w:val="bottom"/>
            <w:hideMark/>
          </w:tcPr>
          <w:p w14:paraId="2D6E04C8"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616 250</w:t>
            </w:r>
          </w:p>
        </w:tc>
        <w:tc>
          <w:tcPr>
            <w:tcW w:w="1216" w:type="dxa"/>
            <w:noWrap/>
            <w:vAlign w:val="bottom"/>
            <w:hideMark/>
          </w:tcPr>
          <w:p w14:paraId="70BA3FD3"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98 500</w:t>
            </w:r>
          </w:p>
        </w:tc>
        <w:tc>
          <w:tcPr>
            <w:tcW w:w="1216" w:type="dxa"/>
            <w:noWrap/>
            <w:vAlign w:val="bottom"/>
            <w:hideMark/>
          </w:tcPr>
          <w:p w14:paraId="342F7352"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220 500</w:t>
            </w:r>
          </w:p>
        </w:tc>
        <w:tc>
          <w:tcPr>
            <w:tcW w:w="1116" w:type="dxa"/>
            <w:noWrap/>
            <w:vAlign w:val="bottom"/>
            <w:hideMark/>
          </w:tcPr>
          <w:p w14:paraId="1B67D966"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935 250</w:t>
            </w:r>
          </w:p>
        </w:tc>
      </w:tr>
      <w:tr w:rsidR="007E7AB8" w:rsidRPr="00697636" w14:paraId="5AE996AB" w14:textId="77777777" w:rsidTr="00D86899">
        <w:tc>
          <w:tcPr>
            <w:tcW w:w="4756" w:type="dxa"/>
            <w:vAlign w:val="bottom"/>
            <w:hideMark/>
          </w:tcPr>
          <w:p w14:paraId="32807F6F" w14:textId="272C923A" w:rsidR="007E7AB8" w:rsidRPr="00697636" w:rsidRDefault="002169EA" w:rsidP="00D86899">
            <w:pPr>
              <w:spacing w:before="20" w:after="20"/>
              <w:jc w:val="left"/>
              <w:rPr>
                <w:rFonts w:asciiTheme="majorBidi" w:hAnsiTheme="majorBidi" w:cstheme="majorBidi"/>
                <w:sz w:val="20"/>
                <w:szCs w:val="20"/>
                <w:lang w:val="fr-FR"/>
              </w:rPr>
            </w:pPr>
            <w:r>
              <w:rPr>
                <w:rFonts w:asciiTheme="majorBidi" w:hAnsiTheme="majorBidi" w:cstheme="majorBidi"/>
                <w:sz w:val="20"/>
                <w:szCs w:val="20"/>
                <w:lang w:val="fr-FR"/>
              </w:rPr>
              <w:t>Poursuite des travaux sur les zones marines d’importance écologique ou biologique</w:t>
            </w:r>
          </w:p>
        </w:tc>
        <w:tc>
          <w:tcPr>
            <w:tcW w:w="1316" w:type="dxa"/>
            <w:noWrap/>
            <w:vAlign w:val="bottom"/>
            <w:hideMark/>
          </w:tcPr>
          <w:p w14:paraId="06A58A30"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536 000</w:t>
            </w:r>
          </w:p>
        </w:tc>
        <w:tc>
          <w:tcPr>
            <w:tcW w:w="1216" w:type="dxa"/>
            <w:noWrap/>
            <w:vAlign w:val="bottom"/>
            <w:hideMark/>
          </w:tcPr>
          <w:p w14:paraId="17B30425"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63 000</w:t>
            </w:r>
          </w:p>
        </w:tc>
        <w:tc>
          <w:tcPr>
            <w:tcW w:w="1216" w:type="dxa"/>
            <w:noWrap/>
            <w:vAlign w:val="bottom"/>
            <w:hideMark/>
          </w:tcPr>
          <w:p w14:paraId="49B2B577"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270 000</w:t>
            </w:r>
          </w:p>
        </w:tc>
        <w:tc>
          <w:tcPr>
            <w:tcW w:w="1116" w:type="dxa"/>
            <w:noWrap/>
            <w:vAlign w:val="bottom"/>
            <w:hideMark/>
          </w:tcPr>
          <w:p w14:paraId="67E86EA5"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869 000</w:t>
            </w:r>
          </w:p>
        </w:tc>
      </w:tr>
      <w:tr w:rsidR="007E7AB8" w:rsidRPr="00697636" w14:paraId="736D1757" w14:textId="77777777" w:rsidTr="00D86899">
        <w:tc>
          <w:tcPr>
            <w:tcW w:w="4756" w:type="dxa"/>
            <w:vAlign w:val="bottom"/>
            <w:hideMark/>
          </w:tcPr>
          <w:p w14:paraId="4E45F915" w14:textId="3D425C9D" w:rsidR="007E7AB8" w:rsidRPr="00697636" w:rsidRDefault="007E7AB8" w:rsidP="00D86899">
            <w:pPr>
              <w:spacing w:before="20" w:after="20"/>
              <w:jc w:val="left"/>
              <w:rPr>
                <w:rFonts w:asciiTheme="majorBidi" w:hAnsiTheme="majorBidi" w:cstheme="majorBidi"/>
                <w:sz w:val="20"/>
                <w:szCs w:val="20"/>
                <w:lang w:val="fr-FR"/>
              </w:rPr>
            </w:pPr>
            <w:r w:rsidRPr="00697636">
              <w:rPr>
                <w:rFonts w:asciiTheme="majorBidi" w:hAnsiTheme="majorBidi" w:cstheme="majorBidi"/>
                <w:sz w:val="20"/>
                <w:szCs w:val="20"/>
                <w:lang w:val="fr-FR"/>
              </w:rPr>
              <w:t xml:space="preserve">Conservation </w:t>
            </w:r>
            <w:r w:rsidR="009E7B8B">
              <w:rPr>
                <w:rFonts w:asciiTheme="majorBidi" w:hAnsiTheme="majorBidi" w:cstheme="majorBidi"/>
                <w:sz w:val="20"/>
                <w:szCs w:val="20"/>
                <w:lang w:val="fr-FR"/>
              </w:rPr>
              <w:t>et utilisation durable de la biodiversité marine, côtière</w:t>
            </w:r>
            <w:r w:rsidRPr="00697636">
              <w:rPr>
                <w:rFonts w:asciiTheme="majorBidi" w:hAnsiTheme="majorBidi" w:cstheme="majorBidi"/>
                <w:sz w:val="20"/>
                <w:szCs w:val="20"/>
                <w:lang w:val="fr-FR"/>
              </w:rPr>
              <w:t xml:space="preserve"> </w:t>
            </w:r>
            <w:r w:rsidR="009E7B8B">
              <w:rPr>
                <w:rFonts w:asciiTheme="majorBidi" w:hAnsiTheme="majorBidi" w:cstheme="majorBidi"/>
                <w:sz w:val="20"/>
                <w:szCs w:val="20"/>
                <w:lang w:val="fr-FR"/>
              </w:rPr>
              <w:t>et insulaire</w:t>
            </w:r>
          </w:p>
        </w:tc>
        <w:tc>
          <w:tcPr>
            <w:tcW w:w="1316" w:type="dxa"/>
            <w:noWrap/>
            <w:vAlign w:val="bottom"/>
            <w:hideMark/>
          </w:tcPr>
          <w:p w14:paraId="6D718819"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674 000</w:t>
            </w:r>
          </w:p>
        </w:tc>
        <w:tc>
          <w:tcPr>
            <w:tcW w:w="1216" w:type="dxa"/>
            <w:noWrap/>
            <w:vAlign w:val="bottom"/>
            <w:hideMark/>
          </w:tcPr>
          <w:p w14:paraId="377F0F62"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150 250</w:t>
            </w:r>
          </w:p>
        </w:tc>
        <w:tc>
          <w:tcPr>
            <w:tcW w:w="1216" w:type="dxa"/>
            <w:noWrap/>
            <w:vAlign w:val="bottom"/>
            <w:hideMark/>
          </w:tcPr>
          <w:p w14:paraId="207DF673"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306 000</w:t>
            </w:r>
          </w:p>
        </w:tc>
        <w:tc>
          <w:tcPr>
            <w:tcW w:w="1116" w:type="dxa"/>
            <w:noWrap/>
            <w:vAlign w:val="bottom"/>
            <w:hideMark/>
          </w:tcPr>
          <w:p w14:paraId="1B645712"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1 130 250</w:t>
            </w:r>
          </w:p>
        </w:tc>
      </w:tr>
      <w:tr w:rsidR="007E7AB8" w:rsidRPr="00697636" w14:paraId="7F870FA9" w14:textId="77777777" w:rsidTr="00D86899">
        <w:tc>
          <w:tcPr>
            <w:tcW w:w="4756" w:type="dxa"/>
            <w:noWrap/>
            <w:vAlign w:val="bottom"/>
            <w:hideMark/>
          </w:tcPr>
          <w:p w14:paraId="3B256196" w14:textId="22DE0028" w:rsidR="007E7AB8" w:rsidRPr="00697636" w:rsidRDefault="005A014B" w:rsidP="00D86899">
            <w:pPr>
              <w:spacing w:before="20" w:after="20"/>
              <w:jc w:val="left"/>
              <w:rPr>
                <w:rFonts w:asciiTheme="majorBidi" w:hAnsiTheme="majorBidi" w:cstheme="majorBidi"/>
                <w:sz w:val="20"/>
                <w:szCs w:val="20"/>
                <w:lang w:val="fr-FR"/>
              </w:rPr>
            </w:pPr>
            <w:r>
              <w:rPr>
                <w:rFonts w:asciiTheme="majorBidi" w:hAnsiTheme="majorBidi" w:cstheme="majorBidi"/>
                <w:sz w:val="20"/>
                <w:szCs w:val="20"/>
                <w:lang w:val="fr-FR"/>
              </w:rPr>
              <w:t>Espèces exotiques envahissantes</w:t>
            </w:r>
          </w:p>
        </w:tc>
        <w:tc>
          <w:tcPr>
            <w:tcW w:w="1316" w:type="dxa"/>
            <w:noWrap/>
            <w:vAlign w:val="bottom"/>
            <w:hideMark/>
          </w:tcPr>
          <w:p w14:paraId="241D906F"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131 200</w:t>
            </w:r>
          </w:p>
        </w:tc>
        <w:tc>
          <w:tcPr>
            <w:tcW w:w="1216" w:type="dxa"/>
            <w:noWrap/>
            <w:vAlign w:val="bottom"/>
            <w:hideMark/>
          </w:tcPr>
          <w:p w14:paraId="1D3ABD1B"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55 000</w:t>
            </w:r>
          </w:p>
        </w:tc>
        <w:tc>
          <w:tcPr>
            <w:tcW w:w="1216" w:type="dxa"/>
            <w:noWrap/>
            <w:vAlign w:val="bottom"/>
            <w:hideMark/>
          </w:tcPr>
          <w:p w14:paraId="717572EC"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315 000</w:t>
            </w:r>
          </w:p>
        </w:tc>
        <w:tc>
          <w:tcPr>
            <w:tcW w:w="1116" w:type="dxa"/>
            <w:noWrap/>
            <w:vAlign w:val="bottom"/>
            <w:hideMark/>
          </w:tcPr>
          <w:p w14:paraId="41C6B7D4"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501 200</w:t>
            </w:r>
          </w:p>
        </w:tc>
      </w:tr>
      <w:tr w:rsidR="007E7AB8" w:rsidRPr="00697636" w14:paraId="05556892" w14:textId="77777777" w:rsidTr="00D86899">
        <w:tc>
          <w:tcPr>
            <w:tcW w:w="4756" w:type="dxa"/>
            <w:noWrap/>
            <w:vAlign w:val="bottom"/>
            <w:hideMark/>
          </w:tcPr>
          <w:p w14:paraId="7B70C9D1" w14:textId="1E094421" w:rsidR="007E7AB8" w:rsidRPr="00697636" w:rsidRDefault="007E7AB8" w:rsidP="00D86899">
            <w:pPr>
              <w:spacing w:before="20" w:after="20"/>
              <w:jc w:val="left"/>
              <w:rPr>
                <w:rFonts w:asciiTheme="majorBidi" w:hAnsiTheme="majorBidi" w:cstheme="majorBidi"/>
                <w:sz w:val="20"/>
                <w:szCs w:val="20"/>
                <w:lang w:val="fr-FR"/>
              </w:rPr>
            </w:pPr>
            <w:r w:rsidRPr="00697636">
              <w:rPr>
                <w:rFonts w:asciiTheme="majorBidi" w:hAnsiTheme="majorBidi" w:cstheme="majorBidi"/>
                <w:sz w:val="20"/>
                <w:szCs w:val="20"/>
                <w:lang w:val="fr-FR"/>
              </w:rPr>
              <w:t>Biodiversit</w:t>
            </w:r>
            <w:r w:rsidR="005A014B">
              <w:rPr>
                <w:rFonts w:asciiTheme="majorBidi" w:hAnsiTheme="majorBidi" w:cstheme="majorBidi"/>
                <w:sz w:val="20"/>
                <w:szCs w:val="20"/>
                <w:lang w:val="fr-FR"/>
              </w:rPr>
              <w:t>é et santé</w:t>
            </w:r>
          </w:p>
        </w:tc>
        <w:tc>
          <w:tcPr>
            <w:tcW w:w="1316" w:type="dxa"/>
            <w:noWrap/>
            <w:vAlign w:val="bottom"/>
            <w:hideMark/>
          </w:tcPr>
          <w:p w14:paraId="30FB47D8"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316 800</w:t>
            </w:r>
          </w:p>
        </w:tc>
        <w:tc>
          <w:tcPr>
            <w:tcW w:w="1216" w:type="dxa"/>
            <w:noWrap/>
            <w:vAlign w:val="bottom"/>
            <w:hideMark/>
          </w:tcPr>
          <w:p w14:paraId="32FFF91E"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103 000</w:t>
            </w:r>
          </w:p>
        </w:tc>
        <w:tc>
          <w:tcPr>
            <w:tcW w:w="1216" w:type="dxa"/>
            <w:noWrap/>
            <w:vAlign w:val="bottom"/>
            <w:hideMark/>
          </w:tcPr>
          <w:p w14:paraId="2104D0F6"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162 000</w:t>
            </w:r>
          </w:p>
        </w:tc>
        <w:tc>
          <w:tcPr>
            <w:tcW w:w="1116" w:type="dxa"/>
            <w:noWrap/>
            <w:vAlign w:val="bottom"/>
            <w:hideMark/>
          </w:tcPr>
          <w:p w14:paraId="50D137C5"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581 800</w:t>
            </w:r>
          </w:p>
        </w:tc>
      </w:tr>
      <w:tr w:rsidR="007E7AB8" w:rsidRPr="00697636" w14:paraId="2F40836F" w14:textId="77777777" w:rsidTr="00D86899">
        <w:tc>
          <w:tcPr>
            <w:tcW w:w="4756" w:type="dxa"/>
            <w:noWrap/>
            <w:vAlign w:val="bottom"/>
            <w:hideMark/>
          </w:tcPr>
          <w:p w14:paraId="38996103" w14:textId="433F550E" w:rsidR="007E7AB8" w:rsidRPr="00697636" w:rsidRDefault="005A014B" w:rsidP="00D86899">
            <w:pPr>
              <w:spacing w:before="20" w:after="20"/>
              <w:jc w:val="left"/>
              <w:rPr>
                <w:rFonts w:asciiTheme="majorBidi" w:hAnsiTheme="majorBidi" w:cstheme="majorBidi"/>
                <w:sz w:val="20"/>
                <w:szCs w:val="20"/>
                <w:lang w:val="fr-FR"/>
              </w:rPr>
            </w:pPr>
            <w:r>
              <w:rPr>
                <w:rFonts w:asciiTheme="majorBidi" w:hAnsiTheme="majorBidi" w:cstheme="majorBidi"/>
                <w:sz w:val="20"/>
                <w:szCs w:val="20"/>
                <w:lang w:val="fr-FR"/>
              </w:rPr>
              <w:t>Biologie de synthèse</w:t>
            </w:r>
          </w:p>
        </w:tc>
        <w:tc>
          <w:tcPr>
            <w:tcW w:w="1316" w:type="dxa"/>
            <w:noWrap/>
            <w:vAlign w:val="bottom"/>
            <w:hideMark/>
          </w:tcPr>
          <w:p w14:paraId="6F2B7DDD"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267 000</w:t>
            </w:r>
          </w:p>
        </w:tc>
        <w:tc>
          <w:tcPr>
            <w:tcW w:w="1216" w:type="dxa"/>
            <w:noWrap/>
            <w:vAlign w:val="bottom"/>
            <w:hideMark/>
          </w:tcPr>
          <w:p w14:paraId="728875F4"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30 500</w:t>
            </w:r>
          </w:p>
        </w:tc>
        <w:tc>
          <w:tcPr>
            <w:tcW w:w="1216" w:type="dxa"/>
            <w:noWrap/>
            <w:vAlign w:val="bottom"/>
            <w:hideMark/>
          </w:tcPr>
          <w:p w14:paraId="7821F66B"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108 000</w:t>
            </w:r>
          </w:p>
        </w:tc>
        <w:tc>
          <w:tcPr>
            <w:tcW w:w="1116" w:type="dxa"/>
            <w:noWrap/>
            <w:vAlign w:val="bottom"/>
            <w:hideMark/>
          </w:tcPr>
          <w:p w14:paraId="49F74C8C"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405 500</w:t>
            </w:r>
          </w:p>
        </w:tc>
      </w:tr>
      <w:tr w:rsidR="007E7AB8" w:rsidRPr="00697636" w14:paraId="07F22058" w14:textId="77777777" w:rsidTr="00D86899">
        <w:tc>
          <w:tcPr>
            <w:tcW w:w="4756" w:type="dxa"/>
            <w:noWrap/>
            <w:vAlign w:val="bottom"/>
            <w:hideMark/>
          </w:tcPr>
          <w:p w14:paraId="58FEF45E" w14:textId="176E711B" w:rsidR="007E7AB8" w:rsidRPr="00697636" w:rsidRDefault="007E7AB8" w:rsidP="00D86899">
            <w:pPr>
              <w:spacing w:before="20" w:after="20"/>
              <w:jc w:val="left"/>
              <w:rPr>
                <w:rFonts w:asciiTheme="majorBidi" w:hAnsiTheme="majorBidi" w:cstheme="majorBidi"/>
                <w:sz w:val="20"/>
                <w:szCs w:val="20"/>
                <w:lang w:val="fr-FR"/>
              </w:rPr>
            </w:pPr>
            <w:r w:rsidRPr="00697636">
              <w:rPr>
                <w:rFonts w:asciiTheme="majorBidi" w:hAnsiTheme="majorBidi" w:cstheme="majorBidi"/>
                <w:sz w:val="20"/>
                <w:szCs w:val="20"/>
                <w:lang w:val="fr-FR"/>
              </w:rPr>
              <w:t>Biodiversit</w:t>
            </w:r>
            <w:r w:rsidR="005A014B">
              <w:rPr>
                <w:rFonts w:asciiTheme="majorBidi" w:hAnsiTheme="majorBidi" w:cstheme="majorBidi"/>
                <w:sz w:val="20"/>
                <w:szCs w:val="20"/>
                <w:lang w:val="fr-FR"/>
              </w:rPr>
              <w:t>é et changements climatiques</w:t>
            </w:r>
          </w:p>
        </w:tc>
        <w:tc>
          <w:tcPr>
            <w:tcW w:w="1316" w:type="dxa"/>
            <w:noWrap/>
            <w:vAlign w:val="bottom"/>
            <w:hideMark/>
          </w:tcPr>
          <w:p w14:paraId="47F19915"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1 399 000</w:t>
            </w:r>
          </w:p>
        </w:tc>
        <w:tc>
          <w:tcPr>
            <w:tcW w:w="1216" w:type="dxa"/>
            <w:noWrap/>
            <w:vAlign w:val="bottom"/>
            <w:hideMark/>
          </w:tcPr>
          <w:p w14:paraId="1A8A99CA"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118 750</w:t>
            </w:r>
          </w:p>
        </w:tc>
        <w:tc>
          <w:tcPr>
            <w:tcW w:w="1216" w:type="dxa"/>
            <w:noWrap/>
            <w:vAlign w:val="bottom"/>
            <w:hideMark/>
          </w:tcPr>
          <w:p w14:paraId="523AA815"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18 000</w:t>
            </w:r>
          </w:p>
        </w:tc>
        <w:tc>
          <w:tcPr>
            <w:tcW w:w="1116" w:type="dxa"/>
            <w:noWrap/>
            <w:vAlign w:val="bottom"/>
            <w:hideMark/>
          </w:tcPr>
          <w:p w14:paraId="2F4F1555"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1 535 750</w:t>
            </w:r>
          </w:p>
        </w:tc>
      </w:tr>
      <w:tr w:rsidR="007E7AB8" w:rsidRPr="00697636" w14:paraId="545A193A" w14:textId="77777777" w:rsidTr="00D86899">
        <w:tc>
          <w:tcPr>
            <w:tcW w:w="4756" w:type="dxa"/>
            <w:vAlign w:val="bottom"/>
            <w:hideMark/>
          </w:tcPr>
          <w:p w14:paraId="6ECF87DD" w14:textId="3ADE109A" w:rsidR="007E7AB8" w:rsidRPr="00697636" w:rsidRDefault="007E7AB8" w:rsidP="00D86899">
            <w:pPr>
              <w:spacing w:before="20" w:after="20"/>
              <w:jc w:val="left"/>
              <w:rPr>
                <w:rFonts w:asciiTheme="majorBidi" w:hAnsiTheme="majorBidi" w:cstheme="majorBidi"/>
                <w:sz w:val="20"/>
                <w:szCs w:val="20"/>
                <w:lang w:val="fr-FR"/>
              </w:rPr>
            </w:pPr>
            <w:r w:rsidRPr="00697636">
              <w:rPr>
                <w:rFonts w:asciiTheme="majorBidi" w:hAnsiTheme="majorBidi" w:cstheme="majorBidi"/>
                <w:sz w:val="20"/>
                <w:szCs w:val="20"/>
                <w:lang w:val="fr-FR"/>
              </w:rPr>
              <w:t xml:space="preserve">Options </w:t>
            </w:r>
            <w:r w:rsidR="002169EA">
              <w:rPr>
                <w:rFonts w:asciiTheme="majorBidi" w:hAnsiTheme="majorBidi" w:cstheme="majorBidi"/>
                <w:sz w:val="20"/>
                <w:szCs w:val="20"/>
                <w:lang w:val="fr-FR"/>
              </w:rPr>
              <w:t>permettant d’améliorer encore l’efficacité des processus au titre de la Convention et de ses Protoc</w:t>
            </w:r>
            <w:r w:rsidRPr="00697636">
              <w:rPr>
                <w:rFonts w:asciiTheme="majorBidi" w:hAnsiTheme="majorBidi" w:cstheme="majorBidi"/>
                <w:sz w:val="20"/>
                <w:szCs w:val="20"/>
                <w:lang w:val="fr-FR"/>
              </w:rPr>
              <w:t>ol</w:t>
            </w:r>
            <w:r w:rsidR="002169EA">
              <w:rPr>
                <w:rFonts w:asciiTheme="majorBidi" w:hAnsiTheme="majorBidi" w:cstheme="majorBidi"/>
                <w:sz w:val="20"/>
                <w:szCs w:val="20"/>
                <w:lang w:val="fr-FR"/>
              </w:rPr>
              <w:t>e</w:t>
            </w:r>
            <w:r w:rsidRPr="00697636">
              <w:rPr>
                <w:rFonts w:asciiTheme="majorBidi" w:hAnsiTheme="majorBidi" w:cstheme="majorBidi"/>
                <w:sz w:val="20"/>
                <w:szCs w:val="20"/>
                <w:lang w:val="fr-FR"/>
              </w:rPr>
              <w:t>s</w:t>
            </w:r>
          </w:p>
        </w:tc>
        <w:tc>
          <w:tcPr>
            <w:tcW w:w="1316" w:type="dxa"/>
            <w:noWrap/>
            <w:vAlign w:val="bottom"/>
            <w:hideMark/>
          </w:tcPr>
          <w:p w14:paraId="2A9C1675"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159 100</w:t>
            </w:r>
          </w:p>
        </w:tc>
        <w:tc>
          <w:tcPr>
            <w:tcW w:w="1216" w:type="dxa"/>
            <w:noWrap/>
            <w:vAlign w:val="bottom"/>
            <w:hideMark/>
          </w:tcPr>
          <w:p w14:paraId="41165302"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42 500</w:t>
            </w:r>
          </w:p>
        </w:tc>
        <w:tc>
          <w:tcPr>
            <w:tcW w:w="1216" w:type="dxa"/>
            <w:noWrap/>
            <w:vAlign w:val="bottom"/>
            <w:hideMark/>
          </w:tcPr>
          <w:p w14:paraId="107B38AA"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36 000</w:t>
            </w:r>
          </w:p>
        </w:tc>
        <w:tc>
          <w:tcPr>
            <w:tcW w:w="1116" w:type="dxa"/>
            <w:noWrap/>
            <w:vAlign w:val="bottom"/>
            <w:hideMark/>
          </w:tcPr>
          <w:p w14:paraId="6239896E"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237 600</w:t>
            </w:r>
          </w:p>
        </w:tc>
      </w:tr>
      <w:tr w:rsidR="007E7AB8" w:rsidRPr="00697636" w14:paraId="4E337305" w14:textId="77777777" w:rsidTr="00D86899">
        <w:tc>
          <w:tcPr>
            <w:tcW w:w="4756" w:type="dxa"/>
            <w:vAlign w:val="bottom"/>
            <w:hideMark/>
          </w:tcPr>
          <w:p w14:paraId="1F869EDD" w14:textId="644C280D" w:rsidR="007E7AB8" w:rsidRPr="00697636" w:rsidRDefault="007E7AB8" w:rsidP="00D86899">
            <w:pPr>
              <w:spacing w:before="20" w:after="20"/>
              <w:jc w:val="left"/>
              <w:rPr>
                <w:rFonts w:asciiTheme="majorBidi" w:hAnsiTheme="majorBidi" w:cstheme="majorBidi"/>
                <w:sz w:val="20"/>
                <w:szCs w:val="20"/>
                <w:lang w:val="fr-FR"/>
              </w:rPr>
            </w:pPr>
            <w:r w:rsidRPr="00697636">
              <w:rPr>
                <w:rFonts w:asciiTheme="majorBidi" w:hAnsiTheme="majorBidi" w:cstheme="majorBidi"/>
                <w:sz w:val="20"/>
                <w:szCs w:val="20"/>
                <w:lang w:val="fr-FR"/>
              </w:rPr>
              <w:t>Proc</w:t>
            </w:r>
            <w:r w:rsidR="002169EA">
              <w:rPr>
                <w:rFonts w:asciiTheme="majorBidi" w:hAnsiTheme="majorBidi" w:cstheme="majorBidi"/>
                <w:sz w:val="20"/>
                <w:szCs w:val="20"/>
                <w:lang w:val="fr-FR"/>
              </w:rPr>
              <w:t>édure visant à éviter ou à gérer les conflits d’intérêts dans les groupes d’experts</w:t>
            </w:r>
          </w:p>
        </w:tc>
        <w:tc>
          <w:tcPr>
            <w:tcW w:w="1316" w:type="dxa"/>
            <w:noWrap/>
            <w:vAlign w:val="bottom"/>
            <w:hideMark/>
          </w:tcPr>
          <w:p w14:paraId="0A894121"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226 600</w:t>
            </w:r>
          </w:p>
        </w:tc>
        <w:tc>
          <w:tcPr>
            <w:tcW w:w="1216" w:type="dxa"/>
            <w:noWrap/>
            <w:vAlign w:val="bottom"/>
            <w:hideMark/>
          </w:tcPr>
          <w:p w14:paraId="4E945558"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25 500</w:t>
            </w:r>
          </w:p>
        </w:tc>
        <w:tc>
          <w:tcPr>
            <w:tcW w:w="1216" w:type="dxa"/>
            <w:noWrap/>
            <w:vAlign w:val="bottom"/>
            <w:hideMark/>
          </w:tcPr>
          <w:p w14:paraId="2B9B0050"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9 000</w:t>
            </w:r>
          </w:p>
        </w:tc>
        <w:tc>
          <w:tcPr>
            <w:tcW w:w="1116" w:type="dxa"/>
            <w:noWrap/>
            <w:vAlign w:val="bottom"/>
            <w:hideMark/>
          </w:tcPr>
          <w:p w14:paraId="7467D3C0"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261 100</w:t>
            </w:r>
          </w:p>
        </w:tc>
      </w:tr>
      <w:tr w:rsidR="007E7AB8" w:rsidRPr="00697636" w14:paraId="13B3B896" w14:textId="77777777" w:rsidTr="00D86899">
        <w:tc>
          <w:tcPr>
            <w:tcW w:w="4756" w:type="dxa"/>
            <w:vAlign w:val="bottom"/>
            <w:hideMark/>
          </w:tcPr>
          <w:p w14:paraId="26D073D7" w14:textId="6455A8A7" w:rsidR="007E7AB8" w:rsidRPr="00697636" w:rsidRDefault="002169EA" w:rsidP="00D86899">
            <w:pPr>
              <w:spacing w:before="20" w:after="20"/>
              <w:jc w:val="left"/>
              <w:rPr>
                <w:rFonts w:asciiTheme="majorBidi" w:hAnsiTheme="majorBidi" w:cstheme="majorBidi"/>
                <w:sz w:val="20"/>
                <w:szCs w:val="20"/>
                <w:lang w:val="fr-FR"/>
              </w:rPr>
            </w:pPr>
            <w:r>
              <w:rPr>
                <w:rFonts w:asciiTheme="majorBidi" w:hAnsiTheme="majorBidi" w:cstheme="majorBidi"/>
                <w:sz w:val="20"/>
                <w:szCs w:val="20"/>
                <w:lang w:val="fr-FR"/>
              </w:rPr>
              <w:t>Cadre de suivi du Cadre mondial de la biodiversité de Kunming-Montréal</w:t>
            </w:r>
          </w:p>
        </w:tc>
        <w:tc>
          <w:tcPr>
            <w:tcW w:w="1316" w:type="dxa"/>
            <w:noWrap/>
            <w:vAlign w:val="bottom"/>
            <w:hideMark/>
          </w:tcPr>
          <w:p w14:paraId="25F8BD99"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699 500</w:t>
            </w:r>
          </w:p>
        </w:tc>
        <w:tc>
          <w:tcPr>
            <w:tcW w:w="1216" w:type="dxa"/>
            <w:noWrap/>
            <w:vAlign w:val="bottom"/>
            <w:hideMark/>
          </w:tcPr>
          <w:p w14:paraId="528E5CCA"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68 500</w:t>
            </w:r>
          </w:p>
        </w:tc>
        <w:tc>
          <w:tcPr>
            <w:tcW w:w="1216" w:type="dxa"/>
            <w:noWrap/>
            <w:vAlign w:val="bottom"/>
            <w:hideMark/>
          </w:tcPr>
          <w:p w14:paraId="3A8A92CA"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198 000</w:t>
            </w:r>
          </w:p>
        </w:tc>
        <w:tc>
          <w:tcPr>
            <w:tcW w:w="1116" w:type="dxa"/>
            <w:noWrap/>
            <w:vAlign w:val="bottom"/>
            <w:hideMark/>
          </w:tcPr>
          <w:p w14:paraId="712E2E50"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966 000</w:t>
            </w:r>
          </w:p>
        </w:tc>
      </w:tr>
      <w:tr w:rsidR="007E7AB8" w:rsidRPr="00697636" w14:paraId="26813B13" w14:textId="77777777" w:rsidTr="00D86899">
        <w:tc>
          <w:tcPr>
            <w:tcW w:w="4756" w:type="dxa"/>
            <w:vAlign w:val="bottom"/>
            <w:hideMark/>
          </w:tcPr>
          <w:p w14:paraId="70BD2057" w14:textId="06F42E68" w:rsidR="007E7AB8" w:rsidRPr="00697636" w:rsidRDefault="002169EA" w:rsidP="00D86899">
            <w:pPr>
              <w:spacing w:before="20" w:after="20"/>
              <w:jc w:val="left"/>
              <w:rPr>
                <w:rFonts w:asciiTheme="majorBidi" w:hAnsiTheme="majorBidi" w:cstheme="majorBidi"/>
                <w:sz w:val="20"/>
                <w:szCs w:val="20"/>
                <w:lang w:val="fr-FR"/>
              </w:rPr>
            </w:pPr>
            <w:r w:rsidRPr="002169EA">
              <w:rPr>
                <w:rFonts w:asciiTheme="majorBidi" w:hAnsiTheme="majorBidi" w:cstheme="majorBidi"/>
                <w:sz w:val="20"/>
                <w:szCs w:val="20"/>
                <w:lang w:val="fr-FR"/>
              </w:rPr>
              <w:t>Mécanismes de planification, de suivi, d’établissement de rapports et d’examen, y compris l</w:t>
            </w:r>
            <w:r w:rsidR="00EB4322">
              <w:rPr>
                <w:rFonts w:asciiTheme="majorBidi" w:hAnsiTheme="majorBidi" w:cstheme="majorBidi"/>
                <w:sz w:val="20"/>
                <w:szCs w:val="20"/>
                <w:lang w:val="fr-FR"/>
              </w:rPr>
              <w:t>’</w:t>
            </w:r>
            <w:r w:rsidRPr="002169EA">
              <w:rPr>
                <w:rFonts w:asciiTheme="majorBidi" w:hAnsiTheme="majorBidi" w:cstheme="majorBidi"/>
                <w:sz w:val="20"/>
                <w:szCs w:val="20"/>
                <w:lang w:val="fr-FR"/>
              </w:rPr>
              <w:t xml:space="preserve">examen mondial des progrès collectifs dans la mise en œuvre du Cadre mondial de la biodiversité de Kunming-Montréal devant être effectué lors des dix-septième et </w:t>
            </w:r>
            <w:proofErr w:type="gramStart"/>
            <w:r w:rsidRPr="002169EA">
              <w:rPr>
                <w:rFonts w:asciiTheme="majorBidi" w:hAnsiTheme="majorBidi" w:cstheme="majorBidi"/>
                <w:sz w:val="20"/>
                <w:szCs w:val="20"/>
                <w:lang w:val="fr-FR"/>
              </w:rPr>
              <w:t>dix-neuvième réunions</w:t>
            </w:r>
            <w:proofErr w:type="gramEnd"/>
            <w:r w:rsidRPr="002169EA">
              <w:rPr>
                <w:rFonts w:asciiTheme="majorBidi" w:hAnsiTheme="majorBidi" w:cstheme="majorBidi"/>
                <w:sz w:val="20"/>
                <w:szCs w:val="20"/>
                <w:lang w:val="fr-FR"/>
              </w:rPr>
              <w:t xml:space="preserve"> de la Conférence des Parties</w:t>
            </w:r>
          </w:p>
        </w:tc>
        <w:tc>
          <w:tcPr>
            <w:tcW w:w="1316" w:type="dxa"/>
            <w:noWrap/>
            <w:vAlign w:val="bottom"/>
            <w:hideMark/>
          </w:tcPr>
          <w:p w14:paraId="228E9F3F"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1 101 800</w:t>
            </w:r>
          </w:p>
        </w:tc>
        <w:tc>
          <w:tcPr>
            <w:tcW w:w="1216" w:type="dxa"/>
            <w:noWrap/>
            <w:vAlign w:val="bottom"/>
            <w:hideMark/>
          </w:tcPr>
          <w:p w14:paraId="547FEE41"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269 750</w:t>
            </w:r>
          </w:p>
        </w:tc>
        <w:tc>
          <w:tcPr>
            <w:tcW w:w="1216" w:type="dxa"/>
            <w:noWrap/>
            <w:vAlign w:val="bottom"/>
            <w:hideMark/>
          </w:tcPr>
          <w:p w14:paraId="4AE4208F"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129 000</w:t>
            </w:r>
          </w:p>
        </w:tc>
        <w:tc>
          <w:tcPr>
            <w:tcW w:w="1116" w:type="dxa"/>
            <w:noWrap/>
            <w:vAlign w:val="bottom"/>
            <w:hideMark/>
          </w:tcPr>
          <w:p w14:paraId="2CC1EBD6"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1 500 550</w:t>
            </w:r>
          </w:p>
        </w:tc>
      </w:tr>
      <w:tr w:rsidR="007E7AB8" w:rsidRPr="00697636" w14:paraId="70AE00D2" w14:textId="77777777" w:rsidTr="00D86899">
        <w:tc>
          <w:tcPr>
            <w:tcW w:w="4756" w:type="dxa"/>
            <w:noWrap/>
            <w:vAlign w:val="bottom"/>
            <w:hideMark/>
          </w:tcPr>
          <w:p w14:paraId="46C40292" w14:textId="0EC58FCA" w:rsidR="007E7AB8" w:rsidRPr="00697636" w:rsidRDefault="009E7B8B" w:rsidP="00D86899">
            <w:pPr>
              <w:spacing w:before="20" w:after="20"/>
              <w:jc w:val="left"/>
              <w:rPr>
                <w:rFonts w:asciiTheme="majorBidi" w:hAnsiTheme="majorBidi" w:cstheme="majorBidi"/>
                <w:sz w:val="20"/>
                <w:szCs w:val="20"/>
                <w:lang w:val="fr-FR"/>
              </w:rPr>
            </w:pPr>
            <w:r>
              <w:rPr>
                <w:rFonts w:asciiTheme="majorBidi" w:hAnsiTheme="majorBidi" w:cstheme="majorBidi"/>
                <w:sz w:val="20"/>
                <w:szCs w:val="20"/>
                <w:lang w:val="fr-FR"/>
              </w:rPr>
              <w:t>Mécanisme financier</w:t>
            </w:r>
          </w:p>
        </w:tc>
        <w:tc>
          <w:tcPr>
            <w:tcW w:w="1316" w:type="dxa"/>
            <w:noWrap/>
            <w:vAlign w:val="bottom"/>
            <w:hideMark/>
          </w:tcPr>
          <w:p w14:paraId="68A37D7E"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240 000</w:t>
            </w:r>
          </w:p>
        </w:tc>
        <w:tc>
          <w:tcPr>
            <w:tcW w:w="1216" w:type="dxa"/>
            <w:noWrap/>
            <w:vAlign w:val="bottom"/>
            <w:hideMark/>
          </w:tcPr>
          <w:p w14:paraId="63123E89"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86 000</w:t>
            </w:r>
          </w:p>
        </w:tc>
        <w:tc>
          <w:tcPr>
            <w:tcW w:w="1216" w:type="dxa"/>
            <w:noWrap/>
            <w:vAlign w:val="bottom"/>
            <w:hideMark/>
          </w:tcPr>
          <w:p w14:paraId="4DF5FFF6"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54 000</w:t>
            </w:r>
          </w:p>
        </w:tc>
        <w:tc>
          <w:tcPr>
            <w:tcW w:w="1116" w:type="dxa"/>
            <w:noWrap/>
            <w:vAlign w:val="bottom"/>
            <w:hideMark/>
          </w:tcPr>
          <w:p w14:paraId="7169534F"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380 000</w:t>
            </w:r>
          </w:p>
        </w:tc>
      </w:tr>
      <w:tr w:rsidR="007E7AB8" w:rsidRPr="00697636" w14:paraId="63289F61" w14:textId="77777777" w:rsidTr="00D86899">
        <w:tc>
          <w:tcPr>
            <w:tcW w:w="4756" w:type="dxa"/>
            <w:noWrap/>
            <w:vAlign w:val="bottom"/>
            <w:hideMark/>
          </w:tcPr>
          <w:p w14:paraId="5E6273B2" w14:textId="047392A9" w:rsidR="007E7AB8" w:rsidRPr="00697636" w:rsidRDefault="009E7B8B" w:rsidP="00D86899">
            <w:pPr>
              <w:spacing w:before="20" w:after="20"/>
              <w:jc w:val="left"/>
              <w:rPr>
                <w:rFonts w:asciiTheme="majorBidi" w:hAnsiTheme="majorBidi" w:cstheme="majorBidi"/>
                <w:sz w:val="20"/>
                <w:szCs w:val="20"/>
                <w:lang w:val="fr-FR"/>
              </w:rPr>
            </w:pPr>
            <w:r>
              <w:rPr>
                <w:rFonts w:asciiTheme="majorBidi" w:hAnsiTheme="majorBidi" w:cstheme="majorBidi"/>
                <w:sz w:val="20"/>
                <w:szCs w:val="20"/>
                <w:lang w:val="fr-FR"/>
              </w:rPr>
              <w:t>Mobilisation des ressources</w:t>
            </w:r>
          </w:p>
        </w:tc>
        <w:tc>
          <w:tcPr>
            <w:tcW w:w="1316" w:type="dxa"/>
            <w:noWrap/>
            <w:vAlign w:val="bottom"/>
            <w:hideMark/>
          </w:tcPr>
          <w:p w14:paraId="01FD53CD"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68 300</w:t>
            </w:r>
          </w:p>
        </w:tc>
        <w:tc>
          <w:tcPr>
            <w:tcW w:w="1216" w:type="dxa"/>
            <w:noWrap/>
            <w:vAlign w:val="bottom"/>
            <w:hideMark/>
          </w:tcPr>
          <w:p w14:paraId="6E8494AB"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36 000</w:t>
            </w:r>
          </w:p>
        </w:tc>
        <w:tc>
          <w:tcPr>
            <w:tcW w:w="1216" w:type="dxa"/>
            <w:noWrap/>
            <w:vAlign w:val="bottom"/>
            <w:hideMark/>
          </w:tcPr>
          <w:p w14:paraId="6F4862F9"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181 500</w:t>
            </w:r>
          </w:p>
        </w:tc>
        <w:tc>
          <w:tcPr>
            <w:tcW w:w="1116" w:type="dxa"/>
            <w:noWrap/>
            <w:vAlign w:val="bottom"/>
            <w:hideMark/>
          </w:tcPr>
          <w:p w14:paraId="4709EF28"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285 800</w:t>
            </w:r>
          </w:p>
        </w:tc>
      </w:tr>
      <w:tr w:rsidR="007E7AB8" w:rsidRPr="00697636" w14:paraId="38DE541C" w14:textId="77777777" w:rsidTr="00D86899">
        <w:tc>
          <w:tcPr>
            <w:tcW w:w="4756" w:type="dxa"/>
            <w:tcBorders>
              <w:bottom w:val="single" w:sz="4" w:space="0" w:color="auto"/>
            </w:tcBorders>
            <w:vAlign w:val="bottom"/>
            <w:hideMark/>
          </w:tcPr>
          <w:p w14:paraId="287741E1" w14:textId="204D33CB" w:rsidR="007E7AB8" w:rsidRPr="00697636" w:rsidRDefault="009E7B8B" w:rsidP="00D86899">
            <w:pPr>
              <w:spacing w:before="20" w:after="20"/>
              <w:jc w:val="left"/>
              <w:rPr>
                <w:rFonts w:asciiTheme="majorBidi" w:hAnsiTheme="majorBidi" w:cstheme="majorBidi"/>
                <w:sz w:val="20"/>
                <w:szCs w:val="20"/>
                <w:lang w:val="fr-FR"/>
              </w:rPr>
            </w:pPr>
            <w:r>
              <w:rPr>
                <w:rFonts w:asciiTheme="majorBidi" w:hAnsiTheme="majorBidi" w:cstheme="majorBidi"/>
                <w:sz w:val="20"/>
                <w:szCs w:val="20"/>
                <w:lang w:val="fr-FR"/>
              </w:rPr>
              <w:lastRenderedPageBreak/>
              <w:t>Coopération avec d’autres conventions et organisations internationales</w:t>
            </w:r>
          </w:p>
        </w:tc>
        <w:tc>
          <w:tcPr>
            <w:tcW w:w="1316" w:type="dxa"/>
            <w:tcBorders>
              <w:bottom w:val="single" w:sz="4" w:space="0" w:color="auto"/>
            </w:tcBorders>
            <w:noWrap/>
            <w:vAlign w:val="bottom"/>
            <w:hideMark/>
          </w:tcPr>
          <w:p w14:paraId="02270EF6"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20 000</w:t>
            </w:r>
          </w:p>
        </w:tc>
        <w:tc>
          <w:tcPr>
            <w:tcW w:w="1216" w:type="dxa"/>
            <w:tcBorders>
              <w:bottom w:val="single" w:sz="4" w:space="0" w:color="auto"/>
            </w:tcBorders>
            <w:noWrap/>
            <w:vAlign w:val="bottom"/>
            <w:hideMark/>
          </w:tcPr>
          <w:p w14:paraId="2F75AC04"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80 000</w:t>
            </w:r>
          </w:p>
        </w:tc>
        <w:tc>
          <w:tcPr>
            <w:tcW w:w="1216" w:type="dxa"/>
            <w:tcBorders>
              <w:bottom w:val="single" w:sz="4" w:space="0" w:color="auto"/>
            </w:tcBorders>
            <w:noWrap/>
            <w:vAlign w:val="bottom"/>
            <w:hideMark/>
          </w:tcPr>
          <w:p w14:paraId="5054D538"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w:t>
            </w:r>
          </w:p>
        </w:tc>
        <w:tc>
          <w:tcPr>
            <w:tcW w:w="1116" w:type="dxa"/>
            <w:tcBorders>
              <w:bottom w:val="single" w:sz="4" w:space="0" w:color="auto"/>
            </w:tcBorders>
            <w:noWrap/>
            <w:vAlign w:val="bottom"/>
            <w:hideMark/>
          </w:tcPr>
          <w:p w14:paraId="6184A5ED"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100 000</w:t>
            </w:r>
          </w:p>
        </w:tc>
      </w:tr>
      <w:tr w:rsidR="007E7AB8" w:rsidRPr="00697636" w14:paraId="48F38857" w14:textId="77777777" w:rsidTr="00D86899">
        <w:trPr>
          <w:trHeight w:val="227"/>
        </w:trPr>
        <w:tc>
          <w:tcPr>
            <w:tcW w:w="4756" w:type="dxa"/>
            <w:tcBorders>
              <w:top w:val="single" w:sz="4" w:space="0" w:color="auto"/>
              <w:bottom w:val="single" w:sz="4" w:space="0" w:color="auto"/>
            </w:tcBorders>
            <w:vAlign w:val="bottom"/>
            <w:hideMark/>
          </w:tcPr>
          <w:p w14:paraId="444D75F0" w14:textId="22620C22" w:rsidR="007E7AB8" w:rsidRPr="00697636" w:rsidRDefault="00751F5D" w:rsidP="00D86899">
            <w:pPr>
              <w:spacing w:before="20" w:after="20"/>
              <w:ind w:left="318"/>
              <w:jc w:val="left"/>
              <w:rPr>
                <w:rFonts w:asciiTheme="majorBidi" w:hAnsiTheme="majorBidi" w:cstheme="majorBidi"/>
                <w:b/>
                <w:bCs/>
                <w:sz w:val="20"/>
                <w:szCs w:val="20"/>
                <w:lang w:val="fr-FR"/>
              </w:rPr>
            </w:pPr>
            <w:r>
              <w:rPr>
                <w:rFonts w:asciiTheme="majorBidi" w:hAnsiTheme="majorBidi" w:cstheme="majorBidi"/>
                <w:b/>
                <w:bCs/>
                <w:sz w:val="20"/>
                <w:szCs w:val="20"/>
                <w:lang w:val="fr-FR"/>
              </w:rPr>
              <w:t>Total partiel</w:t>
            </w:r>
          </w:p>
        </w:tc>
        <w:tc>
          <w:tcPr>
            <w:tcW w:w="1316" w:type="dxa"/>
            <w:tcBorders>
              <w:top w:val="single" w:sz="4" w:space="0" w:color="auto"/>
              <w:bottom w:val="single" w:sz="4" w:space="0" w:color="auto"/>
            </w:tcBorders>
            <w:noWrap/>
            <w:vAlign w:val="bottom"/>
            <w:hideMark/>
          </w:tcPr>
          <w:p w14:paraId="6AB241C4" w14:textId="77777777" w:rsidR="007E7AB8" w:rsidRPr="00697636" w:rsidRDefault="007E7AB8" w:rsidP="00D86899">
            <w:pPr>
              <w:spacing w:before="20" w:after="20"/>
              <w:jc w:val="right"/>
              <w:rPr>
                <w:rFonts w:asciiTheme="majorBidi" w:hAnsiTheme="majorBidi" w:cstheme="majorBidi"/>
                <w:b/>
                <w:bCs/>
                <w:sz w:val="20"/>
                <w:szCs w:val="20"/>
                <w:lang w:val="fr-FR"/>
              </w:rPr>
            </w:pPr>
            <w:r w:rsidRPr="00697636">
              <w:rPr>
                <w:rFonts w:asciiTheme="majorBidi" w:hAnsiTheme="majorBidi" w:cstheme="majorBidi"/>
                <w:b/>
                <w:bCs/>
                <w:sz w:val="20"/>
                <w:szCs w:val="20"/>
                <w:lang w:val="fr-FR"/>
              </w:rPr>
              <w:t>10 376 100</w:t>
            </w:r>
          </w:p>
        </w:tc>
        <w:tc>
          <w:tcPr>
            <w:tcW w:w="1216" w:type="dxa"/>
            <w:tcBorders>
              <w:top w:val="single" w:sz="4" w:space="0" w:color="auto"/>
              <w:bottom w:val="single" w:sz="4" w:space="0" w:color="auto"/>
            </w:tcBorders>
            <w:noWrap/>
            <w:vAlign w:val="bottom"/>
            <w:hideMark/>
          </w:tcPr>
          <w:p w14:paraId="5391E447" w14:textId="77777777" w:rsidR="007E7AB8" w:rsidRPr="00697636" w:rsidRDefault="007E7AB8" w:rsidP="00D86899">
            <w:pPr>
              <w:spacing w:before="20" w:after="20"/>
              <w:jc w:val="right"/>
              <w:rPr>
                <w:rFonts w:asciiTheme="majorBidi" w:hAnsiTheme="majorBidi" w:cstheme="majorBidi"/>
                <w:b/>
                <w:bCs/>
                <w:sz w:val="20"/>
                <w:szCs w:val="20"/>
                <w:lang w:val="fr-FR"/>
              </w:rPr>
            </w:pPr>
            <w:r w:rsidRPr="00697636">
              <w:rPr>
                <w:rFonts w:asciiTheme="majorBidi" w:hAnsiTheme="majorBidi" w:cstheme="majorBidi"/>
                <w:b/>
                <w:bCs/>
                <w:sz w:val="20"/>
                <w:szCs w:val="20"/>
                <w:lang w:val="fr-FR"/>
              </w:rPr>
              <w:t>2 003 500</w:t>
            </w:r>
          </w:p>
        </w:tc>
        <w:tc>
          <w:tcPr>
            <w:tcW w:w="1216" w:type="dxa"/>
            <w:tcBorders>
              <w:top w:val="single" w:sz="4" w:space="0" w:color="auto"/>
              <w:bottom w:val="single" w:sz="4" w:space="0" w:color="auto"/>
            </w:tcBorders>
            <w:noWrap/>
            <w:vAlign w:val="bottom"/>
            <w:hideMark/>
          </w:tcPr>
          <w:p w14:paraId="1EEF5D19" w14:textId="77777777" w:rsidR="007E7AB8" w:rsidRPr="00697636" w:rsidRDefault="007E7AB8" w:rsidP="00D86899">
            <w:pPr>
              <w:spacing w:before="20" w:after="20"/>
              <w:jc w:val="right"/>
              <w:rPr>
                <w:rFonts w:asciiTheme="majorBidi" w:hAnsiTheme="majorBidi" w:cstheme="majorBidi"/>
                <w:b/>
                <w:bCs/>
                <w:sz w:val="20"/>
                <w:szCs w:val="20"/>
                <w:lang w:val="fr-FR"/>
              </w:rPr>
            </w:pPr>
            <w:r w:rsidRPr="00697636">
              <w:rPr>
                <w:rFonts w:asciiTheme="majorBidi" w:hAnsiTheme="majorBidi" w:cstheme="majorBidi"/>
                <w:b/>
                <w:bCs/>
                <w:sz w:val="20"/>
                <w:szCs w:val="20"/>
                <w:lang w:val="fr-FR"/>
              </w:rPr>
              <w:t>5 243 000</w:t>
            </w:r>
          </w:p>
        </w:tc>
        <w:tc>
          <w:tcPr>
            <w:tcW w:w="1116" w:type="dxa"/>
            <w:tcBorders>
              <w:top w:val="single" w:sz="4" w:space="0" w:color="auto"/>
              <w:bottom w:val="single" w:sz="4" w:space="0" w:color="auto"/>
            </w:tcBorders>
            <w:noWrap/>
            <w:vAlign w:val="bottom"/>
            <w:hideMark/>
          </w:tcPr>
          <w:p w14:paraId="5FD351BC" w14:textId="77777777" w:rsidR="007E7AB8" w:rsidRPr="00697636" w:rsidRDefault="007E7AB8" w:rsidP="00D86899">
            <w:pPr>
              <w:spacing w:before="20" w:after="20"/>
              <w:jc w:val="right"/>
              <w:rPr>
                <w:rFonts w:asciiTheme="majorBidi" w:hAnsiTheme="majorBidi" w:cstheme="majorBidi"/>
                <w:b/>
                <w:bCs/>
                <w:sz w:val="20"/>
                <w:szCs w:val="20"/>
                <w:lang w:val="fr-FR"/>
              </w:rPr>
            </w:pPr>
            <w:r w:rsidRPr="00697636">
              <w:rPr>
                <w:rFonts w:asciiTheme="majorBidi" w:hAnsiTheme="majorBidi" w:cstheme="majorBidi"/>
                <w:b/>
                <w:bCs/>
                <w:sz w:val="20"/>
                <w:szCs w:val="20"/>
                <w:lang w:val="fr-FR"/>
              </w:rPr>
              <w:t>17 622 600</w:t>
            </w:r>
          </w:p>
        </w:tc>
      </w:tr>
      <w:tr w:rsidR="007E7AB8" w:rsidRPr="00697636" w14:paraId="5E452260" w14:textId="77777777" w:rsidTr="00D86899">
        <w:tc>
          <w:tcPr>
            <w:tcW w:w="4756" w:type="dxa"/>
            <w:tcBorders>
              <w:top w:val="single" w:sz="4" w:space="0" w:color="auto"/>
              <w:bottom w:val="single" w:sz="4" w:space="0" w:color="auto"/>
            </w:tcBorders>
            <w:vAlign w:val="bottom"/>
            <w:hideMark/>
          </w:tcPr>
          <w:p w14:paraId="41C252CA" w14:textId="4D55DD5E" w:rsidR="007E7AB8" w:rsidRPr="00697636" w:rsidRDefault="00C166A5" w:rsidP="00D86899">
            <w:pPr>
              <w:spacing w:before="20" w:after="20"/>
              <w:jc w:val="left"/>
              <w:rPr>
                <w:rFonts w:asciiTheme="majorBidi" w:hAnsiTheme="majorBidi" w:cstheme="majorBidi"/>
                <w:sz w:val="20"/>
                <w:szCs w:val="20"/>
                <w:lang w:val="fr-FR"/>
              </w:rPr>
            </w:pPr>
            <w:r>
              <w:rPr>
                <w:rFonts w:asciiTheme="majorBidi" w:hAnsiTheme="majorBidi" w:cstheme="majorBidi"/>
                <w:sz w:val="20"/>
                <w:szCs w:val="20"/>
                <w:lang w:val="fr-FR"/>
              </w:rPr>
              <w:t>Dépenses</w:t>
            </w:r>
            <w:r w:rsidR="009E7B8B">
              <w:rPr>
                <w:rFonts w:asciiTheme="majorBidi" w:hAnsiTheme="majorBidi" w:cstheme="majorBidi"/>
                <w:sz w:val="20"/>
                <w:szCs w:val="20"/>
                <w:lang w:val="fr-FR"/>
              </w:rPr>
              <w:t xml:space="preserve"> d’appui au programme</w:t>
            </w:r>
            <w:r w:rsidR="007E7AB8" w:rsidRPr="00697636">
              <w:rPr>
                <w:rFonts w:asciiTheme="majorBidi" w:hAnsiTheme="majorBidi" w:cstheme="majorBidi"/>
                <w:sz w:val="20"/>
                <w:szCs w:val="20"/>
                <w:lang w:val="fr-FR"/>
              </w:rPr>
              <w:t xml:space="preserve"> (13</w:t>
            </w:r>
            <w:r w:rsidR="00C7576D">
              <w:rPr>
                <w:rFonts w:asciiTheme="majorBidi" w:hAnsiTheme="majorBidi" w:cstheme="majorBidi"/>
                <w:sz w:val="20"/>
                <w:szCs w:val="20"/>
                <w:lang w:val="fr-FR"/>
              </w:rPr>
              <w:t> </w:t>
            </w:r>
            <w:r w:rsidR="009E7B8B">
              <w:rPr>
                <w:rFonts w:asciiTheme="majorBidi" w:hAnsiTheme="majorBidi" w:cstheme="majorBidi"/>
                <w:sz w:val="20"/>
                <w:szCs w:val="20"/>
                <w:lang w:val="fr-FR"/>
              </w:rPr>
              <w:t>%</w:t>
            </w:r>
            <w:r w:rsidR="007E7AB8" w:rsidRPr="00697636">
              <w:rPr>
                <w:rFonts w:asciiTheme="majorBidi" w:hAnsiTheme="majorBidi" w:cstheme="majorBidi"/>
                <w:sz w:val="20"/>
                <w:szCs w:val="20"/>
                <w:lang w:val="fr-FR"/>
              </w:rPr>
              <w:t>)</w:t>
            </w:r>
          </w:p>
        </w:tc>
        <w:tc>
          <w:tcPr>
            <w:tcW w:w="1316" w:type="dxa"/>
            <w:tcBorders>
              <w:top w:val="single" w:sz="4" w:space="0" w:color="auto"/>
              <w:bottom w:val="single" w:sz="4" w:space="0" w:color="auto"/>
            </w:tcBorders>
            <w:noWrap/>
            <w:hideMark/>
          </w:tcPr>
          <w:p w14:paraId="56EED969" w14:textId="77777777" w:rsidR="007E7AB8" w:rsidRPr="00697636" w:rsidRDefault="007E7AB8" w:rsidP="00D86899">
            <w:pPr>
              <w:keepNext/>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1 348 893</w:t>
            </w:r>
          </w:p>
        </w:tc>
        <w:tc>
          <w:tcPr>
            <w:tcW w:w="1216" w:type="dxa"/>
            <w:tcBorders>
              <w:top w:val="single" w:sz="4" w:space="0" w:color="auto"/>
              <w:bottom w:val="single" w:sz="4" w:space="0" w:color="auto"/>
            </w:tcBorders>
            <w:noWrap/>
            <w:hideMark/>
          </w:tcPr>
          <w:p w14:paraId="24177CAB" w14:textId="77777777" w:rsidR="007E7AB8" w:rsidRPr="00697636" w:rsidRDefault="007E7AB8" w:rsidP="00D86899">
            <w:pPr>
              <w:keepNext/>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260 455</w:t>
            </w:r>
          </w:p>
        </w:tc>
        <w:tc>
          <w:tcPr>
            <w:tcW w:w="1216" w:type="dxa"/>
            <w:tcBorders>
              <w:top w:val="single" w:sz="4" w:space="0" w:color="auto"/>
              <w:bottom w:val="single" w:sz="4" w:space="0" w:color="auto"/>
            </w:tcBorders>
            <w:noWrap/>
            <w:hideMark/>
          </w:tcPr>
          <w:p w14:paraId="341678B3" w14:textId="77777777" w:rsidR="007E7AB8" w:rsidRPr="00697636" w:rsidRDefault="007E7AB8" w:rsidP="00D86899">
            <w:pPr>
              <w:keepNext/>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681 590</w:t>
            </w:r>
          </w:p>
        </w:tc>
        <w:tc>
          <w:tcPr>
            <w:tcW w:w="1116" w:type="dxa"/>
            <w:tcBorders>
              <w:top w:val="single" w:sz="4" w:space="0" w:color="auto"/>
              <w:bottom w:val="single" w:sz="4" w:space="0" w:color="auto"/>
            </w:tcBorders>
            <w:noWrap/>
            <w:vAlign w:val="bottom"/>
            <w:hideMark/>
          </w:tcPr>
          <w:p w14:paraId="5D2136EE" w14:textId="77777777" w:rsidR="007E7AB8" w:rsidRPr="00697636" w:rsidRDefault="007E7AB8" w:rsidP="00D86899">
            <w:pPr>
              <w:keepNext/>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2 290 938</w:t>
            </w:r>
          </w:p>
        </w:tc>
      </w:tr>
      <w:tr w:rsidR="007E7AB8" w:rsidRPr="00697636" w14:paraId="23CE1BD0" w14:textId="77777777" w:rsidTr="00D86899">
        <w:trPr>
          <w:trHeight w:val="227"/>
        </w:trPr>
        <w:tc>
          <w:tcPr>
            <w:tcW w:w="4756" w:type="dxa"/>
            <w:tcBorders>
              <w:top w:val="single" w:sz="4" w:space="0" w:color="auto"/>
              <w:bottom w:val="single" w:sz="4" w:space="0" w:color="auto"/>
            </w:tcBorders>
            <w:vAlign w:val="bottom"/>
            <w:hideMark/>
          </w:tcPr>
          <w:p w14:paraId="1D449585" w14:textId="77777777" w:rsidR="007E7AB8" w:rsidRPr="00697636" w:rsidRDefault="007E7AB8" w:rsidP="00D86899">
            <w:pPr>
              <w:spacing w:before="20" w:after="20"/>
              <w:ind w:left="318"/>
              <w:jc w:val="left"/>
              <w:rPr>
                <w:rFonts w:asciiTheme="majorBidi" w:hAnsiTheme="majorBidi" w:cstheme="majorBidi"/>
                <w:b/>
                <w:bCs/>
                <w:sz w:val="20"/>
                <w:szCs w:val="20"/>
                <w:lang w:val="fr-FR"/>
              </w:rPr>
            </w:pPr>
            <w:r w:rsidRPr="00697636">
              <w:rPr>
                <w:rFonts w:asciiTheme="majorBidi" w:hAnsiTheme="majorBidi" w:cstheme="majorBidi"/>
                <w:b/>
                <w:bCs/>
                <w:sz w:val="20"/>
                <w:szCs w:val="20"/>
                <w:lang w:val="fr-FR"/>
              </w:rPr>
              <w:t>Total</w:t>
            </w:r>
          </w:p>
        </w:tc>
        <w:tc>
          <w:tcPr>
            <w:tcW w:w="1316" w:type="dxa"/>
            <w:tcBorders>
              <w:top w:val="single" w:sz="4" w:space="0" w:color="auto"/>
              <w:bottom w:val="single" w:sz="4" w:space="0" w:color="auto"/>
            </w:tcBorders>
            <w:noWrap/>
            <w:hideMark/>
          </w:tcPr>
          <w:p w14:paraId="6B28BE38" w14:textId="77777777" w:rsidR="007E7AB8" w:rsidRPr="00697636" w:rsidRDefault="007E7AB8" w:rsidP="00D86899">
            <w:pPr>
              <w:spacing w:before="20" w:after="20"/>
              <w:jc w:val="right"/>
              <w:rPr>
                <w:rFonts w:asciiTheme="majorBidi" w:hAnsiTheme="majorBidi" w:cstheme="majorBidi"/>
                <w:b/>
                <w:bCs/>
                <w:sz w:val="20"/>
                <w:szCs w:val="20"/>
                <w:lang w:val="fr-FR"/>
              </w:rPr>
            </w:pPr>
            <w:r w:rsidRPr="00697636">
              <w:rPr>
                <w:rFonts w:asciiTheme="majorBidi" w:hAnsiTheme="majorBidi" w:cstheme="majorBidi"/>
                <w:b/>
                <w:bCs/>
                <w:sz w:val="20"/>
                <w:szCs w:val="20"/>
                <w:lang w:val="fr-FR"/>
              </w:rPr>
              <w:t>11 724 993</w:t>
            </w:r>
          </w:p>
        </w:tc>
        <w:tc>
          <w:tcPr>
            <w:tcW w:w="1216" w:type="dxa"/>
            <w:tcBorders>
              <w:top w:val="single" w:sz="4" w:space="0" w:color="auto"/>
              <w:bottom w:val="single" w:sz="4" w:space="0" w:color="auto"/>
            </w:tcBorders>
            <w:noWrap/>
            <w:hideMark/>
          </w:tcPr>
          <w:p w14:paraId="15165F4F" w14:textId="77777777" w:rsidR="007E7AB8" w:rsidRPr="00697636" w:rsidRDefault="007E7AB8" w:rsidP="00D86899">
            <w:pPr>
              <w:spacing w:before="20" w:after="20"/>
              <w:jc w:val="right"/>
              <w:rPr>
                <w:rFonts w:asciiTheme="majorBidi" w:hAnsiTheme="majorBidi" w:cstheme="majorBidi"/>
                <w:b/>
                <w:bCs/>
                <w:sz w:val="20"/>
                <w:szCs w:val="20"/>
                <w:lang w:val="fr-FR"/>
              </w:rPr>
            </w:pPr>
            <w:r w:rsidRPr="00697636">
              <w:rPr>
                <w:rFonts w:asciiTheme="majorBidi" w:hAnsiTheme="majorBidi" w:cstheme="majorBidi"/>
                <w:b/>
                <w:bCs/>
                <w:sz w:val="20"/>
                <w:szCs w:val="20"/>
                <w:lang w:val="fr-FR"/>
              </w:rPr>
              <w:t>2 263 955</w:t>
            </w:r>
          </w:p>
        </w:tc>
        <w:tc>
          <w:tcPr>
            <w:tcW w:w="1216" w:type="dxa"/>
            <w:tcBorders>
              <w:top w:val="single" w:sz="4" w:space="0" w:color="auto"/>
              <w:bottom w:val="single" w:sz="4" w:space="0" w:color="auto"/>
            </w:tcBorders>
            <w:noWrap/>
            <w:hideMark/>
          </w:tcPr>
          <w:p w14:paraId="16532202" w14:textId="77777777" w:rsidR="007E7AB8" w:rsidRPr="00697636" w:rsidRDefault="007E7AB8" w:rsidP="00D86899">
            <w:pPr>
              <w:spacing w:before="20" w:after="20"/>
              <w:jc w:val="right"/>
              <w:rPr>
                <w:rFonts w:asciiTheme="majorBidi" w:hAnsiTheme="majorBidi" w:cstheme="majorBidi"/>
                <w:b/>
                <w:bCs/>
                <w:sz w:val="20"/>
                <w:szCs w:val="20"/>
                <w:lang w:val="fr-FR"/>
              </w:rPr>
            </w:pPr>
            <w:r w:rsidRPr="00697636">
              <w:rPr>
                <w:rFonts w:asciiTheme="majorBidi" w:hAnsiTheme="majorBidi" w:cstheme="majorBidi"/>
                <w:b/>
                <w:bCs/>
                <w:sz w:val="20"/>
                <w:szCs w:val="20"/>
                <w:lang w:val="fr-FR"/>
              </w:rPr>
              <w:t>5 924 590</w:t>
            </w:r>
          </w:p>
        </w:tc>
        <w:tc>
          <w:tcPr>
            <w:tcW w:w="1116" w:type="dxa"/>
            <w:tcBorders>
              <w:top w:val="single" w:sz="4" w:space="0" w:color="auto"/>
              <w:bottom w:val="single" w:sz="4" w:space="0" w:color="auto"/>
            </w:tcBorders>
            <w:noWrap/>
            <w:vAlign w:val="bottom"/>
            <w:hideMark/>
          </w:tcPr>
          <w:p w14:paraId="0E4C6512" w14:textId="77777777" w:rsidR="007E7AB8" w:rsidRPr="00697636" w:rsidRDefault="007E7AB8" w:rsidP="00D86899">
            <w:pPr>
              <w:spacing w:before="20" w:after="20"/>
              <w:jc w:val="right"/>
              <w:rPr>
                <w:rFonts w:asciiTheme="majorBidi" w:hAnsiTheme="majorBidi" w:cstheme="majorBidi"/>
                <w:b/>
                <w:bCs/>
                <w:sz w:val="20"/>
                <w:szCs w:val="20"/>
                <w:lang w:val="fr-FR"/>
              </w:rPr>
            </w:pPr>
            <w:r w:rsidRPr="00697636">
              <w:rPr>
                <w:rFonts w:asciiTheme="majorBidi" w:hAnsiTheme="majorBidi" w:cstheme="majorBidi"/>
                <w:b/>
                <w:bCs/>
                <w:sz w:val="20"/>
                <w:szCs w:val="20"/>
                <w:lang w:val="fr-FR"/>
              </w:rPr>
              <w:t>19 913 538</w:t>
            </w:r>
          </w:p>
        </w:tc>
      </w:tr>
      <w:tr w:rsidR="007E7AB8" w:rsidRPr="00697636" w14:paraId="6B390C04" w14:textId="77777777" w:rsidTr="00D86899">
        <w:tc>
          <w:tcPr>
            <w:tcW w:w="9620" w:type="dxa"/>
            <w:gridSpan w:val="5"/>
            <w:tcBorders>
              <w:top w:val="single" w:sz="4" w:space="0" w:color="auto"/>
              <w:bottom w:val="single" w:sz="4" w:space="0" w:color="auto"/>
            </w:tcBorders>
            <w:noWrap/>
            <w:vAlign w:val="bottom"/>
            <w:hideMark/>
          </w:tcPr>
          <w:p w14:paraId="350DBDD9" w14:textId="41E3C2FE" w:rsidR="007E7AB8" w:rsidRPr="00697636" w:rsidRDefault="007E7AB8" w:rsidP="00D86899">
            <w:pPr>
              <w:keepNext/>
              <w:spacing w:before="20" w:after="20"/>
              <w:jc w:val="left"/>
              <w:rPr>
                <w:rFonts w:asciiTheme="majorBidi" w:hAnsiTheme="majorBidi" w:cstheme="majorBidi"/>
                <w:sz w:val="20"/>
                <w:szCs w:val="20"/>
                <w:lang w:val="fr-FR"/>
              </w:rPr>
            </w:pPr>
            <w:r w:rsidRPr="00697636">
              <w:rPr>
                <w:rFonts w:asciiTheme="majorBidi" w:hAnsiTheme="majorBidi" w:cstheme="majorBidi"/>
                <w:b/>
                <w:bCs/>
                <w:sz w:val="20"/>
                <w:szCs w:val="20"/>
                <w:lang w:val="fr-FR"/>
              </w:rPr>
              <w:t xml:space="preserve">B. </w:t>
            </w:r>
            <w:r w:rsidR="009E7B8B">
              <w:rPr>
                <w:rFonts w:asciiTheme="majorBidi" w:hAnsiTheme="majorBidi" w:cstheme="majorBidi"/>
                <w:b/>
                <w:bCs/>
                <w:sz w:val="20"/>
                <w:szCs w:val="20"/>
                <w:lang w:val="fr-FR"/>
              </w:rPr>
              <w:t>Protocole de Cartagena sur la prévention des risques biotechnologiques</w:t>
            </w:r>
          </w:p>
        </w:tc>
      </w:tr>
      <w:tr w:rsidR="007E7AB8" w:rsidRPr="00697636" w14:paraId="69B01100" w14:textId="77777777" w:rsidTr="00D86899">
        <w:tc>
          <w:tcPr>
            <w:tcW w:w="4756" w:type="dxa"/>
            <w:tcBorders>
              <w:top w:val="single" w:sz="4" w:space="0" w:color="auto"/>
            </w:tcBorders>
            <w:vAlign w:val="bottom"/>
            <w:hideMark/>
          </w:tcPr>
          <w:p w14:paraId="068EDBA9" w14:textId="0B911244" w:rsidR="007E7AB8" w:rsidRPr="00697636" w:rsidRDefault="002169EA" w:rsidP="00D86899">
            <w:pPr>
              <w:spacing w:before="20" w:after="20"/>
              <w:jc w:val="left"/>
              <w:rPr>
                <w:rFonts w:asciiTheme="majorBidi" w:hAnsiTheme="majorBidi" w:cstheme="majorBidi"/>
                <w:sz w:val="20"/>
                <w:szCs w:val="20"/>
                <w:lang w:val="fr-FR"/>
              </w:rPr>
            </w:pPr>
            <w:r>
              <w:rPr>
                <w:rFonts w:asciiTheme="majorBidi" w:hAnsiTheme="majorBidi" w:cstheme="majorBidi"/>
                <w:sz w:val="20"/>
                <w:szCs w:val="20"/>
                <w:lang w:val="fr-FR"/>
              </w:rPr>
              <w:t>Questions relatives au mécanisme de financement et aux ressources financières</w:t>
            </w:r>
          </w:p>
        </w:tc>
        <w:tc>
          <w:tcPr>
            <w:tcW w:w="1316" w:type="dxa"/>
            <w:tcBorders>
              <w:top w:val="single" w:sz="4" w:space="0" w:color="auto"/>
            </w:tcBorders>
            <w:noWrap/>
            <w:vAlign w:val="bottom"/>
            <w:hideMark/>
          </w:tcPr>
          <w:p w14:paraId="318D8C95"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sz w:val="20"/>
                <w:szCs w:val="20"/>
                <w:lang w:val="fr-FR" w:bidi="ar-SY"/>
              </w:rPr>
              <w:t>–</w:t>
            </w:r>
          </w:p>
        </w:tc>
        <w:tc>
          <w:tcPr>
            <w:tcW w:w="1216" w:type="dxa"/>
            <w:tcBorders>
              <w:top w:val="single" w:sz="4" w:space="0" w:color="auto"/>
            </w:tcBorders>
            <w:noWrap/>
            <w:vAlign w:val="bottom"/>
            <w:hideMark/>
          </w:tcPr>
          <w:p w14:paraId="1E56EDB9"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sz w:val="20"/>
                <w:szCs w:val="20"/>
                <w:lang w:val="fr-FR" w:bidi="ar-SY"/>
              </w:rPr>
              <w:t>–</w:t>
            </w:r>
          </w:p>
        </w:tc>
        <w:tc>
          <w:tcPr>
            <w:tcW w:w="1216" w:type="dxa"/>
            <w:tcBorders>
              <w:top w:val="single" w:sz="4" w:space="0" w:color="auto"/>
            </w:tcBorders>
            <w:noWrap/>
            <w:vAlign w:val="bottom"/>
            <w:hideMark/>
          </w:tcPr>
          <w:p w14:paraId="07EA9186"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31 500</w:t>
            </w:r>
          </w:p>
        </w:tc>
        <w:tc>
          <w:tcPr>
            <w:tcW w:w="1116" w:type="dxa"/>
            <w:tcBorders>
              <w:top w:val="single" w:sz="4" w:space="0" w:color="auto"/>
            </w:tcBorders>
            <w:noWrap/>
            <w:vAlign w:val="bottom"/>
            <w:hideMark/>
          </w:tcPr>
          <w:p w14:paraId="4CDD87D0"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31 500</w:t>
            </w:r>
          </w:p>
        </w:tc>
      </w:tr>
      <w:tr w:rsidR="007E7AB8" w:rsidRPr="00697636" w14:paraId="7D815389" w14:textId="77777777" w:rsidTr="00D86899">
        <w:tc>
          <w:tcPr>
            <w:tcW w:w="4756" w:type="dxa"/>
            <w:noWrap/>
            <w:vAlign w:val="bottom"/>
            <w:hideMark/>
          </w:tcPr>
          <w:p w14:paraId="2289100F" w14:textId="7DC0DE21" w:rsidR="007E7AB8" w:rsidRPr="00697636" w:rsidRDefault="002169EA" w:rsidP="00D86899">
            <w:pPr>
              <w:spacing w:before="20" w:after="20"/>
              <w:jc w:val="left"/>
              <w:rPr>
                <w:rFonts w:asciiTheme="majorBidi" w:hAnsiTheme="majorBidi" w:cstheme="majorBidi"/>
                <w:sz w:val="20"/>
                <w:szCs w:val="20"/>
                <w:lang w:val="fr-FR"/>
              </w:rPr>
            </w:pPr>
            <w:r>
              <w:rPr>
                <w:rFonts w:asciiTheme="majorBidi" w:hAnsiTheme="majorBidi" w:cstheme="majorBidi"/>
                <w:sz w:val="20"/>
                <w:szCs w:val="20"/>
                <w:lang w:val="fr-FR"/>
              </w:rPr>
              <w:t>Fonctionnement et activités du Centre d’échange pour la prévention des risques biotechnologiques</w:t>
            </w:r>
          </w:p>
        </w:tc>
        <w:tc>
          <w:tcPr>
            <w:tcW w:w="1316" w:type="dxa"/>
            <w:noWrap/>
            <w:vAlign w:val="bottom"/>
            <w:hideMark/>
          </w:tcPr>
          <w:p w14:paraId="7F39C7DE"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186 400</w:t>
            </w:r>
          </w:p>
        </w:tc>
        <w:tc>
          <w:tcPr>
            <w:tcW w:w="1216" w:type="dxa"/>
            <w:noWrap/>
            <w:vAlign w:val="bottom"/>
            <w:hideMark/>
          </w:tcPr>
          <w:p w14:paraId="66B5873B"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20 000</w:t>
            </w:r>
          </w:p>
        </w:tc>
        <w:tc>
          <w:tcPr>
            <w:tcW w:w="1216" w:type="dxa"/>
            <w:noWrap/>
            <w:vAlign w:val="bottom"/>
            <w:hideMark/>
          </w:tcPr>
          <w:p w14:paraId="5D11DEBD"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432 000</w:t>
            </w:r>
          </w:p>
        </w:tc>
        <w:tc>
          <w:tcPr>
            <w:tcW w:w="1116" w:type="dxa"/>
            <w:noWrap/>
            <w:vAlign w:val="bottom"/>
            <w:hideMark/>
          </w:tcPr>
          <w:p w14:paraId="119ADF9D"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638 400</w:t>
            </w:r>
          </w:p>
        </w:tc>
      </w:tr>
      <w:tr w:rsidR="007E7AB8" w:rsidRPr="00697636" w14:paraId="22502773" w14:textId="77777777" w:rsidTr="00D86899">
        <w:tc>
          <w:tcPr>
            <w:tcW w:w="4756" w:type="dxa"/>
            <w:noWrap/>
            <w:vAlign w:val="bottom"/>
            <w:hideMark/>
          </w:tcPr>
          <w:p w14:paraId="656EB63D" w14:textId="71C03AFE" w:rsidR="007E7AB8" w:rsidRPr="00697636" w:rsidRDefault="009E7B8B" w:rsidP="00D86899">
            <w:pPr>
              <w:spacing w:before="20" w:after="20"/>
              <w:jc w:val="left"/>
              <w:rPr>
                <w:rFonts w:asciiTheme="majorBidi" w:hAnsiTheme="majorBidi" w:cstheme="majorBidi"/>
                <w:sz w:val="20"/>
                <w:szCs w:val="20"/>
                <w:lang w:val="fr-FR"/>
              </w:rPr>
            </w:pPr>
            <w:r>
              <w:rPr>
                <w:rFonts w:asciiTheme="majorBidi" w:hAnsiTheme="majorBidi" w:cstheme="majorBidi"/>
                <w:sz w:val="20"/>
                <w:szCs w:val="20"/>
                <w:lang w:val="fr-FR"/>
              </w:rPr>
              <w:t xml:space="preserve">Évaluation </w:t>
            </w:r>
            <w:r w:rsidR="002169EA">
              <w:rPr>
                <w:rFonts w:asciiTheme="majorBidi" w:hAnsiTheme="majorBidi" w:cstheme="majorBidi"/>
                <w:sz w:val="20"/>
                <w:szCs w:val="20"/>
                <w:lang w:val="fr-FR"/>
              </w:rPr>
              <w:t xml:space="preserve">des risques </w:t>
            </w:r>
            <w:r>
              <w:rPr>
                <w:rFonts w:asciiTheme="majorBidi" w:hAnsiTheme="majorBidi" w:cstheme="majorBidi"/>
                <w:sz w:val="20"/>
                <w:szCs w:val="20"/>
                <w:lang w:val="fr-FR"/>
              </w:rPr>
              <w:t>et gestion des risques</w:t>
            </w:r>
          </w:p>
        </w:tc>
        <w:tc>
          <w:tcPr>
            <w:tcW w:w="1316" w:type="dxa"/>
            <w:noWrap/>
            <w:vAlign w:val="bottom"/>
            <w:hideMark/>
          </w:tcPr>
          <w:p w14:paraId="63522B95"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200 450</w:t>
            </w:r>
          </w:p>
        </w:tc>
        <w:tc>
          <w:tcPr>
            <w:tcW w:w="1216" w:type="dxa"/>
            <w:noWrap/>
            <w:vAlign w:val="bottom"/>
            <w:hideMark/>
          </w:tcPr>
          <w:p w14:paraId="625EE2C5"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31 500</w:t>
            </w:r>
          </w:p>
        </w:tc>
        <w:tc>
          <w:tcPr>
            <w:tcW w:w="1216" w:type="dxa"/>
            <w:noWrap/>
            <w:vAlign w:val="bottom"/>
            <w:hideMark/>
          </w:tcPr>
          <w:p w14:paraId="6D2E9221"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54 000</w:t>
            </w:r>
          </w:p>
        </w:tc>
        <w:tc>
          <w:tcPr>
            <w:tcW w:w="1116" w:type="dxa"/>
            <w:noWrap/>
            <w:vAlign w:val="bottom"/>
            <w:hideMark/>
          </w:tcPr>
          <w:p w14:paraId="2EA8F1C7"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285 950</w:t>
            </w:r>
          </w:p>
        </w:tc>
      </w:tr>
      <w:tr w:rsidR="007E7AB8" w:rsidRPr="00697636" w14:paraId="06E96852" w14:textId="77777777" w:rsidTr="00D86899">
        <w:tc>
          <w:tcPr>
            <w:tcW w:w="4756" w:type="dxa"/>
            <w:noWrap/>
            <w:vAlign w:val="bottom"/>
            <w:hideMark/>
          </w:tcPr>
          <w:p w14:paraId="78063D8B" w14:textId="1566FB5E" w:rsidR="007E7AB8" w:rsidRPr="00697636" w:rsidRDefault="007E7AB8" w:rsidP="00D86899">
            <w:pPr>
              <w:spacing w:before="20" w:after="20"/>
              <w:jc w:val="left"/>
              <w:rPr>
                <w:rFonts w:asciiTheme="majorBidi" w:hAnsiTheme="majorBidi" w:cstheme="majorBidi"/>
                <w:sz w:val="20"/>
                <w:szCs w:val="20"/>
                <w:lang w:val="fr-FR"/>
              </w:rPr>
            </w:pPr>
            <w:r w:rsidRPr="00697636">
              <w:rPr>
                <w:rFonts w:asciiTheme="majorBidi" w:hAnsiTheme="majorBidi" w:cstheme="majorBidi"/>
                <w:sz w:val="20"/>
                <w:szCs w:val="20"/>
                <w:lang w:val="fr-FR"/>
              </w:rPr>
              <w:t>D</w:t>
            </w:r>
            <w:r w:rsidR="002169EA">
              <w:rPr>
                <w:rFonts w:asciiTheme="majorBidi" w:hAnsiTheme="majorBidi" w:cstheme="majorBidi"/>
                <w:sz w:val="20"/>
                <w:szCs w:val="20"/>
                <w:lang w:val="fr-FR"/>
              </w:rPr>
              <w:t>é</w:t>
            </w:r>
            <w:r w:rsidRPr="00697636">
              <w:rPr>
                <w:rFonts w:asciiTheme="majorBidi" w:hAnsiTheme="majorBidi" w:cstheme="majorBidi"/>
                <w:sz w:val="20"/>
                <w:szCs w:val="20"/>
                <w:lang w:val="fr-FR"/>
              </w:rPr>
              <w:t xml:space="preserve">tection </w:t>
            </w:r>
            <w:r w:rsidR="00EB4322">
              <w:rPr>
                <w:rFonts w:asciiTheme="majorBidi" w:hAnsiTheme="majorBidi" w:cstheme="majorBidi"/>
                <w:sz w:val="20"/>
                <w:szCs w:val="20"/>
                <w:lang w:val="fr-FR"/>
              </w:rPr>
              <w:t>et</w:t>
            </w:r>
            <w:r w:rsidRPr="00697636">
              <w:rPr>
                <w:rFonts w:asciiTheme="majorBidi" w:hAnsiTheme="majorBidi" w:cstheme="majorBidi"/>
                <w:sz w:val="20"/>
                <w:szCs w:val="20"/>
                <w:lang w:val="fr-FR"/>
              </w:rPr>
              <w:t xml:space="preserve"> identification </w:t>
            </w:r>
            <w:r w:rsidR="002169EA">
              <w:rPr>
                <w:rFonts w:asciiTheme="majorBidi" w:hAnsiTheme="majorBidi" w:cstheme="majorBidi"/>
                <w:sz w:val="20"/>
                <w:szCs w:val="20"/>
                <w:lang w:val="fr-FR"/>
              </w:rPr>
              <w:t>des organismes vivants modifiés</w:t>
            </w:r>
          </w:p>
        </w:tc>
        <w:tc>
          <w:tcPr>
            <w:tcW w:w="1316" w:type="dxa"/>
            <w:noWrap/>
            <w:vAlign w:val="bottom"/>
            <w:hideMark/>
          </w:tcPr>
          <w:p w14:paraId="2273E460"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69 000</w:t>
            </w:r>
          </w:p>
        </w:tc>
        <w:tc>
          <w:tcPr>
            <w:tcW w:w="1216" w:type="dxa"/>
            <w:noWrap/>
            <w:vAlign w:val="bottom"/>
            <w:hideMark/>
          </w:tcPr>
          <w:p w14:paraId="530CF97C"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10 500</w:t>
            </w:r>
          </w:p>
        </w:tc>
        <w:tc>
          <w:tcPr>
            <w:tcW w:w="1216" w:type="dxa"/>
            <w:noWrap/>
            <w:vAlign w:val="bottom"/>
            <w:hideMark/>
          </w:tcPr>
          <w:p w14:paraId="33CBF63F"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sz w:val="20"/>
                <w:szCs w:val="20"/>
                <w:lang w:val="fr-FR" w:bidi="ar-SY"/>
              </w:rPr>
              <w:t>–</w:t>
            </w:r>
          </w:p>
        </w:tc>
        <w:tc>
          <w:tcPr>
            <w:tcW w:w="1116" w:type="dxa"/>
            <w:noWrap/>
            <w:vAlign w:val="bottom"/>
            <w:hideMark/>
          </w:tcPr>
          <w:p w14:paraId="32B28D74"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79 500</w:t>
            </w:r>
          </w:p>
        </w:tc>
      </w:tr>
      <w:tr w:rsidR="007E7AB8" w:rsidRPr="00697636" w14:paraId="138771E7" w14:textId="77777777" w:rsidTr="00D86899">
        <w:tc>
          <w:tcPr>
            <w:tcW w:w="4756" w:type="dxa"/>
            <w:noWrap/>
            <w:vAlign w:val="bottom"/>
            <w:hideMark/>
          </w:tcPr>
          <w:p w14:paraId="4353C8B6" w14:textId="52DC3D86" w:rsidR="007E7AB8" w:rsidRPr="00697636" w:rsidRDefault="009E7B8B" w:rsidP="00D86899">
            <w:pPr>
              <w:spacing w:before="20" w:after="20"/>
              <w:jc w:val="left"/>
              <w:rPr>
                <w:rFonts w:asciiTheme="majorBidi" w:hAnsiTheme="majorBidi" w:cstheme="majorBidi"/>
                <w:sz w:val="20"/>
                <w:szCs w:val="20"/>
                <w:lang w:val="fr-FR"/>
              </w:rPr>
            </w:pPr>
            <w:r>
              <w:rPr>
                <w:rFonts w:asciiTheme="majorBidi" w:hAnsiTheme="majorBidi" w:cstheme="majorBidi"/>
                <w:sz w:val="20"/>
                <w:szCs w:val="20"/>
                <w:lang w:val="fr-FR"/>
              </w:rPr>
              <w:t>Considérations socio-économiques</w:t>
            </w:r>
          </w:p>
        </w:tc>
        <w:tc>
          <w:tcPr>
            <w:tcW w:w="1316" w:type="dxa"/>
            <w:noWrap/>
            <w:vAlign w:val="bottom"/>
            <w:hideMark/>
          </w:tcPr>
          <w:p w14:paraId="0047CD6E"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sz w:val="20"/>
                <w:szCs w:val="20"/>
                <w:lang w:val="fr-FR" w:bidi="ar-SY"/>
              </w:rPr>
              <w:t>–</w:t>
            </w:r>
          </w:p>
        </w:tc>
        <w:tc>
          <w:tcPr>
            <w:tcW w:w="1216" w:type="dxa"/>
            <w:noWrap/>
            <w:vAlign w:val="bottom"/>
            <w:hideMark/>
          </w:tcPr>
          <w:p w14:paraId="5DA0AA3C"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sz w:val="20"/>
                <w:szCs w:val="20"/>
                <w:lang w:val="fr-FR" w:bidi="ar-SY"/>
              </w:rPr>
              <w:t>–</w:t>
            </w:r>
          </w:p>
        </w:tc>
        <w:tc>
          <w:tcPr>
            <w:tcW w:w="1216" w:type="dxa"/>
            <w:noWrap/>
            <w:vAlign w:val="bottom"/>
            <w:hideMark/>
          </w:tcPr>
          <w:p w14:paraId="77AF9F41"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31 500</w:t>
            </w:r>
          </w:p>
        </w:tc>
        <w:tc>
          <w:tcPr>
            <w:tcW w:w="1116" w:type="dxa"/>
            <w:noWrap/>
            <w:vAlign w:val="bottom"/>
            <w:hideMark/>
          </w:tcPr>
          <w:p w14:paraId="277D7893"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31 500</w:t>
            </w:r>
          </w:p>
        </w:tc>
      </w:tr>
      <w:tr w:rsidR="007E7AB8" w:rsidRPr="00697636" w14:paraId="6DD4B029" w14:textId="77777777" w:rsidTr="00D86899">
        <w:tc>
          <w:tcPr>
            <w:tcW w:w="4756" w:type="dxa"/>
            <w:tcBorders>
              <w:bottom w:val="single" w:sz="4" w:space="0" w:color="auto"/>
            </w:tcBorders>
            <w:vAlign w:val="bottom"/>
            <w:hideMark/>
          </w:tcPr>
          <w:p w14:paraId="4E295DDE" w14:textId="75188411" w:rsidR="007E7AB8" w:rsidRPr="00697636" w:rsidRDefault="002169EA" w:rsidP="00D86899">
            <w:pPr>
              <w:spacing w:before="20" w:after="20"/>
              <w:jc w:val="left"/>
              <w:rPr>
                <w:rFonts w:asciiTheme="majorBidi" w:hAnsiTheme="majorBidi" w:cstheme="majorBidi"/>
                <w:sz w:val="20"/>
                <w:szCs w:val="20"/>
                <w:lang w:val="fr-FR"/>
              </w:rPr>
            </w:pPr>
            <w:r>
              <w:rPr>
                <w:rFonts w:asciiTheme="majorBidi" w:hAnsiTheme="majorBidi" w:cstheme="majorBidi"/>
                <w:sz w:val="20"/>
                <w:szCs w:val="20"/>
                <w:lang w:val="fr-FR"/>
              </w:rPr>
              <w:t xml:space="preserve">Protocole additionnel de </w:t>
            </w:r>
            <w:r w:rsidR="007E7AB8" w:rsidRPr="00697636">
              <w:rPr>
                <w:rFonts w:asciiTheme="majorBidi" w:hAnsiTheme="majorBidi" w:cstheme="majorBidi"/>
                <w:sz w:val="20"/>
                <w:szCs w:val="20"/>
                <w:lang w:val="fr-FR"/>
              </w:rPr>
              <w:t xml:space="preserve">Nagoya-Kuala Lumpur </w:t>
            </w:r>
            <w:r>
              <w:rPr>
                <w:rFonts w:asciiTheme="majorBidi" w:hAnsiTheme="majorBidi" w:cstheme="majorBidi"/>
                <w:sz w:val="20"/>
                <w:szCs w:val="20"/>
                <w:lang w:val="fr-FR"/>
              </w:rPr>
              <w:t>sur la responsabilité et la réparation</w:t>
            </w:r>
          </w:p>
        </w:tc>
        <w:tc>
          <w:tcPr>
            <w:tcW w:w="1316" w:type="dxa"/>
            <w:tcBorders>
              <w:bottom w:val="single" w:sz="4" w:space="0" w:color="auto"/>
            </w:tcBorders>
            <w:noWrap/>
            <w:vAlign w:val="bottom"/>
            <w:hideMark/>
          </w:tcPr>
          <w:p w14:paraId="2402FB45"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sz w:val="20"/>
                <w:szCs w:val="20"/>
                <w:lang w:val="fr-FR" w:bidi="ar-SY"/>
              </w:rPr>
              <w:t>–</w:t>
            </w:r>
          </w:p>
        </w:tc>
        <w:tc>
          <w:tcPr>
            <w:tcW w:w="1216" w:type="dxa"/>
            <w:tcBorders>
              <w:bottom w:val="single" w:sz="4" w:space="0" w:color="auto"/>
            </w:tcBorders>
            <w:noWrap/>
            <w:vAlign w:val="bottom"/>
            <w:hideMark/>
          </w:tcPr>
          <w:p w14:paraId="216E55F1"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sz w:val="20"/>
                <w:szCs w:val="20"/>
                <w:lang w:val="fr-FR" w:bidi="ar-SY"/>
              </w:rPr>
              <w:t>–</w:t>
            </w:r>
          </w:p>
        </w:tc>
        <w:tc>
          <w:tcPr>
            <w:tcW w:w="1216" w:type="dxa"/>
            <w:tcBorders>
              <w:bottom w:val="single" w:sz="4" w:space="0" w:color="auto"/>
            </w:tcBorders>
            <w:noWrap/>
            <w:vAlign w:val="bottom"/>
            <w:hideMark/>
          </w:tcPr>
          <w:p w14:paraId="20E3CA28"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31 500</w:t>
            </w:r>
          </w:p>
        </w:tc>
        <w:tc>
          <w:tcPr>
            <w:tcW w:w="1116" w:type="dxa"/>
            <w:tcBorders>
              <w:bottom w:val="single" w:sz="4" w:space="0" w:color="auto"/>
            </w:tcBorders>
            <w:noWrap/>
            <w:vAlign w:val="bottom"/>
            <w:hideMark/>
          </w:tcPr>
          <w:p w14:paraId="5DCF1E92"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31 500</w:t>
            </w:r>
          </w:p>
        </w:tc>
      </w:tr>
      <w:tr w:rsidR="007E7AB8" w:rsidRPr="00697636" w14:paraId="2AFD5C78" w14:textId="77777777" w:rsidTr="00D86899">
        <w:tc>
          <w:tcPr>
            <w:tcW w:w="4756" w:type="dxa"/>
            <w:tcBorders>
              <w:top w:val="single" w:sz="4" w:space="0" w:color="auto"/>
              <w:bottom w:val="single" w:sz="4" w:space="0" w:color="auto"/>
            </w:tcBorders>
            <w:vAlign w:val="bottom"/>
            <w:hideMark/>
          </w:tcPr>
          <w:p w14:paraId="13770F08" w14:textId="2B058237" w:rsidR="007E7AB8" w:rsidRPr="00697636" w:rsidRDefault="00751F5D" w:rsidP="00D86899">
            <w:pPr>
              <w:spacing w:before="20" w:after="20"/>
              <w:ind w:left="318"/>
              <w:jc w:val="left"/>
              <w:rPr>
                <w:rFonts w:asciiTheme="majorBidi" w:hAnsiTheme="majorBidi" w:cstheme="majorBidi"/>
                <w:b/>
                <w:bCs/>
                <w:sz w:val="20"/>
                <w:szCs w:val="20"/>
                <w:lang w:val="fr-FR"/>
              </w:rPr>
            </w:pPr>
            <w:r>
              <w:rPr>
                <w:rFonts w:asciiTheme="majorBidi" w:hAnsiTheme="majorBidi" w:cstheme="majorBidi"/>
                <w:b/>
                <w:bCs/>
                <w:sz w:val="20"/>
                <w:szCs w:val="20"/>
                <w:lang w:val="fr-FR"/>
              </w:rPr>
              <w:t>Total partiel</w:t>
            </w:r>
          </w:p>
        </w:tc>
        <w:tc>
          <w:tcPr>
            <w:tcW w:w="1316" w:type="dxa"/>
            <w:tcBorders>
              <w:top w:val="single" w:sz="4" w:space="0" w:color="auto"/>
              <w:bottom w:val="single" w:sz="4" w:space="0" w:color="auto"/>
            </w:tcBorders>
            <w:noWrap/>
            <w:vAlign w:val="bottom"/>
            <w:hideMark/>
          </w:tcPr>
          <w:p w14:paraId="59885C61" w14:textId="77777777" w:rsidR="007E7AB8" w:rsidRPr="00697636" w:rsidRDefault="007E7AB8" w:rsidP="00D86899">
            <w:pPr>
              <w:spacing w:before="20" w:after="20"/>
              <w:jc w:val="right"/>
              <w:rPr>
                <w:rFonts w:asciiTheme="majorBidi" w:hAnsiTheme="majorBidi" w:cstheme="majorBidi"/>
                <w:b/>
                <w:bCs/>
                <w:sz w:val="20"/>
                <w:szCs w:val="20"/>
                <w:lang w:val="fr-FR"/>
              </w:rPr>
            </w:pPr>
            <w:r w:rsidRPr="00697636">
              <w:rPr>
                <w:rFonts w:asciiTheme="majorBidi" w:hAnsiTheme="majorBidi" w:cstheme="majorBidi"/>
                <w:b/>
                <w:bCs/>
                <w:sz w:val="20"/>
                <w:szCs w:val="20"/>
                <w:lang w:val="fr-FR"/>
              </w:rPr>
              <w:t>455 850</w:t>
            </w:r>
          </w:p>
        </w:tc>
        <w:tc>
          <w:tcPr>
            <w:tcW w:w="1216" w:type="dxa"/>
            <w:tcBorders>
              <w:top w:val="single" w:sz="4" w:space="0" w:color="auto"/>
              <w:bottom w:val="single" w:sz="4" w:space="0" w:color="auto"/>
            </w:tcBorders>
            <w:noWrap/>
            <w:vAlign w:val="bottom"/>
            <w:hideMark/>
          </w:tcPr>
          <w:p w14:paraId="5F4CD119" w14:textId="77777777" w:rsidR="007E7AB8" w:rsidRPr="00697636" w:rsidRDefault="007E7AB8" w:rsidP="00D86899">
            <w:pPr>
              <w:spacing w:before="20" w:after="20"/>
              <w:jc w:val="right"/>
              <w:rPr>
                <w:rFonts w:asciiTheme="majorBidi" w:hAnsiTheme="majorBidi" w:cstheme="majorBidi"/>
                <w:b/>
                <w:bCs/>
                <w:sz w:val="20"/>
                <w:szCs w:val="20"/>
                <w:lang w:val="fr-FR"/>
              </w:rPr>
            </w:pPr>
            <w:r w:rsidRPr="00697636">
              <w:rPr>
                <w:rFonts w:asciiTheme="majorBidi" w:hAnsiTheme="majorBidi" w:cstheme="majorBidi"/>
                <w:b/>
                <w:bCs/>
                <w:sz w:val="20"/>
                <w:szCs w:val="20"/>
                <w:lang w:val="fr-FR"/>
              </w:rPr>
              <w:t>62 000</w:t>
            </w:r>
          </w:p>
        </w:tc>
        <w:tc>
          <w:tcPr>
            <w:tcW w:w="1216" w:type="dxa"/>
            <w:tcBorders>
              <w:top w:val="single" w:sz="4" w:space="0" w:color="auto"/>
              <w:bottom w:val="single" w:sz="4" w:space="0" w:color="auto"/>
            </w:tcBorders>
            <w:noWrap/>
            <w:vAlign w:val="bottom"/>
            <w:hideMark/>
          </w:tcPr>
          <w:p w14:paraId="20FEA073" w14:textId="77777777" w:rsidR="007E7AB8" w:rsidRPr="00697636" w:rsidRDefault="007E7AB8" w:rsidP="00D86899">
            <w:pPr>
              <w:spacing w:before="20" w:after="20"/>
              <w:jc w:val="right"/>
              <w:rPr>
                <w:rFonts w:asciiTheme="majorBidi" w:hAnsiTheme="majorBidi" w:cstheme="majorBidi"/>
                <w:b/>
                <w:bCs/>
                <w:sz w:val="20"/>
                <w:szCs w:val="20"/>
                <w:lang w:val="fr-FR"/>
              </w:rPr>
            </w:pPr>
            <w:r w:rsidRPr="00697636">
              <w:rPr>
                <w:rFonts w:asciiTheme="majorBidi" w:hAnsiTheme="majorBidi" w:cstheme="majorBidi"/>
                <w:b/>
                <w:bCs/>
                <w:sz w:val="20"/>
                <w:szCs w:val="20"/>
                <w:lang w:val="fr-FR"/>
              </w:rPr>
              <w:t>580 500</w:t>
            </w:r>
          </w:p>
        </w:tc>
        <w:tc>
          <w:tcPr>
            <w:tcW w:w="1116" w:type="dxa"/>
            <w:tcBorders>
              <w:top w:val="single" w:sz="4" w:space="0" w:color="auto"/>
              <w:bottom w:val="single" w:sz="4" w:space="0" w:color="auto"/>
            </w:tcBorders>
            <w:noWrap/>
            <w:vAlign w:val="bottom"/>
            <w:hideMark/>
          </w:tcPr>
          <w:p w14:paraId="635E129F" w14:textId="77777777" w:rsidR="007E7AB8" w:rsidRPr="00697636" w:rsidRDefault="007E7AB8" w:rsidP="00D86899">
            <w:pPr>
              <w:spacing w:before="20" w:after="20"/>
              <w:jc w:val="right"/>
              <w:rPr>
                <w:rFonts w:asciiTheme="majorBidi" w:hAnsiTheme="majorBidi" w:cstheme="majorBidi"/>
                <w:b/>
                <w:bCs/>
                <w:sz w:val="20"/>
                <w:szCs w:val="20"/>
                <w:lang w:val="fr-FR"/>
              </w:rPr>
            </w:pPr>
            <w:r w:rsidRPr="00697636">
              <w:rPr>
                <w:rFonts w:asciiTheme="majorBidi" w:hAnsiTheme="majorBidi" w:cstheme="majorBidi"/>
                <w:b/>
                <w:bCs/>
                <w:sz w:val="20"/>
                <w:szCs w:val="20"/>
                <w:lang w:val="fr-FR"/>
              </w:rPr>
              <w:t>1 098 350</w:t>
            </w:r>
          </w:p>
        </w:tc>
      </w:tr>
      <w:tr w:rsidR="007E7AB8" w:rsidRPr="00697636" w14:paraId="429DE247" w14:textId="77777777" w:rsidTr="00D86899">
        <w:tc>
          <w:tcPr>
            <w:tcW w:w="4756" w:type="dxa"/>
            <w:tcBorders>
              <w:top w:val="single" w:sz="4" w:space="0" w:color="auto"/>
              <w:bottom w:val="single" w:sz="4" w:space="0" w:color="auto"/>
            </w:tcBorders>
            <w:vAlign w:val="bottom"/>
            <w:hideMark/>
          </w:tcPr>
          <w:p w14:paraId="54D120FD" w14:textId="4CB16C00" w:rsidR="007E7AB8" w:rsidRPr="00697636" w:rsidRDefault="00C166A5" w:rsidP="00D86899">
            <w:pPr>
              <w:spacing w:before="20" w:after="20"/>
              <w:jc w:val="left"/>
              <w:rPr>
                <w:rFonts w:asciiTheme="majorBidi" w:hAnsiTheme="majorBidi" w:cstheme="majorBidi"/>
                <w:sz w:val="20"/>
                <w:szCs w:val="20"/>
                <w:lang w:val="fr-FR"/>
              </w:rPr>
            </w:pPr>
            <w:r>
              <w:rPr>
                <w:rFonts w:asciiTheme="majorBidi" w:hAnsiTheme="majorBidi" w:cstheme="majorBidi"/>
                <w:sz w:val="20"/>
                <w:szCs w:val="20"/>
                <w:lang w:val="fr-FR"/>
              </w:rPr>
              <w:t>Dépenses</w:t>
            </w:r>
            <w:r w:rsidR="009E7B8B">
              <w:rPr>
                <w:rFonts w:asciiTheme="majorBidi" w:hAnsiTheme="majorBidi" w:cstheme="majorBidi"/>
                <w:sz w:val="20"/>
                <w:szCs w:val="20"/>
                <w:lang w:val="fr-FR"/>
              </w:rPr>
              <w:t xml:space="preserve"> d’appui au programme</w:t>
            </w:r>
            <w:r w:rsidR="009E7B8B" w:rsidRPr="00697636">
              <w:rPr>
                <w:rFonts w:asciiTheme="majorBidi" w:hAnsiTheme="majorBidi" w:cstheme="majorBidi"/>
                <w:sz w:val="20"/>
                <w:szCs w:val="20"/>
                <w:lang w:val="fr-FR"/>
              </w:rPr>
              <w:t xml:space="preserve"> (13</w:t>
            </w:r>
            <w:r w:rsidR="00C7576D">
              <w:rPr>
                <w:rFonts w:asciiTheme="majorBidi" w:hAnsiTheme="majorBidi" w:cstheme="majorBidi"/>
                <w:sz w:val="20"/>
                <w:szCs w:val="20"/>
                <w:lang w:val="fr-FR"/>
              </w:rPr>
              <w:t> </w:t>
            </w:r>
            <w:r w:rsidR="009E7B8B">
              <w:rPr>
                <w:rFonts w:asciiTheme="majorBidi" w:hAnsiTheme="majorBidi" w:cstheme="majorBidi"/>
                <w:sz w:val="20"/>
                <w:szCs w:val="20"/>
                <w:lang w:val="fr-FR"/>
              </w:rPr>
              <w:t>%</w:t>
            </w:r>
            <w:r w:rsidR="009E7B8B" w:rsidRPr="00697636">
              <w:rPr>
                <w:rFonts w:asciiTheme="majorBidi" w:hAnsiTheme="majorBidi" w:cstheme="majorBidi"/>
                <w:sz w:val="20"/>
                <w:szCs w:val="20"/>
                <w:lang w:val="fr-FR"/>
              </w:rPr>
              <w:t>)</w:t>
            </w:r>
          </w:p>
        </w:tc>
        <w:tc>
          <w:tcPr>
            <w:tcW w:w="1316" w:type="dxa"/>
            <w:tcBorders>
              <w:top w:val="single" w:sz="4" w:space="0" w:color="auto"/>
              <w:bottom w:val="single" w:sz="4" w:space="0" w:color="auto"/>
            </w:tcBorders>
            <w:noWrap/>
            <w:hideMark/>
          </w:tcPr>
          <w:p w14:paraId="75EB68FE"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59 261</w:t>
            </w:r>
          </w:p>
        </w:tc>
        <w:tc>
          <w:tcPr>
            <w:tcW w:w="1216" w:type="dxa"/>
            <w:tcBorders>
              <w:top w:val="single" w:sz="4" w:space="0" w:color="auto"/>
              <w:bottom w:val="single" w:sz="4" w:space="0" w:color="auto"/>
            </w:tcBorders>
            <w:noWrap/>
            <w:hideMark/>
          </w:tcPr>
          <w:p w14:paraId="6327C55E"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8 060</w:t>
            </w:r>
          </w:p>
        </w:tc>
        <w:tc>
          <w:tcPr>
            <w:tcW w:w="1216" w:type="dxa"/>
            <w:tcBorders>
              <w:top w:val="single" w:sz="4" w:space="0" w:color="auto"/>
              <w:bottom w:val="single" w:sz="4" w:space="0" w:color="auto"/>
            </w:tcBorders>
            <w:noWrap/>
            <w:hideMark/>
          </w:tcPr>
          <w:p w14:paraId="07CB92F9"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75 465</w:t>
            </w:r>
          </w:p>
        </w:tc>
        <w:tc>
          <w:tcPr>
            <w:tcW w:w="1116" w:type="dxa"/>
            <w:tcBorders>
              <w:top w:val="single" w:sz="4" w:space="0" w:color="auto"/>
              <w:bottom w:val="single" w:sz="4" w:space="0" w:color="auto"/>
            </w:tcBorders>
            <w:noWrap/>
            <w:vAlign w:val="bottom"/>
            <w:hideMark/>
          </w:tcPr>
          <w:p w14:paraId="27D21C8C"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142 786</w:t>
            </w:r>
          </w:p>
        </w:tc>
      </w:tr>
      <w:tr w:rsidR="007E7AB8" w:rsidRPr="00697636" w14:paraId="38759ECC" w14:textId="77777777" w:rsidTr="00D86899">
        <w:tc>
          <w:tcPr>
            <w:tcW w:w="4756" w:type="dxa"/>
            <w:tcBorders>
              <w:top w:val="single" w:sz="4" w:space="0" w:color="auto"/>
              <w:bottom w:val="single" w:sz="4" w:space="0" w:color="auto"/>
            </w:tcBorders>
            <w:vAlign w:val="bottom"/>
            <w:hideMark/>
          </w:tcPr>
          <w:p w14:paraId="3DFE9935" w14:textId="77777777" w:rsidR="007E7AB8" w:rsidRPr="00697636" w:rsidRDefault="007E7AB8" w:rsidP="00D86899">
            <w:pPr>
              <w:spacing w:before="20" w:after="20"/>
              <w:ind w:left="318"/>
              <w:jc w:val="left"/>
              <w:rPr>
                <w:rFonts w:asciiTheme="majorBidi" w:hAnsiTheme="majorBidi" w:cstheme="majorBidi"/>
                <w:b/>
                <w:bCs/>
                <w:sz w:val="20"/>
                <w:szCs w:val="20"/>
                <w:lang w:val="fr-FR"/>
              </w:rPr>
            </w:pPr>
            <w:r w:rsidRPr="00697636">
              <w:rPr>
                <w:rFonts w:asciiTheme="majorBidi" w:hAnsiTheme="majorBidi" w:cstheme="majorBidi"/>
                <w:b/>
                <w:bCs/>
                <w:sz w:val="20"/>
                <w:szCs w:val="20"/>
                <w:lang w:val="fr-FR"/>
              </w:rPr>
              <w:t>Total</w:t>
            </w:r>
          </w:p>
        </w:tc>
        <w:tc>
          <w:tcPr>
            <w:tcW w:w="1316" w:type="dxa"/>
            <w:tcBorders>
              <w:top w:val="single" w:sz="4" w:space="0" w:color="auto"/>
              <w:bottom w:val="single" w:sz="4" w:space="0" w:color="auto"/>
            </w:tcBorders>
            <w:noWrap/>
            <w:hideMark/>
          </w:tcPr>
          <w:p w14:paraId="6B4850CE" w14:textId="77777777" w:rsidR="007E7AB8" w:rsidRPr="00697636" w:rsidRDefault="007E7AB8" w:rsidP="00D86899">
            <w:pPr>
              <w:spacing w:before="20" w:after="20"/>
              <w:jc w:val="right"/>
              <w:rPr>
                <w:rFonts w:asciiTheme="majorBidi" w:hAnsiTheme="majorBidi" w:cstheme="majorBidi"/>
                <w:b/>
                <w:bCs/>
                <w:sz w:val="20"/>
                <w:szCs w:val="20"/>
                <w:lang w:val="fr-FR"/>
              </w:rPr>
            </w:pPr>
            <w:r w:rsidRPr="00697636">
              <w:rPr>
                <w:rFonts w:asciiTheme="majorBidi" w:hAnsiTheme="majorBidi" w:cstheme="majorBidi"/>
                <w:b/>
                <w:bCs/>
                <w:sz w:val="20"/>
                <w:szCs w:val="20"/>
                <w:lang w:val="fr-FR"/>
              </w:rPr>
              <w:t>515 111</w:t>
            </w:r>
          </w:p>
        </w:tc>
        <w:tc>
          <w:tcPr>
            <w:tcW w:w="1216" w:type="dxa"/>
            <w:tcBorders>
              <w:top w:val="single" w:sz="4" w:space="0" w:color="auto"/>
              <w:bottom w:val="single" w:sz="4" w:space="0" w:color="auto"/>
            </w:tcBorders>
            <w:noWrap/>
            <w:hideMark/>
          </w:tcPr>
          <w:p w14:paraId="5050E4C6" w14:textId="77777777" w:rsidR="007E7AB8" w:rsidRPr="00697636" w:rsidRDefault="007E7AB8" w:rsidP="00D86899">
            <w:pPr>
              <w:spacing w:before="20" w:after="20"/>
              <w:jc w:val="right"/>
              <w:rPr>
                <w:rFonts w:asciiTheme="majorBidi" w:hAnsiTheme="majorBidi" w:cstheme="majorBidi"/>
                <w:b/>
                <w:bCs/>
                <w:sz w:val="20"/>
                <w:szCs w:val="20"/>
                <w:lang w:val="fr-FR"/>
              </w:rPr>
            </w:pPr>
            <w:r w:rsidRPr="00697636">
              <w:rPr>
                <w:rFonts w:asciiTheme="majorBidi" w:hAnsiTheme="majorBidi" w:cstheme="majorBidi"/>
                <w:b/>
                <w:bCs/>
                <w:sz w:val="20"/>
                <w:szCs w:val="20"/>
                <w:lang w:val="fr-FR"/>
              </w:rPr>
              <w:t>70 060</w:t>
            </w:r>
          </w:p>
        </w:tc>
        <w:tc>
          <w:tcPr>
            <w:tcW w:w="1216" w:type="dxa"/>
            <w:tcBorders>
              <w:top w:val="single" w:sz="4" w:space="0" w:color="auto"/>
              <w:bottom w:val="single" w:sz="4" w:space="0" w:color="auto"/>
            </w:tcBorders>
            <w:noWrap/>
            <w:hideMark/>
          </w:tcPr>
          <w:p w14:paraId="4A65562C" w14:textId="77777777" w:rsidR="007E7AB8" w:rsidRPr="00697636" w:rsidRDefault="007E7AB8" w:rsidP="00D86899">
            <w:pPr>
              <w:spacing w:before="20" w:after="20"/>
              <w:jc w:val="right"/>
              <w:rPr>
                <w:rFonts w:asciiTheme="majorBidi" w:hAnsiTheme="majorBidi" w:cstheme="majorBidi"/>
                <w:b/>
                <w:bCs/>
                <w:sz w:val="20"/>
                <w:szCs w:val="20"/>
                <w:lang w:val="fr-FR"/>
              </w:rPr>
            </w:pPr>
            <w:r w:rsidRPr="00697636">
              <w:rPr>
                <w:rFonts w:asciiTheme="majorBidi" w:hAnsiTheme="majorBidi" w:cstheme="majorBidi"/>
                <w:b/>
                <w:bCs/>
                <w:sz w:val="20"/>
                <w:szCs w:val="20"/>
                <w:lang w:val="fr-FR"/>
              </w:rPr>
              <w:t>655 965</w:t>
            </w:r>
          </w:p>
        </w:tc>
        <w:tc>
          <w:tcPr>
            <w:tcW w:w="1116" w:type="dxa"/>
            <w:tcBorders>
              <w:top w:val="single" w:sz="4" w:space="0" w:color="auto"/>
              <w:bottom w:val="single" w:sz="4" w:space="0" w:color="auto"/>
            </w:tcBorders>
            <w:noWrap/>
            <w:vAlign w:val="bottom"/>
            <w:hideMark/>
          </w:tcPr>
          <w:p w14:paraId="2CA7B273" w14:textId="77777777" w:rsidR="007E7AB8" w:rsidRPr="00697636" w:rsidRDefault="007E7AB8" w:rsidP="00D86899">
            <w:pPr>
              <w:spacing w:before="20" w:after="20"/>
              <w:jc w:val="right"/>
              <w:rPr>
                <w:rFonts w:asciiTheme="majorBidi" w:hAnsiTheme="majorBidi" w:cstheme="majorBidi"/>
                <w:b/>
                <w:bCs/>
                <w:sz w:val="20"/>
                <w:szCs w:val="20"/>
                <w:lang w:val="fr-FR"/>
              </w:rPr>
            </w:pPr>
            <w:r w:rsidRPr="00697636">
              <w:rPr>
                <w:rFonts w:asciiTheme="majorBidi" w:hAnsiTheme="majorBidi" w:cstheme="majorBidi"/>
                <w:b/>
                <w:bCs/>
                <w:sz w:val="20"/>
                <w:szCs w:val="20"/>
                <w:lang w:val="fr-FR"/>
              </w:rPr>
              <w:t>1 241 136</w:t>
            </w:r>
          </w:p>
        </w:tc>
      </w:tr>
      <w:tr w:rsidR="007E7AB8" w:rsidRPr="00697636" w14:paraId="792879D1" w14:textId="77777777" w:rsidTr="00D86899">
        <w:tc>
          <w:tcPr>
            <w:tcW w:w="9620" w:type="dxa"/>
            <w:gridSpan w:val="5"/>
            <w:tcBorders>
              <w:top w:val="single" w:sz="4" w:space="0" w:color="auto"/>
              <w:bottom w:val="single" w:sz="4" w:space="0" w:color="auto"/>
            </w:tcBorders>
            <w:noWrap/>
            <w:vAlign w:val="bottom"/>
            <w:hideMark/>
          </w:tcPr>
          <w:p w14:paraId="1359DAB8" w14:textId="6BA73179" w:rsidR="007E7AB8" w:rsidRPr="00697636" w:rsidRDefault="007E7AB8" w:rsidP="00D86899">
            <w:pPr>
              <w:spacing w:before="20" w:after="20"/>
              <w:jc w:val="left"/>
              <w:rPr>
                <w:rFonts w:asciiTheme="majorBidi" w:hAnsiTheme="majorBidi" w:cstheme="majorBidi"/>
                <w:sz w:val="20"/>
                <w:szCs w:val="20"/>
                <w:lang w:val="fr-FR"/>
              </w:rPr>
            </w:pPr>
            <w:r w:rsidRPr="00697636">
              <w:rPr>
                <w:rFonts w:asciiTheme="majorBidi" w:hAnsiTheme="majorBidi" w:cstheme="majorBidi"/>
                <w:b/>
                <w:bCs/>
                <w:sz w:val="20"/>
                <w:szCs w:val="20"/>
                <w:lang w:val="fr-FR"/>
              </w:rPr>
              <w:t xml:space="preserve">C. </w:t>
            </w:r>
            <w:r w:rsidR="009E7B8B">
              <w:rPr>
                <w:rFonts w:asciiTheme="majorBidi" w:hAnsiTheme="majorBidi" w:cstheme="majorBidi"/>
                <w:b/>
                <w:bCs/>
                <w:sz w:val="20"/>
                <w:szCs w:val="20"/>
                <w:lang w:val="fr-FR"/>
              </w:rPr>
              <w:t>Protocole de Nagoya sur l’accès et le partage des avantages</w:t>
            </w:r>
          </w:p>
        </w:tc>
      </w:tr>
      <w:tr w:rsidR="007E7AB8" w:rsidRPr="00697636" w14:paraId="68041A14" w14:textId="77777777" w:rsidTr="00D86899">
        <w:tc>
          <w:tcPr>
            <w:tcW w:w="4756" w:type="dxa"/>
            <w:tcBorders>
              <w:top w:val="single" w:sz="4" w:space="0" w:color="auto"/>
            </w:tcBorders>
            <w:noWrap/>
            <w:vAlign w:val="bottom"/>
            <w:hideMark/>
          </w:tcPr>
          <w:p w14:paraId="20D630E0" w14:textId="6A6D25D9" w:rsidR="007E7AB8" w:rsidRPr="00697636" w:rsidRDefault="009E7B8B" w:rsidP="00D86899">
            <w:pPr>
              <w:spacing w:before="20" w:after="20"/>
              <w:jc w:val="left"/>
              <w:rPr>
                <w:rFonts w:asciiTheme="majorBidi" w:hAnsiTheme="majorBidi" w:cstheme="majorBidi"/>
                <w:sz w:val="20"/>
                <w:szCs w:val="20"/>
                <w:lang w:val="fr-FR"/>
              </w:rPr>
            </w:pPr>
            <w:r>
              <w:rPr>
                <w:rFonts w:asciiTheme="majorBidi" w:hAnsiTheme="majorBidi" w:cstheme="majorBidi"/>
                <w:sz w:val="20"/>
                <w:szCs w:val="20"/>
                <w:lang w:val="fr-FR"/>
              </w:rPr>
              <w:t xml:space="preserve">Renforcement </w:t>
            </w:r>
            <w:r w:rsidR="0078063B">
              <w:rPr>
                <w:rFonts w:asciiTheme="majorBidi" w:hAnsiTheme="majorBidi" w:cstheme="majorBidi"/>
                <w:sz w:val="20"/>
                <w:szCs w:val="20"/>
                <w:lang w:val="fr-FR"/>
              </w:rPr>
              <w:t xml:space="preserve">et développement </w:t>
            </w:r>
            <w:r>
              <w:rPr>
                <w:rFonts w:asciiTheme="majorBidi" w:hAnsiTheme="majorBidi" w:cstheme="majorBidi"/>
                <w:sz w:val="20"/>
                <w:szCs w:val="20"/>
                <w:lang w:val="fr-FR"/>
              </w:rPr>
              <w:t>des capacités</w:t>
            </w:r>
            <w:r w:rsidR="0078063B">
              <w:rPr>
                <w:rFonts w:asciiTheme="majorBidi" w:hAnsiTheme="majorBidi" w:cstheme="majorBidi"/>
                <w:sz w:val="20"/>
                <w:szCs w:val="20"/>
                <w:lang w:val="fr-FR"/>
              </w:rPr>
              <w:t xml:space="preserve"> </w:t>
            </w:r>
            <w:r>
              <w:rPr>
                <w:rFonts w:asciiTheme="majorBidi" w:hAnsiTheme="majorBidi" w:cstheme="majorBidi"/>
                <w:sz w:val="20"/>
                <w:szCs w:val="20"/>
                <w:lang w:val="fr-FR"/>
              </w:rPr>
              <w:t>et sensibilisation</w:t>
            </w:r>
          </w:p>
        </w:tc>
        <w:tc>
          <w:tcPr>
            <w:tcW w:w="1316" w:type="dxa"/>
            <w:tcBorders>
              <w:top w:val="single" w:sz="4" w:space="0" w:color="auto"/>
            </w:tcBorders>
            <w:noWrap/>
            <w:vAlign w:val="bottom"/>
            <w:hideMark/>
          </w:tcPr>
          <w:p w14:paraId="541DD538"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270 400</w:t>
            </w:r>
          </w:p>
        </w:tc>
        <w:tc>
          <w:tcPr>
            <w:tcW w:w="1216" w:type="dxa"/>
            <w:tcBorders>
              <w:top w:val="single" w:sz="4" w:space="0" w:color="auto"/>
            </w:tcBorders>
            <w:noWrap/>
            <w:vAlign w:val="bottom"/>
            <w:hideMark/>
          </w:tcPr>
          <w:p w14:paraId="1789A900"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15 000</w:t>
            </w:r>
          </w:p>
        </w:tc>
        <w:tc>
          <w:tcPr>
            <w:tcW w:w="1216" w:type="dxa"/>
            <w:tcBorders>
              <w:top w:val="single" w:sz="4" w:space="0" w:color="auto"/>
            </w:tcBorders>
            <w:noWrap/>
            <w:vAlign w:val="bottom"/>
            <w:hideMark/>
          </w:tcPr>
          <w:p w14:paraId="17252ECF"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27 000</w:t>
            </w:r>
          </w:p>
        </w:tc>
        <w:tc>
          <w:tcPr>
            <w:tcW w:w="1116" w:type="dxa"/>
            <w:tcBorders>
              <w:top w:val="single" w:sz="4" w:space="0" w:color="auto"/>
            </w:tcBorders>
            <w:noWrap/>
            <w:vAlign w:val="bottom"/>
            <w:hideMark/>
          </w:tcPr>
          <w:p w14:paraId="08816B75"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312 400</w:t>
            </w:r>
          </w:p>
        </w:tc>
      </w:tr>
      <w:tr w:rsidR="007E7AB8" w:rsidRPr="00697636" w14:paraId="2265E3C9" w14:textId="77777777" w:rsidTr="00D86899">
        <w:tc>
          <w:tcPr>
            <w:tcW w:w="4756" w:type="dxa"/>
            <w:noWrap/>
            <w:vAlign w:val="bottom"/>
            <w:hideMark/>
          </w:tcPr>
          <w:p w14:paraId="00696269" w14:textId="5588BA66" w:rsidR="007E7AB8" w:rsidRPr="00697636" w:rsidRDefault="00DF4F84" w:rsidP="00D86899">
            <w:pPr>
              <w:spacing w:before="20" w:after="20"/>
              <w:jc w:val="left"/>
              <w:rPr>
                <w:rFonts w:asciiTheme="majorBidi" w:hAnsiTheme="majorBidi" w:cstheme="majorBidi"/>
                <w:sz w:val="20"/>
                <w:szCs w:val="20"/>
                <w:lang w:val="fr-FR"/>
              </w:rPr>
            </w:pPr>
            <w:r>
              <w:rPr>
                <w:rFonts w:asciiTheme="majorBidi" w:hAnsiTheme="majorBidi" w:cstheme="majorBidi"/>
                <w:sz w:val="20"/>
                <w:szCs w:val="20"/>
                <w:lang w:val="fr-FR"/>
              </w:rPr>
              <w:t>Centre d’échange sur l’accès et le partage des avantages et partage d’informations</w:t>
            </w:r>
          </w:p>
        </w:tc>
        <w:tc>
          <w:tcPr>
            <w:tcW w:w="1316" w:type="dxa"/>
            <w:noWrap/>
            <w:vAlign w:val="bottom"/>
            <w:hideMark/>
          </w:tcPr>
          <w:p w14:paraId="65F11442"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45 150</w:t>
            </w:r>
          </w:p>
        </w:tc>
        <w:tc>
          <w:tcPr>
            <w:tcW w:w="1216" w:type="dxa"/>
            <w:noWrap/>
            <w:vAlign w:val="bottom"/>
            <w:hideMark/>
          </w:tcPr>
          <w:p w14:paraId="6CA31811"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77 750</w:t>
            </w:r>
          </w:p>
        </w:tc>
        <w:tc>
          <w:tcPr>
            <w:tcW w:w="1216" w:type="dxa"/>
            <w:noWrap/>
            <w:vAlign w:val="bottom"/>
            <w:hideMark/>
          </w:tcPr>
          <w:p w14:paraId="47DF4893"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216 000</w:t>
            </w:r>
          </w:p>
        </w:tc>
        <w:tc>
          <w:tcPr>
            <w:tcW w:w="1116" w:type="dxa"/>
            <w:noWrap/>
            <w:vAlign w:val="bottom"/>
            <w:hideMark/>
          </w:tcPr>
          <w:p w14:paraId="5BF007BE"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338 900</w:t>
            </w:r>
          </w:p>
        </w:tc>
      </w:tr>
      <w:tr w:rsidR="007E7AB8" w:rsidRPr="00697636" w14:paraId="1587F8EC" w14:textId="77777777" w:rsidTr="00D86899">
        <w:tc>
          <w:tcPr>
            <w:tcW w:w="4756" w:type="dxa"/>
            <w:tcBorders>
              <w:bottom w:val="single" w:sz="4" w:space="0" w:color="auto"/>
            </w:tcBorders>
            <w:vAlign w:val="bottom"/>
            <w:hideMark/>
          </w:tcPr>
          <w:p w14:paraId="39E04EBE" w14:textId="16D7F60D" w:rsidR="007E7AB8" w:rsidRPr="00697636" w:rsidRDefault="0078063B" w:rsidP="00D86899">
            <w:pPr>
              <w:spacing w:before="20" w:after="20"/>
              <w:jc w:val="left"/>
              <w:rPr>
                <w:rFonts w:asciiTheme="majorBidi" w:hAnsiTheme="majorBidi" w:cstheme="majorBidi"/>
                <w:sz w:val="20"/>
                <w:szCs w:val="20"/>
                <w:lang w:val="fr-FR"/>
              </w:rPr>
            </w:pPr>
            <w:r>
              <w:rPr>
                <w:rFonts w:asciiTheme="majorBidi" w:hAnsiTheme="majorBidi" w:cstheme="majorBidi"/>
                <w:sz w:val="20"/>
                <w:szCs w:val="20"/>
                <w:lang w:val="fr-FR"/>
              </w:rPr>
              <w:t>Méthodologie de la deuxième évaluation et du deuxième examen de l’efficacité du Protocole de Nagoya</w:t>
            </w:r>
          </w:p>
        </w:tc>
        <w:tc>
          <w:tcPr>
            <w:tcW w:w="1316" w:type="dxa"/>
            <w:tcBorders>
              <w:bottom w:val="single" w:sz="4" w:space="0" w:color="auto"/>
            </w:tcBorders>
            <w:noWrap/>
            <w:vAlign w:val="bottom"/>
            <w:hideMark/>
          </w:tcPr>
          <w:p w14:paraId="6D3995C1"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sz w:val="20"/>
                <w:szCs w:val="20"/>
                <w:lang w:val="fr-FR" w:bidi="ar-SY"/>
              </w:rPr>
              <w:t>–</w:t>
            </w:r>
          </w:p>
        </w:tc>
        <w:tc>
          <w:tcPr>
            <w:tcW w:w="1216" w:type="dxa"/>
            <w:tcBorders>
              <w:bottom w:val="single" w:sz="4" w:space="0" w:color="auto"/>
            </w:tcBorders>
            <w:noWrap/>
            <w:vAlign w:val="bottom"/>
            <w:hideMark/>
          </w:tcPr>
          <w:p w14:paraId="5532F8EF"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sz w:val="20"/>
                <w:szCs w:val="20"/>
                <w:lang w:val="fr-FR" w:bidi="ar-SY"/>
              </w:rPr>
              <w:t>–</w:t>
            </w:r>
          </w:p>
        </w:tc>
        <w:tc>
          <w:tcPr>
            <w:tcW w:w="1216" w:type="dxa"/>
            <w:tcBorders>
              <w:bottom w:val="single" w:sz="4" w:space="0" w:color="auto"/>
            </w:tcBorders>
            <w:noWrap/>
            <w:vAlign w:val="bottom"/>
            <w:hideMark/>
          </w:tcPr>
          <w:p w14:paraId="1F84D15A"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45 000</w:t>
            </w:r>
          </w:p>
        </w:tc>
        <w:tc>
          <w:tcPr>
            <w:tcW w:w="1116" w:type="dxa"/>
            <w:tcBorders>
              <w:bottom w:val="single" w:sz="4" w:space="0" w:color="auto"/>
            </w:tcBorders>
            <w:noWrap/>
            <w:vAlign w:val="bottom"/>
            <w:hideMark/>
          </w:tcPr>
          <w:p w14:paraId="45602C15"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45 000</w:t>
            </w:r>
          </w:p>
        </w:tc>
      </w:tr>
      <w:tr w:rsidR="007E7AB8" w:rsidRPr="00697636" w14:paraId="0B924571" w14:textId="77777777" w:rsidTr="00D86899">
        <w:tc>
          <w:tcPr>
            <w:tcW w:w="4756" w:type="dxa"/>
            <w:tcBorders>
              <w:top w:val="single" w:sz="4" w:space="0" w:color="auto"/>
              <w:bottom w:val="single" w:sz="4" w:space="0" w:color="auto"/>
            </w:tcBorders>
            <w:vAlign w:val="bottom"/>
            <w:hideMark/>
          </w:tcPr>
          <w:p w14:paraId="1C6540AA" w14:textId="766C209E" w:rsidR="007E7AB8" w:rsidRPr="00697636" w:rsidRDefault="00751F5D" w:rsidP="00D86899">
            <w:pPr>
              <w:spacing w:before="20" w:after="20"/>
              <w:ind w:left="318"/>
              <w:jc w:val="left"/>
              <w:rPr>
                <w:rFonts w:asciiTheme="majorBidi" w:hAnsiTheme="majorBidi" w:cstheme="majorBidi"/>
                <w:b/>
                <w:bCs/>
                <w:sz w:val="20"/>
                <w:szCs w:val="20"/>
                <w:lang w:val="fr-FR"/>
              </w:rPr>
            </w:pPr>
            <w:r>
              <w:rPr>
                <w:rFonts w:asciiTheme="majorBidi" w:hAnsiTheme="majorBidi" w:cstheme="majorBidi"/>
                <w:b/>
                <w:bCs/>
                <w:sz w:val="20"/>
                <w:szCs w:val="20"/>
                <w:lang w:val="fr-FR"/>
              </w:rPr>
              <w:t>Total partiel</w:t>
            </w:r>
          </w:p>
        </w:tc>
        <w:tc>
          <w:tcPr>
            <w:tcW w:w="1316" w:type="dxa"/>
            <w:tcBorders>
              <w:top w:val="single" w:sz="4" w:space="0" w:color="auto"/>
              <w:bottom w:val="single" w:sz="4" w:space="0" w:color="auto"/>
            </w:tcBorders>
            <w:noWrap/>
            <w:vAlign w:val="bottom"/>
            <w:hideMark/>
          </w:tcPr>
          <w:p w14:paraId="736E85CF" w14:textId="77777777" w:rsidR="007E7AB8" w:rsidRPr="00697636" w:rsidRDefault="007E7AB8" w:rsidP="00D86899">
            <w:pPr>
              <w:spacing w:before="20" w:after="20"/>
              <w:jc w:val="right"/>
              <w:rPr>
                <w:rFonts w:asciiTheme="majorBidi" w:hAnsiTheme="majorBidi" w:cstheme="majorBidi"/>
                <w:b/>
                <w:bCs/>
                <w:sz w:val="20"/>
                <w:szCs w:val="20"/>
                <w:lang w:val="fr-FR"/>
              </w:rPr>
            </w:pPr>
            <w:r w:rsidRPr="00697636">
              <w:rPr>
                <w:rFonts w:asciiTheme="majorBidi" w:hAnsiTheme="majorBidi" w:cstheme="majorBidi"/>
                <w:b/>
                <w:bCs/>
                <w:sz w:val="20"/>
                <w:szCs w:val="20"/>
                <w:lang w:val="fr-FR"/>
              </w:rPr>
              <w:t>315 550</w:t>
            </w:r>
          </w:p>
        </w:tc>
        <w:tc>
          <w:tcPr>
            <w:tcW w:w="1216" w:type="dxa"/>
            <w:tcBorders>
              <w:top w:val="single" w:sz="4" w:space="0" w:color="auto"/>
              <w:bottom w:val="single" w:sz="4" w:space="0" w:color="auto"/>
            </w:tcBorders>
            <w:noWrap/>
            <w:vAlign w:val="bottom"/>
            <w:hideMark/>
          </w:tcPr>
          <w:p w14:paraId="72103E0C" w14:textId="77777777" w:rsidR="007E7AB8" w:rsidRPr="00697636" w:rsidRDefault="007E7AB8" w:rsidP="00D86899">
            <w:pPr>
              <w:spacing w:before="20" w:after="20"/>
              <w:jc w:val="right"/>
              <w:rPr>
                <w:rFonts w:asciiTheme="majorBidi" w:hAnsiTheme="majorBidi" w:cstheme="majorBidi"/>
                <w:b/>
                <w:bCs/>
                <w:sz w:val="20"/>
                <w:szCs w:val="20"/>
                <w:lang w:val="fr-FR"/>
              </w:rPr>
            </w:pPr>
            <w:r w:rsidRPr="00697636">
              <w:rPr>
                <w:rFonts w:asciiTheme="majorBidi" w:hAnsiTheme="majorBidi" w:cstheme="majorBidi"/>
                <w:b/>
                <w:bCs/>
                <w:sz w:val="20"/>
                <w:szCs w:val="20"/>
                <w:lang w:val="fr-FR"/>
              </w:rPr>
              <w:t>92 750</w:t>
            </w:r>
          </w:p>
        </w:tc>
        <w:tc>
          <w:tcPr>
            <w:tcW w:w="1216" w:type="dxa"/>
            <w:tcBorders>
              <w:top w:val="single" w:sz="4" w:space="0" w:color="auto"/>
              <w:bottom w:val="single" w:sz="4" w:space="0" w:color="auto"/>
            </w:tcBorders>
            <w:noWrap/>
            <w:vAlign w:val="bottom"/>
            <w:hideMark/>
          </w:tcPr>
          <w:p w14:paraId="74294945" w14:textId="77777777" w:rsidR="007E7AB8" w:rsidRPr="00697636" w:rsidRDefault="007E7AB8" w:rsidP="00D86899">
            <w:pPr>
              <w:spacing w:before="20" w:after="20"/>
              <w:jc w:val="right"/>
              <w:rPr>
                <w:rFonts w:asciiTheme="majorBidi" w:hAnsiTheme="majorBidi" w:cstheme="majorBidi"/>
                <w:b/>
                <w:bCs/>
                <w:sz w:val="20"/>
                <w:szCs w:val="20"/>
                <w:lang w:val="fr-FR"/>
              </w:rPr>
            </w:pPr>
            <w:r w:rsidRPr="00697636">
              <w:rPr>
                <w:rFonts w:asciiTheme="majorBidi" w:hAnsiTheme="majorBidi" w:cstheme="majorBidi"/>
                <w:b/>
                <w:bCs/>
                <w:sz w:val="20"/>
                <w:szCs w:val="20"/>
                <w:lang w:val="fr-FR"/>
              </w:rPr>
              <w:t>288 000</w:t>
            </w:r>
          </w:p>
        </w:tc>
        <w:tc>
          <w:tcPr>
            <w:tcW w:w="1116" w:type="dxa"/>
            <w:tcBorders>
              <w:top w:val="single" w:sz="4" w:space="0" w:color="auto"/>
              <w:bottom w:val="single" w:sz="4" w:space="0" w:color="auto"/>
            </w:tcBorders>
            <w:noWrap/>
            <w:vAlign w:val="bottom"/>
            <w:hideMark/>
          </w:tcPr>
          <w:p w14:paraId="6EECC018" w14:textId="77777777" w:rsidR="007E7AB8" w:rsidRPr="00697636" w:rsidRDefault="007E7AB8" w:rsidP="00D86899">
            <w:pPr>
              <w:spacing w:before="20" w:after="20"/>
              <w:jc w:val="right"/>
              <w:rPr>
                <w:rFonts w:asciiTheme="majorBidi" w:hAnsiTheme="majorBidi" w:cstheme="majorBidi"/>
                <w:b/>
                <w:bCs/>
                <w:sz w:val="20"/>
                <w:szCs w:val="20"/>
                <w:lang w:val="fr-FR"/>
              </w:rPr>
            </w:pPr>
            <w:r w:rsidRPr="00697636">
              <w:rPr>
                <w:rFonts w:asciiTheme="majorBidi" w:hAnsiTheme="majorBidi" w:cstheme="majorBidi"/>
                <w:b/>
                <w:bCs/>
                <w:sz w:val="20"/>
                <w:szCs w:val="20"/>
                <w:lang w:val="fr-FR"/>
              </w:rPr>
              <w:t>696 300</w:t>
            </w:r>
          </w:p>
        </w:tc>
      </w:tr>
      <w:tr w:rsidR="007E7AB8" w:rsidRPr="00697636" w14:paraId="2D92FBEF" w14:textId="77777777" w:rsidTr="00D86899">
        <w:tc>
          <w:tcPr>
            <w:tcW w:w="4756" w:type="dxa"/>
            <w:tcBorders>
              <w:top w:val="single" w:sz="4" w:space="0" w:color="auto"/>
              <w:bottom w:val="single" w:sz="4" w:space="0" w:color="auto"/>
            </w:tcBorders>
            <w:vAlign w:val="bottom"/>
            <w:hideMark/>
          </w:tcPr>
          <w:p w14:paraId="057EC91C" w14:textId="59657F39" w:rsidR="007E7AB8" w:rsidRPr="00697636" w:rsidRDefault="00C166A5" w:rsidP="00D86899">
            <w:pPr>
              <w:spacing w:before="20" w:after="20"/>
              <w:jc w:val="left"/>
              <w:rPr>
                <w:rFonts w:asciiTheme="majorBidi" w:hAnsiTheme="majorBidi" w:cstheme="majorBidi"/>
                <w:sz w:val="20"/>
                <w:szCs w:val="20"/>
                <w:lang w:val="fr-FR"/>
              </w:rPr>
            </w:pPr>
            <w:r>
              <w:rPr>
                <w:rFonts w:asciiTheme="majorBidi" w:hAnsiTheme="majorBidi" w:cstheme="majorBidi"/>
                <w:sz w:val="20"/>
                <w:szCs w:val="20"/>
                <w:lang w:val="fr-FR"/>
              </w:rPr>
              <w:t>Dépenses</w:t>
            </w:r>
            <w:r w:rsidR="00DF4F84">
              <w:rPr>
                <w:rFonts w:asciiTheme="majorBidi" w:hAnsiTheme="majorBidi" w:cstheme="majorBidi"/>
                <w:sz w:val="20"/>
                <w:szCs w:val="20"/>
                <w:lang w:val="fr-FR"/>
              </w:rPr>
              <w:t xml:space="preserve"> d’appui au programme</w:t>
            </w:r>
            <w:r w:rsidR="00DF4F84" w:rsidRPr="00697636">
              <w:rPr>
                <w:rFonts w:asciiTheme="majorBidi" w:hAnsiTheme="majorBidi" w:cstheme="majorBidi"/>
                <w:sz w:val="20"/>
                <w:szCs w:val="20"/>
                <w:lang w:val="fr-FR"/>
              </w:rPr>
              <w:t xml:space="preserve"> (13</w:t>
            </w:r>
            <w:r w:rsidR="00C7576D">
              <w:rPr>
                <w:rFonts w:asciiTheme="majorBidi" w:hAnsiTheme="majorBidi" w:cstheme="majorBidi"/>
                <w:sz w:val="20"/>
                <w:szCs w:val="20"/>
                <w:lang w:val="fr-FR"/>
              </w:rPr>
              <w:t> </w:t>
            </w:r>
            <w:r w:rsidR="00DF4F84">
              <w:rPr>
                <w:rFonts w:asciiTheme="majorBidi" w:hAnsiTheme="majorBidi" w:cstheme="majorBidi"/>
                <w:sz w:val="20"/>
                <w:szCs w:val="20"/>
                <w:lang w:val="fr-FR"/>
              </w:rPr>
              <w:t>%</w:t>
            </w:r>
            <w:r w:rsidR="00DF4F84" w:rsidRPr="00697636">
              <w:rPr>
                <w:rFonts w:asciiTheme="majorBidi" w:hAnsiTheme="majorBidi" w:cstheme="majorBidi"/>
                <w:sz w:val="20"/>
                <w:szCs w:val="20"/>
                <w:lang w:val="fr-FR"/>
              </w:rPr>
              <w:t>)</w:t>
            </w:r>
          </w:p>
        </w:tc>
        <w:tc>
          <w:tcPr>
            <w:tcW w:w="1316" w:type="dxa"/>
            <w:tcBorders>
              <w:top w:val="single" w:sz="4" w:space="0" w:color="auto"/>
              <w:bottom w:val="single" w:sz="4" w:space="0" w:color="auto"/>
            </w:tcBorders>
            <w:noWrap/>
            <w:hideMark/>
          </w:tcPr>
          <w:p w14:paraId="6BF5EE77"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41 022</w:t>
            </w:r>
          </w:p>
        </w:tc>
        <w:tc>
          <w:tcPr>
            <w:tcW w:w="1216" w:type="dxa"/>
            <w:tcBorders>
              <w:top w:val="single" w:sz="4" w:space="0" w:color="auto"/>
              <w:bottom w:val="single" w:sz="4" w:space="0" w:color="auto"/>
            </w:tcBorders>
            <w:noWrap/>
            <w:hideMark/>
          </w:tcPr>
          <w:p w14:paraId="54CA4D61"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12 058</w:t>
            </w:r>
          </w:p>
        </w:tc>
        <w:tc>
          <w:tcPr>
            <w:tcW w:w="1216" w:type="dxa"/>
            <w:tcBorders>
              <w:top w:val="single" w:sz="4" w:space="0" w:color="auto"/>
              <w:bottom w:val="single" w:sz="4" w:space="0" w:color="auto"/>
            </w:tcBorders>
            <w:noWrap/>
            <w:hideMark/>
          </w:tcPr>
          <w:p w14:paraId="70076FB5"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37 440</w:t>
            </w:r>
          </w:p>
        </w:tc>
        <w:tc>
          <w:tcPr>
            <w:tcW w:w="1116" w:type="dxa"/>
            <w:tcBorders>
              <w:top w:val="single" w:sz="4" w:space="0" w:color="auto"/>
              <w:bottom w:val="single" w:sz="4" w:space="0" w:color="auto"/>
            </w:tcBorders>
            <w:noWrap/>
            <w:vAlign w:val="bottom"/>
            <w:hideMark/>
          </w:tcPr>
          <w:p w14:paraId="68555B0D" w14:textId="77777777" w:rsidR="007E7AB8" w:rsidRPr="00697636" w:rsidRDefault="007E7AB8" w:rsidP="00D86899">
            <w:pPr>
              <w:spacing w:before="20" w:after="20"/>
              <w:jc w:val="right"/>
              <w:rPr>
                <w:rFonts w:asciiTheme="majorBidi" w:hAnsiTheme="majorBidi" w:cstheme="majorBidi"/>
                <w:sz w:val="20"/>
                <w:szCs w:val="20"/>
                <w:lang w:val="fr-FR"/>
              </w:rPr>
            </w:pPr>
            <w:r w:rsidRPr="00697636">
              <w:rPr>
                <w:rFonts w:asciiTheme="majorBidi" w:hAnsiTheme="majorBidi" w:cstheme="majorBidi"/>
                <w:sz w:val="20"/>
                <w:szCs w:val="20"/>
                <w:lang w:val="fr-FR"/>
              </w:rPr>
              <w:t>90 519</w:t>
            </w:r>
          </w:p>
        </w:tc>
      </w:tr>
      <w:tr w:rsidR="007E7AB8" w:rsidRPr="00697636" w14:paraId="79B00C3C" w14:textId="77777777" w:rsidTr="00D86899">
        <w:tc>
          <w:tcPr>
            <w:tcW w:w="4756" w:type="dxa"/>
            <w:tcBorders>
              <w:top w:val="single" w:sz="4" w:space="0" w:color="auto"/>
              <w:bottom w:val="single" w:sz="4" w:space="0" w:color="auto"/>
            </w:tcBorders>
            <w:vAlign w:val="bottom"/>
            <w:hideMark/>
          </w:tcPr>
          <w:p w14:paraId="7AD7BD1D" w14:textId="77777777" w:rsidR="007E7AB8" w:rsidRPr="00697636" w:rsidRDefault="007E7AB8" w:rsidP="00D86899">
            <w:pPr>
              <w:spacing w:before="20" w:after="20"/>
              <w:ind w:left="316"/>
              <w:jc w:val="left"/>
              <w:rPr>
                <w:rFonts w:asciiTheme="majorBidi" w:hAnsiTheme="majorBidi" w:cstheme="majorBidi"/>
                <w:b/>
                <w:bCs/>
                <w:sz w:val="20"/>
                <w:szCs w:val="20"/>
                <w:lang w:val="fr-FR"/>
              </w:rPr>
            </w:pPr>
            <w:r w:rsidRPr="00697636">
              <w:rPr>
                <w:rFonts w:asciiTheme="majorBidi" w:hAnsiTheme="majorBidi" w:cstheme="majorBidi"/>
                <w:b/>
                <w:bCs/>
                <w:sz w:val="20"/>
                <w:szCs w:val="20"/>
                <w:lang w:val="fr-FR"/>
              </w:rPr>
              <w:t>Total</w:t>
            </w:r>
          </w:p>
        </w:tc>
        <w:tc>
          <w:tcPr>
            <w:tcW w:w="1316" w:type="dxa"/>
            <w:tcBorders>
              <w:top w:val="single" w:sz="4" w:space="0" w:color="auto"/>
              <w:bottom w:val="single" w:sz="4" w:space="0" w:color="auto"/>
            </w:tcBorders>
            <w:noWrap/>
            <w:hideMark/>
          </w:tcPr>
          <w:p w14:paraId="417EF1B4" w14:textId="77777777" w:rsidR="007E7AB8" w:rsidRPr="00697636" w:rsidRDefault="007E7AB8" w:rsidP="00D86899">
            <w:pPr>
              <w:spacing w:before="20" w:after="20"/>
              <w:jc w:val="right"/>
              <w:rPr>
                <w:rFonts w:asciiTheme="majorBidi" w:hAnsiTheme="majorBidi" w:cstheme="majorBidi"/>
                <w:b/>
                <w:bCs/>
                <w:sz w:val="20"/>
                <w:szCs w:val="20"/>
                <w:lang w:val="fr-FR"/>
              </w:rPr>
            </w:pPr>
            <w:r w:rsidRPr="00697636">
              <w:rPr>
                <w:rFonts w:asciiTheme="majorBidi" w:hAnsiTheme="majorBidi" w:cstheme="majorBidi"/>
                <w:b/>
                <w:bCs/>
                <w:sz w:val="20"/>
                <w:szCs w:val="20"/>
                <w:lang w:val="fr-FR"/>
              </w:rPr>
              <w:t>356 572</w:t>
            </w:r>
          </w:p>
        </w:tc>
        <w:tc>
          <w:tcPr>
            <w:tcW w:w="1216" w:type="dxa"/>
            <w:tcBorders>
              <w:top w:val="single" w:sz="4" w:space="0" w:color="auto"/>
              <w:bottom w:val="single" w:sz="4" w:space="0" w:color="auto"/>
            </w:tcBorders>
            <w:noWrap/>
            <w:hideMark/>
          </w:tcPr>
          <w:p w14:paraId="3E0B5D15" w14:textId="77777777" w:rsidR="007E7AB8" w:rsidRPr="00697636" w:rsidRDefault="007E7AB8" w:rsidP="00D86899">
            <w:pPr>
              <w:spacing w:before="20" w:after="20"/>
              <w:jc w:val="right"/>
              <w:rPr>
                <w:rFonts w:asciiTheme="majorBidi" w:hAnsiTheme="majorBidi" w:cstheme="majorBidi"/>
                <w:b/>
                <w:bCs/>
                <w:sz w:val="20"/>
                <w:szCs w:val="20"/>
                <w:lang w:val="fr-FR"/>
              </w:rPr>
            </w:pPr>
            <w:r w:rsidRPr="00697636">
              <w:rPr>
                <w:rFonts w:asciiTheme="majorBidi" w:hAnsiTheme="majorBidi" w:cstheme="majorBidi"/>
                <w:b/>
                <w:bCs/>
                <w:sz w:val="20"/>
                <w:szCs w:val="20"/>
                <w:lang w:val="fr-FR"/>
              </w:rPr>
              <w:t>104 808</w:t>
            </w:r>
          </w:p>
        </w:tc>
        <w:tc>
          <w:tcPr>
            <w:tcW w:w="1216" w:type="dxa"/>
            <w:tcBorders>
              <w:top w:val="single" w:sz="4" w:space="0" w:color="auto"/>
              <w:bottom w:val="single" w:sz="4" w:space="0" w:color="auto"/>
            </w:tcBorders>
            <w:noWrap/>
            <w:hideMark/>
          </w:tcPr>
          <w:p w14:paraId="54FECE89" w14:textId="77777777" w:rsidR="007E7AB8" w:rsidRPr="00697636" w:rsidRDefault="007E7AB8" w:rsidP="00D86899">
            <w:pPr>
              <w:spacing w:before="20" w:after="20"/>
              <w:jc w:val="right"/>
              <w:rPr>
                <w:rFonts w:asciiTheme="majorBidi" w:hAnsiTheme="majorBidi" w:cstheme="majorBidi"/>
                <w:b/>
                <w:bCs/>
                <w:sz w:val="20"/>
                <w:szCs w:val="20"/>
                <w:lang w:val="fr-FR"/>
              </w:rPr>
            </w:pPr>
            <w:r w:rsidRPr="00697636">
              <w:rPr>
                <w:rFonts w:asciiTheme="majorBidi" w:hAnsiTheme="majorBidi" w:cstheme="majorBidi"/>
                <w:b/>
                <w:bCs/>
                <w:sz w:val="20"/>
                <w:szCs w:val="20"/>
                <w:lang w:val="fr-FR"/>
              </w:rPr>
              <w:t>325 440</w:t>
            </w:r>
          </w:p>
        </w:tc>
        <w:tc>
          <w:tcPr>
            <w:tcW w:w="1116" w:type="dxa"/>
            <w:tcBorders>
              <w:top w:val="single" w:sz="4" w:space="0" w:color="auto"/>
              <w:bottom w:val="single" w:sz="4" w:space="0" w:color="auto"/>
            </w:tcBorders>
            <w:noWrap/>
            <w:vAlign w:val="bottom"/>
            <w:hideMark/>
          </w:tcPr>
          <w:p w14:paraId="4E464ACA" w14:textId="77777777" w:rsidR="007E7AB8" w:rsidRPr="00697636" w:rsidRDefault="007E7AB8" w:rsidP="00D86899">
            <w:pPr>
              <w:spacing w:before="20" w:after="20"/>
              <w:jc w:val="right"/>
              <w:rPr>
                <w:rFonts w:asciiTheme="majorBidi" w:hAnsiTheme="majorBidi" w:cstheme="majorBidi"/>
                <w:b/>
                <w:bCs/>
                <w:sz w:val="20"/>
                <w:szCs w:val="20"/>
                <w:lang w:val="fr-FR"/>
              </w:rPr>
            </w:pPr>
            <w:r w:rsidRPr="00697636">
              <w:rPr>
                <w:rFonts w:asciiTheme="majorBidi" w:hAnsiTheme="majorBidi" w:cstheme="majorBidi"/>
                <w:b/>
                <w:bCs/>
                <w:sz w:val="20"/>
                <w:szCs w:val="20"/>
                <w:lang w:val="fr-FR"/>
              </w:rPr>
              <w:t>786 819</w:t>
            </w:r>
          </w:p>
        </w:tc>
      </w:tr>
      <w:tr w:rsidR="007E7AB8" w:rsidRPr="00697636" w14:paraId="5475F517" w14:textId="77777777" w:rsidTr="00D86899">
        <w:tc>
          <w:tcPr>
            <w:tcW w:w="4756" w:type="dxa"/>
            <w:tcBorders>
              <w:top w:val="single" w:sz="4" w:space="0" w:color="auto"/>
              <w:bottom w:val="single" w:sz="4" w:space="0" w:color="auto"/>
            </w:tcBorders>
            <w:noWrap/>
            <w:vAlign w:val="bottom"/>
            <w:hideMark/>
          </w:tcPr>
          <w:p w14:paraId="71D2465E" w14:textId="58744962" w:rsidR="007E7AB8" w:rsidRPr="00697636" w:rsidRDefault="00DF4F84" w:rsidP="00D86899">
            <w:pPr>
              <w:spacing w:before="20" w:after="20"/>
              <w:ind w:left="318"/>
              <w:jc w:val="left"/>
              <w:rPr>
                <w:rFonts w:asciiTheme="majorBidi" w:hAnsiTheme="majorBidi" w:cstheme="majorBidi"/>
                <w:b/>
                <w:bCs/>
                <w:sz w:val="20"/>
                <w:szCs w:val="20"/>
                <w:lang w:val="fr-FR"/>
              </w:rPr>
            </w:pPr>
            <w:r>
              <w:rPr>
                <w:rFonts w:asciiTheme="majorBidi" w:hAnsiTheme="majorBidi" w:cstheme="majorBidi"/>
                <w:b/>
                <w:bCs/>
                <w:sz w:val="20"/>
                <w:szCs w:val="20"/>
                <w:lang w:val="fr-FR"/>
              </w:rPr>
              <w:t>Total général pour la Convention et ses Protocoles</w:t>
            </w:r>
            <w:r w:rsidR="007E7AB8" w:rsidRPr="00697636">
              <w:rPr>
                <w:rFonts w:asciiTheme="majorBidi" w:hAnsiTheme="majorBidi" w:cstheme="majorBidi"/>
                <w:sz w:val="20"/>
                <w:szCs w:val="20"/>
                <w:lang w:val="fr-FR"/>
              </w:rPr>
              <w:t xml:space="preserve"> (</w:t>
            </w:r>
            <w:r w:rsidR="000F13B5">
              <w:rPr>
                <w:rFonts w:asciiTheme="majorBidi" w:hAnsiTheme="majorBidi" w:cstheme="majorBidi"/>
                <w:sz w:val="20"/>
                <w:szCs w:val="20"/>
                <w:lang w:val="fr-FR"/>
              </w:rPr>
              <w:t xml:space="preserve">y compris </w:t>
            </w:r>
            <w:r>
              <w:rPr>
                <w:rFonts w:asciiTheme="majorBidi" w:hAnsiTheme="majorBidi" w:cstheme="majorBidi"/>
                <w:sz w:val="20"/>
                <w:szCs w:val="20"/>
                <w:lang w:val="fr-FR"/>
              </w:rPr>
              <w:t xml:space="preserve">les </w:t>
            </w:r>
            <w:r w:rsidR="00C166A5">
              <w:rPr>
                <w:rFonts w:asciiTheme="majorBidi" w:hAnsiTheme="majorBidi" w:cstheme="majorBidi"/>
                <w:sz w:val="20"/>
                <w:szCs w:val="20"/>
                <w:lang w:val="fr-FR"/>
              </w:rPr>
              <w:t>dépenses</w:t>
            </w:r>
            <w:r w:rsidR="000F13B5">
              <w:rPr>
                <w:rFonts w:asciiTheme="majorBidi" w:hAnsiTheme="majorBidi" w:cstheme="majorBidi"/>
                <w:sz w:val="20"/>
                <w:szCs w:val="20"/>
                <w:lang w:val="fr-FR"/>
              </w:rPr>
              <w:t xml:space="preserve"> d’appui au programme</w:t>
            </w:r>
            <w:r w:rsidR="007E7AB8" w:rsidRPr="00697636">
              <w:rPr>
                <w:rFonts w:asciiTheme="majorBidi" w:hAnsiTheme="majorBidi" w:cstheme="majorBidi"/>
                <w:sz w:val="20"/>
                <w:szCs w:val="20"/>
                <w:lang w:val="fr-FR"/>
              </w:rPr>
              <w:t>)</w:t>
            </w:r>
          </w:p>
        </w:tc>
        <w:tc>
          <w:tcPr>
            <w:tcW w:w="1316" w:type="dxa"/>
            <w:tcBorders>
              <w:top w:val="single" w:sz="4" w:space="0" w:color="auto"/>
              <w:bottom w:val="single" w:sz="4" w:space="0" w:color="auto"/>
            </w:tcBorders>
            <w:noWrap/>
            <w:vAlign w:val="bottom"/>
            <w:hideMark/>
          </w:tcPr>
          <w:p w14:paraId="2AE265A2" w14:textId="77777777" w:rsidR="007E7AB8" w:rsidRPr="00697636" w:rsidRDefault="007E7AB8" w:rsidP="00D86899">
            <w:pPr>
              <w:spacing w:before="20" w:after="20"/>
              <w:jc w:val="right"/>
              <w:rPr>
                <w:rFonts w:asciiTheme="majorBidi" w:hAnsiTheme="majorBidi" w:cstheme="majorBidi"/>
                <w:b/>
                <w:bCs/>
                <w:sz w:val="20"/>
                <w:szCs w:val="20"/>
                <w:lang w:val="fr-FR"/>
              </w:rPr>
            </w:pPr>
            <w:r w:rsidRPr="00697636">
              <w:rPr>
                <w:rFonts w:asciiTheme="majorBidi" w:hAnsiTheme="majorBidi" w:cstheme="majorBidi"/>
                <w:b/>
                <w:bCs/>
                <w:sz w:val="20"/>
                <w:szCs w:val="20"/>
                <w:lang w:val="fr-FR"/>
              </w:rPr>
              <w:t>12 596 675</w:t>
            </w:r>
          </w:p>
        </w:tc>
        <w:tc>
          <w:tcPr>
            <w:tcW w:w="1216" w:type="dxa"/>
            <w:tcBorders>
              <w:top w:val="single" w:sz="4" w:space="0" w:color="auto"/>
              <w:bottom w:val="single" w:sz="4" w:space="0" w:color="auto"/>
            </w:tcBorders>
            <w:noWrap/>
            <w:vAlign w:val="bottom"/>
            <w:hideMark/>
          </w:tcPr>
          <w:p w14:paraId="4A61B777" w14:textId="77777777" w:rsidR="007E7AB8" w:rsidRPr="00697636" w:rsidRDefault="007E7AB8" w:rsidP="00D86899">
            <w:pPr>
              <w:spacing w:before="20" w:after="20"/>
              <w:jc w:val="right"/>
              <w:rPr>
                <w:rFonts w:asciiTheme="majorBidi" w:hAnsiTheme="majorBidi" w:cstheme="majorBidi"/>
                <w:b/>
                <w:bCs/>
                <w:sz w:val="20"/>
                <w:szCs w:val="20"/>
                <w:lang w:val="fr-FR"/>
              </w:rPr>
            </w:pPr>
            <w:r w:rsidRPr="00697636">
              <w:rPr>
                <w:rFonts w:asciiTheme="majorBidi" w:hAnsiTheme="majorBidi" w:cstheme="majorBidi"/>
                <w:b/>
                <w:bCs/>
                <w:sz w:val="20"/>
                <w:szCs w:val="20"/>
                <w:lang w:val="fr-FR"/>
              </w:rPr>
              <w:t>2 438 823</w:t>
            </w:r>
          </w:p>
        </w:tc>
        <w:tc>
          <w:tcPr>
            <w:tcW w:w="1216" w:type="dxa"/>
            <w:tcBorders>
              <w:top w:val="single" w:sz="4" w:space="0" w:color="auto"/>
              <w:bottom w:val="single" w:sz="4" w:space="0" w:color="auto"/>
            </w:tcBorders>
            <w:noWrap/>
            <w:vAlign w:val="bottom"/>
            <w:hideMark/>
          </w:tcPr>
          <w:p w14:paraId="21C8323D" w14:textId="77777777" w:rsidR="007E7AB8" w:rsidRPr="00697636" w:rsidRDefault="007E7AB8" w:rsidP="00D86899">
            <w:pPr>
              <w:spacing w:before="20" w:after="20"/>
              <w:jc w:val="right"/>
              <w:rPr>
                <w:rFonts w:asciiTheme="majorBidi" w:hAnsiTheme="majorBidi" w:cstheme="majorBidi"/>
                <w:b/>
                <w:bCs/>
                <w:sz w:val="20"/>
                <w:szCs w:val="20"/>
                <w:lang w:val="fr-FR"/>
              </w:rPr>
            </w:pPr>
            <w:r w:rsidRPr="00697636">
              <w:rPr>
                <w:rFonts w:asciiTheme="majorBidi" w:hAnsiTheme="majorBidi" w:cstheme="majorBidi"/>
                <w:b/>
                <w:bCs/>
                <w:sz w:val="20"/>
                <w:szCs w:val="20"/>
                <w:lang w:val="fr-FR"/>
              </w:rPr>
              <w:t>6 905 995</w:t>
            </w:r>
          </w:p>
        </w:tc>
        <w:tc>
          <w:tcPr>
            <w:tcW w:w="1116" w:type="dxa"/>
            <w:tcBorders>
              <w:top w:val="single" w:sz="4" w:space="0" w:color="auto"/>
              <w:bottom w:val="single" w:sz="4" w:space="0" w:color="auto"/>
            </w:tcBorders>
            <w:noWrap/>
            <w:vAlign w:val="bottom"/>
            <w:hideMark/>
          </w:tcPr>
          <w:p w14:paraId="183C181E" w14:textId="77777777" w:rsidR="007E7AB8" w:rsidRPr="00697636" w:rsidRDefault="007E7AB8" w:rsidP="00D86899">
            <w:pPr>
              <w:spacing w:before="20" w:after="20"/>
              <w:jc w:val="right"/>
              <w:rPr>
                <w:rFonts w:asciiTheme="majorBidi" w:hAnsiTheme="majorBidi" w:cstheme="majorBidi"/>
                <w:b/>
                <w:bCs/>
                <w:sz w:val="20"/>
                <w:szCs w:val="20"/>
                <w:lang w:val="fr-FR"/>
              </w:rPr>
            </w:pPr>
            <w:r w:rsidRPr="00697636">
              <w:rPr>
                <w:rFonts w:asciiTheme="majorBidi" w:hAnsiTheme="majorBidi" w:cstheme="majorBidi"/>
                <w:b/>
                <w:bCs/>
                <w:sz w:val="20"/>
                <w:szCs w:val="20"/>
                <w:lang w:val="fr-FR"/>
              </w:rPr>
              <w:t>21 941 493</w:t>
            </w:r>
          </w:p>
        </w:tc>
      </w:tr>
    </w:tbl>
    <w:p w14:paraId="31559043" w14:textId="7CCD2782" w:rsidR="005A014B" w:rsidRPr="005A014B" w:rsidRDefault="005A014B" w:rsidP="005A014B">
      <w:pPr>
        <w:pStyle w:val="CBDTableTitle"/>
        <w:tabs>
          <w:tab w:val="clear" w:pos="567"/>
        </w:tabs>
        <w:spacing w:before="240" w:after="0"/>
        <w:rPr>
          <w:b w:val="0"/>
          <w:bCs/>
          <w:lang w:val="fr-FR"/>
        </w:rPr>
      </w:pPr>
      <w:r w:rsidRPr="005A014B">
        <w:rPr>
          <w:b w:val="0"/>
          <w:bCs/>
          <w:lang w:val="fr-FR"/>
        </w:rPr>
        <w:t>Tableau</w:t>
      </w:r>
      <w:r w:rsidR="00EB4322">
        <w:rPr>
          <w:b w:val="0"/>
          <w:bCs/>
          <w:lang w:val="fr-FR"/>
        </w:rPr>
        <w:t> </w:t>
      </w:r>
      <w:r w:rsidRPr="005A014B">
        <w:rPr>
          <w:b w:val="0"/>
          <w:bCs/>
          <w:lang w:val="fr-FR"/>
        </w:rPr>
        <w:t>5</w:t>
      </w:r>
    </w:p>
    <w:p w14:paraId="3A8C25F1" w14:textId="5ED9B1C2" w:rsidR="005A014B" w:rsidRDefault="000D5BAE" w:rsidP="005A014B">
      <w:pPr>
        <w:pStyle w:val="CBDTableTitle"/>
        <w:tabs>
          <w:tab w:val="clear" w:pos="567"/>
        </w:tabs>
        <w:spacing w:before="0"/>
        <w:rPr>
          <w:lang w:val="fr-FR"/>
        </w:rPr>
      </w:pPr>
      <w:r>
        <w:rPr>
          <w:lang w:val="fr-FR"/>
        </w:rPr>
        <w:t>Ressources nécessaires au titre d</w:t>
      </w:r>
      <w:r w:rsidR="005A014B">
        <w:rPr>
          <w:lang w:val="fr-FR"/>
        </w:rPr>
        <w:t>u</w:t>
      </w:r>
      <w:r w:rsidR="005A014B" w:rsidRPr="005A014B">
        <w:rPr>
          <w:lang w:val="fr-FR"/>
        </w:rPr>
        <w:t xml:space="preserve"> </w:t>
      </w:r>
      <w:r w:rsidR="000D5E71">
        <w:rPr>
          <w:lang w:val="fr-FR"/>
        </w:rPr>
        <w:t>Fonds spécial de contributions volontaires destiné à des activités supplémentaires approuvées au titre de la Convention et de ses Protocoles</w:t>
      </w:r>
      <w:r w:rsidR="005A014B" w:rsidRPr="005A014B">
        <w:rPr>
          <w:lang w:val="fr-FR"/>
        </w:rPr>
        <w:t>, 2025–2026</w:t>
      </w:r>
      <w:r w:rsidR="005A014B">
        <w:rPr>
          <w:lang w:val="fr-FR"/>
        </w:rPr>
        <w:t> </w:t>
      </w:r>
      <w:r w:rsidR="005A014B" w:rsidRPr="005A014B">
        <w:rPr>
          <w:lang w:val="fr-FR"/>
        </w:rPr>
        <w:t xml:space="preserve">: </w:t>
      </w:r>
      <w:r>
        <w:rPr>
          <w:lang w:val="fr-FR"/>
        </w:rPr>
        <w:t xml:space="preserve">ressources </w:t>
      </w:r>
      <w:r w:rsidR="003253A0">
        <w:rPr>
          <w:lang w:val="fr-FR"/>
        </w:rPr>
        <w:t xml:space="preserve">humaines </w:t>
      </w:r>
      <w:r>
        <w:rPr>
          <w:lang w:val="fr-FR"/>
        </w:rPr>
        <w:t>nécessaires</w:t>
      </w:r>
    </w:p>
    <w:tbl>
      <w:tblPr>
        <w:tblW w:w="9639" w:type="dxa"/>
        <w:tblInd w:w="142" w:type="dxa"/>
        <w:tblLayout w:type="fixed"/>
        <w:tblLook w:val="04A0" w:firstRow="1" w:lastRow="0" w:firstColumn="1" w:lastColumn="0" w:noHBand="0" w:noVBand="1"/>
      </w:tblPr>
      <w:tblGrid>
        <w:gridCol w:w="7229"/>
        <w:gridCol w:w="1134"/>
        <w:gridCol w:w="1276"/>
      </w:tblGrid>
      <w:tr w:rsidR="00C47836" w:rsidRPr="00D1707B" w14:paraId="6BB1B56F" w14:textId="77777777" w:rsidTr="00C166A5">
        <w:trPr>
          <w:trHeight w:val="227"/>
          <w:tblHeader/>
        </w:trPr>
        <w:tc>
          <w:tcPr>
            <w:tcW w:w="7229" w:type="dxa"/>
            <w:tcBorders>
              <w:top w:val="single" w:sz="4" w:space="0" w:color="auto"/>
              <w:bottom w:val="single" w:sz="4" w:space="0" w:color="auto"/>
            </w:tcBorders>
            <w:shd w:val="clear" w:color="auto" w:fill="auto"/>
            <w:noWrap/>
            <w:vAlign w:val="center"/>
            <w:hideMark/>
          </w:tcPr>
          <w:p w14:paraId="32CA1FEC" w14:textId="0FA8C97B" w:rsidR="00C47836" w:rsidRPr="00D1707B" w:rsidRDefault="00C47836" w:rsidP="00C47836">
            <w:pPr>
              <w:spacing w:before="20" w:after="20"/>
              <w:jc w:val="left"/>
              <w:rPr>
                <w:rFonts w:asciiTheme="majorBidi" w:eastAsia="Times New Roman" w:hAnsiTheme="majorBidi" w:cstheme="majorBidi"/>
                <w:i/>
                <w:iCs/>
                <w:color w:val="000000"/>
                <w:sz w:val="20"/>
                <w:szCs w:val="20"/>
              </w:rPr>
            </w:pPr>
            <w:r>
              <w:rPr>
                <w:rFonts w:asciiTheme="majorBidi" w:eastAsia="Times New Roman" w:hAnsiTheme="majorBidi" w:cstheme="majorBidi"/>
                <w:i/>
                <w:iCs/>
                <w:color w:val="000000"/>
                <w:sz w:val="20"/>
                <w:szCs w:val="20"/>
                <w:lang w:val="fr-FR"/>
              </w:rPr>
              <w:t>Domaine thématique</w:t>
            </w:r>
          </w:p>
        </w:tc>
        <w:tc>
          <w:tcPr>
            <w:tcW w:w="1134" w:type="dxa"/>
            <w:tcBorders>
              <w:top w:val="single" w:sz="4" w:space="0" w:color="auto"/>
              <w:bottom w:val="single" w:sz="4" w:space="0" w:color="auto"/>
            </w:tcBorders>
            <w:shd w:val="clear" w:color="auto" w:fill="auto"/>
            <w:noWrap/>
            <w:vAlign w:val="center"/>
            <w:hideMark/>
          </w:tcPr>
          <w:p w14:paraId="0F37648C" w14:textId="751F4D21" w:rsidR="00C47836" w:rsidRPr="00D1707B" w:rsidRDefault="00C47836" w:rsidP="00C47836">
            <w:pPr>
              <w:spacing w:before="20" w:after="20"/>
              <w:jc w:val="center"/>
              <w:rPr>
                <w:rFonts w:asciiTheme="majorBidi" w:eastAsia="Times New Roman" w:hAnsiTheme="majorBidi" w:cstheme="majorBidi"/>
                <w:i/>
                <w:iCs/>
                <w:color w:val="000000"/>
                <w:sz w:val="20"/>
                <w:szCs w:val="20"/>
              </w:rPr>
            </w:pPr>
            <w:r w:rsidRPr="005A014B">
              <w:rPr>
                <w:rFonts w:asciiTheme="majorBidi" w:eastAsia="Times New Roman" w:hAnsiTheme="majorBidi" w:cstheme="majorBidi"/>
                <w:i/>
                <w:iCs/>
                <w:color w:val="000000"/>
                <w:sz w:val="20"/>
                <w:szCs w:val="20"/>
                <w:lang w:val="fr-FR"/>
              </w:rPr>
              <w:t>Grade</w:t>
            </w:r>
          </w:p>
        </w:tc>
        <w:tc>
          <w:tcPr>
            <w:tcW w:w="1276" w:type="dxa"/>
            <w:tcBorders>
              <w:top w:val="single" w:sz="4" w:space="0" w:color="auto"/>
              <w:bottom w:val="single" w:sz="4" w:space="0" w:color="auto"/>
            </w:tcBorders>
            <w:shd w:val="clear" w:color="auto" w:fill="auto"/>
            <w:noWrap/>
            <w:vAlign w:val="center"/>
            <w:hideMark/>
          </w:tcPr>
          <w:p w14:paraId="5B191118" w14:textId="1F088784" w:rsidR="00C47836" w:rsidRPr="00D1707B" w:rsidRDefault="00C47836" w:rsidP="00C47836">
            <w:pPr>
              <w:spacing w:before="20" w:after="20"/>
              <w:jc w:val="center"/>
              <w:rPr>
                <w:rFonts w:asciiTheme="majorBidi" w:eastAsia="Times New Roman" w:hAnsiTheme="majorBidi" w:cstheme="majorBidi"/>
                <w:i/>
                <w:iCs/>
                <w:color w:val="000000"/>
                <w:sz w:val="20"/>
                <w:szCs w:val="20"/>
              </w:rPr>
            </w:pPr>
            <w:r>
              <w:rPr>
                <w:rFonts w:asciiTheme="majorBidi" w:eastAsia="Times New Roman" w:hAnsiTheme="majorBidi" w:cstheme="majorBidi"/>
                <w:i/>
                <w:iCs/>
                <w:color w:val="000000"/>
                <w:sz w:val="20"/>
                <w:szCs w:val="20"/>
                <w:lang w:val="fr-FR"/>
              </w:rPr>
              <w:t>Coût</w:t>
            </w:r>
            <w:r w:rsidRPr="005A014B">
              <w:rPr>
                <w:rFonts w:asciiTheme="majorBidi" w:eastAsia="Times New Roman" w:hAnsiTheme="majorBidi" w:cstheme="majorBidi"/>
                <w:i/>
                <w:iCs/>
                <w:color w:val="000000"/>
                <w:sz w:val="20"/>
                <w:szCs w:val="20"/>
                <w:lang w:val="fr-FR"/>
              </w:rPr>
              <w:br/>
              <w:t>(</w:t>
            </w:r>
            <w:r>
              <w:rPr>
                <w:rFonts w:asciiTheme="majorBidi" w:eastAsia="Times New Roman" w:hAnsiTheme="majorBidi" w:cstheme="majorBidi"/>
                <w:i/>
                <w:iCs/>
                <w:color w:val="000000"/>
                <w:sz w:val="20"/>
                <w:szCs w:val="20"/>
                <w:lang w:val="fr-FR"/>
              </w:rPr>
              <w:t>en</w:t>
            </w:r>
            <w:r w:rsidRPr="005A014B">
              <w:rPr>
                <w:rFonts w:asciiTheme="majorBidi" w:eastAsia="Times New Roman" w:hAnsiTheme="majorBidi" w:cstheme="majorBidi"/>
                <w:i/>
                <w:iCs/>
                <w:color w:val="000000"/>
                <w:sz w:val="20"/>
                <w:szCs w:val="20"/>
                <w:lang w:val="fr-FR"/>
              </w:rPr>
              <w:t> dollars</w:t>
            </w:r>
            <w:r>
              <w:rPr>
                <w:rFonts w:asciiTheme="majorBidi" w:eastAsia="Times New Roman" w:hAnsiTheme="majorBidi" w:cstheme="majorBidi"/>
                <w:i/>
                <w:iCs/>
                <w:color w:val="000000"/>
                <w:sz w:val="20"/>
                <w:szCs w:val="20"/>
                <w:lang w:val="fr-FR"/>
              </w:rPr>
              <w:t xml:space="preserve"> des États-Unis</w:t>
            </w:r>
            <w:r w:rsidRPr="005A014B">
              <w:rPr>
                <w:rFonts w:asciiTheme="majorBidi" w:eastAsia="Times New Roman" w:hAnsiTheme="majorBidi" w:cstheme="majorBidi"/>
                <w:i/>
                <w:iCs/>
                <w:color w:val="000000"/>
                <w:sz w:val="20"/>
                <w:szCs w:val="20"/>
                <w:lang w:val="fr-FR"/>
              </w:rPr>
              <w:t>)</w:t>
            </w:r>
          </w:p>
        </w:tc>
      </w:tr>
      <w:tr w:rsidR="00C47836" w:rsidRPr="00D1707B" w14:paraId="26192F60" w14:textId="77777777" w:rsidTr="00C166A5">
        <w:trPr>
          <w:trHeight w:val="227"/>
        </w:trPr>
        <w:tc>
          <w:tcPr>
            <w:tcW w:w="9639" w:type="dxa"/>
            <w:gridSpan w:val="3"/>
            <w:tcBorders>
              <w:top w:val="single" w:sz="4" w:space="0" w:color="auto"/>
              <w:bottom w:val="single" w:sz="4" w:space="0" w:color="auto"/>
            </w:tcBorders>
            <w:shd w:val="clear" w:color="auto" w:fill="auto"/>
            <w:noWrap/>
            <w:vAlign w:val="center"/>
            <w:hideMark/>
          </w:tcPr>
          <w:p w14:paraId="1B8A5CDC" w14:textId="2A358F39" w:rsidR="00C47836" w:rsidRPr="00D1707B" w:rsidRDefault="00C47836" w:rsidP="00C47836">
            <w:pPr>
              <w:spacing w:before="20" w:after="20"/>
              <w:jc w:val="left"/>
              <w:rPr>
                <w:rFonts w:asciiTheme="majorBidi" w:eastAsia="Times New Roman" w:hAnsiTheme="majorBidi" w:cstheme="majorBidi"/>
                <w:sz w:val="20"/>
                <w:szCs w:val="20"/>
              </w:rPr>
            </w:pPr>
            <w:r>
              <w:rPr>
                <w:rFonts w:asciiTheme="majorBidi" w:eastAsia="Times New Roman" w:hAnsiTheme="majorBidi" w:cstheme="majorBidi"/>
                <w:b/>
                <w:bCs/>
                <w:color w:val="000000"/>
                <w:sz w:val="20"/>
                <w:szCs w:val="20"/>
                <w:lang w:val="fr-FR"/>
              </w:rPr>
              <w:t>Information de séquençage numér</w:t>
            </w:r>
            <w:r w:rsidRPr="005A014B">
              <w:rPr>
                <w:rFonts w:asciiTheme="majorBidi" w:eastAsia="Times New Roman" w:hAnsiTheme="majorBidi" w:cstheme="majorBidi"/>
                <w:b/>
                <w:bCs/>
                <w:color w:val="000000"/>
                <w:sz w:val="20"/>
                <w:szCs w:val="20"/>
                <w:lang w:val="fr-FR"/>
              </w:rPr>
              <w:t>i</w:t>
            </w:r>
            <w:r>
              <w:rPr>
                <w:rFonts w:asciiTheme="majorBidi" w:eastAsia="Times New Roman" w:hAnsiTheme="majorBidi" w:cstheme="majorBidi"/>
                <w:b/>
                <w:bCs/>
                <w:color w:val="000000"/>
                <w:sz w:val="20"/>
                <w:szCs w:val="20"/>
                <w:lang w:val="fr-FR"/>
              </w:rPr>
              <w:t>que sur les ressources génétiques</w:t>
            </w:r>
          </w:p>
        </w:tc>
      </w:tr>
      <w:tr w:rsidR="00C47836" w:rsidRPr="00D1707B" w14:paraId="4C07A90D" w14:textId="77777777" w:rsidTr="00C166A5">
        <w:trPr>
          <w:trHeight w:val="227"/>
        </w:trPr>
        <w:tc>
          <w:tcPr>
            <w:tcW w:w="7229" w:type="dxa"/>
            <w:tcBorders>
              <w:top w:val="single" w:sz="4" w:space="0" w:color="auto"/>
            </w:tcBorders>
            <w:shd w:val="clear" w:color="auto" w:fill="auto"/>
            <w:noWrap/>
            <w:vAlign w:val="center"/>
            <w:hideMark/>
          </w:tcPr>
          <w:p w14:paraId="2F3B4C58" w14:textId="2120481D" w:rsidR="00C47836" w:rsidRPr="00D1707B" w:rsidRDefault="00C47836" w:rsidP="00C47836">
            <w:pPr>
              <w:spacing w:before="20" w:after="20"/>
              <w:jc w:val="lef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lang w:val="fr-FR"/>
              </w:rPr>
              <w:t>Chargé de programme</w:t>
            </w:r>
          </w:p>
        </w:tc>
        <w:tc>
          <w:tcPr>
            <w:tcW w:w="1134" w:type="dxa"/>
            <w:tcBorders>
              <w:top w:val="single" w:sz="4" w:space="0" w:color="auto"/>
            </w:tcBorders>
            <w:shd w:val="clear" w:color="auto" w:fill="auto"/>
            <w:noWrap/>
            <w:vAlign w:val="center"/>
            <w:hideMark/>
          </w:tcPr>
          <w:p w14:paraId="10EC96FA" w14:textId="77777777" w:rsidR="00C47836" w:rsidRPr="00D1707B" w:rsidRDefault="00C47836" w:rsidP="00C47836">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P-3</w:t>
            </w:r>
          </w:p>
        </w:tc>
        <w:tc>
          <w:tcPr>
            <w:tcW w:w="1276" w:type="dxa"/>
            <w:tcBorders>
              <w:top w:val="single" w:sz="4" w:space="0" w:color="auto"/>
            </w:tcBorders>
            <w:shd w:val="clear" w:color="auto" w:fill="auto"/>
            <w:noWrap/>
            <w:vAlign w:val="center"/>
            <w:hideMark/>
          </w:tcPr>
          <w:p w14:paraId="5F68A17A" w14:textId="77777777" w:rsidR="00C47836" w:rsidRPr="00D1707B" w:rsidRDefault="00C47836" w:rsidP="00C47836">
            <w:pPr>
              <w:spacing w:before="20" w:after="20"/>
              <w:jc w:val="righ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318 000</w:t>
            </w:r>
          </w:p>
        </w:tc>
      </w:tr>
      <w:tr w:rsidR="00C47836" w:rsidRPr="00D1707B" w14:paraId="0025CAE2" w14:textId="77777777" w:rsidTr="00C166A5">
        <w:trPr>
          <w:trHeight w:val="227"/>
        </w:trPr>
        <w:tc>
          <w:tcPr>
            <w:tcW w:w="7229" w:type="dxa"/>
            <w:shd w:val="clear" w:color="auto" w:fill="auto"/>
            <w:noWrap/>
            <w:vAlign w:val="center"/>
            <w:hideMark/>
          </w:tcPr>
          <w:p w14:paraId="5CED287E" w14:textId="072B2CE7" w:rsidR="00C47836" w:rsidRPr="00D1707B" w:rsidRDefault="00C47836" w:rsidP="00C47836">
            <w:pPr>
              <w:spacing w:before="20" w:after="20"/>
              <w:jc w:val="lef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lang w:val="fr-FR"/>
              </w:rPr>
              <w:t>Chargé de programme adjoint</w:t>
            </w:r>
          </w:p>
        </w:tc>
        <w:tc>
          <w:tcPr>
            <w:tcW w:w="1134" w:type="dxa"/>
            <w:shd w:val="clear" w:color="auto" w:fill="auto"/>
            <w:noWrap/>
            <w:vAlign w:val="center"/>
            <w:hideMark/>
          </w:tcPr>
          <w:p w14:paraId="113762A3" w14:textId="77777777" w:rsidR="00C47836" w:rsidRPr="00D1707B" w:rsidRDefault="00C47836" w:rsidP="00C47836">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P-2</w:t>
            </w:r>
          </w:p>
        </w:tc>
        <w:tc>
          <w:tcPr>
            <w:tcW w:w="1276" w:type="dxa"/>
            <w:shd w:val="clear" w:color="auto" w:fill="auto"/>
            <w:noWrap/>
            <w:vAlign w:val="center"/>
            <w:hideMark/>
          </w:tcPr>
          <w:p w14:paraId="14CFBA2B" w14:textId="77777777" w:rsidR="00C47836" w:rsidRPr="00D1707B" w:rsidRDefault="00C47836" w:rsidP="00C47836">
            <w:pPr>
              <w:spacing w:before="20" w:after="20"/>
              <w:jc w:val="righ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261 000</w:t>
            </w:r>
          </w:p>
        </w:tc>
      </w:tr>
      <w:tr w:rsidR="00C47836" w:rsidRPr="00D1707B" w14:paraId="0B6FD9B2" w14:textId="77777777" w:rsidTr="00C166A5">
        <w:trPr>
          <w:trHeight w:val="227"/>
        </w:trPr>
        <w:tc>
          <w:tcPr>
            <w:tcW w:w="7229" w:type="dxa"/>
            <w:shd w:val="clear" w:color="auto" w:fill="auto"/>
            <w:noWrap/>
            <w:vAlign w:val="center"/>
            <w:hideMark/>
          </w:tcPr>
          <w:p w14:paraId="44E4E99D" w14:textId="582C50E9" w:rsidR="00C47836" w:rsidRPr="00D1707B" w:rsidRDefault="00C47836" w:rsidP="00C47836">
            <w:pPr>
              <w:spacing w:before="20" w:after="20"/>
              <w:jc w:val="left"/>
              <w:rPr>
                <w:rFonts w:asciiTheme="majorBidi" w:eastAsia="Times New Roman" w:hAnsiTheme="majorBidi" w:cstheme="majorBidi"/>
                <w:color w:val="000000"/>
                <w:sz w:val="20"/>
                <w:szCs w:val="20"/>
              </w:rPr>
            </w:pPr>
            <w:r w:rsidRPr="005A014B">
              <w:rPr>
                <w:rFonts w:asciiTheme="majorBidi" w:eastAsia="Times New Roman" w:hAnsiTheme="majorBidi" w:cstheme="majorBidi"/>
                <w:color w:val="000000"/>
                <w:sz w:val="20"/>
                <w:szCs w:val="20"/>
                <w:lang w:val="fr-FR"/>
              </w:rPr>
              <w:t>Assistant</w:t>
            </w:r>
            <w:r>
              <w:rPr>
                <w:rFonts w:asciiTheme="majorBidi" w:eastAsia="Times New Roman" w:hAnsiTheme="majorBidi" w:cstheme="majorBidi"/>
                <w:color w:val="000000"/>
                <w:sz w:val="20"/>
                <w:szCs w:val="20"/>
                <w:lang w:val="fr-FR"/>
              </w:rPr>
              <w:t xml:space="preserve"> de programme</w:t>
            </w:r>
            <w:r w:rsidRPr="005A014B">
              <w:rPr>
                <w:rFonts w:asciiTheme="majorBidi" w:eastAsia="Times New Roman" w:hAnsiTheme="majorBidi" w:cstheme="majorBidi"/>
                <w:color w:val="000000"/>
                <w:sz w:val="20"/>
                <w:szCs w:val="20"/>
                <w:lang w:val="fr-FR"/>
              </w:rPr>
              <w:t xml:space="preserve"> (2 post</w:t>
            </w:r>
            <w:r>
              <w:rPr>
                <w:rFonts w:asciiTheme="majorBidi" w:eastAsia="Times New Roman" w:hAnsiTheme="majorBidi" w:cstheme="majorBidi"/>
                <w:color w:val="000000"/>
                <w:sz w:val="20"/>
                <w:szCs w:val="20"/>
                <w:lang w:val="fr-FR"/>
              </w:rPr>
              <w:t>e</w:t>
            </w:r>
            <w:r w:rsidRPr="005A014B">
              <w:rPr>
                <w:rFonts w:asciiTheme="majorBidi" w:eastAsia="Times New Roman" w:hAnsiTheme="majorBidi" w:cstheme="majorBidi"/>
                <w:color w:val="000000"/>
                <w:sz w:val="20"/>
                <w:szCs w:val="20"/>
                <w:lang w:val="fr-FR"/>
              </w:rPr>
              <w:t>s)</w:t>
            </w:r>
          </w:p>
        </w:tc>
        <w:tc>
          <w:tcPr>
            <w:tcW w:w="1134" w:type="dxa"/>
            <w:shd w:val="clear" w:color="auto" w:fill="auto"/>
            <w:noWrap/>
            <w:vAlign w:val="center"/>
            <w:hideMark/>
          </w:tcPr>
          <w:p w14:paraId="1CE2F7A4" w14:textId="77777777" w:rsidR="00C47836" w:rsidRPr="00D1707B" w:rsidRDefault="00C47836" w:rsidP="00C47836">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GS</w:t>
            </w:r>
          </w:p>
        </w:tc>
        <w:tc>
          <w:tcPr>
            <w:tcW w:w="1276" w:type="dxa"/>
            <w:shd w:val="clear" w:color="auto" w:fill="auto"/>
            <w:noWrap/>
            <w:vAlign w:val="center"/>
            <w:hideMark/>
          </w:tcPr>
          <w:p w14:paraId="4A431B01" w14:textId="77777777" w:rsidR="00C47836" w:rsidRPr="00D1707B" w:rsidRDefault="00C47836" w:rsidP="00C47836">
            <w:pPr>
              <w:spacing w:before="20" w:after="20"/>
              <w:jc w:val="righ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231 000</w:t>
            </w:r>
          </w:p>
        </w:tc>
      </w:tr>
      <w:tr w:rsidR="00C47836" w:rsidRPr="00D1707B" w14:paraId="46E58965" w14:textId="77777777" w:rsidTr="00C166A5">
        <w:trPr>
          <w:trHeight w:val="227"/>
        </w:trPr>
        <w:tc>
          <w:tcPr>
            <w:tcW w:w="9639" w:type="dxa"/>
            <w:gridSpan w:val="3"/>
            <w:tcBorders>
              <w:top w:val="single" w:sz="4" w:space="0" w:color="auto"/>
              <w:bottom w:val="single" w:sz="4" w:space="0" w:color="auto"/>
            </w:tcBorders>
            <w:shd w:val="clear" w:color="auto" w:fill="auto"/>
            <w:vAlign w:val="center"/>
            <w:hideMark/>
          </w:tcPr>
          <w:p w14:paraId="5CFF3D75" w14:textId="73D4D390" w:rsidR="00C47836" w:rsidRPr="00D1707B" w:rsidRDefault="00C47836" w:rsidP="00C47836">
            <w:pPr>
              <w:spacing w:before="20" w:after="20"/>
              <w:jc w:val="left"/>
              <w:rPr>
                <w:rFonts w:asciiTheme="majorBidi" w:eastAsia="Times New Roman" w:hAnsiTheme="majorBidi" w:cstheme="majorBidi"/>
                <w:sz w:val="20"/>
                <w:szCs w:val="20"/>
              </w:rPr>
            </w:pPr>
            <w:r>
              <w:rPr>
                <w:rFonts w:asciiTheme="majorBidi" w:eastAsia="Times New Roman" w:hAnsiTheme="majorBidi" w:cstheme="majorBidi"/>
                <w:b/>
                <w:bCs/>
                <w:color w:val="000000"/>
                <w:sz w:val="20"/>
                <w:szCs w:val="20"/>
                <w:lang w:val="fr-FR"/>
              </w:rPr>
              <w:t>Renforcement et développement des capacités, coopération technique et scientifique, m</w:t>
            </w:r>
            <w:r w:rsidRPr="00DF4F84">
              <w:rPr>
                <w:rFonts w:asciiTheme="majorBidi" w:eastAsia="Times New Roman" w:hAnsiTheme="majorBidi" w:cstheme="majorBidi"/>
                <w:b/>
                <w:bCs/>
                <w:color w:val="000000"/>
                <w:sz w:val="20"/>
                <w:szCs w:val="20"/>
                <w:lang w:val="fr-FR"/>
              </w:rPr>
              <w:t>écanisme d’échange d’informations et gestion des connaissances</w:t>
            </w:r>
          </w:p>
        </w:tc>
      </w:tr>
      <w:tr w:rsidR="00C47836" w:rsidRPr="00D1707B" w14:paraId="077879E6" w14:textId="77777777" w:rsidTr="00C166A5">
        <w:trPr>
          <w:trHeight w:val="227"/>
        </w:trPr>
        <w:tc>
          <w:tcPr>
            <w:tcW w:w="7229" w:type="dxa"/>
            <w:tcBorders>
              <w:top w:val="single" w:sz="4" w:space="0" w:color="auto"/>
            </w:tcBorders>
            <w:shd w:val="clear" w:color="auto" w:fill="auto"/>
            <w:noWrap/>
            <w:vAlign w:val="center"/>
            <w:hideMark/>
          </w:tcPr>
          <w:p w14:paraId="6ED4C400" w14:textId="088BA7AD" w:rsidR="00C47836" w:rsidRPr="00D1707B" w:rsidRDefault="00C47836" w:rsidP="00C47836">
            <w:pPr>
              <w:spacing w:before="20" w:after="20"/>
              <w:jc w:val="lef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lang w:val="fr-FR"/>
              </w:rPr>
              <w:t>Chargé de programme</w:t>
            </w:r>
          </w:p>
        </w:tc>
        <w:tc>
          <w:tcPr>
            <w:tcW w:w="1134" w:type="dxa"/>
            <w:tcBorders>
              <w:top w:val="single" w:sz="4" w:space="0" w:color="auto"/>
            </w:tcBorders>
            <w:shd w:val="clear" w:color="auto" w:fill="auto"/>
            <w:noWrap/>
            <w:vAlign w:val="center"/>
            <w:hideMark/>
          </w:tcPr>
          <w:p w14:paraId="73702BCF" w14:textId="77777777" w:rsidR="00C47836" w:rsidRPr="00D1707B" w:rsidRDefault="00C47836" w:rsidP="00C47836">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P-5</w:t>
            </w:r>
          </w:p>
        </w:tc>
        <w:tc>
          <w:tcPr>
            <w:tcW w:w="1276" w:type="dxa"/>
            <w:tcBorders>
              <w:top w:val="single" w:sz="4" w:space="0" w:color="auto"/>
            </w:tcBorders>
            <w:shd w:val="clear" w:color="auto" w:fill="auto"/>
            <w:noWrap/>
            <w:vAlign w:val="center"/>
            <w:hideMark/>
          </w:tcPr>
          <w:p w14:paraId="314D8F20" w14:textId="77777777" w:rsidR="00C47836" w:rsidRPr="00D1707B" w:rsidRDefault="00C47836" w:rsidP="00C47836">
            <w:pPr>
              <w:spacing w:before="20" w:after="20"/>
              <w:jc w:val="righ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421 500</w:t>
            </w:r>
          </w:p>
        </w:tc>
      </w:tr>
      <w:tr w:rsidR="00C47836" w:rsidRPr="00D1707B" w14:paraId="21296A4D" w14:textId="77777777" w:rsidTr="00C166A5">
        <w:trPr>
          <w:trHeight w:val="227"/>
        </w:trPr>
        <w:tc>
          <w:tcPr>
            <w:tcW w:w="7229" w:type="dxa"/>
            <w:shd w:val="clear" w:color="auto" w:fill="auto"/>
            <w:noWrap/>
            <w:vAlign w:val="center"/>
            <w:hideMark/>
          </w:tcPr>
          <w:p w14:paraId="33E913AB" w14:textId="1E1A3215" w:rsidR="00C47836" w:rsidRPr="00D1707B" w:rsidRDefault="00C47836" w:rsidP="00C47836">
            <w:pPr>
              <w:spacing w:before="20" w:after="20"/>
              <w:jc w:val="lef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lang w:val="fr-FR"/>
              </w:rPr>
              <w:t>Chargé de programme</w:t>
            </w:r>
          </w:p>
        </w:tc>
        <w:tc>
          <w:tcPr>
            <w:tcW w:w="1134" w:type="dxa"/>
            <w:shd w:val="clear" w:color="auto" w:fill="auto"/>
            <w:noWrap/>
            <w:vAlign w:val="center"/>
            <w:hideMark/>
          </w:tcPr>
          <w:p w14:paraId="0FA459EC" w14:textId="77777777" w:rsidR="00C47836" w:rsidRPr="00D1707B" w:rsidRDefault="00C47836" w:rsidP="00C47836">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P-3</w:t>
            </w:r>
          </w:p>
        </w:tc>
        <w:tc>
          <w:tcPr>
            <w:tcW w:w="1276" w:type="dxa"/>
            <w:shd w:val="clear" w:color="auto" w:fill="auto"/>
            <w:noWrap/>
            <w:vAlign w:val="center"/>
            <w:hideMark/>
          </w:tcPr>
          <w:p w14:paraId="2F1A5B32" w14:textId="77777777" w:rsidR="00C47836" w:rsidRPr="00D1707B" w:rsidRDefault="00C47836" w:rsidP="00C47836">
            <w:pPr>
              <w:spacing w:before="20" w:after="20"/>
              <w:jc w:val="righ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318 000</w:t>
            </w:r>
          </w:p>
        </w:tc>
      </w:tr>
      <w:tr w:rsidR="00C47836" w:rsidRPr="00D1707B" w14:paraId="77D7D1BF" w14:textId="77777777" w:rsidTr="00C166A5">
        <w:trPr>
          <w:trHeight w:val="227"/>
        </w:trPr>
        <w:tc>
          <w:tcPr>
            <w:tcW w:w="7229" w:type="dxa"/>
            <w:shd w:val="clear" w:color="auto" w:fill="auto"/>
            <w:noWrap/>
            <w:vAlign w:val="center"/>
            <w:hideMark/>
          </w:tcPr>
          <w:p w14:paraId="4CDFDD58" w14:textId="2E966B9B" w:rsidR="00C47836" w:rsidRPr="00D1707B" w:rsidRDefault="00C47836" w:rsidP="00C47836">
            <w:pPr>
              <w:spacing w:before="20" w:after="20"/>
              <w:jc w:val="lef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lang w:val="fr-FR"/>
              </w:rPr>
              <w:lastRenderedPageBreak/>
              <w:t>Assistant de programme</w:t>
            </w:r>
          </w:p>
        </w:tc>
        <w:tc>
          <w:tcPr>
            <w:tcW w:w="1134" w:type="dxa"/>
            <w:shd w:val="clear" w:color="auto" w:fill="auto"/>
            <w:noWrap/>
            <w:vAlign w:val="center"/>
            <w:hideMark/>
          </w:tcPr>
          <w:p w14:paraId="433B5CD9" w14:textId="77777777" w:rsidR="00C47836" w:rsidRPr="00D1707B" w:rsidRDefault="00C47836" w:rsidP="00C47836">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GS</w:t>
            </w:r>
          </w:p>
        </w:tc>
        <w:tc>
          <w:tcPr>
            <w:tcW w:w="1276" w:type="dxa"/>
            <w:shd w:val="clear" w:color="auto" w:fill="auto"/>
            <w:noWrap/>
            <w:vAlign w:val="center"/>
            <w:hideMark/>
          </w:tcPr>
          <w:p w14:paraId="5765CF8A" w14:textId="77777777" w:rsidR="00C47836" w:rsidRPr="00D1707B" w:rsidRDefault="00C47836" w:rsidP="00C47836">
            <w:pPr>
              <w:spacing w:before="20" w:after="20"/>
              <w:jc w:val="righ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115 500</w:t>
            </w:r>
          </w:p>
        </w:tc>
      </w:tr>
      <w:tr w:rsidR="00C47836" w:rsidRPr="00D1707B" w14:paraId="03A4EE4B" w14:textId="77777777" w:rsidTr="00C166A5">
        <w:trPr>
          <w:trHeight w:val="227"/>
        </w:trPr>
        <w:tc>
          <w:tcPr>
            <w:tcW w:w="9639" w:type="dxa"/>
            <w:gridSpan w:val="3"/>
            <w:tcBorders>
              <w:top w:val="single" w:sz="4" w:space="0" w:color="auto"/>
              <w:bottom w:val="single" w:sz="4" w:space="0" w:color="auto"/>
            </w:tcBorders>
            <w:shd w:val="clear" w:color="auto" w:fill="auto"/>
            <w:noWrap/>
            <w:vAlign w:val="center"/>
            <w:hideMark/>
          </w:tcPr>
          <w:p w14:paraId="2D968CD1" w14:textId="70E5E4C3" w:rsidR="00C47836" w:rsidRPr="00D1707B" w:rsidRDefault="00C47836" w:rsidP="00C47836">
            <w:pPr>
              <w:spacing w:before="20" w:after="20"/>
              <w:jc w:val="left"/>
              <w:rPr>
                <w:rFonts w:asciiTheme="majorBidi" w:eastAsia="Times New Roman" w:hAnsiTheme="majorBidi" w:cstheme="majorBidi"/>
                <w:sz w:val="20"/>
                <w:szCs w:val="20"/>
              </w:rPr>
            </w:pPr>
            <w:r w:rsidRPr="005A014B">
              <w:rPr>
                <w:rFonts w:asciiTheme="majorBidi" w:eastAsia="Times New Roman" w:hAnsiTheme="majorBidi" w:cstheme="majorBidi"/>
                <w:b/>
                <w:bCs/>
                <w:color w:val="000000"/>
                <w:sz w:val="20"/>
                <w:szCs w:val="20"/>
                <w:lang w:val="fr-FR"/>
              </w:rPr>
              <w:t xml:space="preserve">Communication, </w:t>
            </w:r>
            <w:r>
              <w:rPr>
                <w:rFonts w:asciiTheme="majorBidi" w:eastAsia="Times New Roman" w:hAnsiTheme="majorBidi" w:cstheme="majorBidi"/>
                <w:b/>
                <w:bCs/>
                <w:color w:val="000000"/>
                <w:sz w:val="20"/>
                <w:szCs w:val="20"/>
                <w:lang w:val="fr-FR"/>
              </w:rPr>
              <w:t>é</w:t>
            </w:r>
            <w:r w:rsidRPr="005A014B">
              <w:rPr>
                <w:rFonts w:asciiTheme="majorBidi" w:eastAsia="Times New Roman" w:hAnsiTheme="majorBidi" w:cstheme="majorBidi"/>
                <w:b/>
                <w:bCs/>
                <w:color w:val="000000"/>
                <w:sz w:val="20"/>
                <w:szCs w:val="20"/>
                <w:lang w:val="fr-FR"/>
              </w:rPr>
              <w:t xml:space="preserve">ducation </w:t>
            </w:r>
            <w:r>
              <w:rPr>
                <w:rFonts w:asciiTheme="majorBidi" w:eastAsia="Times New Roman" w:hAnsiTheme="majorBidi" w:cstheme="majorBidi"/>
                <w:b/>
                <w:bCs/>
                <w:color w:val="000000"/>
                <w:sz w:val="20"/>
                <w:szCs w:val="20"/>
                <w:lang w:val="fr-FR"/>
              </w:rPr>
              <w:t>et sensibilisation du public</w:t>
            </w:r>
          </w:p>
        </w:tc>
      </w:tr>
      <w:tr w:rsidR="00C47836" w:rsidRPr="00D1707B" w14:paraId="6D117841" w14:textId="77777777" w:rsidTr="00C166A5">
        <w:trPr>
          <w:trHeight w:val="227"/>
        </w:trPr>
        <w:tc>
          <w:tcPr>
            <w:tcW w:w="7229" w:type="dxa"/>
            <w:tcBorders>
              <w:top w:val="single" w:sz="4" w:space="0" w:color="auto"/>
            </w:tcBorders>
            <w:shd w:val="clear" w:color="auto" w:fill="auto"/>
            <w:noWrap/>
            <w:vAlign w:val="center"/>
            <w:hideMark/>
          </w:tcPr>
          <w:p w14:paraId="695667D8" w14:textId="416FC37C" w:rsidR="00C47836" w:rsidRPr="00D1707B" w:rsidRDefault="00C47836" w:rsidP="00C47836">
            <w:pPr>
              <w:spacing w:before="20" w:after="20"/>
              <w:jc w:val="lef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lang w:val="fr-FR"/>
              </w:rPr>
              <w:t>Chargé de programme</w:t>
            </w:r>
          </w:p>
        </w:tc>
        <w:tc>
          <w:tcPr>
            <w:tcW w:w="1134" w:type="dxa"/>
            <w:tcBorders>
              <w:top w:val="single" w:sz="4" w:space="0" w:color="auto"/>
            </w:tcBorders>
            <w:shd w:val="clear" w:color="auto" w:fill="auto"/>
            <w:noWrap/>
            <w:vAlign w:val="center"/>
            <w:hideMark/>
          </w:tcPr>
          <w:p w14:paraId="32DAB6F1" w14:textId="77777777" w:rsidR="00C47836" w:rsidRPr="00D1707B" w:rsidRDefault="00C47836" w:rsidP="00C47836">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P-2</w:t>
            </w:r>
          </w:p>
        </w:tc>
        <w:tc>
          <w:tcPr>
            <w:tcW w:w="1276" w:type="dxa"/>
            <w:tcBorders>
              <w:top w:val="single" w:sz="4" w:space="0" w:color="auto"/>
            </w:tcBorders>
            <w:shd w:val="clear" w:color="auto" w:fill="auto"/>
            <w:noWrap/>
            <w:vAlign w:val="center"/>
            <w:hideMark/>
          </w:tcPr>
          <w:p w14:paraId="0BA8FD7E" w14:textId="77777777" w:rsidR="00C47836" w:rsidRPr="00D1707B" w:rsidRDefault="00C47836" w:rsidP="00C47836">
            <w:pPr>
              <w:spacing w:before="20" w:after="20"/>
              <w:jc w:val="righ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261 000</w:t>
            </w:r>
          </w:p>
        </w:tc>
      </w:tr>
      <w:tr w:rsidR="00C47836" w:rsidRPr="00D1707B" w14:paraId="5E84D605" w14:textId="77777777" w:rsidTr="00C166A5">
        <w:trPr>
          <w:trHeight w:val="227"/>
        </w:trPr>
        <w:tc>
          <w:tcPr>
            <w:tcW w:w="9639" w:type="dxa"/>
            <w:gridSpan w:val="3"/>
            <w:tcBorders>
              <w:top w:val="single" w:sz="4" w:space="0" w:color="auto"/>
              <w:bottom w:val="single" w:sz="4" w:space="0" w:color="auto"/>
            </w:tcBorders>
            <w:shd w:val="clear" w:color="auto" w:fill="auto"/>
            <w:noWrap/>
            <w:vAlign w:val="center"/>
            <w:hideMark/>
          </w:tcPr>
          <w:p w14:paraId="523F3944" w14:textId="5DBEE848" w:rsidR="00C47836" w:rsidRPr="00D1707B" w:rsidRDefault="00C47836" w:rsidP="00C47836">
            <w:pPr>
              <w:spacing w:before="20" w:after="20"/>
              <w:jc w:val="left"/>
              <w:rPr>
                <w:rFonts w:asciiTheme="majorBidi" w:eastAsia="Times New Roman" w:hAnsiTheme="majorBidi" w:cstheme="majorBidi"/>
                <w:sz w:val="20"/>
                <w:szCs w:val="20"/>
              </w:rPr>
            </w:pPr>
            <w:r>
              <w:rPr>
                <w:rFonts w:asciiTheme="majorBidi" w:eastAsia="Times New Roman" w:hAnsiTheme="majorBidi" w:cstheme="majorBidi"/>
                <w:b/>
                <w:bCs/>
                <w:color w:val="000000"/>
                <w:sz w:val="20"/>
                <w:szCs w:val="20"/>
                <w:lang w:val="fr-FR"/>
              </w:rPr>
              <w:t>Intégration de la biodiversité dans et entre les secteurs</w:t>
            </w:r>
          </w:p>
        </w:tc>
      </w:tr>
      <w:tr w:rsidR="00C47836" w:rsidRPr="00D1707B" w14:paraId="3721FEE1" w14:textId="77777777" w:rsidTr="00C166A5">
        <w:trPr>
          <w:trHeight w:val="227"/>
        </w:trPr>
        <w:tc>
          <w:tcPr>
            <w:tcW w:w="7229" w:type="dxa"/>
            <w:tcBorders>
              <w:top w:val="single" w:sz="4" w:space="0" w:color="auto"/>
            </w:tcBorders>
            <w:shd w:val="clear" w:color="auto" w:fill="auto"/>
            <w:noWrap/>
            <w:vAlign w:val="center"/>
            <w:hideMark/>
          </w:tcPr>
          <w:p w14:paraId="2913625F" w14:textId="36587D56" w:rsidR="00C47836" w:rsidRPr="00D1707B" w:rsidRDefault="00C47836" w:rsidP="00C47836">
            <w:pPr>
              <w:spacing w:before="20" w:after="20"/>
              <w:jc w:val="lef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lang w:val="fr-FR"/>
              </w:rPr>
              <w:t>Chargé de programme</w:t>
            </w:r>
          </w:p>
        </w:tc>
        <w:tc>
          <w:tcPr>
            <w:tcW w:w="1134" w:type="dxa"/>
            <w:tcBorders>
              <w:top w:val="single" w:sz="4" w:space="0" w:color="auto"/>
            </w:tcBorders>
            <w:shd w:val="clear" w:color="auto" w:fill="auto"/>
            <w:noWrap/>
            <w:vAlign w:val="center"/>
            <w:hideMark/>
          </w:tcPr>
          <w:p w14:paraId="67B1A735" w14:textId="77777777" w:rsidR="00C47836" w:rsidRPr="00D1707B" w:rsidRDefault="00C47836" w:rsidP="00C47836">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P-4</w:t>
            </w:r>
          </w:p>
        </w:tc>
        <w:tc>
          <w:tcPr>
            <w:tcW w:w="1276" w:type="dxa"/>
            <w:tcBorders>
              <w:top w:val="single" w:sz="4" w:space="0" w:color="auto"/>
            </w:tcBorders>
            <w:shd w:val="clear" w:color="auto" w:fill="auto"/>
            <w:noWrap/>
            <w:vAlign w:val="center"/>
            <w:hideMark/>
          </w:tcPr>
          <w:p w14:paraId="25688E26" w14:textId="77777777" w:rsidR="00C47836" w:rsidRPr="00D1707B" w:rsidRDefault="00C47836" w:rsidP="00C47836">
            <w:pPr>
              <w:spacing w:before="20" w:after="20"/>
              <w:jc w:val="righ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 xml:space="preserve">375 000 </w:t>
            </w:r>
          </w:p>
        </w:tc>
      </w:tr>
      <w:tr w:rsidR="00C47836" w:rsidRPr="00D1707B" w14:paraId="45F2DB28" w14:textId="77777777" w:rsidTr="00C166A5">
        <w:trPr>
          <w:trHeight w:val="227"/>
        </w:trPr>
        <w:tc>
          <w:tcPr>
            <w:tcW w:w="9639" w:type="dxa"/>
            <w:gridSpan w:val="3"/>
            <w:tcBorders>
              <w:top w:val="single" w:sz="4" w:space="0" w:color="auto"/>
              <w:bottom w:val="single" w:sz="4" w:space="0" w:color="auto"/>
            </w:tcBorders>
            <w:shd w:val="clear" w:color="auto" w:fill="auto"/>
            <w:noWrap/>
            <w:vAlign w:val="center"/>
            <w:hideMark/>
          </w:tcPr>
          <w:p w14:paraId="2E3BC49F" w14:textId="14A7AC09" w:rsidR="00C47836" w:rsidRPr="00D1707B" w:rsidRDefault="00C47836" w:rsidP="00C47836">
            <w:pPr>
              <w:keepNext/>
              <w:spacing w:before="20" w:after="20"/>
              <w:jc w:val="left"/>
              <w:rPr>
                <w:rFonts w:asciiTheme="majorBidi" w:eastAsia="Times New Roman" w:hAnsiTheme="majorBidi" w:cstheme="majorBidi"/>
                <w:sz w:val="20"/>
                <w:szCs w:val="20"/>
              </w:rPr>
            </w:pPr>
            <w:r>
              <w:rPr>
                <w:rFonts w:asciiTheme="majorBidi" w:eastAsia="Times New Roman" w:hAnsiTheme="majorBidi" w:cstheme="majorBidi"/>
                <w:b/>
                <w:bCs/>
                <w:color w:val="000000"/>
                <w:sz w:val="20"/>
                <w:szCs w:val="20"/>
                <w:lang w:val="fr-FR"/>
              </w:rPr>
              <w:t>Gestion durable de la faune et de la flore</w:t>
            </w:r>
          </w:p>
        </w:tc>
      </w:tr>
      <w:tr w:rsidR="00C47836" w:rsidRPr="00D1707B" w14:paraId="2A9B19B1" w14:textId="77777777" w:rsidTr="00C166A5">
        <w:trPr>
          <w:trHeight w:val="227"/>
        </w:trPr>
        <w:tc>
          <w:tcPr>
            <w:tcW w:w="7229" w:type="dxa"/>
            <w:tcBorders>
              <w:top w:val="single" w:sz="4" w:space="0" w:color="auto"/>
            </w:tcBorders>
            <w:shd w:val="clear" w:color="auto" w:fill="auto"/>
            <w:noWrap/>
            <w:vAlign w:val="center"/>
            <w:hideMark/>
          </w:tcPr>
          <w:p w14:paraId="10CE6DBE" w14:textId="668F83FA" w:rsidR="00C47836" w:rsidRPr="00D1707B" w:rsidRDefault="00C47836" w:rsidP="00C47836">
            <w:pPr>
              <w:spacing w:before="20" w:after="20"/>
              <w:jc w:val="lef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lang w:val="fr-FR"/>
              </w:rPr>
              <w:t>Chargé de programme</w:t>
            </w:r>
          </w:p>
        </w:tc>
        <w:tc>
          <w:tcPr>
            <w:tcW w:w="1134" w:type="dxa"/>
            <w:tcBorders>
              <w:top w:val="single" w:sz="4" w:space="0" w:color="auto"/>
            </w:tcBorders>
            <w:shd w:val="clear" w:color="auto" w:fill="auto"/>
            <w:noWrap/>
            <w:vAlign w:val="center"/>
            <w:hideMark/>
          </w:tcPr>
          <w:p w14:paraId="5A54CE31" w14:textId="77777777" w:rsidR="00C47836" w:rsidRPr="00D1707B" w:rsidRDefault="00C47836" w:rsidP="00C47836">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P-3</w:t>
            </w:r>
          </w:p>
        </w:tc>
        <w:tc>
          <w:tcPr>
            <w:tcW w:w="1276" w:type="dxa"/>
            <w:tcBorders>
              <w:top w:val="single" w:sz="4" w:space="0" w:color="auto"/>
            </w:tcBorders>
            <w:shd w:val="clear" w:color="auto" w:fill="auto"/>
            <w:noWrap/>
            <w:vAlign w:val="center"/>
            <w:hideMark/>
          </w:tcPr>
          <w:p w14:paraId="0277022D" w14:textId="77777777" w:rsidR="00C47836" w:rsidRPr="00D1707B" w:rsidRDefault="00C47836" w:rsidP="00C47836">
            <w:pPr>
              <w:spacing w:before="20" w:after="20"/>
              <w:jc w:val="righ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318 000</w:t>
            </w:r>
          </w:p>
        </w:tc>
      </w:tr>
      <w:tr w:rsidR="00C47836" w:rsidRPr="00D1707B" w14:paraId="6BE1BA00" w14:textId="77777777" w:rsidTr="00C166A5">
        <w:trPr>
          <w:trHeight w:val="227"/>
        </w:trPr>
        <w:tc>
          <w:tcPr>
            <w:tcW w:w="9639" w:type="dxa"/>
            <w:gridSpan w:val="3"/>
            <w:tcBorders>
              <w:top w:val="single" w:sz="4" w:space="0" w:color="auto"/>
              <w:bottom w:val="single" w:sz="4" w:space="0" w:color="auto"/>
            </w:tcBorders>
            <w:shd w:val="clear" w:color="auto" w:fill="auto"/>
            <w:noWrap/>
            <w:vAlign w:val="center"/>
            <w:hideMark/>
          </w:tcPr>
          <w:p w14:paraId="1B356EA0" w14:textId="550F11FE" w:rsidR="00C47836" w:rsidRPr="00D1707B" w:rsidRDefault="00C47836" w:rsidP="00C47836">
            <w:pPr>
              <w:keepNext/>
              <w:spacing w:before="20" w:after="20"/>
              <w:jc w:val="left"/>
              <w:rPr>
                <w:rFonts w:asciiTheme="majorBidi" w:eastAsia="Times New Roman" w:hAnsiTheme="majorBidi" w:cstheme="majorBidi"/>
                <w:sz w:val="20"/>
                <w:szCs w:val="20"/>
              </w:rPr>
            </w:pPr>
            <w:r>
              <w:rPr>
                <w:rFonts w:asciiTheme="majorBidi" w:eastAsia="Times New Roman" w:hAnsiTheme="majorBidi" w:cstheme="majorBidi"/>
                <w:b/>
                <w:bCs/>
                <w:color w:val="000000"/>
                <w:sz w:val="20"/>
                <w:szCs w:val="20"/>
                <w:lang w:val="fr-FR"/>
              </w:rPr>
              <w:t>Espèces exotiques envahissantes</w:t>
            </w:r>
          </w:p>
        </w:tc>
      </w:tr>
      <w:tr w:rsidR="00C47836" w:rsidRPr="00D1707B" w14:paraId="58BFCAA5" w14:textId="77777777" w:rsidTr="00C166A5">
        <w:trPr>
          <w:trHeight w:val="227"/>
        </w:trPr>
        <w:tc>
          <w:tcPr>
            <w:tcW w:w="7229" w:type="dxa"/>
            <w:tcBorders>
              <w:top w:val="single" w:sz="4" w:space="0" w:color="auto"/>
            </w:tcBorders>
            <w:shd w:val="clear" w:color="auto" w:fill="auto"/>
            <w:noWrap/>
            <w:vAlign w:val="center"/>
            <w:hideMark/>
          </w:tcPr>
          <w:p w14:paraId="4DA995F3" w14:textId="48B44709" w:rsidR="00C47836" w:rsidRPr="00D1707B" w:rsidRDefault="00C47836" w:rsidP="00C47836">
            <w:pPr>
              <w:spacing w:before="20" w:after="20"/>
              <w:jc w:val="left"/>
              <w:rPr>
                <w:rFonts w:asciiTheme="majorBidi" w:eastAsia="Times New Roman" w:hAnsiTheme="majorBidi" w:cstheme="majorBidi"/>
                <w:color w:val="000000"/>
                <w:sz w:val="20"/>
                <w:szCs w:val="20"/>
              </w:rPr>
            </w:pPr>
            <w:r w:rsidRPr="005A014B">
              <w:rPr>
                <w:rFonts w:asciiTheme="majorBidi" w:eastAsia="Times New Roman" w:hAnsiTheme="majorBidi" w:cstheme="majorBidi"/>
                <w:color w:val="000000"/>
                <w:sz w:val="20"/>
                <w:szCs w:val="20"/>
                <w:lang w:val="fr-FR"/>
              </w:rPr>
              <w:t>Assistant</w:t>
            </w:r>
            <w:r>
              <w:rPr>
                <w:rFonts w:asciiTheme="majorBidi" w:eastAsia="Times New Roman" w:hAnsiTheme="majorBidi" w:cstheme="majorBidi"/>
                <w:color w:val="000000"/>
                <w:sz w:val="20"/>
                <w:szCs w:val="20"/>
                <w:lang w:val="fr-FR"/>
              </w:rPr>
              <w:t xml:space="preserve"> de programme</w:t>
            </w:r>
          </w:p>
        </w:tc>
        <w:tc>
          <w:tcPr>
            <w:tcW w:w="1134" w:type="dxa"/>
            <w:tcBorders>
              <w:top w:val="single" w:sz="4" w:space="0" w:color="auto"/>
            </w:tcBorders>
            <w:shd w:val="clear" w:color="auto" w:fill="auto"/>
            <w:noWrap/>
            <w:vAlign w:val="center"/>
            <w:hideMark/>
          </w:tcPr>
          <w:p w14:paraId="7DEA602B" w14:textId="77777777" w:rsidR="00C47836" w:rsidRPr="00D1707B" w:rsidRDefault="00C47836" w:rsidP="00C47836">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GS</w:t>
            </w:r>
          </w:p>
        </w:tc>
        <w:tc>
          <w:tcPr>
            <w:tcW w:w="1276" w:type="dxa"/>
            <w:tcBorders>
              <w:top w:val="single" w:sz="4" w:space="0" w:color="auto"/>
            </w:tcBorders>
            <w:shd w:val="clear" w:color="auto" w:fill="auto"/>
            <w:noWrap/>
            <w:vAlign w:val="center"/>
            <w:hideMark/>
          </w:tcPr>
          <w:p w14:paraId="23784A1C" w14:textId="77777777" w:rsidR="00C47836" w:rsidRPr="00D1707B" w:rsidRDefault="00C47836" w:rsidP="00C47836">
            <w:pPr>
              <w:spacing w:before="20" w:after="20"/>
              <w:jc w:val="righ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115 500</w:t>
            </w:r>
          </w:p>
        </w:tc>
      </w:tr>
      <w:tr w:rsidR="00C47836" w:rsidRPr="00D1707B" w14:paraId="08A867D7" w14:textId="77777777" w:rsidTr="00C166A5">
        <w:trPr>
          <w:trHeight w:val="227"/>
        </w:trPr>
        <w:tc>
          <w:tcPr>
            <w:tcW w:w="9639" w:type="dxa"/>
            <w:gridSpan w:val="3"/>
            <w:tcBorders>
              <w:top w:val="single" w:sz="4" w:space="0" w:color="auto"/>
              <w:bottom w:val="single" w:sz="4" w:space="0" w:color="auto"/>
            </w:tcBorders>
            <w:shd w:val="clear" w:color="auto" w:fill="auto"/>
            <w:noWrap/>
            <w:vAlign w:val="center"/>
            <w:hideMark/>
          </w:tcPr>
          <w:p w14:paraId="50CDF7CE" w14:textId="2DC306EB" w:rsidR="00C47836" w:rsidRPr="00D1707B" w:rsidRDefault="00C47836" w:rsidP="00C47836">
            <w:pPr>
              <w:spacing w:before="20" w:after="20"/>
              <w:jc w:val="left"/>
              <w:rPr>
                <w:rFonts w:asciiTheme="majorBidi" w:eastAsia="Times New Roman" w:hAnsiTheme="majorBidi" w:cstheme="majorBidi"/>
                <w:sz w:val="20"/>
                <w:szCs w:val="20"/>
              </w:rPr>
            </w:pPr>
            <w:r>
              <w:rPr>
                <w:rFonts w:asciiTheme="majorBidi" w:eastAsia="Times New Roman" w:hAnsiTheme="majorBidi" w:cstheme="majorBidi"/>
                <w:b/>
                <w:bCs/>
                <w:color w:val="000000"/>
                <w:sz w:val="20"/>
                <w:szCs w:val="20"/>
                <w:lang w:val="fr-FR"/>
              </w:rPr>
              <w:t>Biodiversité et santé</w:t>
            </w:r>
          </w:p>
        </w:tc>
      </w:tr>
      <w:tr w:rsidR="00C47836" w:rsidRPr="00D1707B" w14:paraId="65406DA2" w14:textId="77777777" w:rsidTr="00C166A5">
        <w:trPr>
          <w:trHeight w:val="227"/>
        </w:trPr>
        <w:tc>
          <w:tcPr>
            <w:tcW w:w="7229" w:type="dxa"/>
            <w:tcBorders>
              <w:top w:val="single" w:sz="4" w:space="0" w:color="auto"/>
            </w:tcBorders>
            <w:shd w:val="clear" w:color="auto" w:fill="auto"/>
            <w:noWrap/>
            <w:vAlign w:val="center"/>
            <w:hideMark/>
          </w:tcPr>
          <w:p w14:paraId="3FA459F4" w14:textId="7C7CFFC7" w:rsidR="00C47836" w:rsidRPr="00D1707B" w:rsidRDefault="00C47836" w:rsidP="00C47836">
            <w:pPr>
              <w:spacing w:before="20" w:after="20"/>
              <w:jc w:val="lef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lang w:val="fr-FR"/>
              </w:rPr>
              <w:t>Chargé de programme</w:t>
            </w:r>
          </w:p>
        </w:tc>
        <w:tc>
          <w:tcPr>
            <w:tcW w:w="1134" w:type="dxa"/>
            <w:tcBorders>
              <w:top w:val="single" w:sz="4" w:space="0" w:color="auto"/>
            </w:tcBorders>
            <w:shd w:val="clear" w:color="auto" w:fill="auto"/>
            <w:noWrap/>
            <w:vAlign w:val="center"/>
            <w:hideMark/>
          </w:tcPr>
          <w:p w14:paraId="1F1BBDFC" w14:textId="77777777" w:rsidR="00C47836" w:rsidRPr="00D1707B" w:rsidRDefault="00C47836" w:rsidP="00C47836">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P-3</w:t>
            </w:r>
          </w:p>
        </w:tc>
        <w:tc>
          <w:tcPr>
            <w:tcW w:w="1276" w:type="dxa"/>
            <w:tcBorders>
              <w:top w:val="single" w:sz="4" w:space="0" w:color="auto"/>
            </w:tcBorders>
            <w:shd w:val="clear" w:color="auto" w:fill="auto"/>
            <w:noWrap/>
            <w:vAlign w:val="center"/>
            <w:hideMark/>
          </w:tcPr>
          <w:p w14:paraId="065425F2" w14:textId="77777777" w:rsidR="00C47836" w:rsidRPr="00D1707B" w:rsidRDefault="00C47836" w:rsidP="00C47836">
            <w:pPr>
              <w:spacing w:before="20" w:after="20"/>
              <w:jc w:val="righ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318 000</w:t>
            </w:r>
          </w:p>
        </w:tc>
      </w:tr>
      <w:tr w:rsidR="00C47836" w:rsidRPr="00D1707B" w14:paraId="60554BBC" w14:textId="77777777" w:rsidTr="00C166A5">
        <w:trPr>
          <w:trHeight w:val="227"/>
        </w:trPr>
        <w:tc>
          <w:tcPr>
            <w:tcW w:w="9639" w:type="dxa"/>
            <w:gridSpan w:val="3"/>
            <w:tcBorders>
              <w:top w:val="single" w:sz="4" w:space="0" w:color="auto"/>
              <w:bottom w:val="single" w:sz="4" w:space="0" w:color="auto"/>
            </w:tcBorders>
            <w:shd w:val="clear" w:color="auto" w:fill="auto"/>
            <w:noWrap/>
            <w:vAlign w:val="center"/>
            <w:hideMark/>
          </w:tcPr>
          <w:p w14:paraId="73BACCF2" w14:textId="27ECFA5A" w:rsidR="00C47836" w:rsidRPr="00D1707B" w:rsidRDefault="00C47836" w:rsidP="00C47836">
            <w:pPr>
              <w:spacing w:before="20" w:after="20"/>
              <w:jc w:val="left"/>
              <w:rPr>
                <w:rFonts w:asciiTheme="majorBidi" w:eastAsia="Times New Roman" w:hAnsiTheme="majorBidi" w:cstheme="majorBidi"/>
                <w:sz w:val="20"/>
                <w:szCs w:val="20"/>
              </w:rPr>
            </w:pPr>
            <w:r>
              <w:rPr>
                <w:rFonts w:asciiTheme="majorBidi" w:eastAsia="Times New Roman" w:hAnsiTheme="majorBidi" w:cstheme="majorBidi"/>
                <w:b/>
                <w:bCs/>
                <w:color w:val="000000"/>
                <w:sz w:val="20"/>
                <w:szCs w:val="20"/>
                <w:lang w:val="fr-FR"/>
              </w:rPr>
              <w:t>Biologie de synthèse</w:t>
            </w:r>
          </w:p>
        </w:tc>
      </w:tr>
      <w:tr w:rsidR="00C47836" w:rsidRPr="00D1707B" w14:paraId="7ADB5506" w14:textId="77777777" w:rsidTr="00C166A5">
        <w:trPr>
          <w:trHeight w:val="227"/>
        </w:trPr>
        <w:tc>
          <w:tcPr>
            <w:tcW w:w="7229" w:type="dxa"/>
            <w:tcBorders>
              <w:top w:val="single" w:sz="4" w:space="0" w:color="auto"/>
            </w:tcBorders>
            <w:shd w:val="clear" w:color="auto" w:fill="auto"/>
            <w:noWrap/>
            <w:vAlign w:val="center"/>
            <w:hideMark/>
          </w:tcPr>
          <w:p w14:paraId="434753D2" w14:textId="05B77130" w:rsidR="00C47836" w:rsidRPr="00D1707B" w:rsidRDefault="00C47836" w:rsidP="00C47836">
            <w:pPr>
              <w:spacing w:before="20" w:after="20"/>
              <w:jc w:val="lef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lang w:val="fr-FR"/>
              </w:rPr>
              <w:t>Chargé de programme</w:t>
            </w:r>
          </w:p>
        </w:tc>
        <w:tc>
          <w:tcPr>
            <w:tcW w:w="1134" w:type="dxa"/>
            <w:tcBorders>
              <w:top w:val="single" w:sz="4" w:space="0" w:color="auto"/>
            </w:tcBorders>
            <w:shd w:val="clear" w:color="auto" w:fill="auto"/>
            <w:noWrap/>
            <w:vAlign w:val="center"/>
            <w:hideMark/>
          </w:tcPr>
          <w:p w14:paraId="2267880A" w14:textId="77777777" w:rsidR="00C47836" w:rsidRPr="00D1707B" w:rsidRDefault="00C47836" w:rsidP="00C47836">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P-2</w:t>
            </w:r>
          </w:p>
        </w:tc>
        <w:tc>
          <w:tcPr>
            <w:tcW w:w="1276" w:type="dxa"/>
            <w:tcBorders>
              <w:top w:val="single" w:sz="4" w:space="0" w:color="auto"/>
            </w:tcBorders>
            <w:shd w:val="clear" w:color="auto" w:fill="auto"/>
            <w:noWrap/>
            <w:vAlign w:val="center"/>
            <w:hideMark/>
          </w:tcPr>
          <w:p w14:paraId="78DABEEC" w14:textId="77777777" w:rsidR="00C47836" w:rsidRPr="00D1707B" w:rsidRDefault="00C47836" w:rsidP="00C47836">
            <w:pPr>
              <w:spacing w:before="20" w:after="20"/>
              <w:jc w:val="righ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261 000</w:t>
            </w:r>
          </w:p>
        </w:tc>
      </w:tr>
      <w:tr w:rsidR="00C47836" w:rsidRPr="00D1707B" w14:paraId="4C31E425" w14:textId="77777777" w:rsidTr="00C166A5">
        <w:trPr>
          <w:trHeight w:val="227"/>
        </w:trPr>
        <w:tc>
          <w:tcPr>
            <w:tcW w:w="9639" w:type="dxa"/>
            <w:gridSpan w:val="3"/>
            <w:tcBorders>
              <w:top w:val="single" w:sz="4" w:space="0" w:color="auto"/>
              <w:bottom w:val="single" w:sz="4" w:space="0" w:color="auto"/>
            </w:tcBorders>
            <w:shd w:val="clear" w:color="auto" w:fill="auto"/>
            <w:vAlign w:val="center"/>
            <w:hideMark/>
          </w:tcPr>
          <w:p w14:paraId="4B59B998" w14:textId="2B3A9A6C" w:rsidR="00C47836" w:rsidRPr="00D1707B" w:rsidRDefault="00C47836" w:rsidP="00C47836">
            <w:pPr>
              <w:spacing w:before="20" w:after="20"/>
              <w:jc w:val="left"/>
              <w:rPr>
                <w:rFonts w:asciiTheme="majorBidi" w:eastAsia="Times New Roman" w:hAnsiTheme="majorBidi" w:cstheme="majorBidi"/>
                <w:sz w:val="20"/>
                <w:szCs w:val="20"/>
              </w:rPr>
            </w:pPr>
            <w:r>
              <w:rPr>
                <w:rFonts w:asciiTheme="majorBidi" w:eastAsia="Times New Roman" w:hAnsiTheme="majorBidi" w:cstheme="majorBidi"/>
                <w:b/>
                <w:bCs/>
                <w:color w:val="000000"/>
                <w:sz w:val="20"/>
                <w:szCs w:val="20"/>
                <w:lang w:val="fr-FR"/>
              </w:rPr>
              <w:t>Mécanismes de planification, de suivi, d’établissement de rapports et d’examen, y compris</w:t>
            </w:r>
            <w:r w:rsidRPr="00FB6EDB">
              <w:rPr>
                <w:rFonts w:asciiTheme="majorBidi" w:eastAsia="Times New Roman" w:hAnsiTheme="majorBidi" w:cstheme="majorBidi"/>
                <w:b/>
                <w:bCs/>
                <w:color w:val="000000"/>
                <w:sz w:val="20"/>
                <w:szCs w:val="20"/>
                <w:lang w:val="fr-FR"/>
              </w:rPr>
              <w:t xml:space="preserve"> l</w:t>
            </w:r>
            <w:r>
              <w:rPr>
                <w:rFonts w:asciiTheme="majorBidi" w:eastAsia="Times New Roman" w:hAnsiTheme="majorBidi" w:cstheme="majorBidi"/>
                <w:b/>
                <w:bCs/>
                <w:color w:val="000000"/>
                <w:sz w:val="20"/>
                <w:szCs w:val="20"/>
                <w:lang w:val="fr-FR"/>
              </w:rPr>
              <w:t>’</w:t>
            </w:r>
            <w:r w:rsidRPr="00FB6EDB">
              <w:rPr>
                <w:rFonts w:asciiTheme="majorBidi" w:eastAsia="Times New Roman" w:hAnsiTheme="majorBidi" w:cstheme="majorBidi"/>
                <w:b/>
                <w:bCs/>
                <w:color w:val="000000"/>
                <w:sz w:val="20"/>
                <w:szCs w:val="20"/>
                <w:lang w:val="fr-FR"/>
              </w:rPr>
              <w:t>examen mondial des progrès collectifs dans la mise en œuvre du Cadre</w:t>
            </w:r>
            <w:r>
              <w:rPr>
                <w:rFonts w:asciiTheme="majorBidi" w:eastAsia="Times New Roman" w:hAnsiTheme="majorBidi" w:cstheme="majorBidi"/>
                <w:b/>
                <w:bCs/>
                <w:color w:val="000000"/>
                <w:sz w:val="20"/>
                <w:szCs w:val="20"/>
                <w:lang w:val="fr-FR"/>
              </w:rPr>
              <w:t xml:space="preserve"> </w:t>
            </w:r>
            <w:r w:rsidRPr="00FB6EDB">
              <w:rPr>
                <w:rFonts w:asciiTheme="majorBidi" w:eastAsia="Times New Roman" w:hAnsiTheme="majorBidi" w:cstheme="majorBidi"/>
                <w:b/>
                <w:bCs/>
                <w:color w:val="000000"/>
                <w:sz w:val="20"/>
                <w:szCs w:val="20"/>
                <w:lang w:val="fr-FR"/>
              </w:rPr>
              <w:t>mondial de la biodiversité de Kunming-Montréa</w:t>
            </w:r>
            <w:r>
              <w:rPr>
                <w:rFonts w:asciiTheme="majorBidi" w:eastAsia="Times New Roman" w:hAnsiTheme="majorBidi" w:cstheme="majorBidi"/>
                <w:b/>
                <w:bCs/>
                <w:color w:val="000000"/>
                <w:sz w:val="20"/>
                <w:szCs w:val="20"/>
                <w:lang w:val="fr-FR"/>
              </w:rPr>
              <w:t xml:space="preserve">l devant être effectué lors des dix-septième et </w:t>
            </w:r>
            <w:proofErr w:type="gramStart"/>
            <w:r>
              <w:rPr>
                <w:rFonts w:asciiTheme="majorBidi" w:eastAsia="Times New Roman" w:hAnsiTheme="majorBidi" w:cstheme="majorBidi"/>
                <w:b/>
                <w:bCs/>
                <w:color w:val="000000"/>
                <w:sz w:val="20"/>
                <w:szCs w:val="20"/>
                <w:lang w:val="fr-FR"/>
              </w:rPr>
              <w:t>dix-neuvième réunions</w:t>
            </w:r>
            <w:proofErr w:type="gramEnd"/>
            <w:r>
              <w:rPr>
                <w:rFonts w:asciiTheme="majorBidi" w:eastAsia="Times New Roman" w:hAnsiTheme="majorBidi" w:cstheme="majorBidi"/>
                <w:b/>
                <w:bCs/>
                <w:color w:val="000000"/>
                <w:sz w:val="20"/>
                <w:szCs w:val="20"/>
                <w:lang w:val="fr-FR"/>
              </w:rPr>
              <w:t xml:space="preserve"> de la Conférence des Parties</w:t>
            </w:r>
          </w:p>
        </w:tc>
      </w:tr>
      <w:tr w:rsidR="00C47836" w:rsidRPr="00D1707B" w14:paraId="71A24350" w14:textId="77777777" w:rsidTr="00C166A5">
        <w:trPr>
          <w:trHeight w:val="227"/>
        </w:trPr>
        <w:tc>
          <w:tcPr>
            <w:tcW w:w="7229" w:type="dxa"/>
            <w:tcBorders>
              <w:top w:val="single" w:sz="4" w:space="0" w:color="auto"/>
            </w:tcBorders>
            <w:shd w:val="clear" w:color="auto" w:fill="auto"/>
            <w:noWrap/>
            <w:vAlign w:val="center"/>
            <w:hideMark/>
          </w:tcPr>
          <w:p w14:paraId="310A36CF" w14:textId="1C235AF2" w:rsidR="00C47836" w:rsidRPr="00D1707B" w:rsidRDefault="00C47836" w:rsidP="00C47836">
            <w:pPr>
              <w:spacing w:before="20" w:after="20"/>
              <w:jc w:val="lef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lang w:val="fr-FR"/>
              </w:rPr>
              <w:t>Chargé de programme</w:t>
            </w:r>
          </w:p>
        </w:tc>
        <w:tc>
          <w:tcPr>
            <w:tcW w:w="1134" w:type="dxa"/>
            <w:tcBorders>
              <w:top w:val="single" w:sz="4" w:space="0" w:color="auto"/>
            </w:tcBorders>
            <w:shd w:val="clear" w:color="auto" w:fill="auto"/>
            <w:noWrap/>
            <w:vAlign w:val="center"/>
            <w:hideMark/>
          </w:tcPr>
          <w:p w14:paraId="6FE57518" w14:textId="77777777" w:rsidR="00C47836" w:rsidRPr="00D1707B" w:rsidRDefault="00C47836" w:rsidP="00C47836">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P-4</w:t>
            </w:r>
          </w:p>
        </w:tc>
        <w:tc>
          <w:tcPr>
            <w:tcW w:w="1276" w:type="dxa"/>
            <w:tcBorders>
              <w:top w:val="single" w:sz="4" w:space="0" w:color="auto"/>
            </w:tcBorders>
            <w:shd w:val="clear" w:color="auto" w:fill="auto"/>
            <w:noWrap/>
            <w:vAlign w:val="center"/>
            <w:hideMark/>
          </w:tcPr>
          <w:p w14:paraId="50CA0803" w14:textId="77777777" w:rsidR="00C47836" w:rsidRPr="00D1707B" w:rsidRDefault="00C47836" w:rsidP="00C47836">
            <w:pPr>
              <w:spacing w:before="20" w:after="20"/>
              <w:jc w:val="righ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375 000</w:t>
            </w:r>
          </w:p>
        </w:tc>
      </w:tr>
      <w:tr w:rsidR="00C47836" w:rsidRPr="00D1707B" w14:paraId="62FE8180" w14:textId="77777777" w:rsidTr="00C166A5">
        <w:trPr>
          <w:trHeight w:val="227"/>
        </w:trPr>
        <w:tc>
          <w:tcPr>
            <w:tcW w:w="7229" w:type="dxa"/>
            <w:shd w:val="clear" w:color="auto" w:fill="auto"/>
            <w:noWrap/>
            <w:vAlign w:val="center"/>
            <w:hideMark/>
          </w:tcPr>
          <w:p w14:paraId="78FD474D" w14:textId="4CEB7265" w:rsidR="00C47836" w:rsidRPr="00D1707B" w:rsidRDefault="00C47836" w:rsidP="00C47836">
            <w:pPr>
              <w:spacing w:before="20" w:after="20"/>
              <w:jc w:val="lef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lang w:val="fr-FR"/>
              </w:rPr>
              <w:t>Chargé de programme</w:t>
            </w:r>
          </w:p>
        </w:tc>
        <w:tc>
          <w:tcPr>
            <w:tcW w:w="1134" w:type="dxa"/>
            <w:shd w:val="clear" w:color="auto" w:fill="auto"/>
            <w:noWrap/>
            <w:vAlign w:val="center"/>
            <w:hideMark/>
          </w:tcPr>
          <w:p w14:paraId="27A53CE6" w14:textId="77777777" w:rsidR="00C47836" w:rsidRPr="00D1707B" w:rsidRDefault="00C47836" w:rsidP="00C47836">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P-3</w:t>
            </w:r>
          </w:p>
        </w:tc>
        <w:tc>
          <w:tcPr>
            <w:tcW w:w="1276" w:type="dxa"/>
            <w:shd w:val="clear" w:color="auto" w:fill="auto"/>
            <w:noWrap/>
            <w:vAlign w:val="center"/>
            <w:hideMark/>
          </w:tcPr>
          <w:p w14:paraId="091E1B00" w14:textId="77777777" w:rsidR="00C47836" w:rsidRPr="00D1707B" w:rsidRDefault="00C47836" w:rsidP="00C47836">
            <w:pPr>
              <w:spacing w:before="20" w:after="20"/>
              <w:jc w:val="righ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318 000</w:t>
            </w:r>
          </w:p>
        </w:tc>
      </w:tr>
      <w:tr w:rsidR="00C47836" w:rsidRPr="00D1707B" w14:paraId="7EB0FA80" w14:textId="77777777" w:rsidTr="00C166A5">
        <w:trPr>
          <w:trHeight w:val="227"/>
        </w:trPr>
        <w:tc>
          <w:tcPr>
            <w:tcW w:w="7229" w:type="dxa"/>
            <w:shd w:val="clear" w:color="auto" w:fill="auto"/>
            <w:noWrap/>
            <w:vAlign w:val="center"/>
            <w:hideMark/>
          </w:tcPr>
          <w:p w14:paraId="58BAF5AC" w14:textId="3E9138B8" w:rsidR="00C47836" w:rsidRPr="00D1707B" w:rsidRDefault="00C47836" w:rsidP="00C47836">
            <w:pPr>
              <w:spacing w:before="20" w:after="20"/>
              <w:jc w:val="lef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lang w:val="fr-FR"/>
              </w:rPr>
              <w:t>Chargé de programme adjoint</w:t>
            </w:r>
          </w:p>
        </w:tc>
        <w:tc>
          <w:tcPr>
            <w:tcW w:w="1134" w:type="dxa"/>
            <w:shd w:val="clear" w:color="auto" w:fill="auto"/>
            <w:noWrap/>
            <w:vAlign w:val="center"/>
            <w:hideMark/>
          </w:tcPr>
          <w:p w14:paraId="176FB016" w14:textId="77777777" w:rsidR="00C47836" w:rsidRPr="00D1707B" w:rsidRDefault="00C47836" w:rsidP="00C47836">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P-2</w:t>
            </w:r>
          </w:p>
        </w:tc>
        <w:tc>
          <w:tcPr>
            <w:tcW w:w="1276" w:type="dxa"/>
            <w:shd w:val="clear" w:color="auto" w:fill="auto"/>
            <w:noWrap/>
            <w:vAlign w:val="center"/>
            <w:hideMark/>
          </w:tcPr>
          <w:p w14:paraId="32C30559" w14:textId="77777777" w:rsidR="00C47836" w:rsidRPr="00D1707B" w:rsidRDefault="00C47836" w:rsidP="00C47836">
            <w:pPr>
              <w:spacing w:before="20" w:after="20"/>
              <w:jc w:val="righ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261 000</w:t>
            </w:r>
          </w:p>
        </w:tc>
      </w:tr>
      <w:tr w:rsidR="00C47836" w:rsidRPr="00D1707B" w14:paraId="422A81AC" w14:textId="77777777" w:rsidTr="00C166A5">
        <w:trPr>
          <w:trHeight w:val="227"/>
        </w:trPr>
        <w:tc>
          <w:tcPr>
            <w:tcW w:w="7229" w:type="dxa"/>
            <w:shd w:val="clear" w:color="auto" w:fill="auto"/>
            <w:noWrap/>
            <w:vAlign w:val="center"/>
            <w:hideMark/>
          </w:tcPr>
          <w:p w14:paraId="6686F22A" w14:textId="318075C4" w:rsidR="00C47836" w:rsidRPr="00D1707B" w:rsidRDefault="00C47836" w:rsidP="00C47836">
            <w:pPr>
              <w:spacing w:before="20" w:after="20"/>
              <w:jc w:val="left"/>
              <w:rPr>
                <w:rFonts w:asciiTheme="majorBidi" w:eastAsia="Times New Roman" w:hAnsiTheme="majorBidi" w:cstheme="majorBidi"/>
                <w:color w:val="000000"/>
                <w:sz w:val="20"/>
                <w:szCs w:val="20"/>
              </w:rPr>
            </w:pPr>
            <w:r w:rsidRPr="005A014B">
              <w:rPr>
                <w:rFonts w:asciiTheme="majorBidi" w:eastAsia="Times New Roman" w:hAnsiTheme="majorBidi" w:cstheme="majorBidi"/>
                <w:color w:val="000000"/>
                <w:sz w:val="20"/>
                <w:szCs w:val="20"/>
                <w:lang w:val="fr-FR"/>
              </w:rPr>
              <w:t>Assistant</w:t>
            </w:r>
            <w:r>
              <w:rPr>
                <w:rFonts w:asciiTheme="majorBidi" w:eastAsia="Times New Roman" w:hAnsiTheme="majorBidi" w:cstheme="majorBidi"/>
                <w:color w:val="000000"/>
                <w:sz w:val="20"/>
                <w:szCs w:val="20"/>
                <w:lang w:val="fr-FR"/>
              </w:rPr>
              <w:t xml:space="preserve"> de programme</w:t>
            </w:r>
          </w:p>
        </w:tc>
        <w:tc>
          <w:tcPr>
            <w:tcW w:w="1134" w:type="dxa"/>
            <w:shd w:val="clear" w:color="auto" w:fill="auto"/>
            <w:noWrap/>
            <w:vAlign w:val="center"/>
            <w:hideMark/>
          </w:tcPr>
          <w:p w14:paraId="6205243A" w14:textId="77777777" w:rsidR="00C47836" w:rsidRPr="00D1707B" w:rsidRDefault="00C47836" w:rsidP="00C47836">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GS</w:t>
            </w:r>
          </w:p>
        </w:tc>
        <w:tc>
          <w:tcPr>
            <w:tcW w:w="1276" w:type="dxa"/>
            <w:shd w:val="clear" w:color="auto" w:fill="auto"/>
            <w:noWrap/>
            <w:vAlign w:val="center"/>
            <w:hideMark/>
          </w:tcPr>
          <w:p w14:paraId="7A4B9F48" w14:textId="77777777" w:rsidR="00C47836" w:rsidRPr="00D1707B" w:rsidRDefault="00C47836" w:rsidP="00C47836">
            <w:pPr>
              <w:spacing w:before="20" w:after="20"/>
              <w:jc w:val="righ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115 500</w:t>
            </w:r>
          </w:p>
        </w:tc>
      </w:tr>
      <w:tr w:rsidR="00C47836" w:rsidRPr="00D1707B" w14:paraId="4458CF09" w14:textId="77777777" w:rsidTr="00C166A5">
        <w:trPr>
          <w:trHeight w:val="227"/>
        </w:trPr>
        <w:tc>
          <w:tcPr>
            <w:tcW w:w="9639" w:type="dxa"/>
            <w:gridSpan w:val="3"/>
            <w:tcBorders>
              <w:top w:val="single" w:sz="4" w:space="0" w:color="auto"/>
              <w:bottom w:val="single" w:sz="4" w:space="0" w:color="auto"/>
            </w:tcBorders>
            <w:shd w:val="clear" w:color="auto" w:fill="auto"/>
            <w:vAlign w:val="center"/>
            <w:hideMark/>
          </w:tcPr>
          <w:p w14:paraId="73BD6857" w14:textId="44565204" w:rsidR="00C47836" w:rsidRPr="00D1707B" w:rsidRDefault="00C47836" w:rsidP="00C47836">
            <w:pPr>
              <w:spacing w:before="20" w:after="20"/>
              <w:jc w:val="left"/>
              <w:rPr>
                <w:rFonts w:asciiTheme="majorBidi" w:eastAsia="Times New Roman" w:hAnsiTheme="majorBidi" w:cstheme="majorBidi"/>
                <w:sz w:val="20"/>
                <w:szCs w:val="20"/>
              </w:rPr>
            </w:pPr>
            <w:r w:rsidRPr="005A014B">
              <w:rPr>
                <w:rFonts w:asciiTheme="majorBidi" w:eastAsia="Times New Roman" w:hAnsiTheme="majorBidi" w:cstheme="majorBidi"/>
                <w:b/>
                <w:bCs/>
                <w:color w:val="000000"/>
                <w:sz w:val="20"/>
                <w:szCs w:val="20"/>
                <w:lang w:val="fr-FR"/>
              </w:rPr>
              <w:t>Coop</w:t>
            </w:r>
            <w:r>
              <w:rPr>
                <w:rFonts w:asciiTheme="majorBidi" w:eastAsia="Times New Roman" w:hAnsiTheme="majorBidi" w:cstheme="majorBidi"/>
                <w:b/>
                <w:bCs/>
                <w:color w:val="000000"/>
                <w:sz w:val="20"/>
                <w:szCs w:val="20"/>
                <w:lang w:val="fr-FR"/>
              </w:rPr>
              <w:t>é</w:t>
            </w:r>
            <w:r w:rsidRPr="005A014B">
              <w:rPr>
                <w:rFonts w:asciiTheme="majorBidi" w:eastAsia="Times New Roman" w:hAnsiTheme="majorBidi" w:cstheme="majorBidi"/>
                <w:b/>
                <w:bCs/>
                <w:color w:val="000000"/>
                <w:sz w:val="20"/>
                <w:szCs w:val="20"/>
                <w:lang w:val="fr-FR"/>
              </w:rPr>
              <w:t xml:space="preserve">ration </w:t>
            </w:r>
            <w:r>
              <w:rPr>
                <w:rFonts w:asciiTheme="majorBidi" w:eastAsia="Times New Roman" w:hAnsiTheme="majorBidi" w:cstheme="majorBidi"/>
                <w:b/>
                <w:bCs/>
                <w:color w:val="000000"/>
                <w:sz w:val="20"/>
                <w:szCs w:val="20"/>
                <w:lang w:val="fr-FR"/>
              </w:rPr>
              <w:t>avec d’autres conventions et organisations internationales</w:t>
            </w:r>
          </w:p>
        </w:tc>
      </w:tr>
      <w:tr w:rsidR="00C47836" w:rsidRPr="00D1707B" w14:paraId="43FB6172" w14:textId="77777777" w:rsidTr="00C166A5">
        <w:trPr>
          <w:trHeight w:val="270"/>
        </w:trPr>
        <w:tc>
          <w:tcPr>
            <w:tcW w:w="7229" w:type="dxa"/>
            <w:tcBorders>
              <w:top w:val="single" w:sz="4" w:space="0" w:color="auto"/>
            </w:tcBorders>
            <w:shd w:val="clear" w:color="auto" w:fill="auto"/>
            <w:noWrap/>
            <w:vAlign w:val="center"/>
            <w:hideMark/>
          </w:tcPr>
          <w:p w14:paraId="1E0B68CF" w14:textId="108B9B55" w:rsidR="00C47836" w:rsidRPr="00D1707B" w:rsidRDefault="00C47836" w:rsidP="00C47836">
            <w:pPr>
              <w:spacing w:before="20" w:after="20"/>
              <w:jc w:val="lef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lang w:val="fr-FR"/>
              </w:rPr>
              <w:t>Chargé de programme</w:t>
            </w:r>
          </w:p>
        </w:tc>
        <w:tc>
          <w:tcPr>
            <w:tcW w:w="1134" w:type="dxa"/>
            <w:tcBorders>
              <w:top w:val="single" w:sz="4" w:space="0" w:color="auto"/>
            </w:tcBorders>
            <w:shd w:val="clear" w:color="auto" w:fill="auto"/>
            <w:noWrap/>
            <w:vAlign w:val="center"/>
            <w:hideMark/>
          </w:tcPr>
          <w:p w14:paraId="36C08D30" w14:textId="77777777" w:rsidR="00C47836" w:rsidRPr="00D1707B" w:rsidRDefault="00C47836" w:rsidP="00C47836">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P-3</w:t>
            </w:r>
          </w:p>
        </w:tc>
        <w:tc>
          <w:tcPr>
            <w:tcW w:w="1276" w:type="dxa"/>
            <w:tcBorders>
              <w:top w:val="single" w:sz="4" w:space="0" w:color="auto"/>
            </w:tcBorders>
            <w:shd w:val="clear" w:color="auto" w:fill="auto"/>
            <w:noWrap/>
            <w:vAlign w:val="center"/>
            <w:hideMark/>
          </w:tcPr>
          <w:p w14:paraId="13F548ED" w14:textId="77777777" w:rsidR="00C47836" w:rsidRPr="00D1707B" w:rsidRDefault="00C47836" w:rsidP="00C47836">
            <w:pPr>
              <w:spacing w:before="20" w:after="20"/>
              <w:jc w:val="righ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318 000</w:t>
            </w:r>
          </w:p>
        </w:tc>
      </w:tr>
      <w:tr w:rsidR="00C47836" w:rsidRPr="00D1707B" w14:paraId="3E4F758F" w14:textId="77777777" w:rsidTr="00C166A5">
        <w:trPr>
          <w:trHeight w:val="227"/>
        </w:trPr>
        <w:tc>
          <w:tcPr>
            <w:tcW w:w="9639" w:type="dxa"/>
            <w:gridSpan w:val="3"/>
            <w:tcBorders>
              <w:top w:val="single" w:sz="4" w:space="0" w:color="auto"/>
              <w:bottom w:val="single" w:sz="4" w:space="0" w:color="auto"/>
            </w:tcBorders>
            <w:shd w:val="clear" w:color="auto" w:fill="auto"/>
            <w:vAlign w:val="center"/>
            <w:hideMark/>
          </w:tcPr>
          <w:p w14:paraId="1DD638D8" w14:textId="47303E96" w:rsidR="00C47836" w:rsidRPr="00D1707B" w:rsidRDefault="00C47836" w:rsidP="00C47836">
            <w:pPr>
              <w:spacing w:before="20" w:after="20"/>
              <w:jc w:val="left"/>
              <w:rPr>
                <w:rFonts w:asciiTheme="majorBidi" w:eastAsia="Times New Roman" w:hAnsiTheme="majorBidi" w:cstheme="majorBidi"/>
                <w:sz w:val="20"/>
                <w:szCs w:val="20"/>
              </w:rPr>
            </w:pPr>
            <w:r>
              <w:rPr>
                <w:rFonts w:asciiTheme="majorBidi" w:eastAsia="Times New Roman" w:hAnsiTheme="majorBidi" w:cstheme="majorBidi"/>
                <w:b/>
                <w:bCs/>
                <w:color w:val="000000"/>
                <w:sz w:val="20"/>
                <w:szCs w:val="20"/>
                <w:lang w:val="fr-FR"/>
              </w:rPr>
              <w:t>Programme de travail pluriannuel de la Conférence des Parties</w:t>
            </w:r>
          </w:p>
        </w:tc>
      </w:tr>
      <w:tr w:rsidR="00C47836" w:rsidRPr="00D1707B" w14:paraId="5D6C9189" w14:textId="77777777" w:rsidTr="00C166A5">
        <w:trPr>
          <w:trHeight w:val="270"/>
        </w:trPr>
        <w:tc>
          <w:tcPr>
            <w:tcW w:w="7229" w:type="dxa"/>
            <w:tcBorders>
              <w:top w:val="single" w:sz="4" w:space="0" w:color="auto"/>
            </w:tcBorders>
            <w:shd w:val="clear" w:color="auto" w:fill="auto"/>
            <w:noWrap/>
            <w:vAlign w:val="center"/>
            <w:hideMark/>
          </w:tcPr>
          <w:p w14:paraId="095DC68B" w14:textId="25D7F22D" w:rsidR="00C47836" w:rsidRPr="00D1707B" w:rsidRDefault="00C47836" w:rsidP="00C47836">
            <w:pPr>
              <w:spacing w:before="20" w:after="20"/>
              <w:jc w:val="lef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lang w:val="fr-FR"/>
              </w:rPr>
              <w:t>Chargé de programme (4 postes)</w:t>
            </w:r>
          </w:p>
        </w:tc>
        <w:tc>
          <w:tcPr>
            <w:tcW w:w="1134" w:type="dxa"/>
            <w:tcBorders>
              <w:top w:val="single" w:sz="4" w:space="0" w:color="auto"/>
            </w:tcBorders>
            <w:shd w:val="clear" w:color="auto" w:fill="auto"/>
            <w:noWrap/>
            <w:vAlign w:val="center"/>
            <w:hideMark/>
          </w:tcPr>
          <w:p w14:paraId="6D9682EF" w14:textId="77777777" w:rsidR="00C47836" w:rsidRPr="00D1707B" w:rsidRDefault="00C47836" w:rsidP="00C47836">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P-3</w:t>
            </w:r>
          </w:p>
        </w:tc>
        <w:tc>
          <w:tcPr>
            <w:tcW w:w="1276" w:type="dxa"/>
            <w:tcBorders>
              <w:top w:val="single" w:sz="4" w:space="0" w:color="auto"/>
            </w:tcBorders>
            <w:shd w:val="clear" w:color="auto" w:fill="auto"/>
            <w:noWrap/>
            <w:vAlign w:val="center"/>
            <w:hideMark/>
          </w:tcPr>
          <w:p w14:paraId="4229ECC1" w14:textId="77777777" w:rsidR="00C47836" w:rsidRPr="00D1707B" w:rsidRDefault="00C47836" w:rsidP="00C47836">
            <w:pPr>
              <w:spacing w:before="20" w:after="20"/>
              <w:jc w:val="righ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1 272 000</w:t>
            </w:r>
          </w:p>
        </w:tc>
      </w:tr>
      <w:tr w:rsidR="00C47836" w:rsidRPr="00BA7C78" w14:paraId="28EF8F8B" w14:textId="77777777" w:rsidTr="00C166A5">
        <w:trPr>
          <w:trHeight w:val="227"/>
        </w:trPr>
        <w:tc>
          <w:tcPr>
            <w:tcW w:w="8363" w:type="dxa"/>
            <w:gridSpan w:val="2"/>
            <w:tcBorders>
              <w:top w:val="single" w:sz="4" w:space="0" w:color="auto"/>
              <w:bottom w:val="single" w:sz="4" w:space="0" w:color="auto"/>
            </w:tcBorders>
            <w:shd w:val="clear" w:color="auto" w:fill="auto"/>
            <w:noWrap/>
            <w:vAlign w:val="bottom"/>
            <w:hideMark/>
          </w:tcPr>
          <w:p w14:paraId="2918246A" w14:textId="53EB9915" w:rsidR="00C47836" w:rsidRPr="00BA7C78" w:rsidRDefault="00C47836" w:rsidP="00C47836">
            <w:pPr>
              <w:tabs>
                <w:tab w:val="clear" w:pos="567"/>
              </w:tabs>
              <w:spacing w:before="20" w:after="20"/>
              <w:ind w:left="318"/>
              <w:jc w:val="left"/>
              <w:rPr>
                <w:rFonts w:asciiTheme="majorBidi" w:eastAsia="Times New Roman" w:hAnsiTheme="majorBidi" w:cstheme="majorBidi"/>
                <w:b/>
                <w:bCs/>
                <w:color w:val="000000"/>
                <w:sz w:val="20"/>
                <w:szCs w:val="20"/>
                <w:lang w:val="fr-FR"/>
              </w:rPr>
            </w:pPr>
            <w:r w:rsidRPr="00BA7C78">
              <w:rPr>
                <w:rFonts w:asciiTheme="majorBidi" w:eastAsia="Times New Roman" w:hAnsiTheme="majorBidi" w:cstheme="majorBidi"/>
                <w:b/>
                <w:bCs/>
                <w:color w:val="000000"/>
                <w:sz w:val="20"/>
                <w:szCs w:val="20"/>
                <w:lang w:val="fr-FR"/>
              </w:rPr>
              <w:t>Total partiel</w:t>
            </w:r>
          </w:p>
        </w:tc>
        <w:tc>
          <w:tcPr>
            <w:tcW w:w="1276" w:type="dxa"/>
            <w:tcBorders>
              <w:top w:val="single" w:sz="4" w:space="0" w:color="auto"/>
              <w:bottom w:val="single" w:sz="4" w:space="0" w:color="auto"/>
            </w:tcBorders>
            <w:shd w:val="clear" w:color="auto" w:fill="auto"/>
            <w:noWrap/>
            <w:vAlign w:val="center"/>
            <w:hideMark/>
          </w:tcPr>
          <w:p w14:paraId="1E39C2B6" w14:textId="77777777" w:rsidR="00C47836" w:rsidRPr="00BA7C78" w:rsidRDefault="00C47836" w:rsidP="00C47836">
            <w:pPr>
              <w:spacing w:before="20" w:after="20"/>
              <w:jc w:val="right"/>
              <w:rPr>
                <w:rFonts w:asciiTheme="majorBidi" w:eastAsia="Times New Roman" w:hAnsiTheme="majorBidi" w:cstheme="majorBidi"/>
                <w:b/>
                <w:bCs/>
                <w:color w:val="000000"/>
                <w:sz w:val="20"/>
                <w:szCs w:val="20"/>
                <w:lang w:val="fr-FR"/>
              </w:rPr>
            </w:pPr>
            <w:r w:rsidRPr="00BA7C78">
              <w:rPr>
                <w:rFonts w:asciiTheme="majorBidi" w:eastAsia="Times New Roman" w:hAnsiTheme="majorBidi" w:cstheme="majorBidi"/>
                <w:b/>
                <w:bCs/>
                <w:color w:val="000000"/>
                <w:sz w:val="20"/>
                <w:szCs w:val="20"/>
                <w:lang w:val="fr-FR"/>
              </w:rPr>
              <w:t>5 973 000</w:t>
            </w:r>
          </w:p>
        </w:tc>
      </w:tr>
      <w:tr w:rsidR="00C166A5" w:rsidRPr="00BA7C78" w14:paraId="69A21933" w14:textId="77777777" w:rsidTr="00C166A5">
        <w:trPr>
          <w:trHeight w:val="227"/>
        </w:trPr>
        <w:tc>
          <w:tcPr>
            <w:tcW w:w="8363" w:type="dxa"/>
            <w:gridSpan w:val="2"/>
            <w:tcBorders>
              <w:top w:val="single" w:sz="4" w:space="0" w:color="auto"/>
              <w:bottom w:val="single" w:sz="4" w:space="0" w:color="auto"/>
            </w:tcBorders>
            <w:shd w:val="clear" w:color="auto" w:fill="auto"/>
            <w:noWrap/>
            <w:vAlign w:val="bottom"/>
          </w:tcPr>
          <w:p w14:paraId="09628FA8" w14:textId="5A635200" w:rsidR="00C166A5" w:rsidRPr="00BA7C78" w:rsidRDefault="00C166A5" w:rsidP="00BA7C78">
            <w:pPr>
              <w:tabs>
                <w:tab w:val="clear" w:pos="567"/>
              </w:tabs>
              <w:spacing w:before="20" w:after="20"/>
              <w:ind w:left="43"/>
              <w:jc w:val="left"/>
              <w:rPr>
                <w:rFonts w:asciiTheme="majorBidi" w:eastAsia="Times New Roman" w:hAnsiTheme="majorBidi" w:cstheme="majorBidi"/>
                <w:b/>
                <w:bCs/>
                <w:color w:val="000000"/>
                <w:sz w:val="20"/>
                <w:szCs w:val="20"/>
                <w:lang w:val="fr-FR"/>
              </w:rPr>
            </w:pPr>
            <w:r w:rsidRPr="00BA7C78">
              <w:rPr>
                <w:rFonts w:asciiTheme="majorBidi" w:hAnsiTheme="majorBidi" w:cstheme="majorBidi"/>
                <w:sz w:val="20"/>
                <w:szCs w:val="20"/>
                <w:lang w:val="fr-FR"/>
              </w:rPr>
              <w:t>Dépenses d’appui au programme (13 %)</w:t>
            </w:r>
          </w:p>
        </w:tc>
        <w:tc>
          <w:tcPr>
            <w:tcW w:w="1276" w:type="dxa"/>
            <w:tcBorders>
              <w:top w:val="single" w:sz="4" w:space="0" w:color="auto"/>
              <w:bottom w:val="single" w:sz="4" w:space="0" w:color="auto"/>
            </w:tcBorders>
            <w:shd w:val="clear" w:color="auto" w:fill="auto"/>
            <w:noWrap/>
          </w:tcPr>
          <w:p w14:paraId="252DD070" w14:textId="77777777" w:rsidR="00C166A5" w:rsidRPr="00BA7C78" w:rsidRDefault="00C166A5" w:rsidP="00C166A5">
            <w:pPr>
              <w:spacing w:before="20" w:after="20"/>
              <w:jc w:val="right"/>
              <w:rPr>
                <w:rFonts w:asciiTheme="majorBidi" w:eastAsia="Times New Roman" w:hAnsiTheme="majorBidi" w:cstheme="majorBidi"/>
                <w:b/>
                <w:bCs/>
                <w:color w:val="000000"/>
                <w:sz w:val="20"/>
                <w:szCs w:val="20"/>
                <w:lang w:val="fr-FR"/>
              </w:rPr>
            </w:pPr>
            <w:r w:rsidRPr="00BA7C78">
              <w:rPr>
                <w:sz w:val="20"/>
                <w:szCs w:val="20"/>
                <w:lang w:val="fr-FR"/>
              </w:rPr>
              <w:t>776 490</w:t>
            </w:r>
          </w:p>
        </w:tc>
      </w:tr>
      <w:tr w:rsidR="00C47836" w:rsidRPr="00BA7C78" w14:paraId="3C54CBB4" w14:textId="77777777" w:rsidTr="00C166A5">
        <w:trPr>
          <w:trHeight w:val="227"/>
        </w:trPr>
        <w:tc>
          <w:tcPr>
            <w:tcW w:w="8363" w:type="dxa"/>
            <w:gridSpan w:val="2"/>
            <w:tcBorders>
              <w:top w:val="single" w:sz="4" w:space="0" w:color="auto"/>
              <w:bottom w:val="single" w:sz="4" w:space="0" w:color="auto"/>
            </w:tcBorders>
            <w:shd w:val="clear" w:color="auto" w:fill="auto"/>
            <w:noWrap/>
            <w:vAlign w:val="bottom"/>
          </w:tcPr>
          <w:p w14:paraId="0AADA26E" w14:textId="77777777" w:rsidR="00C47836" w:rsidRPr="00BA7C78" w:rsidRDefault="00C47836" w:rsidP="00C47836">
            <w:pPr>
              <w:tabs>
                <w:tab w:val="clear" w:pos="567"/>
              </w:tabs>
              <w:spacing w:before="20" w:after="20"/>
              <w:ind w:left="318"/>
              <w:jc w:val="left"/>
              <w:rPr>
                <w:b/>
                <w:bCs/>
                <w:color w:val="000000" w:themeColor="text1"/>
                <w:kern w:val="20"/>
                <w:sz w:val="20"/>
                <w:lang w:val="fr-FR"/>
              </w:rPr>
            </w:pPr>
            <w:r w:rsidRPr="00BA7C78">
              <w:rPr>
                <w:b/>
                <w:bCs/>
                <w:color w:val="000000" w:themeColor="text1"/>
                <w:kern w:val="20"/>
                <w:sz w:val="20"/>
                <w:lang w:val="fr-FR"/>
              </w:rPr>
              <w:t>Total</w:t>
            </w:r>
          </w:p>
        </w:tc>
        <w:tc>
          <w:tcPr>
            <w:tcW w:w="1276" w:type="dxa"/>
            <w:tcBorders>
              <w:top w:val="single" w:sz="4" w:space="0" w:color="auto"/>
              <w:bottom w:val="single" w:sz="4" w:space="0" w:color="auto"/>
            </w:tcBorders>
            <w:shd w:val="clear" w:color="auto" w:fill="auto"/>
            <w:noWrap/>
          </w:tcPr>
          <w:p w14:paraId="423D14D3" w14:textId="77777777" w:rsidR="00C47836" w:rsidRPr="00BA7C78" w:rsidRDefault="00C47836" w:rsidP="00C47836">
            <w:pPr>
              <w:spacing w:before="20" w:after="20"/>
              <w:jc w:val="right"/>
              <w:rPr>
                <w:rFonts w:asciiTheme="majorBidi" w:eastAsia="Times New Roman" w:hAnsiTheme="majorBidi" w:cstheme="majorBidi"/>
                <w:b/>
                <w:bCs/>
                <w:color w:val="000000"/>
                <w:sz w:val="20"/>
                <w:szCs w:val="20"/>
                <w:lang w:val="fr-FR"/>
              </w:rPr>
            </w:pPr>
            <w:r w:rsidRPr="00BA7C78">
              <w:rPr>
                <w:b/>
                <w:bCs/>
                <w:sz w:val="20"/>
                <w:szCs w:val="20"/>
                <w:lang w:val="fr-FR"/>
              </w:rPr>
              <w:t>6 749 490</w:t>
            </w:r>
          </w:p>
        </w:tc>
      </w:tr>
    </w:tbl>
    <w:p w14:paraId="668DBB82" w14:textId="68E0A1AA" w:rsidR="00420560" w:rsidRPr="00BA7C78" w:rsidRDefault="005A014B" w:rsidP="005A014B">
      <w:pPr>
        <w:pStyle w:val="CBDFootnoteText"/>
        <w:tabs>
          <w:tab w:val="clear" w:pos="1134"/>
          <w:tab w:val="left" w:pos="990"/>
        </w:tabs>
        <w:spacing w:before="120"/>
        <w:ind w:left="567"/>
        <w:rPr>
          <w:szCs w:val="18"/>
          <w:lang w:val="fr-FR"/>
        </w:rPr>
      </w:pPr>
      <w:r w:rsidRPr="00BA7C78">
        <w:rPr>
          <w:i/>
          <w:iCs/>
          <w:szCs w:val="18"/>
          <w:lang w:val="fr-FR"/>
        </w:rPr>
        <w:tab/>
      </w:r>
      <w:r w:rsidR="00CD4927" w:rsidRPr="00BA7C78">
        <w:rPr>
          <w:i/>
          <w:iCs/>
          <w:szCs w:val="18"/>
          <w:lang w:val="fr-FR"/>
        </w:rPr>
        <w:t>Abréviations </w:t>
      </w:r>
      <w:r w:rsidRPr="00BA7C78">
        <w:rPr>
          <w:szCs w:val="18"/>
          <w:lang w:val="fr-FR"/>
        </w:rPr>
        <w:t xml:space="preserve">: GS, </w:t>
      </w:r>
      <w:r w:rsidR="00CD4927" w:rsidRPr="00BA7C78">
        <w:rPr>
          <w:szCs w:val="18"/>
          <w:lang w:val="fr-FR"/>
        </w:rPr>
        <w:t>Service général </w:t>
      </w:r>
      <w:r w:rsidRPr="00BA7C78">
        <w:rPr>
          <w:szCs w:val="18"/>
          <w:lang w:val="fr-FR"/>
        </w:rPr>
        <w:t>; P, Profession</w:t>
      </w:r>
      <w:r w:rsidR="00CD4927" w:rsidRPr="00BA7C78">
        <w:rPr>
          <w:szCs w:val="18"/>
          <w:lang w:val="fr-FR"/>
        </w:rPr>
        <w:t>ne</w:t>
      </w:r>
      <w:r w:rsidRPr="00BA7C78">
        <w:rPr>
          <w:szCs w:val="18"/>
          <w:lang w:val="fr-FR"/>
        </w:rPr>
        <w:t>l.</w:t>
      </w:r>
    </w:p>
    <w:p w14:paraId="0CA6EFB2" w14:textId="77777777" w:rsidR="00420560" w:rsidRPr="00BA7C78" w:rsidRDefault="00420560">
      <w:pPr>
        <w:tabs>
          <w:tab w:val="clear" w:pos="567"/>
          <w:tab w:val="clear" w:pos="1134"/>
          <w:tab w:val="clear" w:pos="1701"/>
          <w:tab w:val="clear" w:pos="2268"/>
        </w:tabs>
        <w:spacing w:after="160" w:line="259" w:lineRule="auto"/>
        <w:jc w:val="left"/>
        <w:rPr>
          <w:sz w:val="18"/>
          <w:szCs w:val="18"/>
          <w:lang w:val="fr-FR"/>
        </w:rPr>
      </w:pPr>
      <w:r w:rsidRPr="00BA7C78">
        <w:rPr>
          <w:szCs w:val="18"/>
          <w:lang w:val="fr-FR"/>
        </w:rPr>
        <w:br w:type="page"/>
      </w:r>
    </w:p>
    <w:p w14:paraId="03145459" w14:textId="7A10F90B" w:rsidR="00201D78" w:rsidRPr="00BA52C1" w:rsidRDefault="00201D78" w:rsidP="00A37E43">
      <w:pPr>
        <w:pStyle w:val="CBDTableTitle"/>
        <w:spacing w:before="240"/>
        <w:ind w:left="561"/>
        <w:rPr>
          <w:lang w:val="fr-FR"/>
        </w:rPr>
      </w:pPr>
      <w:r w:rsidRPr="00BA52C1">
        <w:rPr>
          <w:b w:val="0"/>
          <w:bCs/>
          <w:lang w:val="fr-FR"/>
        </w:rPr>
        <w:lastRenderedPageBreak/>
        <w:t>Table</w:t>
      </w:r>
      <w:r w:rsidR="007037D9">
        <w:rPr>
          <w:b w:val="0"/>
          <w:bCs/>
          <w:lang w:val="fr-FR"/>
        </w:rPr>
        <w:t>au</w:t>
      </w:r>
      <w:r w:rsidR="00AA1A10">
        <w:rPr>
          <w:b w:val="0"/>
          <w:bCs/>
          <w:lang w:val="fr-FR"/>
        </w:rPr>
        <w:t> </w:t>
      </w:r>
      <w:r w:rsidR="007E7AB8">
        <w:rPr>
          <w:b w:val="0"/>
          <w:bCs/>
          <w:lang w:val="fr-FR"/>
        </w:rPr>
        <w:t>6</w:t>
      </w:r>
      <w:r w:rsidR="00E824B6" w:rsidRPr="00BA52C1">
        <w:rPr>
          <w:lang w:val="fr-FR"/>
        </w:rPr>
        <w:br/>
      </w:r>
      <w:r w:rsidR="000D5BAE">
        <w:rPr>
          <w:lang w:val="fr-FR"/>
        </w:rPr>
        <w:t>Ressources nécessaires au titre</w:t>
      </w:r>
      <w:r w:rsidR="007037D9">
        <w:rPr>
          <w:lang w:val="fr-FR"/>
        </w:rPr>
        <w:t xml:space="preserve"> du </w:t>
      </w:r>
      <w:bookmarkStart w:id="8" w:name="_Hlk198215408"/>
      <w:r w:rsidR="007037D9" w:rsidRPr="001E2D71">
        <w:rPr>
          <w:lang w:val="fr-FR"/>
        </w:rPr>
        <w:t xml:space="preserve">Fonds </w:t>
      </w:r>
      <w:r w:rsidR="001E2D71">
        <w:rPr>
          <w:lang w:val="fr-FR"/>
        </w:rPr>
        <w:t>spécial de contributions volontaires</w:t>
      </w:r>
      <w:r w:rsidR="007037D9">
        <w:rPr>
          <w:lang w:val="fr-FR"/>
        </w:rPr>
        <w:t xml:space="preserve"> </w:t>
      </w:r>
      <w:r w:rsidR="000D5E71">
        <w:rPr>
          <w:lang w:val="fr-FR"/>
        </w:rPr>
        <w:t>destiné</w:t>
      </w:r>
      <w:r w:rsidR="007037D9">
        <w:rPr>
          <w:lang w:val="fr-FR"/>
        </w:rPr>
        <w:t xml:space="preserve"> à faciliter la participation des Parties au processus de la Convention</w:t>
      </w:r>
      <w:r w:rsidR="004E1773">
        <w:rPr>
          <w:lang w:val="fr-FR"/>
        </w:rPr>
        <w:t>,</w:t>
      </w:r>
      <w:bookmarkEnd w:id="8"/>
      <w:r w:rsidR="004E1773">
        <w:rPr>
          <w:lang w:val="fr-FR"/>
        </w:rPr>
        <w:t xml:space="preserve"> </w:t>
      </w:r>
      <w:r w:rsidRPr="00BA52C1">
        <w:rPr>
          <w:lang w:val="fr-FR"/>
        </w:rPr>
        <w:t>2025</w:t>
      </w:r>
      <w:r w:rsidR="002E5A1A" w:rsidRPr="00BA52C1">
        <w:rPr>
          <w:lang w:val="fr-FR"/>
        </w:rPr>
        <w:t>–</w:t>
      </w:r>
      <w:r w:rsidRPr="00BA52C1">
        <w:rPr>
          <w:lang w:val="fr-FR"/>
        </w:rPr>
        <w:t>2026</w:t>
      </w:r>
    </w:p>
    <w:p w14:paraId="7E8D54BC" w14:textId="5923CE06" w:rsidR="007B4873" w:rsidRPr="00BA52C1" w:rsidRDefault="007B4873" w:rsidP="00582303">
      <w:pPr>
        <w:pStyle w:val="CBDNormalNoNumber"/>
        <w:keepNext/>
        <w:spacing w:after="60"/>
        <w:ind w:left="562"/>
        <w:rPr>
          <w:sz w:val="18"/>
          <w:szCs w:val="18"/>
          <w:lang w:val="fr-FR"/>
        </w:rPr>
      </w:pPr>
      <w:r w:rsidRPr="00BA52C1">
        <w:rPr>
          <w:sz w:val="18"/>
          <w:szCs w:val="18"/>
          <w:lang w:val="fr-FR"/>
        </w:rPr>
        <w:t>(</w:t>
      </w:r>
      <w:r w:rsidR="007037D9">
        <w:rPr>
          <w:sz w:val="18"/>
          <w:szCs w:val="18"/>
          <w:lang w:val="fr-FR"/>
        </w:rPr>
        <w:t>En milliers de dollars des États-Unis</w:t>
      </w:r>
      <w:r w:rsidRPr="00BA52C1">
        <w:rPr>
          <w:sz w:val="18"/>
          <w:szCs w:val="18"/>
          <w:lang w:val="fr-FR"/>
        </w:rPr>
        <w:t>)</w:t>
      </w:r>
    </w:p>
    <w:tbl>
      <w:tblPr>
        <w:tblW w:w="9767" w:type="dxa"/>
        <w:tblLook w:val="04A0" w:firstRow="1" w:lastRow="0" w:firstColumn="1" w:lastColumn="0" w:noHBand="0" w:noVBand="1"/>
      </w:tblPr>
      <w:tblGrid>
        <w:gridCol w:w="8285"/>
        <w:gridCol w:w="1482"/>
      </w:tblGrid>
      <w:tr w:rsidR="007F4D97" w:rsidRPr="00420560" w14:paraId="427A8897" w14:textId="77777777" w:rsidTr="00BA7C78">
        <w:trPr>
          <w:trHeight w:val="346"/>
          <w:tblHeader/>
        </w:trPr>
        <w:tc>
          <w:tcPr>
            <w:tcW w:w="8285" w:type="dxa"/>
            <w:tcBorders>
              <w:top w:val="single" w:sz="4" w:space="0" w:color="auto"/>
              <w:left w:val="nil"/>
              <w:bottom w:val="single" w:sz="4" w:space="0" w:color="auto"/>
              <w:right w:val="nil"/>
            </w:tcBorders>
            <w:shd w:val="clear" w:color="auto" w:fill="auto"/>
            <w:vAlign w:val="center"/>
            <w:hideMark/>
          </w:tcPr>
          <w:p w14:paraId="3DF48C4F" w14:textId="1C27B65D" w:rsidR="007F4D97" w:rsidRPr="00420560" w:rsidRDefault="007037D9" w:rsidP="004C46A6">
            <w:pPr>
              <w:keepLines/>
              <w:spacing w:before="20" w:after="20"/>
              <w:jc w:val="left"/>
              <w:rPr>
                <w:i/>
                <w:iCs/>
                <w:color w:val="000000" w:themeColor="text1"/>
                <w:kern w:val="20"/>
                <w:sz w:val="20"/>
                <w:szCs w:val="20"/>
                <w:lang w:val="fr-FR"/>
              </w:rPr>
            </w:pPr>
            <w:r w:rsidRPr="00420560">
              <w:rPr>
                <w:i/>
                <w:iCs/>
                <w:color w:val="000000" w:themeColor="text1"/>
                <w:kern w:val="20"/>
                <w:sz w:val="20"/>
                <w:szCs w:val="20"/>
                <w:lang w:val="fr-FR"/>
              </w:rPr>
              <w:t>Réunions</w:t>
            </w:r>
          </w:p>
        </w:tc>
        <w:tc>
          <w:tcPr>
            <w:tcW w:w="1482" w:type="dxa"/>
            <w:tcBorders>
              <w:top w:val="single" w:sz="4" w:space="0" w:color="auto"/>
              <w:left w:val="nil"/>
              <w:bottom w:val="single" w:sz="4" w:space="0" w:color="auto"/>
              <w:right w:val="nil"/>
            </w:tcBorders>
            <w:shd w:val="clear" w:color="auto" w:fill="auto"/>
            <w:vAlign w:val="center"/>
            <w:hideMark/>
          </w:tcPr>
          <w:p w14:paraId="69B79275" w14:textId="1730ED07" w:rsidR="007F4D97" w:rsidRPr="00420560" w:rsidRDefault="007F4D97" w:rsidP="004C46A6">
            <w:pPr>
              <w:keepLines/>
              <w:spacing w:before="20" w:after="20"/>
              <w:jc w:val="center"/>
              <w:rPr>
                <w:i/>
                <w:iCs/>
                <w:color w:val="000000" w:themeColor="text1"/>
                <w:kern w:val="20"/>
                <w:sz w:val="20"/>
                <w:szCs w:val="20"/>
                <w:lang w:val="fr-FR"/>
              </w:rPr>
            </w:pPr>
            <w:r w:rsidRPr="00420560">
              <w:rPr>
                <w:i/>
                <w:iCs/>
                <w:color w:val="000000" w:themeColor="text1"/>
                <w:kern w:val="20"/>
                <w:sz w:val="20"/>
                <w:szCs w:val="20"/>
                <w:lang w:val="fr-FR"/>
              </w:rPr>
              <w:t>2025</w:t>
            </w:r>
            <w:r w:rsidR="000541AE" w:rsidRPr="00420560">
              <w:rPr>
                <w:i/>
                <w:iCs/>
                <w:color w:val="000000" w:themeColor="text1"/>
                <w:kern w:val="20"/>
                <w:sz w:val="20"/>
                <w:szCs w:val="20"/>
                <w:lang w:val="fr-FR"/>
              </w:rPr>
              <w:t>–</w:t>
            </w:r>
            <w:r w:rsidRPr="00420560">
              <w:rPr>
                <w:i/>
                <w:iCs/>
                <w:color w:val="000000" w:themeColor="text1"/>
                <w:kern w:val="20"/>
                <w:sz w:val="20"/>
                <w:szCs w:val="20"/>
                <w:lang w:val="fr-FR"/>
              </w:rPr>
              <w:t>2026</w:t>
            </w:r>
          </w:p>
        </w:tc>
      </w:tr>
      <w:tr w:rsidR="00201D78" w:rsidRPr="00420560" w14:paraId="1ADB1B56" w14:textId="77777777" w:rsidTr="00BA7C78">
        <w:trPr>
          <w:trHeight w:val="294"/>
        </w:trPr>
        <w:tc>
          <w:tcPr>
            <w:tcW w:w="8285" w:type="dxa"/>
            <w:tcBorders>
              <w:top w:val="nil"/>
              <w:left w:val="nil"/>
              <w:bottom w:val="nil"/>
              <w:right w:val="nil"/>
            </w:tcBorders>
            <w:shd w:val="clear" w:color="auto" w:fill="auto"/>
            <w:noWrap/>
            <w:vAlign w:val="center"/>
            <w:hideMark/>
          </w:tcPr>
          <w:p w14:paraId="70C18F5F" w14:textId="0BF504F5" w:rsidR="00201D78" w:rsidRPr="00420560" w:rsidRDefault="004C775B" w:rsidP="004C46A6">
            <w:pPr>
              <w:keepLines/>
              <w:spacing w:before="20" w:after="20"/>
              <w:ind w:left="174"/>
              <w:jc w:val="left"/>
              <w:rPr>
                <w:color w:val="000000" w:themeColor="text1"/>
                <w:kern w:val="20"/>
                <w:sz w:val="20"/>
                <w:szCs w:val="20"/>
                <w:lang w:val="fr-FR"/>
              </w:rPr>
            </w:pPr>
            <w:r w:rsidRPr="00420560">
              <w:rPr>
                <w:color w:val="000000" w:themeColor="text1"/>
                <w:kern w:val="20"/>
                <w:sz w:val="20"/>
                <w:szCs w:val="20"/>
                <w:lang w:val="fr-FR"/>
              </w:rPr>
              <w:t xml:space="preserve">Dix-septième réunion de la Conférence des Parties à la Convention, Douzième réunion de la Conférence des Parties siégeant en tant que réunion des Parties au Protocole de Cartagena et sixième réunion de la Conférence des Parties siégeant en tant que réunion des Parties au Protocole de </w:t>
            </w:r>
            <w:proofErr w:type="spellStart"/>
            <w:r w:rsidR="00201D78" w:rsidRPr="00420560">
              <w:rPr>
                <w:color w:val="000000" w:themeColor="text1"/>
                <w:kern w:val="20"/>
                <w:sz w:val="20"/>
                <w:szCs w:val="20"/>
                <w:lang w:val="fr-FR"/>
              </w:rPr>
              <w:t>Nagoya</w:t>
            </w:r>
            <w:r w:rsidR="00047E7A" w:rsidRPr="00420560">
              <w:rPr>
                <w:i/>
                <w:iCs/>
                <w:color w:val="000000" w:themeColor="text1"/>
                <w:kern w:val="20"/>
                <w:sz w:val="20"/>
                <w:szCs w:val="20"/>
                <w:vertAlign w:val="superscript"/>
                <w:lang w:val="fr-FR"/>
              </w:rPr>
              <w:t>a</w:t>
            </w:r>
            <w:proofErr w:type="spellEnd"/>
          </w:p>
        </w:tc>
        <w:tc>
          <w:tcPr>
            <w:tcW w:w="1482" w:type="dxa"/>
            <w:tcBorders>
              <w:top w:val="nil"/>
              <w:left w:val="nil"/>
              <w:bottom w:val="nil"/>
              <w:right w:val="nil"/>
            </w:tcBorders>
            <w:shd w:val="clear" w:color="auto" w:fill="auto"/>
            <w:vAlign w:val="center"/>
            <w:hideMark/>
          </w:tcPr>
          <w:p w14:paraId="4CA6175D" w14:textId="7F0AF1E0" w:rsidR="00201D78" w:rsidRPr="00420560" w:rsidRDefault="00201D78" w:rsidP="004C46A6">
            <w:pPr>
              <w:keepLines/>
              <w:spacing w:before="20" w:after="20"/>
              <w:jc w:val="right"/>
              <w:rPr>
                <w:color w:val="000000" w:themeColor="text1"/>
                <w:kern w:val="20"/>
                <w:sz w:val="20"/>
                <w:szCs w:val="20"/>
                <w:lang w:val="fr-FR"/>
              </w:rPr>
            </w:pPr>
            <w:r w:rsidRPr="00420560">
              <w:rPr>
                <w:color w:val="000000" w:themeColor="text1"/>
                <w:kern w:val="20"/>
                <w:sz w:val="20"/>
                <w:szCs w:val="20"/>
                <w:lang w:val="fr-FR"/>
              </w:rPr>
              <w:t>2</w:t>
            </w:r>
            <w:r w:rsidR="0049666B" w:rsidRPr="00420560">
              <w:rPr>
                <w:color w:val="000000" w:themeColor="text1"/>
                <w:kern w:val="20"/>
                <w:sz w:val="20"/>
                <w:szCs w:val="20"/>
                <w:lang w:val="fr-FR"/>
              </w:rPr>
              <w:t> </w:t>
            </w:r>
            <w:r w:rsidRPr="00420560">
              <w:rPr>
                <w:color w:val="000000" w:themeColor="text1"/>
                <w:kern w:val="20"/>
                <w:sz w:val="20"/>
                <w:szCs w:val="20"/>
                <w:lang w:val="fr-FR"/>
              </w:rPr>
              <w:t>925</w:t>
            </w:r>
            <w:r w:rsidR="000C12E8" w:rsidRPr="00420560">
              <w:rPr>
                <w:color w:val="000000" w:themeColor="text1"/>
                <w:kern w:val="20"/>
                <w:sz w:val="20"/>
                <w:szCs w:val="20"/>
                <w:lang w:val="fr-FR"/>
              </w:rPr>
              <w:t>,</w:t>
            </w:r>
            <w:r w:rsidRPr="00420560">
              <w:rPr>
                <w:color w:val="000000" w:themeColor="text1"/>
                <w:kern w:val="20"/>
                <w:sz w:val="20"/>
                <w:szCs w:val="20"/>
                <w:lang w:val="fr-FR"/>
              </w:rPr>
              <w:t>9</w:t>
            </w:r>
          </w:p>
        </w:tc>
      </w:tr>
      <w:tr w:rsidR="00201D78" w:rsidRPr="00420560" w14:paraId="27FB1995" w14:textId="77777777" w:rsidTr="00BA7C78">
        <w:trPr>
          <w:trHeight w:val="294"/>
        </w:trPr>
        <w:tc>
          <w:tcPr>
            <w:tcW w:w="8285" w:type="dxa"/>
            <w:tcBorders>
              <w:top w:val="nil"/>
              <w:left w:val="nil"/>
              <w:bottom w:val="nil"/>
              <w:right w:val="nil"/>
            </w:tcBorders>
            <w:shd w:val="clear" w:color="auto" w:fill="auto"/>
            <w:noWrap/>
            <w:vAlign w:val="center"/>
            <w:hideMark/>
          </w:tcPr>
          <w:p w14:paraId="62B46FD5" w14:textId="78C7530D" w:rsidR="00201D78" w:rsidRPr="00420560" w:rsidRDefault="004C775B" w:rsidP="004C46A6">
            <w:pPr>
              <w:keepLines/>
              <w:spacing w:before="20" w:after="20"/>
              <w:ind w:left="174"/>
              <w:jc w:val="left"/>
              <w:rPr>
                <w:color w:val="000000" w:themeColor="text1"/>
                <w:kern w:val="20"/>
                <w:sz w:val="20"/>
                <w:szCs w:val="20"/>
                <w:lang w:val="fr-FR"/>
              </w:rPr>
            </w:pPr>
            <w:r w:rsidRPr="00420560">
              <w:rPr>
                <w:color w:val="000000" w:themeColor="text1"/>
                <w:kern w:val="20"/>
                <w:sz w:val="20"/>
                <w:szCs w:val="20"/>
                <w:lang w:val="fr-FR"/>
              </w:rPr>
              <w:t>Vingt-septième réunion de l’Organe subsidiaire chargé de fournir des avis scientifiques, techniques et technologiques et première réunion de l’Organe subsidiaire chargé d</w:t>
            </w:r>
            <w:r w:rsidR="004A309B" w:rsidRPr="00420560">
              <w:rPr>
                <w:color w:val="000000" w:themeColor="text1"/>
                <w:kern w:val="20"/>
                <w:sz w:val="20"/>
                <w:szCs w:val="20"/>
                <w:lang w:val="fr-FR"/>
              </w:rPr>
              <w:t>u suivi</w:t>
            </w:r>
            <w:r w:rsidRPr="00420560">
              <w:rPr>
                <w:color w:val="000000" w:themeColor="text1"/>
                <w:kern w:val="20"/>
                <w:sz w:val="20"/>
                <w:szCs w:val="20"/>
                <w:lang w:val="fr-FR"/>
              </w:rPr>
              <w:t xml:space="preserve"> l’article</w:t>
            </w:r>
            <w:r w:rsidR="00AA1A10" w:rsidRPr="00420560">
              <w:rPr>
                <w:color w:val="000000" w:themeColor="text1"/>
                <w:kern w:val="20"/>
                <w:sz w:val="20"/>
                <w:szCs w:val="20"/>
                <w:lang w:val="fr-FR"/>
              </w:rPr>
              <w:t> </w:t>
            </w:r>
            <w:r w:rsidRPr="00420560">
              <w:rPr>
                <w:color w:val="000000" w:themeColor="text1"/>
                <w:kern w:val="20"/>
                <w:sz w:val="20"/>
                <w:szCs w:val="20"/>
                <w:lang w:val="fr-FR"/>
              </w:rPr>
              <w:t>8 j) et d</w:t>
            </w:r>
            <w:r w:rsidR="004A309B" w:rsidRPr="00420560">
              <w:rPr>
                <w:color w:val="000000" w:themeColor="text1"/>
                <w:kern w:val="20"/>
                <w:sz w:val="20"/>
                <w:szCs w:val="20"/>
                <w:lang w:val="fr-FR"/>
              </w:rPr>
              <w:t xml:space="preserve">es autres </w:t>
            </w:r>
            <w:r w:rsidRPr="00420560">
              <w:rPr>
                <w:color w:val="000000" w:themeColor="text1"/>
                <w:kern w:val="20"/>
                <w:sz w:val="20"/>
                <w:szCs w:val="20"/>
                <w:lang w:val="fr-FR"/>
              </w:rPr>
              <w:t xml:space="preserve">dispositions </w:t>
            </w:r>
            <w:r w:rsidR="004A309B" w:rsidRPr="00420560">
              <w:rPr>
                <w:color w:val="000000" w:themeColor="text1"/>
                <w:kern w:val="20"/>
                <w:sz w:val="20"/>
                <w:szCs w:val="20"/>
                <w:lang w:val="fr-FR"/>
              </w:rPr>
              <w:t>de</w:t>
            </w:r>
            <w:r w:rsidRPr="00420560">
              <w:rPr>
                <w:color w:val="000000" w:themeColor="text1"/>
                <w:kern w:val="20"/>
                <w:sz w:val="20"/>
                <w:szCs w:val="20"/>
                <w:lang w:val="fr-FR"/>
              </w:rPr>
              <w:t xml:space="preserve"> la Convention relative</w:t>
            </w:r>
            <w:r w:rsidR="004A309B" w:rsidRPr="00420560">
              <w:rPr>
                <w:color w:val="000000" w:themeColor="text1"/>
                <w:kern w:val="20"/>
                <w:sz w:val="20"/>
                <w:szCs w:val="20"/>
                <w:lang w:val="fr-FR"/>
              </w:rPr>
              <w:t>s</w:t>
            </w:r>
            <w:r w:rsidRPr="00420560">
              <w:rPr>
                <w:color w:val="000000" w:themeColor="text1"/>
                <w:kern w:val="20"/>
                <w:sz w:val="20"/>
                <w:szCs w:val="20"/>
                <w:lang w:val="fr-FR"/>
              </w:rPr>
              <w:t xml:space="preserve"> aux peuples autochtones et communautés </w:t>
            </w:r>
            <w:proofErr w:type="spellStart"/>
            <w:r w:rsidRPr="00420560">
              <w:rPr>
                <w:color w:val="000000" w:themeColor="text1"/>
                <w:kern w:val="20"/>
                <w:sz w:val="20"/>
                <w:szCs w:val="20"/>
                <w:lang w:val="fr-FR"/>
              </w:rPr>
              <w:t>locales</w:t>
            </w:r>
            <w:r w:rsidR="00945A4D" w:rsidRPr="00420560">
              <w:rPr>
                <w:i/>
                <w:iCs/>
                <w:color w:val="000000" w:themeColor="text1"/>
                <w:kern w:val="20"/>
                <w:sz w:val="20"/>
                <w:szCs w:val="20"/>
                <w:vertAlign w:val="superscript"/>
                <w:lang w:val="fr-FR"/>
              </w:rPr>
              <w:t>b</w:t>
            </w:r>
            <w:proofErr w:type="spellEnd"/>
          </w:p>
        </w:tc>
        <w:tc>
          <w:tcPr>
            <w:tcW w:w="1482" w:type="dxa"/>
            <w:tcBorders>
              <w:top w:val="nil"/>
              <w:left w:val="nil"/>
              <w:bottom w:val="nil"/>
              <w:right w:val="nil"/>
            </w:tcBorders>
            <w:shd w:val="clear" w:color="auto" w:fill="auto"/>
            <w:vAlign w:val="center"/>
            <w:hideMark/>
          </w:tcPr>
          <w:p w14:paraId="3F33240F" w14:textId="0896343E" w:rsidR="00201D78" w:rsidRPr="00420560" w:rsidRDefault="00201D78" w:rsidP="004C46A6">
            <w:pPr>
              <w:keepLines/>
              <w:spacing w:before="20" w:after="20"/>
              <w:jc w:val="right"/>
              <w:rPr>
                <w:color w:val="000000" w:themeColor="text1"/>
                <w:kern w:val="20"/>
                <w:sz w:val="20"/>
                <w:szCs w:val="20"/>
                <w:lang w:val="fr-FR"/>
              </w:rPr>
            </w:pPr>
            <w:r w:rsidRPr="00420560">
              <w:rPr>
                <w:color w:val="000000" w:themeColor="text1"/>
                <w:kern w:val="20"/>
                <w:sz w:val="20"/>
                <w:szCs w:val="20"/>
                <w:lang w:val="fr-FR"/>
              </w:rPr>
              <w:t>1</w:t>
            </w:r>
            <w:r w:rsidR="0049666B" w:rsidRPr="00420560">
              <w:rPr>
                <w:color w:val="000000" w:themeColor="text1"/>
                <w:kern w:val="20"/>
                <w:sz w:val="20"/>
                <w:szCs w:val="20"/>
                <w:lang w:val="fr-FR"/>
              </w:rPr>
              <w:t> </w:t>
            </w:r>
            <w:r w:rsidRPr="00420560">
              <w:rPr>
                <w:color w:val="000000" w:themeColor="text1"/>
                <w:kern w:val="20"/>
                <w:sz w:val="20"/>
                <w:szCs w:val="20"/>
                <w:lang w:val="fr-FR"/>
              </w:rPr>
              <w:t>811</w:t>
            </w:r>
            <w:r w:rsidR="000C12E8" w:rsidRPr="00420560">
              <w:rPr>
                <w:color w:val="000000" w:themeColor="text1"/>
                <w:kern w:val="20"/>
                <w:sz w:val="20"/>
                <w:szCs w:val="20"/>
                <w:lang w:val="fr-FR"/>
              </w:rPr>
              <w:t>,</w:t>
            </w:r>
            <w:r w:rsidRPr="00420560">
              <w:rPr>
                <w:color w:val="000000" w:themeColor="text1"/>
                <w:kern w:val="20"/>
                <w:sz w:val="20"/>
                <w:szCs w:val="20"/>
                <w:lang w:val="fr-FR"/>
              </w:rPr>
              <w:t>1</w:t>
            </w:r>
          </w:p>
        </w:tc>
      </w:tr>
      <w:tr w:rsidR="00201D78" w:rsidRPr="00420560" w14:paraId="420E88B8" w14:textId="77777777" w:rsidTr="00BA7C78">
        <w:trPr>
          <w:trHeight w:val="294"/>
        </w:trPr>
        <w:tc>
          <w:tcPr>
            <w:tcW w:w="8285" w:type="dxa"/>
            <w:tcBorders>
              <w:top w:val="nil"/>
              <w:left w:val="nil"/>
              <w:bottom w:val="nil"/>
              <w:right w:val="nil"/>
            </w:tcBorders>
            <w:shd w:val="clear" w:color="auto" w:fill="auto"/>
            <w:noWrap/>
            <w:vAlign w:val="center"/>
            <w:hideMark/>
          </w:tcPr>
          <w:p w14:paraId="67114391" w14:textId="2617B1F3" w:rsidR="00201D78" w:rsidRPr="00420560" w:rsidRDefault="00040813" w:rsidP="004C46A6">
            <w:pPr>
              <w:keepLines/>
              <w:spacing w:before="20" w:after="20"/>
              <w:ind w:left="174"/>
              <w:jc w:val="left"/>
              <w:rPr>
                <w:color w:val="000000" w:themeColor="text1"/>
                <w:kern w:val="20"/>
                <w:sz w:val="20"/>
                <w:szCs w:val="20"/>
                <w:lang w:val="fr-FR"/>
              </w:rPr>
            </w:pPr>
            <w:r w:rsidRPr="00420560">
              <w:rPr>
                <w:color w:val="000000" w:themeColor="text1"/>
                <w:kern w:val="20"/>
                <w:sz w:val="20"/>
                <w:szCs w:val="20"/>
                <w:lang w:val="fr-FR"/>
              </w:rPr>
              <w:t>Vingt-huitième réunion de l’Organe subsidiaire chargé de fournir des avis scientifiques, techniques et technologiques et sixième réunion de l’Organe subsidiaire chargé de l’</w:t>
            </w:r>
            <w:proofErr w:type="spellStart"/>
            <w:r w:rsidRPr="00420560">
              <w:rPr>
                <w:color w:val="000000" w:themeColor="text1"/>
                <w:kern w:val="20"/>
                <w:sz w:val="20"/>
                <w:szCs w:val="20"/>
                <w:lang w:val="fr-FR"/>
              </w:rPr>
              <w:t>application</w:t>
            </w:r>
            <w:r w:rsidR="00FE54FD" w:rsidRPr="00420560">
              <w:rPr>
                <w:i/>
                <w:iCs/>
                <w:color w:val="000000" w:themeColor="text1"/>
                <w:kern w:val="20"/>
                <w:sz w:val="20"/>
                <w:szCs w:val="20"/>
                <w:vertAlign w:val="superscript"/>
                <w:lang w:val="fr-FR"/>
              </w:rPr>
              <w:t>b</w:t>
            </w:r>
            <w:proofErr w:type="spellEnd"/>
          </w:p>
        </w:tc>
        <w:tc>
          <w:tcPr>
            <w:tcW w:w="1482" w:type="dxa"/>
            <w:tcBorders>
              <w:top w:val="nil"/>
              <w:left w:val="nil"/>
              <w:bottom w:val="nil"/>
              <w:right w:val="nil"/>
            </w:tcBorders>
            <w:shd w:val="clear" w:color="auto" w:fill="auto"/>
            <w:vAlign w:val="center"/>
            <w:hideMark/>
          </w:tcPr>
          <w:p w14:paraId="1C59F4BC" w14:textId="245042B1" w:rsidR="00201D78" w:rsidRPr="00420560" w:rsidRDefault="00201D78" w:rsidP="004C46A6">
            <w:pPr>
              <w:keepLines/>
              <w:spacing w:before="20" w:after="20"/>
              <w:jc w:val="right"/>
              <w:rPr>
                <w:color w:val="000000" w:themeColor="text1"/>
                <w:kern w:val="20"/>
                <w:sz w:val="20"/>
                <w:szCs w:val="20"/>
                <w:lang w:val="fr-FR"/>
              </w:rPr>
            </w:pPr>
            <w:r w:rsidRPr="00420560">
              <w:rPr>
                <w:color w:val="000000" w:themeColor="text1"/>
                <w:kern w:val="20"/>
                <w:sz w:val="20"/>
                <w:szCs w:val="20"/>
                <w:lang w:val="fr-FR"/>
              </w:rPr>
              <w:t>2</w:t>
            </w:r>
            <w:r w:rsidR="0049666B" w:rsidRPr="00420560">
              <w:rPr>
                <w:color w:val="000000" w:themeColor="text1"/>
                <w:kern w:val="20"/>
                <w:sz w:val="20"/>
                <w:szCs w:val="20"/>
                <w:lang w:val="fr-FR"/>
              </w:rPr>
              <w:t> </w:t>
            </w:r>
            <w:r w:rsidRPr="00420560">
              <w:rPr>
                <w:color w:val="000000" w:themeColor="text1"/>
                <w:kern w:val="20"/>
                <w:sz w:val="20"/>
                <w:szCs w:val="20"/>
                <w:lang w:val="fr-FR"/>
              </w:rPr>
              <w:t>249</w:t>
            </w:r>
            <w:r w:rsidR="000C12E8" w:rsidRPr="00420560">
              <w:rPr>
                <w:color w:val="000000" w:themeColor="text1"/>
                <w:kern w:val="20"/>
                <w:sz w:val="20"/>
                <w:szCs w:val="20"/>
                <w:lang w:val="fr-FR"/>
              </w:rPr>
              <w:t>,</w:t>
            </w:r>
            <w:r w:rsidRPr="00420560">
              <w:rPr>
                <w:color w:val="000000" w:themeColor="text1"/>
                <w:kern w:val="20"/>
                <w:sz w:val="20"/>
                <w:szCs w:val="20"/>
                <w:lang w:val="fr-FR"/>
              </w:rPr>
              <w:t>1</w:t>
            </w:r>
          </w:p>
        </w:tc>
      </w:tr>
      <w:tr w:rsidR="00201D78" w:rsidRPr="00420560" w14:paraId="638650C6" w14:textId="77777777" w:rsidTr="00BA7C78">
        <w:trPr>
          <w:trHeight w:val="305"/>
        </w:trPr>
        <w:tc>
          <w:tcPr>
            <w:tcW w:w="8285" w:type="dxa"/>
            <w:tcBorders>
              <w:top w:val="nil"/>
              <w:left w:val="nil"/>
              <w:bottom w:val="single" w:sz="8" w:space="0" w:color="000000"/>
              <w:right w:val="nil"/>
            </w:tcBorders>
            <w:shd w:val="clear" w:color="auto" w:fill="auto"/>
            <w:vAlign w:val="center"/>
            <w:hideMark/>
          </w:tcPr>
          <w:p w14:paraId="066A13B4" w14:textId="6C1639D6" w:rsidR="00201D78" w:rsidRPr="00420560" w:rsidRDefault="00751F5D" w:rsidP="004C46A6">
            <w:pPr>
              <w:spacing w:before="20" w:after="20"/>
              <w:ind w:left="177"/>
              <w:rPr>
                <w:b/>
                <w:bCs/>
                <w:color w:val="000000" w:themeColor="text1"/>
                <w:kern w:val="20"/>
                <w:sz w:val="20"/>
                <w:szCs w:val="20"/>
                <w:lang w:val="fr-FR"/>
              </w:rPr>
            </w:pPr>
            <w:r w:rsidRPr="00420560">
              <w:rPr>
                <w:b/>
                <w:bCs/>
                <w:color w:val="000000" w:themeColor="text1"/>
                <w:kern w:val="20"/>
                <w:sz w:val="20"/>
                <w:szCs w:val="20"/>
                <w:lang w:val="fr-FR"/>
              </w:rPr>
              <w:t>Total partiel</w:t>
            </w:r>
          </w:p>
        </w:tc>
        <w:tc>
          <w:tcPr>
            <w:tcW w:w="1482" w:type="dxa"/>
            <w:tcBorders>
              <w:top w:val="nil"/>
              <w:left w:val="nil"/>
              <w:bottom w:val="single" w:sz="8" w:space="0" w:color="000000"/>
              <w:right w:val="nil"/>
            </w:tcBorders>
            <w:shd w:val="clear" w:color="auto" w:fill="auto"/>
            <w:vAlign w:val="center"/>
            <w:hideMark/>
          </w:tcPr>
          <w:p w14:paraId="2E829B23" w14:textId="4E27F93F" w:rsidR="00201D78" w:rsidRPr="00420560" w:rsidRDefault="00201D78" w:rsidP="004C46A6">
            <w:pPr>
              <w:spacing w:before="20" w:after="20"/>
              <w:jc w:val="right"/>
              <w:rPr>
                <w:b/>
                <w:bCs/>
                <w:color w:val="000000" w:themeColor="text1"/>
                <w:kern w:val="20"/>
                <w:sz w:val="20"/>
                <w:szCs w:val="20"/>
                <w:lang w:val="fr-FR"/>
              </w:rPr>
            </w:pPr>
            <w:r w:rsidRPr="00420560">
              <w:rPr>
                <w:b/>
                <w:bCs/>
                <w:color w:val="000000" w:themeColor="text1"/>
                <w:kern w:val="20"/>
                <w:sz w:val="20"/>
                <w:szCs w:val="20"/>
                <w:lang w:val="fr-FR"/>
              </w:rPr>
              <w:t>6</w:t>
            </w:r>
            <w:r w:rsidR="0049666B" w:rsidRPr="00420560">
              <w:rPr>
                <w:b/>
                <w:bCs/>
                <w:color w:val="000000" w:themeColor="text1"/>
                <w:kern w:val="20"/>
                <w:sz w:val="20"/>
                <w:szCs w:val="20"/>
                <w:lang w:val="fr-FR"/>
              </w:rPr>
              <w:t> </w:t>
            </w:r>
            <w:r w:rsidRPr="00420560">
              <w:rPr>
                <w:b/>
                <w:bCs/>
                <w:color w:val="000000" w:themeColor="text1"/>
                <w:kern w:val="20"/>
                <w:sz w:val="20"/>
                <w:szCs w:val="20"/>
                <w:lang w:val="fr-FR"/>
              </w:rPr>
              <w:t>986</w:t>
            </w:r>
            <w:r w:rsidR="000C12E8" w:rsidRPr="00420560">
              <w:rPr>
                <w:b/>
                <w:bCs/>
                <w:color w:val="000000" w:themeColor="text1"/>
                <w:kern w:val="20"/>
                <w:sz w:val="20"/>
                <w:szCs w:val="20"/>
                <w:lang w:val="fr-FR"/>
              </w:rPr>
              <w:t>,</w:t>
            </w:r>
            <w:r w:rsidRPr="00420560">
              <w:rPr>
                <w:b/>
                <w:bCs/>
                <w:color w:val="000000" w:themeColor="text1"/>
                <w:kern w:val="20"/>
                <w:sz w:val="20"/>
                <w:szCs w:val="20"/>
                <w:lang w:val="fr-FR"/>
              </w:rPr>
              <w:t>1</w:t>
            </w:r>
          </w:p>
        </w:tc>
      </w:tr>
      <w:tr w:rsidR="00201D78" w:rsidRPr="00420560" w14:paraId="601EF3BB" w14:textId="77777777" w:rsidTr="00BA7C78">
        <w:trPr>
          <w:trHeight w:val="305"/>
        </w:trPr>
        <w:tc>
          <w:tcPr>
            <w:tcW w:w="8285" w:type="dxa"/>
            <w:tcBorders>
              <w:top w:val="nil"/>
              <w:left w:val="nil"/>
              <w:bottom w:val="single" w:sz="8" w:space="0" w:color="000000"/>
              <w:right w:val="nil"/>
            </w:tcBorders>
            <w:shd w:val="clear" w:color="auto" w:fill="auto"/>
            <w:vAlign w:val="center"/>
            <w:hideMark/>
          </w:tcPr>
          <w:p w14:paraId="32D5AB93" w14:textId="551844BA" w:rsidR="00201D78" w:rsidRPr="00420560" w:rsidRDefault="00040813" w:rsidP="004C46A6">
            <w:pPr>
              <w:spacing w:before="20" w:after="20"/>
              <w:rPr>
                <w:color w:val="000000" w:themeColor="text1"/>
                <w:kern w:val="20"/>
                <w:sz w:val="20"/>
                <w:szCs w:val="20"/>
                <w:lang w:val="fr-FR"/>
              </w:rPr>
            </w:pPr>
            <w:r w:rsidRPr="00420560">
              <w:rPr>
                <w:color w:val="000000" w:themeColor="text1"/>
                <w:kern w:val="20"/>
                <w:sz w:val="20"/>
                <w:szCs w:val="20"/>
                <w:lang w:val="fr-FR"/>
              </w:rPr>
              <w:t>Dépenses d’appui au programme</w:t>
            </w:r>
            <w:r w:rsidR="00BA7C78">
              <w:rPr>
                <w:color w:val="000000" w:themeColor="text1"/>
                <w:kern w:val="20"/>
                <w:sz w:val="20"/>
                <w:szCs w:val="20"/>
                <w:lang w:val="fr-FR"/>
              </w:rPr>
              <w:t xml:space="preserve"> (13 %)</w:t>
            </w:r>
          </w:p>
        </w:tc>
        <w:tc>
          <w:tcPr>
            <w:tcW w:w="1482" w:type="dxa"/>
            <w:tcBorders>
              <w:top w:val="nil"/>
              <w:left w:val="nil"/>
              <w:bottom w:val="single" w:sz="8" w:space="0" w:color="000000"/>
              <w:right w:val="nil"/>
            </w:tcBorders>
            <w:shd w:val="clear" w:color="auto" w:fill="auto"/>
            <w:vAlign w:val="center"/>
            <w:hideMark/>
          </w:tcPr>
          <w:p w14:paraId="4A23F29B" w14:textId="6A04A243" w:rsidR="00201D78" w:rsidRPr="00420560" w:rsidRDefault="00201D78" w:rsidP="004C46A6">
            <w:pPr>
              <w:spacing w:before="20" w:after="20"/>
              <w:jc w:val="right"/>
              <w:rPr>
                <w:color w:val="000000" w:themeColor="text1"/>
                <w:kern w:val="20"/>
                <w:sz w:val="20"/>
                <w:szCs w:val="20"/>
                <w:lang w:val="fr-FR"/>
              </w:rPr>
            </w:pPr>
            <w:r w:rsidRPr="00420560">
              <w:rPr>
                <w:color w:val="000000" w:themeColor="text1"/>
                <w:kern w:val="20"/>
                <w:sz w:val="20"/>
                <w:szCs w:val="20"/>
                <w:lang w:val="fr-FR"/>
              </w:rPr>
              <w:t>908</w:t>
            </w:r>
            <w:r w:rsidR="000C12E8" w:rsidRPr="00420560">
              <w:rPr>
                <w:color w:val="000000" w:themeColor="text1"/>
                <w:kern w:val="20"/>
                <w:sz w:val="20"/>
                <w:szCs w:val="20"/>
                <w:lang w:val="fr-FR"/>
              </w:rPr>
              <w:t>,</w:t>
            </w:r>
            <w:r w:rsidRPr="00420560">
              <w:rPr>
                <w:color w:val="000000" w:themeColor="text1"/>
                <w:kern w:val="20"/>
                <w:sz w:val="20"/>
                <w:szCs w:val="20"/>
                <w:lang w:val="fr-FR"/>
              </w:rPr>
              <w:t>2</w:t>
            </w:r>
          </w:p>
        </w:tc>
      </w:tr>
      <w:tr w:rsidR="00201D78" w:rsidRPr="00420560" w14:paraId="64385628" w14:textId="77777777" w:rsidTr="00BA7C78">
        <w:trPr>
          <w:trHeight w:val="305"/>
        </w:trPr>
        <w:tc>
          <w:tcPr>
            <w:tcW w:w="8285" w:type="dxa"/>
            <w:tcBorders>
              <w:top w:val="nil"/>
              <w:left w:val="nil"/>
              <w:bottom w:val="single" w:sz="8" w:space="0" w:color="000000"/>
              <w:right w:val="nil"/>
            </w:tcBorders>
            <w:shd w:val="clear" w:color="auto" w:fill="auto"/>
            <w:vAlign w:val="center"/>
            <w:hideMark/>
          </w:tcPr>
          <w:p w14:paraId="1E793B75" w14:textId="32FA2DB3" w:rsidR="00201D78" w:rsidRPr="00420560" w:rsidRDefault="008B4CEA" w:rsidP="004C46A6">
            <w:pPr>
              <w:spacing w:before="20" w:after="20"/>
              <w:ind w:left="177"/>
              <w:rPr>
                <w:b/>
                <w:bCs/>
                <w:color w:val="000000" w:themeColor="text1"/>
                <w:kern w:val="20"/>
                <w:sz w:val="20"/>
                <w:szCs w:val="20"/>
                <w:lang w:val="fr-FR"/>
              </w:rPr>
            </w:pPr>
            <w:r w:rsidRPr="00420560">
              <w:rPr>
                <w:b/>
                <w:bCs/>
                <w:color w:val="000000" w:themeColor="text1"/>
                <w:kern w:val="20"/>
                <w:sz w:val="20"/>
                <w:szCs w:val="20"/>
                <w:lang w:val="fr-FR"/>
              </w:rPr>
              <w:tab/>
            </w:r>
            <w:r w:rsidR="00201D78" w:rsidRPr="00420560">
              <w:rPr>
                <w:b/>
                <w:bCs/>
                <w:color w:val="000000" w:themeColor="text1"/>
                <w:kern w:val="20"/>
                <w:sz w:val="20"/>
                <w:szCs w:val="20"/>
                <w:lang w:val="fr-FR"/>
              </w:rPr>
              <w:t>Total</w:t>
            </w:r>
          </w:p>
        </w:tc>
        <w:tc>
          <w:tcPr>
            <w:tcW w:w="1482" w:type="dxa"/>
            <w:tcBorders>
              <w:top w:val="nil"/>
              <w:left w:val="nil"/>
              <w:bottom w:val="single" w:sz="8" w:space="0" w:color="000000"/>
              <w:right w:val="nil"/>
            </w:tcBorders>
            <w:shd w:val="clear" w:color="auto" w:fill="auto"/>
            <w:vAlign w:val="center"/>
            <w:hideMark/>
          </w:tcPr>
          <w:p w14:paraId="2BEAA7E9" w14:textId="658FB649" w:rsidR="00201D78" w:rsidRPr="00420560" w:rsidRDefault="00201D78" w:rsidP="004C46A6">
            <w:pPr>
              <w:spacing w:before="20" w:after="20"/>
              <w:jc w:val="right"/>
              <w:rPr>
                <w:b/>
                <w:bCs/>
                <w:color w:val="000000" w:themeColor="text1"/>
                <w:kern w:val="20"/>
                <w:sz w:val="20"/>
                <w:szCs w:val="20"/>
                <w:lang w:val="fr-FR"/>
              </w:rPr>
            </w:pPr>
            <w:r w:rsidRPr="00420560">
              <w:rPr>
                <w:b/>
                <w:bCs/>
                <w:color w:val="000000" w:themeColor="text1"/>
                <w:kern w:val="20"/>
                <w:sz w:val="20"/>
                <w:szCs w:val="20"/>
                <w:lang w:val="fr-FR"/>
              </w:rPr>
              <w:t>7</w:t>
            </w:r>
            <w:r w:rsidR="00CD26C3" w:rsidRPr="00420560">
              <w:rPr>
                <w:b/>
                <w:bCs/>
                <w:color w:val="000000" w:themeColor="text1"/>
                <w:kern w:val="20"/>
                <w:sz w:val="20"/>
                <w:szCs w:val="20"/>
                <w:lang w:val="fr-FR"/>
              </w:rPr>
              <w:t> </w:t>
            </w:r>
            <w:r w:rsidRPr="00420560">
              <w:rPr>
                <w:b/>
                <w:bCs/>
                <w:color w:val="000000" w:themeColor="text1"/>
                <w:kern w:val="20"/>
                <w:sz w:val="20"/>
                <w:szCs w:val="20"/>
                <w:lang w:val="fr-FR"/>
              </w:rPr>
              <w:t>894</w:t>
            </w:r>
            <w:r w:rsidR="000C12E8" w:rsidRPr="00420560">
              <w:rPr>
                <w:b/>
                <w:bCs/>
                <w:color w:val="000000" w:themeColor="text1"/>
                <w:kern w:val="20"/>
                <w:sz w:val="20"/>
                <w:szCs w:val="20"/>
                <w:lang w:val="fr-FR"/>
              </w:rPr>
              <w:t>,</w:t>
            </w:r>
            <w:r w:rsidRPr="00420560">
              <w:rPr>
                <w:b/>
                <w:bCs/>
                <w:color w:val="000000" w:themeColor="text1"/>
                <w:kern w:val="20"/>
                <w:sz w:val="20"/>
                <w:szCs w:val="20"/>
                <w:lang w:val="fr-FR"/>
              </w:rPr>
              <w:t>3</w:t>
            </w:r>
          </w:p>
        </w:tc>
      </w:tr>
      <w:tr w:rsidR="00201D78" w:rsidRPr="00420560" w14:paraId="3465DC36" w14:textId="77777777" w:rsidTr="00BA7C78">
        <w:trPr>
          <w:trHeight w:val="294"/>
        </w:trPr>
        <w:tc>
          <w:tcPr>
            <w:tcW w:w="9767" w:type="dxa"/>
            <w:gridSpan w:val="2"/>
            <w:tcBorders>
              <w:top w:val="nil"/>
              <w:left w:val="nil"/>
              <w:bottom w:val="nil"/>
              <w:right w:val="nil"/>
            </w:tcBorders>
            <w:shd w:val="clear" w:color="auto" w:fill="auto"/>
            <w:noWrap/>
            <w:vAlign w:val="center"/>
          </w:tcPr>
          <w:p w14:paraId="604E256E" w14:textId="68D0454A" w:rsidR="00201D78" w:rsidRPr="00420560" w:rsidRDefault="00047E7A" w:rsidP="00740DF9">
            <w:pPr>
              <w:tabs>
                <w:tab w:val="clear" w:pos="567"/>
                <w:tab w:val="left" w:pos="310"/>
              </w:tabs>
              <w:spacing w:before="120"/>
              <w:ind w:left="425" w:firstLine="284"/>
              <w:rPr>
                <w:color w:val="000000" w:themeColor="text1"/>
                <w:kern w:val="20"/>
                <w:sz w:val="20"/>
                <w:szCs w:val="20"/>
                <w:lang w:val="fr-FR"/>
              </w:rPr>
            </w:pPr>
            <w:proofErr w:type="spellStart"/>
            <w:r w:rsidRPr="00420560">
              <w:rPr>
                <w:i/>
                <w:iCs/>
                <w:color w:val="000000" w:themeColor="text1"/>
                <w:kern w:val="20"/>
                <w:sz w:val="20"/>
                <w:szCs w:val="20"/>
                <w:vertAlign w:val="superscript"/>
                <w:lang w:val="fr-FR"/>
              </w:rPr>
              <w:t>a</w:t>
            </w:r>
            <w:proofErr w:type="spellEnd"/>
            <w:r w:rsidR="00740DF9">
              <w:rPr>
                <w:i/>
                <w:iCs/>
                <w:color w:val="000000" w:themeColor="text1"/>
                <w:kern w:val="20"/>
                <w:sz w:val="20"/>
                <w:szCs w:val="20"/>
                <w:vertAlign w:val="superscript"/>
                <w:lang w:val="fr-FR"/>
              </w:rPr>
              <w:t xml:space="preserve"> </w:t>
            </w:r>
            <w:r w:rsidR="00201D78" w:rsidRPr="00420560">
              <w:rPr>
                <w:color w:val="000000" w:themeColor="text1"/>
                <w:kern w:val="20"/>
                <w:sz w:val="20"/>
                <w:szCs w:val="20"/>
                <w:lang w:val="fr-FR"/>
              </w:rPr>
              <w:t>T</w:t>
            </w:r>
            <w:r w:rsidR="00040813" w:rsidRPr="00420560">
              <w:rPr>
                <w:color w:val="000000" w:themeColor="text1"/>
                <w:kern w:val="20"/>
                <w:sz w:val="20"/>
                <w:szCs w:val="20"/>
                <w:lang w:val="fr-FR"/>
              </w:rPr>
              <w:t>rois délégués financés pour chaque Partie admissible</w:t>
            </w:r>
            <w:r w:rsidR="00201D78" w:rsidRPr="00420560">
              <w:rPr>
                <w:color w:val="000000" w:themeColor="text1"/>
                <w:kern w:val="20"/>
                <w:sz w:val="20"/>
                <w:szCs w:val="20"/>
                <w:lang w:val="fr-FR"/>
              </w:rPr>
              <w:t>.</w:t>
            </w:r>
          </w:p>
          <w:p w14:paraId="3AD2647D" w14:textId="2F517893" w:rsidR="00201D78" w:rsidRPr="00420560" w:rsidRDefault="00945A4D" w:rsidP="00740DF9">
            <w:pPr>
              <w:tabs>
                <w:tab w:val="left" w:pos="310"/>
              </w:tabs>
              <w:spacing w:before="120"/>
              <w:ind w:left="425" w:firstLine="284"/>
              <w:contextualSpacing/>
              <w:rPr>
                <w:color w:val="000000" w:themeColor="text1"/>
                <w:kern w:val="20"/>
                <w:sz w:val="20"/>
                <w:szCs w:val="20"/>
                <w:lang w:val="fr-FR"/>
              </w:rPr>
            </w:pPr>
            <w:r w:rsidRPr="00420560">
              <w:rPr>
                <w:i/>
                <w:iCs/>
                <w:color w:val="000000" w:themeColor="text1"/>
                <w:kern w:val="20"/>
                <w:sz w:val="20"/>
                <w:szCs w:val="20"/>
                <w:vertAlign w:val="superscript"/>
                <w:lang w:val="fr-FR"/>
              </w:rPr>
              <w:t>b</w:t>
            </w:r>
            <w:r w:rsidR="00740DF9">
              <w:rPr>
                <w:i/>
                <w:iCs/>
                <w:color w:val="000000" w:themeColor="text1"/>
                <w:kern w:val="20"/>
                <w:sz w:val="20"/>
                <w:szCs w:val="20"/>
                <w:vertAlign w:val="superscript"/>
                <w:lang w:val="fr-FR"/>
              </w:rPr>
              <w:t xml:space="preserve"> </w:t>
            </w:r>
            <w:r w:rsidR="00C8261F" w:rsidRPr="00420560">
              <w:rPr>
                <w:color w:val="000000" w:themeColor="text1"/>
                <w:kern w:val="20"/>
                <w:sz w:val="20"/>
                <w:szCs w:val="20"/>
                <w:lang w:val="fr-FR"/>
              </w:rPr>
              <w:t>Deux délégués financés pour chaque Partie admissible (réunions qui se tiendront à la suite).</w:t>
            </w:r>
          </w:p>
        </w:tc>
      </w:tr>
    </w:tbl>
    <w:p w14:paraId="09F0F727" w14:textId="1D5343BF" w:rsidR="00201D78" w:rsidRPr="00BA52C1" w:rsidRDefault="00201D78" w:rsidP="00582303">
      <w:pPr>
        <w:pStyle w:val="CBDTableTitle"/>
        <w:spacing w:before="240"/>
        <w:rPr>
          <w:lang w:val="fr-FR"/>
        </w:rPr>
      </w:pPr>
      <w:r w:rsidRPr="00BA52C1">
        <w:rPr>
          <w:b w:val="0"/>
          <w:bCs/>
          <w:lang w:val="fr-FR"/>
        </w:rPr>
        <w:t>Table</w:t>
      </w:r>
      <w:r w:rsidR="00C8261F">
        <w:rPr>
          <w:b w:val="0"/>
          <w:bCs/>
          <w:lang w:val="fr-FR"/>
        </w:rPr>
        <w:t>au</w:t>
      </w:r>
      <w:r w:rsidR="00AA1A10">
        <w:rPr>
          <w:b w:val="0"/>
          <w:bCs/>
          <w:lang w:val="fr-FR"/>
        </w:rPr>
        <w:t> </w:t>
      </w:r>
      <w:r w:rsidR="00665899">
        <w:rPr>
          <w:b w:val="0"/>
          <w:bCs/>
          <w:lang w:val="fr-FR"/>
        </w:rPr>
        <w:t>7</w:t>
      </w:r>
      <w:r w:rsidR="0009052D" w:rsidRPr="00BA52C1">
        <w:rPr>
          <w:lang w:val="fr-FR"/>
        </w:rPr>
        <w:br/>
      </w:r>
      <w:r w:rsidR="000D5BAE">
        <w:rPr>
          <w:lang w:val="fr-FR"/>
        </w:rPr>
        <w:t xml:space="preserve">Ressources nécessaires au titre </w:t>
      </w:r>
      <w:r w:rsidR="00E46CF4">
        <w:rPr>
          <w:lang w:val="fr-FR"/>
        </w:rPr>
        <w:t xml:space="preserve">du </w:t>
      </w:r>
      <w:bookmarkStart w:id="9" w:name="_Hlk198215426"/>
      <w:r w:rsidR="00E46CF4">
        <w:rPr>
          <w:lang w:val="fr-FR"/>
        </w:rPr>
        <w:t xml:space="preserve">Fonds </w:t>
      </w:r>
      <w:r w:rsidR="001E2D71">
        <w:rPr>
          <w:lang w:val="fr-FR"/>
        </w:rPr>
        <w:t>spécial de contributions volontaires</w:t>
      </w:r>
      <w:r w:rsidR="00E46CF4">
        <w:rPr>
          <w:lang w:val="fr-FR"/>
        </w:rPr>
        <w:t xml:space="preserve"> </w:t>
      </w:r>
      <w:r w:rsidR="000D5E71">
        <w:rPr>
          <w:lang w:val="fr-FR"/>
        </w:rPr>
        <w:t>destiné</w:t>
      </w:r>
      <w:r w:rsidR="00E46CF4">
        <w:rPr>
          <w:lang w:val="fr-FR"/>
        </w:rPr>
        <w:t xml:space="preserve"> à faciliter la participation des peuples autochtones et communautés locales</w:t>
      </w:r>
      <w:r w:rsidR="004E1773">
        <w:rPr>
          <w:lang w:val="fr-FR"/>
        </w:rPr>
        <w:t>,</w:t>
      </w:r>
      <w:bookmarkEnd w:id="9"/>
      <w:r w:rsidR="004E1773">
        <w:rPr>
          <w:lang w:val="fr-FR"/>
        </w:rPr>
        <w:t xml:space="preserve"> </w:t>
      </w:r>
      <w:r w:rsidRPr="00BA52C1">
        <w:rPr>
          <w:lang w:val="fr-FR"/>
        </w:rPr>
        <w:t>2025</w:t>
      </w:r>
      <w:r w:rsidR="002E5A1A" w:rsidRPr="00BA52C1">
        <w:rPr>
          <w:lang w:val="fr-FR"/>
        </w:rPr>
        <w:t>–</w:t>
      </w:r>
      <w:r w:rsidRPr="00BA52C1">
        <w:rPr>
          <w:lang w:val="fr-FR"/>
        </w:rPr>
        <w:t>2026</w:t>
      </w:r>
    </w:p>
    <w:p w14:paraId="26470EE3" w14:textId="0479F23E" w:rsidR="0009052D" w:rsidRPr="00BA52C1" w:rsidRDefault="0009052D" w:rsidP="00582303">
      <w:pPr>
        <w:pStyle w:val="CBDNormalNoNumber"/>
        <w:spacing w:after="60"/>
        <w:rPr>
          <w:sz w:val="18"/>
          <w:szCs w:val="18"/>
          <w:lang w:val="fr-FR"/>
        </w:rPr>
      </w:pPr>
      <w:r w:rsidRPr="00BA52C1">
        <w:rPr>
          <w:sz w:val="18"/>
          <w:szCs w:val="18"/>
          <w:lang w:val="fr-FR"/>
        </w:rPr>
        <w:t>(</w:t>
      </w:r>
      <w:r w:rsidR="00E46CF4">
        <w:rPr>
          <w:sz w:val="18"/>
          <w:szCs w:val="18"/>
          <w:lang w:val="fr-FR"/>
        </w:rPr>
        <w:t>En milliers de dollars des États-Unis</w:t>
      </w:r>
      <w:r w:rsidRPr="00BA52C1">
        <w:rPr>
          <w:sz w:val="18"/>
          <w:szCs w:val="18"/>
          <w:lang w:val="fr-FR"/>
        </w:rPr>
        <w:t>)</w:t>
      </w:r>
    </w:p>
    <w:tbl>
      <w:tblPr>
        <w:tblW w:w="9588" w:type="dxa"/>
        <w:tblBorders>
          <w:top w:val="nil"/>
          <w:left w:val="nil"/>
          <w:bottom w:val="nil"/>
          <w:right w:val="nil"/>
        </w:tblBorders>
        <w:tblLayout w:type="fixed"/>
        <w:tblLook w:val="0000" w:firstRow="0" w:lastRow="0" w:firstColumn="0" w:lastColumn="0" w:noHBand="0" w:noVBand="0"/>
      </w:tblPr>
      <w:tblGrid>
        <w:gridCol w:w="8337"/>
        <w:gridCol w:w="1251"/>
      </w:tblGrid>
      <w:tr w:rsidR="0009052D" w:rsidRPr="00420560" w14:paraId="4AFE6B9C" w14:textId="77777777" w:rsidTr="00BA7C78">
        <w:trPr>
          <w:trHeight w:val="279"/>
        </w:trPr>
        <w:tc>
          <w:tcPr>
            <w:tcW w:w="8337" w:type="dxa"/>
            <w:tcBorders>
              <w:top w:val="single" w:sz="8" w:space="0" w:color="000000"/>
              <w:left w:val="nil"/>
              <w:right w:val="nil"/>
            </w:tcBorders>
          </w:tcPr>
          <w:p w14:paraId="7C464691" w14:textId="77777777" w:rsidR="0009052D" w:rsidRPr="00420560" w:rsidRDefault="0009052D" w:rsidP="004C46A6">
            <w:pPr>
              <w:pStyle w:val="Default"/>
              <w:spacing w:before="20" w:after="20"/>
              <w:rPr>
                <w:i/>
                <w:iCs/>
                <w:color w:val="000000" w:themeColor="text1"/>
                <w:kern w:val="20"/>
                <w:sz w:val="20"/>
                <w:szCs w:val="20"/>
                <w:lang w:val="fr-FR"/>
              </w:rPr>
            </w:pPr>
            <w:r w:rsidRPr="00420560">
              <w:rPr>
                <w:i/>
                <w:iCs/>
                <w:color w:val="000000" w:themeColor="text1"/>
                <w:kern w:val="20"/>
                <w:sz w:val="20"/>
                <w:szCs w:val="20"/>
                <w:lang w:val="fr-FR"/>
              </w:rPr>
              <w:t>Description</w:t>
            </w:r>
          </w:p>
        </w:tc>
        <w:tc>
          <w:tcPr>
            <w:tcW w:w="1251" w:type="dxa"/>
            <w:tcBorders>
              <w:top w:val="single" w:sz="8" w:space="0" w:color="000000"/>
              <w:left w:val="nil"/>
              <w:right w:val="nil"/>
            </w:tcBorders>
          </w:tcPr>
          <w:p w14:paraId="2F0E19BE" w14:textId="1DD2D556" w:rsidR="0009052D" w:rsidRPr="00420560" w:rsidRDefault="0009052D" w:rsidP="004C46A6">
            <w:pPr>
              <w:pStyle w:val="Default"/>
              <w:spacing w:before="20" w:after="20"/>
              <w:jc w:val="right"/>
              <w:rPr>
                <w:i/>
                <w:iCs/>
                <w:color w:val="000000" w:themeColor="text1"/>
                <w:kern w:val="20"/>
                <w:sz w:val="20"/>
                <w:szCs w:val="20"/>
                <w:lang w:val="fr-FR"/>
              </w:rPr>
            </w:pPr>
            <w:r w:rsidRPr="00420560">
              <w:rPr>
                <w:i/>
                <w:iCs/>
                <w:color w:val="000000" w:themeColor="text1"/>
                <w:kern w:val="20"/>
                <w:sz w:val="20"/>
                <w:szCs w:val="20"/>
                <w:lang w:val="fr-FR"/>
              </w:rPr>
              <w:t>2025</w:t>
            </w:r>
            <w:r w:rsidR="00B859EF" w:rsidRPr="00420560">
              <w:rPr>
                <w:i/>
                <w:iCs/>
                <w:color w:val="000000" w:themeColor="text1"/>
                <w:kern w:val="20"/>
                <w:sz w:val="20"/>
                <w:szCs w:val="20"/>
                <w:lang w:val="fr-FR"/>
              </w:rPr>
              <w:t>–</w:t>
            </w:r>
            <w:r w:rsidRPr="00420560">
              <w:rPr>
                <w:i/>
                <w:iCs/>
                <w:color w:val="000000" w:themeColor="text1"/>
                <w:kern w:val="20"/>
                <w:sz w:val="20"/>
                <w:szCs w:val="20"/>
                <w:lang w:val="fr-FR"/>
              </w:rPr>
              <w:t>2026</w:t>
            </w:r>
          </w:p>
        </w:tc>
      </w:tr>
      <w:tr w:rsidR="00201D78" w:rsidRPr="00420560" w14:paraId="0287AEE6" w14:textId="77777777" w:rsidTr="00BA7C78">
        <w:trPr>
          <w:trHeight w:val="180"/>
        </w:trPr>
        <w:tc>
          <w:tcPr>
            <w:tcW w:w="8337" w:type="dxa"/>
            <w:tcBorders>
              <w:top w:val="single" w:sz="4" w:space="0" w:color="auto"/>
              <w:bottom w:val="nil"/>
            </w:tcBorders>
          </w:tcPr>
          <w:p w14:paraId="5A759D65" w14:textId="4EC8F45C" w:rsidR="00201D78" w:rsidRPr="00420560" w:rsidRDefault="00E46CF4" w:rsidP="004C46A6">
            <w:pPr>
              <w:pStyle w:val="Default"/>
              <w:spacing w:before="20" w:after="20"/>
              <w:rPr>
                <w:b/>
                <w:color w:val="000000" w:themeColor="text1"/>
                <w:kern w:val="20"/>
                <w:sz w:val="20"/>
                <w:szCs w:val="20"/>
                <w:lang w:val="fr-FR"/>
              </w:rPr>
            </w:pPr>
            <w:r w:rsidRPr="00420560">
              <w:rPr>
                <w:b/>
                <w:bCs/>
                <w:color w:val="000000" w:themeColor="text1"/>
                <w:kern w:val="20"/>
                <w:sz w:val="20"/>
                <w:szCs w:val="20"/>
                <w:lang w:val="fr-FR"/>
              </w:rPr>
              <w:t>Réunions</w:t>
            </w:r>
          </w:p>
        </w:tc>
        <w:tc>
          <w:tcPr>
            <w:tcW w:w="1251" w:type="dxa"/>
            <w:tcBorders>
              <w:top w:val="single" w:sz="4" w:space="0" w:color="auto"/>
              <w:bottom w:val="nil"/>
            </w:tcBorders>
          </w:tcPr>
          <w:p w14:paraId="392CB0CE" w14:textId="530212D9" w:rsidR="00201D78" w:rsidRPr="00420560" w:rsidRDefault="00201D78" w:rsidP="004C46A6">
            <w:pPr>
              <w:pStyle w:val="Default"/>
              <w:spacing w:before="20" w:after="20"/>
              <w:jc w:val="right"/>
              <w:rPr>
                <w:color w:val="000000" w:themeColor="text1"/>
                <w:kern w:val="20"/>
                <w:sz w:val="20"/>
                <w:szCs w:val="20"/>
                <w:lang w:val="fr-FR"/>
              </w:rPr>
            </w:pPr>
          </w:p>
        </w:tc>
      </w:tr>
      <w:tr w:rsidR="005D3D33" w:rsidRPr="00420560" w14:paraId="7277CAFA" w14:textId="77777777" w:rsidTr="00BA7C78">
        <w:trPr>
          <w:trHeight w:val="180"/>
        </w:trPr>
        <w:tc>
          <w:tcPr>
            <w:tcW w:w="8337" w:type="dxa"/>
            <w:tcBorders>
              <w:top w:val="nil"/>
              <w:left w:val="nil"/>
              <w:bottom w:val="nil"/>
              <w:right w:val="nil"/>
            </w:tcBorders>
          </w:tcPr>
          <w:p w14:paraId="787BEB4A" w14:textId="6C11E3D8" w:rsidR="005D3D33" w:rsidRPr="00420560" w:rsidRDefault="00682256" w:rsidP="004C46A6">
            <w:pPr>
              <w:pStyle w:val="Default"/>
              <w:spacing w:before="20" w:after="20"/>
              <w:rPr>
                <w:b/>
                <w:bCs/>
                <w:color w:val="000000" w:themeColor="text1"/>
                <w:kern w:val="20"/>
                <w:sz w:val="20"/>
                <w:szCs w:val="20"/>
                <w:lang w:val="fr-FR"/>
              </w:rPr>
            </w:pPr>
            <w:r w:rsidRPr="00420560">
              <w:rPr>
                <w:color w:val="000000" w:themeColor="text1"/>
                <w:kern w:val="20"/>
                <w:sz w:val="20"/>
                <w:szCs w:val="20"/>
                <w:lang w:val="fr-FR"/>
              </w:rPr>
              <w:t>Dix-septième réunion de la Conférence des Parties à la Convention, Douzième réunion de la Conférence des Parties siégeant en tant que réunion des Parties au Protocole de Cartagena et sixième réunion de la Conférence des Parties siégeant en tant que réunion des Parties au Protocole de Nagoya</w:t>
            </w:r>
          </w:p>
        </w:tc>
        <w:tc>
          <w:tcPr>
            <w:tcW w:w="1251" w:type="dxa"/>
            <w:tcBorders>
              <w:top w:val="nil"/>
              <w:left w:val="nil"/>
              <w:bottom w:val="nil"/>
              <w:right w:val="nil"/>
            </w:tcBorders>
          </w:tcPr>
          <w:p w14:paraId="44FE7FC0" w14:textId="2055B066" w:rsidR="005D3D33" w:rsidRPr="00420560" w:rsidRDefault="005D3D33" w:rsidP="004C46A6">
            <w:pPr>
              <w:pStyle w:val="Default"/>
              <w:spacing w:before="20" w:after="20"/>
              <w:jc w:val="right"/>
              <w:rPr>
                <w:color w:val="000000" w:themeColor="text1"/>
                <w:kern w:val="20"/>
                <w:sz w:val="20"/>
                <w:szCs w:val="20"/>
                <w:lang w:val="fr-FR"/>
              </w:rPr>
            </w:pPr>
            <w:r w:rsidRPr="00420560">
              <w:rPr>
                <w:color w:val="000000" w:themeColor="text1"/>
                <w:kern w:val="20"/>
                <w:sz w:val="20"/>
                <w:szCs w:val="20"/>
                <w:lang w:val="fr-FR"/>
              </w:rPr>
              <w:t>91</w:t>
            </w:r>
            <w:r w:rsidR="000C12E8" w:rsidRPr="00420560">
              <w:rPr>
                <w:color w:val="000000" w:themeColor="text1"/>
                <w:kern w:val="20"/>
                <w:sz w:val="20"/>
                <w:szCs w:val="20"/>
                <w:lang w:val="fr-FR"/>
              </w:rPr>
              <w:t>,</w:t>
            </w:r>
            <w:r w:rsidRPr="00420560">
              <w:rPr>
                <w:color w:val="000000" w:themeColor="text1"/>
                <w:kern w:val="20"/>
                <w:sz w:val="20"/>
                <w:szCs w:val="20"/>
                <w:lang w:val="fr-FR"/>
              </w:rPr>
              <w:t>0</w:t>
            </w:r>
          </w:p>
        </w:tc>
      </w:tr>
      <w:tr w:rsidR="005D3D33" w:rsidRPr="00420560" w14:paraId="6DA25330" w14:textId="77777777" w:rsidTr="00BA7C78">
        <w:trPr>
          <w:trHeight w:val="180"/>
        </w:trPr>
        <w:tc>
          <w:tcPr>
            <w:tcW w:w="8337" w:type="dxa"/>
            <w:tcBorders>
              <w:top w:val="nil"/>
              <w:left w:val="nil"/>
              <w:bottom w:val="nil"/>
              <w:right w:val="nil"/>
            </w:tcBorders>
          </w:tcPr>
          <w:p w14:paraId="1FCFB390" w14:textId="54C4CCED" w:rsidR="005D3D33" w:rsidRPr="00420560" w:rsidRDefault="00682256" w:rsidP="004C46A6">
            <w:pPr>
              <w:pStyle w:val="Default"/>
              <w:spacing w:before="20" w:after="20"/>
              <w:rPr>
                <w:b/>
                <w:bCs/>
                <w:color w:val="000000" w:themeColor="text1"/>
                <w:kern w:val="20"/>
                <w:sz w:val="20"/>
                <w:szCs w:val="20"/>
                <w:lang w:val="fr-FR"/>
              </w:rPr>
            </w:pPr>
            <w:r w:rsidRPr="00420560">
              <w:rPr>
                <w:color w:val="000000" w:themeColor="text1"/>
                <w:kern w:val="20"/>
                <w:sz w:val="20"/>
                <w:szCs w:val="20"/>
                <w:lang w:val="fr-FR"/>
              </w:rPr>
              <w:t>Vingt-septième réunion de l’Organe subsidiaire chargé de fournir des avis scientifiques, techniques et technologiques et première réunion de l’Organe subsidiaire chargé de l’article</w:t>
            </w:r>
            <w:r w:rsidR="00AA1A10" w:rsidRPr="00420560">
              <w:rPr>
                <w:color w:val="000000" w:themeColor="text1"/>
                <w:kern w:val="20"/>
                <w:sz w:val="20"/>
                <w:szCs w:val="20"/>
                <w:lang w:val="fr-FR"/>
              </w:rPr>
              <w:t> </w:t>
            </w:r>
            <w:r w:rsidRPr="00420560">
              <w:rPr>
                <w:color w:val="000000" w:themeColor="text1"/>
                <w:kern w:val="20"/>
                <w:sz w:val="20"/>
                <w:szCs w:val="20"/>
                <w:lang w:val="fr-FR"/>
              </w:rPr>
              <w:t>8</w:t>
            </w:r>
            <w:r w:rsidR="00AA1A10" w:rsidRPr="00420560">
              <w:rPr>
                <w:color w:val="000000" w:themeColor="text1"/>
                <w:kern w:val="20"/>
                <w:sz w:val="20"/>
                <w:szCs w:val="20"/>
                <w:lang w:val="fr-FR"/>
              </w:rPr>
              <w:t> </w:t>
            </w:r>
            <w:r w:rsidRPr="00420560">
              <w:rPr>
                <w:color w:val="000000" w:themeColor="text1"/>
                <w:kern w:val="20"/>
                <w:sz w:val="20"/>
                <w:szCs w:val="20"/>
                <w:lang w:val="fr-FR"/>
              </w:rPr>
              <w:t xml:space="preserve">j) et de ses dispositions connexes à la Convention relative aux peuples autochtones et communautés </w:t>
            </w:r>
            <w:proofErr w:type="spellStart"/>
            <w:r w:rsidRPr="00420560">
              <w:rPr>
                <w:color w:val="000000" w:themeColor="text1"/>
                <w:kern w:val="20"/>
                <w:sz w:val="20"/>
                <w:szCs w:val="20"/>
                <w:lang w:val="fr-FR"/>
              </w:rPr>
              <w:t>locales</w:t>
            </w:r>
            <w:r w:rsidR="00A37E86" w:rsidRPr="00420560">
              <w:rPr>
                <w:i/>
                <w:iCs/>
                <w:color w:val="000000" w:themeColor="text1"/>
                <w:kern w:val="20"/>
                <w:sz w:val="20"/>
                <w:szCs w:val="20"/>
                <w:vertAlign w:val="superscript"/>
                <w:lang w:val="fr-FR"/>
              </w:rPr>
              <w:t>a</w:t>
            </w:r>
            <w:proofErr w:type="spellEnd"/>
          </w:p>
        </w:tc>
        <w:tc>
          <w:tcPr>
            <w:tcW w:w="1251" w:type="dxa"/>
            <w:tcBorders>
              <w:top w:val="nil"/>
              <w:left w:val="nil"/>
              <w:bottom w:val="nil"/>
              <w:right w:val="nil"/>
            </w:tcBorders>
          </w:tcPr>
          <w:p w14:paraId="7E285DC5" w14:textId="16F874E2" w:rsidR="005D3D33" w:rsidRPr="00420560" w:rsidRDefault="005D3D33" w:rsidP="004C46A6">
            <w:pPr>
              <w:pStyle w:val="Default"/>
              <w:spacing w:before="20" w:after="20"/>
              <w:jc w:val="right"/>
              <w:rPr>
                <w:color w:val="000000" w:themeColor="text1"/>
                <w:kern w:val="20"/>
                <w:sz w:val="20"/>
                <w:szCs w:val="20"/>
                <w:lang w:val="fr-FR"/>
              </w:rPr>
            </w:pPr>
            <w:r w:rsidRPr="00420560">
              <w:rPr>
                <w:color w:val="000000" w:themeColor="text1"/>
                <w:kern w:val="20"/>
                <w:sz w:val="20"/>
                <w:szCs w:val="20"/>
                <w:lang w:val="fr-FR"/>
              </w:rPr>
              <w:t>84</w:t>
            </w:r>
            <w:r w:rsidR="000C12E8" w:rsidRPr="00420560">
              <w:rPr>
                <w:color w:val="000000" w:themeColor="text1"/>
                <w:kern w:val="20"/>
                <w:sz w:val="20"/>
                <w:szCs w:val="20"/>
                <w:lang w:val="fr-FR"/>
              </w:rPr>
              <w:t>,</w:t>
            </w:r>
            <w:r w:rsidRPr="00420560">
              <w:rPr>
                <w:color w:val="000000" w:themeColor="text1"/>
                <w:kern w:val="20"/>
                <w:sz w:val="20"/>
                <w:szCs w:val="20"/>
                <w:lang w:val="fr-FR"/>
              </w:rPr>
              <w:t>5</w:t>
            </w:r>
          </w:p>
        </w:tc>
      </w:tr>
      <w:tr w:rsidR="00201D78" w:rsidRPr="00420560" w14:paraId="1F069694" w14:textId="77777777" w:rsidTr="00BA7C78">
        <w:trPr>
          <w:trHeight w:val="146"/>
        </w:trPr>
        <w:tc>
          <w:tcPr>
            <w:tcW w:w="8337" w:type="dxa"/>
            <w:tcBorders>
              <w:top w:val="nil"/>
              <w:bottom w:val="single" w:sz="8" w:space="0" w:color="000000"/>
            </w:tcBorders>
            <w:vAlign w:val="center"/>
          </w:tcPr>
          <w:p w14:paraId="12EFC6D1" w14:textId="655C7869" w:rsidR="00201D78" w:rsidRPr="00420560" w:rsidRDefault="00682256" w:rsidP="004C46A6">
            <w:pPr>
              <w:pStyle w:val="Default"/>
              <w:spacing w:before="20" w:after="20"/>
              <w:rPr>
                <w:color w:val="000000" w:themeColor="text1"/>
                <w:kern w:val="20"/>
                <w:sz w:val="20"/>
                <w:szCs w:val="20"/>
                <w:lang w:val="fr-FR"/>
              </w:rPr>
            </w:pPr>
            <w:r w:rsidRPr="00420560">
              <w:rPr>
                <w:color w:val="000000" w:themeColor="text1"/>
                <w:kern w:val="20"/>
                <w:sz w:val="20"/>
                <w:szCs w:val="20"/>
                <w:lang w:val="fr-FR"/>
              </w:rPr>
              <w:t>Vingt-huitième réunion de l’Organe subsidiaire chargé de fournir des avis scientifiques, techniques et technologiques et sixième réunion de l’Organe subsidiaire chargé de l’application</w:t>
            </w:r>
            <w:r w:rsidRPr="00420560">
              <w:rPr>
                <w:i/>
                <w:iCs/>
                <w:color w:val="000000" w:themeColor="text1"/>
                <w:kern w:val="20"/>
                <w:sz w:val="20"/>
                <w:szCs w:val="20"/>
                <w:vertAlign w:val="superscript"/>
                <w:lang w:val="fr-FR"/>
              </w:rPr>
              <w:t xml:space="preserve"> </w:t>
            </w:r>
            <w:r w:rsidR="00A37E86" w:rsidRPr="00420560">
              <w:rPr>
                <w:i/>
                <w:iCs/>
                <w:color w:val="000000" w:themeColor="text1"/>
                <w:kern w:val="20"/>
                <w:sz w:val="20"/>
                <w:szCs w:val="20"/>
                <w:vertAlign w:val="superscript"/>
                <w:lang w:val="fr-FR"/>
              </w:rPr>
              <w:t>a</w:t>
            </w:r>
          </w:p>
        </w:tc>
        <w:tc>
          <w:tcPr>
            <w:tcW w:w="1251" w:type="dxa"/>
            <w:tcBorders>
              <w:top w:val="nil"/>
              <w:bottom w:val="single" w:sz="8" w:space="0" w:color="000000"/>
            </w:tcBorders>
            <w:vAlign w:val="center"/>
          </w:tcPr>
          <w:p w14:paraId="13AAEB03" w14:textId="6B051580" w:rsidR="00201D78" w:rsidRPr="00420560" w:rsidRDefault="00201D78" w:rsidP="004C46A6">
            <w:pPr>
              <w:pStyle w:val="Default"/>
              <w:spacing w:before="20" w:after="20"/>
              <w:jc w:val="right"/>
              <w:rPr>
                <w:color w:val="000000" w:themeColor="text1"/>
                <w:kern w:val="20"/>
                <w:sz w:val="20"/>
                <w:szCs w:val="20"/>
                <w:lang w:val="fr-FR"/>
              </w:rPr>
            </w:pPr>
            <w:r w:rsidRPr="00420560">
              <w:rPr>
                <w:color w:val="000000" w:themeColor="text1"/>
                <w:kern w:val="20"/>
                <w:sz w:val="20"/>
                <w:szCs w:val="20"/>
                <w:lang w:val="fr-FR"/>
              </w:rPr>
              <w:t>105</w:t>
            </w:r>
            <w:r w:rsidR="000C12E8" w:rsidRPr="00420560">
              <w:rPr>
                <w:color w:val="000000" w:themeColor="text1"/>
                <w:kern w:val="20"/>
                <w:sz w:val="20"/>
                <w:szCs w:val="20"/>
                <w:lang w:val="fr-FR"/>
              </w:rPr>
              <w:t>,</w:t>
            </w:r>
            <w:r w:rsidRPr="00420560">
              <w:rPr>
                <w:color w:val="000000" w:themeColor="text1"/>
                <w:kern w:val="20"/>
                <w:sz w:val="20"/>
                <w:szCs w:val="20"/>
                <w:lang w:val="fr-FR"/>
              </w:rPr>
              <w:t>0</w:t>
            </w:r>
          </w:p>
        </w:tc>
      </w:tr>
      <w:tr w:rsidR="00201D78" w:rsidRPr="00420560" w14:paraId="58D53D75" w14:textId="77777777" w:rsidTr="00BA7C78">
        <w:trPr>
          <w:trHeight w:val="146"/>
        </w:trPr>
        <w:tc>
          <w:tcPr>
            <w:tcW w:w="8337" w:type="dxa"/>
            <w:tcBorders>
              <w:top w:val="single" w:sz="8" w:space="0" w:color="000000"/>
              <w:bottom w:val="single" w:sz="8" w:space="0" w:color="000000"/>
            </w:tcBorders>
            <w:vAlign w:val="center"/>
          </w:tcPr>
          <w:p w14:paraId="5ACB5FFD" w14:textId="70E15282" w:rsidR="00201D78" w:rsidRPr="00420560" w:rsidRDefault="00751F5D" w:rsidP="004C46A6">
            <w:pPr>
              <w:pStyle w:val="Default"/>
              <w:spacing w:before="20" w:after="20"/>
              <w:ind w:left="319"/>
              <w:rPr>
                <w:color w:val="000000" w:themeColor="text1"/>
                <w:kern w:val="20"/>
                <w:sz w:val="20"/>
                <w:szCs w:val="20"/>
                <w:lang w:val="fr-FR"/>
              </w:rPr>
            </w:pPr>
            <w:r w:rsidRPr="00420560">
              <w:rPr>
                <w:b/>
                <w:bCs/>
                <w:color w:val="000000" w:themeColor="text1"/>
                <w:kern w:val="20"/>
                <w:sz w:val="20"/>
                <w:szCs w:val="20"/>
                <w:lang w:val="fr-FR"/>
              </w:rPr>
              <w:t>Total partiel</w:t>
            </w:r>
          </w:p>
        </w:tc>
        <w:tc>
          <w:tcPr>
            <w:tcW w:w="1251" w:type="dxa"/>
            <w:tcBorders>
              <w:top w:val="single" w:sz="8" w:space="0" w:color="000000"/>
              <w:bottom w:val="single" w:sz="8" w:space="0" w:color="000000"/>
            </w:tcBorders>
            <w:vAlign w:val="center"/>
          </w:tcPr>
          <w:p w14:paraId="472E5DE7" w14:textId="2B486AE3" w:rsidR="00201D78" w:rsidRPr="00420560" w:rsidRDefault="00201D78" w:rsidP="004C46A6">
            <w:pPr>
              <w:pStyle w:val="Default"/>
              <w:spacing w:before="20" w:after="20"/>
              <w:jc w:val="right"/>
              <w:rPr>
                <w:color w:val="000000" w:themeColor="text1"/>
                <w:kern w:val="20"/>
                <w:sz w:val="20"/>
                <w:szCs w:val="20"/>
                <w:lang w:val="fr-FR"/>
              </w:rPr>
            </w:pPr>
            <w:r w:rsidRPr="00420560">
              <w:rPr>
                <w:b/>
                <w:bCs/>
                <w:color w:val="000000" w:themeColor="text1"/>
                <w:kern w:val="20"/>
                <w:sz w:val="20"/>
                <w:szCs w:val="20"/>
                <w:lang w:val="fr-FR"/>
              </w:rPr>
              <w:t>280</w:t>
            </w:r>
            <w:r w:rsidR="000C12E8" w:rsidRPr="00420560">
              <w:rPr>
                <w:b/>
                <w:bCs/>
                <w:color w:val="000000" w:themeColor="text1"/>
                <w:kern w:val="20"/>
                <w:sz w:val="20"/>
                <w:szCs w:val="20"/>
                <w:lang w:val="fr-FR"/>
              </w:rPr>
              <w:t>,</w:t>
            </w:r>
            <w:r w:rsidRPr="00420560">
              <w:rPr>
                <w:b/>
                <w:bCs/>
                <w:color w:val="000000" w:themeColor="text1"/>
                <w:kern w:val="20"/>
                <w:sz w:val="20"/>
                <w:szCs w:val="20"/>
                <w:lang w:val="fr-FR"/>
              </w:rPr>
              <w:t>5</w:t>
            </w:r>
          </w:p>
        </w:tc>
      </w:tr>
      <w:tr w:rsidR="00201D78" w:rsidRPr="00420560" w14:paraId="13B74678" w14:textId="77777777" w:rsidTr="00BA7C78">
        <w:trPr>
          <w:trHeight w:val="146"/>
        </w:trPr>
        <w:tc>
          <w:tcPr>
            <w:tcW w:w="8337" w:type="dxa"/>
            <w:tcBorders>
              <w:top w:val="single" w:sz="8" w:space="0" w:color="000000"/>
              <w:bottom w:val="single" w:sz="8" w:space="0" w:color="000000"/>
            </w:tcBorders>
            <w:vAlign w:val="center"/>
          </w:tcPr>
          <w:p w14:paraId="07A3A9D8" w14:textId="0BEAF5D0" w:rsidR="00201D78" w:rsidRPr="00420560" w:rsidRDefault="00682256" w:rsidP="004C46A6">
            <w:pPr>
              <w:pStyle w:val="Default"/>
              <w:spacing w:before="20" w:after="20"/>
              <w:rPr>
                <w:color w:val="000000" w:themeColor="text1"/>
                <w:kern w:val="20"/>
                <w:sz w:val="20"/>
                <w:szCs w:val="20"/>
                <w:lang w:val="fr-FR"/>
              </w:rPr>
            </w:pPr>
            <w:r w:rsidRPr="00420560">
              <w:rPr>
                <w:color w:val="000000" w:themeColor="text1"/>
                <w:kern w:val="20"/>
                <w:sz w:val="20"/>
                <w:szCs w:val="20"/>
                <w:lang w:val="fr-FR"/>
              </w:rPr>
              <w:t>Dépenses d’appui au programme</w:t>
            </w:r>
            <w:r w:rsidR="00083D87">
              <w:rPr>
                <w:color w:val="000000" w:themeColor="text1"/>
                <w:kern w:val="20"/>
                <w:sz w:val="20"/>
                <w:szCs w:val="20"/>
                <w:lang w:val="fr-FR"/>
              </w:rPr>
              <w:t xml:space="preserve"> (13 %)</w:t>
            </w:r>
          </w:p>
        </w:tc>
        <w:tc>
          <w:tcPr>
            <w:tcW w:w="1251" w:type="dxa"/>
            <w:tcBorders>
              <w:top w:val="single" w:sz="8" w:space="0" w:color="000000"/>
              <w:bottom w:val="single" w:sz="8" w:space="0" w:color="000000"/>
            </w:tcBorders>
            <w:vAlign w:val="center"/>
          </w:tcPr>
          <w:p w14:paraId="2CB76C02" w14:textId="7461EDD9" w:rsidR="00201D78" w:rsidRPr="00420560" w:rsidRDefault="00201D78" w:rsidP="004C46A6">
            <w:pPr>
              <w:pStyle w:val="Default"/>
              <w:spacing w:before="20" w:after="20"/>
              <w:jc w:val="right"/>
              <w:rPr>
                <w:color w:val="000000" w:themeColor="text1"/>
                <w:kern w:val="20"/>
                <w:sz w:val="20"/>
                <w:szCs w:val="20"/>
                <w:lang w:val="fr-FR"/>
              </w:rPr>
            </w:pPr>
            <w:r w:rsidRPr="00420560">
              <w:rPr>
                <w:color w:val="000000" w:themeColor="text1"/>
                <w:kern w:val="20"/>
                <w:sz w:val="20"/>
                <w:szCs w:val="20"/>
                <w:lang w:val="fr-FR"/>
              </w:rPr>
              <w:t>36</w:t>
            </w:r>
            <w:r w:rsidR="000C12E8" w:rsidRPr="00420560">
              <w:rPr>
                <w:color w:val="000000" w:themeColor="text1"/>
                <w:kern w:val="20"/>
                <w:sz w:val="20"/>
                <w:szCs w:val="20"/>
                <w:lang w:val="fr-FR"/>
              </w:rPr>
              <w:t>,</w:t>
            </w:r>
            <w:r w:rsidRPr="00420560">
              <w:rPr>
                <w:color w:val="000000" w:themeColor="text1"/>
                <w:kern w:val="20"/>
                <w:sz w:val="20"/>
                <w:szCs w:val="20"/>
                <w:lang w:val="fr-FR"/>
              </w:rPr>
              <w:t>5</w:t>
            </w:r>
          </w:p>
        </w:tc>
      </w:tr>
      <w:tr w:rsidR="00201D78" w:rsidRPr="00420560" w14:paraId="327CF48C" w14:textId="77777777" w:rsidTr="00BA7C78">
        <w:trPr>
          <w:trHeight w:val="146"/>
        </w:trPr>
        <w:tc>
          <w:tcPr>
            <w:tcW w:w="8337" w:type="dxa"/>
            <w:tcBorders>
              <w:top w:val="single" w:sz="8" w:space="0" w:color="000000"/>
              <w:bottom w:val="single" w:sz="8" w:space="0" w:color="000000"/>
            </w:tcBorders>
            <w:vAlign w:val="center"/>
          </w:tcPr>
          <w:p w14:paraId="791736D7" w14:textId="25AB3E34" w:rsidR="00201D78" w:rsidRPr="00420560" w:rsidRDefault="00201D78" w:rsidP="004C46A6">
            <w:pPr>
              <w:pStyle w:val="Default"/>
              <w:spacing w:before="20" w:after="20"/>
              <w:ind w:left="319"/>
              <w:rPr>
                <w:b/>
                <w:bCs/>
                <w:color w:val="000000" w:themeColor="text1"/>
                <w:kern w:val="20"/>
                <w:sz w:val="20"/>
                <w:szCs w:val="20"/>
                <w:lang w:val="fr-FR"/>
              </w:rPr>
            </w:pPr>
            <w:r w:rsidRPr="00420560">
              <w:rPr>
                <w:b/>
                <w:bCs/>
                <w:color w:val="000000" w:themeColor="text1"/>
                <w:kern w:val="20"/>
                <w:sz w:val="20"/>
                <w:szCs w:val="20"/>
                <w:lang w:val="fr-FR"/>
              </w:rPr>
              <w:t xml:space="preserve">Total </w:t>
            </w:r>
            <w:r w:rsidR="00682256" w:rsidRPr="00420560">
              <w:rPr>
                <w:b/>
                <w:bCs/>
                <w:color w:val="000000" w:themeColor="text1"/>
                <w:kern w:val="20"/>
                <w:sz w:val="20"/>
                <w:szCs w:val="20"/>
                <w:lang w:val="fr-FR"/>
              </w:rPr>
              <w:t>des coûts</w:t>
            </w:r>
          </w:p>
        </w:tc>
        <w:tc>
          <w:tcPr>
            <w:tcW w:w="1251" w:type="dxa"/>
            <w:tcBorders>
              <w:top w:val="single" w:sz="8" w:space="0" w:color="000000"/>
              <w:bottom w:val="single" w:sz="8" w:space="0" w:color="000000"/>
            </w:tcBorders>
            <w:vAlign w:val="center"/>
          </w:tcPr>
          <w:p w14:paraId="0A9FE0BA" w14:textId="795C7F95" w:rsidR="00201D78" w:rsidRPr="00420560" w:rsidRDefault="00201D78" w:rsidP="004C46A6">
            <w:pPr>
              <w:pStyle w:val="Default"/>
              <w:spacing w:before="20" w:after="20"/>
              <w:jc w:val="right"/>
              <w:rPr>
                <w:b/>
                <w:bCs/>
                <w:i/>
                <w:iCs/>
                <w:color w:val="000000" w:themeColor="text1"/>
                <w:kern w:val="20"/>
                <w:sz w:val="20"/>
                <w:szCs w:val="20"/>
                <w:lang w:val="fr-FR"/>
              </w:rPr>
            </w:pPr>
            <w:r w:rsidRPr="00420560">
              <w:rPr>
                <w:b/>
                <w:bCs/>
                <w:color w:val="000000" w:themeColor="text1"/>
                <w:kern w:val="20"/>
                <w:sz w:val="20"/>
                <w:szCs w:val="20"/>
                <w:lang w:val="fr-FR"/>
              </w:rPr>
              <w:t>317</w:t>
            </w:r>
            <w:r w:rsidR="000C12E8" w:rsidRPr="00420560">
              <w:rPr>
                <w:b/>
                <w:bCs/>
                <w:color w:val="000000" w:themeColor="text1"/>
                <w:kern w:val="20"/>
                <w:sz w:val="20"/>
                <w:szCs w:val="20"/>
                <w:lang w:val="fr-FR"/>
              </w:rPr>
              <w:t>,</w:t>
            </w:r>
            <w:r w:rsidRPr="00420560">
              <w:rPr>
                <w:b/>
                <w:bCs/>
                <w:color w:val="000000" w:themeColor="text1"/>
                <w:kern w:val="20"/>
                <w:sz w:val="20"/>
                <w:szCs w:val="20"/>
                <w:lang w:val="fr-FR"/>
              </w:rPr>
              <w:t>0</w:t>
            </w:r>
          </w:p>
        </w:tc>
      </w:tr>
    </w:tbl>
    <w:p w14:paraId="7EBE6271" w14:textId="6EA4316E" w:rsidR="00201D78" w:rsidRPr="00BA52C1" w:rsidRDefault="00A37E86" w:rsidP="004B7AF6">
      <w:pPr>
        <w:pStyle w:val="NormalWeb"/>
        <w:tabs>
          <w:tab w:val="left" w:pos="900"/>
        </w:tabs>
        <w:spacing w:before="120" w:beforeAutospacing="0" w:after="120" w:afterAutospacing="0" w:line="480" w:lineRule="auto"/>
        <w:rPr>
          <w:rFonts w:asciiTheme="majorBidi" w:hAnsiTheme="majorBidi" w:cstheme="majorBidi"/>
          <w:color w:val="000000"/>
          <w:sz w:val="18"/>
          <w:szCs w:val="18"/>
          <w:lang w:val="fr-FR"/>
        </w:rPr>
      </w:pPr>
      <w:r w:rsidRPr="00BA52C1">
        <w:rPr>
          <w:i/>
          <w:iCs/>
          <w:color w:val="000000" w:themeColor="text1"/>
          <w:kern w:val="20"/>
          <w:sz w:val="18"/>
          <w:szCs w:val="18"/>
          <w:vertAlign w:val="superscript"/>
          <w:lang w:val="fr-FR"/>
        </w:rPr>
        <w:t>a</w:t>
      </w:r>
      <w:r w:rsidR="00025DA0" w:rsidRPr="00BA52C1">
        <w:rPr>
          <w:i/>
          <w:iCs/>
          <w:color w:val="000000" w:themeColor="text1"/>
          <w:kern w:val="20"/>
          <w:sz w:val="18"/>
          <w:szCs w:val="18"/>
          <w:vertAlign w:val="superscript"/>
          <w:lang w:val="fr-FR"/>
        </w:rPr>
        <w:tab/>
      </w:r>
      <w:r w:rsidR="00682256">
        <w:rPr>
          <w:rFonts w:asciiTheme="majorBidi" w:hAnsiTheme="majorBidi" w:cstheme="majorBidi"/>
          <w:color w:val="000000"/>
          <w:sz w:val="18"/>
          <w:szCs w:val="18"/>
          <w:lang w:val="fr-FR"/>
        </w:rPr>
        <w:t>Deux participants financés dans chaque région</w:t>
      </w:r>
      <w:r w:rsidR="00201D78" w:rsidRPr="00BA52C1">
        <w:rPr>
          <w:rFonts w:asciiTheme="majorBidi" w:hAnsiTheme="majorBidi" w:cstheme="majorBidi"/>
          <w:color w:val="000000"/>
          <w:sz w:val="18"/>
          <w:szCs w:val="18"/>
          <w:lang w:val="fr-FR"/>
        </w:rPr>
        <w:t>.</w:t>
      </w:r>
    </w:p>
    <w:p w14:paraId="1A778265" w14:textId="67D16359" w:rsidR="0002211E" w:rsidRPr="00BA52C1" w:rsidRDefault="0002211E" w:rsidP="00201D78">
      <w:pPr>
        <w:pStyle w:val="NormalWeb"/>
        <w:spacing w:before="120" w:beforeAutospacing="0" w:after="120" w:afterAutospacing="0" w:line="480" w:lineRule="auto"/>
        <w:rPr>
          <w:rFonts w:asciiTheme="majorBidi" w:hAnsiTheme="majorBidi" w:cstheme="majorBidi"/>
          <w:color w:val="000000"/>
          <w:sz w:val="18"/>
          <w:szCs w:val="18"/>
          <w:lang w:val="fr-FR"/>
        </w:rPr>
      </w:pPr>
      <w:r w:rsidRPr="00BA52C1">
        <w:rPr>
          <w:rFonts w:asciiTheme="majorBidi" w:hAnsiTheme="majorBidi" w:cstheme="majorBidi"/>
          <w:color w:val="000000"/>
          <w:sz w:val="18"/>
          <w:szCs w:val="18"/>
          <w:lang w:val="fr-FR"/>
        </w:rPr>
        <w:br w:type="page"/>
      </w:r>
    </w:p>
    <w:p w14:paraId="66DD3674" w14:textId="1203813D" w:rsidR="009B1266" w:rsidRPr="00BA52C1" w:rsidRDefault="00FC46B3" w:rsidP="00582303">
      <w:pPr>
        <w:pStyle w:val="CBDDesicionAnnex"/>
        <w:rPr>
          <w:rFonts w:hint="eastAsia"/>
          <w:lang w:val="fr-FR"/>
        </w:rPr>
      </w:pPr>
      <w:r w:rsidRPr="00BA52C1">
        <w:rPr>
          <w:lang w:val="fr-FR"/>
        </w:rPr>
        <w:lastRenderedPageBreak/>
        <w:t>Annex</w:t>
      </w:r>
      <w:r w:rsidR="00682256">
        <w:rPr>
          <w:lang w:val="fr-FR"/>
        </w:rPr>
        <w:t>e</w:t>
      </w:r>
    </w:p>
    <w:p w14:paraId="08CBBEA8" w14:textId="017405D9" w:rsidR="000458B5" w:rsidRPr="00BA52C1" w:rsidRDefault="00682256" w:rsidP="00582303">
      <w:pPr>
        <w:pStyle w:val="CBDDesicionAnnex"/>
        <w:spacing w:before="120"/>
        <w:rPr>
          <w:rFonts w:hint="eastAsia"/>
          <w:lang w:val="fr-FR"/>
        </w:rPr>
      </w:pPr>
      <w:r>
        <w:rPr>
          <w:lang w:val="fr-FR"/>
        </w:rPr>
        <w:t xml:space="preserve">Tableau des contributions au Fonds </w:t>
      </w:r>
      <w:r w:rsidR="006675ED">
        <w:rPr>
          <w:lang w:val="fr-FR"/>
        </w:rPr>
        <w:t xml:space="preserve">d’affectation spéciale </w:t>
      </w:r>
      <w:r w:rsidR="00B40371">
        <w:rPr>
          <w:lang w:val="fr-FR"/>
        </w:rPr>
        <w:t xml:space="preserve">général </w:t>
      </w:r>
      <w:r>
        <w:rPr>
          <w:lang w:val="fr-FR"/>
        </w:rPr>
        <w:t>de la Convention</w:t>
      </w:r>
      <w:r w:rsidR="00837050">
        <w:rPr>
          <w:lang w:val="fr-FR"/>
        </w:rPr>
        <w:t xml:space="preserve"> pour la période</w:t>
      </w:r>
      <w:r w:rsidR="00837050">
        <w:rPr>
          <w:rFonts w:hint="eastAsia"/>
          <w:lang w:val="fr-FR"/>
        </w:rPr>
        <w:t> </w:t>
      </w:r>
      <w:r w:rsidR="00561B5A" w:rsidRPr="00BA52C1">
        <w:rPr>
          <w:lang w:val="fr-FR"/>
        </w:rPr>
        <w:t>2025–</w:t>
      </w:r>
      <w:r w:rsidR="00C90918" w:rsidRPr="00BA52C1">
        <w:rPr>
          <w:lang w:val="fr-FR"/>
        </w:rPr>
        <w:t>2026</w:t>
      </w:r>
    </w:p>
    <w:tbl>
      <w:tblPr>
        <w:tblW w:w="0" w:type="auto"/>
        <w:tblInd w:w="-73" w:type="dxa"/>
        <w:tblLook w:val="04A0" w:firstRow="1" w:lastRow="0" w:firstColumn="1" w:lastColumn="0" w:noHBand="0" w:noVBand="1"/>
      </w:tblPr>
      <w:tblGrid>
        <w:gridCol w:w="1880"/>
        <w:gridCol w:w="1628"/>
        <w:gridCol w:w="2198"/>
        <w:gridCol w:w="1176"/>
        <w:gridCol w:w="1461"/>
        <w:gridCol w:w="1080"/>
      </w:tblGrid>
      <w:tr w:rsidR="006774B8" w:rsidRPr="00BA52C1" w14:paraId="2D1B93B0" w14:textId="77777777" w:rsidTr="00A526B1">
        <w:trPr>
          <w:tblHeader/>
        </w:trPr>
        <w:tc>
          <w:tcPr>
            <w:tcW w:w="1880" w:type="dxa"/>
            <w:vMerge w:val="restart"/>
            <w:tcBorders>
              <w:top w:val="single" w:sz="4" w:space="0" w:color="auto"/>
              <w:left w:val="single" w:sz="4" w:space="0" w:color="auto"/>
              <w:right w:val="single" w:sz="4" w:space="0" w:color="auto"/>
            </w:tcBorders>
            <w:shd w:val="clear" w:color="auto" w:fill="auto"/>
            <w:noWrap/>
            <w:vAlign w:val="bottom"/>
          </w:tcPr>
          <w:p w14:paraId="12350A47" w14:textId="5B4E03B9" w:rsidR="00A526B1" w:rsidRPr="00BA52C1" w:rsidDel="000458B5" w:rsidRDefault="00AE6FD5" w:rsidP="00F37452">
            <w:pPr>
              <w:pStyle w:val="CBDTableNormal"/>
              <w:spacing w:before="0" w:after="0"/>
              <w:rPr>
                <w:i/>
                <w:iCs/>
                <w:sz w:val="18"/>
                <w:szCs w:val="18"/>
                <w:lang w:val="fr-FR" w:eastAsia="en-CA"/>
              </w:rPr>
            </w:pPr>
            <w:r>
              <w:rPr>
                <w:i/>
                <w:iCs/>
                <w:sz w:val="18"/>
                <w:szCs w:val="18"/>
                <w:lang w:val="fr-FR" w:eastAsia="en-CA"/>
              </w:rPr>
              <w:t>Partie</w:t>
            </w:r>
          </w:p>
        </w:tc>
        <w:tc>
          <w:tcPr>
            <w:tcW w:w="3826" w:type="dxa"/>
            <w:gridSpan w:val="2"/>
            <w:tcBorders>
              <w:top w:val="single" w:sz="4" w:space="0" w:color="auto"/>
              <w:left w:val="nil"/>
              <w:bottom w:val="single" w:sz="4" w:space="0" w:color="auto"/>
              <w:right w:val="single" w:sz="4" w:space="0" w:color="auto"/>
            </w:tcBorders>
            <w:shd w:val="clear" w:color="auto" w:fill="auto"/>
            <w:vAlign w:val="bottom"/>
          </w:tcPr>
          <w:p w14:paraId="002DA5FA" w14:textId="380485E0" w:rsidR="00A526B1" w:rsidRPr="00BA52C1" w:rsidRDefault="00AE6FD5" w:rsidP="003A088A">
            <w:pPr>
              <w:pStyle w:val="CBDTableNormal"/>
              <w:spacing w:before="0" w:after="0"/>
              <w:jc w:val="center"/>
              <w:rPr>
                <w:i/>
                <w:iCs/>
                <w:sz w:val="18"/>
                <w:szCs w:val="18"/>
                <w:lang w:val="fr-FR" w:eastAsia="en-CA"/>
              </w:rPr>
            </w:pPr>
            <w:r>
              <w:rPr>
                <w:i/>
                <w:iCs/>
                <w:sz w:val="18"/>
                <w:szCs w:val="18"/>
                <w:lang w:val="fr-FR" w:eastAsia="en-CA"/>
              </w:rPr>
              <w:t>Barème des quotes-parts</w:t>
            </w:r>
          </w:p>
          <w:p w14:paraId="56A77987" w14:textId="63F99748" w:rsidR="00A526B1" w:rsidRPr="00BA52C1" w:rsidRDefault="00A526B1" w:rsidP="00582303">
            <w:pPr>
              <w:pStyle w:val="CBDTableNormal"/>
              <w:spacing w:before="0" w:after="0"/>
              <w:jc w:val="center"/>
              <w:rPr>
                <w:i/>
                <w:iCs/>
                <w:sz w:val="18"/>
                <w:szCs w:val="18"/>
                <w:lang w:val="fr-FR" w:eastAsia="en-CA"/>
              </w:rPr>
            </w:pPr>
            <w:r w:rsidRPr="00BA52C1">
              <w:rPr>
                <w:i/>
                <w:iCs/>
                <w:sz w:val="18"/>
                <w:szCs w:val="18"/>
                <w:lang w:val="fr-FR" w:eastAsia="en-CA"/>
              </w:rPr>
              <w:t>(</w:t>
            </w:r>
            <w:r w:rsidR="00AE6FD5">
              <w:rPr>
                <w:i/>
                <w:iCs/>
                <w:sz w:val="18"/>
                <w:szCs w:val="18"/>
                <w:lang w:val="fr-FR" w:eastAsia="en-CA"/>
              </w:rPr>
              <w:t>pourcentage</w:t>
            </w:r>
            <w:r w:rsidRPr="00BA52C1">
              <w:rPr>
                <w:i/>
                <w:iCs/>
                <w:sz w:val="18"/>
                <w:szCs w:val="18"/>
                <w:lang w:val="fr-FR" w:eastAsia="en-CA"/>
              </w:rPr>
              <w:t>)</w:t>
            </w:r>
          </w:p>
        </w:tc>
        <w:tc>
          <w:tcPr>
            <w:tcW w:w="3717" w:type="dxa"/>
            <w:gridSpan w:val="3"/>
            <w:tcBorders>
              <w:top w:val="single" w:sz="4" w:space="0" w:color="auto"/>
              <w:left w:val="nil"/>
              <w:bottom w:val="single" w:sz="4" w:space="0" w:color="auto"/>
              <w:right w:val="single" w:sz="4" w:space="0" w:color="auto"/>
            </w:tcBorders>
            <w:shd w:val="clear" w:color="auto" w:fill="auto"/>
            <w:vAlign w:val="bottom"/>
          </w:tcPr>
          <w:p w14:paraId="3CC9CD15" w14:textId="77777777" w:rsidR="00A526B1" w:rsidRPr="00BA52C1" w:rsidRDefault="00A526B1" w:rsidP="003A088A">
            <w:pPr>
              <w:pStyle w:val="CBDTableNormal"/>
              <w:spacing w:before="0" w:after="0"/>
              <w:jc w:val="center"/>
              <w:rPr>
                <w:i/>
                <w:iCs/>
                <w:sz w:val="18"/>
                <w:szCs w:val="18"/>
                <w:lang w:val="fr-FR" w:eastAsia="en-CA"/>
              </w:rPr>
            </w:pPr>
            <w:r w:rsidRPr="00BA52C1">
              <w:rPr>
                <w:i/>
                <w:iCs/>
                <w:sz w:val="18"/>
                <w:szCs w:val="18"/>
                <w:lang w:val="fr-FR" w:eastAsia="en-CA"/>
              </w:rPr>
              <w:t>Contributions</w:t>
            </w:r>
          </w:p>
          <w:p w14:paraId="7FFD2258" w14:textId="0390379A" w:rsidR="00A526B1" w:rsidRPr="00BA52C1" w:rsidRDefault="00A526B1" w:rsidP="00582303">
            <w:pPr>
              <w:pStyle w:val="CBDTableNormal"/>
              <w:spacing w:before="0" w:after="0"/>
              <w:jc w:val="center"/>
              <w:rPr>
                <w:i/>
                <w:iCs/>
                <w:sz w:val="18"/>
                <w:szCs w:val="18"/>
                <w:lang w:val="fr-FR" w:eastAsia="en-CA"/>
              </w:rPr>
            </w:pPr>
            <w:r w:rsidRPr="00BA52C1">
              <w:rPr>
                <w:i/>
                <w:iCs/>
                <w:sz w:val="18"/>
                <w:szCs w:val="18"/>
                <w:lang w:val="fr-FR" w:eastAsia="en-CA"/>
              </w:rPr>
              <w:t>(</w:t>
            </w:r>
            <w:r w:rsidR="00AE6FD5">
              <w:rPr>
                <w:i/>
                <w:iCs/>
                <w:sz w:val="18"/>
                <w:szCs w:val="18"/>
                <w:lang w:val="fr-FR" w:eastAsia="en-CA"/>
              </w:rPr>
              <w:t>Dollars des États-Unis</w:t>
            </w:r>
            <w:r w:rsidRPr="00BA52C1">
              <w:rPr>
                <w:i/>
                <w:iCs/>
                <w:sz w:val="18"/>
                <w:szCs w:val="18"/>
                <w:lang w:val="fr-FR" w:eastAsia="en-CA"/>
              </w:rPr>
              <w:t>)</w:t>
            </w:r>
          </w:p>
        </w:tc>
      </w:tr>
      <w:tr w:rsidR="006774B8" w:rsidRPr="00BA52C1" w14:paraId="12BAEF80" w14:textId="77777777" w:rsidTr="00A526B1">
        <w:trPr>
          <w:tblHeader/>
        </w:trPr>
        <w:tc>
          <w:tcPr>
            <w:tcW w:w="1880" w:type="dxa"/>
            <w:vMerge/>
            <w:tcBorders>
              <w:left w:val="single" w:sz="4" w:space="0" w:color="auto"/>
              <w:bottom w:val="single" w:sz="4" w:space="0" w:color="auto"/>
              <w:right w:val="single" w:sz="4" w:space="0" w:color="auto"/>
            </w:tcBorders>
            <w:shd w:val="clear" w:color="auto" w:fill="auto"/>
            <w:noWrap/>
            <w:vAlign w:val="bottom"/>
            <w:hideMark/>
          </w:tcPr>
          <w:p w14:paraId="2B534827" w14:textId="5EAA31FF" w:rsidR="00752540" w:rsidRPr="00BA52C1" w:rsidRDefault="00752540" w:rsidP="00582303">
            <w:pPr>
              <w:pStyle w:val="CBDTableNormal"/>
              <w:spacing w:before="0" w:after="0"/>
              <w:rPr>
                <w:i/>
                <w:iCs/>
                <w:sz w:val="18"/>
                <w:szCs w:val="18"/>
                <w:lang w:val="fr-FR" w:eastAsia="en-CA"/>
              </w:rPr>
            </w:pPr>
          </w:p>
        </w:tc>
        <w:tc>
          <w:tcPr>
            <w:tcW w:w="1628" w:type="dxa"/>
            <w:tcBorders>
              <w:top w:val="single" w:sz="4" w:space="0" w:color="auto"/>
              <w:left w:val="nil"/>
              <w:bottom w:val="single" w:sz="4" w:space="0" w:color="auto"/>
              <w:right w:val="single" w:sz="4" w:space="0" w:color="auto"/>
            </w:tcBorders>
            <w:shd w:val="clear" w:color="auto" w:fill="auto"/>
            <w:vAlign w:val="bottom"/>
            <w:hideMark/>
          </w:tcPr>
          <w:p w14:paraId="3503D8E2" w14:textId="6D26A0D9" w:rsidR="00752540" w:rsidRPr="00BA52C1" w:rsidRDefault="00752540" w:rsidP="00582303">
            <w:pPr>
              <w:pStyle w:val="CBDTableNormal"/>
              <w:spacing w:before="0" w:after="0"/>
              <w:jc w:val="right"/>
              <w:rPr>
                <w:i/>
                <w:iCs/>
                <w:sz w:val="18"/>
                <w:szCs w:val="18"/>
                <w:lang w:val="fr-FR" w:eastAsia="en-CA"/>
              </w:rPr>
            </w:pPr>
            <w:r w:rsidRPr="00BA52C1">
              <w:rPr>
                <w:i/>
                <w:iCs/>
                <w:sz w:val="18"/>
                <w:szCs w:val="18"/>
                <w:lang w:val="fr-FR" w:eastAsia="en-CA"/>
              </w:rPr>
              <w:t>2022</w:t>
            </w:r>
            <w:r w:rsidRPr="00BA52C1">
              <w:rPr>
                <w:i/>
                <w:iCs/>
                <w:lang w:val="fr-FR"/>
              </w:rPr>
              <w:t>–</w:t>
            </w:r>
            <w:r w:rsidRPr="00BA52C1">
              <w:rPr>
                <w:i/>
                <w:iCs/>
                <w:sz w:val="18"/>
                <w:szCs w:val="18"/>
                <w:lang w:val="fr-FR" w:eastAsia="en-CA"/>
              </w:rPr>
              <w:t>2024</w:t>
            </w:r>
          </w:p>
        </w:tc>
        <w:tc>
          <w:tcPr>
            <w:tcW w:w="2198" w:type="dxa"/>
            <w:tcBorders>
              <w:top w:val="single" w:sz="4" w:space="0" w:color="auto"/>
              <w:left w:val="nil"/>
              <w:bottom w:val="single" w:sz="4" w:space="0" w:color="auto"/>
              <w:right w:val="single" w:sz="4" w:space="0" w:color="auto"/>
            </w:tcBorders>
            <w:shd w:val="clear" w:color="auto" w:fill="auto"/>
            <w:vAlign w:val="bottom"/>
            <w:hideMark/>
          </w:tcPr>
          <w:p w14:paraId="6FA43256" w14:textId="31B81BF9" w:rsidR="00752540" w:rsidRPr="00BA52C1" w:rsidRDefault="00AE6FD5" w:rsidP="00582303">
            <w:pPr>
              <w:pStyle w:val="CBDTableNormal"/>
              <w:spacing w:before="0" w:after="0"/>
              <w:jc w:val="right"/>
              <w:rPr>
                <w:i/>
                <w:iCs/>
                <w:sz w:val="18"/>
                <w:szCs w:val="18"/>
                <w:lang w:val="fr-FR" w:eastAsia="en-CA"/>
              </w:rPr>
            </w:pPr>
            <w:r>
              <w:rPr>
                <w:i/>
                <w:iCs/>
                <w:sz w:val="18"/>
                <w:szCs w:val="18"/>
                <w:lang w:val="fr-FR" w:eastAsia="en-CA"/>
              </w:rPr>
              <w:t>Barème</w:t>
            </w:r>
            <w:r w:rsidR="00752540" w:rsidRPr="00BA52C1">
              <w:rPr>
                <w:i/>
                <w:iCs/>
                <w:sz w:val="18"/>
                <w:szCs w:val="18"/>
                <w:lang w:val="fr-FR" w:eastAsia="en-CA"/>
              </w:rPr>
              <w:t xml:space="preserve"> </w:t>
            </w:r>
            <w:r>
              <w:rPr>
                <w:i/>
                <w:iCs/>
                <w:sz w:val="18"/>
                <w:szCs w:val="18"/>
                <w:lang w:val="fr-FR" w:eastAsia="en-CA"/>
              </w:rPr>
              <w:t>prévoyant un plafond de 22 %</w:t>
            </w:r>
            <w:r w:rsidR="000C12E8">
              <w:rPr>
                <w:i/>
                <w:iCs/>
                <w:sz w:val="18"/>
                <w:szCs w:val="18"/>
                <w:lang w:val="fr-FR" w:eastAsia="en-CA"/>
              </w:rPr>
              <w:t xml:space="preserve"> et sans que les pays les moins avancés paient plus de 0,01 %</w:t>
            </w:r>
          </w:p>
        </w:tc>
        <w:tc>
          <w:tcPr>
            <w:tcW w:w="1176" w:type="dxa"/>
            <w:tcBorders>
              <w:top w:val="single" w:sz="4" w:space="0" w:color="auto"/>
              <w:left w:val="nil"/>
              <w:bottom w:val="single" w:sz="4" w:space="0" w:color="auto"/>
              <w:right w:val="single" w:sz="4" w:space="0" w:color="auto"/>
            </w:tcBorders>
            <w:shd w:val="clear" w:color="auto" w:fill="auto"/>
            <w:vAlign w:val="bottom"/>
            <w:hideMark/>
          </w:tcPr>
          <w:p w14:paraId="092BFE16" w14:textId="738A1113" w:rsidR="00752540" w:rsidRPr="00BA52C1" w:rsidRDefault="00752540" w:rsidP="00582303">
            <w:pPr>
              <w:pStyle w:val="CBDTableNormal"/>
              <w:spacing w:before="0" w:after="0"/>
              <w:jc w:val="right"/>
              <w:rPr>
                <w:i/>
                <w:iCs/>
                <w:sz w:val="18"/>
                <w:szCs w:val="18"/>
                <w:lang w:val="fr-FR" w:eastAsia="en-CA"/>
              </w:rPr>
            </w:pPr>
            <w:r w:rsidRPr="00BA52C1">
              <w:rPr>
                <w:i/>
                <w:iCs/>
                <w:sz w:val="18"/>
                <w:szCs w:val="18"/>
                <w:lang w:val="fr-FR" w:eastAsia="en-CA"/>
              </w:rPr>
              <w:t>2025</w:t>
            </w:r>
          </w:p>
        </w:tc>
        <w:tc>
          <w:tcPr>
            <w:tcW w:w="1461" w:type="dxa"/>
            <w:tcBorders>
              <w:top w:val="single" w:sz="4" w:space="0" w:color="auto"/>
              <w:left w:val="nil"/>
              <w:bottom w:val="single" w:sz="4" w:space="0" w:color="auto"/>
              <w:right w:val="single" w:sz="4" w:space="0" w:color="auto"/>
            </w:tcBorders>
            <w:shd w:val="clear" w:color="auto" w:fill="auto"/>
            <w:vAlign w:val="bottom"/>
            <w:hideMark/>
          </w:tcPr>
          <w:p w14:paraId="77BF5ABF" w14:textId="12BDFF97" w:rsidR="00752540" w:rsidRPr="00BA52C1" w:rsidRDefault="00752540" w:rsidP="00582303">
            <w:pPr>
              <w:pStyle w:val="CBDTableNormal"/>
              <w:spacing w:before="0" w:after="0"/>
              <w:jc w:val="right"/>
              <w:rPr>
                <w:i/>
                <w:iCs/>
                <w:sz w:val="18"/>
                <w:szCs w:val="18"/>
                <w:lang w:val="fr-FR" w:eastAsia="en-CA"/>
              </w:rPr>
            </w:pPr>
            <w:r w:rsidRPr="00BA52C1">
              <w:rPr>
                <w:i/>
                <w:iCs/>
                <w:sz w:val="18"/>
                <w:szCs w:val="18"/>
                <w:lang w:val="fr-FR" w:eastAsia="en-CA"/>
              </w:rPr>
              <w:t>2026</w:t>
            </w:r>
          </w:p>
        </w:tc>
        <w:tc>
          <w:tcPr>
            <w:tcW w:w="1080" w:type="dxa"/>
            <w:tcBorders>
              <w:left w:val="nil"/>
              <w:bottom w:val="single" w:sz="4" w:space="0" w:color="auto"/>
              <w:right w:val="single" w:sz="4" w:space="0" w:color="auto"/>
            </w:tcBorders>
            <w:shd w:val="clear" w:color="auto" w:fill="auto"/>
            <w:vAlign w:val="bottom"/>
            <w:hideMark/>
          </w:tcPr>
          <w:p w14:paraId="0309398B" w14:textId="33F53A12" w:rsidR="00752540" w:rsidRPr="00BA52C1" w:rsidRDefault="00A526B1" w:rsidP="00582303">
            <w:pPr>
              <w:pStyle w:val="CBDTableNormal"/>
              <w:spacing w:before="0" w:after="0"/>
              <w:jc w:val="right"/>
              <w:rPr>
                <w:i/>
                <w:iCs/>
                <w:sz w:val="18"/>
                <w:szCs w:val="18"/>
                <w:lang w:val="fr-FR" w:eastAsia="en-CA"/>
              </w:rPr>
            </w:pPr>
            <w:r w:rsidRPr="00BA52C1">
              <w:rPr>
                <w:i/>
                <w:iCs/>
                <w:sz w:val="18"/>
                <w:szCs w:val="18"/>
                <w:lang w:val="fr-FR" w:eastAsia="en-CA"/>
              </w:rPr>
              <w:t>2025</w:t>
            </w:r>
            <w:r w:rsidRPr="00BA52C1">
              <w:rPr>
                <w:i/>
                <w:iCs/>
                <w:lang w:val="fr-FR"/>
              </w:rPr>
              <w:t>–</w:t>
            </w:r>
            <w:r w:rsidRPr="00BA52C1">
              <w:rPr>
                <w:i/>
                <w:iCs/>
                <w:sz w:val="18"/>
                <w:szCs w:val="18"/>
                <w:lang w:val="fr-FR" w:eastAsia="en-CA"/>
              </w:rPr>
              <w:t>2026</w:t>
            </w:r>
          </w:p>
        </w:tc>
      </w:tr>
      <w:tr w:rsidR="006774B8" w:rsidRPr="00BA52C1" w14:paraId="3682ED69"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5C61046" w14:textId="77777777" w:rsidR="005F6FD0" w:rsidRPr="00BA52C1" w:rsidRDefault="005F6FD0" w:rsidP="00582303">
            <w:pPr>
              <w:pStyle w:val="CBDTableNormal"/>
              <w:spacing w:before="0" w:after="0"/>
              <w:rPr>
                <w:sz w:val="18"/>
                <w:szCs w:val="18"/>
                <w:lang w:val="fr-FR" w:eastAsia="en-CA"/>
              </w:rPr>
            </w:pPr>
            <w:r w:rsidRPr="00BA52C1">
              <w:rPr>
                <w:sz w:val="18"/>
                <w:szCs w:val="18"/>
                <w:lang w:val="fr-FR" w:eastAsia="en-CA"/>
              </w:rPr>
              <w:t>Afghanistan</w:t>
            </w:r>
          </w:p>
        </w:tc>
        <w:tc>
          <w:tcPr>
            <w:tcW w:w="1628" w:type="dxa"/>
            <w:tcBorders>
              <w:top w:val="nil"/>
              <w:left w:val="nil"/>
              <w:bottom w:val="single" w:sz="4" w:space="0" w:color="auto"/>
              <w:right w:val="single" w:sz="4" w:space="0" w:color="auto"/>
            </w:tcBorders>
            <w:shd w:val="clear" w:color="auto" w:fill="auto"/>
            <w:vAlign w:val="bottom"/>
            <w:hideMark/>
          </w:tcPr>
          <w:p w14:paraId="3A6B253F" w14:textId="072EE7A2" w:rsidR="005F6FD0" w:rsidRPr="00BA52C1" w:rsidRDefault="005F6FD0" w:rsidP="00582303">
            <w:pPr>
              <w:pStyle w:val="CBDTableNormal"/>
              <w:spacing w:before="0" w:after="0"/>
              <w:jc w:val="right"/>
              <w:rPr>
                <w:sz w:val="18"/>
                <w:szCs w:val="18"/>
                <w:lang w:val="fr-FR" w:eastAsia="en-CA"/>
              </w:rPr>
            </w:pPr>
            <w:r w:rsidRPr="00BA52C1">
              <w:rPr>
                <w:sz w:val="18"/>
                <w:szCs w:val="18"/>
                <w:lang w:val="fr-FR" w:eastAsia="en-CA"/>
              </w:rPr>
              <w:t>0</w:t>
            </w:r>
            <w:r w:rsidR="000C12E8">
              <w:rPr>
                <w:sz w:val="18"/>
                <w:szCs w:val="18"/>
                <w:lang w:val="fr-FR" w:eastAsia="en-CA"/>
              </w:rPr>
              <w:t>,</w:t>
            </w:r>
            <w:r w:rsidRPr="00BA52C1">
              <w:rPr>
                <w:sz w:val="18"/>
                <w:szCs w:val="18"/>
                <w:lang w:val="fr-FR" w:eastAsia="en-CA"/>
              </w:rPr>
              <w:t>006</w:t>
            </w:r>
          </w:p>
        </w:tc>
        <w:tc>
          <w:tcPr>
            <w:tcW w:w="2198" w:type="dxa"/>
            <w:tcBorders>
              <w:top w:val="nil"/>
              <w:left w:val="nil"/>
              <w:bottom w:val="single" w:sz="4" w:space="0" w:color="auto"/>
              <w:right w:val="single" w:sz="4" w:space="0" w:color="auto"/>
            </w:tcBorders>
            <w:shd w:val="clear" w:color="auto" w:fill="auto"/>
            <w:noWrap/>
            <w:vAlign w:val="bottom"/>
            <w:hideMark/>
          </w:tcPr>
          <w:p w14:paraId="3B80B73B" w14:textId="128C92FC" w:rsidR="005F6FD0" w:rsidRPr="00BA52C1" w:rsidRDefault="005F6FD0" w:rsidP="00582303">
            <w:pPr>
              <w:pStyle w:val="CBDTableNormal"/>
              <w:spacing w:before="0" w:after="0"/>
              <w:jc w:val="right"/>
              <w:rPr>
                <w:sz w:val="18"/>
                <w:szCs w:val="18"/>
                <w:lang w:val="fr-FR" w:eastAsia="en-CA"/>
              </w:rPr>
            </w:pPr>
            <w:r w:rsidRPr="00BA52C1">
              <w:rPr>
                <w:sz w:val="18"/>
                <w:szCs w:val="18"/>
                <w:lang w:val="fr-FR" w:eastAsia="en-CA"/>
              </w:rPr>
              <w:t>0</w:t>
            </w:r>
            <w:r w:rsidR="000C12E8">
              <w:rPr>
                <w:sz w:val="18"/>
                <w:szCs w:val="18"/>
                <w:lang w:val="fr-FR" w:eastAsia="en-CA"/>
              </w:rPr>
              <w:t>,</w:t>
            </w:r>
            <w:r w:rsidRPr="00BA52C1">
              <w:rPr>
                <w:sz w:val="18"/>
                <w:szCs w:val="18"/>
                <w:lang w:val="fr-FR" w:eastAsia="en-CA"/>
              </w:rPr>
              <w:t>008</w:t>
            </w:r>
          </w:p>
        </w:tc>
        <w:tc>
          <w:tcPr>
            <w:tcW w:w="1176" w:type="dxa"/>
            <w:tcBorders>
              <w:top w:val="nil"/>
              <w:left w:val="nil"/>
              <w:bottom w:val="single" w:sz="4" w:space="0" w:color="auto"/>
              <w:right w:val="single" w:sz="4" w:space="0" w:color="auto"/>
            </w:tcBorders>
            <w:shd w:val="clear" w:color="auto" w:fill="auto"/>
            <w:noWrap/>
            <w:vAlign w:val="bottom"/>
            <w:hideMark/>
          </w:tcPr>
          <w:p w14:paraId="54022800" w14:textId="2F97AD56" w:rsidR="005F6FD0" w:rsidRPr="00BA52C1" w:rsidRDefault="005F6FD0" w:rsidP="00582303">
            <w:pPr>
              <w:pStyle w:val="CBDTableNormal"/>
              <w:spacing w:before="0" w:after="0"/>
              <w:jc w:val="right"/>
              <w:rPr>
                <w:sz w:val="18"/>
                <w:szCs w:val="18"/>
                <w:lang w:val="fr-FR" w:eastAsia="en-CA"/>
              </w:rPr>
            </w:pPr>
            <w:r w:rsidRPr="00BA52C1">
              <w:rPr>
                <w:sz w:val="18"/>
                <w:szCs w:val="18"/>
                <w:lang w:val="fr-FR" w:eastAsia="en-CA"/>
              </w:rPr>
              <w:t>1</w:t>
            </w:r>
            <w:r w:rsidR="00090F12" w:rsidRPr="00BA52C1">
              <w:rPr>
                <w:sz w:val="18"/>
                <w:szCs w:val="18"/>
                <w:lang w:val="fr-FR" w:eastAsia="en-CA"/>
              </w:rPr>
              <w:t> </w:t>
            </w:r>
            <w:r w:rsidRPr="00BA52C1">
              <w:rPr>
                <w:sz w:val="18"/>
                <w:szCs w:val="18"/>
                <w:lang w:val="fr-FR" w:eastAsia="en-CA"/>
              </w:rPr>
              <w:t>056</w:t>
            </w:r>
          </w:p>
        </w:tc>
        <w:tc>
          <w:tcPr>
            <w:tcW w:w="1461" w:type="dxa"/>
            <w:tcBorders>
              <w:top w:val="nil"/>
              <w:left w:val="nil"/>
              <w:bottom w:val="single" w:sz="4" w:space="0" w:color="auto"/>
              <w:right w:val="single" w:sz="4" w:space="0" w:color="auto"/>
            </w:tcBorders>
            <w:shd w:val="clear" w:color="auto" w:fill="auto"/>
            <w:noWrap/>
            <w:vAlign w:val="bottom"/>
            <w:hideMark/>
          </w:tcPr>
          <w:p w14:paraId="71C57278" w14:textId="2B8D5093" w:rsidR="005F6FD0" w:rsidRPr="00BA52C1" w:rsidRDefault="005F6FD0" w:rsidP="00582303">
            <w:pPr>
              <w:pStyle w:val="CBDTableNormal"/>
              <w:spacing w:before="0" w:after="0"/>
              <w:jc w:val="right"/>
              <w:rPr>
                <w:sz w:val="18"/>
                <w:szCs w:val="18"/>
                <w:lang w:val="fr-FR" w:eastAsia="en-CA"/>
              </w:rPr>
            </w:pPr>
            <w:r w:rsidRPr="00BA52C1">
              <w:rPr>
                <w:sz w:val="18"/>
                <w:szCs w:val="18"/>
                <w:lang w:val="fr-FR" w:eastAsia="en-CA"/>
              </w:rPr>
              <w:t>1</w:t>
            </w:r>
            <w:r w:rsidR="00090F12" w:rsidRPr="00BA52C1">
              <w:rPr>
                <w:sz w:val="18"/>
                <w:szCs w:val="18"/>
                <w:lang w:val="fr-FR" w:eastAsia="en-CA"/>
              </w:rPr>
              <w:t> </w:t>
            </w:r>
            <w:r w:rsidRPr="00BA52C1">
              <w:rPr>
                <w:sz w:val="18"/>
                <w:szCs w:val="18"/>
                <w:lang w:val="fr-FR" w:eastAsia="en-CA"/>
              </w:rPr>
              <w:t>128</w:t>
            </w:r>
          </w:p>
        </w:tc>
        <w:tc>
          <w:tcPr>
            <w:tcW w:w="1080" w:type="dxa"/>
            <w:tcBorders>
              <w:top w:val="nil"/>
              <w:left w:val="nil"/>
              <w:bottom w:val="single" w:sz="4" w:space="0" w:color="auto"/>
              <w:right w:val="single" w:sz="4" w:space="0" w:color="auto"/>
            </w:tcBorders>
            <w:shd w:val="clear" w:color="auto" w:fill="auto"/>
            <w:noWrap/>
            <w:vAlign w:val="bottom"/>
            <w:hideMark/>
          </w:tcPr>
          <w:p w14:paraId="3EC56A11" w14:textId="598507B3" w:rsidR="005F6FD0" w:rsidRPr="00BA52C1" w:rsidRDefault="005F6FD0" w:rsidP="00582303">
            <w:pPr>
              <w:pStyle w:val="CBDTableNormal"/>
              <w:spacing w:before="0" w:after="0"/>
              <w:jc w:val="right"/>
              <w:rPr>
                <w:sz w:val="18"/>
                <w:szCs w:val="18"/>
                <w:lang w:val="fr-FR" w:eastAsia="en-CA"/>
              </w:rPr>
            </w:pPr>
            <w:r w:rsidRPr="00BA52C1">
              <w:rPr>
                <w:sz w:val="18"/>
                <w:szCs w:val="18"/>
                <w:lang w:val="fr-FR" w:eastAsia="en-CA"/>
              </w:rPr>
              <w:t>2</w:t>
            </w:r>
            <w:r w:rsidR="00090F12" w:rsidRPr="00BA52C1">
              <w:rPr>
                <w:sz w:val="18"/>
                <w:szCs w:val="18"/>
                <w:lang w:val="fr-FR" w:eastAsia="en-CA"/>
              </w:rPr>
              <w:t> </w:t>
            </w:r>
            <w:r w:rsidRPr="00BA52C1">
              <w:rPr>
                <w:sz w:val="18"/>
                <w:szCs w:val="18"/>
                <w:lang w:val="fr-FR" w:eastAsia="en-CA"/>
              </w:rPr>
              <w:t xml:space="preserve">184 </w:t>
            </w:r>
          </w:p>
        </w:tc>
      </w:tr>
      <w:tr w:rsidR="00214D86" w:rsidRPr="00BA52C1" w14:paraId="7CD65ACD"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tcPr>
          <w:p w14:paraId="410B1FD8" w14:textId="7C032BC3" w:rsidR="00214D86" w:rsidRPr="00BA52C1" w:rsidRDefault="00214D86" w:rsidP="00214D86">
            <w:pPr>
              <w:pStyle w:val="CBDTableNormal"/>
              <w:spacing w:before="0" w:after="0"/>
              <w:rPr>
                <w:sz w:val="18"/>
                <w:szCs w:val="18"/>
                <w:lang w:val="fr-FR" w:eastAsia="en-CA"/>
              </w:rPr>
            </w:pPr>
            <w:r>
              <w:rPr>
                <w:sz w:val="18"/>
                <w:szCs w:val="18"/>
                <w:lang w:val="fr-FR" w:eastAsia="en-CA"/>
              </w:rPr>
              <w:t>Afrique du Sud</w:t>
            </w:r>
          </w:p>
        </w:tc>
        <w:tc>
          <w:tcPr>
            <w:tcW w:w="1628" w:type="dxa"/>
            <w:tcBorders>
              <w:top w:val="nil"/>
              <w:left w:val="nil"/>
              <w:bottom w:val="single" w:sz="4" w:space="0" w:color="auto"/>
              <w:right w:val="single" w:sz="4" w:space="0" w:color="auto"/>
            </w:tcBorders>
            <w:shd w:val="clear" w:color="auto" w:fill="auto"/>
            <w:vAlign w:val="bottom"/>
          </w:tcPr>
          <w:p w14:paraId="62D189FE" w14:textId="7A621AD8" w:rsidR="00214D86" w:rsidRPr="00BA52C1" w:rsidRDefault="00214D86" w:rsidP="00214D86">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244</w:t>
            </w:r>
          </w:p>
        </w:tc>
        <w:tc>
          <w:tcPr>
            <w:tcW w:w="2198" w:type="dxa"/>
            <w:tcBorders>
              <w:top w:val="nil"/>
              <w:left w:val="nil"/>
              <w:bottom w:val="single" w:sz="4" w:space="0" w:color="auto"/>
              <w:right w:val="single" w:sz="4" w:space="0" w:color="auto"/>
            </w:tcBorders>
            <w:shd w:val="clear" w:color="auto" w:fill="auto"/>
            <w:noWrap/>
            <w:vAlign w:val="bottom"/>
          </w:tcPr>
          <w:p w14:paraId="1BA7BE07" w14:textId="20ACB7F2" w:rsidR="00214D86" w:rsidRPr="00BA52C1" w:rsidRDefault="00214D86" w:rsidP="00214D86">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305</w:t>
            </w:r>
          </w:p>
        </w:tc>
        <w:tc>
          <w:tcPr>
            <w:tcW w:w="1176" w:type="dxa"/>
            <w:tcBorders>
              <w:top w:val="nil"/>
              <w:left w:val="nil"/>
              <w:bottom w:val="single" w:sz="4" w:space="0" w:color="auto"/>
              <w:right w:val="single" w:sz="4" w:space="0" w:color="auto"/>
            </w:tcBorders>
            <w:shd w:val="clear" w:color="auto" w:fill="auto"/>
            <w:noWrap/>
            <w:vAlign w:val="bottom"/>
          </w:tcPr>
          <w:p w14:paraId="0D31C379" w14:textId="1D1992E9" w:rsidR="00214D86" w:rsidRPr="00BA52C1" w:rsidRDefault="00214D86" w:rsidP="00214D86">
            <w:pPr>
              <w:pStyle w:val="CBDTableNormal"/>
              <w:spacing w:before="0" w:after="0"/>
              <w:jc w:val="right"/>
              <w:rPr>
                <w:sz w:val="18"/>
                <w:szCs w:val="18"/>
                <w:lang w:val="fr-FR" w:eastAsia="en-CA"/>
              </w:rPr>
            </w:pPr>
            <w:r w:rsidRPr="00BA52C1">
              <w:rPr>
                <w:sz w:val="18"/>
                <w:szCs w:val="18"/>
                <w:lang w:val="fr-FR" w:eastAsia="en-CA"/>
              </w:rPr>
              <w:t>42 943</w:t>
            </w:r>
          </w:p>
        </w:tc>
        <w:tc>
          <w:tcPr>
            <w:tcW w:w="1461" w:type="dxa"/>
            <w:tcBorders>
              <w:top w:val="nil"/>
              <w:left w:val="nil"/>
              <w:bottom w:val="single" w:sz="4" w:space="0" w:color="auto"/>
              <w:right w:val="single" w:sz="4" w:space="0" w:color="auto"/>
            </w:tcBorders>
            <w:shd w:val="clear" w:color="auto" w:fill="auto"/>
            <w:noWrap/>
            <w:vAlign w:val="bottom"/>
          </w:tcPr>
          <w:p w14:paraId="4924C3E3" w14:textId="7925BFDF" w:rsidR="00214D86" w:rsidRPr="00BA52C1" w:rsidRDefault="00214D86" w:rsidP="00214D86">
            <w:pPr>
              <w:pStyle w:val="CBDTableNormal"/>
              <w:spacing w:before="0" w:after="0"/>
              <w:jc w:val="right"/>
              <w:rPr>
                <w:sz w:val="18"/>
                <w:szCs w:val="18"/>
                <w:lang w:val="fr-FR" w:eastAsia="en-CA"/>
              </w:rPr>
            </w:pPr>
            <w:r w:rsidRPr="00BA52C1">
              <w:rPr>
                <w:sz w:val="18"/>
                <w:szCs w:val="18"/>
                <w:lang w:val="fr-FR" w:eastAsia="en-CA"/>
              </w:rPr>
              <w:t>45 881</w:t>
            </w:r>
          </w:p>
        </w:tc>
        <w:tc>
          <w:tcPr>
            <w:tcW w:w="1080" w:type="dxa"/>
            <w:tcBorders>
              <w:top w:val="nil"/>
              <w:left w:val="nil"/>
              <w:bottom w:val="single" w:sz="4" w:space="0" w:color="auto"/>
              <w:right w:val="single" w:sz="4" w:space="0" w:color="auto"/>
            </w:tcBorders>
            <w:shd w:val="clear" w:color="auto" w:fill="auto"/>
            <w:noWrap/>
            <w:vAlign w:val="bottom"/>
          </w:tcPr>
          <w:p w14:paraId="227BA785" w14:textId="383EB5F0" w:rsidR="00214D86" w:rsidRPr="00BA52C1" w:rsidRDefault="00214D86" w:rsidP="00214D86">
            <w:pPr>
              <w:pStyle w:val="CBDTableNormal"/>
              <w:spacing w:before="0" w:after="0"/>
              <w:jc w:val="right"/>
              <w:rPr>
                <w:sz w:val="18"/>
                <w:szCs w:val="18"/>
                <w:lang w:val="fr-FR" w:eastAsia="en-CA"/>
              </w:rPr>
            </w:pPr>
            <w:r w:rsidRPr="00BA52C1">
              <w:rPr>
                <w:sz w:val="18"/>
                <w:szCs w:val="18"/>
                <w:lang w:val="fr-FR" w:eastAsia="en-CA"/>
              </w:rPr>
              <w:t>88 824</w:t>
            </w:r>
          </w:p>
        </w:tc>
      </w:tr>
      <w:tr w:rsidR="00214D86" w:rsidRPr="00BA52C1" w14:paraId="7AAF1432"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7DAA9D0" w14:textId="6EE05B7D" w:rsidR="00214D86" w:rsidRPr="00BA52C1" w:rsidRDefault="00214D86" w:rsidP="00214D86">
            <w:pPr>
              <w:pStyle w:val="CBDTableNormal"/>
              <w:spacing w:before="0" w:after="0"/>
              <w:rPr>
                <w:sz w:val="18"/>
                <w:szCs w:val="18"/>
                <w:lang w:val="fr-FR" w:eastAsia="en-CA"/>
              </w:rPr>
            </w:pPr>
            <w:r w:rsidRPr="00BA52C1">
              <w:rPr>
                <w:sz w:val="18"/>
                <w:szCs w:val="18"/>
                <w:lang w:val="fr-FR" w:eastAsia="en-CA"/>
              </w:rPr>
              <w:t>Albani</w:t>
            </w:r>
            <w:r w:rsidR="00A14C6E">
              <w:rPr>
                <w:sz w:val="18"/>
                <w:szCs w:val="18"/>
                <w:lang w:val="fr-FR" w:eastAsia="en-CA"/>
              </w:rPr>
              <w:t>e</w:t>
            </w:r>
          </w:p>
        </w:tc>
        <w:tc>
          <w:tcPr>
            <w:tcW w:w="1628" w:type="dxa"/>
            <w:tcBorders>
              <w:top w:val="nil"/>
              <w:left w:val="nil"/>
              <w:bottom w:val="single" w:sz="4" w:space="0" w:color="auto"/>
              <w:right w:val="single" w:sz="4" w:space="0" w:color="auto"/>
            </w:tcBorders>
            <w:shd w:val="clear" w:color="auto" w:fill="auto"/>
            <w:vAlign w:val="bottom"/>
            <w:hideMark/>
          </w:tcPr>
          <w:p w14:paraId="7AB17424" w14:textId="3F3E5FF9" w:rsidR="00214D86" w:rsidRPr="00BA52C1" w:rsidRDefault="00214D86" w:rsidP="00214D86">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008</w:t>
            </w:r>
          </w:p>
        </w:tc>
        <w:tc>
          <w:tcPr>
            <w:tcW w:w="2198" w:type="dxa"/>
            <w:tcBorders>
              <w:top w:val="nil"/>
              <w:left w:val="nil"/>
              <w:bottom w:val="single" w:sz="4" w:space="0" w:color="auto"/>
              <w:right w:val="single" w:sz="4" w:space="0" w:color="auto"/>
            </w:tcBorders>
            <w:shd w:val="clear" w:color="auto" w:fill="auto"/>
            <w:noWrap/>
            <w:vAlign w:val="bottom"/>
            <w:hideMark/>
          </w:tcPr>
          <w:p w14:paraId="04C17248" w14:textId="04F67F49" w:rsidR="00214D86" w:rsidRPr="00BA52C1" w:rsidRDefault="00214D86" w:rsidP="00214D86">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010</w:t>
            </w:r>
          </w:p>
        </w:tc>
        <w:tc>
          <w:tcPr>
            <w:tcW w:w="1176" w:type="dxa"/>
            <w:tcBorders>
              <w:top w:val="nil"/>
              <w:left w:val="nil"/>
              <w:bottom w:val="single" w:sz="4" w:space="0" w:color="auto"/>
              <w:right w:val="single" w:sz="4" w:space="0" w:color="auto"/>
            </w:tcBorders>
            <w:shd w:val="clear" w:color="auto" w:fill="auto"/>
            <w:noWrap/>
            <w:vAlign w:val="bottom"/>
            <w:hideMark/>
          </w:tcPr>
          <w:p w14:paraId="0C49E889" w14:textId="1DB7F11D" w:rsidR="00214D86" w:rsidRPr="00BA52C1" w:rsidRDefault="00214D86" w:rsidP="00214D86">
            <w:pPr>
              <w:pStyle w:val="CBDTableNormal"/>
              <w:spacing w:before="0" w:after="0"/>
              <w:jc w:val="right"/>
              <w:rPr>
                <w:sz w:val="18"/>
                <w:szCs w:val="18"/>
                <w:lang w:val="fr-FR" w:eastAsia="en-CA"/>
              </w:rPr>
            </w:pPr>
            <w:r w:rsidRPr="00BA52C1">
              <w:rPr>
                <w:sz w:val="18"/>
                <w:szCs w:val="18"/>
                <w:lang w:val="fr-FR" w:eastAsia="en-CA"/>
              </w:rPr>
              <w:t>1 408</w:t>
            </w:r>
          </w:p>
        </w:tc>
        <w:tc>
          <w:tcPr>
            <w:tcW w:w="1461" w:type="dxa"/>
            <w:tcBorders>
              <w:top w:val="nil"/>
              <w:left w:val="nil"/>
              <w:bottom w:val="single" w:sz="4" w:space="0" w:color="auto"/>
              <w:right w:val="single" w:sz="4" w:space="0" w:color="auto"/>
            </w:tcBorders>
            <w:shd w:val="clear" w:color="auto" w:fill="auto"/>
            <w:noWrap/>
            <w:vAlign w:val="bottom"/>
            <w:hideMark/>
          </w:tcPr>
          <w:p w14:paraId="0A6A81FA" w14:textId="57D51B89" w:rsidR="00214D86" w:rsidRPr="00BA52C1" w:rsidRDefault="00214D86" w:rsidP="00214D86">
            <w:pPr>
              <w:pStyle w:val="CBDTableNormal"/>
              <w:spacing w:before="0" w:after="0"/>
              <w:jc w:val="right"/>
              <w:rPr>
                <w:sz w:val="18"/>
                <w:szCs w:val="18"/>
                <w:lang w:val="fr-FR" w:eastAsia="en-CA"/>
              </w:rPr>
            </w:pPr>
            <w:r w:rsidRPr="00BA52C1">
              <w:rPr>
                <w:sz w:val="18"/>
                <w:szCs w:val="18"/>
                <w:lang w:val="fr-FR" w:eastAsia="en-CA"/>
              </w:rPr>
              <w:t xml:space="preserve">1 504 </w:t>
            </w:r>
          </w:p>
        </w:tc>
        <w:tc>
          <w:tcPr>
            <w:tcW w:w="1080" w:type="dxa"/>
            <w:tcBorders>
              <w:top w:val="nil"/>
              <w:left w:val="nil"/>
              <w:bottom w:val="single" w:sz="4" w:space="0" w:color="auto"/>
              <w:right w:val="single" w:sz="4" w:space="0" w:color="auto"/>
            </w:tcBorders>
            <w:shd w:val="clear" w:color="auto" w:fill="auto"/>
            <w:noWrap/>
            <w:vAlign w:val="bottom"/>
            <w:hideMark/>
          </w:tcPr>
          <w:p w14:paraId="3308FBC2" w14:textId="5AE022DC" w:rsidR="00214D86" w:rsidRPr="00BA52C1" w:rsidRDefault="00214D86" w:rsidP="00214D86">
            <w:pPr>
              <w:pStyle w:val="CBDTableNormal"/>
              <w:spacing w:before="0" w:after="0"/>
              <w:jc w:val="right"/>
              <w:rPr>
                <w:sz w:val="18"/>
                <w:szCs w:val="18"/>
                <w:lang w:val="fr-FR" w:eastAsia="en-CA"/>
              </w:rPr>
            </w:pPr>
            <w:r w:rsidRPr="00BA52C1">
              <w:rPr>
                <w:sz w:val="18"/>
                <w:szCs w:val="18"/>
                <w:lang w:val="fr-FR" w:eastAsia="en-CA"/>
              </w:rPr>
              <w:t xml:space="preserve">2 912 </w:t>
            </w:r>
          </w:p>
        </w:tc>
      </w:tr>
      <w:tr w:rsidR="00214D86" w:rsidRPr="00BA52C1" w14:paraId="096921AC"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9A6B063" w14:textId="6063BEF8" w:rsidR="00214D86" w:rsidRPr="00BA52C1" w:rsidRDefault="00214D86" w:rsidP="00214D86">
            <w:pPr>
              <w:pStyle w:val="CBDTableNormal"/>
              <w:spacing w:before="0" w:after="0"/>
              <w:rPr>
                <w:sz w:val="18"/>
                <w:szCs w:val="18"/>
                <w:lang w:val="fr-FR" w:eastAsia="en-CA"/>
              </w:rPr>
            </w:pPr>
            <w:r w:rsidRPr="00BA52C1">
              <w:rPr>
                <w:sz w:val="18"/>
                <w:szCs w:val="18"/>
                <w:lang w:val="fr-FR" w:eastAsia="en-CA"/>
              </w:rPr>
              <w:t>Alg</w:t>
            </w:r>
            <w:r w:rsidR="00A14C6E">
              <w:rPr>
                <w:sz w:val="18"/>
                <w:szCs w:val="18"/>
                <w:lang w:val="fr-FR" w:eastAsia="en-CA"/>
              </w:rPr>
              <w:t>é</w:t>
            </w:r>
            <w:r w:rsidRPr="00BA52C1">
              <w:rPr>
                <w:sz w:val="18"/>
                <w:szCs w:val="18"/>
                <w:lang w:val="fr-FR" w:eastAsia="en-CA"/>
              </w:rPr>
              <w:t>ri</w:t>
            </w:r>
            <w:r w:rsidR="00A14C6E">
              <w:rPr>
                <w:sz w:val="18"/>
                <w:szCs w:val="18"/>
                <w:lang w:val="fr-FR" w:eastAsia="en-CA"/>
              </w:rPr>
              <w:t>e</w:t>
            </w:r>
          </w:p>
        </w:tc>
        <w:tc>
          <w:tcPr>
            <w:tcW w:w="1628" w:type="dxa"/>
            <w:tcBorders>
              <w:top w:val="nil"/>
              <w:left w:val="nil"/>
              <w:bottom w:val="single" w:sz="4" w:space="0" w:color="auto"/>
              <w:right w:val="single" w:sz="4" w:space="0" w:color="auto"/>
            </w:tcBorders>
            <w:shd w:val="clear" w:color="auto" w:fill="auto"/>
            <w:vAlign w:val="bottom"/>
            <w:hideMark/>
          </w:tcPr>
          <w:p w14:paraId="7AC980EE" w14:textId="1490559C" w:rsidR="00214D86" w:rsidRPr="00BA52C1" w:rsidRDefault="00214D86" w:rsidP="00214D86">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109</w:t>
            </w:r>
          </w:p>
        </w:tc>
        <w:tc>
          <w:tcPr>
            <w:tcW w:w="2198" w:type="dxa"/>
            <w:tcBorders>
              <w:top w:val="nil"/>
              <w:left w:val="nil"/>
              <w:bottom w:val="single" w:sz="4" w:space="0" w:color="auto"/>
              <w:right w:val="single" w:sz="4" w:space="0" w:color="auto"/>
            </w:tcBorders>
            <w:shd w:val="clear" w:color="auto" w:fill="auto"/>
            <w:noWrap/>
            <w:vAlign w:val="bottom"/>
            <w:hideMark/>
          </w:tcPr>
          <w:p w14:paraId="1F6428CB" w14:textId="71228582" w:rsidR="00214D86" w:rsidRPr="00BA52C1" w:rsidRDefault="00214D86" w:rsidP="00214D86">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136</w:t>
            </w:r>
          </w:p>
        </w:tc>
        <w:tc>
          <w:tcPr>
            <w:tcW w:w="1176" w:type="dxa"/>
            <w:tcBorders>
              <w:top w:val="nil"/>
              <w:left w:val="nil"/>
              <w:bottom w:val="single" w:sz="4" w:space="0" w:color="auto"/>
              <w:right w:val="single" w:sz="4" w:space="0" w:color="auto"/>
            </w:tcBorders>
            <w:shd w:val="clear" w:color="auto" w:fill="auto"/>
            <w:noWrap/>
            <w:vAlign w:val="bottom"/>
            <w:hideMark/>
          </w:tcPr>
          <w:p w14:paraId="607DB0D0" w14:textId="122079E1" w:rsidR="00214D86" w:rsidRPr="00BA52C1" w:rsidRDefault="00214D86" w:rsidP="00214D86">
            <w:pPr>
              <w:pStyle w:val="CBDTableNormal"/>
              <w:spacing w:before="0" w:after="0"/>
              <w:jc w:val="right"/>
              <w:rPr>
                <w:sz w:val="18"/>
                <w:szCs w:val="18"/>
                <w:lang w:val="fr-FR" w:eastAsia="en-CA"/>
              </w:rPr>
            </w:pPr>
            <w:r w:rsidRPr="00BA52C1">
              <w:rPr>
                <w:sz w:val="18"/>
                <w:szCs w:val="18"/>
                <w:lang w:val="fr-FR" w:eastAsia="en-CA"/>
              </w:rPr>
              <w:t>19 183</w:t>
            </w:r>
          </w:p>
        </w:tc>
        <w:tc>
          <w:tcPr>
            <w:tcW w:w="1461" w:type="dxa"/>
            <w:tcBorders>
              <w:top w:val="nil"/>
              <w:left w:val="nil"/>
              <w:bottom w:val="single" w:sz="4" w:space="0" w:color="auto"/>
              <w:right w:val="single" w:sz="4" w:space="0" w:color="auto"/>
            </w:tcBorders>
            <w:shd w:val="clear" w:color="auto" w:fill="auto"/>
            <w:noWrap/>
            <w:vAlign w:val="bottom"/>
            <w:hideMark/>
          </w:tcPr>
          <w:p w14:paraId="50F4F6D3" w14:textId="718FAF8B" w:rsidR="00214D86" w:rsidRPr="00BA52C1" w:rsidRDefault="00214D86" w:rsidP="00214D86">
            <w:pPr>
              <w:pStyle w:val="CBDTableNormal"/>
              <w:spacing w:before="0" w:after="0"/>
              <w:jc w:val="right"/>
              <w:rPr>
                <w:sz w:val="18"/>
                <w:szCs w:val="18"/>
                <w:lang w:val="fr-FR" w:eastAsia="en-CA"/>
              </w:rPr>
            </w:pPr>
            <w:r w:rsidRPr="00BA52C1">
              <w:rPr>
                <w:sz w:val="18"/>
                <w:szCs w:val="18"/>
                <w:lang w:val="fr-FR" w:eastAsia="en-CA"/>
              </w:rPr>
              <w:t xml:space="preserve">20 496 </w:t>
            </w:r>
          </w:p>
        </w:tc>
        <w:tc>
          <w:tcPr>
            <w:tcW w:w="1080" w:type="dxa"/>
            <w:tcBorders>
              <w:top w:val="nil"/>
              <w:left w:val="nil"/>
              <w:bottom w:val="single" w:sz="4" w:space="0" w:color="auto"/>
              <w:right w:val="single" w:sz="4" w:space="0" w:color="auto"/>
            </w:tcBorders>
            <w:shd w:val="clear" w:color="auto" w:fill="auto"/>
            <w:noWrap/>
            <w:vAlign w:val="bottom"/>
            <w:hideMark/>
          </w:tcPr>
          <w:p w14:paraId="60ADDFA2" w14:textId="4BC4A626" w:rsidR="00214D86" w:rsidRPr="00BA52C1" w:rsidRDefault="00214D86" w:rsidP="00214D86">
            <w:pPr>
              <w:pStyle w:val="CBDTableNormal"/>
              <w:spacing w:before="0" w:after="0"/>
              <w:jc w:val="right"/>
              <w:rPr>
                <w:sz w:val="18"/>
                <w:szCs w:val="18"/>
                <w:lang w:val="fr-FR" w:eastAsia="en-CA"/>
              </w:rPr>
            </w:pPr>
            <w:r w:rsidRPr="00BA52C1">
              <w:rPr>
                <w:sz w:val="18"/>
                <w:szCs w:val="18"/>
                <w:lang w:val="fr-FR" w:eastAsia="en-CA"/>
              </w:rPr>
              <w:t xml:space="preserve">39 679 </w:t>
            </w:r>
          </w:p>
        </w:tc>
      </w:tr>
      <w:tr w:rsidR="00A14C6E" w:rsidRPr="00BA52C1" w14:paraId="43AE9EDC"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tcPr>
          <w:p w14:paraId="066F5D53" w14:textId="243466A0" w:rsidR="00A14C6E" w:rsidRPr="00BA52C1" w:rsidRDefault="00A14C6E" w:rsidP="00A14C6E">
            <w:pPr>
              <w:pStyle w:val="CBDTableNormal"/>
              <w:spacing w:before="0" w:after="0"/>
              <w:rPr>
                <w:sz w:val="18"/>
                <w:szCs w:val="18"/>
                <w:lang w:val="fr-FR" w:eastAsia="en-CA"/>
              </w:rPr>
            </w:pPr>
            <w:r>
              <w:rPr>
                <w:sz w:val="18"/>
                <w:szCs w:val="18"/>
                <w:lang w:val="fr-FR" w:eastAsia="en-CA"/>
              </w:rPr>
              <w:t>Allemagne</w:t>
            </w:r>
          </w:p>
        </w:tc>
        <w:tc>
          <w:tcPr>
            <w:tcW w:w="1628" w:type="dxa"/>
            <w:tcBorders>
              <w:top w:val="nil"/>
              <w:left w:val="nil"/>
              <w:bottom w:val="single" w:sz="4" w:space="0" w:color="auto"/>
              <w:right w:val="single" w:sz="4" w:space="0" w:color="auto"/>
            </w:tcBorders>
            <w:shd w:val="clear" w:color="auto" w:fill="auto"/>
            <w:vAlign w:val="bottom"/>
          </w:tcPr>
          <w:p w14:paraId="795BED60" w14:textId="52354AC0"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6</w:t>
            </w:r>
            <w:r>
              <w:rPr>
                <w:sz w:val="18"/>
                <w:szCs w:val="18"/>
                <w:lang w:val="fr-FR" w:eastAsia="en-CA"/>
              </w:rPr>
              <w:t>,</w:t>
            </w:r>
            <w:r w:rsidRPr="00BA52C1">
              <w:rPr>
                <w:sz w:val="18"/>
                <w:szCs w:val="18"/>
                <w:lang w:val="fr-FR" w:eastAsia="en-CA"/>
              </w:rPr>
              <w:t>111</w:t>
            </w:r>
          </w:p>
        </w:tc>
        <w:tc>
          <w:tcPr>
            <w:tcW w:w="2198" w:type="dxa"/>
            <w:tcBorders>
              <w:top w:val="nil"/>
              <w:left w:val="nil"/>
              <w:bottom w:val="single" w:sz="4" w:space="0" w:color="auto"/>
              <w:right w:val="single" w:sz="4" w:space="0" w:color="auto"/>
            </w:tcBorders>
            <w:shd w:val="clear" w:color="auto" w:fill="auto"/>
            <w:noWrap/>
            <w:vAlign w:val="bottom"/>
          </w:tcPr>
          <w:p w14:paraId="56AE6CDE" w14:textId="61817B12"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7</w:t>
            </w:r>
            <w:r>
              <w:rPr>
                <w:sz w:val="18"/>
                <w:szCs w:val="18"/>
                <w:lang w:val="fr-FR" w:eastAsia="en-CA"/>
              </w:rPr>
              <w:t>,</w:t>
            </w:r>
            <w:r w:rsidRPr="00BA52C1">
              <w:rPr>
                <w:sz w:val="18"/>
                <w:szCs w:val="18"/>
                <w:lang w:val="fr-FR" w:eastAsia="en-CA"/>
              </w:rPr>
              <w:t>639</w:t>
            </w:r>
          </w:p>
        </w:tc>
        <w:tc>
          <w:tcPr>
            <w:tcW w:w="1176" w:type="dxa"/>
            <w:tcBorders>
              <w:top w:val="nil"/>
              <w:left w:val="nil"/>
              <w:bottom w:val="single" w:sz="4" w:space="0" w:color="auto"/>
              <w:right w:val="single" w:sz="4" w:space="0" w:color="auto"/>
            </w:tcBorders>
            <w:shd w:val="clear" w:color="auto" w:fill="auto"/>
            <w:noWrap/>
            <w:vAlign w:val="bottom"/>
          </w:tcPr>
          <w:p w14:paraId="7C935730" w14:textId="3F5B463E"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1 075 502</w:t>
            </w:r>
          </w:p>
        </w:tc>
        <w:tc>
          <w:tcPr>
            <w:tcW w:w="1461" w:type="dxa"/>
            <w:tcBorders>
              <w:top w:val="nil"/>
              <w:left w:val="nil"/>
              <w:bottom w:val="single" w:sz="4" w:space="0" w:color="auto"/>
              <w:right w:val="single" w:sz="4" w:space="0" w:color="auto"/>
            </w:tcBorders>
            <w:shd w:val="clear" w:color="auto" w:fill="auto"/>
            <w:noWrap/>
            <w:vAlign w:val="bottom"/>
          </w:tcPr>
          <w:p w14:paraId="3B84C4C6" w14:textId="2BA29729"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1 149 091</w:t>
            </w:r>
          </w:p>
        </w:tc>
        <w:tc>
          <w:tcPr>
            <w:tcW w:w="1080" w:type="dxa"/>
            <w:tcBorders>
              <w:top w:val="nil"/>
              <w:left w:val="nil"/>
              <w:bottom w:val="single" w:sz="4" w:space="0" w:color="auto"/>
              <w:right w:val="single" w:sz="4" w:space="0" w:color="auto"/>
            </w:tcBorders>
            <w:shd w:val="clear" w:color="auto" w:fill="auto"/>
            <w:noWrap/>
            <w:vAlign w:val="bottom"/>
          </w:tcPr>
          <w:p w14:paraId="6F7DAEFA" w14:textId="178DC32F"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2 224 593</w:t>
            </w:r>
          </w:p>
        </w:tc>
      </w:tr>
      <w:tr w:rsidR="00A14C6E" w:rsidRPr="00BA52C1" w14:paraId="586C7D00"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13D7277" w14:textId="4AD658B7" w:rsidR="00A14C6E" w:rsidRPr="00BA52C1" w:rsidRDefault="00A14C6E" w:rsidP="00A14C6E">
            <w:pPr>
              <w:pStyle w:val="CBDTableNormal"/>
              <w:spacing w:before="0" w:after="0"/>
              <w:rPr>
                <w:sz w:val="18"/>
                <w:szCs w:val="18"/>
                <w:lang w:val="fr-FR" w:eastAsia="en-CA"/>
              </w:rPr>
            </w:pPr>
            <w:r w:rsidRPr="00BA52C1">
              <w:rPr>
                <w:sz w:val="18"/>
                <w:szCs w:val="18"/>
                <w:lang w:val="fr-FR" w:eastAsia="en-CA"/>
              </w:rPr>
              <w:t>Andorr</w:t>
            </w:r>
            <w:r>
              <w:rPr>
                <w:sz w:val="18"/>
                <w:szCs w:val="18"/>
                <w:lang w:val="fr-FR" w:eastAsia="en-CA"/>
              </w:rPr>
              <w:t>e</w:t>
            </w:r>
          </w:p>
        </w:tc>
        <w:tc>
          <w:tcPr>
            <w:tcW w:w="1628" w:type="dxa"/>
            <w:tcBorders>
              <w:top w:val="nil"/>
              <w:left w:val="nil"/>
              <w:bottom w:val="single" w:sz="4" w:space="0" w:color="auto"/>
              <w:right w:val="single" w:sz="4" w:space="0" w:color="auto"/>
            </w:tcBorders>
            <w:shd w:val="clear" w:color="auto" w:fill="auto"/>
            <w:vAlign w:val="bottom"/>
            <w:hideMark/>
          </w:tcPr>
          <w:p w14:paraId="4D5D14CC" w14:textId="5297422E"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005</w:t>
            </w:r>
          </w:p>
        </w:tc>
        <w:tc>
          <w:tcPr>
            <w:tcW w:w="2198" w:type="dxa"/>
            <w:tcBorders>
              <w:top w:val="nil"/>
              <w:left w:val="nil"/>
              <w:bottom w:val="single" w:sz="4" w:space="0" w:color="auto"/>
              <w:right w:val="single" w:sz="4" w:space="0" w:color="auto"/>
            </w:tcBorders>
            <w:shd w:val="clear" w:color="auto" w:fill="auto"/>
            <w:noWrap/>
            <w:vAlign w:val="bottom"/>
            <w:hideMark/>
          </w:tcPr>
          <w:p w14:paraId="06F3C096" w14:textId="246E8ED5"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006</w:t>
            </w:r>
          </w:p>
        </w:tc>
        <w:tc>
          <w:tcPr>
            <w:tcW w:w="1176" w:type="dxa"/>
            <w:tcBorders>
              <w:top w:val="nil"/>
              <w:left w:val="nil"/>
              <w:bottom w:val="single" w:sz="4" w:space="0" w:color="auto"/>
              <w:right w:val="single" w:sz="4" w:space="0" w:color="auto"/>
            </w:tcBorders>
            <w:shd w:val="clear" w:color="auto" w:fill="auto"/>
            <w:noWrap/>
            <w:vAlign w:val="bottom"/>
            <w:hideMark/>
          </w:tcPr>
          <w:p w14:paraId="502FF23D" w14:textId="2BA7B5EB"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880</w:t>
            </w:r>
          </w:p>
        </w:tc>
        <w:tc>
          <w:tcPr>
            <w:tcW w:w="1461" w:type="dxa"/>
            <w:tcBorders>
              <w:top w:val="nil"/>
              <w:left w:val="nil"/>
              <w:bottom w:val="single" w:sz="4" w:space="0" w:color="auto"/>
              <w:right w:val="single" w:sz="4" w:space="0" w:color="auto"/>
            </w:tcBorders>
            <w:shd w:val="clear" w:color="auto" w:fill="auto"/>
            <w:noWrap/>
            <w:vAlign w:val="bottom"/>
            <w:hideMark/>
          </w:tcPr>
          <w:p w14:paraId="5A6CED65" w14:textId="3B9C6A20"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 xml:space="preserve">940 </w:t>
            </w:r>
          </w:p>
        </w:tc>
        <w:tc>
          <w:tcPr>
            <w:tcW w:w="1080" w:type="dxa"/>
            <w:tcBorders>
              <w:top w:val="nil"/>
              <w:left w:val="nil"/>
              <w:bottom w:val="single" w:sz="4" w:space="0" w:color="auto"/>
              <w:right w:val="single" w:sz="4" w:space="0" w:color="auto"/>
            </w:tcBorders>
            <w:shd w:val="clear" w:color="auto" w:fill="auto"/>
            <w:noWrap/>
            <w:vAlign w:val="bottom"/>
            <w:hideMark/>
          </w:tcPr>
          <w:p w14:paraId="1FDC105D" w14:textId="6A6AB0AE"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 xml:space="preserve">1 820 </w:t>
            </w:r>
          </w:p>
        </w:tc>
      </w:tr>
      <w:tr w:rsidR="00A14C6E" w:rsidRPr="00BA52C1" w14:paraId="0CDD1EFC"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5045233" w14:textId="77777777" w:rsidR="00A14C6E" w:rsidRPr="00BA52C1" w:rsidRDefault="00A14C6E" w:rsidP="00A14C6E">
            <w:pPr>
              <w:pStyle w:val="CBDTableNormal"/>
              <w:spacing w:before="0" w:after="0"/>
              <w:rPr>
                <w:sz w:val="18"/>
                <w:szCs w:val="18"/>
                <w:lang w:val="fr-FR" w:eastAsia="en-CA"/>
              </w:rPr>
            </w:pPr>
            <w:r w:rsidRPr="00BA52C1">
              <w:rPr>
                <w:sz w:val="18"/>
                <w:szCs w:val="18"/>
                <w:lang w:val="fr-FR" w:eastAsia="en-CA"/>
              </w:rPr>
              <w:t>Angola</w:t>
            </w:r>
          </w:p>
        </w:tc>
        <w:tc>
          <w:tcPr>
            <w:tcW w:w="1628" w:type="dxa"/>
            <w:tcBorders>
              <w:top w:val="nil"/>
              <w:left w:val="nil"/>
              <w:bottom w:val="single" w:sz="4" w:space="0" w:color="auto"/>
              <w:right w:val="single" w:sz="4" w:space="0" w:color="auto"/>
            </w:tcBorders>
            <w:shd w:val="clear" w:color="auto" w:fill="auto"/>
            <w:vAlign w:val="bottom"/>
            <w:hideMark/>
          </w:tcPr>
          <w:p w14:paraId="21D24945" w14:textId="495FFA5B"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010</w:t>
            </w:r>
          </w:p>
        </w:tc>
        <w:tc>
          <w:tcPr>
            <w:tcW w:w="2198" w:type="dxa"/>
            <w:tcBorders>
              <w:top w:val="nil"/>
              <w:left w:val="nil"/>
              <w:bottom w:val="single" w:sz="4" w:space="0" w:color="auto"/>
              <w:right w:val="single" w:sz="4" w:space="0" w:color="auto"/>
            </w:tcBorders>
            <w:shd w:val="clear" w:color="auto" w:fill="auto"/>
            <w:noWrap/>
            <w:vAlign w:val="bottom"/>
            <w:hideMark/>
          </w:tcPr>
          <w:p w14:paraId="1B518E45" w14:textId="5E7D123C"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010</w:t>
            </w:r>
          </w:p>
        </w:tc>
        <w:tc>
          <w:tcPr>
            <w:tcW w:w="1176" w:type="dxa"/>
            <w:tcBorders>
              <w:top w:val="nil"/>
              <w:left w:val="nil"/>
              <w:bottom w:val="single" w:sz="4" w:space="0" w:color="auto"/>
              <w:right w:val="single" w:sz="4" w:space="0" w:color="auto"/>
            </w:tcBorders>
            <w:shd w:val="clear" w:color="auto" w:fill="auto"/>
            <w:noWrap/>
            <w:vAlign w:val="bottom"/>
            <w:hideMark/>
          </w:tcPr>
          <w:p w14:paraId="22CBBB5E" w14:textId="3B6BAE71"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1 408</w:t>
            </w:r>
          </w:p>
        </w:tc>
        <w:tc>
          <w:tcPr>
            <w:tcW w:w="1461" w:type="dxa"/>
            <w:tcBorders>
              <w:top w:val="nil"/>
              <w:left w:val="nil"/>
              <w:bottom w:val="single" w:sz="4" w:space="0" w:color="auto"/>
              <w:right w:val="single" w:sz="4" w:space="0" w:color="auto"/>
            </w:tcBorders>
            <w:shd w:val="clear" w:color="auto" w:fill="auto"/>
            <w:noWrap/>
            <w:vAlign w:val="bottom"/>
            <w:hideMark/>
          </w:tcPr>
          <w:p w14:paraId="7CDFD7DE" w14:textId="19C528A3"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 xml:space="preserve">1 504 </w:t>
            </w:r>
          </w:p>
        </w:tc>
        <w:tc>
          <w:tcPr>
            <w:tcW w:w="1080" w:type="dxa"/>
            <w:tcBorders>
              <w:top w:val="nil"/>
              <w:left w:val="nil"/>
              <w:bottom w:val="single" w:sz="4" w:space="0" w:color="auto"/>
              <w:right w:val="single" w:sz="4" w:space="0" w:color="auto"/>
            </w:tcBorders>
            <w:shd w:val="clear" w:color="auto" w:fill="auto"/>
            <w:noWrap/>
            <w:vAlign w:val="bottom"/>
            <w:hideMark/>
          </w:tcPr>
          <w:p w14:paraId="32694DDE" w14:textId="1DD7D30B"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 xml:space="preserve">2 912 </w:t>
            </w:r>
          </w:p>
        </w:tc>
      </w:tr>
      <w:tr w:rsidR="00A14C6E" w:rsidRPr="00BA52C1" w14:paraId="37F239F9"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9FA5B27" w14:textId="1C9DA48F" w:rsidR="00A14C6E" w:rsidRPr="00BA52C1" w:rsidRDefault="00A14C6E" w:rsidP="00A14C6E">
            <w:pPr>
              <w:pStyle w:val="CBDTableNormal"/>
              <w:spacing w:before="0" w:after="0"/>
              <w:rPr>
                <w:sz w:val="18"/>
                <w:szCs w:val="18"/>
                <w:lang w:val="fr-FR" w:eastAsia="en-CA"/>
              </w:rPr>
            </w:pPr>
            <w:r w:rsidRPr="00BA52C1">
              <w:rPr>
                <w:sz w:val="18"/>
                <w:szCs w:val="18"/>
                <w:lang w:val="fr-FR" w:eastAsia="en-CA"/>
              </w:rPr>
              <w:t>Antigua</w:t>
            </w:r>
            <w:r>
              <w:rPr>
                <w:sz w:val="18"/>
                <w:szCs w:val="18"/>
                <w:lang w:val="fr-FR" w:eastAsia="en-CA"/>
              </w:rPr>
              <w:t>-et-</w:t>
            </w:r>
            <w:r w:rsidRPr="00BA52C1">
              <w:rPr>
                <w:sz w:val="18"/>
                <w:szCs w:val="18"/>
                <w:lang w:val="fr-FR" w:eastAsia="en-CA"/>
              </w:rPr>
              <w:t>Barbuda</w:t>
            </w:r>
          </w:p>
        </w:tc>
        <w:tc>
          <w:tcPr>
            <w:tcW w:w="1628" w:type="dxa"/>
            <w:tcBorders>
              <w:top w:val="nil"/>
              <w:left w:val="nil"/>
              <w:bottom w:val="single" w:sz="4" w:space="0" w:color="auto"/>
              <w:right w:val="single" w:sz="4" w:space="0" w:color="auto"/>
            </w:tcBorders>
            <w:shd w:val="clear" w:color="auto" w:fill="auto"/>
            <w:vAlign w:val="bottom"/>
            <w:hideMark/>
          </w:tcPr>
          <w:p w14:paraId="3487A416" w14:textId="28F67F4A"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002</w:t>
            </w:r>
          </w:p>
        </w:tc>
        <w:tc>
          <w:tcPr>
            <w:tcW w:w="2198" w:type="dxa"/>
            <w:tcBorders>
              <w:top w:val="nil"/>
              <w:left w:val="nil"/>
              <w:bottom w:val="single" w:sz="4" w:space="0" w:color="auto"/>
              <w:right w:val="single" w:sz="4" w:space="0" w:color="auto"/>
            </w:tcBorders>
            <w:shd w:val="clear" w:color="auto" w:fill="auto"/>
            <w:noWrap/>
            <w:vAlign w:val="bottom"/>
            <w:hideMark/>
          </w:tcPr>
          <w:p w14:paraId="52AEAD51" w14:textId="6626791E"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003</w:t>
            </w:r>
          </w:p>
        </w:tc>
        <w:tc>
          <w:tcPr>
            <w:tcW w:w="1176" w:type="dxa"/>
            <w:tcBorders>
              <w:top w:val="nil"/>
              <w:left w:val="nil"/>
              <w:bottom w:val="single" w:sz="4" w:space="0" w:color="auto"/>
              <w:right w:val="single" w:sz="4" w:space="0" w:color="auto"/>
            </w:tcBorders>
            <w:shd w:val="clear" w:color="auto" w:fill="auto"/>
            <w:noWrap/>
            <w:vAlign w:val="bottom"/>
            <w:hideMark/>
          </w:tcPr>
          <w:p w14:paraId="123BE7A7" w14:textId="2C255F1A"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352</w:t>
            </w:r>
          </w:p>
        </w:tc>
        <w:tc>
          <w:tcPr>
            <w:tcW w:w="1461" w:type="dxa"/>
            <w:tcBorders>
              <w:top w:val="nil"/>
              <w:left w:val="nil"/>
              <w:bottom w:val="single" w:sz="4" w:space="0" w:color="auto"/>
              <w:right w:val="single" w:sz="4" w:space="0" w:color="auto"/>
            </w:tcBorders>
            <w:shd w:val="clear" w:color="auto" w:fill="auto"/>
            <w:noWrap/>
            <w:vAlign w:val="bottom"/>
            <w:hideMark/>
          </w:tcPr>
          <w:p w14:paraId="1F32A260" w14:textId="0D9760FB"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 xml:space="preserve">376 </w:t>
            </w:r>
          </w:p>
        </w:tc>
        <w:tc>
          <w:tcPr>
            <w:tcW w:w="1080" w:type="dxa"/>
            <w:tcBorders>
              <w:top w:val="nil"/>
              <w:left w:val="nil"/>
              <w:bottom w:val="single" w:sz="4" w:space="0" w:color="auto"/>
              <w:right w:val="single" w:sz="4" w:space="0" w:color="auto"/>
            </w:tcBorders>
            <w:shd w:val="clear" w:color="auto" w:fill="auto"/>
            <w:noWrap/>
            <w:vAlign w:val="bottom"/>
            <w:hideMark/>
          </w:tcPr>
          <w:p w14:paraId="748BF2E5" w14:textId="03702F3D"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 xml:space="preserve">728 </w:t>
            </w:r>
          </w:p>
        </w:tc>
      </w:tr>
      <w:tr w:rsidR="00A14C6E" w:rsidRPr="00BA52C1" w14:paraId="2F9AA8C5"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tcPr>
          <w:p w14:paraId="2CF2CB86" w14:textId="5DABE854" w:rsidR="00A14C6E" w:rsidRPr="00BA52C1" w:rsidRDefault="00A14C6E" w:rsidP="00A14C6E">
            <w:pPr>
              <w:pStyle w:val="CBDTableNormal"/>
              <w:spacing w:before="0" w:after="0"/>
              <w:rPr>
                <w:sz w:val="18"/>
                <w:szCs w:val="18"/>
                <w:lang w:val="fr-FR" w:eastAsia="en-CA"/>
              </w:rPr>
            </w:pPr>
            <w:r w:rsidRPr="00BA52C1">
              <w:rPr>
                <w:sz w:val="18"/>
                <w:szCs w:val="18"/>
                <w:lang w:val="fr-FR" w:eastAsia="en-CA"/>
              </w:rPr>
              <w:t>Arabi</w:t>
            </w:r>
            <w:r>
              <w:rPr>
                <w:sz w:val="18"/>
                <w:szCs w:val="18"/>
                <w:lang w:val="fr-FR" w:eastAsia="en-CA"/>
              </w:rPr>
              <w:t>e saoudite</w:t>
            </w:r>
          </w:p>
        </w:tc>
        <w:tc>
          <w:tcPr>
            <w:tcW w:w="1628" w:type="dxa"/>
            <w:tcBorders>
              <w:top w:val="nil"/>
              <w:left w:val="nil"/>
              <w:bottom w:val="single" w:sz="4" w:space="0" w:color="auto"/>
              <w:right w:val="single" w:sz="4" w:space="0" w:color="auto"/>
            </w:tcBorders>
            <w:shd w:val="clear" w:color="auto" w:fill="auto"/>
            <w:vAlign w:val="bottom"/>
          </w:tcPr>
          <w:p w14:paraId="797698FC" w14:textId="4396C54F"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w:t>
            </w:r>
            <w:r>
              <w:rPr>
                <w:sz w:val="18"/>
                <w:szCs w:val="18"/>
                <w:lang w:val="fr-FR" w:eastAsia="en-CA"/>
              </w:rPr>
              <w:t>,</w:t>
            </w:r>
            <w:r w:rsidRPr="00BA52C1">
              <w:rPr>
                <w:sz w:val="18"/>
                <w:szCs w:val="18"/>
                <w:lang w:val="fr-FR" w:eastAsia="en-CA"/>
              </w:rPr>
              <w:t>184</w:t>
            </w:r>
          </w:p>
        </w:tc>
        <w:tc>
          <w:tcPr>
            <w:tcW w:w="2198" w:type="dxa"/>
            <w:tcBorders>
              <w:top w:val="nil"/>
              <w:left w:val="nil"/>
              <w:bottom w:val="single" w:sz="4" w:space="0" w:color="auto"/>
              <w:right w:val="single" w:sz="4" w:space="0" w:color="auto"/>
            </w:tcBorders>
            <w:shd w:val="clear" w:color="auto" w:fill="auto"/>
            <w:noWrap/>
            <w:vAlign w:val="bottom"/>
          </w:tcPr>
          <w:p w14:paraId="55D7FC6C" w14:textId="0A1C4450"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w:t>
            </w:r>
            <w:r>
              <w:rPr>
                <w:sz w:val="18"/>
                <w:szCs w:val="18"/>
                <w:lang w:val="fr-FR" w:eastAsia="en-CA"/>
              </w:rPr>
              <w:t>,</w:t>
            </w:r>
            <w:r w:rsidRPr="00BA52C1">
              <w:rPr>
                <w:sz w:val="18"/>
                <w:szCs w:val="18"/>
                <w:lang w:val="fr-FR" w:eastAsia="en-CA"/>
              </w:rPr>
              <w:t>480</w:t>
            </w:r>
          </w:p>
        </w:tc>
        <w:tc>
          <w:tcPr>
            <w:tcW w:w="1176" w:type="dxa"/>
            <w:tcBorders>
              <w:top w:val="nil"/>
              <w:left w:val="nil"/>
              <w:bottom w:val="single" w:sz="4" w:space="0" w:color="auto"/>
              <w:right w:val="single" w:sz="4" w:space="0" w:color="auto"/>
            </w:tcBorders>
            <w:shd w:val="clear" w:color="auto" w:fill="auto"/>
            <w:noWrap/>
            <w:vAlign w:val="bottom"/>
          </w:tcPr>
          <w:p w14:paraId="59FBA542" w14:textId="79757804"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208 377</w:t>
            </w:r>
          </w:p>
        </w:tc>
        <w:tc>
          <w:tcPr>
            <w:tcW w:w="1461" w:type="dxa"/>
            <w:tcBorders>
              <w:top w:val="nil"/>
              <w:left w:val="nil"/>
              <w:bottom w:val="single" w:sz="4" w:space="0" w:color="auto"/>
              <w:right w:val="single" w:sz="4" w:space="0" w:color="auto"/>
            </w:tcBorders>
            <w:shd w:val="clear" w:color="auto" w:fill="auto"/>
            <w:noWrap/>
            <w:vAlign w:val="bottom"/>
          </w:tcPr>
          <w:p w14:paraId="25FFAFA4" w14:textId="2A8A322E"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222 635</w:t>
            </w:r>
          </w:p>
        </w:tc>
        <w:tc>
          <w:tcPr>
            <w:tcW w:w="1080" w:type="dxa"/>
            <w:tcBorders>
              <w:top w:val="nil"/>
              <w:left w:val="nil"/>
              <w:bottom w:val="single" w:sz="4" w:space="0" w:color="auto"/>
              <w:right w:val="single" w:sz="4" w:space="0" w:color="auto"/>
            </w:tcBorders>
            <w:shd w:val="clear" w:color="auto" w:fill="auto"/>
            <w:noWrap/>
            <w:vAlign w:val="bottom"/>
          </w:tcPr>
          <w:p w14:paraId="5D01F82C" w14:textId="12B3EAF3"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431 013</w:t>
            </w:r>
          </w:p>
        </w:tc>
      </w:tr>
      <w:tr w:rsidR="00A14C6E" w:rsidRPr="00BA52C1" w14:paraId="7E79622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2A6C5D2" w14:textId="4C835B54" w:rsidR="00A14C6E" w:rsidRPr="00BA52C1" w:rsidRDefault="00A14C6E" w:rsidP="00A14C6E">
            <w:pPr>
              <w:pStyle w:val="CBDTableNormal"/>
              <w:spacing w:before="0" w:after="0"/>
              <w:rPr>
                <w:sz w:val="18"/>
                <w:szCs w:val="18"/>
                <w:lang w:val="fr-FR" w:eastAsia="en-CA"/>
              </w:rPr>
            </w:pPr>
            <w:r w:rsidRPr="00BA52C1">
              <w:rPr>
                <w:sz w:val="18"/>
                <w:szCs w:val="18"/>
                <w:lang w:val="fr-FR" w:eastAsia="en-CA"/>
              </w:rPr>
              <w:t>Argentin</w:t>
            </w:r>
            <w:r>
              <w:rPr>
                <w:sz w:val="18"/>
                <w:szCs w:val="18"/>
                <w:lang w:val="fr-FR" w:eastAsia="en-CA"/>
              </w:rPr>
              <w:t>e</w:t>
            </w:r>
          </w:p>
        </w:tc>
        <w:tc>
          <w:tcPr>
            <w:tcW w:w="1628" w:type="dxa"/>
            <w:tcBorders>
              <w:top w:val="nil"/>
              <w:left w:val="nil"/>
              <w:bottom w:val="single" w:sz="4" w:space="0" w:color="auto"/>
              <w:right w:val="single" w:sz="4" w:space="0" w:color="auto"/>
            </w:tcBorders>
            <w:shd w:val="clear" w:color="auto" w:fill="auto"/>
            <w:vAlign w:val="bottom"/>
            <w:hideMark/>
          </w:tcPr>
          <w:p w14:paraId="32FFE441" w14:textId="6BD59ADB"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719</w:t>
            </w:r>
          </w:p>
        </w:tc>
        <w:tc>
          <w:tcPr>
            <w:tcW w:w="2198" w:type="dxa"/>
            <w:tcBorders>
              <w:top w:val="nil"/>
              <w:left w:val="nil"/>
              <w:bottom w:val="single" w:sz="4" w:space="0" w:color="auto"/>
              <w:right w:val="single" w:sz="4" w:space="0" w:color="auto"/>
            </w:tcBorders>
            <w:shd w:val="clear" w:color="auto" w:fill="auto"/>
            <w:noWrap/>
            <w:vAlign w:val="bottom"/>
            <w:hideMark/>
          </w:tcPr>
          <w:p w14:paraId="1DE458B9" w14:textId="09EF7098"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899</w:t>
            </w:r>
          </w:p>
        </w:tc>
        <w:tc>
          <w:tcPr>
            <w:tcW w:w="1176" w:type="dxa"/>
            <w:tcBorders>
              <w:top w:val="nil"/>
              <w:left w:val="nil"/>
              <w:bottom w:val="single" w:sz="4" w:space="0" w:color="auto"/>
              <w:right w:val="single" w:sz="4" w:space="0" w:color="auto"/>
            </w:tcBorders>
            <w:shd w:val="clear" w:color="auto" w:fill="auto"/>
            <w:noWrap/>
            <w:vAlign w:val="bottom"/>
            <w:hideMark/>
          </w:tcPr>
          <w:p w14:paraId="5C2C7324" w14:textId="0FAE9E8A"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126 540</w:t>
            </w:r>
          </w:p>
        </w:tc>
        <w:tc>
          <w:tcPr>
            <w:tcW w:w="1461" w:type="dxa"/>
            <w:tcBorders>
              <w:top w:val="nil"/>
              <w:left w:val="nil"/>
              <w:bottom w:val="single" w:sz="4" w:space="0" w:color="auto"/>
              <w:right w:val="single" w:sz="4" w:space="0" w:color="auto"/>
            </w:tcBorders>
            <w:shd w:val="clear" w:color="auto" w:fill="auto"/>
            <w:noWrap/>
            <w:vAlign w:val="bottom"/>
            <w:hideMark/>
          </w:tcPr>
          <w:p w14:paraId="304A264A" w14:textId="0902AAFC"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 xml:space="preserve">135 198 </w:t>
            </w:r>
          </w:p>
        </w:tc>
        <w:tc>
          <w:tcPr>
            <w:tcW w:w="1080" w:type="dxa"/>
            <w:tcBorders>
              <w:top w:val="nil"/>
              <w:left w:val="nil"/>
              <w:bottom w:val="single" w:sz="4" w:space="0" w:color="auto"/>
              <w:right w:val="single" w:sz="4" w:space="0" w:color="auto"/>
            </w:tcBorders>
            <w:shd w:val="clear" w:color="auto" w:fill="auto"/>
            <w:noWrap/>
            <w:vAlign w:val="bottom"/>
            <w:hideMark/>
          </w:tcPr>
          <w:p w14:paraId="27ABA22D" w14:textId="591F7E70"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 xml:space="preserve">261 738 </w:t>
            </w:r>
          </w:p>
        </w:tc>
      </w:tr>
      <w:tr w:rsidR="00A14C6E" w:rsidRPr="00BA52C1" w14:paraId="3D08CDE0"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1B748CA" w14:textId="2864E89C" w:rsidR="00A14C6E" w:rsidRPr="00BA52C1" w:rsidRDefault="00A14C6E" w:rsidP="00A14C6E">
            <w:pPr>
              <w:pStyle w:val="CBDTableNormal"/>
              <w:spacing w:before="0" w:after="0"/>
              <w:rPr>
                <w:sz w:val="18"/>
                <w:szCs w:val="18"/>
                <w:lang w:val="fr-FR" w:eastAsia="en-CA"/>
              </w:rPr>
            </w:pPr>
            <w:r w:rsidRPr="00BA52C1">
              <w:rPr>
                <w:sz w:val="18"/>
                <w:szCs w:val="18"/>
                <w:lang w:val="fr-FR" w:eastAsia="en-CA"/>
              </w:rPr>
              <w:t>Arm</w:t>
            </w:r>
            <w:r>
              <w:rPr>
                <w:sz w:val="18"/>
                <w:szCs w:val="18"/>
                <w:lang w:val="fr-FR" w:eastAsia="en-CA"/>
              </w:rPr>
              <w:t>énie</w:t>
            </w:r>
          </w:p>
        </w:tc>
        <w:tc>
          <w:tcPr>
            <w:tcW w:w="1628" w:type="dxa"/>
            <w:tcBorders>
              <w:top w:val="nil"/>
              <w:left w:val="nil"/>
              <w:bottom w:val="single" w:sz="4" w:space="0" w:color="auto"/>
              <w:right w:val="single" w:sz="4" w:space="0" w:color="auto"/>
            </w:tcBorders>
            <w:shd w:val="clear" w:color="auto" w:fill="auto"/>
            <w:vAlign w:val="bottom"/>
            <w:hideMark/>
          </w:tcPr>
          <w:p w14:paraId="3F701FF6" w14:textId="5BB958A6"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007</w:t>
            </w:r>
          </w:p>
        </w:tc>
        <w:tc>
          <w:tcPr>
            <w:tcW w:w="2198" w:type="dxa"/>
            <w:tcBorders>
              <w:top w:val="nil"/>
              <w:left w:val="nil"/>
              <w:bottom w:val="single" w:sz="4" w:space="0" w:color="auto"/>
              <w:right w:val="single" w:sz="4" w:space="0" w:color="auto"/>
            </w:tcBorders>
            <w:shd w:val="clear" w:color="auto" w:fill="auto"/>
            <w:noWrap/>
            <w:vAlign w:val="bottom"/>
            <w:hideMark/>
          </w:tcPr>
          <w:p w14:paraId="4B86EB25" w14:textId="14EF3AF6"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009</w:t>
            </w:r>
          </w:p>
        </w:tc>
        <w:tc>
          <w:tcPr>
            <w:tcW w:w="1176" w:type="dxa"/>
            <w:tcBorders>
              <w:top w:val="nil"/>
              <w:left w:val="nil"/>
              <w:bottom w:val="single" w:sz="4" w:space="0" w:color="auto"/>
              <w:right w:val="single" w:sz="4" w:space="0" w:color="auto"/>
            </w:tcBorders>
            <w:shd w:val="clear" w:color="auto" w:fill="auto"/>
            <w:noWrap/>
            <w:vAlign w:val="bottom"/>
            <w:hideMark/>
          </w:tcPr>
          <w:p w14:paraId="11F7CEEC" w14:textId="6D9F9C48"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1 232</w:t>
            </w:r>
          </w:p>
        </w:tc>
        <w:tc>
          <w:tcPr>
            <w:tcW w:w="1461" w:type="dxa"/>
            <w:tcBorders>
              <w:top w:val="nil"/>
              <w:left w:val="nil"/>
              <w:bottom w:val="single" w:sz="4" w:space="0" w:color="auto"/>
              <w:right w:val="single" w:sz="4" w:space="0" w:color="auto"/>
            </w:tcBorders>
            <w:shd w:val="clear" w:color="auto" w:fill="auto"/>
            <w:noWrap/>
            <w:vAlign w:val="bottom"/>
            <w:hideMark/>
          </w:tcPr>
          <w:p w14:paraId="6AC9FD76" w14:textId="1A4667AB"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1 316</w:t>
            </w:r>
          </w:p>
        </w:tc>
        <w:tc>
          <w:tcPr>
            <w:tcW w:w="1080" w:type="dxa"/>
            <w:tcBorders>
              <w:top w:val="nil"/>
              <w:left w:val="nil"/>
              <w:bottom w:val="single" w:sz="4" w:space="0" w:color="auto"/>
              <w:right w:val="single" w:sz="4" w:space="0" w:color="auto"/>
            </w:tcBorders>
            <w:shd w:val="clear" w:color="auto" w:fill="auto"/>
            <w:noWrap/>
            <w:vAlign w:val="bottom"/>
            <w:hideMark/>
          </w:tcPr>
          <w:p w14:paraId="620D8DE1" w14:textId="0C17F71B"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2 548</w:t>
            </w:r>
          </w:p>
        </w:tc>
      </w:tr>
      <w:tr w:rsidR="00A14C6E" w:rsidRPr="00BA52C1" w14:paraId="76DE3029"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5CEDBC0" w14:textId="22B03812" w:rsidR="00A14C6E" w:rsidRPr="00BA52C1" w:rsidRDefault="00A14C6E" w:rsidP="00A14C6E">
            <w:pPr>
              <w:pStyle w:val="CBDTableNormal"/>
              <w:spacing w:before="0" w:after="0"/>
              <w:rPr>
                <w:sz w:val="18"/>
                <w:szCs w:val="18"/>
                <w:lang w:val="fr-FR" w:eastAsia="en-CA"/>
              </w:rPr>
            </w:pPr>
            <w:r w:rsidRPr="00BA52C1">
              <w:rPr>
                <w:sz w:val="18"/>
                <w:szCs w:val="18"/>
                <w:lang w:val="fr-FR" w:eastAsia="en-CA"/>
              </w:rPr>
              <w:t>Australi</w:t>
            </w:r>
            <w:r>
              <w:rPr>
                <w:sz w:val="18"/>
                <w:szCs w:val="18"/>
                <w:lang w:val="fr-FR" w:eastAsia="en-CA"/>
              </w:rPr>
              <w:t>e</w:t>
            </w:r>
          </w:p>
        </w:tc>
        <w:tc>
          <w:tcPr>
            <w:tcW w:w="1628" w:type="dxa"/>
            <w:tcBorders>
              <w:top w:val="nil"/>
              <w:left w:val="nil"/>
              <w:bottom w:val="single" w:sz="4" w:space="0" w:color="auto"/>
              <w:right w:val="single" w:sz="4" w:space="0" w:color="auto"/>
            </w:tcBorders>
            <w:shd w:val="clear" w:color="auto" w:fill="auto"/>
            <w:vAlign w:val="bottom"/>
            <w:hideMark/>
          </w:tcPr>
          <w:p w14:paraId="3BD11244" w14:textId="2A941162"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2</w:t>
            </w:r>
            <w:r>
              <w:rPr>
                <w:sz w:val="18"/>
                <w:szCs w:val="18"/>
                <w:lang w:val="fr-FR" w:eastAsia="en-CA"/>
              </w:rPr>
              <w:t>,</w:t>
            </w:r>
            <w:r w:rsidRPr="00BA52C1">
              <w:rPr>
                <w:sz w:val="18"/>
                <w:szCs w:val="18"/>
                <w:lang w:val="fr-FR" w:eastAsia="en-CA"/>
              </w:rPr>
              <w:t>111</w:t>
            </w:r>
          </w:p>
        </w:tc>
        <w:tc>
          <w:tcPr>
            <w:tcW w:w="2198" w:type="dxa"/>
            <w:tcBorders>
              <w:top w:val="nil"/>
              <w:left w:val="nil"/>
              <w:bottom w:val="single" w:sz="4" w:space="0" w:color="auto"/>
              <w:right w:val="single" w:sz="4" w:space="0" w:color="auto"/>
            </w:tcBorders>
            <w:shd w:val="clear" w:color="auto" w:fill="auto"/>
            <w:noWrap/>
            <w:vAlign w:val="bottom"/>
            <w:hideMark/>
          </w:tcPr>
          <w:p w14:paraId="5EB69969" w14:textId="78489E76"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2</w:t>
            </w:r>
            <w:r>
              <w:rPr>
                <w:sz w:val="18"/>
                <w:szCs w:val="18"/>
                <w:lang w:val="fr-FR" w:eastAsia="en-CA"/>
              </w:rPr>
              <w:t>,</w:t>
            </w:r>
            <w:r w:rsidRPr="00BA52C1">
              <w:rPr>
                <w:sz w:val="18"/>
                <w:szCs w:val="18"/>
                <w:lang w:val="fr-FR" w:eastAsia="en-CA"/>
              </w:rPr>
              <w:t>639</w:t>
            </w:r>
          </w:p>
        </w:tc>
        <w:tc>
          <w:tcPr>
            <w:tcW w:w="1176" w:type="dxa"/>
            <w:tcBorders>
              <w:top w:val="nil"/>
              <w:left w:val="nil"/>
              <w:bottom w:val="single" w:sz="4" w:space="0" w:color="auto"/>
              <w:right w:val="single" w:sz="4" w:space="0" w:color="auto"/>
            </w:tcBorders>
            <w:shd w:val="clear" w:color="auto" w:fill="auto"/>
            <w:noWrap/>
            <w:vAlign w:val="bottom"/>
            <w:hideMark/>
          </w:tcPr>
          <w:p w14:paraId="1E2841C4" w14:textId="0AC9BBF6"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371 524</w:t>
            </w:r>
          </w:p>
        </w:tc>
        <w:tc>
          <w:tcPr>
            <w:tcW w:w="1461" w:type="dxa"/>
            <w:tcBorders>
              <w:top w:val="nil"/>
              <w:left w:val="nil"/>
              <w:bottom w:val="single" w:sz="4" w:space="0" w:color="auto"/>
              <w:right w:val="single" w:sz="4" w:space="0" w:color="auto"/>
            </w:tcBorders>
            <w:shd w:val="clear" w:color="auto" w:fill="auto"/>
            <w:noWrap/>
            <w:vAlign w:val="bottom"/>
            <w:hideMark/>
          </w:tcPr>
          <w:p w14:paraId="096FAFE8" w14:textId="232D738F"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396 945</w:t>
            </w:r>
          </w:p>
        </w:tc>
        <w:tc>
          <w:tcPr>
            <w:tcW w:w="1080" w:type="dxa"/>
            <w:tcBorders>
              <w:top w:val="nil"/>
              <w:left w:val="nil"/>
              <w:bottom w:val="single" w:sz="4" w:space="0" w:color="auto"/>
              <w:right w:val="single" w:sz="4" w:space="0" w:color="auto"/>
            </w:tcBorders>
            <w:shd w:val="clear" w:color="auto" w:fill="auto"/>
            <w:noWrap/>
            <w:vAlign w:val="bottom"/>
            <w:hideMark/>
          </w:tcPr>
          <w:p w14:paraId="1CBC177F" w14:textId="63699BC5"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768 469</w:t>
            </w:r>
          </w:p>
        </w:tc>
      </w:tr>
      <w:tr w:rsidR="00A14C6E" w:rsidRPr="00BA52C1" w14:paraId="6182B560"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4EA8A9B" w14:textId="500C8D14" w:rsidR="00A14C6E" w:rsidRPr="00BA52C1" w:rsidRDefault="00A14C6E" w:rsidP="00A14C6E">
            <w:pPr>
              <w:pStyle w:val="CBDTableNormal"/>
              <w:spacing w:before="0" w:after="0"/>
              <w:rPr>
                <w:sz w:val="18"/>
                <w:szCs w:val="18"/>
                <w:lang w:val="fr-FR" w:eastAsia="en-CA"/>
              </w:rPr>
            </w:pPr>
            <w:r w:rsidRPr="00BA52C1">
              <w:rPr>
                <w:sz w:val="18"/>
                <w:szCs w:val="18"/>
                <w:lang w:val="fr-FR" w:eastAsia="en-CA"/>
              </w:rPr>
              <w:t>Au</w:t>
            </w:r>
            <w:r>
              <w:rPr>
                <w:sz w:val="18"/>
                <w:szCs w:val="18"/>
                <w:lang w:val="fr-FR" w:eastAsia="en-CA"/>
              </w:rPr>
              <w:t>triche</w:t>
            </w:r>
          </w:p>
        </w:tc>
        <w:tc>
          <w:tcPr>
            <w:tcW w:w="1628" w:type="dxa"/>
            <w:tcBorders>
              <w:top w:val="nil"/>
              <w:left w:val="nil"/>
              <w:bottom w:val="single" w:sz="4" w:space="0" w:color="auto"/>
              <w:right w:val="single" w:sz="4" w:space="0" w:color="auto"/>
            </w:tcBorders>
            <w:shd w:val="clear" w:color="auto" w:fill="auto"/>
            <w:vAlign w:val="bottom"/>
            <w:hideMark/>
          </w:tcPr>
          <w:p w14:paraId="74D443EE" w14:textId="718BB449"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679</w:t>
            </w:r>
          </w:p>
        </w:tc>
        <w:tc>
          <w:tcPr>
            <w:tcW w:w="2198" w:type="dxa"/>
            <w:tcBorders>
              <w:top w:val="nil"/>
              <w:left w:val="nil"/>
              <w:bottom w:val="single" w:sz="4" w:space="0" w:color="auto"/>
              <w:right w:val="single" w:sz="4" w:space="0" w:color="auto"/>
            </w:tcBorders>
            <w:shd w:val="clear" w:color="auto" w:fill="auto"/>
            <w:noWrap/>
            <w:vAlign w:val="bottom"/>
            <w:hideMark/>
          </w:tcPr>
          <w:p w14:paraId="0E3F09AF" w14:textId="14EFC779"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849</w:t>
            </w:r>
          </w:p>
        </w:tc>
        <w:tc>
          <w:tcPr>
            <w:tcW w:w="1176" w:type="dxa"/>
            <w:tcBorders>
              <w:top w:val="nil"/>
              <w:left w:val="nil"/>
              <w:bottom w:val="single" w:sz="4" w:space="0" w:color="auto"/>
              <w:right w:val="single" w:sz="4" w:space="0" w:color="auto"/>
            </w:tcBorders>
            <w:shd w:val="clear" w:color="auto" w:fill="auto"/>
            <w:noWrap/>
            <w:vAlign w:val="bottom"/>
            <w:hideMark/>
          </w:tcPr>
          <w:p w14:paraId="23633ABE" w14:textId="323E6A76"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119 500</w:t>
            </w:r>
          </w:p>
        </w:tc>
        <w:tc>
          <w:tcPr>
            <w:tcW w:w="1461" w:type="dxa"/>
            <w:tcBorders>
              <w:top w:val="nil"/>
              <w:left w:val="nil"/>
              <w:bottom w:val="single" w:sz="4" w:space="0" w:color="auto"/>
              <w:right w:val="single" w:sz="4" w:space="0" w:color="auto"/>
            </w:tcBorders>
            <w:shd w:val="clear" w:color="auto" w:fill="auto"/>
            <w:noWrap/>
            <w:vAlign w:val="bottom"/>
            <w:hideMark/>
          </w:tcPr>
          <w:p w14:paraId="30D15F65" w14:textId="711CA3ED"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127 677</w:t>
            </w:r>
          </w:p>
        </w:tc>
        <w:tc>
          <w:tcPr>
            <w:tcW w:w="1080" w:type="dxa"/>
            <w:tcBorders>
              <w:top w:val="nil"/>
              <w:left w:val="nil"/>
              <w:bottom w:val="single" w:sz="4" w:space="0" w:color="auto"/>
              <w:right w:val="single" w:sz="4" w:space="0" w:color="auto"/>
            </w:tcBorders>
            <w:shd w:val="clear" w:color="auto" w:fill="auto"/>
            <w:noWrap/>
            <w:vAlign w:val="bottom"/>
            <w:hideMark/>
          </w:tcPr>
          <w:p w14:paraId="6B456D65" w14:textId="7A03D609"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247 177</w:t>
            </w:r>
          </w:p>
        </w:tc>
      </w:tr>
      <w:tr w:rsidR="00A14C6E" w:rsidRPr="00BA52C1" w14:paraId="5C160C7D"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E74FD1D" w14:textId="637B1FE7" w:rsidR="00A14C6E" w:rsidRPr="00BA52C1" w:rsidRDefault="00A14C6E" w:rsidP="00A14C6E">
            <w:pPr>
              <w:pStyle w:val="CBDTableNormal"/>
              <w:spacing w:before="0" w:after="0"/>
              <w:rPr>
                <w:sz w:val="18"/>
                <w:szCs w:val="18"/>
                <w:lang w:val="fr-FR" w:eastAsia="en-CA"/>
              </w:rPr>
            </w:pPr>
            <w:r w:rsidRPr="00BA52C1">
              <w:rPr>
                <w:sz w:val="18"/>
                <w:szCs w:val="18"/>
                <w:lang w:val="fr-FR" w:eastAsia="en-CA"/>
              </w:rPr>
              <w:t>Azerba</w:t>
            </w:r>
            <w:r>
              <w:rPr>
                <w:sz w:val="18"/>
                <w:szCs w:val="18"/>
                <w:lang w:val="fr-FR" w:eastAsia="en-CA"/>
              </w:rPr>
              <w:t>ïdjan</w:t>
            </w:r>
          </w:p>
        </w:tc>
        <w:tc>
          <w:tcPr>
            <w:tcW w:w="1628" w:type="dxa"/>
            <w:tcBorders>
              <w:top w:val="nil"/>
              <w:left w:val="nil"/>
              <w:bottom w:val="single" w:sz="4" w:space="0" w:color="auto"/>
              <w:right w:val="single" w:sz="4" w:space="0" w:color="auto"/>
            </w:tcBorders>
            <w:shd w:val="clear" w:color="auto" w:fill="auto"/>
            <w:vAlign w:val="bottom"/>
            <w:hideMark/>
          </w:tcPr>
          <w:p w14:paraId="191F2831" w14:textId="7BE008AB"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030</w:t>
            </w:r>
          </w:p>
        </w:tc>
        <w:tc>
          <w:tcPr>
            <w:tcW w:w="2198" w:type="dxa"/>
            <w:tcBorders>
              <w:top w:val="nil"/>
              <w:left w:val="nil"/>
              <w:bottom w:val="single" w:sz="4" w:space="0" w:color="auto"/>
              <w:right w:val="single" w:sz="4" w:space="0" w:color="auto"/>
            </w:tcBorders>
            <w:shd w:val="clear" w:color="auto" w:fill="auto"/>
            <w:noWrap/>
            <w:vAlign w:val="bottom"/>
            <w:hideMark/>
          </w:tcPr>
          <w:p w14:paraId="5B558D95" w14:textId="54B289B2"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038</w:t>
            </w:r>
          </w:p>
        </w:tc>
        <w:tc>
          <w:tcPr>
            <w:tcW w:w="1176" w:type="dxa"/>
            <w:tcBorders>
              <w:top w:val="nil"/>
              <w:left w:val="nil"/>
              <w:bottom w:val="single" w:sz="4" w:space="0" w:color="auto"/>
              <w:right w:val="single" w:sz="4" w:space="0" w:color="auto"/>
            </w:tcBorders>
            <w:shd w:val="clear" w:color="auto" w:fill="auto"/>
            <w:noWrap/>
            <w:vAlign w:val="bottom"/>
            <w:hideMark/>
          </w:tcPr>
          <w:p w14:paraId="7C25664A" w14:textId="521C3C54"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5 280</w:t>
            </w:r>
          </w:p>
        </w:tc>
        <w:tc>
          <w:tcPr>
            <w:tcW w:w="1461" w:type="dxa"/>
            <w:tcBorders>
              <w:top w:val="nil"/>
              <w:left w:val="nil"/>
              <w:bottom w:val="single" w:sz="4" w:space="0" w:color="auto"/>
              <w:right w:val="single" w:sz="4" w:space="0" w:color="auto"/>
            </w:tcBorders>
            <w:shd w:val="clear" w:color="auto" w:fill="auto"/>
            <w:noWrap/>
            <w:vAlign w:val="bottom"/>
            <w:hideMark/>
          </w:tcPr>
          <w:p w14:paraId="41D22AEE" w14:textId="4CE3A02A"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5 641</w:t>
            </w:r>
          </w:p>
        </w:tc>
        <w:tc>
          <w:tcPr>
            <w:tcW w:w="1080" w:type="dxa"/>
            <w:tcBorders>
              <w:top w:val="nil"/>
              <w:left w:val="nil"/>
              <w:bottom w:val="single" w:sz="4" w:space="0" w:color="auto"/>
              <w:right w:val="single" w:sz="4" w:space="0" w:color="auto"/>
            </w:tcBorders>
            <w:shd w:val="clear" w:color="auto" w:fill="auto"/>
            <w:noWrap/>
            <w:vAlign w:val="bottom"/>
            <w:hideMark/>
          </w:tcPr>
          <w:p w14:paraId="36C5C4A7" w14:textId="7E65591E"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10 921</w:t>
            </w:r>
          </w:p>
        </w:tc>
      </w:tr>
      <w:tr w:rsidR="00A14C6E" w:rsidRPr="00BA52C1" w14:paraId="6D443F40"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4E9FEBC" w14:textId="77777777" w:rsidR="00A14C6E" w:rsidRPr="00BA52C1" w:rsidRDefault="00A14C6E" w:rsidP="00A14C6E">
            <w:pPr>
              <w:pStyle w:val="CBDTableNormal"/>
              <w:spacing w:before="0" w:after="0"/>
              <w:rPr>
                <w:sz w:val="18"/>
                <w:szCs w:val="18"/>
                <w:lang w:val="fr-FR" w:eastAsia="en-CA"/>
              </w:rPr>
            </w:pPr>
            <w:r w:rsidRPr="00BA52C1">
              <w:rPr>
                <w:sz w:val="18"/>
                <w:szCs w:val="18"/>
                <w:lang w:val="fr-FR" w:eastAsia="en-CA"/>
              </w:rPr>
              <w:t>Bahamas</w:t>
            </w:r>
          </w:p>
        </w:tc>
        <w:tc>
          <w:tcPr>
            <w:tcW w:w="1628" w:type="dxa"/>
            <w:tcBorders>
              <w:top w:val="nil"/>
              <w:left w:val="nil"/>
              <w:bottom w:val="single" w:sz="4" w:space="0" w:color="auto"/>
              <w:right w:val="single" w:sz="4" w:space="0" w:color="auto"/>
            </w:tcBorders>
            <w:shd w:val="clear" w:color="auto" w:fill="auto"/>
            <w:vAlign w:val="bottom"/>
            <w:hideMark/>
          </w:tcPr>
          <w:p w14:paraId="2FDE5EA5" w14:textId="5C030D6C"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019</w:t>
            </w:r>
          </w:p>
        </w:tc>
        <w:tc>
          <w:tcPr>
            <w:tcW w:w="2198" w:type="dxa"/>
            <w:tcBorders>
              <w:top w:val="nil"/>
              <w:left w:val="nil"/>
              <w:bottom w:val="single" w:sz="4" w:space="0" w:color="auto"/>
              <w:right w:val="single" w:sz="4" w:space="0" w:color="auto"/>
            </w:tcBorders>
            <w:shd w:val="clear" w:color="auto" w:fill="auto"/>
            <w:noWrap/>
            <w:vAlign w:val="bottom"/>
            <w:hideMark/>
          </w:tcPr>
          <w:p w14:paraId="00E1AC73" w14:textId="790C60BF"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024</w:t>
            </w:r>
          </w:p>
        </w:tc>
        <w:tc>
          <w:tcPr>
            <w:tcW w:w="1176" w:type="dxa"/>
            <w:tcBorders>
              <w:top w:val="nil"/>
              <w:left w:val="nil"/>
              <w:bottom w:val="single" w:sz="4" w:space="0" w:color="auto"/>
              <w:right w:val="single" w:sz="4" w:space="0" w:color="auto"/>
            </w:tcBorders>
            <w:shd w:val="clear" w:color="auto" w:fill="auto"/>
            <w:noWrap/>
            <w:vAlign w:val="bottom"/>
            <w:hideMark/>
          </w:tcPr>
          <w:p w14:paraId="6CA15658" w14:textId="5B10EFF9"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3 344</w:t>
            </w:r>
          </w:p>
        </w:tc>
        <w:tc>
          <w:tcPr>
            <w:tcW w:w="1461" w:type="dxa"/>
            <w:tcBorders>
              <w:top w:val="nil"/>
              <w:left w:val="nil"/>
              <w:bottom w:val="single" w:sz="4" w:space="0" w:color="auto"/>
              <w:right w:val="single" w:sz="4" w:space="0" w:color="auto"/>
            </w:tcBorders>
            <w:shd w:val="clear" w:color="auto" w:fill="auto"/>
            <w:noWrap/>
            <w:vAlign w:val="bottom"/>
            <w:hideMark/>
          </w:tcPr>
          <w:p w14:paraId="047A725F" w14:textId="15099591"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3 573</w:t>
            </w:r>
          </w:p>
        </w:tc>
        <w:tc>
          <w:tcPr>
            <w:tcW w:w="1080" w:type="dxa"/>
            <w:tcBorders>
              <w:top w:val="nil"/>
              <w:left w:val="nil"/>
              <w:bottom w:val="single" w:sz="4" w:space="0" w:color="auto"/>
              <w:right w:val="single" w:sz="4" w:space="0" w:color="auto"/>
            </w:tcBorders>
            <w:shd w:val="clear" w:color="auto" w:fill="auto"/>
            <w:noWrap/>
            <w:vAlign w:val="bottom"/>
            <w:hideMark/>
          </w:tcPr>
          <w:p w14:paraId="68826407" w14:textId="7C88DBB7"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6 917</w:t>
            </w:r>
          </w:p>
        </w:tc>
      </w:tr>
      <w:tr w:rsidR="00A14C6E" w:rsidRPr="00BA52C1" w14:paraId="22DB87ED"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E3B6ADD" w14:textId="69B25860" w:rsidR="00A14C6E" w:rsidRPr="00BA52C1" w:rsidRDefault="00A14C6E" w:rsidP="00A14C6E">
            <w:pPr>
              <w:pStyle w:val="CBDTableNormal"/>
              <w:spacing w:before="0" w:after="0"/>
              <w:rPr>
                <w:sz w:val="18"/>
                <w:szCs w:val="18"/>
                <w:lang w:val="fr-FR" w:eastAsia="en-CA"/>
              </w:rPr>
            </w:pPr>
            <w:r w:rsidRPr="00BA52C1">
              <w:rPr>
                <w:sz w:val="18"/>
                <w:szCs w:val="18"/>
                <w:lang w:val="fr-FR" w:eastAsia="en-CA"/>
              </w:rPr>
              <w:t>Bahr</w:t>
            </w:r>
            <w:r>
              <w:rPr>
                <w:sz w:val="18"/>
                <w:szCs w:val="18"/>
                <w:lang w:val="fr-FR" w:eastAsia="en-CA"/>
              </w:rPr>
              <w:t>eïn</w:t>
            </w:r>
          </w:p>
        </w:tc>
        <w:tc>
          <w:tcPr>
            <w:tcW w:w="1628" w:type="dxa"/>
            <w:tcBorders>
              <w:top w:val="nil"/>
              <w:left w:val="nil"/>
              <w:bottom w:val="single" w:sz="4" w:space="0" w:color="auto"/>
              <w:right w:val="single" w:sz="4" w:space="0" w:color="auto"/>
            </w:tcBorders>
            <w:shd w:val="clear" w:color="auto" w:fill="auto"/>
            <w:vAlign w:val="bottom"/>
            <w:hideMark/>
          </w:tcPr>
          <w:p w14:paraId="787FA0C9" w14:textId="75CC8615"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054</w:t>
            </w:r>
          </w:p>
        </w:tc>
        <w:tc>
          <w:tcPr>
            <w:tcW w:w="2198" w:type="dxa"/>
            <w:tcBorders>
              <w:top w:val="nil"/>
              <w:left w:val="nil"/>
              <w:bottom w:val="single" w:sz="4" w:space="0" w:color="auto"/>
              <w:right w:val="single" w:sz="4" w:space="0" w:color="auto"/>
            </w:tcBorders>
            <w:shd w:val="clear" w:color="auto" w:fill="auto"/>
            <w:noWrap/>
            <w:vAlign w:val="bottom"/>
            <w:hideMark/>
          </w:tcPr>
          <w:p w14:paraId="53482CA4" w14:textId="47E993B8"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068</w:t>
            </w:r>
          </w:p>
        </w:tc>
        <w:tc>
          <w:tcPr>
            <w:tcW w:w="1176" w:type="dxa"/>
            <w:tcBorders>
              <w:top w:val="nil"/>
              <w:left w:val="nil"/>
              <w:bottom w:val="single" w:sz="4" w:space="0" w:color="auto"/>
              <w:right w:val="single" w:sz="4" w:space="0" w:color="auto"/>
            </w:tcBorders>
            <w:shd w:val="clear" w:color="auto" w:fill="auto"/>
            <w:noWrap/>
            <w:vAlign w:val="bottom"/>
            <w:hideMark/>
          </w:tcPr>
          <w:p w14:paraId="12E55F88" w14:textId="397A1A4C"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9 504</w:t>
            </w:r>
          </w:p>
        </w:tc>
        <w:tc>
          <w:tcPr>
            <w:tcW w:w="1461" w:type="dxa"/>
            <w:tcBorders>
              <w:top w:val="nil"/>
              <w:left w:val="nil"/>
              <w:bottom w:val="single" w:sz="4" w:space="0" w:color="auto"/>
              <w:right w:val="single" w:sz="4" w:space="0" w:color="auto"/>
            </w:tcBorders>
            <w:shd w:val="clear" w:color="auto" w:fill="auto"/>
            <w:noWrap/>
            <w:vAlign w:val="bottom"/>
            <w:hideMark/>
          </w:tcPr>
          <w:p w14:paraId="048E909E" w14:textId="7A56A61D"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10 154</w:t>
            </w:r>
          </w:p>
        </w:tc>
        <w:tc>
          <w:tcPr>
            <w:tcW w:w="1080" w:type="dxa"/>
            <w:tcBorders>
              <w:top w:val="nil"/>
              <w:left w:val="nil"/>
              <w:bottom w:val="single" w:sz="4" w:space="0" w:color="auto"/>
              <w:right w:val="single" w:sz="4" w:space="0" w:color="auto"/>
            </w:tcBorders>
            <w:shd w:val="clear" w:color="auto" w:fill="auto"/>
            <w:noWrap/>
            <w:vAlign w:val="bottom"/>
            <w:hideMark/>
          </w:tcPr>
          <w:p w14:paraId="6C4EB751" w14:textId="7905FE5C"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19 658</w:t>
            </w:r>
          </w:p>
        </w:tc>
      </w:tr>
      <w:tr w:rsidR="00A14C6E" w:rsidRPr="00BA52C1" w14:paraId="3DDA3410"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AFA5F58" w14:textId="77777777" w:rsidR="00A14C6E" w:rsidRPr="00BA52C1" w:rsidRDefault="00A14C6E" w:rsidP="00A14C6E">
            <w:pPr>
              <w:pStyle w:val="CBDTableNormal"/>
              <w:spacing w:before="0" w:after="0"/>
              <w:rPr>
                <w:sz w:val="18"/>
                <w:szCs w:val="18"/>
                <w:lang w:val="fr-FR" w:eastAsia="en-CA"/>
              </w:rPr>
            </w:pPr>
            <w:r w:rsidRPr="00BA52C1">
              <w:rPr>
                <w:sz w:val="18"/>
                <w:szCs w:val="18"/>
                <w:lang w:val="fr-FR" w:eastAsia="en-CA"/>
              </w:rPr>
              <w:t>Bangladesh</w:t>
            </w:r>
          </w:p>
        </w:tc>
        <w:tc>
          <w:tcPr>
            <w:tcW w:w="1628" w:type="dxa"/>
            <w:tcBorders>
              <w:top w:val="nil"/>
              <w:left w:val="nil"/>
              <w:bottom w:val="single" w:sz="4" w:space="0" w:color="auto"/>
              <w:right w:val="single" w:sz="4" w:space="0" w:color="auto"/>
            </w:tcBorders>
            <w:shd w:val="clear" w:color="auto" w:fill="auto"/>
            <w:vAlign w:val="bottom"/>
            <w:hideMark/>
          </w:tcPr>
          <w:p w14:paraId="5228A16A" w14:textId="0C11E609"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010</w:t>
            </w:r>
          </w:p>
        </w:tc>
        <w:tc>
          <w:tcPr>
            <w:tcW w:w="2198" w:type="dxa"/>
            <w:tcBorders>
              <w:top w:val="nil"/>
              <w:left w:val="nil"/>
              <w:bottom w:val="single" w:sz="4" w:space="0" w:color="auto"/>
              <w:right w:val="single" w:sz="4" w:space="0" w:color="auto"/>
            </w:tcBorders>
            <w:shd w:val="clear" w:color="auto" w:fill="auto"/>
            <w:noWrap/>
            <w:vAlign w:val="bottom"/>
            <w:hideMark/>
          </w:tcPr>
          <w:p w14:paraId="7BC52F4E" w14:textId="525726FE"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010</w:t>
            </w:r>
          </w:p>
        </w:tc>
        <w:tc>
          <w:tcPr>
            <w:tcW w:w="1176" w:type="dxa"/>
            <w:tcBorders>
              <w:top w:val="nil"/>
              <w:left w:val="nil"/>
              <w:bottom w:val="single" w:sz="4" w:space="0" w:color="auto"/>
              <w:right w:val="single" w:sz="4" w:space="0" w:color="auto"/>
            </w:tcBorders>
            <w:shd w:val="clear" w:color="auto" w:fill="auto"/>
            <w:noWrap/>
            <w:vAlign w:val="bottom"/>
            <w:hideMark/>
          </w:tcPr>
          <w:p w14:paraId="56B4AE55" w14:textId="300B00D5"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1 408</w:t>
            </w:r>
          </w:p>
        </w:tc>
        <w:tc>
          <w:tcPr>
            <w:tcW w:w="1461" w:type="dxa"/>
            <w:tcBorders>
              <w:top w:val="nil"/>
              <w:left w:val="nil"/>
              <w:bottom w:val="single" w:sz="4" w:space="0" w:color="auto"/>
              <w:right w:val="single" w:sz="4" w:space="0" w:color="auto"/>
            </w:tcBorders>
            <w:shd w:val="clear" w:color="auto" w:fill="auto"/>
            <w:noWrap/>
            <w:vAlign w:val="bottom"/>
            <w:hideMark/>
          </w:tcPr>
          <w:p w14:paraId="6C90DB67" w14:textId="22244F99"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1 504</w:t>
            </w:r>
          </w:p>
        </w:tc>
        <w:tc>
          <w:tcPr>
            <w:tcW w:w="1080" w:type="dxa"/>
            <w:tcBorders>
              <w:top w:val="nil"/>
              <w:left w:val="nil"/>
              <w:bottom w:val="single" w:sz="4" w:space="0" w:color="auto"/>
              <w:right w:val="single" w:sz="4" w:space="0" w:color="auto"/>
            </w:tcBorders>
            <w:shd w:val="clear" w:color="auto" w:fill="auto"/>
            <w:noWrap/>
            <w:vAlign w:val="bottom"/>
            <w:hideMark/>
          </w:tcPr>
          <w:p w14:paraId="0C3DE72C" w14:textId="1067B924"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2 912</w:t>
            </w:r>
          </w:p>
        </w:tc>
      </w:tr>
      <w:tr w:rsidR="00A14C6E" w:rsidRPr="00BA52C1" w14:paraId="095048EB"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70C22AD" w14:textId="5AE68369" w:rsidR="00A14C6E" w:rsidRPr="00BA52C1" w:rsidRDefault="00A14C6E" w:rsidP="00A14C6E">
            <w:pPr>
              <w:pStyle w:val="CBDTableNormal"/>
              <w:spacing w:before="0" w:after="0"/>
              <w:rPr>
                <w:sz w:val="18"/>
                <w:szCs w:val="18"/>
                <w:lang w:val="fr-FR" w:eastAsia="en-CA"/>
              </w:rPr>
            </w:pPr>
            <w:r w:rsidRPr="00BA52C1">
              <w:rPr>
                <w:sz w:val="18"/>
                <w:szCs w:val="18"/>
                <w:lang w:val="fr-FR" w:eastAsia="en-CA"/>
              </w:rPr>
              <w:t>Barbad</w:t>
            </w:r>
            <w:r>
              <w:rPr>
                <w:sz w:val="18"/>
                <w:szCs w:val="18"/>
                <w:lang w:val="fr-FR" w:eastAsia="en-CA"/>
              </w:rPr>
              <w:t>e</w:t>
            </w:r>
          </w:p>
        </w:tc>
        <w:tc>
          <w:tcPr>
            <w:tcW w:w="1628" w:type="dxa"/>
            <w:tcBorders>
              <w:top w:val="nil"/>
              <w:left w:val="nil"/>
              <w:bottom w:val="single" w:sz="4" w:space="0" w:color="auto"/>
              <w:right w:val="single" w:sz="4" w:space="0" w:color="auto"/>
            </w:tcBorders>
            <w:shd w:val="clear" w:color="auto" w:fill="auto"/>
            <w:vAlign w:val="bottom"/>
            <w:hideMark/>
          </w:tcPr>
          <w:p w14:paraId="279B3106" w14:textId="66AC7554"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008</w:t>
            </w:r>
          </w:p>
        </w:tc>
        <w:tc>
          <w:tcPr>
            <w:tcW w:w="2198" w:type="dxa"/>
            <w:tcBorders>
              <w:top w:val="nil"/>
              <w:left w:val="nil"/>
              <w:bottom w:val="single" w:sz="4" w:space="0" w:color="auto"/>
              <w:right w:val="single" w:sz="4" w:space="0" w:color="auto"/>
            </w:tcBorders>
            <w:shd w:val="clear" w:color="auto" w:fill="auto"/>
            <w:noWrap/>
            <w:vAlign w:val="bottom"/>
            <w:hideMark/>
          </w:tcPr>
          <w:p w14:paraId="07B4757F" w14:textId="78DD1265"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010</w:t>
            </w:r>
          </w:p>
        </w:tc>
        <w:tc>
          <w:tcPr>
            <w:tcW w:w="1176" w:type="dxa"/>
            <w:tcBorders>
              <w:top w:val="nil"/>
              <w:left w:val="nil"/>
              <w:bottom w:val="single" w:sz="4" w:space="0" w:color="auto"/>
              <w:right w:val="single" w:sz="4" w:space="0" w:color="auto"/>
            </w:tcBorders>
            <w:shd w:val="clear" w:color="auto" w:fill="auto"/>
            <w:noWrap/>
            <w:vAlign w:val="bottom"/>
            <w:hideMark/>
          </w:tcPr>
          <w:p w14:paraId="310C3319" w14:textId="06C614F2"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1 408</w:t>
            </w:r>
          </w:p>
        </w:tc>
        <w:tc>
          <w:tcPr>
            <w:tcW w:w="1461" w:type="dxa"/>
            <w:tcBorders>
              <w:top w:val="nil"/>
              <w:left w:val="nil"/>
              <w:bottom w:val="single" w:sz="4" w:space="0" w:color="auto"/>
              <w:right w:val="single" w:sz="4" w:space="0" w:color="auto"/>
            </w:tcBorders>
            <w:shd w:val="clear" w:color="auto" w:fill="auto"/>
            <w:noWrap/>
            <w:vAlign w:val="bottom"/>
            <w:hideMark/>
          </w:tcPr>
          <w:p w14:paraId="3C111522" w14:textId="4674FB08"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1 504</w:t>
            </w:r>
          </w:p>
        </w:tc>
        <w:tc>
          <w:tcPr>
            <w:tcW w:w="1080" w:type="dxa"/>
            <w:tcBorders>
              <w:top w:val="nil"/>
              <w:left w:val="nil"/>
              <w:bottom w:val="single" w:sz="4" w:space="0" w:color="auto"/>
              <w:right w:val="single" w:sz="4" w:space="0" w:color="auto"/>
            </w:tcBorders>
            <w:shd w:val="clear" w:color="auto" w:fill="auto"/>
            <w:noWrap/>
            <w:vAlign w:val="bottom"/>
            <w:hideMark/>
          </w:tcPr>
          <w:p w14:paraId="76648507" w14:textId="2C832C01"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2 912</w:t>
            </w:r>
          </w:p>
        </w:tc>
      </w:tr>
      <w:tr w:rsidR="00A14C6E" w:rsidRPr="00BA52C1" w14:paraId="5904C69B"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80A1E15" w14:textId="7D07B57C" w:rsidR="00A14C6E" w:rsidRPr="00BA52C1" w:rsidRDefault="00A14C6E" w:rsidP="00A14C6E">
            <w:pPr>
              <w:pStyle w:val="CBDTableNormal"/>
              <w:spacing w:before="0" w:after="0"/>
              <w:rPr>
                <w:sz w:val="18"/>
                <w:szCs w:val="18"/>
                <w:lang w:val="fr-FR" w:eastAsia="en-CA"/>
              </w:rPr>
            </w:pPr>
            <w:r w:rsidRPr="00BA52C1">
              <w:rPr>
                <w:sz w:val="18"/>
                <w:szCs w:val="18"/>
                <w:lang w:val="fr-FR" w:eastAsia="en-CA"/>
              </w:rPr>
              <w:t>B</w:t>
            </w:r>
            <w:r>
              <w:rPr>
                <w:sz w:val="18"/>
                <w:szCs w:val="18"/>
                <w:lang w:val="fr-FR" w:eastAsia="en-CA"/>
              </w:rPr>
              <w:t>é</w:t>
            </w:r>
            <w:r w:rsidRPr="00BA52C1">
              <w:rPr>
                <w:sz w:val="18"/>
                <w:szCs w:val="18"/>
                <w:lang w:val="fr-FR" w:eastAsia="en-CA"/>
              </w:rPr>
              <w:t>larus</w:t>
            </w:r>
          </w:p>
        </w:tc>
        <w:tc>
          <w:tcPr>
            <w:tcW w:w="1628" w:type="dxa"/>
            <w:tcBorders>
              <w:top w:val="nil"/>
              <w:left w:val="nil"/>
              <w:bottom w:val="single" w:sz="4" w:space="0" w:color="auto"/>
              <w:right w:val="single" w:sz="4" w:space="0" w:color="auto"/>
            </w:tcBorders>
            <w:shd w:val="clear" w:color="auto" w:fill="auto"/>
            <w:vAlign w:val="bottom"/>
            <w:hideMark/>
          </w:tcPr>
          <w:p w14:paraId="67310D1A" w14:textId="296DC035"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041</w:t>
            </w:r>
          </w:p>
        </w:tc>
        <w:tc>
          <w:tcPr>
            <w:tcW w:w="2198" w:type="dxa"/>
            <w:tcBorders>
              <w:top w:val="nil"/>
              <w:left w:val="nil"/>
              <w:bottom w:val="single" w:sz="4" w:space="0" w:color="auto"/>
              <w:right w:val="single" w:sz="4" w:space="0" w:color="auto"/>
            </w:tcBorders>
            <w:shd w:val="clear" w:color="auto" w:fill="auto"/>
            <w:noWrap/>
            <w:vAlign w:val="bottom"/>
            <w:hideMark/>
          </w:tcPr>
          <w:p w14:paraId="5FD099DA" w14:textId="5102FF0F"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051</w:t>
            </w:r>
          </w:p>
        </w:tc>
        <w:tc>
          <w:tcPr>
            <w:tcW w:w="1176" w:type="dxa"/>
            <w:tcBorders>
              <w:top w:val="nil"/>
              <w:left w:val="nil"/>
              <w:bottom w:val="single" w:sz="4" w:space="0" w:color="auto"/>
              <w:right w:val="single" w:sz="4" w:space="0" w:color="auto"/>
            </w:tcBorders>
            <w:shd w:val="clear" w:color="auto" w:fill="auto"/>
            <w:noWrap/>
            <w:vAlign w:val="bottom"/>
            <w:hideMark/>
          </w:tcPr>
          <w:p w14:paraId="60AB2040" w14:textId="7C9DF5F5"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7 216</w:t>
            </w:r>
          </w:p>
        </w:tc>
        <w:tc>
          <w:tcPr>
            <w:tcW w:w="1461" w:type="dxa"/>
            <w:tcBorders>
              <w:top w:val="nil"/>
              <w:left w:val="nil"/>
              <w:bottom w:val="single" w:sz="4" w:space="0" w:color="auto"/>
              <w:right w:val="single" w:sz="4" w:space="0" w:color="auto"/>
            </w:tcBorders>
            <w:shd w:val="clear" w:color="auto" w:fill="auto"/>
            <w:noWrap/>
            <w:vAlign w:val="bottom"/>
            <w:hideMark/>
          </w:tcPr>
          <w:p w14:paraId="20013236" w14:textId="3DFC4685"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7 709</w:t>
            </w:r>
          </w:p>
        </w:tc>
        <w:tc>
          <w:tcPr>
            <w:tcW w:w="1080" w:type="dxa"/>
            <w:tcBorders>
              <w:top w:val="nil"/>
              <w:left w:val="nil"/>
              <w:bottom w:val="single" w:sz="4" w:space="0" w:color="auto"/>
              <w:right w:val="single" w:sz="4" w:space="0" w:color="auto"/>
            </w:tcBorders>
            <w:shd w:val="clear" w:color="auto" w:fill="auto"/>
            <w:noWrap/>
            <w:vAlign w:val="bottom"/>
            <w:hideMark/>
          </w:tcPr>
          <w:p w14:paraId="68EFF7DD" w14:textId="02802F39"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14 925</w:t>
            </w:r>
          </w:p>
        </w:tc>
      </w:tr>
      <w:tr w:rsidR="00A14C6E" w:rsidRPr="00BA52C1" w14:paraId="06855F0B"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74402AD" w14:textId="3F8A0F95" w:rsidR="00A14C6E" w:rsidRPr="00BA52C1" w:rsidRDefault="00A14C6E" w:rsidP="00A14C6E">
            <w:pPr>
              <w:pStyle w:val="CBDTableNormal"/>
              <w:spacing w:before="0" w:after="0"/>
              <w:rPr>
                <w:sz w:val="18"/>
                <w:szCs w:val="18"/>
                <w:lang w:val="fr-FR" w:eastAsia="en-CA"/>
              </w:rPr>
            </w:pPr>
            <w:r w:rsidRPr="00BA52C1">
              <w:rPr>
                <w:sz w:val="18"/>
                <w:szCs w:val="18"/>
                <w:lang w:val="fr-FR" w:eastAsia="en-CA"/>
              </w:rPr>
              <w:t>Belg</w:t>
            </w:r>
            <w:r>
              <w:rPr>
                <w:sz w:val="18"/>
                <w:szCs w:val="18"/>
                <w:lang w:val="fr-FR" w:eastAsia="en-CA"/>
              </w:rPr>
              <w:t>ique</w:t>
            </w:r>
          </w:p>
        </w:tc>
        <w:tc>
          <w:tcPr>
            <w:tcW w:w="1628" w:type="dxa"/>
            <w:tcBorders>
              <w:top w:val="nil"/>
              <w:left w:val="nil"/>
              <w:bottom w:val="single" w:sz="4" w:space="0" w:color="auto"/>
              <w:right w:val="single" w:sz="4" w:space="0" w:color="auto"/>
            </w:tcBorders>
            <w:shd w:val="clear" w:color="auto" w:fill="auto"/>
            <w:vAlign w:val="bottom"/>
            <w:hideMark/>
          </w:tcPr>
          <w:p w14:paraId="77275C91" w14:textId="432E8ECB"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828</w:t>
            </w:r>
          </w:p>
        </w:tc>
        <w:tc>
          <w:tcPr>
            <w:tcW w:w="2198" w:type="dxa"/>
            <w:tcBorders>
              <w:top w:val="nil"/>
              <w:left w:val="nil"/>
              <w:bottom w:val="single" w:sz="4" w:space="0" w:color="auto"/>
              <w:right w:val="single" w:sz="4" w:space="0" w:color="auto"/>
            </w:tcBorders>
            <w:shd w:val="clear" w:color="auto" w:fill="auto"/>
            <w:noWrap/>
            <w:vAlign w:val="bottom"/>
            <w:hideMark/>
          </w:tcPr>
          <w:p w14:paraId="3C172FF2" w14:textId="7454F3FE"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w:t>
            </w:r>
            <w:r>
              <w:rPr>
                <w:sz w:val="18"/>
                <w:szCs w:val="18"/>
                <w:lang w:val="fr-FR" w:eastAsia="en-CA"/>
              </w:rPr>
              <w:t>,</w:t>
            </w:r>
            <w:r w:rsidRPr="00BA52C1">
              <w:rPr>
                <w:sz w:val="18"/>
                <w:szCs w:val="18"/>
                <w:lang w:val="fr-FR" w:eastAsia="en-CA"/>
              </w:rPr>
              <w:t>035</w:t>
            </w:r>
          </w:p>
        </w:tc>
        <w:tc>
          <w:tcPr>
            <w:tcW w:w="1176" w:type="dxa"/>
            <w:tcBorders>
              <w:top w:val="nil"/>
              <w:left w:val="nil"/>
              <w:bottom w:val="single" w:sz="4" w:space="0" w:color="auto"/>
              <w:right w:val="single" w:sz="4" w:space="0" w:color="auto"/>
            </w:tcBorders>
            <w:shd w:val="clear" w:color="auto" w:fill="auto"/>
            <w:noWrap/>
            <w:vAlign w:val="bottom"/>
            <w:hideMark/>
          </w:tcPr>
          <w:p w14:paraId="609727C3" w14:textId="471BD339"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145 723</w:t>
            </w:r>
          </w:p>
        </w:tc>
        <w:tc>
          <w:tcPr>
            <w:tcW w:w="1461" w:type="dxa"/>
            <w:tcBorders>
              <w:top w:val="nil"/>
              <w:left w:val="nil"/>
              <w:bottom w:val="single" w:sz="4" w:space="0" w:color="auto"/>
              <w:right w:val="single" w:sz="4" w:space="0" w:color="auto"/>
            </w:tcBorders>
            <w:shd w:val="clear" w:color="auto" w:fill="auto"/>
            <w:noWrap/>
            <w:vAlign w:val="bottom"/>
            <w:hideMark/>
          </w:tcPr>
          <w:p w14:paraId="21DD3D4E" w14:textId="402E55B1"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155 694</w:t>
            </w:r>
          </w:p>
        </w:tc>
        <w:tc>
          <w:tcPr>
            <w:tcW w:w="1080" w:type="dxa"/>
            <w:tcBorders>
              <w:top w:val="nil"/>
              <w:left w:val="nil"/>
              <w:bottom w:val="single" w:sz="4" w:space="0" w:color="auto"/>
              <w:right w:val="single" w:sz="4" w:space="0" w:color="auto"/>
            </w:tcBorders>
            <w:shd w:val="clear" w:color="auto" w:fill="auto"/>
            <w:noWrap/>
            <w:vAlign w:val="bottom"/>
            <w:hideMark/>
          </w:tcPr>
          <w:p w14:paraId="3F85AE88" w14:textId="0D650054"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301 418</w:t>
            </w:r>
          </w:p>
        </w:tc>
      </w:tr>
      <w:tr w:rsidR="00A14C6E" w:rsidRPr="00BA52C1" w14:paraId="0773C443"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59BCEFC" w14:textId="77777777" w:rsidR="00A14C6E" w:rsidRPr="00BA52C1" w:rsidRDefault="00A14C6E" w:rsidP="00A14C6E">
            <w:pPr>
              <w:pStyle w:val="CBDTableNormal"/>
              <w:spacing w:before="0" w:after="0"/>
              <w:rPr>
                <w:sz w:val="18"/>
                <w:szCs w:val="18"/>
                <w:lang w:val="fr-FR" w:eastAsia="en-CA"/>
              </w:rPr>
            </w:pPr>
            <w:r w:rsidRPr="00BA52C1">
              <w:rPr>
                <w:sz w:val="18"/>
                <w:szCs w:val="18"/>
                <w:lang w:val="fr-FR" w:eastAsia="en-CA"/>
              </w:rPr>
              <w:t>Belize</w:t>
            </w:r>
          </w:p>
        </w:tc>
        <w:tc>
          <w:tcPr>
            <w:tcW w:w="1628" w:type="dxa"/>
            <w:tcBorders>
              <w:top w:val="nil"/>
              <w:left w:val="nil"/>
              <w:bottom w:val="single" w:sz="4" w:space="0" w:color="auto"/>
              <w:right w:val="single" w:sz="4" w:space="0" w:color="auto"/>
            </w:tcBorders>
            <w:shd w:val="clear" w:color="auto" w:fill="auto"/>
            <w:vAlign w:val="bottom"/>
            <w:hideMark/>
          </w:tcPr>
          <w:p w14:paraId="056076E9" w14:textId="69F24E6A"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2198" w:type="dxa"/>
            <w:tcBorders>
              <w:top w:val="nil"/>
              <w:left w:val="nil"/>
              <w:bottom w:val="single" w:sz="4" w:space="0" w:color="auto"/>
              <w:right w:val="single" w:sz="4" w:space="0" w:color="auto"/>
            </w:tcBorders>
            <w:shd w:val="clear" w:color="auto" w:fill="auto"/>
            <w:noWrap/>
            <w:vAlign w:val="bottom"/>
            <w:hideMark/>
          </w:tcPr>
          <w:p w14:paraId="60BE888F" w14:textId="7E952300"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1176" w:type="dxa"/>
            <w:tcBorders>
              <w:top w:val="nil"/>
              <w:left w:val="nil"/>
              <w:bottom w:val="single" w:sz="4" w:space="0" w:color="auto"/>
              <w:right w:val="single" w:sz="4" w:space="0" w:color="auto"/>
            </w:tcBorders>
            <w:shd w:val="clear" w:color="auto" w:fill="auto"/>
            <w:noWrap/>
            <w:vAlign w:val="bottom"/>
            <w:hideMark/>
          </w:tcPr>
          <w:p w14:paraId="0889AD78" w14:textId="527B7947"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24D08E11" w14:textId="5F92784F"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6FE6E1DD" w14:textId="55807D63"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364</w:t>
            </w:r>
          </w:p>
        </w:tc>
      </w:tr>
      <w:tr w:rsidR="00A14C6E" w:rsidRPr="00BA52C1" w14:paraId="10C61BA8"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F3D043F" w14:textId="304E4535" w:rsidR="00A14C6E" w:rsidRPr="00BA52C1" w:rsidRDefault="00A14C6E" w:rsidP="00A14C6E">
            <w:pPr>
              <w:pStyle w:val="CBDTableNormal"/>
              <w:spacing w:before="0" w:after="0"/>
              <w:rPr>
                <w:sz w:val="18"/>
                <w:szCs w:val="18"/>
                <w:lang w:val="fr-FR" w:eastAsia="en-CA"/>
              </w:rPr>
            </w:pPr>
            <w:r w:rsidRPr="00BA52C1">
              <w:rPr>
                <w:sz w:val="18"/>
                <w:szCs w:val="18"/>
                <w:lang w:val="fr-FR" w:eastAsia="en-CA"/>
              </w:rPr>
              <w:t>B</w:t>
            </w:r>
            <w:r>
              <w:rPr>
                <w:sz w:val="18"/>
                <w:szCs w:val="18"/>
                <w:lang w:val="fr-FR" w:eastAsia="en-CA"/>
              </w:rPr>
              <w:t>é</w:t>
            </w:r>
            <w:r w:rsidRPr="00BA52C1">
              <w:rPr>
                <w:sz w:val="18"/>
                <w:szCs w:val="18"/>
                <w:lang w:val="fr-FR" w:eastAsia="en-CA"/>
              </w:rPr>
              <w:t>nin</w:t>
            </w:r>
          </w:p>
        </w:tc>
        <w:tc>
          <w:tcPr>
            <w:tcW w:w="1628" w:type="dxa"/>
            <w:tcBorders>
              <w:top w:val="nil"/>
              <w:left w:val="nil"/>
              <w:bottom w:val="single" w:sz="4" w:space="0" w:color="auto"/>
              <w:right w:val="single" w:sz="4" w:space="0" w:color="auto"/>
            </w:tcBorders>
            <w:shd w:val="clear" w:color="auto" w:fill="auto"/>
            <w:vAlign w:val="bottom"/>
            <w:hideMark/>
          </w:tcPr>
          <w:p w14:paraId="62D8D0C8" w14:textId="750576EE"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005</w:t>
            </w:r>
          </w:p>
        </w:tc>
        <w:tc>
          <w:tcPr>
            <w:tcW w:w="2198" w:type="dxa"/>
            <w:tcBorders>
              <w:top w:val="nil"/>
              <w:left w:val="nil"/>
              <w:bottom w:val="single" w:sz="4" w:space="0" w:color="auto"/>
              <w:right w:val="single" w:sz="4" w:space="0" w:color="auto"/>
            </w:tcBorders>
            <w:shd w:val="clear" w:color="auto" w:fill="auto"/>
            <w:noWrap/>
            <w:vAlign w:val="bottom"/>
            <w:hideMark/>
          </w:tcPr>
          <w:p w14:paraId="32CE7813" w14:textId="296C0870"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006</w:t>
            </w:r>
          </w:p>
        </w:tc>
        <w:tc>
          <w:tcPr>
            <w:tcW w:w="1176" w:type="dxa"/>
            <w:tcBorders>
              <w:top w:val="nil"/>
              <w:left w:val="nil"/>
              <w:bottom w:val="single" w:sz="4" w:space="0" w:color="auto"/>
              <w:right w:val="single" w:sz="4" w:space="0" w:color="auto"/>
            </w:tcBorders>
            <w:shd w:val="clear" w:color="auto" w:fill="auto"/>
            <w:noWrap/>
            <w:vAlign w:val="bottom"/>
            <w:hideMark/>
          </w:tcPr>
          <w:p w14:paraId="35E14E90" w14:textId="0D90FE65"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880</w:t>
            </w:r>
          </w:p>
        </w:tc>
        <w:tc>
          <w:tcPr>
            <w:tcW w:w="1461" w:type="dxa"/>
            <w:tcBorders>
              <w:top w:val="nil"/>
              <w:left w:val="nil"/>
              <w:bottom w:val="single" w:sz="4" w:space="0" w:color="auto"/>
              <w:right w:val="single" w:sz="4" w:space="0" w:color="auto"/>
            </w:tcBorders>
            <w:shd w:val="clear" w:color="auto" w:fill="auto"/>
            <w:noWrap/>
            <w:vAlign w:val="bottom"/>
            <w:hideMark/>
          </w:tcPr>
          <w:p w14:paraId="1F8FC61A" w14:textId="24E44582"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940</w:t>
            </w:r>
          </w:p>
        </w:tc>
        <w:tc>
          <w:tcPr>
            <w:tcW w:w="1080" w:type="dxa"/>
            <w:tcBorders>
              <w:top w:val="nil"/>
              <w:left w:val="nil"/>
              <w:bottom w:val="single" w:sz="4" w:space="0" w:color="auto"/>
              <w:right w:val="single" w:sz="4" w:space="0" w:color="auto"/>
            </w:tcBorders>
            <w:shd w:val="clear" w:color="auto" w:fill="auto"/>
            <w:noWrap/>
            <w:vAlign w:val="bottom"/>
            <w:hideMark/>
          </w:tcPr>
          <w:p w14:paraId="69AF9A7A" w14:textId="12A41375"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1 820</w:t>
            </w:r>
          </w:p>
        </w:tc>
      </w:tr>
      <w:tr w:rsidR="00A14C6E" w:rsidRPr="00BA52C1" w14:paraId="52080814"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B1FADA3" w14:textId="45C1D593" w:rsidR="00A14C6E" w:rsidRPr="00BA52C1" w:rsidRDefault="00A14C6E" w:rsidP="00A14C6E">
            <w:pPr>
              <w:pStyle w:val="CBDTableNormal"/>
              <w:spacing w:before="0" w:after="0"/>
              <w:rPr>
                <w:sz w:val="18"/>
                <w:szCs w:val="18"/>
                <w:lang w:val="fr-FR" w:eastAsia="en-CA"/>
              </w:rPr>
            </w:pPr>
            <w:r w:rsidRPr="00BA52C1">
              <w:rPr>
                <w:sz w:val="18"/>
                <w:szCs w:val="18"/>
                <w:lang w:val="fr-FR" w:eastAsia="en-CA"/>
              </w:rPr>
              <w:t>Bh</w:t>
            </w:r>
            <w:r>
              <w:rPr>
                <w:sz w:val="18"/>
                <w:szCs w:val="18"/>
                <w:lang w:val="fr-FR" w:eastAsia="en-CA"/>
              </w:rPr>
              <w:t>o</w:t>
            </w:r>
            <w:r w:rsidRPr="00BA52C1">
              <w:rPr>
                <w:sz w:val="18"/>
                <w:szCs w:val="18"/>
                <w:lang w:val="fr-FR" w:eastAsia="en-CA"/>
              </w:rPr>
              <w:t>utan</w:t>
            </w:r>
          </w:p>
        </w:tc>
        <w:tc>
          <w:tcPr>
            <w:tcW w:w="1628" w:type="dxa"/>
            <w:tcBorders>
              <w:top w:val="nil"/>
              <w:left w:val="nil"/>
              <w:bottom w:val="single" w:sz="4" w:space="0" w:color="auto"/>
              <w:right w:val="single" w:sz="4" w:space="0" w:color="auto"/>
            </w:tcBorders>
            <w:shd w:val="clear" w:color="auto" w:fill="auto"/>
            <w:vAlign w:val="bottom"/>
            <w:hideMark/>
          </w:tcPr>
          <w:p w14:paraId="29550322" w14:textId="19DC3807"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2198" w:type="dxa"/>
            <w:tcBorders>
              <w:top w:val="nil"/>
              <w:left w:val="nil"/>
              <w:bottom w:val="single" w:sz="4" w:space="0" w:color="auto"/>
              <w:right w:val="single" w:sz="4" w:space="0" w:color="auto"/>
            </w:tcBorders>
            <w:shd w:val="clear" w:color="auto" w:fill="auto"/>
            <w:noWrap/>
            <w:vAlign w:val="bottom"/>
            <w:hideMark/>
          </w:tcPr>
          <w:p w14:paraId="3D65FCAE" w14:textId="28F3D9A4"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1176" w:type="dxa"/>
            <w:tcBorders>
              <w:top w:val="nil"/>
              <w:left w:val="nil"/>
              <w:bottom w:val="single" w:sz="4" w:space="0" w:color="auto"/>
              <w:right w:val="single" w:sz="4" w:space="0" w:color="auto"/>
            </w:tcBorders>
            <w:shd w:val="clear" w:color="auto" w:fill="auto"/>
            <w:noWrap/>
            <w:vAlign w:val="bottom"/>
            <w:hideMark/>
          </w:tcPr>
          <w:p w14:paraId="0C9B6413" w14:textId="008A4D27"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405ADD9B" w14:textId="76801CDB"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78F45FB1" w14:textId="4723211C"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364</w:t>
            </w:r>
          </w:p>
        </w:tc>
      </w:tr>
      <w:tr w:rsidR="00A14C6E" w:rsidRPr="00BA52C1" w14:paraId="66DDEE72"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92ACDFF" w14:textId="350524BE" w:rsidR="00A14C6E" w:rsidRPr="00BA52C1" w:rsidRDefault="00A14C6E" w:rsidP="00A14C6E">
            <w:pPr>
              <w:pStyle w:val="CBDTableNormal"/>
              <w:tabs>
                <w:tab w:val="clear" w:pos="567"/>
                <w:tab w:val="left" w:pos="178"/>
              </w:tabs>
              <w:spacing w:before="0" w:after="0"/>
              <w:ind w:left="144" w:hanging="144"/>
              <w:rPr>
                <w:sz w:val="18"/>
                <w:szCs w:val="18"/>
                <w:lang w:val="fr-FR" w:eastAsia="en-CA"/>
              </w:rPr>
            </w:pPr>
            <w:r w:rsidRPr="00BA52C1">
              <w:rPr>
                <w:sz w:val="18"/>
                <w:szCs w:val="18"/>
                <w:lang w:val="fr-FR" w:eastAsia="en-CA"/>
              </w:rPr>
              <w:t>Bolivi</w:t>
            </w:r>
            <w:r>
              <w:rPr>
                <w:sz w:val="18"/>
                <w:szCs w:val="18"/>
                <w:lang w:val="fr-FR" w:eastAsia="en-CA"/>
              </w:rPr>
              <w:t>e</w:t>
            </w:r>
            <w:r w:rsidRPr="00BA52C1">
              <w:rPr>
                <w:sz w:val="18"/>
                <w:szCs w:val="18"/>
                <w:lang w:val="fr-FR" w:eastAsia="en-CA"/>
              </w:rPr>
              <w:t xml:space="preserve"> (</w:t>
            </w:r>
            <w:r>
              <w:rPr>
                <w:sz w:val="18"/>
                <w:szCs w:val="18"/>
                <w:lang w:val="fr-FR" w:eastAsia="en-CA"/>
              </w:rPr>
              <w:t>État plurinational de</w:t>
            </w:r>
            <w:r w:rsidRPr="00BA52C1">
              <w:rPr>
                <w:sz w:val="18"/>
                <w:szCs w:val="18"/>
                <w:lang w:val="fr-FR" w:eastAsia="en-CA"/>
              </w:rPr>
              <w:t>)</w:t>
            </w:r>
          </w:p>
        </w:tc>
        <w:tc>
          <w:tcPr>
            <w:tcW w:w="1628" w:type="dxa"/>
            <w:tcBorders>
              <w:top w:val="nil"/>
              <w:left w:val="nil"/>
              <w:bottom w:val="single" w:sz="4" w:space="0" w:color="auto"/>
              <w:right w:val="single" w:sz="4" w:space="0" w:color="auto"/>
            </w:tcBorders>
            <w:shd w:val="clear" w:color="auto" w:fill="auto"/>
            <w:vAlign w:val="bottom"/>
            <w:hideMark/>
          </w:tcPr>
          <w:p w14:paraId="1A2D643D" w14:textId="173286B9"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019</w:t>
            </w:r>
          </w:p>
        </w:tc>
        <w:tc>
          <w:tcPr>
            <w:tcW w:w="2198" w:type="dxa"/>
            <w:tcBorders>
              <w:top w:val="nil"/>
              <w:left w:val="nil"/>
              <w:bottom w:val="single" w:sz="4" w:space="0" w:color="auto"/>
              <w:right w:val="single" w:sz="4" w:space="0" w:color="auto"/>
            </w:tcBorders>
            <w:shd w:val="clear" w:color="auto" w:fill="auto"/>
            <w:noWrap/>
            <w:vAlign w:val="bottom"/>
            <w:hideMark/>
          </w:tcPr>
          <w:p w14:paraId="5A6B3F44" w14:textId="7A4E9103"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024</w:t>
            </w:r>
          </w:p>
        </w:tc>
        <w:tc>
          <w:tcPr>
            <w:tcW w:w="1176" w:type="dxa"/>
            <w:tcBorders>
              <w:top w:val="nil"/>
              <w:left w:val="nil"/>
              <w:bottom w:val="single" w:sz="4" w:space="0" w:color="auto"/>
              <w:right w:val="single" w:sz="4" w:space="0" w:color="auto"/>
            </w:tcBorders>
            <w:shd w:val="clear" w:color="auto" w:fill="auto"/>
            <w:noWrap/>
            <w:vAlign w:val="bottom"/>
            <w:hideMark/>
          </w:tcPr>
          <w:p w14:paraId="5F66FC00" w14:textId="252A57E4"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3 344</w:t>
            </w:r>
          </w:p>
        </w:tc>
        <w:tc>
          <w:tcPr>
            <w:tcW w:w="1461" w:type="dxa"/>
            <w:tcBorders>
              <w:top w:val="nil"/>
              <w:left w:val="nil"/>
              <w:bottom w:val="single" w:sz="4" w:space="0" w:color="auto"/>
              <w:right w:val="single" w:sz="4" w:space="0" w:color="auto"/>
            </w:tcBorders>
            <w:shd w:val="clear" w:color="auto" w:fill="auto"/>
            <w:noWrap/>
            <w:vAlign w:val="bottom"/>
            <w:hideMark/>
          </w:tcPr>
          <w:p w14:paraId="0CDE8636" w14:textId="6B303CF9"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3 573</w:t>
            </w:r>
          </w:p>
        </w:tc>
        <w:tc>
          <w:tcPr>
            <w:tcW w:w="1080" w:type="dxa"/>
            <w:tcBorders>
              <w:top w:val="nil"/>
              <w:left w:val="nil"/>
              <w:bottom w:val="single" w:sz="4" w:space="0" w:color="auto"/>
              <w:right w:val="single" w:sz="4" w:space="0" w:color="auto"/>
            </w:tcBorders>
            <w:shd w:val="clear" w:color="auto" w:fill="auto"/>
            <w:noWrap/>
            <w:vAlign w:val="bottom"/>
            <w:hideMark/>
          </w:tcPr>
          <w:p w14:paraId="4FCF82E8" w14:textId="50EF23C9"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6 917</w:t>
            </w:r>
          </w:p>
        </w:tc>
      </w:tr>
      <w:tr w:rsidR="00A14C6E" w:rsidRPr="00BA52C1" w14:paraId="2D349B67"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B118864" w14:textId="14EFFE0C" w:rsidR="00A14C6E" w:rsidRPr="00BA52C1" w:rsidRDefault="00A14C6E" w:rsidP="00A14C6E">
            <w:pPr>
              <w:pStyle w:val="CBDTableNormal"/>
              <w:spacing w:before="0" w:after="0"/>
              <w:rPr>
                <w:sz w:val="18"/>
                <w:szCs w:val="18"/>
                <w:lang w:val="fr-FR" w:eastAsia="en-CA"/>
              </w:rPr>
            </w:pPr>
            <w:r>
              <w:rPr>
                <w:sz w:val="18"/>
                <w:szCs w:val="18"/>
                <w:lang w:val="fr-FR" w:eastAsia="en-CA"/>
              </w:rPr>
              <w:t>Bosnie-Herzégovine</w:t>
            </w:r>
          </w:p>
        </w:tc>
        <w:tc>
          <w:tcPr>
            <w:tcW w:w="1628" w:type="dxa"/>
            <w:tcBorders>
              <w:top w:val="nil"/>
              <w:left w:val="nil"/>
              <w:bottom w:val="single" w:sz="4" w:space="0" w:color="auto"/>
              <w:right w:val="single" w:sz="4" w:space="0" w:color="auto"/>
            </w:tcBorders>
            <w:shd w:val="clear" w:color="auto" w:fill="auto"/>
            <w:vAlign w:val="bottom"/>
            <w:hideMark/>
          </w:tcPr>
          <w:p w14:paraId="1AAA63A2" w14:textId="27399E71"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012</w:t>
            </w:r>
          </w:p>
        </w:tc>
        <w:tc>
          <w:tcPr>
            <w:tcW w:w="2198" w:type="dxa"/>
            <w:tcBorders>
              <w:top w:val="nil"/>
              <w:left w:val="nil"/>
              <w:bottom w:val="single" w:sz="4" w:space="0" w:color="auto"/>
              <w:right w:val="single" w:sz="4" w:space="0" w:color="auto"/>
            </w:tcBorders>
            <w:shd w:val="clear" w:color="auto" w:fill="auto"/>
            <w:noWrap/>
            <w:vAlign w:val="bottom"/>
            <w:hideMark/>
          </w:tcPr>
          <w:p w14:paraId="15BD08B5" w14:textId="153DF8EA"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015</w:t>
            </w:r>
          </w:p>
        </w:tc>
        <w:tc>
          <w:tcPr>
            <w:tcW w:w="1176" w:type="dxa"/>
            <w:tcBorders>
              <w:top w:val="nil"/>
              <w:left w:val="nil"/>
              <w:bottom w:val="single" w:sz="4" w:space="0" w:color="auto"/>
              <w:right w:val="single" w:sz="4" w:space="0" w:color="auto"/>
            </w:tcBorders>
            <w:shd w:val="clear" w:color="auto" w:fill="auto"/>
            <w:noWrap/>
            <w:vAlign w:val="bottom"/>
            <w:hideMark/>
          </w:tcPr>
          <w:p w14:paraId="1003CCD7" w14:textId="54B50FE1"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2 112</w:t>
            </w:r>
          </w:p>
        </w:tc>
        <w:tc>
          <w:tcPr>
            <w:tcW w:w="1461" w:type="dxa"/>
            <w:tcBorders>
              <w:top w:val="nil"/>
              <w:left w:val="nil"/>
              <w:bottom w:val="single" w:sz="4" w:space="0" w:color="auto"/>
              <w:right w:val="single" w:sz="4" w:space="0" w:color="auto"/>
            </w:tcBorders>
            <w:shd w:val="clear" w:color="auto" w:fill="auto"/>
            <w:noWrap/>
            <w:vAlign w:val="bottom"/>
            <w:hideMark/>
          </w:tcPr>
          <w:p w14:paraId="7CD619B6" w14:textId="4FC71D24"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2 256</w:t>
            </w:r>
          </w:p>
        </w:tc>
        <w:tc>
          <w:tcPr>
            <w:tcW w:w="1080" w:type="dxa"/>
            <w:tcBorders>
              <w:top w:val="nil"/>
              <w:left w:val="nil"/>
              <w:bottom w:val="single" w:sz="4" w:space="0" w:color="auto"/>
              <w:right w:val="single" w:sz="4" w:space="0" w:color="auto"/>
            </w:tcBorders>
            <w:shd w:val="clear" w:color="auto" w:fill="auto"/>
            <w:noWrap/>
            <w:vAlign w:val="bottom"/>
            <w:hideMark/>
          </w:tcPr>
          <w:p w14:paraId="3CA55181" w14:textId="22AD2402"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4 368</w:t>
            </w:r>
          </w:p>
        </w:tc>
      </w:tr>
      <w:tr w:rsidR="00A14C6E" w:rsidRPr="00BA52C1" w14:paraId="4D0ECB7B"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63A9A94" w14:textId="77777777" w:rsidR="00A14C6E" w:rsidRPr="00BA52C1" w:rsidRDefault="00A14C6E" w:rsidP="00A14C6E">
            <w:pPr>
              <w:pStyle w:val="CBDTableNormal"/>
              <w:spacing w:before="0" w:after="0"/>
              <w:rPr>
                <w:sz w:val="18"/>
                <w:szCs w:val="18"/>
                <w:lang w:val="fr-FR" w:eastAsia="en-CA"/>
              </w:rPr>
            </w:pPr>
            <w:r w:rsidRPr="00BA52C1">
              <w:rPr>
                <w:sz w:val="18"/>
                <w:szCs w:val="18"/>
                <w:lang w:val="fr-FR" w:eastAsia="en-CA"/>
              </w:rPr>
              <w:t>Botswana</w:t>
            </w:r>
          </w:p>
        </w:tc>
        <w:tc>
          <w:tcPr>
            <w:tcW w:w="1628" w:type="dxa"/>
            <w:tcBorders>
              <w:top w:val="nil"/>
              <w:left w:val="nil"/>
              <w:bottom w:val="single" w:sz="4" w:space="0" w:color="auto"/>
              <w:right w:val="single" w:sz="4" w:space="0" w:color="auto"/>
            </w:tcBorders>
            <w:shd w:val="clear" w:color="auto" w:fill="auto"/>
            <w:vAlign w:val="bottom"/>
            <w:hideMark/>
          </w:tcPr>
          <w:p w14:paraId="214909A4" w14:textId="07B339D6"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015</w:t>
            </w:r>
          </w:p>
        </w:tc>
        <w:tc>
          <w:tcPr>
            <w:tcW w:w="2198" w:type="dxa"/>
            <w:tcBorders>
              <w:top w:val="nil"/>
              <w:left w:val="nil"/>
              <w:bottom w:val="single" w:sz="4" w:space="0" w:color="auto"/>
              <w:right w:val="single" w:sz="4" w:space="0" w:color="auto"/>
            </w:tcBorders>
            <w:shd w:val="clear" w:color="auto" w:fill="auto"/>
            <w:noWrap/>
            <w:vAlign w:val="bottom"/>
            <w:hideMark/>
          </w:tcPr>
          <w:p w14:paraId="0A03A54F" w14:textId="02CB2EE0"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019</w:t>
            </w:r>
          </w:p>
        </w:tc>
        <w:tc>
          <w:tcPr>
            <w:tcW w:w="1176" w:type="dxa"/>
            <w:tcBorders>
              <w:top w:val="nil"/>
              <w:left w:val="nil"/>
              <w:bottom w:val="single" w:sz="4" w:space="0" w:color="auto"/>
              <w:right w:val="single" w:sz="4" w:space="0" w:color="auto"/>
            </w:tcBorders>
            <w:shd w:val="clear" w:color="auto" w:fill="auto"/>
            <w:noWrap/>
            <w:vAlign w:val="bottom"/>
            <w:hideMark/>
          </w:tcPr>
          <w:p w14:paraId="48E97B2D" w14:textId="0413B6ED"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2 640</w:t>
            </w:r>
          </w:p>
        </w:tc>
        <w:tc>
          <w:tcPr>
            <w:tcW w:w="1461" w:type="dxa"/>
            <w:tcBorders>
              <w:top w:val="nil"/>
              <w:left w:val="nil"/>
              <w:bottom w:val="single" w:sz="4" w:space="0" w:color="auto"/>
              <w:right w:val="single" w:sz="4" w:space="0" w:color="auto"/>
            </w:tcBorders>
            <w:shd w:val="clear" w:color="auto" w:fill="auto"/>
            <w:noWrap/>
            <w:vAlign w:val="bottom"/>
            <w:hideMark/>
          </w:tcPr>
          <w:p w14:paraId="40273F05" w14:textId="074D16E4"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2 821</w:t>
            </w:r>
          </w:p>
        </w:tc>
        <w:tc>
          <w:tcPr>
            <w:tcW w:w="1080" w:type="dxa"/>
            <w:tcBorders>
              <w:top w:val="nil"/>
              <w:left w:val="nil"/>
              <w:bottom w:val="single" w:sz="4" w:space="0" w:color="auto"/>
              <w:right w:val="single" w:sz="4" w:space="0" w:color="auto"/>
            </w:tcBorders>
            <w:shd w:val="clear" w:color="auto" w:fill="auto"/>
            <w:noWrap/>
            <w:vAlign w:val="bottom"/>
            <w:hideMark/>
          </w:tcPr>
          <w:p w14:paraId="3CA97C35" w14:textId="79EDCBC3"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5 460</w:t>
            </w:r>
          </w:p>
        </w:tc>
      </w:tr>
      <w:tr w:rsidR="00A14C6E" w:rsidRPr="00BA52C1" w14:paraId="3556D77F"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BA0F970" w14:textId="6636E5B3" w:rsidR="00A14C6E" w:rsidRPr="00BA52C1" w:rsidRDefault="00A14C6E" w:rsidP="00A14C6E">
            <w:pPr>
              <w:pStyle w:val="CBDTableNormal"/>
              <w:spacing w:before="0" w:after="0"/>
              <w:rPr>
                <w:sz w:val="18"/>
                <w:szCs w:val="18"/>
                <w:lang w:val="fr-FR" w:eastAsia="en-CA"/>
              </w:rPr>
            </w:pPr>
            <w:r>
              <w:rPr>
                <w:sz w:val="18"/>
                <w:szCs w:val="18"/>
                <w:lang w:val="fr-FR" w:eastAsia="en-CA"/>
              </w:rPr>
              <w:t>Brésil</w:t>
            </w:r>
          </w:p>
        </w:tc>
        <w:tc>
          <w:tcPr>
            <w:tcW w:w="1628" w:type="dxa"/>
            <w:tcBorders>
              <w:top w:val="nil"/>
              <w:left w:val="nil"/>
              <w:bottom w:val="single" w:sz="4" w:space="0" w:color="auto"/>
              <w:right w:val="single" w:sz="4" w:space="0" w:color="auto"/>
            </w:tcBorders>
            <w:shd w:val="clear" w:color="auto" w:fill="auto"/>
            <w:vAlign w:val="bottom"/>
            <w:hideMark/>
          </w:tcPr>
          <w:p w14:paraId="798E09A9" w14:textId="5BBCDAF2"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2</w:t>
            </w:r>
            <w:r>
              <w:rPr>
                <w:sz w:val="18"/>
                <w:szCs w:val="18"/>
                <w:lang w:val="fr-FR" w:eastAsia="en-CA"/>
              </w:rPr>
              <w:t>,</w:t>
            </w:r>
            <w:r w:rsidRPr="00BA52C1">
              <w:rPr>
                <w:sz w:val="18"/>
                <w:szCs w:val="18"/>
                <w:lang w:val="fr-FR" w:eastAsia="en-CA"/>
              </w:rPr>
              <w:t>013</w:t>
            </w:r>
          </w:p>
        </w:tc>
        <w:tc>
          <w:tcPr>
            <w:tcW w:w="2198" w:type="dxa"/>
            <w:tcBorders>
              <w:top w:val="nil"/>
              <w:left w:val="nil"/>
              <w:bottom w:val="single" w:sz="4" w:space="0" w:color="auto"/>
              <w:right w:val="single" w:sz="4" w:space="0" w:color="auto"/>
            </w:tcBorders>
            <w:shd w:val="clear" w:color="auto" w:fill="auto"/>
            <w:noWrap/>
            <w:vAlign w:val="bottom"/>
            <w:hideMark/>
          </w:tcPr>
          <w:p w14:paraId="59159FA4" w14:textId="60E46CA5"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2</w:t>
            </w:r>
            <w:r>
              <w:rPr>
                <w:sz w:val="18"/>
                <w:szCs w:val="18"/>
                <w:lang w:val="fr-FR" w:eastAsia="en-CA"/>
              </w:rPr>
              <w:t>,</w:t>
            </w:r>
            <w:r w:rsidRPr="00BA52C1">
              <w:rPr>
                <w:sz w:val="18"/>
                <w:szCs w:val="18"/>
                <w:lang w:val="fr-FR" w:eastAsia="en-CA"/>
              </w:rPr>
              <w:t>516</w:t>
            </w:r>
          </w:p>
        </w:tc>
        <w:tc>
          <w:tcPr>
            <w:tcW w:w="1176" w:type="dxa"/>
            <w:tcBorders>
              <w:top w:val="nil"/>
              <w:left w:val="nil"/>
              <w:bottom w:val="single" w:sz="4" w:space="0" w:color="auto"/>
              <w:right w:val="single" w:sz="4" w:space="0" w:color="auto"/>
            </w:tcBorders>
            <w:shd w:val="clear" w:color="auto" w:fill="auto"/>
            <w:noWrap/>
            <w:vAlign w:val="bottom"/>
            <w:hideMark/>
          </w:tcPr>
          <w:p w14:paraId="2D9A2B2C" w14:textId="21696B72"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354 277</w:t>
            </w:r>
          </w:p>
        </w:tc>
        <w:tc>
          <w:tcPr>
            <w:tcW w:w="1461" w:type="dxa"/>
            <w:tcBorders>
              <w:top w:val="nil"/>
              <w:left w:val="nil"/>
              <w:bottom w:val="single" w:sz="4" w:space="0" w:color="auto"/>
              <w:right w:val="single" w:sz="4" w:space="0" w:color="auto"/>
            </w:tcBorders>
            <w:shd w:val="clear" w:color="auto" w:fill="auto"/>
            <w:noWrap/>
            <w:vAlign w:val="bottom"/>
            <w:hideMark/>
          </w:tcPr>
          <w:p w14:paraId="0E771399" w14:textId="7BBF81FC"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378 517</w:t>
            </w:r>
          </w:p>
        </w:tc>
        <w:tc>
          <w:tcPr>
            <w:tcW w:w="1080" w:type="dxa"/>
            <w:tcBorders>
              <w:top w:val="nil"/>
              <w:left w:val="nil"/>
              <w:bottom w:val="single" w:sz="4" w:space="0" w:color="auto"/>
              <w:right w:val="single" w:sz="4" w:space="0" w:color="auto"/>
            </w:tcBorders>
            <w:shd w:val="clear" w:color="auto" w:fill="auto"/>
            <w:noWrap/>
            <w:vAlign w:val="bottom"/>
            <w:hideMark/>
          </w:tcPr>
          <w:p w14:paraId="09379B8B" w14:textId="26D269DC"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732 794</w:t>
            </w:r>
          </w:p>
        </w:tc>
      </w:tr>
      <w:tr w:rsidR="00A14C6E" w:rsidRPr="00BA52C1" w14:paraId="71574129"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F95FF39" w14:textId="3B379D58" w:rsidR="00A14C6E" w:rsidRPr="00BA52C1" w:rsidRDefault="00A14C6E" w:rsidP="00A14C6E">
            <w:pPr>
              <w:pStyle w:val="CBDTableNormal"/>
              <w:spacing w:before="0" w:after="0"/>
              <w:rPr>
                <w:sz w:val="18"/>
                <w:szCs w:val="18"/>
                <w:lang w:val="fr-FR" w:eastAsia="en-CA"/>
              </w:rPr>
            </w:pPr>
            <w:r w:rsidRPr="00BA52C1">
              <w:rPr>
                <w:sz w:val="18"/>
                <w:szCs w:val="18"/>
                <w:lang w:val="fr-FR" w:eastAsia="en-CA"/>
              </w:rPr>
              <w:t>Brun</w:t>
            </w:r>
            <w:r>
              <w:rPr>
                <w:sz w:val="18"/>
                <w:szCs w:val="18"/>
                <w:lang w:val="fr-FR" w:eastAsia="en-CA"/>
              </w:rPr>
              <w:t>éi</w:t>
            </w:r>
            <w:r w:rsidRPr="00BA52C1">
              <w:rPr>
                <w:sz w:val="18"/>
                <w:szCs w:val="18"/>
                <w:lang w:val="fr-FR" w:eastAsia="en-CA"/>
              </w:rPr>
              <w:t xml:space="preserve"> Darussalam</w:t>
            </w:r>
          </w:p>
        </w:tc>
        <w:tc>
          <w:tcPr>
            <w:tcW w:w="1628" w:type="dxa"/>
            <w:tcBorders>
              <w:top w:val="nil"/>
              <w:left w:val="nil"/>
              <w:bottom w:val="single" w:sz="4" w:space="0" w:color="auto"/>
              <w:right w:val="single" w:sz="4" w:space="0" w:color="auto"/>
            </w:tcBorders>
            <w:shd w:val="clear" w:color="auto" w:fill="auto"/>
            <w:vAlign w:val="bottom"/>
            <w:hideMark/>
          </w:tcPr>
          <w:p w14:paraId="186D109D" w14:textId="59E85899"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021</w:t>
            </w:r>
          </w:p>
        </w:tc>
        <w:tc>
          <w:tcPr>
            <w:tcW w:w="2198" w:type="dxa"/>
            <w:tcBorders>
              <w:top w:val="nil"/>
              <w:left w:val="nil"/>
              <w:bottom w:val="single" w:sz="4" w:space="0" w:color="auto"/>
              <w:right w:val="single" w:sz="4" w:space="0" w:color="auto"/>
            </w:tcBorders>
            <w:shd w:val="clear" w:color="auto" w:fill="auto"/>
            <w:noWrap/>
            <w:vAlign w:val="bottom"/>
            <w:hideMark/>
          </w:tcPr>
          <w:p w14:paraId="2B2327E2" w14:textId="11CE8418"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026</w:t>
            </w:r>
          </w:p>
        </w:tc>
        <w:tc>
          <w:tcPr>
            <w:tcW w:w="1176" w:type="dxa"/>
            <w:tcBorders>
              <w:top w:val="nil"/>
              <w:left w:val="nil"/>
              <w:bottom w:val="single" w:sz="4" w:space="0" w:color="auto"/>
              <w:right w:val="single" w:sz="4" w:space="0" w:color="auto"/>
            </w:tcBorders>
            <w:shd w:val="clear" w:color="auto" w:fill="auto"/>
            <w:noWrap/>
            <w:vAlign w:val="bottom"/>
            <w:hideMark/>
          </w:tcPr>
          <w:p w14:paraId="7EBDE290" w14:textId="39ECA70E"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3 696</w:t>
            </w:r>
          </w:p>
        </w:tc>
        <w:tc>
          <w:tcPr>
            <w:tcW w:w="1461" w:type="dxa"/>
            <w:tcBorders>
              <w:top w:val="nil"/>
              <w:left w:val="nil"/>
              <w:bottom w:val="single" w:sz="4" w:space="0" w:color="auto"/>
              <w:right w:val="single" w:sz="4" w:space="0" w:color="auto"/>
            </w:tcBorders>
            <w:shd w:val="clear" w:color="auto" w:fill="auto"/>
            <w:noWrap/>
            <w:vAlign w:val="bottom"/>
            <w:hideMark/>
          </w:tcPr>
          <w:p w14:paraId="55A9A9DE" w14:textId="5F26F572"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3 949</w:t>
            </w:r>
          </w:p>
        </w:tc>
        <w:tc>
          <w:tcPr>
            <w:tcW w:w="1080" w:type="dxa"/>
            <w:tcBorders>
              <w:top w:val="nil"/>
              <w:left w:val="nil"/>
              <w:bottom w:val="single" w:sz="4" w:space="0" w:color="auto"/>
              <w:right w:val="single" w:sz="4" w:space="0" w:color="auto"/>
            </w:tcBorders>
            <w:shd w:val="clear" w:color="auto" w:fill="auto"/>
            <w:noWrap/>
            <w:vAlign w:val="bottom"/>
            <w:hideMark/>
          </w:tcPr>
          <w:p w14:paraId="68E697B7" w14:textId="65EF23BF"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7 645</w:t>
            </w:r>
          </w:p>
        </w:tc>
      </w:tr>
      <w:tr w:rsidR="00A14C6E" w:rsidRPr="00BA52C1" w14:paraId="39CA8E6F"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B6BC17F" w14:textId="5928900D" w:rsidR="00A14C6E" w:rsidRPr="00BA52C1" w:rsidRDefault="00A14C6E" w:rsidP="00A14C6E">
            <w:pPr>
              <w:pStyle w:val="CBDTableNormal"/>
              <w:spacing w:before="0" w:after="0"/>
              <w:rPr>
                <w:sz w:val="18"/>
                <w:szCs w:val="18"/>
                <w:lang w:val="fr-FR" w:eastAsia="en-CA"/>
              </w:rPr>
            </w:pPr>
            <w:r w:rsidRPr="00BA52C1">
              <w:rPr>
                <w:sz w:val="18"/>
                <w:szCs w:val="18"/>
                <w:lang w:val="fr-FR" w:eastAsia="en-CA"/>
              </w:rPr>
              <w:t>Bulgari</w:t>
            </w:r>
            <w:r>
              <w:rPr>
                <w:sz w:val="18"/>
                <w:szCs w:val="18"/>
                <w:lang w:val="fr-FR" w:eastAsia="en-CA"/>
              </w:rPr>
              <w:t>e</w:t>
            </w:r>
          </w:p>
        </w:tc>
        <w:tc>
          <w:tcPr>
            <w:tcW w:w="1628" w:type="dxa"/>
            <w:tcBorders>
              <w:top w:val="nil"/>
              <w:left w:val="nil"/>
              <w:bottom w:val="single" w:sz="4" w:space="0" w:color="auto"/>
              <w:right w:val="single" w:sz="4" w:space="0" w:color="auto"/>
            </w:tcBorders>
            <w:shd w:val="clear" w:color="auto" w:fill="auto"/>
            <w:vAlign w:val="bottom"/>
            <w:hideMark/>
          </w:tcPr>
          <w:p w14:paraId="2FEB0BDD" w14:textId="4D1D6A97"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056</w:t>
            </w:r>
          </w:p>
        </w:tc>
        <w:tc>
          <w:tcPr>
            <w:tcW w:w="2198" w:type="dxa"/>
            <w:tcBorders>
              <w:top w:val="nil"/>
              <w:left w:val="nil"/>
              <w:bottom w:val="single" w:sz="4" w:space="0" w:color="auto"/>
              <w:right w:val="single" w:sz="4" w:space="0" w:color="auto"/>
            </w:tcBorders>
            <w:shd w:val="clear" w:color="auto" w:fill="auto"/>
            <w:noWrap/>
            <w:vAlign w:val="bottom"/>
            <w:hideMark/>
          </w:tcPr>
          <w:p w14:paraId="6732F83F" w14:textId="14CBC6FA"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070</w:t>
            </w:r>
          </w:p>
        </w:tc>
        <w:tc>
          <w:tcPr>
            <w:tcW w:w="1176" w:type="dxa"/>
            <w:tcBorders>
              <w:top w:val="nil"/>
              <w:left w:val="nil"/>
              <w:bottom w:val="single" w:sz="4" w:space="0" w:color="auto"/>
              <w:right w:val="single" w:sz="4" w:space="0" w:color="auto"/>
            </w:tcBorders>
            <w:shd w:val="clear" w:color="auto" w:fill="auto"/>
            <w:noWrap/>
            <w:vAlign w:val="bottom"/>
            <w:hideMark/>
          </w:tcPr>
          <w:p w14:paraId="296A765C" w14:textId="62F0FF2F"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9 856</w:t>
            </w:r>
          </w:p>
        </w:tc>
        <w:tc>
          <w:tcPr>
            <w:tcW w:w="1461" w:type="dxa"/>
            <w:tcBorders>
              <w:top w:val="nil"/>
              <w:left w:val="nil"/>
              <w:bottom w:val="single" w:sz="4" w:space="0" w:color="auto"/>
              <w:right w:val="single" w:sz="4" w:space="0" w:color="auto"/>
            </w:tcBorders>
            <w:shd w:val="clear" w:color="auto" w:fill="auto"/>
            <w:noWrap/>
            <w:vAlign w:val="bottom"/>
            <w:hideMark/>
          </w:tcPr>
          <w:p w14:paraId="744B695B" w14:textId="023F802C"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10 530</w:t>
            </w:r>
          </w:p>
        </w:tc>
        <w:tc>
          <w:tcPr>
            <w:tcW w:w="1080" w:type="dxa"/>
            <w:tcBorders>
              <w:top w:val="nil"/>
              <w:left w:val="nil"/>
              <w:bottom w:val="single" w:sz="4" w:space="0" w:color="auto"/>
              <w:right w:val="single" w:sz="4" w:space="0" w:color="auto"/>
            </w:tcBorders>
            <w:shd w:val="clear" w:color="auto" w:fill="auto"/>
            <w:noWrap/>
            <w:vAlign w:val="bottom"/>
            <w:hideMark/>
          </w:tcPr>
          <w:p w14:paraId="0C15C245" w14:textId="1D61DB31"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20 386</w:t>
            </w:r>
          </w:p>
        </w:tc>
      </w:tr>
      <w:tr w:rsidR="00A14C6E" w:rsidRPr="00BA52C1" w14:paraId="53091BA8"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AC70919" w14:textId="4E2299FA" w:rsidR="00A14C6E" w:rsidRPr="00BA52C1" w:rsidRDefault="00A14C6E" w:rsidP="00A14C6E">
            <w:pPr>
              <w:pStyle w:val="CBDTableNormal"/>
              <w:spacing w:before="0" w:after="0"/>
              <w:rPr>
                <w:sz w:val="18"/>
                <w:szCs w:val="18"/>
                <w:lang w:val="fr-FR" w:eastAsia="en-CA"/>
              </w:rPr>
            </w:pPr>
            <w:r w:rsidRPr="00BA52C1">
              <w:rPr>
                <w:sz w:val="18"/>
                <w:szCs w:val="18"/>
                <w:lang w:val="fr-FR" w:eastAsia="en-CA"/>
              </w:rPr>
              <w:t>Burkina Faso</w:t>
            </w:r>
          </w:p>
        </w:tc>
        <w:tc>
          <w:tcPr>
            <w:tcW w:w="1628" w:type="dxa"/>
            <w:tcBorders>
              <w:top w:val="nil"/>
              <w:left w:val="nil"/>
              <w:bottom w:val="single" w:sz="4" w:space="0" w:color="auto"/>
              <w:right w:val="single" w:sz="4" w:space="0" w:color="auto"/>
            </w:tcBorders>
            <w:shd w:val="clear" w:color="auto" w:fill="auto"/>
            <w:vAlign w:val="bottom"/>
            <w:hideMark/>
          </w:tcPr>
          <w:p w14:paraId="30B4D694" w14:textId="6ED96059"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004</w:t>
            </w:r>
          </w:p>
        </w:tc>
        <w:tc>
          <w:tcPr>
            <w:tcW w:w="2198" w:type="dxa"/>
            <w:tcBorders>
              <w:top w:val="nil"/>
              <w:left w:val="nil"/>
              <w:bottom w:val="single" w:sz="4" w:space="0" w:color="auto"/>
              <w:right w:val="single" w:sz="4" w:space="0" w:color="auto"/>
            </w:tcBorders>
            <w:shd w:val="clear" w:color="auto" w:fill="auto"/>
            <w:noWrap/>
            <w:vAlign w:val="bottom"/>
            <w:hideMark/>
          </w:tcPr>
          <w:p w14:paraId="2498C515" w14:textId="7CAD696F"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005</w:t>
            </w:r>
          </w:p>
        </w:tc>
        <w:tc>
          <w:tcPr>
            <w:tcW w:w="1176" w:type="dxa"/>
            <w:tcBorders>
              <w:top w:val="nil"/>
              <w:left w:val="nil"/>
              <w:bottom w:val="single" w:sz="4" w:space="0" w:color="auto"/>
              <w:right w:val="single" w:sz="4" w:space="0" w:color="auto"/>
            </w:tcBorders>
            <w:shd w:val="clear" w:color="auto" w:fill="auto"/>
            <w:noWrap/>
            <w:vAlign w:val="bottom"/>
            <w:hideMark/>
          </w:tcPr>
          <w:p w14:paraId="13CD7DE4" w14:textId="54B5762D"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704</w:t>
            </w:r>
          </w:p>
        </w:tc>
        <w:tc>
          <w:tcPr>
            <w:tcW w:w="1461" w:type="dxa"/>
            <w:tcBorders>
              <w:top w:val="nil"/>
              <w:left w:val="nil"/>
              <w:bottom w:val="single" w:sz="4" w:space="0" w:color="auto"/>
              <w:right w:val="single" w:sz="4" w:space="0" w:color="auto"/>
            </w:tcBorders>
            <w:shd w:val="clear" w:color="auto" w:fill="auto"/>
            <w:noWrap/>
            <w:vAlign w:val="bottom"/>
            <w:hideMark/>
          </w:tcPr>
          <w:p w14:paraId="4D633D57" w14:textId="391DC890"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752</w:t>
            </w:r>
          </w:p>
        </w:tc>
        <w:tc>
          <w:tcPr>
            <w:tcW w:w="1080" w:type="dxa"/>
            <w:tcBorders>
              <w:top w:val="nil"/>
              <w:left w:val="nil"/>
              <w:bottom w:val="single" w:sz="4" w:space="0" w:color="auto"/>
              <w:right w:val="single" w:sz="4" w:space="0" w:color="auto"/>
            </w:tcBorders>
            <w:shd w:val="clear" w:color="auto" w:fill="auto"/>
            <w:noWrap/>
            <w:vAlign w:val="bottom"/>
            <w:hideMark/>
          </w:tcPr>
          <w:p w14:paraId="7334FE35" w14:textId="767B9F70"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1 456</w:t>
            </w:r>
          </w:p>
        </w:tc>
      </w:tr>
      <w:tr w:rsidR="00A14C6E" w:rsidRPr="00BA52C1" w14:paraId="31973AAF"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F76E528" w14:textId="77777777" w:rsidR="00A14C6E" w:rsidRPr="00BA52C1" w:rsidRDefault="00A14C6E" w:rsidP="00A14C6E">
            <w:pPr>
              <w:pStyle w:val="CBDTableNormal"/>
              <w:spacing w:before="0" w:after="0"/>
              <w:rPr>
                <w:sz w:val="18"/>
                <w:szCs w:val="18"/>
                <w:lang w:val="fr-FR" w:eastAsia="en-CA"/>
              </w:rPr>
            </w:pPr>
            <w:r w:rsidRPr="00BA52C1">
              <w:rPr>
                <w:sz w:val="18"/>
                <w:szCs w:val="18"/>
                <w:lang w:val="fr-FR" w:eastAsia="en-CA"/>
              </w:rPr>
              <w:t>Burundi</w:t>
            </w:r>
          </w:p>
        </w:tc>
        <w:tc>
          <w:tcPr>
            <w:tcW w:w="1628" w:type="dxa"/>
            <w:tcBorders>
              <w:top w:val="nil"/>
              <w:left w:val="nil"/>
              <w:bottom w:val="single" w:sz="4" w:space="0" w:color="auto"/>
              <w:right w:val="single" w:sz="4" w:space="0" w:color="auto"/>
            </w:tcBorders>
            <w:shd w:val="clear" w:color="auto" w:fill="auto"/>
            <w:vAlign w:val="bottom"/>
            <w:hideMark/>
          </w:tcPr>
          <w:p w14:paraId="2F42034D" w14:textId="1A83CFE7"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2198" w:type="dxa"/>
            <w:tcBorders>
              <w:top w:val="nil"/>
              <w:left w:val="nil"/>
              <w:bottom w:val="single" w:sz="4" w:space="0" w:color="auto"/>
              <w:right w:val="single" w:sz="4" w:space="0" w:color="auto"/>
            </w:tcBorders>
            <w:shd w:val="clear" w:color="auto" w:fill="auto"/>
            <w:noWrap/>
            <w:vAlign w:val="bottom"/>
            <w:hideMark/>
          </w:tcPr>
          <w:p w14:paraId="12857DA9" w14:textId="14130353"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1176" w:type="dxa"/>
            <w:tcBorders>
              <w:top w:val="nil"/>
              <w:left w:val="nil"/>
              <w:bottom w:val="single" w:sz="4" w:space="0" w:color="auto"/>
              <w:right w:val="single" w:sz="4" w:space="0" w:color="auto"/>
            </w:tcBorders>
            <w:shd w:val="clear" w:color="auto" w:fill="auto"/>
            <w:noWrap/>
            <w:vAlign w:val="bottom"/>
            <w:hideMark/>
          </w:tcPr>
          <w:p w14:paraId="26328A52" w14:textId="4E31AF6B"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7BF14207" w14:textId="62D4D3DF"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717F095D" w14:textId="042A9FDD"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364</w:t>
            </w:r>
          </w:p>
        </w:tc>
      </w:tr>
      <w:tr w:rsidR="00A14C6E" w:rsidRPr="00BA52C1" w14:paraId="5BEDAF78"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1B315D5" w14:textId="72439A4E" w:rsidR="00A14C6E" w:rsidRPr="00BA52C1" w:rsidRDefault="00A14C6E" w:rsidP="00A14C6E">
            <w:pPr>
              <w:pStyle w:val="CBDTableNormal"/>
              <w:spacing w:before="0" w:after="0"/>
              <w:rPr>
                <w:sz w:val="18"/>
                <w:szCs w:val="18"/>
                <w:lang w:val="fr-FR" w:eastAsia="en-CA"/>
              </w:rPr>
            </w:pPr>
            <w:r w:rsidRPr="00BA52C1">
              <w:rPr>
                <w:sz w:val="18"/>
                <w:szCs w:val="18"/>
                <w:lang w:val="fr-FR" w:eastAsia="en-CA"/>
              </w:rPr>
              <w:t>Cabo Verde</w:t>
            </w:r>
          </w:p>
        </w:tc>
        <w:tc>
          <w:tcPr>
            <w:tcW w:w="1628" w:type="dxa"/>
            <w:tcBorders>
              <w:top w:val="nil"/>
              <w:left w:val="nil"/>
              <w:bottom w:val="single" w:sz="4" w:space="0" w:color="auto"/>
              <w:right w:val="single" w:sz="4" w:space="0" w:color="auto"/>
            </w:tcBorders>
            <w:shd w:val="clear" w:color="auto" w:fill="auto"/>
            <w:vAlign w:val="bottom"/>
            <w:hideMark/>
          </w:tcPr>
          <w:p w14:paraId="1E594015" w14:textId="3674F17B"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2198" w:type="dxa"/>
            <w:tcBorders>
              <w:top w:val="nil"/>
              <w:left w:val="nil"/>
              <w:bottom w:val="single" w:sz="4" w:space="0" w:color="auto"/>
              <w:right w:val="single" w:sz="4" w:space="0" w:color="auto"/>
            </w:tcBorders>
            <w:shd w:val="clear" w:color="auto" w:fill="auto"/>
            <w:noWrap/>
            <w:vAlign w:val="bottom"/>
            <w:hideMark/>
          </w:tcPr>
          <w:p w14:paraId="60FC25D7" w14:textId="0139E3DD"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1176" w:type="dxa"/>
            <w:tcBorders>
              <w:top w:val="nil"/>
              <w:left w:val="nil"/>
              <w:bottom w:val="single" w:sz="4" w:space="0" w:color="auto"/>
              <w:right w:val="single" w:sz="4" w:space="0" w:color="auto"/>
            </w:tcBorders>
            <w:shd w:val="clear" w:color="auto" w:fill="auto"/>
            <w:noWrap/>
            <w:vAlign w:val="bottom"/>
            <w:hideMark/>
          </w:tcPr>
          <w:p w14:paraId="44449C7F" w14:textId="1E8FECE4"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1734837D" w14:textId="46B97834"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54A51399" w14:textId="7E998AB7"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364</w:t>
            </w:r>
          </w:p>
        </w:tc>
      </w:tr>
      <w:tr w:rsidR="00A14C6E" w:rsidRPr="00BA52C1" w14:paraId="5A1E4543"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8717518" w14:textId="14DDC58D" w:rsidR="00A14C6E" w:rsidRPr="00BA52C1" w:rsidRDefault="00A14C6E" w:rsidP="00A14C6E">
            <w:pPr>
              <w:pStyle w:val="CBDTableNormal"/>
              <w:spacing w:before="0" w:after="0"/>
              <w:rPr>
                <w:sz w:val="18"/>
                <w:szCs w:val="18"/>
                <w:lang w:val="fr-FR" w:eastAsia="en-CA"/>
              </w:rPr>
            </w:pPr>
            <w:r w:rsidRPr="00BA52C1">
              <w:rPr>
                <w:sz w:val="18"/>
                <w:szCs w:val="18"/>
                <w:lang w:val="fr-FR" w:eastAsia="en-CA"/>
              </w:rPr>
              <w:t>Cambod</w:t>
            </w:r>
            <w:r>
              <w:rPr>
                <w:sz w:val="18"/>
                <w:szCs w:val="18"/>
                <w:lang w:val="fr-FR" w:eastAsia="en-CA"/>
              </w:rPr>
              <w:t>ge</w:t>
            </w:r>
          </w:p>
        </w:tc>
        <w:tc>
          <w:tcPr>
            <w:tcW w:w="1628" w:type="dxa"/>
            <w:tcBorders>
              <w:top w:val="nil"/>
              <w:left w:val="nil"/>
              <w:bottom w:val="single" w:sz="4" w:space="0" w:color="auto"/>
              <w:right w:val="single" w:sz="4" w:space="0" w:color="auto"/>
            </w:tcBorders>
            <w:shd w:val="clear" w:color="auto" w:fill="auto"/>
            <w:vAlign w:val="bottom"/>
            <w:hideMark/>
          </w:tcPr>
          <w:p w14:paraId="43A60624" w14:textId="58608CB1"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007</w:t>
            </w:r>
          </w:p>
        </w:tc>
        <w:tc>
          <w:tcPr>
            <w:tcW w:w="2198" w:type="dxa"/>
            <w:tcBorders>
              <w:top w:val="nil"/>
              <w:left w:val="nil"/>
              <w:bottom w:val="single" w:sz="4" w:space="0" w:color="auto"/>
              <w:right w:val="single" w:sz="4" w:space="0" w:color="auto"/>
            </w:tcBorders>
            <w:shd w:val="clear" w:color="auto" w:fill="auto"/>
            <w:noWrap/>
            <w:vAlign w:val="bottom"/>
            <w:hideMark/>
          </w:tcPr>
          <w:p w14:paraId="5346668C" w14:textId="726654A4"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009</w:t>
            </w:r>
          </w:p>
        </w:tc>
        <w:tc>
          <w:tcPr>
            <w:tcW w:w="1176" w:type="dxa"/>
            <w:tcBorders>
              <w:top w:val="nil"/>
              <w:left w:val="nil"/>
              <w:bottom w:val="single" w:sz="4" w:space="0" w:color="auto"/>
              <w:right w:val="single" w:sz="4" w:space="0" w:color="auto"/>
            </w:tcBorders>
            <w:shd w:val="clear" w:color="auto" w:fill="auto"/>
            <w:noWrap/>
            <w:vAlign w:val="bottom"/>
            <w:hideMark/>
          </w:tcPr>
          <w:p w14:paraId="4ED8F009" w14:textId="58A19AD0"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1 232</w:t>
            </w:r>
          </w:p>
        </w:tc>
        <w:tc>
          <w:tcPr>
            <w:tcW w:w="1461" w:type="dxa"/>
            <w:tcBorders>
              <w:top w:val="nil"/>
              <w:left w:val="nil"/>
              <w:bottom w:val="single" w:sz="4" w:space="0" w:color="auto"/>
              <w:right w:val="single" w:sz="4" w:space="0" w:color="auto"/>
            </w:tcBorders>
            <w:shd w:val="clear" w:color="auto" w:fill="auto"/>
            <w:noWrap/>
            <w:vAlign w:val="bottom"/>
            <w:hideMark/>
          </w:tcPr>
          <w:p w14:paraId="737D67AD" w14:textId="5EBF65B6"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1 316</w:t>
            </w:r>
          </w:p>
        </w:tc>
        <w:tc>
          <w:tcPr>
            <w:tcW w:w="1080" w:type="dxa"/>
            <w:tcBorders>
              <w:top w:val="nil"/>
              <w:left w:val="nil"/>
              <w:bottom w:val="single" w:sz="4" w:space="0" w:color="auto"/>
              <w:right w:val="single" w:sz="4" w:space="0" w:color="auto"/>
            </w:tcBorders>
            <w:shd w:val="clear" w:color="auto" w:fill="auto"/>
            <w:noWrap/>
            <w:vAlign w:val="bottom"/>
            <w:hideMark/>
          </w:tcPr>
          <w:p w14:paraId="2CFF52F5" w14:textId="0BCDEF1F"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2 548</w:t>
            </w:r>
          </w:p>
        </w:tc>
      </w:tr>
      <w:tr w:rsidR="00A14C6E" w:rsidRPr="00BA52C1" w14:paraId="2ED97F03"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6540763" w14:textId="1288E091" w:rsidR="00A14C6E" w:rsidRPr="00BA52C1" w:rsidRDefault="00A14C6E" w:rsidP="00A14C6E">
            <w:pPr>
              <w:pStyle w:val="CBDTableNormal"/>
              <w:spacing w:before="0" w:after="0"/>
              <w:rPr>
                <w:sz w:val="18"/>
                <w:szCs w:val="18"/>
                <w:lang w:val="fr-FR" w:eastAsia="en-CA"/>
              </w:rPr>
            </w:pPr>
            <w:r w:rsidRPr="00BA52C1">
              <w:rPr>
                <w:sz w:val="18"/>
                <w:szCs w:val="18"/>
                <w:lang w:val="fr-FR" w:eastAsia="en-CA"/>
              </w:rPr>
              <w:t>Camero</w:t>
            </w:r>
            <w:r>
              <w:rPr>
                <w:sz w:val="18"/>
                <w:szCs w:val="18"/>
                <w:lang w:val="fr-FR" w:eastAsia="en-CA"/>
              </w:rPr>
              <w:t>u</w:t>
            </w:r>
            <w:r w:rsidRPr="00BA52C1">
              <w:rPr>
                <w:sz w:val="18"/>
                <w:szCs w:val="18"/>
                <w:lang w:val="fr-FR" w:eastAsia="en-CA"/>
              </w:rPr>
              <w:t>n</w:t>
            </w:r>
          </w:p>
        </w:tc>
        <w:tc>
          <w:tcPr>
            <w:tcW w:w="1628" w:type="dxa"/>
            <w:tcBorders>
              <w:top w:val="nil"/>
              <w:left w:val="nil"/>
              <w:bottom w:val="single" w:sz="4" w:space="0" w:color="auto"/>
              <w:right w:val="single" w:sz="4" w:space="0" w:color="auto"/>
            </w:tcBorders>
            <w:shd w:val="clear" w:color="auto" w:fill="auto"/>
            <w:vAlign w:val="bottom"/>
            <w:hideMark/>
          </w:tcPr>
          <w:p w14:paraId="70AC37F4" w14:textId="158C2A94"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013</w:t>
            </w:r>
          </w:p>
        </w:tc>
        <w:tc>
          <w:tcPr>
            <w:tcW w:w="2198" w:type="dxa"/>
            <w:tcBorders>
              <w:top w:val="nil"/>
              <w:left w:val="nil"/>
              <w:bottom w:val="single" w:sz="4" w:space="0" w:color="auto"/>
              <w:right w:val="single" w:sz="4" w:space="0" w:color="auto"/>
            </w:tcBorders>
            <w:shd w:val="clear" w:color="auto" w:fill="auto"/>
            <w:noWrap/>
            <w:vAlign w:val="bottom"/>
            <w:hideMark/>
          </w:tcPr>
          <w:p w14:paraId="19EB876D" w14:textId="62E5D449"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016</w:t>
            </w:r>
          </w:p>
        </w:tc>
        <w:tc>
          <w:tcPr>
            <w:tcW w:w="1176" w:type="dxa"/>
            <w:tcBorders>
              <w:top w:val="nil"/>
              <w:left w:val="nil"/>
              <w:bottom w:val="single" w:sz="4" w:space="0" w:color="auto"/>
              <w:right w:val="single" w:sz="4" w:space="0" w:color="auto"/>
            </w:tcBorders>
            <w:shd w:val="clear" w:color="auto" w:fill="auto"/>
            <w:noWrap/>
            <w:vAlign w:val="bottom"/>
            <w:hideMark/>
          </w:tcPr>
          <w:p w14:paraId="7BB716C4" w14:textId="167AD5F0"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2 288</w:t>
            </w:r>
          </w:p>
        </w:tc>
        <w:tc>
          <w:tcPr>
            <w:tcW w:w="1461" w:type="dxa"/>
            <w:tcBorders>
              <w:top w:val="nil"/>
              <w:left w:val="nil"/>
              <w:bottom w:val="single" w:sz="4" w:space="0" w:color="auto"/>
              <w:right w:val="single" w:sz="4" w:space="0" w:color="auto"/>
            </w:tcBorders>
            <w:shd w:val="clear" w:color="auto" w:fill="auto"/>
            <w:noWrap/>
            <w:vAlign w:val="bottom"/>
            <w:hideMark/>
          </w:tcPr>
          <w:p w14:paraId="39F169EB" w14:textId="55B88FDB"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2 444</w:t>
            </w:r>
          </w:p>
        </w:tc>
        <w:tc>
          <w:tcPr>
            <w:tcW w:w="1080" w:type="dxa"/>
            <w:tcBorders>
              <w:top w:val="nil"/>
              <w:left w:val="nil"/>
              <w:bottom w:val="single" w:sz="4" w:space="0" w:color="auto"/>
              <w:right w:val="single" w:sz="4" w:space="0" w:color="auto"/>
            </w:tcBorders>
            <w:shd w:val="clear" w:color="auto" w:fill="auto"/>
            <w:noWrap/>
            <w:vAlign w:val="bottom"/>
            <w:hideMark/>
          </w:tcPr>
          <w:p w14:paraId="7D793B01" w14:textId="5F07D60A"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4 732</w:t>
            </w:r>
          </w:p>
        </w:tc>
      </w:tr>
      <w:tr w:rsidR="00A14C6E" w:rsidRPr="00BA52C1" w14:paraId="0D2C5FE9"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8EA746C" w14:textId="77777777" w:rsidR="00A14C6E" w:rsidRPr="00BA52C1" w:rsidRDefault="00A14C6E" w:rsidP="00A14C6E">
            <w:pPr>
              <w:pStyle w:val="CBDTableNormal"/>
              <w:spacing w:before="0" w:after="0"/>
              <w:rPr>
                <w:sz w:val="18"/>
                <w:szCs w:val="18"/>
                <w:lang w:val="fr-FR" w:eastAsia="en-CA"/>
              </w:rPr>
            </w:pPr>
            <w:r w:rsidRPr="00BA52C1">
              <w:rPr>
                <w:sz w:val="18"/>
                <w:szCs w:val="18"/>
                <w:lang w:val="fr-FR" w:eastAsia="en-CA"/>
              </w:rPr>
              <w:t>Canada</w:t>
            </w:r>
          </w:p>
        </w:tc>
        <w:tc>
          <w:tcPr>
            <w:tcW w:w="1628" w:type="dxa"/>
            <w:tcBorders>
              <w:top w:val="nil"/>
              <w:left w:val="nil"/>
              <w:bottom w:val="single" w:sz="4" w:space="0" w:color="auto"/>
              <w:right w:val="single" w:sz="4" w:space="0" w:color="auto"/>
            </w:tcBorders>
            <w:shd w:val="clear" w:color="auto" w:fill="auto"/>
            <w:vAlign w:val="bottom"/>
            <w:hideMark/>
          </w:tcPr>
          <w:p w14:paraId="05814761" w14:textId="7C813C45"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2</w:t>
            </w:r>
            <w:r>
              <w:rPr>
                <w:sz w:val="18"/>
                <w:szCs w:val="18"/>
                <w:lang w:val="fr-FR" w:eastAsia="en-CA"/>
              </w:rPr>
              <w:t>,</w:t>
            </w:r>
            <w:r w:rsidRPr="00BA52C1">
              <w:rPr>
                <w:sz w:val="18"/>
                <w:szCs w:val="18"/>
                <w:lang w:val="fr-FR" w:eastAsia="en-CA"/>
              </w:rPr>
              <w:t>628</w:t>
            </w:r>
          </w:p>
        </w:tc>
        <w:tc>
          <w:tcPr>
            <w:tcW w:w="2198" w:type="dxa"/>
            <w:tcBorders>
              <w:top w:val="nil"/>
              <w:left w:val="nil"/>
              <w:bottom w:val="single" w:sz="4" w:space="0" w:color="auto"/>
              <w:right w:val="single" w:sz="4" w:space="0" w:color="auto"/>
            </w:tcBorders>
            <w:shd w:val="clear" w:color="auto" w:fill="auto"/>
            <w:noWrap/>
            <w:vAlign w:val="bottom"/>
            <w:hideMark/>
          </w:tcPr>
          <w:p w14:paraId="4B9BF62E" w14:textId="567C9431"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3</w:t>
            </w:r>
            <w:r>
              <w:rPr>
                <w:sz w:val="18"/>
                <w:szCs w:val="18"/>
                <w:lang w:val="fr-FR" w:eastAsia="en-CA"/>
              </w:rPr>
              <w:t>,</w:t>
            </w:r>
            <w:r w:rsidRPr="00BA52C1">
              <w:rPr>
                <w:sz w:val="18"/>
                <w:szCs w:val="18"/>
                <w:lang w:val="fr-FR" w:eastAsia="en-CA"/>
              </w:rPr>
              <w:t>285</w:t>
            </w:r>
          </w:p>
        </w:tc>
        <w:tc>
          <w:tcPr>
            <w:tcW w:w="1176" w:type="dxa"/>
            <w:tcBorders>
              <w:top w:val="nil"/>
              <w:left w:val="nil"/>
              <w:bottom w:val="single" w:sz="4" w:space="0" w:color="auto"/>
              <w:right w:val="single" w:sz="4" w:space="0" w:color="auto"/>
            </w:tcBorders>
            <w:shd w:val="clear" w:color="auto" w:fill="auto"/>
            <w:noWrap/>
            <w:vAlign w:val="bottom"/>
            <w:hideMark/>
          </w:tcPr>
          <w:p w14:paraId="3940276A" w14:textId="5178BC85"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462 513</w:t>
            </w:r>
          </w:p>
        </w:tc>
        <w:tc>
          <w:tcPr>
            <w:tcW w:w="1461" w:type="dxa"/>
            <w:tcBorders>
              <w:top w:val="nil"/>
              <w:left w:val="nil"/>
              <w:bottom w:val="single" w:sz="4" w:space="0" w:color="auto"/>
              <w:right w:val="single" w:sz="4" w:space="0" w:color="auto"/>
            </w:tcBorders>
            <w:shd w:val="clear" w:color="auto" w:fill="auto"/>
            <w:noWrap/>
            <w:vAlign w:val="bottom"/>
            <w:hideMark/>
          </w:tcPr>
          <w:p w14:paraId="6D34EC24" w14:textId="11C66A28"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494 160</w:t>
            </w:r>
          </w:p>
        </w:tc>
        <w:tc>
          <w:tcPr>
            <w:tcW w:w="1080" w:type="dxa"/>
            <w:tcBorders>
              <w:top w:val="nil"/>
              <w:left w:val="nil"/>
              <w:bottom w:val="single" w:sz="4" w:space="0" w:color="auto"/>
              <w:right w:val="single" w:sz="4" w:space="0" w:color="auto"/>
            </w:tcBorders>
            <w:shd w:val="clear" w:color="auto" w:fill="auto"/>
            <w:noWrap/>
            <w:vAlign w:val="bottom"/>
            <w:hideMark/>
          </w:tcPr>
          <w:p w14:paraId="22540ABB" w14:textId="4D0D1FF8"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956 673</w:t>
            </w:r>
          </w:p>
        </w:tc>
      </w:tr>
      <w:tr w:rsidR="00A14C6E" w:rsidRPr="00BA52C1" w14:paraId="750F709E"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7EDF7E1" w14:textId="233ED326" w:rsidR="00A14C6E" w:rsidRPr="00BA52C1" w:rsidRDefault="00A14C6E" w:rsidP="00A14C6E">
            <w:pPr>
              <w:pStyle w:val="CBDTableNormal"/>
              <w:spacing w:before="0" w:after="0"/>
              <w:rPr>
                <w:sz w:val="18"/>
                <w:szCs w:val="18"/>
                <w:lang w:val="fr-FR" w:eastAsia="en-CA"/>
              </w:rPr>
            </w:pPr>
            <w:r w:rsidRPr="00BA52C1">
              <w:rPr>
                <w:sz w:val="18"/>
                <w:szCs w:val="18"/>
                <w:lang w:val="fr-FR" w:eastAsia="en-CA"/>
              </w:rPr>
              <w:t>Chil</w:t>
            </w:r>
            <w:r>
              <w:rPr>
                <w:sz w:val="18"/>
                <w:szCs w:val="18"/>
                <w:lang w:val="fr-FR" w:eastAsia="en-CA"/>
              </w:rPr>
              <w:t>i</w:t>
            </w:r>
          </w:p>
        </w:tc>
        <w:tc>
          <w:tcPr>
            <w:tcW w:w="1628" w:type="dxa"/>
            <w:tcBorders>
              <w:top w:val="nil"/>
              <w:left w:val="nil"/>
              <w:bottom w:val="single" w:sz="4" w:space="0" w:color="auto"/>
              <w:right w:val="single" w:sz="4" w:space="0" w:color="auto"/>
            </w:tcBorders>
            <w:shd w:val="clear" w:color="auto" w:fill="auto"/>
            <w:vAlign w:val="bottom"/>
            <w:hideMark/>
          </w:tcPr>
          <w:p w14:paraId="3F4B3679" w14:textId="6B624E86"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420</w:t>
            </w:r>
          </w:p>
        </w:tc>
        <w:tc>
          <w:tcPr>
            <w:tcW w:w="2198" w:type="dxa"/>
            <w:tcBorders>
              <w:top w:val="nil"/>
              <w:left w:val="nil"/>
              <w:bottom w:val="single" w:sz="4" w:space="0" w:color="auto"/>
              <w:right w:val="single" w:sz="4" w:space="0" w:color="auto"/>
            </w:tcBorders>
            <w:shd w:val="clear" w:color="auto" w:fill="auto"/>
            <w:noWrap/>
            <w:vAlign w:val="bottom"/>
            <w:hideMark/>
          </w:tcPr>
          <w:p w14:paraId="4375A197" w14:textId="70BA4245"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525</w:t>
            </w:r>
          </w:p>
        </w:tc>
        <w:tc>
          <w:tcPr>
            <w:tcW w:w="1176" w:type="dxa"/>
            <w:tcBorders>
              <w:top w:val="nil"/>
              <w:left w:val="nil"/>
              <w:bottom w:val="single" w:sz="4" w:space="0" w:color="auto"/>
              <w:right w:val="single" w:sz="4" w:space="0" w:color="auto"/>
            </w:tcBorders>
            <w:shd w:val="clear" w:color="auto" w:fill="auto"/>
            <w:noWrap/>
            <w:vAlign w:val="bottom"/>
            <w:hideMark/>
          </w:tcPr>
          <w:p w14:paraId="12C4EB56" w14:textId="25A14FEB"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73 918</w:t>
            </w:r>
          </w:p>
        </w:tc>
        <w:tc>
          <w:tcPr>
            <w:tcW w:w="1461" w:type="dxa"/>
            <w:tcBorders>
              <w:top w:val="nil"/>
              <w:left w:val="nil"/>
              <w:bottom w:val="single" w:sz="4" w:space="0" w:color="auto"/>
              <w:right w:val="single" w:sz="4" w:space="0" w:color="auto"/>
            </w:tcBorders>
            <w:shd w:val="clear" w:color="auto" w:fill="auto"/>
            <w:noWrap/>
            <w:vAlign w:val="bottom"/>
            <w:hideMark/>
          </w:tcPr>
          <w:p w14:paraId="2784EEAD" w14:textId="3FF14BE6"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78 975</w:t>
            </w:r>
          </w:p>
        </w:tc>
        <w:tc>
          <w:tcPr>
            <w:tcW w:w="1080" w:type="dxa"/>
            <w:tcBorders>
              <w:top w:val="nil"/>
              <w:left w:val="nil"/>
              <w:bottom w:val="single" w:sz="4" w:space="0" w:color="auto"/>
              <w:right w:val="single" w:sz="4" w:space="0" w:color="auto"/>
            </w:tcBorders>
            <w:shd w:val="clear" w:color="auto" w:fill="auto"/>
            <w:noWrap/>
            <w:vAlign w:val="bottom"/>
            <w:hideMark/>
          </w:tcPr>
          <w:p w14:paraId="31C531AC" w14:textId="404950F5"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152 893</w:t>
            </w:r>
          </w:p>
        </w:tc>
      </w:tr>
      <w:tr w:rsidR="00A14C6E" w:rsidRPr="00BA52C1" w14:paraId="298FEF04"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C605522" w14:textId="2B5CC419" w:rsidR="00A14C6E" w:rsidRPr="00BA52C1" w:rsidRDefault="00A14C6E" w:rsidP="00A14C6E">
            <w:pPr>
              <w:pStyle w:val="CBDTableNormal"/>
              <w:spacing w:before="0" w:after="0"/>
              <w:rPr>
                <w:sz w:val="18"/>
                <w:szCs w:val="18"/>
                <w:lang w:val="fr-FR" w:eastAsia="en-CA"/>
              </w:rPr>
            </w:pPr>
            <w:r w:rsidRPr="00BA52C1">
              <w:rPr>
                <w:sz w:val="18"/>
                <w:szCs w:val="18"/>
                <w:lang w:val="fr-FR" w:eastAsia="en-CA"/>
              </w:rPr>
              <w:t>Chin</w:t>
            </w:r>
            <w:r>
              <w:rPr>
                <w:sz w:val="18"/>
                <w:szCs w:val="18"/>
                <w:lang w:val="fr-FR" w:eastAsia="en-CA"/>
              </w:rPr>
              <w:t>e</w:t>
            </w:r>
          </w:p>
        </w:tc>
        <w:tc>
          <w:tcPr>
            <w:tcW w:w="1628" w:type="dxa"/>
            <w:tcBorders>
              <w:top w:val="nil"/>
              <w:left w:val="nil"/>
              <w:bottom w:val="single" w:sz="4" w:space="0" w:color="auto"/>
              <w:right w:val="single" w:sz="4" w:space="0" w:color="auto"/>
            </w:tcBorders>
            <w:shd w:val="clear" w:color="auto" w:fill="auto"/>
            <w:vAlign w:val="bottom"/>
            <w:hideMark/>
          </w:tcPr>
          <w:p w14:paraId="46AEDD61" w14:textId="28436621"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15</w:t>
            </w:r>
            <w:r>
              <w:rPr>
                <w:sz w:val="18"/>
                <w:szCs w:val="18"/>
                <w:lang w:val="fr-FR" w:eastAsia="en-CA"/>
              </w:rPr>
              <w:t>,</w:t>
            </w:r>
            <w:r w:rsidRPr="00BA52C1">
              <w:rPr>
                <w:sz w:val="18"/>
                <w:szCs w:val="18"/>
                <w:lang w:val="fr-FR" w:eastAsia="en-CA"/>
              </w:rPr>
              <w:t>254</w:t>
            </w:r>
          </w:p>
        </w:tc>
        <w:tc>
          <w:tcPr>
            <w:tcW w:w="2198" w:type="dxa"/>
            <w:tcBorders>
              <w:top w:val="nil"/>
              <w:left w:val="nil"/>
              <w:bottom w:val="single" w:sz="4" w:space="0" w:color="auto"/>
              <w:right w:val="single" w:sz="4" w:space="0" w:color="auto"/>
            </w:tcBorders>
            <w:shd w:val="clear" w:color="auto" w:fill="auto"/>
            <w:noWrap/>
            <w:vAlign w:val="bottom"/>
            <w:hideMark/>
          </w:tcPr>
          <w:p w14:paraId="3D6FBEF6" w14:textId="0AA8B21A"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19</w:t>
            </w:r>
            <w:r>
              <w:rPr>
                <w:sz w:val="18"/>
                <w:szCs w:val="18"/>
                <w:lang w:val="fr-FR" w:eastAsia="en-CA"/>
              </w:rPr>
              <w:t>,</w:t>
            </w:r>
            <w:r w:rsidRPr="00BA52C1">
              <w:rPr>
                <w:sz w:val="18"/>
                <w:szCs w:val="18"/>
                <w:lang w:val="fr-FR" w:eastAsia="en-CA"/>
              </w:rPr>
              <w:t>069</w:t>
            </w:r>
          </w:p>
        </w:tc>
        <w:tc>
          <w:tcPr>
            <w:tcW w:w="1176" w:type="dxa"/>
            <w:tcBorders>
              <w:top w:val="nil"/>
              <w:left w:val="nil"/>
              <w:bottom w:val="single" w:sz="4" w:space="0" w:color="auto"/>
              <w:right w:val="single" w:sz="4" w:space="0" w:color="auto"/>
            </w:tcBorders>
            <w:shd w:val="clear" w:color="auto" w:fill="auto"/>
            <w:noWrap/>
            <w:vAlign w:val="bottom"/>
            <w:hideMark/>
          </w:tcPr>
          <w:p w14:paraId="02FDAC5A" w14:textId="3626B26B"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2 684 619</w:t>
            </w:r>
          </w:p>
        </w:tc>
        <w:tc>
          <w:tcPr>
            <w:tcW w:w="1461" w:type="dxa"/>
            <w:tcBorders>
              <w:top w:val="nil"/>
              <w:left w:val="nil"/>
              <w:bottom w:val="single" w:sz="4" w:space="0" w:color="auto"/>
              <w:right w:val="single" w:sz="4" w:space="0" w:color="auto"/>
            </w:tcBorders>
            <w:shd w:val="clear" w:color="auto" w:fill="auto"/>
            <w:noWrap/>
            <w:vAlign w:val="bottom"/>
            <w:hideMark/>
          </w:tcPr>
          <w:p w14:paraId="58C9A906" w14:textId="7A6E1545"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2 868 309</w:t>
            </w:r>
          </w:p>
        </w:tc>
        <w:tc>
          <w:tcPr>
            <w:tcW w:w="1080" w:type="dxa"/>
            <w:tcBorders>
              <w:top w:val="nil"/>
              <w:left w:val="nil"/>
              <w:bottom w:val="single" w:sz="4" w:space="0" w:color="auto"/>
              <w:right w:val="single" w:sz="4" w:space="0" w:color="auto"/>
            </w:tcBorders>
            <w:shd w:val="clear" w:color="auto" w:fill="auto"/>
            <w:noWrap/>
            <w:vAlign w:val="bottom"/>
            <w:hideMark/>
          </w:tcPr>
          <w:p w14:paraId="4B662B17" w14:textId="7093FF4A"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5 552 928</w:t>
            </w:r>
          </w:p>
        </w:tc>
      </w:tr>
      <w:tr w:rsidR="00D152DA" w:rsidRPr="00BA52C1" w14:paraId="744BA7F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tcPr>
          <w:p w14:paraId="3CE8E612" w14:textId="0E9BCFE8" w:rsidR="00D152DA" w:rsidRPr="00BA52C1" w:rsidRDefault="00D152DA" w:rsidP="00D152DA">
            <w:pPr>
              <w:pStyle w:val="CBDTableNormal"/>
              <w:spacing w:before="0" w:after="0"/>
              <w:rPr>
                <w:sz w:val="18"/>
                <w:szCs w:val="18"/>
                <w:lang w:val="fr-FR" w:eastAsia="en-CA"/>
              </w:rPr>
            </w:pPr>
            <w:r>
              <w:rPr>
                <w:sz w:val="18"/>
                <w:szCs w:val="18"/>
                <w:lang w:val="fr-FR" w:eastAsia="en-CA"/>
              </w:rPr>
              <w:t>Chypre</w:t>
            </w:r>
          </w:p>
        </w:tc>
        <w:tc>
          <w:tcPr>
            <w:tcW w:w="1628" w:type="dxa"/>
            <w:tcBorders>
              <w:top w:val="nil"/>
              <w:left w:val="nil"/>
              <w:bottom w:val="single" w:sz="4" w:space="0" w:color="auto"/>
              <w:right w:val="single" w:sz="4" w:space="0" w:color="auto"/>
            </w:tcBorders>
            <w:shd w:val="clear" w:color="auto" w:fill="auto"/>
            <w:vAlign w:val="bottom"/>
          </w:tcPr>
          <w:p w14:paraId="4DCF27DD" w14:textId="623D60F1" w:rsidR="00D152DA" w:rsidRPr="00BA52C1" w:rsidRDefault="00D152DA" w:rsidP="00D152DA">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036</w:t>
            </w:r>
          </w:p>
        </w:tc>
        <w:tc>
          <w:tcPr>
            <w:tcW w:w="2198" w:type="dxa"/>
            <w:tcBorders>
              <w:top w:val="nil"/>
              <w:left w:val="nil"/>
              <w:bottom w:val="single" w:sz="4" w:space="0" w:color="auto"/>
              <w:right w:val="single" w:sz="4" w:space="0" w:color="auto"/>
            </w:tcBorders>
            <w:shd w:val="clear" w:color="auto" w:fill="auto"/>
            <w:noWrap/>
            <w:vAlign w:val="bottom"/>
          </w:tcPr>
          <w:p w14:paraId="1F3935A2" w14:textId="67BCF941" w:rsidR="00D152DA" w:rsidRPr="00BA52C1" w:rsidRDefault="00D152DA" w:rsidP="00D152DA">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045</w:t>
            </w:r>
          </w:p>
        </w:tc>
        <w:tc>
          <w:tcPr>
            <w:tcW w:w="1176" w:type="dxa"/>
            <w:tcBorders>
              <w:top w:val="nil"/>
              <w:left w:val="nil"/>
              <w:bottom w:val="single" w:sz="4" w:space="0" w:color="auto"/>
              <w:right w:val="single" w:sz="4" w:space="0" w:color="auto"/>
            </w:tcBorders>
            <w:shd w:val="clear" w:color="auto" w:fill="auto"/>
            <w:noWrap/>
            <w:vAlign w:val="bottom"/>
          </w:tcPr>
          <w:p w14:paraId="70CB545A" w14:textId="57B32E8B" w:rsidR="00D152DA" w:rsidRPr="00BA52C1" w:rsidRDefault="00D152DA" w:rsidP="00D152DA">
            <w:pPr>
              <w:pStyle w:val="CBDTableNormal"/>
              <w:spacing w:before="0" w:after="0"/>
              <w:jc w:val="right"/>
              <w:rPr>
                <w:sz w:val="18"/>
                <w:szCs w:val="18"/>
                <w:lang w:val="fr-FR" w:eastAsia="en-CA"/>
              </w:rPr>
            </w:pPr>
            <w:r w:rsidRPr="00BA52C1">
              <w:rPr>
                <w:sz w:val="18"/>
                <w:szCs w:val="18"/>
                <w:lang w:val="fr-FR" w:eastAsia="en-CA"/>
              </w:rPr>
              <w:t>6 336</w:t>
            </w:r>
          </w:p>
        </w:tc>
        <w:tc>
          <w:tcPr>
            <w:tcW w:w="1461" w:type="dxa"/>
            <w:tcBorders>
              <w:top w:val="nil"/>
              <w:left w:val="nil"/>
              <w:bottom w:val="single" w:sz="4" w:space="0" w:color="auto"/>
              <w:right w:val="single" w:sz="4" w:space="0" w:color="auto"/>
            </w:tcBorders>
            <w:shd w:val="clear" w:color="auto" w:fill="auto"/>
            <w:noWrap/>
            <w:vAlign w:val="bottom"/>
          </w:tcPr>
          <w:p w14:paraId="436FEBFE" w14:textId="100D74F9" w:rsidR="00D152DA" w:rsidRPr="00BA52C1" w:rsidRDefault="00D152DA" w:rsidP="00D152DA">
            <w:pPr>
              <w:pStyle w:val="CBDTableNormal"/>
              <w:spacing w:before="0" w:after="0"/>
              <w:jc w:val="right"/>
              <w:rPr>
                <w:sz w:val="18"/>
                <w:szCs w:val="18"/>
                <w:lang w:val="fr-FR" w:eastAsia="en-CA"/>
              </w:rPr>
            </w:pPr>
            <w:r w:rsidRPr="00BA52C1">
              <w:rPr>
                <w:sz w:val="18"/>
                <w:szCs w:val="18"/>
                <w:lang w:val="fr-FR" w:eastAsia="en-CA"/>
              </w:rPr>
              <w:t>6 769</w:t>
            </w:r>
          </w:p>
        </w:tc>
        <w:tc>
          <w:tcPr>
            <w:tcW w:w="1080" w:type="dxa"/>
            <w:tcBorders>
              <w:top w:val="nil"/>
              <w:left w:val="nil"/>
              <w:bottom w:val="single" w:sz="4" w:space="0" w:color="auto"/>
              <w:right w:val="single" w:sz="4" w:space="0" w:color="auto"/>
            </w:tcBorders>
            <w:shd w:val="clear" w:color="auto" w:fill="auto"/>
            <w:noWrap/>
            <w:vAlign w:val="bottom"/>
          </w:tcPr>
          <w:p w14:paraId="37BD4D4F" w14:textId="6F4D2C33" w:rsidR="00D152DA" w:rsidRPr="00BA52C1" w:rsidRDefault="00D152DA" w:rsidP="00D152DA">
            <w:pPr>
              <w:pStyle w:val="CBDTableNormal"/>
              <w:spacing w:before="0" w:after="0"/>
              <w:jc w:val="right"/>
              <w:rPr>
                <w:sz w:val="18"/>
                <w:szCs w:val="18"/>
                <w:lang w:val="fr-FR" w:eastAsia="en-CA"/>
              </w:rPr>
            </w:pPr>
            <w:r w:rsidRPr="00BA52C1">
              <w:rPr>
                <w:sz w:val="18"/>
                <w:szCs w:val="18"/>
                <w:lang w:val="fr-FR" w:eastAsia="en-CA"/>
              </w:rPr>
              <w:t>13 105</w:t>
            </w:r>
          </w:p>
        </w:tc>
      </w:tr>
      <w:tr w:rsidR="00A14C6E" w:rsidRPr="00BA52C1" w14:paraId="18020D3E"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1D1483E" w14:textId="7A1AB08C" w:rsidR="00A14C6E" w:rsidRPr="00BA52C1" w:rsidRDefault="00A14C6E" w:rsidP="00A14C6E">
            <w:pPr>
              <w:pStyle w:val="CBDTableNormal"/>
              <w:spacing w:before="0" w:after="0"/>
              <w:rPr>
                <w:sz w:val="18"/>
                <w:szCs w:val="18"/>
                <w:lang w:val="fr-FR" w:eastAsia="en-CA"/>
              </w:rPr>
            </w:pPr>
            <w:r w:rsidRPr="00BA52C1">
              <w:rPr>
                <w:sz w:val="18"/>
                <w:szCs w:val="18"/>
                <w:lang w:val="fr-FR" w:eastAsia="en-CA"/>
              </w:rPr>
              <w:t>Colombi</w:t>
            </w:r>
            <w:r w:rsidR="00D152DA">
              <w:rPr>
                <w:sz w:val="18"/>
                <w:szCs w:val="18"/>
                <w:lang w:val="fr-FR" w:eastAsia="en-CA"/>
              </w:rPr>
              <w:t>e</w:t>
            </w:r>
          </w:p>
        </w:tc>
        <w:tc>
          <w:tcPr>
            <w:tcW w:w="1628" w:type="dxa"/>
            <w:tcBorders>
              <w:top w:val="nil"/>
              <w:left w:val="nil"/>
              <w:bottom w:val="single" w:sz="4" w:space="0" w:color="auto"/>
              <w:right w:val="single" w:sz="4" w:space="0" w:color="auto"/>
            </w:tcBorders>
            <w:shd w:val="clear" w:color="auto" w:fill="auto"/>
            <w:vAlign w:val="bottom"/>
            <w:hideMark/>
          </w:tcPr>
          <w:p w14:paraId="24CD398F" w14:textId="1E071086"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246</w:t>
            </w:r>
          </w:p>
        </w:tc>
        <w:tc>
          <w:tcPr>
            <w:tcW w:w="2198" w:type="dxa"/>
            <w:tcBorders>
              <w:top w:val="nil"/>
              <w:left w:val="nil"/>
              <w:bottom w:val="single" w:sz="4" w:space="0" w:color="auto"/>
              <w:right w:val="single" w:sz="4" w:space="0" w:color="auto"/>
            </w:tcBorders>
            <w:shd w:val="clear" w:color="auto" w:fill="auto"/>
            <w:noWrap/>
            <w:vAlign w:val="bottom"/>
            <w:hideMark/>
          </w:tcPr>
          <w:p w14:paraId="7025DDEA" w14:textId="0D6EAF10"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308</w:t>
            </w:r>
          </w:p>
        </w:tc>
        <w:tc>
          <w:tcPr>
            <w:tcW w:w="1176" w:type="dxa"/>
            <w:tcBorders>
              <w:top w:val="nil"/>
              <w:left w:val="nil"/>
              <w:bottom w:val="single" w:sz="4" w:space="0" w:color="auto"/>
              <w:right w:val="single" w:sz="4" w:space="0" w:color="auto"/>
            </w:tcBorders>
            <w:shd w:val="clear" w:color="auto" w:fill="auto"/>
            <w:noWrap/>
            <w:vAlign w:val="bottom"/>
            <w:hideMark/>
          </w:tcPr>
          <w:p w14:paraId="77BF5855" w14:textId="525B1B82"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43 295</w:t>
            </w:r>
          </w:p>
        </w:tc>
        <w:tc>
          <w:tcPr>
            <w:tcW w:w="1461" w:type="dxa"/>
            <w:tcBorders>
              <w:top w:val="nil"/>
              <w:left w:val="nil"/>
              <w:bottom w:val="single" w:sz="4" w:space="0" w:color="auto"/>
              <w:right w:val="single" w:sz="4" w:space="0" w:color="auto"/>
            </w:tcBorders>
            <w:shd w:val="clear" w:color="auto" w:fill="auto"/>
            <w:noWrap/>
            <w:vAlign w:val="bottom"/>
            <w:hideMark/>
          </w:tcPr>
          <w:p w14:paraId="02ACBEAD" w14:textId="1E79C3A9"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46 257</w:t>
            </w:r>
          </w:p>
        </w:tc>
        <w:tc>
          <w:tcPr>
            <w:tcW w:w="1080" w:type="dxa"/>
            <w:tcBorders>
              <w:top w:val="nil"/>
              <w:left w:val="nil"/>
              <w:bottom w:val="single" w:sz="4" w:space="0" w:color="auto"/>
              <w:right w:val="single" w:sz="4" w:space="0" w:color="auto"/>
            </w:tcBorders>
            <w:shd w:val="clear" w:color="auto" w:fill="auto"/>
            <w:noWrap/>
            <w:vAlign w:val="bottom"/>
            <w:hideMark/>
          </w:tcPr>
          <w:p w14:paraId="381BA7D3" w14:textId="518DC91E"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89 552</w:t>
            </w:r>
          </w:p>
        </w:tc>
      </w:tr>
      <w:tr w:rsidR="00A14C6E" w:rsidRPr="00BA52C1" w14:paraId="6CC3C9FF"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1C2C7DC" w14:textId="573C07DA" w:rsidR="00A14C6E" w:rsidRPr="00BA52C1" w:rsidRDefault="00A14C6E" w:rsidP="00A14C6E">
            <w:pPr>
              <w:pStyle w:val="CBDTableNormal"/>
              <w:spacing w:before="0" w:after="0"/>
              <w:rPr>
                <w:sz w:val="18"/>
                <w:szCs w:val="18"/>
                <w:lang w:val="fr-FR" w:eastAsia="en-CA"/>
              </w:rPr>
            </w:pPr>
            <w:r w:rsidRPr="00BA52C1">
              <w:rPr>
                <w:sz w:val="18"/>
                <w:szCs w:val="18"/>
                <w:lang w:val="fr-FR" w:eastAsia="en-CA"/>
              </w:rPr>
              <w:t>Comor</w:t>
            </w:r>
            <w:r w:rsidR="00D152DA">
              <w:rPr>
                <w:sz w:val="18"/>
                <w:szCs w:val="18"/>
                <w:lang w:val="fr-FR" w:eastAsia="en-CA"/>
              </w:rPr>
              <w:t>es</w:t>
            </w:r>
          </w:p>
        </w:tc>
        <w:tc>
          <w:tcPr>
            <w:tcW w:w="1628" w:type="dxa"/>
            <w:tcBorders>
              <w:top w:val="nil"/>
              <w:left w:val="nil"/>
              <w:bottom w:val="single" w:sz="4" w:space="0" w:color="auto"/>
              <w:right w:val="single" w:sz="4" w:space="0" w:color="auto"/>
            </w:tcBorders>
            <w:shd w:val="clear" w:color="auto" w:fill="auto"/>
            <w:vAlign w:val="bottom"/>
            <w:hideMark/>
          </w:tcPr>
          <w:p w14:paraId="487A0F93" w14:textId="7F8FD9A2"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2198" w:type="dxa"/>
            <w:tcBorders>
              <w:top w:val="nil"/>
              <w:left w:val="nil"/>
              <w:bottom w:val="single" w:sz="4" w:space="0" w:color="auto"/>
              <w:right w:val="single" w:sz="4" w:space="0" w:color="auto"/>
            </w:tcBorders>
            <w:shd w:val="clear" w:color="auto" w:fill="auto"/>
            <w:noWrap/>
            <w:vAlign w:val="bottom"/>
            <w:hideMark/>
          </w:tcPr>
          <w:p w14:paraId="0DB44D47" w14:textId="3F675825"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1176" w:type="dxa"/>
            <w:tcBorders>
              <w:top w:val="nil"/>
              <w:left w:val="nil"/>
              <w:bottom w:val="single" w:sz="4" w:space="0" w:color="auto"/>
              <w:right w:val="single" w:sz="4" w:space="0" w:color="auto"/>
            </w:tcBorders>
            <w:shd w:val="clear" w:color="auto" w:fill="auto"/>
            <w:noWrap/>
            <w:vAlign w:val="bottom"/>
            <w:hideMark/>
          </w:tcPr>
          <w:p w14:paraId="59054C39" w14:textId="19AD07B5"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3B49FFB9" w14:textId="05AD8387"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20E42DF5" w14:textId="2424BF16"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364</w:t>
            </w:r>
          </w:p>
        </w:tc>
      </w:tr>
      <w:tr w:rsidR="00A14C6E" w:rsidRPr="00BA52C1" w14:paraId="6A8C32B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E292C1B" w14:textId="77777777" w:rsidR="00A14C6E" w:rsidRPr="00BA52C1" w:rsidRDefault="00A14C6E" w:rsidP="00A14C6E">
            <w:pPr>
              <w:pStyle w:val="CBDTableNormal"/>
              <w:spacing w:before="0" w:after="0"/>
              <w:rPr>
                <w:sz w:val="18"/>
                <w:szCs w:val="18"/>
                <w:lang w:val="fr-FR" w:eastAsia="en-CA"/>
              </w:rPr>
            </w:pPr>
            <w:r w:rsidRPr="00BA52C1">
              <w:rPr>
                <w:sz w:val="18"/>
                <w:szCs w:val="18"/>
                <w:lang w:val="fr-FR" w:eastAsia="en-CA"/>
              </w:rPr>
              <w:t>Congo</w:t>
            </w:r>
          </w:p>
        </w:tc>
        <w:tc>
          <w:tcPr>
            <w:tcW w:w="1628" w:type="dxa"/>
            <w:tcBorders>
              <w:top w:val="nil"/>
              <w:left w:val="nil"/>
              <w:bottom w:val="single" w:sz="4" w:space="0" w:color="auto"/>
              <w:right w:val="single" w:sz="4" w:space="0" w:color="auto"/>
            </w:tcBorders>
            <w:shd w:val="clear" w:color="auto" w:fill="auto"/>
            <w:vAlign w:val="bottom"/>
            <w:hideMark/>
          </w:tcPr>
          <w:p w14:paraId="7C8DD402" w14:textId="67A4078B"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005</w:t>
            </w:r>
          </w:p>
        </w:tc>
        <w:tc>
          <w:tcPr>
            <w:tcW w:w="2198" w:type="dxa"/>
            <w:tcBorders>
              <w:top w:val="nil"/>
              <w:left w:val="nil"/>
              <w:bottom w:val="single" w:sz="4" w:space="0" w:color="auto"/>
              <w:right w:val="single" w:sz="4" w:space="0" w:color="auto"/>
            </w:tcBorders>
            <w:shd w:val="clear" w:color="auto" w:fill="auto"/>
            <w:noWrap/>
            <w:vAlign w:val="bottom"/>
            <w:hideMark/>
          </w:tcPr>
          <w:p w14:paraId="680B4683" w14:textId="2988999F"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006</w:t>
            </w:r>
          </w:p>
        </w:tc>
        <w:tc>
          <w:tcPr>
            <w:tcW w:w="1176" w:type="dxa"/>
            <w:tcBorders>
              <w:top w:val="nil"/>
              <w:left w:val="nil"/>
              <w:bottom w:val="single" w:sz="4" w:space="0" w:color="auto"/>
              <w:right w:val="single" w:sz="4" w:space="0" w:color="auto"/>
            </w:tcBorders>
            <w:shd w:val="clear" w:color="auto" w:fill="auto"/>
            <w:noWrap/>
            <w:vAlign w:val="bottom"/>
            <w:hideMark/>
          </w:tcPr>
          <w:p w14:paraId="139CFE1D" w14:textId="56AA78F7"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880</w:t>
            </w:r>
          </w:p>
        </w:tc>
        <w:tc>
          <w:tcPr>
            <w:tcW w:w="1461" w:type="dxa"/>
            <w:tcBorders>
              <w:top w:val="nil"/>
              <w:left w:val="nil"/>
              <w:bottom w:val="single" w:sz="4" w:space="0" w:color="auto"/>
              <w:right w:val="single" w:sz="4" w:space="0" w:color="auto"/>
            </w:tcBorders>
            <w:shd w:val="clear" w:color="auto" w:fill="auto"/>
            <w:noWrap/>
            <w:vAlign w:val="bottom"/>
            <w:hideMark/>
          </w:tcPr>
          <w:p w14:paraId="08CD4EF1" w14:textId="1C6328C5"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940</w:t>
            </w:r>
          </w:p>
        </w:tc>
        <w:tc>
          <w:tcPr>
            <w:tcW w:w="1080" w:type="dxa"/>
            <w:tcBorders>
              <w:top w:val="nil"/>
              <w:left w:val="nil"/>
              <w:bottom w:val="single" w:sz="4" w:space="0" w:color="auto"/>
              <w:right w:val="single" w:sz="4" w:space="0" w:color="auto"/>
            </w:tcBorders>
            <w:shd w:val="clear" w:color="auto" w:fill="auto"/>
            <w:noWrap/>
            <w:vAlign w:val="bottom"/>
            <w:hideMark/>
          </w:tcPr>
          <w:p w14:paraId="475A3410" w14:textId="11461BB9"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1 820</w:t>
            </w:r>
          </w:p>
        </w:tc>
      </w:tr>
      <w:tr w:rsidR="00A14C6E" w:rsidRPr="00BA52C1" w14:paraId="3FC96CCC"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D4185D0" w14:textId="7EEA829B" w:rsidR="00A14C6E" w:rsidRPr="00BA52C1" w:rsidRDefault="00A14C6E" w:rsidP="00A14C6E">
            <w:pPr>
              <w:pStyle w:val="CBDTableNormal"/>
              <w:spacing w:before="0" w:after="0"/>
              <w:rPr>
                <w:sz w:val="18"/>
                <w:szCs w:val="18"/>
                <w:lang w:val="fr-FR" w:eastAsia="en-CA"/>
              </w:rPr>
            </w:pPr>
            <w:r w:rsidRPr="00BA52C1">
              <w:rPr>
                <w:sz w:val="18"/>
                <w:szCs w:val="18"/>
                <w:lang w:val="fr-FR" w:eastAsia="en-CA"/>
              </w:rPr>
              <w:t>Costa Rica</w:t>
            </w:r>
          </w:p>
        </w:tc>
        <w:tc>
          <w:tcPr>
            <w:tcW w:w="1628" w:type="dxa"/>
            <w:tcBorders>
              <w:top w:val="nil"/>
              <w:left w:val="nil"/>
              <w:bottom w:val="single" w:sz="4" w:space="0" w:color="auto"/>
              <w:right w:val="single" w:sz="4" w:space="0" w:color="auto"/>
            </w:tcBorders>
            <w:shd w:val="clear" w:color="auto" w:fill="auto"/>
            <w:vAlign w:val="bottom"/>
            <w:hideMark/>
          </w:tcPr>
          <w:p w14:paraId="05B770C8" w14:textId="6852A079"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069</w:t>
            </w:r>
          </w:p>
        </w:tc>
        <w:tc>
          <w:tcPr>
            <w:tcW w:w="2198" w:type="dxa"/>
            <w:tcBorders>
              <w:top w:val="nil"/>
              <w:left w:val="nil"/>
              <w:bottom w:val="single" w:sz="4" w:space="0" w:color="auto"/>
              <w:right w:val="single" w:sz="4" w:space="0" w:color="auto"/>
            </w:tcBorders>
            <w:shd w:val="clear" w:color="auto" w:fill="auto"/>
            <w:noWrap/>
            <w:vAlign w:val="bottom"/>
            <w:hideMark/>
          </w:tcPr>
          <w:p w14:paraId="696E51A4" w14:textId="59B0BBA1"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086</w:t>
            </w:r>
          </w:p>
        </w:tc>
        <w:tc>
          <w:tcPr>
            <w:tcW w:w="1176" w:type="dxa"/>
            <w:tcBorders>
              <w:top w:val="nil"/>
              <w:left w:val="nil"/>
              <w:bottom w:val="single" w:sz="4" w:space="0" w:color="auto"/>
              <w:right w:val="single" w:sz="4" w:space="0" w:color="auto"/>
            </w:tcBorders>
            <w:shd w:val="clear" w:color="auto" w:fill="auto"/>
            <w:noWrap/>
            <w:vAlign w:val="bottom"/>
            <w:hideMark/>
          </w:tcPr>
          <w:p w14:paraId="483EE821" w14:textId="6555D4CF"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12 144</w:t>
            </w:r>
          </w:p>
        </w:tc>
        <w:tc>
          <w:tcPr>
            <w:tcW w:w="1461" w:type="dxa"/>
            <w:tcBorders>
              <w:top w:val="nil"/>
              <w:left w:val="nil"/>
              <w:bottom w:val="single" w:sz="4" w:space="0" w:color="auto"/>
              <w:right w:val="single" w:sz="4" w:space="0" w:color="auto"/>
            </w:tcBorders>
            <w:shd w:val="clear" w:color="auto" w:fill="auto"/>
            <w:noWrap/>
            <w:vAlign w:val="bottom"/>
            <w:hideMark/>
          </w:tcPr>
          <w:p w14:paraId="305C14E1" w14:textId="6CF98315"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12 975</w:t>
            </w:r>
          </w:p>
        </w:tc>
        <w:tc>
          <w:tcPr>
            <w:tcW w:w="1080" w:type="dxa"/>
            <w:tcBorders>
              <w:top w:val="nil"/>
              <w:left w:val="nil"/>
              <w:bottom w:val="single" w:sz="4" w:space="0" w:color="auto"/>
              <w:right w:val="single" w:sz="4" w:space="0" w:color="auto"/>
            </w:tcBorders>
            <w:shd w:val="clear" w:color="auto" w:fill="auto"/>
            <w:noWrap/>
            <w:vAlign w:val="bottom"/>
            <w:hideMark/>
          </w:tcPr>
          <w:p w14:paraId="5799BBE0" w14:textId="71022A83"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25 118</w:t>
            </w:r>
          </w:p>
        </w:tc>
      </w:tr>
      <w:tr w:rsidR="00A14C6E" w:rsidRPr="00BA52C1" w14:paraId="59FB11D9"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D5FA195" w14:textId="00DFA18E" w:rsidR="00A14C6E" w:rsidRPr="00BA52C1" w:rsidRDefault="00A14C6E" w:rsidP="00A14C6E">
            <w:pPr>
              <w:pStyle w:val="CBDTableNormal"/>
              <w:spacing w:before="0" w:after="0"/>
              <w:rPr>
                <w:sz w:val="18"/>
                <w:szCs w:val="18"/>
                <w:lang w:val="fr-FR" w:eastAsia="en-CA"/>
              </w:rPr>
            </w:pPr>
            <w:r w:rsidRPr="00BA52C1">
              <w:rPr>
                <w:sz w:val="18"/>
                <w:szCs w:val="18"/>
                <w:lang w:val="fr-FR" w:eastAsia="en-CA"/>
              </w:rPr>
              <w:t>Côte d’Ivoire</w:t>
            </w:r>
          </w:p>
        </w:tc>
        <w:tc>
          <w:tcPr>
            <w:tcW w:w="1628" w:type="dxa"/>
            <w:tcBorders>
              <w:top w:val="nil"/>
              <w:left w:val="nil"/>
              <w:bottom w:val="single" w:sz="4" w:space="0" w:color="auto"/>
              <w:right w:val="single" w:sz="4" w:space="0" w:color="auto"/>
            </w:tcBorders>
            <w:shd w:val="clear" w:color="auto" w:fill="auto"/>
            <w:vAlign w:val="bottom"/>
            <w:hideMark/>
          </w:tcPr>
          <w:p w14:paraId="48C691F1" w14:textId="63D43AE1"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022</w:t>
            </w:r>
          </w:p>
        </w:tc>
        <w:tc>
          <w:tcPr>
            <w:tcW w:w="2198" w:type="dxa"/>
            <w:tcBorders>
              <w:top w:val="nil"/>
              <w:left w:val="nil"/>
              <w:bottom w:val="single" w:sz="4" w:space="0" w:color="auto"/>
              <w:right w:val="single" w:sz="4" w:space="0" w:color="auto"/>
            </w:tcBorders>
            <w:shd w:val="clear" w:color="auto" w:fill="auto"/>
            <w:noWrap/>
            <w:vAlign w:val="bottom"/>
            <w:hideMark/>
          </w:tcPr>
          <w:p w14:paraId="04D9A8F7" w14:textId="3C3228FD"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028</w:t>
            </w:r>
          </w:p>
        </w:tc>
        <w:tc>
          <w:tcPr>
            <w:tcW w:w="1176" w:type="dxa"/>
            <w:tcBorders>
              <w:top w:val="nil"/>
              <w:left w:val="nil"/>
              <w:bottom w:val="single" w:sz="4" w:space="0" w:color="auto"/>
              <w:right w:val="single" w:sz="4" w:space="0" w:color="auto"/>
            </w:tcBorders>
            <w:shd w:val="clear" w:color="auto" w:fill="auto"/>
            <w:noWrap/>
            <w:vAlign w:val="bottom"/>
            <w:hideMark/>
          </w:tcPr>
          <w:p w14:paraId="2D33BA1D" w14:textId="3C4C1A57"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3 872</w:t>
            </w:r>
          </w:p>
        </w:tc>
        <w:tc>
          <w:tcPr>
            <w:tcW w:w="1461" w:type="dxa"/>
            <w:tcBorders>
              <w:top w:val="nil"/>
              <w:left w:val="nil"/>
              <w:bottom w:val="single" w:sz="4" w:space="0" w:color="auto"/>
              <w:right w:val="single" w:sz="4" w:space="0" w:color="auto"/>
            </w:tcBorders>
            <w:shd w:val="clear" w:color="auto" w:fill="auto"/>
            <w:noWrap/>
            <w:vAlign w:val="bottom"/>
            <w:hideMark/>
          </w:tcPr>
          <w:p w14:paraId="3477AEB9" w14:textId="31C2ADEF"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4 137</w:t>
            </w:r>
          </w:p>
        </w:tc>
        <w:tc>
          <w:tcPr>
            <w:tcW w:w="1080" w:type="dxa"/>
            <w:tcBorders>
              <w:top w:val="nil"/>
              <w:left w:val="nil"/>
              <w:bottom w:val="single" w:sz="4" w:space="0" w:color="auto"/>
              <w:right w:val="single" w:sz="4" w:space="0" w:color="auto"/>
            </w:tcBorders>
            <w:shd w:val="clear" w:color="auto" w:fill="auto"/>
            <w:noWrap/>
            <w:vAlign w:val="bottom"/>
            <w:hideMark/>
          </w:tcPr>
          <w:p w14:paraId="6E76ADEB" w14:textId="0487ED0A"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8 009</w:t>
            </w:r>
          </w:p>
        </w:tc>
      </w:tr>
      <w:tr w:rsidR="00A14C6E" w:rsidRPr="00BA52C1" w14:paraId="09A2DA88"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FE886E1" w14:textId="27BF9061" w:rsidR="00A14C6E" w:rsidRPr="00BA52C1" w:rsidRDefault="00A14C6E" w:rsidP="00A14C6E">
            <w:pPr>
              <w:pStyle w:val="CBDTableNormal"/>
              <w:spacing w:before="0" w:after="0"/>
              <w:rPr>
                <w:sz w:val="18"/>
                <w:szCs w:val="18"/>
                <w:lang w:val="fr-FR" w:eastAsia="en-CA"/>
              </w:rPr>
            </w:pPr>
            <w:r w:rsidRPr="00BA52C1">
              <w:rPr>
                <w:sz w:val="18"/>
                <w:szCs w:val="18"/>
                <w:lang w:val="fr-FR" w:eastAsia="en-CA"/>
              </w:rPr>
              <w:t>Croati</w:t>
            </w:r>
            <w:r w:rsidR="00D152DA">
              <w:rPr>
                <w:sz w:val="18"/>
                <w:szCs w:val="18"/>
                <w:lang w:val="fr-FR" w:eastAsia="en-CA"/>
              </w:rPr>
              <w:t>e</w:t>
            </w:r>
          </w:p>
        </w:tc>
        <w:tc>
          <w:tcPr>
            <w:tcW w:w="1628" w:type="dxa"/>
            <w:tcBorders>
              <w:top w:val="nil"/>
              <w:left w:val="nil"/>
              <w:bottom w:val="single" w:sz="4" w:space="0" w:color="auto"/>
              <w:right w:val="single" w:sz="4" w:space="0" w:color="auto"/>
            </w:tcBorders>
            <w:shd w:val="clear" w:color="auto" w:fill="auto"/>
            <w:vAlign w:val="bottom"/>
            <w:hideMark/>
          </w:tcPr>
          <w:p w14:paraId="668B1F6E" w14:textId="2767A295"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091</w:t>
            </w:r>
          </w:p>
        </w:tc>
        <w:tc>
          <w:tcPr>
            <w:tcW w:w="2198" w:type="dxa"/>
            <w:tcBorders>
              <w:top w:val="nil"/>
              <w:left w:val="nil"/>
              <w:bottom w:val="single" w:sz="4" w:space="0" w:color="auto"/>
              <w:right w:val="single" w:sz="4" w:space="0" w:color="auto"/>
            </w:tcBorders>
            <w:shd w:val="clear" w:color="auto" w:fill="auto"/>
            <w:noWrap/>
            <w:vAlign w:val="bottom"/>
            <w:hideMark/>
          </w:tcPr>
          <w:p w14:paraId="0241B9EC" w14:textId="7B5E4349"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114</w:t>
            </w:r>
          </w:p>
        </w:tc>
        <w:tc>
          <w:tcPr>
            <w:tcW w:w="1176" w:type="dxa"/>
            <w:tcBorders>
              <w:top w:val="nil"/>
              <w:left w:val="nil"/>
              <w:bottom w:val="single" w:sz="4" w:space="0" w:color="auto"/>
              <w:right w:val="single" w:sz="4" w:space="0" w:color="auto"/>
            </w:tcBorders>
            <w:shd w:val="clear" w:color="auto" w:fill="auto"/>
            <w:noWrap/>
            <w:vAlign w:val="bottom"/>
            <w:hideMark/>
          </w:tcPr>
          <w:p w14:paraId="2E8648FC" w14:textId="25181A54"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16 015</w:t>
            </w:r>
          </w:p>
        </w:tc>
        <w:tc>
          <w:tcPr>
            <w:tcW w:w="1461" w:type="dxa"/>
            <w:tcBorders>
              <w:top w:val="nil"/>
              <w:left w:val="nil"/>
              <w:bottom w:val="single" w:sz="4" w:space="0" w:color="auto"/>
              <w:right w:val="single" w:sz="4" w:space="0" w:color="auto"/>
            </w:tcBorders>
            <w:shd w:val="clear" w:color="auto" w:fill="auto"/>
            <w:noWrap/>
            <w:vAlign w:val="bottom"/>
            <w:hideMark/>
          </w:tcPr>
          <w:p w14:paraId="70AAB281" w14:textId="24F3A50E"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17 111</w:t>
            </w:r>
          </w:p>
        </w:tc>
        <w:tc>
          <w:tcPr>
            <w:tcW w:w="1080" w:type="dxa"/>
            <w:tcBorders>
              <w:top w:val="nil"/>
              <w:left w:val="nil"/>
              <w:bottom w:val="single" w:sz="4" w:space="0" w:color="auto"/>
              <w:right w:val="single" w:sz="4" w:space="0" w:color="auto"/>
            </w:tcBorders>
            <w:shd w:val="clear" w:color="auto" w:fill="auto"/>
            <w:noWrap/>
            <w:vAlign w:val="bottom"/>
            <w:hideMark/>
          </w:tcPr>
          <w:p w14:paraId="5F8EF03A" w14:textId="26331494"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33 127</w:t>
            </w:r>
          </w:p>
        </w:tc>
      </w:tr>
      <w:tr w:rsidR="00A14C6E" w:rsidRPr="00BA52C1" w14:paraId="5D4E7711"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7A657BE" w14:textId="77777777" w:rsidR="00A14C6E" w:rsidRPr="00BA52C1" w:rsidRDefault="00A14C6E" w:rsidP="00A14C6E">
            <w:pPr>
              <w:pStyle w:val="CBDTableNormal"/>
              <w:spacing w:before="0" w:after="0"/>
              <w:rPr>
                <w:sz w:val="18"/>
                <w:szCs w:val="18"/>
                <w:lang w:val="fr-FR" w:eastAsia="en-CA"/>
              </w:rPr>
            </w:pPr>
            <w:r w:rsidRPr="00BA52C1">
              <w:rPr>
                <w:sz w:val="18"/>
                <w:szCs w:val="18"/>
                <w:lang w:val="fr-FR" w:eastAsia="en-CA"/>
              </w:rPr>
              <w:t>Cuba</w:t>
            </w:r>
          </w:p>
        </w:tc>
        <w:tc>
          <w:tcPr>
            <w:tcW w:w="1628" w:type="dxa"/>
            <w:tcBorders>
              <w:top w:val="nil"/>
              <w:left w:val="nil"/>
              <w:bottom w:val="single" w:sz="4" w:space="0" w:color="auto"/>
              <w:right w:val="single" w:sz="4" w:space="0" w:color="auto"/>
            </w:tcBorders>
            <w:shd w:val="clear" w:color="auto" w:fill="auto"/>
            <w:vAlign w:val="bottom"/>
            <w:hideMark/>
          </w:tcPr>
          <w:p w14:paraId="5380E0AD" w14:textId="7375849F"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095</w:t>
            </w:r>
          </w:p>
        </w:tc>
        <w:tc>
          <w:tcPr>
            <w:tcW w:w="2198" w:type="dxa"/>
            <w:tcBorders>
              <w:top w:val="nil"/>
              <w:left w:val="nil"/>
              <w:bottom w:val="single" w:sz="4" w:space="0" w:color="auto"/>
              <w:right w:val="single" w:sz="4" w:space="0" w:color="auto"/>
            </w:tcBorders>
            <w:shd w:val="clear" w:color="auto" w:fill="auto"/>
            <w:noWrap/>
            <w:vAlign w:val="bottom"/>
            <w:hideMark/>
          </w:tcPr>
          <w:p w14:paraId="12381FB9" w14:textId="53528F46"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119</w:t>
            </w:r>
          </w:p>
        </w:tc>
        <w:tc>
          <w:tcPr>
            <w:tcW w:w="1176" w:type="dxa"/>
            <w:tcBorders>
              <w:top w:val="nil"/>
              <w:left w:val="nil"/>
              <w:bottom w:val="single" w:sz="4" w:space="0" w:color="auto"/>
              <w:right w:val="single" w:sz="4" w:space="0" w:color="auto"/>
            </w:tcBorders>
            <w:shd w:val="clear" w:color="auto" w:fill="auto"/>
            <w:noWrap/>
            <w:vAlign w:val="bottom"/>
            <w:hideMark/>
          </w:tcPr>
          <w:p w14:paraId="0E25ABA4" w14:textId="166303A7"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16 719</w:t>
            </w:r>
          </w:p>
        </w:tc>
        <w:tc>
          <w:tcPr>
            <w:tcW w:w="1461" w:type="dxa"/>
            <w:tcBorders>
              <w:top w:val="nil"/>
              <w:left w:val="nil"/>
              <w:bottom w:val="single" w:sz="4" w:space="0" w:color="auto"/>
              <w:right w:val="single" w:sz="4" w:space="0" w:color="auto"/>
            </w:tcBorders>
            <w:shd w:val="clear" w:color="auto" w:fill="auto"/>
            <w:noWrap/>
            <w:vAlign w:val="bottom"/>
            <w:hideMark/>
          </w:tcPr>
          <w:p w14:paraId="5636653B" w14:textId="62CF1644"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17 863</w:t>
            </w:r>
          </w:p>
        </w:tc>
        <w:tc>
          <w:tcPr>
            <w:tcW w:w="1080" w:type="dxa"/>
            <w:tcBorders>
              <w:top w:val="nil"/>
              <w:left w:val="nil"/>
              <w:bottom w:val="single" w:sz="4" w:space="0" w:color="auto"/>
              <w:right w:val="single" w:sz="4" w:space="0" w:color="auto"/>
            </w:tcBorders>
            <w:shd w:val="clear" w:color="auto" w:fill="auto"/>
            <w:noWrap/>
            <w:vAlign w:val="bottom"/>
            <w:hideMark/>
          </w:tcPr>
          <w:p w14:paraId="7FD65A2D" w14:textId="56590193"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34 583</w:t>
            </w:r>
          </w:p>
        </w:tc>
      </w:tr>
      <w:tr w:rsidR="00A14C6E" w:rsidRPr="00BA52C1" w14:paraId="76CC7DB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3901351" w14:textId="325304A6" w:rsidR="00A14C6E" w:rsidRPr="00BA52C1" w:rsidRDefault="00A14C6E" w:rsidP="00A14C6E">
            <w:pPr>
              <w:pStyle w:val="CBDTableNormal"/>
              <w:spacing w:before="0" w:after="0"/>
              <w:rPr>
                <w:sz w:val="18"/>
                <w:szCs w:val="18"/>
                <w:lang w:val="fr-FR" w:eastAsia="en-CA"/>
              </w:rPr>
            </w:pPr>
            <w:r w:rsidRPr="00BA52C1">
              <w:rPr>
                <w:sz w:val="18"/>
                <w:szCs w:val="18"/>
                <w:lang w:val="fr-FR" w:eastAsia="en-CA"/>
              </w:rPr>
              <w:t>D</w:t>
            </w:r>
            <w:r w:rsidR="00D152DA">
              <w:rPr>
                <w:sz w:val="18"/>
                <w:szCs w:val="18"/>
                <w:lang w:val="fr-FR" w:eastAsia="en-CA"/>
              </w:rPr>
              <w:t>a</w:t>
            </w:r>
            <w:r w:rsidRPr="00BA52C1">
              <w:rPr>
                <w:sz w:val="18"/>
                <w:szCs w:val="18"/>
                <w:lang w:val="fr-FR" w:eastAsia="en-CA"/>
              </w:rPr>
              <w:t>n</w:t>
            </w:r>
            <w:r w:rsidR="00D152DA">
              <w:rPr>
                <w:sz w:val="18"/>
                <w:szCs w:val="18"/>
                <w:lang w:val="fr-FR" w:eastAsia="en-CA"/>
              </w:rPr>
              <w:t>e</w:t>
            </w:r>
            <w:r w:rsidRPr="00BA52C1">
              <w:rPr>
                <w:sz w:val="18"/>
                <w:szCs w:val="18"/>
                <w:lang w:val="fr-FR" w:eastAsia="en-CA"/>
              </w:rPr>
              <w:t>mark</w:t>
            </w:r>
          </w:p>
        </w:tc>
        <w:tc>
          <w:tcPr>
            <w:tcW w:w="1628" w:type="dxa"/>
            <w:tcBorders>
              <w:top w:val="nil"/>
              <w:left w:val="nil"/>
              <w:bottom w:val="single" w:sz="4" w:space="0" w:color="auto"/>
              <w:right w:val="single" w:sz="4" w:space="0" w:color="auto"/>
            </w:tcBorders>
            <w:shd w:val="clear" w:color="auto" w:fill="auto"/>
            <w:vAlign w:val="bottom"/>
            <w:hideMark/>
          </w:tcPr>
          <w:p w14:paraId="3941E610" w14:textId="45515473"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553</w:t>
            </w:r>
          </w:p>
        </w:tc>
        <w:tc>
          <w:tcPr>
            <w:tcW w:w="2198" w:type="dxa"/>
            <w:tcBorders>
              <w:top w:val="nil"/>
              <w:left w:val="nil"/>
              <w:bottom w:val="single" w:sz="4" w:space="0" w:color="auto"/>
              <w:right w:val="single" w:sz="4" w:space="0" w:color="auto"/>
            </w:tcBorders>
            <w:shd w:val="clear" w:color="auto" w:fill="auto"/>
            <w:noWrap/>
            <w:vAlign w:val="bottom"/>
            <w:hideMark/>
          </w:tcPr>
          <w:p w14:paraId="3023D346" w14:textId="10D28B48"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691</w:t>
            </w:r>
          </w:p>
        </w:tc>
        <w:tc>
          <w:tcPr>
            <w:tcW w:w="1176" w:type="dxa"/>
            <w:tcBorders>
              <w:top w:val="nil"/>
              <w:left w:val="nil"/>
              <w:bottom w:val="single" w:sz="4" w:space="0" w:color="auto"/>
              <w:right w:val="single" w:sz="4" w:space="0" w:color="auto"/>
            </w:tcBorders>
            <w:shd w:val="clear" w:color="auto" w:fill="auto"/>
            <w:noWrap/>
            <w:vAlign w:val="bottom"/>
            <w:hideMark/>
          </w:tcPr>
          <w:p w14:paraId="696CE7A3" w14:textId="39904639"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97 325</w:t>
            </w:r>
          </w:p>
        </w:tc>
        <w:tc>
          <w:tcPr>
            <w:tcW w:w="1461" w:type="dxa"/>
            <w:tcBorders>
              <w:top w:val="nil"/>
              <w:left w:val="nil"/>
              <w:bottom w:val="single" w:sz="4" w:space="0" w:color="auto"/>
              <w:right w:val="single" w:sz="4" w:space="0" w:color="auto"/>
            </w:tcBorders>
            <w:shd w:val="clear" w:color="auto" w:fill="auto"/>
            <w:noWrap/>
            <w:vAlign w:val="bottom"/>
            <w:hideMark/>
          </w:tcPr>
          <w:p w14:paraId="11FF55CC" w14:textId="6AEDFA36"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103 984</w:t>
            </w:r>
          </w:p>
        </w:tc>
        <w:tc>
          <w:tcPr>
            <w:tcW w:w="1080" w:type="dxa"/>
            <w:tcBorders>
              <w:top w:val="nil"/>
              <w:left w:val="nil"/>
              <w:bottom w:val="single" w:sz="4" w:space="0" w:color="auto"/>
              <w:right w:val="single" w:sz="4" w:space="0" w:color="auto"/>
            </w:tcBorders>
            <w:shd w:val="clear" w:color="auto" w:fill="auto"/>
            <w:noWrap/>
            <w:vAlign w:val="bottom"/>
            <w:hideMark/>
          </w:tcPr>
          <w:p w14:paraId="0B8B3713" w14:textId="205A6EC8"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201 309</w:t>
            </w:r>
          </w:p>
        </w:tc>
      </w:tr>
      <w:tr w:rsidR="00A14C6E" w:rsidRPr="00BA52C1" w14:paraId="657E5730"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DFF9698" w14:textId="77777777" w:rsidR="00A14C6E" w:rsidRPr="00BA52C1" w:rsidRDefault="00A14C6E" w:rsidP="00A14C6E">
            <w:pPr>
              <w:pStyle w:val="CBDTableNormal"/>
              <w:spacing w:before="0" w:after="0"/>
              <w:rPr>
                <w:sz w:val="18"/>
                <w:szCs w:val="18"/>
                <w:lang w:val="fr-FR" w:eastAsia="en-CA"/>
              </w:rPr>
            </w:pPr>
            <w:r w:rsidRPr="00BA52C1">
              <w:rPr>
                <w:sz w:val="18"/>
                <w:szCs w:val="18"/>
                <w:lang w:val="fr-FR" w:eastAsia="en-CA"/>
              </w:rPr>
              <w:t>Djibouti</w:t>
            </w:r>
          </w:p>
        </w:tc>
        <w:tc>
          <w:tcPr>
            <w:tcW w:w="1628" w:type="dxa"/>
            <w:tcBorders>
              <w:top w:val="nil"/>
              <w:left w:val="nil"/>
              <w:bottom w:val="single" w:sz="4" w:space="0" w:color="auto"/>
              <w:right w:val="single" w:sz="4" w:space="0" w:color="auto"/>
            </w:tcBorders>
            <w:shd w:val="clear" w:color="auto" w:fill="auto"/>
            <w:vAlign w:val="bottom"/>
            <w:hideMark/>
          </w:tcPr>
          <w:p w14:paraId="71411936" w14:textId="4857F979"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2198" w:type="dxa"/>
            <w:tcBorders>
              <w:top w:val="nil"/>
              <w:left w:val="nil"/>
              <w:bottom w:val="single" w:sz="4" w:space="0" w:color="auto"/>
              <w:right w:val="single" w:sz="4" w:space="0" w:color="auto"/>
            </w:tcBorders>
            <w:shd w:val="clear" w:color="auto" w:fill="auto"/>
            <w:noWrap/>
            <w:vAlign w:val="bottom"/>
            <w:hideMark/>
          </w:tcPr>
          <w:p w14:paraId="69711E35" w14:textId="17D4F9EB"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1176" w:type="dxa"/>
            <w:tcBorders>
              <w:top w:val="nil"/>
              <w:left w:val="nil"/>
              <w:bottom w:val="single" w:sz="4" w:space="0" w:color="auto"/>
              <w:right w:val="single" w:sz="4" w:space="0" w:color="auto"/>
            </w:tcBorders>
            <w:shd w:val="clear" w:color="auto" w:fill="auto"/>
            <w:noWrap/>
            <w:vAlign w:val="bottom"/>
            <w:hideMark/>
          </w:tcPr>
          <w:p w14:paraId="33A0BF2E" w14:textId="29FC0CFA"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38D31F14" w14:textId="6CF48EDD"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165C142A" w14:textId="55209B6F"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364</w:t>
            </w:r>
          </w:p>
        </w:tc>
      </w:tr>
      <w:tr w:rsidR="00A14C6E" w:rsidRPr="00BA52C1" w14:paraId="299B12D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AE3B4AA" w14:textId="6A5A05C6" w:rsidR="00A14C6E" w:rsidRPr="00BA52C1" w:rsidRDefault="00A14C6E" w:rsidP="00A14C6E">
            <w:pPr>
              <w:pStyle w:val="CBDTableNormal"/>
              <w:spacing w:before="0" w:after="0"/>
              <w:rPr>
                <w:sz w:val="18"/>
                <w:szCs w:val="18"/>
                <w:lang w:val="fr-FR" w:eastAsia="en-CA"/>
              </w:rPr>
            </w:pPr>
            <w:r w:rsidRPr="00BA52C1">
              <w:rPr>
                <w:sz w:val="18"/>
                <w:szCs w:val="18"/>
                <w:lang w:val="fr-FR" w:eastAsia="en-CA"/>
              </w:rPr>
              <w:t>Domin</w:t>
            </w:r>
            <w:r w:rsidR="00D152DA">
              <w:rPr>
                <w:sz w:val="18"/>
                <w:szCs w:val="18"/>
                <w:lang w:val="fr-FR" w:eastAsia="en-CA"/>
              </w:rPr>
              <w:t>ique</w:t>
            </w:r>
          </w:p>
        </w:tc>
        <w:tc>
          <w:tcPr>
            <w:tcW w:w="1628" w:type="dxa"/>
            <w:tcBorders>
              <w:top w:val="nil"/>
              <w:left w:val="nil"/>
              <w:bottom w:val="single" w:sz="4" w:space="0" w:color="auto"/>
              <w:right w:val="single" w:sz="4" w:space="0" w:color="auto"/>
            </w:tcBorders>
            <w:shd w:val="clear" w:color="auto" w:fill="auto"/>
            <w:vAlign w:val="bottom"/>
            <w:hideMark/>
          </w:tcPr>
          <w:p w14:paraId="4C96AAA2" w14:textId="544937E1"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2198" w:type="dxa"/>
            <w:tcBorders>
              <w:top w:val="nil"/>
              <w:left w:val="nil"/>
              <w:bottom w:val="single" w:sz="4" w:space="0" w:color="auto"/>
              <w:right w:val="single" w:sz="4" w:space="0" w:color="auto"/>
            </w:tcBorders>
            <w:shd w:val="clear" w:color="auto" w:fill="auto"/>
            <w:noWrap/>
            <w:vAlign w:val="bottom"/>
            <w:hideMark/>
          </w:tcPr>
          <w:p w14:paraId="4B1CF0A0" w14:textId="2901178F"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1176" w:type="dxa"/>
            <w:tcBorders>
              <w:top w:val="nil"/>
              <w:left w:val="nil"/>
              <w:bottom w:val="single" w:sz="4" w:space="0" w:color="auto"/>
              <w:right w:val="single" w:sz="4" w:space="0" w:color="auto"/>
            </w:tcBorders>
            <w:shd w:val="clear" w:color="auto" w:fill="auto"/>
            <w:noWrap/>
            <w:vAlign w:val="bottom"/>
            <w:hideMark/>
          </w:tcPr>
          <w:p w14:paraId="304819EB" w14:textId="0FB3C91A"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59172682" w14:textId="422F03D2"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682D36C5" w14:textId="073A3841" w:rsidR="00A14C6E" w:rsidRPr="00BA52C1" w:rsidRDefault="00A14C6E" w:rsidP="00A14C6E">
            <w:pPr>
              <w:pStyle w:val="CBDTableNormal"/>
              <w:spacing w:before="0" w:after="0"/>
              <w:jc w:val="right"/>
              <w:rPr>
                <w:sz w:val="18"/>
                <w:szCs w:val="18"/>
                <w:lang w:val="fr-FR" w:eastAsia="en-CA"/>
              </w:rPr>
            </w:pPr>
            <w:r w:rsidRPr="00BA52C1">
              <w:rPr>
                <w:sz w:val="18"/>
                <w:szCs w:val="18"/>
                <w:lang w:val="fr-FR" w:eastAsia="en-CA"/>
              </w:rPr>
              <w:t>364</w:t>
            </w:r>
          </w:p>
        </w:tc>
      </w:tr>
      <w:tr w:rsidR="00625F10" w:rsidRPr="00BA52C1" w14:paraId="4F5D3EF2" w14:textId="77777777" w:rsidTr="00D152DA">
        <w:tc>
          <w:tcPr>
            <w:tcW w:w="1880" w:type="dxa"/>
            <w:tcBorders>
              <w:top w:val="nil"/>
              <w:left w:val="single" w:sz="4" w:space="0" w:color="auto"/>
              <w:bottom w:val="single" w:sz="4" w:space="0" w:color="auto"/>
              <w:right w:val="single" w:sz="4" w:space="0" w:color="auto"/>
            </w:tcBorders>
            <w:shd w:val="clear" w:color="auto" w:fill="auto"/>
            <w:vAlign w:val="bottom"/>
          </w:tcPr>
          <w:p w14:paraId="3D2E6B77" w14:textId="634D3B12" w:rsidR="00625F10" w:rsidRPr="00BA52C1" w:rsidRDefault="00625F10" w:rsidP="00625F10">
            <w:pPr>
              <w:pStyle w:val="CBDTableNormal"/>
              <w:spacing w:before="0" w:after="0"/>
              <w:rPr>
                <w:sz w:val="18"/>
                <w:szCs w:val="18"/>
                <w:lang w:val="fr-FR" w:eastAsia="en-CA"/>
              </w:rPr>
            </w:pPr>
            <w:r>
              <w:rPr>
                <w:sz w:val="18"/>
                <w:szCs w:val="18"/>
                <w:lang w:val="fr-FR" w:eastAsia="en-CA"/>
              </w:rPr>
              <w:t>Égypte</w:t>
            </w:r>
          </w:p>
        </w:tc>
        <w:tc>
          <w:tcPr>
            <w:tcW w:w="1628" w:type="dxa"/>
            <w:tcBorders>
              <w:top w:val="nil"/>
              <w:left w:val="nil"/>
              <w:bottom w:val="single" w:sz="4" w:space="0" w:color="auto"/>
              <w:right w:val="single" w:sz="4" w:space="0" w:color="auto"/>
            </w:tcBorders>
            <w:shd w:val="clear" w:color="auto" w:fill="auto"/>
            <w:vAlign w:val="bottom"/>
          </w:tcPr>
          <w:p w14:paraId="38DD9843" w14:textId="43818EAC"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139</w:t>
            </w:r>
          </w:p>
        </w:tc>
        <w:tc>
          <w:tcPr>
            <w:tcW w:w="2198" w:type="dxa"/>
            <w:tcBorders>
              <w:top w:val="nil"/>
              <w:left w:val="nil"/>
              <w:bottom w:val="single" w:sz="4" w:space="0" w:color="auto"/>
              <w:right w:val="single" w:sz="4" w:space="0" w:color="auto"/>
            </w:tcBorders>
            <w:shd w:val="clear" w:color="auto" w:fill="auto"/>
            <w:noWrap/>
            <w:vAlign w:val="bottom"/>
          </w:tcPr>
          <w:p w14:paraId="282708A0" w14:textId="5C4B47EE"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174</w:t>
            </w:r>
          </w:p>
        </w:tc>
        <w:tc>
          <w:tcPr>
            <w:tcW w:w="1176" w:type="dxa"/>
            <w:tcBorders>
              <w:top w:val="nil"/>
              <w:left w:val="nil"/>
              <w:bottom w:val="single" w:sz="4" w:space="0" w:color="auto"/>
              <w:right w:val="single" w:sz="4" w:space="0" w:color="auto"/>
            </w:tcBorders>
            <w:shd w:val="clear" w:color="auto" w:fill="auto"/>
            <w:noWrap/>
            <w:vAlign w:val="bottom"/>
          </w:tcPr>
          <w:p w14:paraId="7C82A422" w14:textId="4F13616F"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24 463</w:t>
            </w:r>
          </w:p>
        </w:tc>
        <w:tc>
          <w:tcPr>
            <w:tcW w:w="1461" w:type="dxa"/>
            <w:tcBorders>
              <w:top w:val="nil"/>
              <w:left w:val="nil"/>
              <w:bottom w:val="single" w:sz="4" w:space="0" w:color="auto"/>
              <w:right w:val="single" w:sz="4" w:space="0" w:color="auto"/>
            </w:tcBorders>
            <w:shd w:val="clear" w:color="auto" w:fill="auto"/>
            <w:noWrap/>
            <w:vAlign w:val="bottom"/>
          </w:tcPr>
          <w:p w14:paraId="3ADFAD87" w14:textId="358DAF59"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26 137</w:t>
            </w:r>
          </w:p>
        </w:tc>
        <w:tc>
          <w:tcPr>
            <w:tcW w:w="1080" w:type="dxa"/>
            <w:tcBorders>
              <w:top w:val="nil"/>
              <w:left w:val="nil"/>
              <w:bottom w:val="single" w:sz="4" w:space="0" w:color="auto"/>
              <w:right w:val="single" w:sz="4" w:space="0" w:color="auto"/>
            </w:tcBorders>
            <w:shd w:val="clear" w:color="auto" w:fill="auto"/>
            <w:noWrap/>
            <w:vAlign w:val="bottom"/>
          </w:tcPr>
          <w:p w14:paraId="3210F394" w14:textId="178CC2E0"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50 600</w:t>
            </w:r>
          </w:p>
        </w:tc>
      </w:tr>
      <w:tr w:rsidR="00625F10" w:rsidRPr="00BA52C1" w14:paraId="31276290" w14:textId="77777777" w:rsidTr="00D152DA">
        <w:tc>
          <w:tcPr>
            <w:tcW w:w="1880" w:type="dxa"/>
            <w:tcBorders>
              <w:top w:val="nil"/>
              <w:left w:val="single" w:sz="4" w:space="0" w:color="auto"/>
              <w:bottom w:val="single" w:sz="4" w:space="0" w:color="auto"/>
              <w:right w:val="single" w:sz="4" w:space="0" w:color="auto"/>
            </w:tcBorders>
            <w:shd w:val="clear" w:color="auto" w:fill="auto"/>
            <w:vAlign w:val="bottom"/>
          </w:tcPr>
          <w:p w14:paraId="457EFBE3" w14:textId="13343869" w:rsidR="00625F10" w:rsidRDefault="00625F10" w:rsidP="00625F10">
            <w:pPr>
              <w:pStyle w:val="CBDTableNormal"/>
              <w:spacing w:before="0" w:after="0"/>
              <w:rPr>
                <w:sz w:val="18"/>
                <w:szCs w:val="18"/>
                <w:lang w:val="fr-FR" w:eastAsia="en-CA"/>
              </w:rPr>
            </w:pPr>
            <w:r w:rsidRPr="00BA52C1">
              <w:rPr>
                <w:sz w:val="18"/>
                <w:szCs w:val="18"/>
                <w:lang w:val="fr-FR" w:eastAsia="en-CA"/>
              </w:rPr>
              <w:lastRenderedPageBreak/>
              <w:t>El Salvador</w:t>
            </w:r>
          </w:p>
        </w:tc>
        <w:tc>
          <w:tcPr>
            <w:tcW w:w="1628" w:type="dxa"/>
            <w:tcBorders>
              <w:top w:val="nil"/>
              <w:left w:val="nil"/>
              <w:bottom w:val="single" w:sz="4" w:space="0" w:color="auto"/>
              <w:right w:val="single" w:sz="4" w:space="0" w:color="auto"/>
            </w:tcBorders>
            <w:shd w:val="clear" w:color="auto" w:fill="auto"/>
            <w:vAlign w:val="bottom"/>
          </w:tcPr>
          <w:p w14:paraId="33920DD4" w14:textId="5564DF4C"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013</w:t>
            </w:r>
          </w:p>
        </w:tc>
        <w:tc>
          <w:tcPr>
            <w:tcW w:w="2198" w:type="dxa"/>
            <w:tcBorders>
              <w:top w:val="nil"/>
              <w:left w:val="nil"/>
              <w:bottom w:val="single" w:sz="4" w:space="0" w:color="auto"/>
              <w:right w:val="single" w:sz="4" w:space="0" w:color="auto"/>
            </w:tcBorders>
            <w:shd w:val="clear" w:color="auto" w:fill="auto"/>
            <w:noWrap/>
            <w:vAlign w:val="bottom"/>
          </w:tcPr>
          <w:p w14:paraId="05295A1B" w14:textId="19D74792"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016</w:t>
            </w:r>
          </w:p>
        </w:tc>
        <w:tc>
          <w:tcPr>
            <w:tcW w:w="1176" w:type="dxa"/>
            <w:tcBorders>
              <w:top w:val="nil"/>
              <w:left w:val="nil"/>
              <w:bottom w:val="single" w:sz="4" w:space="0" w:color="auto"/>
              <w:right w:val="single" w:sz="4" w:space="0" w:color="auto"/>
            </w:tcBorders>
            <w:shd w:val="clear" w:color="auto" w:fill="auto"/>
            <w:noWrap/>
            <w:vAlign w:val="bottom"/>
          </w:tcPr>
          <w:p w14:paraId="1E727A5A" w14:textId="72E16129"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2 288</w:t>
            </w:r>
          </w:p>
        </w:tc>
        <w:tc>
          <w:tcPr>
            <w:tcW w:w="1461" w:type="dxa"/>
            <w:tcBorders>
              <w:top w:val="nil"/>
              <w:left w:val="nil"/>
              <w:bottom w:val="single" w:sz="4" w:space="0" w:color="auto"/>
              <w:right w:val="single" w:sz="4" w:space="0" w:color="auto"/>
            </w:tcBorders>
            <w:shd w:val="clear" w:color="auto" w:fill="auto"/>
            <w:noWrap/>
            <w:vAlign w:val="bottom"/>
          </w:tcPr>
          <w:p w14:paraId="28CC9F8B" w14:textId="4B5959C8"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2 444</w:t>
            </w:r>
          </w:p>
        </w:tc>
        <w:tc>
          <w:tcPr>
            <w:tcW w:w="1080" w:type="dxa"/>
            <w:tcBorders>
              <w:top w:val="nil"/>
              <w:left w:val="nil"/>
              <w:bottom w:val="single" w:sz="4" w:space="0" w:color="auto"/>
              <w:right w:val="single" w:sz="4" w:space="0" w:color="auto"/>
            </w:tcBorders>
            <w:shd w:val="clear" w:color="auto" w:fill="auto"/>
            <w:noWrap/>
            <w:vAlign w:val="bottom"/>
          </w:tcPr>
          <w:p w14:paraId="4D1170F6" w14:textId="3DD6191C"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4 732</w:t>
            </w:r>
          </w:p>
        </w:tc>
      </w:tr>
      <w:tr w:rsidR="00625F10" w:rsidRPr="00BA52C1" w14:paraId="57E90BFE" w14:textId="77777777" w:rsidTr="00D152DA">
        <w:tc>
          <w:tcPr>
            <w:tcW w:w="1880" w:type="dxa"/>
            <w:tcBorders>
              <w:top w:val="nil"/>
              <w:left w:val="single" w:sz="4" w:space="0" w:color="auto"/>
              <w:bottom w:val="single" w:sz="4" w:space="0" w:color="auto"/>
              <w:right w:val="single" w:sz="4" w:space="0" w:color="auto"/>
            </w:tcBorders>
            <w:shd w:val="clear" w:color="auto" w:fill="auto"/>
            <w:vAlign w:val="bottom"/>
          </w:tcPr>
          <w:p w14:paraId="6140FE56" w14:textId="1B33F49C" w:rsidR="00625F10" w:rsidRPr="00BA52C1" w:rsidRDefault="00625F10" w:rsidP="00625F10">
            <w:pPr>
              <w:pStyle w:val="CBDTableNormal"/>
              <w:spacing w:before="0" w:after="0"/>
              <w:rPr>
                <w:sz w:val="18"/>
                <w:szCs w:val="18"/>
                <w:lang w:val="fr-FR" w:eastAsia="en-CA"/>
              </w:rPr>
            </w:pPr>
            <w:r>
              <w:rPr>
                <w:sz w:val="18"/>
                <w:szCs w:val="18"/>
                <w:lang w:val="fr-FR" w:eastAsia="en-CA"/>
              </w:rPr>
              <w:t>Émirats arabes unis</w:t>
            </w:r>
          </w:p>
        </w:tc>
        <w:tc>
          <w:tcPr>
            <w:tcW w:w="1628" w:type="dxa"/>
            <w:tcBorders>
              <w:top w:val="nil"/>
              <w:left w:val="nil"/>
              <w:bottom w:val="single" w:sz="4" w:space="0" w:color="auto"/>
              <w:right w:val="single" w:sz="4" w:space="0" w:color="auto"/>
            </w:tcBorders>
            <w:shd w:val="clear" w:color="auto" w:fill="auto"/>
            <w:vAlign w:val="bottom"/>
          </w:tcPr>
          <w:p w14:paraId="156A1511" w14:textId="4F009BE9"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635</w:t>
            </w:r>
          </w:p>
        </w:tc>
        <w:tc>
          <w:tcPr>
            <w:tcW w:w="2198" w:type="dxa"/>
            <w:tcBorders>
              <w:top w:val="nil"/>
              <w:left w:val="nil"/>
              <w:bottom w:val="single" w:sz="4" w:space="0" w:color="auto"/>
              <w:right w:val="single" w:sz="4" w:space="0" w:color="auto"/>
            </w:tcBorders>
            <w:shd w:val="clear" w:color="auto" w:fill="auto"/>
            <w:noWrap/>
            <w:vAlign w:val="bottom"/>
          </w:tcPr>
          <w:p w14:paraId="21B6EF44" w14:textId="656A246A"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794</w:t>
            </w:r>
          </w:p>
        </w:tc>
        <w:tc>
          <w:tcPr>
            <w:tcW w:w="1176" w:type="dxa"/>
            <w:tcBorders>
              <w:top w:val="nil"/>
              <w:left w:val="nil"/>
              <w:bottom w:val="single" w:sz="4" w:space="0" w:color="auto"/>
              <w:right w:val="single" w:sz="4" w:space="0" w:color="auto"/>
            </w:tcBorders>
            <w:shd w:val="clear" w:color="auto" w:fill="auto"/>
            <w:noWrap/>
            <w:vAlign w:val="bottom"/>
          </w:tcPr>
          <w:p w14:paraId="0205BF20" w14:textId="3403F07E"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111 756</w:t>
            </w:r>
          </w:p>
        </w:tc>
        <w:tc>
          <w:tcPr>
            <w:tcW w:w="1461" w:type="dxa"/>
            <w:tcBorders>
              <w:top w:val="nil"/>
              <w:left w:val="nil"/>
              <w:bottom w:val="single" w:sz="4" w:space="0" w:color="auto"/>
              <w:right w:val="single" w:sz="4" w:space="0" w:color="auto"/>
            </w:tcBorders>
            <w:shd w:val="clear" w:color="auto" w:fill="auto"/>
            <w:noWrap/>
            <w:vAlign w:val="bottom"/>
          </w:tcPr>
          <w:p w14:paraId="3181E3AD" w14:textId="162DE087"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119 403</w:t>
            </w:r>
          </w:p>
        </w:tc>
        <w:tc>
          <w:tcPr>
            <w:tcW w:w="1080" w:type="dxa"/>
            <w:tcBorders>
              <w:top w:val="nil"/>
              <w:left w:val="nil"/>
              <w:bottom w:val="single" w:sz="4" w:space="0" w:color="auto"/>
              <w:right w:val="single" w:sz="4" w:space="0" w:color="auto"/>
            </w:tcBorders>
            <w:shd w:val="clear" w:color="auto" w:fill="auto"/>
            <w:noWrap/>
            <w:vAlign w:val="bottom"/>
          </w:tcPr>
          <w:p w14:paraId="5F082E67" w14:textId="790B4AD8"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231 160</w:t>
            </w:r>
          </w:p>
        </w:tc>
      </w:tr>
      <w:tr w:rsidR="00625F10" w:rsidRPr="00BA52C1" w14:paraId="008D4832"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7449D02" w14:textId="11812FB1" w:rsidR="00625F10" w:rsidRPr="00BA52C1" w:rsidRDefault="00625F10" w:rsidP="00625F10">
            <w:pPr>
              <w:pStyle w:val="CBDTableNormal"/>
              <w:spacing w:before="0" w:after="0"/>
              <w:rPr>
                <w:sz w:val="18"/>
                <w:szCs w:val="18"/>
                <w:lang w:val="fr-FR" w:eastAsia="en-CA"/>
              </w:rPr>
            </w:pPr>
            <w:r>
              <w:rPr>
                <w:sz w:val="18"/>
                <w:szCs w:val="18"/>
                <w:lang w:val="fr-FR" w:eastAsia="en-CA"/>
              </w:rPr>
              <w:t>Équateur</w:t>
            </w:r>
          </w:p>
        </w:tc>
        <w:tc>
          <w:tcPr>
            <w:tcW w:w="1628" w:type="dxa"/>
            <w:tcBorders>
              <w:top w:val="nil"/>
              <w:left w:val="nil"/>
              <w:bottom w:val="single" w:sz="4" w:space="0" w:color="auto"/>
              <w:right w:val="single" w:sz="4" w:space="0" w:color="auto"/>
            </w:tcBorders>
            <w:shd w:val="clear" w:color="auto" w:fill="auto"/>
            <w:vAlign w:val="bottom"/>
            <w:hideMark/>
          </w:tcPr>
          <w:p w14:paraId="2E48406D" w14:textId="6BA5CF34"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077</w:t>
            </w:r>
          </w:p>
        </w:tc>
        <w:tc>
          <w:tcPr>
            <w:tcW w:w="2198" w:type="dxa"/>
            <w:tcBorders>
              <w:top w:val="nil"/>
              <w:left w:val="nil"/>
              <w:bottom w:val="single" w:sz="4" w:space="0" w:color="auto"/>
              <w:right w:val="single" w:sz="4" w:space="0" w:color="auto"/>
            </w:tcBorders>
            <w:shd w:val="clear" w:color="auto" w:fill="auto"/>
            <w:noWrap/>
            <w:vAlign w:val="bottom"/>
            <w:hideMark/>
          </w:tcPr>
          <w:p w14:paraId="24DC6240" w14:textId="62E8E855"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096</w:t>
            </w:r>
          </w:p>
        </w:tc>
        <w:tc>
          <w:tcPr>
            <w:tcW w:w="1176" w:type="dxa"/>
            <w:tcBorders>
              <w:top w:val="nil"/>
              <w:left w:val="nil"/>
              <w:bottom w:val="single" w:sz="4" w:space="0" w:color="auto"/>
              <w:right w:val="single" w:sz="4" w:space="0" w:color="auto"/>
            </w:tcBorders>
            <w:shd w:val="clear" w:color="auto" w:fill="auto"/>
            <w:noWrap/>
            <w:vAlign w:val="bottom"/>
            <w:hideMark/>
          </w:tcPr>
          <w:p w14:paraId="35B2041F" w14:textId="1929E65B"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13 552</w:t>
            </w:r>
          </w:p>
        </w:tc>
        <w:tc>
          <w:tcPr>
            <w:tcW w:w="1461" w:type="dxa"/>
            <w:tcBorders>
              <w:top w:val="nil"/>
              <w:left w:val="nil"/>
              <w:bottom w:val="single" w:sz="4" w:space="0" w:color="auto"/>
              <w:right w:val="single" w:sz="4" w:space="0" w:color="auto"/>
            </w:tcBorders>
            <w:shd w:val="clear" w:color="auto" w:fill="auto"/>
            <w:noWrap/>
            <w:vAlign w:val="bottom"/>
            <w:hideMark/>
          </w:tcPr>
          <w:p w14:paraId="0954EF0F" w14:textId="0DF73F83"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14 479</w:t>
            </w:r>
          </w:p>
        </w:tc>
        <w:tc>
          <w:tcPr>
            <w:tcW w:w="1080" w:type="dxa"/>
            <w:tcBorders>
              <w:top w:val="nil"/>
              <w:left w:val="nil"/>
              <w:bottom w:val="single" w:sz="4" w:space="0" w:color="auto"/>
              <w:right w:val="single" w:sz="4" w:space="0" w:color="auto"/>
            </w:tcBorders>
            <w:shd w:val="clear" w:color="auto" w:fill="auto"/>
            <w:noWrap/>
            <w:vAlign w:val="bottom"/>
            <w:hideMark/>
          </w:tcPr>
          <w:p w14:paraId="1A63C51A" w14:textId="77643E25"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28 030</w:t>
            </w:r>
          </w:p>
        </w:tc>
      </w:tr>
      <w:tr w:rsidR="00625F10" w:rsidRPr="00BA52C1" w14:paraId="22520E28" w14:textId="77777777" w:rsidTr="00625F10">
        <w:tc>
          <w:tcPr>
            <w:tcW w:w="1880" w:type="dxa"/>
            <w:tcBorders>
              <w:top w:val="nil"/>
              <w:left w:val="single" w:sz="4" w:space="0" w:color="auto"/>
              <w:bottom w:val="single" w:sz="4" w:space="0" w:color="auto"/>
              <w:right w:val="single" w:sz="4" w:space="0" w:color="auto"/>
            </w:tcBorders>
            <w:shd w:val="clear" w:color="auto" w:fill="auto"/>
            <w:vAlign w:val="bottom"/>
          </w:tcPr>
          <w:p w14:paraId="47176029" w14:textId="5F8B5A70" w:rsidR="00625F10" w:rsidRPr="00BA52C1" w:rsidRDefault="00625F10" w:rsidP="00625F10">
            <w:pPr>
              <w:pStyle w:val="CBDTableNormal"/>
              <w:spacing w:before="0" w:after="0"/>
              <w:rPr>
                <w:sz w:val="18"/>
                <w:szCs w:val="18"/>
                <w:lang w:val="fr-FR" w:eastAsia="en-CA"/>
              </w:rPr>
            </w:pPr>
            <w:r>
              <w:rPr>
                <w:sz w:val="18"/>
                <w:szCs w:val="18"/>
                <w:lang w:val="fr-FR" w:eastAsia="en-CA"/>
              </w:rPr>
              <w:t>Érythrée</w:t>
            </w:r>
          </w:p>
        </w:tc>
        <w:tc>
          <w:tcPr>
            <w:tcW w:w="1628" w:type="dxa"/>
            <w:tcBorders>
              <w:top w:val="nil"/>
              <w:left w:val="nil"/>
              <w:bottom w:val="single" w:sz="4" w:space="0" w:color="auto"/>
              <w:right w:val="single" w:sz="4" w:space="0" w:color="auto"/>
            </w:tcBorders>
            <w:shd w:val="clear" w:color="auto" w:fill="auto"/>
            <w:vAlign w:val="bottom"/>
          </w:tcPr>
          <w:p w14:paraId="66D0CEFF" w14:textId="601DF71A"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2198" w:type="dxa"/>
            <w:tcBorders>
              <w:top w:val="nil"/>
              <w:left w:val="nil"/>
              <w:bottom w:val="single" w:sz="4" w:space="0" w:color="auto"/>
              <w:right w:val="single" w:sz="4" w:space="0" w:color="auto"/>
            </w:tcBorders>
            <w:shd w:val="clear" w:color="auto" w:fill="auto"/>
            <w:noWrap/>
            <w:vAlign w:val="bottom"/>
          </w:tcPr>
          <w:p w14:paraId="73A20A97" w14:textId="789D7C61"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1176" w:type="dxa"/>
            <w:tcBorders>
              <w:top w:val="nil"/>
              <w:left w:val="nil"/>
              <w:bottom w:val="single" w:sz="4" w:space="0" w:color="auto"/>
              <w:right w:val="single" w:sz="4" w:space="0" w:color="auto"/>
            </w:tcBorders>
            <w:shd w:val="clear" w:color="auto" w:fill="auto"/>
            <w:noWrap/>
            <w:vAlign w:val="bottom"/>
          </w:tcPr>
          <w:p w14:paraId="2A7D29A9" w14:textId="4CB99092"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176</w:t>
            </w:r>
          </w:p>
        </w:tc>
        <w:tc>
          <w:tcPr>
            <w:tcW w:w="1461" w:type="dxa"/>
            <w:tcBorders>
              <w:top w:val="nil"/>
              <w:left w:val="nil"/>
              <w:bottom w:val="single" w:sz="4" w:space="0" w:color="auto"/>
              <w:right w:val="single" w:sz="4" w:space="0" w:color="auto"/>
            </w:tcBorders>
            <w:shd w:val="clear" w:color="auto" w:fill="auto"/>
            <w:noWrap/>
            <w:vAlign w:val="bottom"/>
          </w:tcPr>
          <w:p w14:paraId="1EB3F3F7" w14:textId="05EC0A48"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188</w:t>
            </w:r>
          </w:p>
        </w:tc>
        <w:tc>
          <w:tcPr>
            <w:tcW w:w="1080" w:type="dxa"/>
            <w:tcBorders>
              <w:top w:val="nil"/>
              <w:left w:val="nil"/>
              <w:bottom w:val="single" w:sz="4" w:space="0" w:color="auto"/>
              <w:right w:val="single" w:sz="4" w:space="0" w:color="auto"/>
            </w:tcBorders>
            <w:shd w:val="clear" w:color="auto" w:fill="auto"/>
            <w:noWrap/>
            <w:vAlign w:val="bottom"/>
          </w:tcPr>
          <w:p w14:paraId="78A30DB7" w14:textId="4B532C72"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364</w:t>
            </w:r>
          </w:p>
        </w:tc>
      </w:tr>
      <w:tr w:rsidR="00625F10" w:rsidRPr="00BA52C1" w14:paraId="4CA8EC10" w14:textId="77777777" w:rsidTr="00625F10">
        <w:tc>
          <w:tcPr>
            <w:tcW w:w="1880" w:type="dxa"/>
            <w:tcBorders>
              <w:top w:val="nil"/>
              <w:left w:val="single" w:sz="4" w:space="0" w:color="auto"/>
              <w:bottom w:val="single" w:sz="4" w:space="0" w:color="auto"/>
              <w:right w:val="single" w:sz="4" w:space="0" w:color="auto"/>
            </w:tcBorders>
            <w:shd w:val="clear" w:color="auto" w:fill="auto"/>
            <w:vAlign w:val="bottom"/>
          </w:tcPr>
          <w:p w14:paraId="40F5E4EE" w14:textId="3B54D87F" w:rsidR="00625F10" w:rsidRPr="00BA52C1" w:rsidRDefault="00625F10" w:rsidP="00625F10">
            <w:pPr>
              <w:pStyle w:val="CBDTableNormal"/>
              <w:spacing w:before="0" w:after="0"/>
              <w:rPr>
                <w:sz w:val="18"/>
                <w:szCs w:val="18"/>
                <w:lang w:val="fr-FR" w:eastAsia="en-CA"/>
              </w:rPr>
            </w:pPr>
            <w:r>
              <w:rPr>
                <w:sz w:val="18"/>
                <w:szCs w:val="18"/>
                <w:lang w:val="fr-FR" w:eastAsia="en-CA"/>
              </w:rPr>
              <w:t>Espagne</w:t>
            </w:r>
          </w:p>
        </w:tc>
        <w:tc>
          <w:tcPr>
            <w:tcW w:w="1628" w:type="dxa"/>
            <w:tcBorders>
              <w:top w:val="nil"/>
              <w:left w:val="nil"/>
              <w:bottom w:val="single" w:sz="4" w:space="0" w:color="auto"/>
              <w:right w:val="single" w:sz="4" w:space="0" w:color="auto"/>
            </w:tcBorders>
            <w:shd w:val="clear" w:color="auto" w:fill="auto"/>
            <w:vAlign w:val="bottom"/>
          </w:tcPr>
          <w:p w14:paraId="345C547B" w14:textId="67240BC6"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2</w:t>
            </w:r>
            <w:r>
              <w:rPr>
                <w:sz w:val="18"/>
                <w:szCs w:val="18"/>
                <w:lang w:val="fr-FR" w:eastAsia="en-CA"/>
              </w:rPr>
              <w:t>,</w:t>
            </w:r>
            <w:r w:rsidRPr="00BA52C1">
              <w:rPr>
                <w:sz w:val="18"/>
                <w:szCs w:val="18"/>
                <w:lang w:val="fr-FR" w:eastAsia="en-CA"/>
              </w:rPr>
              <w:t>134</w:t>
            </w:r>
          </w:p>
        </w:tc>
        <w:tc>
          <w:tcPr>
            <w:tcW w:w="2198" w:type="dxa"/>
            <w:tcBorders>
              <w:top w:val="nil"/>
              <w:left w:val="nil"/>
              <w:bottom w:val="single" w:sz="4" w:space="0" w:color="auto"/>
              <w:right w:val="single" w:sz="4" w:space="0" w:color="auto"/>
            </w:tcBorders>
            <w:shd w:val="clear" w:color="auto" w:fill="auto"/>
            <w:noWrap/>
            <w:vAlign w:val="bottom"/>
          </w:tcPr>
          <w:p w14:paraId="5521BA3D" w14:textId="6CE49BD8"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2</w:t>
            </w:r>
            <w:r>
              <w:rPr>
                <w:sz w:val="18"/>
                <w:szCs w:val="18"/>
                <w:lang w:val="fr-FR" w:eastAsia="en-CA"/>
              </w:rPr>
              <w:t>,</w:t>
            </w:r>
            <w:r w:rsidRPr="00BA52C1">
              <w:rPr>
                <w:sz w:val="18"/>
                <w:szCs w:val="18"/>
                <w:lang w:val="fr-FR" w:eastAsia="en-CA"/>
              </w:rPr>
              <w:t>668</w:t>
            </w:r>
          </w:p>
        </w:tc>
        <w:tc>
          <w:tcPr>
            <w:tcW w:w="1176" w:type="dxa"/>
            <w:tcBorders>
              <w:top w:val="nil"/>
              <w:left w:val="nil"/>
              <w:bottom w:val="single" w:sz="4" w:space="0" w:color="auto"/>
              <w:right w:val="single" w:sz="4" w:space="0" w:color="auto"/>
            </w:tcBorders>
            <w:shd w:val="clear" w:color="auto" w:fill="auto"/>
            <w:noWrap/>
            <w:vAlign w:val="bottom"/>
          </w:tcPr>
          <w:p w14:paraId="09F2A1E9" w14:textId="193BA369"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375 572</w:t>
            </w:r>
          </w:p>
        </w:tc>
        <w:tc>
          <w:tcPr>
            <w:tcW w:w="1461" w:type="dxa"/>
            <w:tcBorders>
              <w:top w:val="nil"/>
              <w:left w:val="nil"/>
              <w:bottom w:val="single" w:sz="4" w:space="0" w:color="auto"/>
              <w:right w:val="single" w:sz="4" w:space="0" w:color="auto"/>
            </w:tcBorders>
            <w:shd w:val="clear" w:color="auto" w:fill="auto"/>
            <w:noWrap/>
            <w:vAlign w:val="bottom"/>
          </w:tcPr>
          <w:p w14:paraId="3C3A22C3" w14:textId="1FF8A307"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401 270</w:t>
            </w:r>
          </w:p>
        </w:tc>
        <w:tc>
          <w:tcPr>
            <w:tcW w:w="1080" w:type="dxa"/>
            <w:tcBorders>
              <w:top w:val="nil"/>
              <w:left w:val="nil"/>
              <w:bottom w:val="single" w:sz="4" w:space="0" w:color="auto"/>
              <w:right w:val="single" w:sz="4" w:space="0" w:color="auto"/>
            </w:tcBorders>
            <w:shd w:val="clear" w:color="auto" w:fill="auto"/>
            <w:noWrap/>
            <w:vAlign w:val="bottom"/>
          </w:tcPr>
          <w:p w14:paraId="1D5478BF" w14:textId="2092F9A5"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776 842</w:t>
            </w:r>
          </w:p>
        </w:tc>
      </w:tr>
      <w:tr w:rsidR="00625F10" w:rsidRPr="00BA52C1" w14:paraId="5C10C30F"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AE80D2D" w14:textId="0E9D17B6" w:rsidR="00625F10" w:rsidRPr="00BA52C1" w:rsidRDefault="00625F10" w:rsidP="00625F10">
            <w:pPr>
              <w:pStyle w:val="CBDTableNormal"/>
              <w:spacing w:before="0" w:after="0"/>
              <w:rPr>
                <w:sz w:val="18"/>
                <w:szCs w:val="18"/>
                <w:lang w:val="fr-FR" w:eastAsia="en-CA"/>
              </w:rPr>
            </w:pPr>
            <w:r w:rsidRPr="00BA52C1">
              <w:rPr>
                <w:sz w:val="18"/>
                <w:szCs w:val="18"/>
                <w:lang w:val="fr-FR" w:eastAsia="en-CA"/>
              </w:rPr>
              <w:t>Estoni</w:t>
            </w:r>
            <w:r>
              <w:rPr>
                <w:sz w:val="18"/>
                <w:szCs w:val="18"/>
                <w:lang w:val="fr-FR" w:eastAsia="en-CA"/>
              </w:rPr>
              <w:t>e</w:t>
            </w:r>
          </w:p>
        </w:tc>
        <w:tc>
          <w:tcPr>
            <w:tcW w:w="1628" w:type="dxa"/>
            <w:tcBorders>
              <w:top w:val="nil"/>
              <w:left w:val="nil"/>
              <w:bottom w:val="single" w:sz="4" w:space="0" w:color="auto"/>
              <w:right w:val="single" w:sz="4" w:space="0" w:color="auto"/>
            </w:tcBorders>
            <w:shd w:val="clear" w:color="auto" w:fill="auto"/>
            <w:vAlign w:val="bottom"/>
            <w:hideMark/>
          </w:tcPr>
          <w:p w14:paraId="334E7321" w14:textId="42517BB4"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044</w:t>
            </w:r>
          </w:p>
        </w:tc>
        <w:tc>
          <w:tcPr>
            <w:tcW w:w="2198" w:type="dxa"/>
            <w:tcBorders>
              <w:top w:val="nil"/>
              <w:left w:val="nil"/>
              <w:bottom w:val="single" w:sz="4" w:space="0" w:color="auto"/>
              <w:right w:val="single" w:sz="4" w:space="0" w:color="auto"/>
            </w:tcBorders>
            <w:shd w:val="clear" w:color="auto" w:fill="auto"/>
            <w:noWrap/>
            <w:vAlign w:val="bottom"/>
            <w:hideMark/>
          </w:tcPr>
          <w:p w14:paraId="63A39586" w14:textId="6051A6FC"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055</w:t>
            </w:r>
          </w:p>
        </w:tc>
        <w:tc>
          <w:tcPr>
            <w:tcW w:w="1176" w:type="dxa"/>
            <w:tcBorders>
              <w:top w:val="nil"/>
              <w:left w:val="nil"/>
              <w:bottom w:val="single" w:sz="4" w:space="0" w:color="auto"/>
              <w:right w:val="single" w:sz="4" w:space="0" w:color="auto"/>
            </w:tcBorders>
            <w:shd w:val="clear" w:color="auto" w:fill="auto"/>
            <w:noWrap/>
            <w:vAlign w:val="bottom"/>
            <w:hideMark/>
          </w:tcPr>
          <w:p w14:paraId="15AC1C09" w14:textId="07279286"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7 744</w:t>
            </w:r>
          </w:p>
        </w:tc>
        <w:tc>
          <w:tcPr>
            <w:tcW w:w="1461" w:type="dxa"/>
            <w:tcBorders>
              <w:top w:val="nil"/>
              <w:left w:val="nil"/>
              <w:bottom w:val="single" w:sz="4" w:space="0" w:color="auto"/>
              <w:right w:val="single" w:sz="4" w:space="0" w:color="auto"/>
            </w:tcBorders>
            <w:shd w:val="clear" w:color="auto" w:fill="auto"/>
            <w:noWrap/>
            <w:vAlign w:val="bottom"/>
            <w:hideMark/>
          </w:tcPr>
          <w:p w14:paraId="06BC3D65" w14:textId="16D4F51F"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8 274</w:t>
            </w:r>
          </w:p>
        </w:tc>
        <w:tc>
          <w:tcPr>
            <w:tcW w:w="1080" w:type="dxa"/>
            <w:tcBorders>
              <w:top w:val="nil"/>
              <w:left w:val="nil"/>
              <w:bottom w:val="single" w:sz="4" w:space="0" w:color="auto"/>
              <w:right w:val="single" w:sz="4" w:space="0" w:color="auto"/>
            </w:tcBorders>
            <w:shd w:val="clear" w:color="auto" w:fill="auto"/>
            <w:noWrap/>
            <w:vAlign w:val="bottom"/>
            <w:hideMark/>
          </w:tcPr>
          <w:p w14:paraId="7E8C0109" w14:textId="0C2EE589"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16 017</w:t>
            </w:r>
          </w:p>
        </w:tc>
      </w:tr>
      <w:tr w:rsidR="00625F10" w:rsidRPr="00BA52C1" w14:paraId="6A7CB791"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A17FBFB" w14:textId="77777777" w:rsidR="00625F10" w:rsidRPr="00BA52C1" w:rsidRDefault="00625F10" w:rsidP="00625F10">
            <w:pPr>
              <w:pStyle w:val="CBDTableNormal"/>
              <w:spacing w:before="0" w:after="0"/>
              <w:rPr>
                <w:sz w:val="18"/>
                <w:szCs w:val="18"/>
                <w:lang w:val="fr-FR" w:eastAsia="en-CA"/>
              </w:rPr>
            </w:pPr>
            <w:r w:rsidRPr="00BA52C1">
              <w:rPr>
                <w:sz w:val="18"/>
                <w:szCs w:val="18"/>
                <w:lang w:val="fr-FR" w:eastAsia="en-CA"/>
              </w:rPr>
              <w:t>Eswatini</w:t>
            </w:r>
          </w:p>
        </w:tc>
        <w:tc>
          <w:tcPr>
            <w:tcW w:w="1628" w:type="dxa"/>
            <w:tcBorders>
              <w:top w:val="nil"/>
              <w:left w:val="nil"/>
              <w:bottom w:val="single" w:sz="4" w:space="0" w:color="auto"/>
              <w:right w:val="single" w:sz="4" w:space="0" w:color="auto"/>
            </w:tcBorders>
            <w:shd w:val="clear" w:color="auto" w:fill="auto"/>
            <w:vAlign w:val="bottom"/>
            <w:hideMark/>
          </w:tcPr>
          <w:p w14:paraId="552A8461" w14:textId="42AC78AB"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002</w:t>
            </w:r>
          </w:p>
        </w:tc>
        <w:tc>
          <w:tcPr>
            <w:tcW w:w="2198" w:type="dxa"/>
            <w:tcBorders>
              <w:top w:val="nil"/>
              <w:left w:val="nil"/>
              <w:bottom w:val="single" w:sz="4" w:space="0" w:color="auto"/>
              <w:right w:val="single" w:sz="4" w:space="0" w:color="auto"/>
            </w:tcBorders>
            <w:shd w:val="clear" w:color="auto" w:fill="auto"/>
            <w:noWrap/>
            <w:vAlign w:val="bottom"/>
            <w:hideMark/>
          </w:tcPr>
          <w:p w14:paraId="5B255FEB" w14:textId="665D026E"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003</w:t>
            </w:r>
          </w:p>
        </w:tc>
        <w:tc>
          <w:tcPr>
            <w:tcW w:w="1176" w:type="dxa"/>
            <w:tcBorders>
              <w:top w:val="nil"/>
              <w:left w:val="nil"/>
              <w:bottom w:val="single" w:sz="4" w:space="0" w:color="auto"/>
              <w:right w:val="single" w:sz="4" w:space="0" w:color="auto"/>
            </w:tcBorders>
            <w:shd w:val="clear" w:color="auto" w:fill="auto"/>
            <w:noWrap/>
            <w:vAlign w:val="bottom"/>
            <w:hideMark/>
          </w:tcPr>
          <w:p w14:paraId="43DD9CAD" w14:textId="0E18A8B0"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352</w:t>
            </w:r>
          </w:p>
        </w:tc>
        <w:tc>
          <w:tcPr>
            <w:tcW w:w="1461" w:type="dxa"/>
            <w:tcBorders>
              <w:top w:val="nil"/>
              <w:left w:val="nil"/>
              <w:bottom w:val="single" w:sz="4" w:space="0" w:color="auto"/>
              <w:right w:val="single" w:sz="4" w:space="0" w:color="auto"/>
            </w:tcBorders>
            <w:shd w:val="clear" w:color="auto" w:fill="auto"/>
            <w:noWrap/>
            <w:vAlign w:val="bottom"/>
            <w:hideMark/>
          </w:tcPr>
          <w:p w14:paraId="27D07EAD" w14:textId="108A37FF"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376</w:t>
            </w:r>
          </w:p>
        </w:tc>
        <w:tc>
          <w:tcPr>
            <w:tcW w:w="1080" w:type="dxa"/>
            <w:tcBorders>
              <w:top w:val="nil"/>
              <w:left w:val="nil"/>
              <w:bottom w:val="single" w:sz="4" w:space="0" w:color="auto"/>
              <w:right w:val="single" w:sz="4" w:space="0" w:color="auto"/>
            </w:tcBorders>
            <w:shd w:val="clear" w:color="auto" w:fill="auto"/>
            <w:noWrap/>
            <w:vAlign w:val="bottom"/>
            <w:hideMark/>
          </w:tcPr>
          <w:p w14:paraId="049886EC" w14:textId="249E9FA4"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728</w:t>
            </w:r>
          </w:p>
        </w:tc>
      </w:tr>
      <w:tr w:rsidR="00625F10" w:rsidRPr="00BA52C1" w14:paraId="28893EAD"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tcPr>
          <w:p w14:paraId="6EAFE9FA" w14:textId="631088C2" w:rsidR="00625F10" w:rsidRPr="00BA52C1" w:rsidRDefault="00625F10" w:rsidP="00625F10">
            <w:pPr>
              <w:pStyle w:val="CBDTableNormal"/>
              <w:spacing w:before="0" w:after="0"/>
              <w:rPr>
                <w:sz w:val="18"/>
                <w:szCs w:val="18"/>
                <w:lang w:val="fr-FR" w:eastAsia="en-CA"/>
              </w:rPr>
            </w:pPr>
            <w:r>
              <w:rPr>
                <w:sz w:val="18"/>
                <w:szCs w:val="18"/>
                <w:lang w:val="fr-FR" w:eastAsia="en-CA"/>
              </w:rPr>
              <w:t xml:space="preserve">État de </w:t>
            </w:r>
            <w:r w:rsidRPr="00BA52C1">
              <w:rPr>
                <w:sz w:val="18"/>
                <w:szCs w:val="18"/>
                <w:lang w:val="fr-FR" w:eastAsia="en-CA"/>
              </w:rPr>
              <w:t>Palestine</w:t>
            </w:r>
          </w:p>
        </w:tc>
        <w:tc>
          <w:tcPr>
            <w:tcW w:w="1628" w:type="dxa"/>
            <w:tcBorders>
              <w:top w:val="nil"/>
              <w:left w:val="nil"/>
              <w:bottom w:val="single" w:sz="4" w:space="0" w:color="auto"/>
              <w:right w:val="single" w:sz="4" w:space="0" w:color="auto"/>
            </w:tcBorders>
            <w:shd w:val="clear" w:color="auto" w:fill="auto"/>
            <w:vAlign w:val="bottom"/>
          </w:tcPr>
          <w:p w14:paraId="6DB01E7E" w14:textId="1BEE1FAF"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011</w:t>
            </w:r>
          </w:p>
        </w:tc>
        <w:tc>
          <w:tcPr>
            <w:tcW w:w="2198" w:type="dxa"/>
            <w:tcBorders>
              <w:top w:val="nil"/>
              <w:left w:val="nil"/>
              <w:bottom w:val="single" w:sz="4" w:space="0" w:color="auto"/>
              <w:right w:val="single" w:sz="4" w:space="0" w:color="auto"/>
            </w:tcBorders>
            <w:shd w:val="clear" w:color="auto" w:fill="auto"/>
            <w:noWrap/>
            <w:vAlign w:val="bottom"/>
          </w:tcPr>
          <w:p w14:paraId="188EBF96" w14:textId="19424BC7"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014</w:t>
            </w:r>
          </w:p>
        </w:tc>
        <w:tc>
          <w:tcPr>
            <w:tcW w:w="1176" w:type="dxa"/>
            <w:tcBorders>
              <w:top w:val="nil"/>
              <w:left w:val="nil"/>
              <w:bottom w:val="single" w:sz="4" w:space="0" w:color="auto"/>
              <w:right w:val="single" w:sz="4" w:space="0" w:color="auto"/>
            </w:tcBorders>
            <w:shd w:val="clear" w:color="auto" w:fill="auto"/>
            <w:noWrap/>
            <w:vAlign w:val="bottom"/>
          </w:tcPr>
          <w:p w14:paraId="3758A20D" w14:textId="1F61C48C"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1 936</w:t>
            </w:r>
          </w:p>
        </w:tc>
        <w:tc>
          <w:tcPr>
            <w:tcW w:w="1461" w:type="dxa"/>
            <w:tcBorders>
              <w:top w:val="nil"/>
              <w:left w:val="nil"/>
              <w:bottom w:val="single" w:sz="4" w:space="0" w:color="auto"/>
              <w:right w:val="single" w:sz="4" w:space="0" w:color="auto"/>
            </w:tcBorders>
            <w:shd w:val="clear" w:color="auto" w:fill="auto"/>
            <w:noWrap/>
            <w:vAlign w:val="bottom"/>
          </w:tcPr>
          <w:p w14:paraId="5E4DAE47" w14:textId="04BDEBA1"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2 068</w:t>
            </w:r>
          </w:p>
        </w:tc>
        <w:tc>
          <w:tcPr>
            <w:tcW w:w="1080" w:type="dxa"/>
            <w:tcBorders>
              <w:top w:val="nil"/>
              <w:left w:val="nil"/>
              <w:bottom w:val="single" w:sz="4" w:space="0" w:color="auto"/>
              <w:right w:val="single" w:sz="4" w:space="0" w:color="auto"/>
            </w:tcBorders>
            <w:shd w:val="clear" w:color="auto" w:fill="auto"/>
            <w:noWrap/>
            <w:vAlign w:val="bottom"/>
          </w:tcPr>
          <w:p w14:paraId="6523C6A9" w14:textId="05053EE2"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4 004</w:t>
            </w:r>
          </w:p>
        </w:tc>
      </w:tr>
      <w:tr w:rsidR="00625F10" w:rsidRPr="00BA52C1" w14:paraId="6DEEA0AD"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D9B197B" w14:textId="66AFC985" w:rsidR="00625F10" w:rsidRPr="00BA52C1" w:rsidRDefault="00625F10" w:rsidP="00625F10">
            <w:pPr>
              <w:pStyle w:val="CBDTableNormal"/>
              <w:spacing w:before="0" w:after="0"/>
              <w:rPr>
                <w:sz w:val="18"/>
                <w:szCs w:val="18"/>
                <w:lang w:val="fr-FR" w:eastAsia="en-CA"/>
              </w:rPr>
            </w:pPr>
            <w:r>
              <w:rPr>
                <w:sz w:val="18"/>
                <w:szCs w:val="18"/>
                <w:lang w:val="fr-FR" w:eastAsia="en-CA"/>
              </w:rPr>
              <w:t>É</w:t>
            </w:r>
            <w:r w:rsidRPr="00BA52C1">
              <w:rPr>
                <w:sz w:val="18"/>
                <w:szCs w:val="18"/>
                <w:lang w:val="fr-FR" w:eastAsia="en-CA"/>
              </w:rPr>
              <w:t>thiopi</w:t>
            </w:r>
            <w:r>
              <w:rPr>
                <w:sz w:val="18"/>
                <w:szCs w:val="18"/>
                <w:lang w:val="fr-FR" w:eastAsia="en-CA"/>
              </w:rPr>
              <w:t>e</w:t>
            </w:r>
          </w:p>
        </w:tc>
        <w:tc>
          <w:tcPr>
            <w:tcW w:w="1628" w:type="dxa"/>
            <w:tcBorders>
              <w:top w:val="nil"/>
              <w:left w:val="nil"/>
              <w:bottom w:val="single" w:sz="4" w:space="0" w:color="auto"/>
              <w:right w:val="single" w:sz="4" w:space="0" w:color="auto"/>
            </w:tcBorders>
            <w:shd w:val="clear" w:color="auto" w:fill="auto"/>
            <w:vAlign w:val="bottom"/>
            <w:hideMark/>
          </w:tcPr>
          <w:p w14:paraId="522D5B6D" w14:textId="5B13CD8D"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010</w:t>
            </w:r>
          </w:p>
        </w:tc>
        <w:tc>
          <w:tcPr>
            <w:tcW w:w="2198" w:type="dxa"/>
            <w:tcBorders>
              <w:top w:val="nil"/>
              <w:left w:val="nil"/>
              <w:bottom w:val="single" w:sz="4" w:space="0" w:color="auto"/>
              <w:right w:val="single" w:sz="4" w:space="0" w:color="auto"/>
            </w:tcBorders>
            <w:shd w:val="clear" w:color="auto" w:fill="auto"/>
            <w:noWrap/>
            <w:vAlign w:val="bottom"/>
            <w:hideMark/>
          </w:tcPr>
          <w:p w14:paraId="311932F9" w14:textId="182EFD3A"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010</w:t>
            </w:r>
          </w:p>
        </w:tc>
        <w:tc>
          <w:tcPr>
            <w:tcW w:w="1176" w:type="dxa"/>
            <w:tcBorders>
              <w:top w:val="nil"/>
              <w:left w:val="nil"/>
              <w:bottom w:val="single" w:sz="4" w:space="0" w:color="auto"/>
              <w:right w:val="single" w:sz="4" w:space="0" w:color="auto"/>
            </w:tcBorders>
            <w:shd w:val="clear" w:color="auto" w:fill="auto"/>
            <w:noWrap/>
            <w:vAlign w:val="bottom"/>
            <w:hideMark/>
          </w:tcPr>
          <w:p w14:paraId="2EC55426" w14:textId="7B99C0C9"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1 408</w:t>
            </w:r>
          </w:p>
        </w:tc>
        <w:tc>
          <w:tcPr>
            <w:tcW w:w="1461" w:type="dxa"/>
            <w:tcBorders>
              <w:top w:val="nil"/>
              <w:left w:val="nil"/>
              <w:bottom w:val="single" w:sz="4" w:space="0" w:color="auto"/>
              <w:right w:val="single" w:sz="4" w:space="0" w:color="auto"/>
            </w:tcBorders>
            <w:shd w:val="clear" w:color="auto" w:fill="auto"/>
            <w:noWrap/>
            <w:vAlign w:val="bottom"/>
            <w:hideMark/>
          </w:tcPr>
          <w:p w14:paraId="6339F98A" w14:textId="233D5BB6"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1 504</w:t>
            </w:r>
          </w:p>
        </w:tc>
        <w:tc>
          <w:tcPr>
            <w:tcW w:w="1080" w:type="dxa"/>
            <w:tcBorders>
              <w:top w:val="nil"/>
              <w:left w:val="nil"/>
              <w:bottom w:val="single" w:sz="4" w:space="0" w:color="auto"/>
              <w:right w:val="single" w:sz="4" w:space="0" w:color="auto"/>
            </w:tcBorders>
            <w:shd w:val="clear" w:color="auto" w:fill="auto"/>
            <w:noWrap/>
            <w:vAlign w:val="bottom"/>
            <w:hideMark/>
          </w:tcPr>
          <w:p w14:paraId="422704C4" w14:textId="331043D8"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2 912</w:t>
            </w:r>
          </w:p>
        </w:tc>
      </w:tr>
      <w:tr w:rsidR="00625F10" w:rsidRPr="00BA52C1" w14:paraId="3C576A46" w14:textId="77777777" w:rsidTr="00625F10">
        <w:tc>
          <w:tcPr>
            <w:tcW w:w="1880" w:type="dxa"/>
            <w:tcBorders>
              <w:top w:val="nil"/>
              <w:left w:val="single" w:sz="4" w:space="0" w:color="auto"/>
              <w:bottom w:val="single" w:sz="4" w:space="0" w:color="auto"/>
              <w:right w:val="single" w:sz="4" w:space="0" w:color="auto"/>
            </w:tcBorders>
            <w:shd w:val="clear" w:color="auto" w:fill="auto"/>
            <w:vAlign w:val="bottom"/>
          </w:tcPr>
          <w:p w14:paraId="76970601" w14:textId="4A1BE49C" w:rsidR="00625F10" w:rsidRPr="00BA52C1" w:rsidRDefault="00625F10" w:rsidP="00625F10">
            <w:pPr>
              <w:pStyle w:val="CBDTableNormal"/>
              <w:spacing w:before="0" w:after="0"/>
              <w:rPr>
                <w:sz w:val="18"/>
                <w:szCs w:val="18"/>
                <w:lang w:val="fr-FR" w:eastAsia="en-CA"/>
              </w:rPr>
            </w:pPr>
            <w:r>
              <w:rPr>
                <w:sz w:val="18"/>
                <w:szCs w:val="18"/>
                <w:lang w:val="fr-FR" w:eastAsia="en-CA"/>
              </w:rPr>
              <w:t>Fédération de Russie</w:t>
            </w:r>
          </w:p>
        </w:tc>
        <w:tc>
          <w:tcPr>
            <w:tcW w:w="1628" w:type="dxa"/>
            <w:tcBorders>
              <w:top w:val="nil"/>
              <w:left w:val="nil"/>
              <w:bottom w:val="single" w:sz="4" w:space="0" w:color="auto"/>
              <w:right w:val="single" w:sz="4" w:space="0" w:color="auto"/>
            </w:tcBorders>
            <w:shd w:val="clear" w:color="auto" w:fill="auto"/>
            <w:vAlign w:val="bottom"/>
          </w:tcPr>
          <w:p w14:paraId="1ACE49A1" w14:textId="1D8B231C"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1</w:t>
            </w:r>
            <w:r>
              <w:rPr>
                <w:sz w:val="18"/>
                <w:szCs w:val="18"/>
                <w:lang w:val="fr-FR" w:eastAsia="en-CA"/>
              </w:rPr>
              <w:t>,</w:t>
            </w:r>
            <w:r w:rsidRPr="00BA52C1">
              <w:rPr>
                <w:sz w:val="18"/>
                <w:szCs w:val="18"/>
                <w:lang w:val="fr-FR" w:eastAsia="en-CA"/>
              </w:rPr>
              <w:t>866</w:t>
            </w:r>
          </w:p>
        </w:tc>
        <w:tc>
          <w:tcPr>
            <w:tcW w:w="2198" w:type="dxa"/>
            <w:tcBorders>
              <w:top w:val="nil"/>
              <w:left w:val="nil"/>
              <w:bottom w:val="single" w:sz="4" w:space="0" w:color="auto"/>
              <w:right w:val="single" w:sz="4" w:space="0" w:color="auto"/>
            </w:tcBorders>
            <w:shd w:val="clear" w:color="auto" w:fill="auto"/>
            <w:noWrap/>
            <w:vAlign w:val="bottom"/>
          </w:tcPr>
          <w:p w14:paraId="76EB634D" w14:textId="7DCEA2CA"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2</w:t>
            </w:r>
            <w:r>
              <w:rPr>
                <w:sz w:val="18"/>
                <w:szCs w:val="18"/>
                <w:lang w:val="fr-FR" w:eastAsia="en-CA"/>
              </w:rPr>
              <w:t>,</w:t>
            </w:r>
            <w:r w:rsidRPr="00BA52C1">
              <w:rPr>
                <w:sz w:val="18"/>
                <w:szCs w:val="18"/>
                <w:lang w:val="fr-FR" w:eastAsia="en-CA"/>
              </w:rPr>
              <w:t>333</w:t>
            </w:r>
          </w:p>
        </w:tc>
        <w:tc>
          <w:tcPr>
            <w:tcW w:w="1176" w:type="dxa"/>
            <w:tcBorders>
              <w:top w:val="nil"/>
              <w:left w:val="nil"/>
              <w:bottom w:val="single" w:sz="4" w:space="0" w:color="auto"/>
              <w:right w:val="single" w:sz="4" w:space="0" w:color="auto"/>
            </w:tcBorders>
            <w:shd w:val="clear" w:color="auto" w:fill="auto"/>
            <w:noWrap/>
            <w:vAlign w:val="bottom"/>
          </w:tcPr>
          <w:p w14:paraId="3F4D7B8E" w14:textId="7B48135E"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328 406</w:t>
            </w:r>
          </w:p>
        </w:tc>
        <w:tc>
          <w:tcPr>
            <w:tcW w:w="1461" w:type="dxa"/>
            <w:tcBorders>
              <w:top w:val="nil"/>
              <w:left w:val="nil"/>
              <w:bottom w:val="single" w:sz="4" w:space="0" w:color="auto"/>
              <w:right w:val="single" w:sz="4" w:space="0" w:color="auto"/>
            </w:tcBorders>
            <w:shd w:val="clear" w:color="auto" w:fill="auto"/>
            <w:noWrap/>
            <w:vAlign w:val="bottom"/>
          </w:tcPr>
          <w:p w14:paraId="1A89D6B9" w14:textId="171C043F"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350 876</w:t>
            </w:r>
          </w:p>
        </w:tc>
        <w:tc>
          <w:tcPr>
            <w:tcW w:w="1080" w:type="dxa"/>
            <w:tcBorders>
              <w:top w:val="nil"/>
              <w:left w:val="nil"/>
              <w:bottom w:val="single" w:sz="4" w:space="0" w:color="auto"/>
              <w:right w:val="single" w:sz="4" w:space="0" w:color="auto"/>
            </w:tcBorders>
            <w:shd w:val="clear" w:color="auto" w:fill="auto"/>
            <w:noWrap/>
            <w:vAlign w:val="bottom"/>
          </w:tcPr>
          <w:p w14:paraId="34FF2C68" w14:textId="28DBAB8C"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679 282</w:t>
            </w:r>
          </w:p>
        </w:tc>
      </w:tr>
      <w:tr w:rsidR="00625F10" w:rsidRPr="00BA52C1" w14:paraId="3F53D8DB"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094C6C4" w14:textId="2B1E1089" w:rsidR="00625F10" w:rsidRPr="00BA52C1" w:rsidRDefault="00625F10" w:rsidP="00625F10">
            <w:pPr>
              <w:pStyle w:val="CBDTableNormal"/>
              <w:spacing w:before="0" w:after="0"/>
              <w:rPr>
                <w:sz w:val="18"/>
                <w:szCs w:val="18"/>
                <w:lang w:val="fr-FR" w:eastAsia="en-CA"/>
              </w:rPr>
            </w:pPr>
            <w:r w:rsidRPr="00BA52C1">
              <w:rPr>
                <w:sz w:val="18"/>
                <w:szCs w:val="18"/>
                <w:lang w:val="fr-FR" w:eastAsia="en-CA"/>
              </w:rPr>
              <w:t>Fi</w:t>
            </w:r>
            <w:r>
              <w:rPr>
                <w:sz w:val="18"/>
                <w:szCs w:val="18"/>
                <w:lang w:val="fr-FR" w:eastAsia="en-CA"/>
              </w:rPr>
              <w:t>d</w:t>
            </w:r>
            <w:r w:rsidRPr="00BA52C1">
              <w:rPr>
                <w:sz w:val="18"/>
                <w:szCs w:val="18"/>
                <w:lang w:val="fr-FR" w:eastAsia="en-CA"/>
              </w:rPr>
              <w:t>ji</w:t>
            </w:r>
          </w:p>
        </w:tc>
        <w:tc>
          <w:tcPr>
            <w:tcW w:w="1628" w:type="dxa"/>
            <w:tcBorders>
              <w:top w:val="nil"/>
              <w:left w:val="nil"/>
              <w:bottom w:val="single" w:sz="4" w:space="0" w:color="auto"/>
              <w:right w:val="single" w:sz="4" w:space="0" w:color="auto"/>
            </w:tcBorders>
            <w:shd w:val="clear" w:color="auto" w:fill="auto"/>
            <w:vAlign w:val="bottom"/>
            <w:hideMark/>
          </w:tcPr>
          <w:p w14:paraId="6699FDAE" w14:textId="24F8A53E"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004</w:t>
            </w:r>
          </w:p>
        </w:tc>
        <w:tc>
          <w:tcPr>
            <w:tcW w:w="2198" w:type="dxa"/>
            <w:tcBorders>
              <w:top w:val="nil"/>
              <w:left w:val="nil"/>
              <w:bottom w:val="single" w:sz="4" w:space="0" w:color="auto"/>
              <w:right w:val="single" w:sz="4" w:space="0" w:color="auto"/>
            </w:tcBorders>
            <w:shd w:val="clear" w:color="auto" w:fill="auto"/>
            <w:noWrap/>
            <w:vAlign w:val="bottom"/>
            <w:hideMark/>
          </w:tcPr>
          <w:p w14:paraId="3CA5EA0F" w14:textId="4F094FEC"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005</w:t>
            </w:r>
          </w:p>
        </w:tc>
        <w:tc>
          <w:tcPr>
            <w:tcW w:w="1176" w:type="dxa"/>
            <w:tcBorders>
              <w:top w:val="nil"/>
              <w:left w:val="nil"/>
              <w:bottom w:val="single" w:sz="4" w:space="0" w:color="auto"/>
              <w:right w:val="single" w:sz="4" w:space="0" w:color="auto"/>
            </w:tcBorders>
            <w:shd w:val="clear" w:color="auto" w:fill="auto"/>
            <w:noWrap/>
            <w:vAlign w:val="bottom"/>
            <w:hideMark/>
          </w:tcPr>
          <w:p w14:paraId="44110B54" w14:textId="1B5BB776"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704</w:t>
            </w:r>
          </w:p>
        </w:tc>
        <w:tc>
          <w:tcPr>
            <w:tcW w:w="1461" w:type="dxa"/>
            <w:tcBorders>
              <w:top w:val="nil"/>
              <w:left w:val="nil"/>
              <w:bottom w:val="single" w:sz="4" w:space="0" w:color="auto"/>
              <w:right w:val="single" w:sz="4" w:space="0" w:color="auto"/>
            </w:tcBorders>
            <w:shd w:val="clear" w:color="auto" w:fill="auto"/>
            <w:noWrap/>
            <w:vAlign w:val="bottom"/>
            <w:hideMark/>
          </w:tcPr>
          <w:p w14:paraId="5CEC731A" w14:textId="6A83A2B8"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752</w:t>
            </w:r>
          </w:p>
        </w:tc>
        <w:tc>
          <w:tcPr>
            <w:tcW w:w="1080" w:type="dxa"/>
            <w:tcBorders>
              <w:top w:val="nil"/>
              <w:left w:val="nil"/>
              <w:bottom w:val="single" w:sz="4" w:space="0" w:color="auto"/>
              <w:right w:val="single" w:sz="4" w:space="0" w:color="auto"/>
            </w:tcBorders>
            <w:shd w:val="clear" w:color="auto" w:fill="auto"/>
            <w:noWrap/>
            <w:vAlign w:val="bottom"/>
            <w:hideMark/>
          </w:tcPr>
          <w:p w14:paraId="76088143" w14:textId="1E7D3724"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1 456</w:t>
            </w:r>
          </w:p>
        </w:tc>
      </w:tr>
      <w:tr w:rsidR="00625F10" w:rsidRPr="00BA52C1" w14:paraId="7BDA6C08"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EB32A98" w14:textId="3B6D25C5" w:rsidR="00625F10" w:rsidRPr="00BA52C1" w:rsidRDefault="00625F10" w:rsidP="00625F10">
            <w:pPr>
              <w:pStyle w:val="CBDTableNormal"/>
              <w:spacing w:before="0" w:after="0"/>
              <w:rPr>
                <w:sz w:val="18"/>
                <w:szCs w:val="18"/>
                <w:lang w:val="fr-FR" w:eastAsia="en-CA"/>
              </w:rPr>
            </w:pPr>
            <w:r w:rsidRPr="00BA52C1">
              <w:rPr>
                <w:sz w:val="18"/>
                <w:szCs w:val="18"/>
                <w:lang w:val="fr-FR" w:eastAsia="en-CA"/>
              </w:rPr>
              <w:t>Finland</w:t>
            </w:r>
            <w:r>
              <w:rPr>
                <w:sz w:val="18"/>
                <w:szCs w:val="18"/>
                <w:lang w:val="fr-FR" w:eastAsia="en-CA"/>
              </w:rPr>
              <w:t>e</w:t>
            </w:r>
          </w:p>
        </w:tc>
        <w:tc>
          <w:tcPr>
            <w:tcW w:w="1628" w:type="dxa"/>
            <w:tcBorders>
              <w:top w:val="nil"/>
              <w:left w:val="nil"/>
              <w:bottom w:val="single" w:sz="4" w:space="0" w:color="auto"/>
              <w:right w:val="single" w:sz="4" w:space="0" w:color="auto"/>
            </w:tcBorders>
            <w:shd w:val="clear" w:color="auto" w:fill="auto"/>
            <w:vAlign w:val="bottom"/>
            <w:hideMark/>
          </w:tcPr>
          <w:p w14:paraId="0A75C551" w14:textId="05F3B2BA"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417</w:t>
            </w:r>
          </w:p>
        </w:tc>
        <w:tc>
          <w:tcPr>
            <w:tcW w:w="2198" w:type="dxa"/>
            <w:tcBorders>
              <w:top w:val="nil"/>
              <w:left w:val="nil"/>
              <w:bottom w:val="single" w:sz="4" w:space="0" w:color="auto"/>
              <w:right w:val="single" w:sz="4" w:space="0" w:color="auto"/>
            </w:tcBorders>
            <w:shd w:val="clear" w:color="auto" w:fill="auto"/>
            <w:noWrap/>
            <w:vAlign w:val="bottom"/>
            <w:hideMark/>
          </w:tcPr>
          <w:p w14:paraId="631F5B76" w14:textId="661667BB"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521</w:t>
            </w:r>
          </w:p>
        </w:tc>
        <w:tc>
          <w:tcPr>
            <w:tcW w:w="1176" w:type="dxa"/>
            <w:tcBorders>
              <w:top w:val="nil"/>
              <w:left w:val="nil"/>
              <w:bottom w:val="single" w:sz="4" w:space="0" w:color="auto"/>
              <w:right w:val="single" w:sz="4" w:space="0" w:color="auto"/>
            </w:tcBorders>
            <w:shd w:val="clear" w:color="auto" w:fill="auto"/>
            <w:noWrap/>
            <w:vAlign w:val="bottom"/>
            <w:hideMark/>
          </w:tcPr>
          <w:p w14:paraId="4504B00F" w14:textId="299D1DE4"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73 390</w:t>
            </w:r>
          </w:p>
        </w:tc>
        <w:tc>
          <w:tcPr>
            <w:tcW w:w="1461" w:type="dxa"/>
            <w:tcBorders>
              <w:top w:val="nil"/>
              <w:left w:val="nil"/>
              <w:bottom w:val="single" w:sz="4" w:space="0" w:color="auto"/>
              <w:right w:val="single" w:sz="4" w:space="0" w:color="auto"/>
            </w:tcBorders>
            <w:shd w:val="clear" w:color="auto" w:fill="auto"/>
            <w:noWrap/>
            <w:vAlign w:val="bottom"/>
            <w:hideMark/>
          </w:tcPr>
          <w:p w14:paraId="5FE30265" w14:textId="79DB079F"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78 411</w:t>
            </w:r>
          </w:p>
        </w:tc>
        <w:tc>
          <w:tcPr>
            <w:tcW w:w="1080" w:type="dxa"/>
            <w:tcBorders>
              <w:top w:val="nil"/>
              <w:left w:val="nil"/>
              <w:bottom w:val="single" w:sz="4" w:space="0" w:color="auto"/>
              <w:right w:val="single" w:sz="4" w:space="0" w:color="auto"/>
            </w:tcBorders>
            <w:shd w:val="clear" w:color="auto" w:fill="auto"/>
            <w:noWrap/>
            <w:vAlign w:val="bottom"/>
            <w:hideMark/>
          </w:tcPr>
          <w:p w14:paraId="22DFB974" w14:textId="727132FD"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151 801</w:t>
            </w:r>
          </w:p>
        </w:tc>
      </w:tr>
      <w:tr w:rsidR="00625F10" w:rsidRPr="00BA52C1" w14:paraId="3074BBF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56F6765" w14:textId="77777777" w:rsidR="00625F10" w:rsidRPr="00BA52C1" w:rsidRDefault="00625F10" w:rsidP="00625F10">
            <w:pPr>
              <w:pStyle w:val="CBDTableNormal"/>
              <w:spacing w:before="0" w:after="0"/>
              <w:rPr>
                <w:sz w:val="18"/>
                <w:szCs w:val="18"/>
                <w:lang w:val="fr-FR" w:eastAsia="en-CA"/>
              </w:rPr>
            </w:pPr>
            <w:r w:rsidRPr="00BA52C1">
              <w:rPr>
                <w:sz w:val="18"/>
                <w:szCs w:val="18"/>
                <w:lang w:val="fr-FR" w:eastAsia="en-CA"/>
              </w:rPr>
              <w:t>France</w:t>
            </w:r>
          </w:p>
        </w:tc>
        <w:tc>
          <w:tcPr>
            <w:tcW w:w="1628" w:type="dxa"/>
            <w:tcBorders>
              <w:top w:val="nil"/>
              <w:left w:val="nil"/>
              <w:bottom w:val="single" w:sz="4" w:space="0" w:color="auto"/>
              <w:right w:val="single" w:sz="4" w:space="0" w:color="auto"/>
            </w:tcBorders>
            <w:shd w:val="clear" w:color="auto" w:fill="auto"/>
            <w:vAlign w:val="bottom"/>
            <w:hideMark/>
          </w:tcPr>
          <w:p w14:paraId="1DDE442B" w14:textId="1A739DE8"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4</w:t>
            </w:r>
            <w:r>
              <w:rPr>
                <w:sz w:val="18"/>
                <w:szCs w:val="18"/>
                <w:lang w:val="fr-FR" w:eastAsia="en-CA"/>
              </w:rPr>
              <w:t>,</w:t>
            </w:r>
            <w:r w:rsidRPr="00BA52C1">
              <w:rPr>
                <w:sz w:val="18"/>
                <w:szCs w:val="18"/>
                <w:lang w:val="fr-FR" w:eastAsia="en-CA"/>
              </w:rPr>
              <w:t>318</w:t>
            </w:r>
          </w:p>
        </w:tc>
        <w:tc>
          <w:tcPr>
            <w:tcW w:w="2198" w:type="dxa"/>
            <w:tcBorders>
              <w:top w:val="nil"/>
              <w:left w:val="nil"/>
              <w:bottom w:val="single" w:sz="4" w:space="0" w:color="auto"/>
              <w:right w:val="single" w:sz="4" w:space="0" w:color="auto"/>
            </w:tcBorders>
            <w:shd w:val="clear" w:color="auto" w:fill="auto"/>
            <w:noWrap/>
            <w:vAlign w:val="bottom"/>
            <w:hideMark/>
          </w:tcPr>
          <w:p w14:paraId="72E9DB1E" w14:textId="4C288879"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5</w:t>
            </w:r>
            <w:r>
              <w:rPr>
                <w:sz w:val="18"/>
                <w:szCs w:val="18"/>
                <w:lang w:val="fr-FR" w:eastAsia="en-CA"/>
              </w:rPr>
              <w:t>,</w:t>
            </w:r>
            <w:r w:rsidRPr="00BA52C1">
              <w:rPr>
                <w:sz w:val="18"/>
                <w:szCs w:val="18"/>
                <w:lang w:val="fr-FR" w:eastAsia="en-CA"/>
              </w:rPr>
              <w:t>398</w:t>
            </w:r>
          </w:p>
        </w:tc>
        <w:tc>
          <w:tcPr>
            <w:tcW w:w="1176" w:type="dxa"/>
            <w:tcBorders>
              <w:top w:val="nil"/>
              <w:left w:val="nil"/>
              <w:bottom w:val="single" w:sz="4" w:space="0" w:color="auto"/>
              <w:right w:val="single" w:sz="4" w:space="0" w:color="auto"/>
            </w:tcBorders>
            <w:shd w:val="clear" w:color="auto" w:fill="auto"/>
            <w:noWrap/>
            <w:vAlign w:val="bottom"/>
            <w:hideMark/>
          </w:tcPr>
          <w:p w14:paraId="10880244" w14:textId="50B88858"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759 944</w:t>
            </w:r>
          </w:p>
        </w:tc>
        <w:tc>
          <w:tcPr>
            <w:tcW w:w="1461" w:type="dxa"/>
            <w:tcBorders>
              <w:top w:val="nil"/>
              <w:left w:val="nil"/>
              <w:bottom w:val="single" w:sz="4" w:space="0" w:color="auto"/>
              <w:right w:val="single" w:sz="4" w:space="0" w:color="auto"/>
            </w:tcBorders>
            <w:shd w:val="clear" w:color="auto" w:fill="auto"/>
            <w:noWrap/>
            <w:vAlign w:val="bottom"/>
            <w:hideMark/>
          </w:tcPr>
          <w:p w14:paraId="4CCBA1A0" w14:textId="1864333C"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811 942</w:t>
            </w:r>
          </w:p>
        </w:tc>
        <w:tc>
          <w:tcPr>
            <w:tcW w:w="1080" w:type="dxa"/>
            <w:tcBorders>
              <w:top w:val="nil"/>
              <w:left w:val="nil"/>
              <w:bottom w:val="single" w:sz="4" w:space="0" w:color="auto"/>
              <w:right w:val="single" w:sz="4" w:space="0" w:color="auto"/>
            </w:tcBorders>
            <w:shd w:val="clear" w:color="auto" w:fill="auto"/>
            <w:noWrap/>
            <w:vAlign w:val="bottom"/>
            <w:hideMark/>
          </w:tcPr>
          <w:p w14:paraId="3B04566F" w14:textId="2E19363D"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1 571 886</w:t>
            </w:r>
          </w:p>
        </w:tc>
      </w:tr>
      <w:tr w:rsidR="00625F10" w:rsidRPr="00BA52C1" w14:paraId="316E9F15"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95BABD4" w14:textId="77777777" w:rsidR="00625F10" w:rsidRPr="00BA52C1" w:rsidRDefault="00625F10" w:rsidP="00625F10">
            <w:pPr>
              <w:pStyle w:val="CBDTableNormal"/>
              <w:spacing w:before="0" w:after="0"/>
              <w:rPr>
                <w:sz w:val="18"/>
                <w:szCs w:val="18"/>
                <w:lang w:val="fr-FR" w:eastAsia="en-CA"/>
              </w:rPr>
            </w:pPr>
            <w:r w:rsidRPr="00BA52C1">
              <w:rPr>
                <w:sz w:val="18"/>
                <w:szCs w:val="18"/>
                <w:lang w:val="fr-FR" w:eastAsia="en-CA"/>
              </w:rPr>
              <w:t>Gabon</w:t>
            </w:r>
          </w:p>
        </w:tc>
        <w:tc>
          <w:tcPr>
            <w:tcW w:w="1628" w:type="dxa"/>
            <w:tcBorders>
              <w:top w:val="nil"/>
              <w:left w:val="nil"/>
              <w:bottom w:val="single" w:sz="4" w:space="0" w:color="auto"/>
              <w:right w:val="single" w:sz="4" w:space="0" w:color="auto"/>
            </w:tcBorders>
            <w:shd w:val="clear" w:color="auto" w:fill="auto"/>
            <w:vAlign w:val="bottom"/>
            <w:hideMark/>
          </w:tcPr>
          <w:p w14:paraId="1CDBA73B" w14:textId="3EE95AC8"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013</w:t>
            </w:r>
          </w:p>
        </w:tc>
        <w:tc>
          <w:tcPr>
            <w:tcW w:w="2198" w:type="dxa"/>
            <w:tcBorders>
              <w:top w:val="nil"/>
              <w:left w:val="nil"/>
              <w:bottom w:val="single" w:sz="4" w:space="0" w:color="auto"/>
              <w:right w:val="single" w:sz="4" w:space="0" w:color="auto"/>
            </w:tcBorders>
            <w:shd w:val="clear" w:color="auto" w:fill="auto"/>
            <w:noWrap/>
            <w:vAlign w:val="bottom"/>
            <w:hideMark/>
          </w:tcPr>
          <w:p w14:paraId="31AB334A" w14:textId="27728E96"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016</w:t>
            </w:r>
          </w:p>
        </w:tc>
        <w:tc>
          <w:tcPr>
            <w:tcW w:w="1176" w:type="dxa"/>
            <w:tcBorders>
              <w:top w:val="nil"/>
              <w:left w:val="nil"/>
              <w:bottom w:val="single" w:sz="4" w:space="0" w:color="auto"/>
              <w:right w:val="single" w:sz="4" w:space="0" w:color="auto"/>
            </w:tcBorders>
            <w:shd w:val="clear" w:color="auto" w:fill="auto"/>
            <w:noWrap/>
            <w:vAlign w:val="bottom"/>
            <w:hideMark/>
          </w:tcPr>
          <w:p w14:paraId="0FDB61D9" w14:textId="384B7DC7"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2 288</w:t>
            </w:r>
          </w:p>
        </w:tc>
        <w:tc>
          <w:tcPr>
            <w:tcW w:w="1461" w:type="dxa"/>
            <w:tcBorders>
              <w:top w:val="nil"/>
              <w:left w:val="nil"/>
              <w:bottom w:val="single" w:sz="4" w:space="0" w:color="auto"/>
              <w:right w:val="single" w:sz="4" w:space="0" w:color="auto"/>
            </w:tcBorders>
            <w:shd w:val="clear" w:color="auto" w:fill="auto"/>
            <w:noWrap/>
            <w:vAlign w:val="bottom"/>
            <w:hideMark/>
          </w:tcPr>
          <w:p w14:paraId="6E456BA4" w14:textId="76D2F7B9"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2 444</w:t>
            </w:r>
          </w:p>
        </w:tc>
        <w:tc>
          <w:tcPr>
            <w:tcW w:w="1080" w:type="dxa"/>
            <w:tcBorders>
              <w:top w:val="nil"/>
              <w:left w:val="nil"/>
              <w:bottom w:val="single" w:sz="4" w:space="0" w:color="auto"/>
              <w:right w:val="single" w:sz="4" w:space="0" w:color="auto"/>
            </w:tcBorders>
            <w:shd w:val="clear" w:color="auto" w:fill="auto"/>
            <w:noWrap/>
            <w:vAlign w:val="bottom"/>
            <w:hideMark/>
          </w:tcPr>
          <w:p w14:paraId="783F5A0D" w14:textId="1C84227F"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4 732</w:t>
            </w:r>
          </w:p>
        </w:tc>
      </w:tr>
      <w:tr w:rsidR="00625F10" w:rsidRPr="00BA52C1" w14:paraId="14B6E801"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BD9B3EE" w14:textId="1C1F51A3" w:rsidR="00625F10" w:rsidRPr="00BA52C1" w:rsidRDefault="00625F10" w:rsidP="00625F10">
            <w:pPr>
              <w:pStyle w:val="CBDTableNormal"/>
              <w:spacing w:before="0" w:after="0"/>
              <w:rPr>
                <w:sz w:val="18"/>
                <w:szCs w:val="18"/>
                <w:lang w:val="fr-FR" w:eastAsia="en-CA"/>
              </w:rPr>
            </w:pPr>
            <w:r w:rsidRPr="00BA52C1">
              <w:rPr>
                <w:sz w:val="18"/>
                <w:szCs w:val="18"/>
                <w:lang w:val="fr-FR" w:eastAsia="en-CA"/>
              </w:rPr>
              <w:t>Gambi</w:t>
            </w:r>
            <w:r>
              <w:rPr>
                <w:sz w:val="18"/>
                <w:szCs w:val="18"/>
                <w:lang w:val="fr-FR" w:eastAsia="en-CA"/>
              </w:rPr>
              <w:t>e</w:t>
            </w:r>
          </w:p>
        </w:tc>
        <w:tc>
          <w:tcPr>
            <w:tcW w:w="1628" w:type="dxa"/>
            <w:tcBorders>
              <w:top w:val="nil"/>
              <w:left w:val="nil"/>
              <w:bottom w:val="single" w:sz="4" w:space="0" w:color="auto"/>
              <w:right w:val="single" w:sz="4" w:space="0" w:color="auto"/>
            </w:tcBorders>
            <w:shd w:val="clear" w:color="auto" w:fill="auto"/>
            <w:vAlign w:val="bottom"/>
            <w:hideMark/>
          </w:tcPr>
          <w:p w14:paraId="69D8A05A" w14:textId="311228DE"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2198" w:type="dxa"/>
            <w:tcBorders>
              <w:top w:val="nil"/>
              <w:left w:val="nil"/>
              <w:bottom w:val="single" w:sz="4" w:space="0" w:color="auto"/>
              <w:right w:val="single" w:sz="4" w:space="0" w:color="auto"/>
            </w:tcBorders>
            <w:shd w:val="clear" w:color="auto" w:fill="auto"/>
            <w:noWrap/>
            <w:vAlign w:val="bottom"/>
            <w:hideMark/>
          </w:tcPr>
          <w:p w14:paraId="368C964E" w14:textId="157210E2"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1176" w:type="dxa"/>
            <w:tcBorders>
              <w:top w:val="nil"/>
              <w:left w:val="nil"/>
              <w:bottom w:val="single" w:sz="4" w:space="0" w:color="auto"/>
              <w:right w:val="single" w:sz="4" w:space="0" w:color="auto"/>
            </w:tcBorders>
            <w:shd w:val="clear" w:color="auto" w:fill="auto"/>
            <w:noWrap/>
            <w:vAlign w:val="bottom"/>
            <w:hideMark/>
          </w:tcPr>
          <w:p w14:paraId="4A6F009B" w14:textId="14982A9F"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1F772515" w14:textId="0EC0C9F6"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38D66A40" w14:textId="22838E5D"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364</w:t>
            </w:r>
          </w:p>
        </w:tc>
      </w:tr>
      <w:tr w:rsidR="00625F10" w:rsidRPr="00BA52C1" w14:paraId="57663EAC"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7EF1E2B" w14:textId="510BE7F2" w:rsidR="00625F10" w:rsidRPr="00BA52C1" w:rsidRDefault="00625F10" w:rsidP="00625F10">
            <w:pPr>
              <w:pStyle w:val="CBDTableNormal"/>
              <w:spacing w:before="0" w:after="0"/>
              <w:rPr>
                <w:sz w:val="18"/>
                <w:szCs w:val="18"/>
                <w:lang w:val="fr-FR" w:eastAsia="en-CA"/>
              </w:rPr>
            </w:pPr>
            <w:r w:rsidRPr="00BA52C1">
              <w:rPr>
                <w:sz w:val="18"/>
                <w:szCs w:val="18"/>
                <w:lang w:val="fr-FR" w:eastAsia="en-CA"/>
              </w:rPr>
              <w:t>G</w:t>
            </w:r>
            <w:r>
              <w:rPr>
                <w:sz w:val="18"/>
                <w:szCs w:val="18"/>
                <w:lang w:val="fr-FR" w:eastAsia="en-CA"/>
              </w:rPr>
              <w:t>é</w:t>
            </w:r>
            <w:r w:rsidRPr="00BA52C1">
              <w:rPr>
                <w:sz w:val="18"/>
                <w:szCs w:val="18"/>
                <w:lang w:val="fr-FR" w:eastAsia="en-CA"/>
              </w:rPr>
              <w:t>orgi</w:t>
            </w:r>
            <w:r>
              <w:rPr>
                <w:sz w:val="18"/>
                <w:szCs w:val="18"/>
                <w:lang w:val="fr-FR" w:eastAsia="en-CA"/>
              </w:rPr>
              <w:t>e</w:t>
            </w:r>
          </w:p>
        </w:tc>
        <w:tc>
          <w:tcPr>
            <w:tcW w:w="1628" w:type="dxa"/>
            <w:tcBorders>
              <w:top w:val="nil"/>
              <w:left w:val="nil"/>
              <w:bottom w:val="single" w:sz="4" w:space="0" w:color="auto"/>
              <w:right w:val="single" w:sz="4" w:space="0" w:color="auto"/>
            </w:tcBorders>
            <w:shd w:val="clear" w:color="auto" w:fill="auto"/>
            <w:vAlign w:val="bottom"/>
            <w:hideMark/>
          </w:tcPr>
          <w:p w14:paraId="3B652D1D" w14:textId="64D4CFB0"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008</w:t>
            </w:r>
          </w:p>
        </w:tc>
        <w:tc>
          <w:tcPr>
            <w:tcW w:w="2198" w:type="dxa"/>
            <w:tcBorders>
              <w:top w:val="nil"/>
              <w:left w:val="nil"/>
              <w:bottom w:val="single" w:sz="4" w:space="0" w:color="auto"/>
              <w:right w:val="single" w:sz="4" w:space="0" w:color="auto"/>
            </w:tcBorders>
            <w:shd w:val="clear" w:color="auto" w:fill="auto"/>
            <w:noWrap/>
            <w:vAlign w:val="bottom"/>
            <w:hideMark/>
          </w:tcPr>
          <w:p w14:paraId="3380950A" w14:textId="088129A7"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010</w:t>
            </w:r>
          </w:p>
        </w:tc>
        <w:tc>
          <w:tcPr>
            <w:tcW w:w="1176" w:type="dxa"/>
            <w:tcBorders>
              <w:top w:val="nil"/>
              <w:left w:val="nil"/>
              <w:bottom w:val="single" w:sz="4" w:space="0" w:color="auto"/>
              <w:right w:val="single" w:sz="4" w:space="0" w:color="auto"/>
            </w:tcBorders>
            <w:shd w:val="clear" w:color="auto" w:fill="auto"/>
            <w:noWrap/>
            <w:vAlign w:val="bottom"/>
            <w:hideMark/>
          </w:tcPr>
          <w:p w14:paraId="66E282DD" w14:textId="6DADF460"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1 408</w:t>
            </w:r>
          </w:p>
        </w:tc>
        <w:tc>
          <w:tcPr>
            <w:tcW w:w="1461" w:type="dxa"/>
            <w:tcBorders>
              <w:top w:val="nil"/>
              <w:left w:val="nil"/>
              <w:bottom w:val="single" w:sz="4" w:space="0" w:color="auto"/>
              <w:right w:val="single" w:sz="4" w:space="0" w:color="auto"/>
            </w:tcBorders>
            <w:shd w:val="clear" w:color="auto" w:fill="auto"/>
            <w:noWrap/>
            <w:vAlign w:val="bottom"/>
            <w:hideMark/>
          </w:tcPr>
          <w:p w14:paraId="1AC33726" w14:textId="14603966"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1 504</w:t>
            </w:r>
          </w:p>
        </w:tc>
        <w:tc>
          <w:tcPr>
            <w:tcW w:w="1080" w:type="dxa"/>
            <w:tcBorders>
              <w:top w:val="nil"/>
              <w:left w:val="nil"/>
              <w:bottom w:val="single" w:sz="4" w:space="0" w:color="auto"/>
              <w:right w:val="single" w:sz="4" w:space="0" w:color="auto"/>
            </w:tcBorders>
            <w:shd w:val="clear" w:color="auto" w:fill="auto"/>
            <w:noWrap/>
            <w:vAlign w:val="bottom"/>
            <w:hideMark/>
          </w:tcPr>
          <w:p w14:paraId="4E275EA2" w14:textId="70B25F3C"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2 912</w:t>
            </w:r>
          </w:p>
        </w:tc>
      </w:tr>
      <w:tr w:rsidR="00625F10" w:rsidRPr="00BA52C1" w14:paraId="54AB97BF"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4B78561" w14:textId="77777777" w:rsidR="00625F10" w:rsidRPr="00BA52C1" w:rsidRDefault="00625F10" w:rsidP="00625F10">
            <w:pPr>
              <w:pStyle w:val="CBDTableNormal"/>
              <w:spacing w:before="0" w:after="0"/>
              <w:rPr>
                <w:sz w:val="18"/>
                <w:szCs w:val="18"/>
                <w:lang w:val="fr-FR" w:eastAsia="en-CA"/>
              </w:rPr>
            </w:pPr>
            <w:r w:rsidRPr="00BA52C1">
              <w:rPr>
                <w:sz w:val="18"/>
                <w:szCs w:val="18"/>
                <w:lang w:val="fr-FR" w:eastAsia="en-CA"/>
              </w:rPr>
              <w:t>Ghana</w:t>
            </w:r>
          </w:p>
        </w:tc>
        <w:tc>
          <w:tcPr>
            <w:tcW w:w="1628" w:type="dxa"/>
            <w:tcBorders>
              <w:top w:val="nil"/>
              <w:left w:val="nil"/>
              <w:bottom w:val="single" w:sz="4" w:space="0" w:color="auto"/>
              <w:right w:val="single" w:sz="4" w:space="0" w:color="auto"/>
            </w:tcBorders>
            <w:shd w:val="clear" w:color="auto" w:fill="auto"/>
            <w:vAlign w:val="bottom"/>
            <w:hideMark/>
          </w:tcPr>
          <w:p w14:paraId="0F847A3C" w14:textId="06B23670"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024</w:t>
            </w:r>
          </w:p>
        </w:tc>
        <w:tc>
          <w:tcPr>
            <w:tcW w:w="2198" w:type="dxa"/>
            <w:tcBorders>
              <w:top w:val="nil"/>
              <w:left w:val="nil"/>
              <w:bottom w:val="single" w:sz="4" w:space="0" w:color="auto"/>
              <w:right w:val="single" w:sz="4" w:space="0" w:color="auto"/>
            </w:tcBorders>
            <w:shd w:val="clear" w:color="auto" w:fill="auto"/>
            <w:noWrap/>
            <w:vAlign w:val="bottom"/>
            <w:hideMark/>
          </w:tcPr>
          <w:p w14:paraId="685218C6" w14:textId="72C21183"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030</w:t>
            </w:r>
          </w:p>
        </w:tc>
        <w:tc>
          <w:tcPr>
            <w:tcW w:w="1176" w:type="dxa"/>
            <w:tcBorders>
              <w:top w:val="nil"/>
              <w:left w:val="nil"/>
              <w:bottom w:val="single" w:sz="4" w:space="0" w:color="auto"/>
              <w:right w:val="single" w:sz="4" w:space="0" w:color="auto"/>
            </w:tcBorders>
            <w:shd w:val="clear" w:color="auto" w:fill="auto"/>
            <w:noWrap/>
            <w:vAlign w:val="bottom"/>
            <w:hideMark/>
          </w:tcPr>
          <w:p w14:paraId="308D60FC" w14:textId="1E1F9781"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4 224</w:t>
            </w:r>
          </w:p>
        </w:tc>
        <w:tc>
          <w:tcPr>
            <w:tcW w:w="1461" w:type="dxa"/>
            <w:tcBorders>
              <w:top w:val="nil"/>
              <w:left w:val="nil"/>
              <w:bottom w:val="single" w:sz="4" w:space="0" w:color="auto"/>
              <w:right w:val="single" w:sz="4" w:space="0" w:color="auto"/>
            </w:tcBorders>
            <w:shd w:val="clear" w:color="auto" w:fill="auto"/>
            <w:noWrap/>
            <w:vAlign w:val="bottom"/>
            <w:hideMark/>
          </w:tcPr>
          <w:p w14:paraId="3ACE8375" w14:textId="489E8581"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4 513</w:t>
            </w:r>
          </w:p>
        </w:tc>
        <w:tc>
          <w:tcPr>
            <w:tcW w:w="1080" w:type="dxa"/>
            <w:tcBorders>
              <w:top w:val="nil"/>
              <w:left w:val="nil"/>
              <w:bottom w:val="single" w:sz="4" w:space="0" w:color="auto"/>
              <w:right w:val="single" w:sz="4" w:space="0" w:color="auto"/>
            </w:tcBorders>
            <w:shd w:val="clear" w:color="auto" w:fill="auto"/>
            <w:noWrap/>
            <w:vAlign w:val="bottom"/>
            <w:hideMark/>
          </w:tcPr>
          <w:p w14:paraId="1F95E62A" w14:textId="7D486AB4"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8 737</w:t>
            </w:r>
          </w:p>
        </w:tc>
      </w:tr>
      <w:tr w:rsidR="00625F10" w:rsidRPr="00BA52C1" w14:paraId="53BD58BA"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5E966F5" w14:textId="2EA4E2ED" w:rsidR="00625F10" w:rsidRPr="00BA52C1" w:rsidRDefault="00625F10" w:rsidP="00625F10">
            <w:pPr>
              <w:pStyle w:val="CBDTableNormal"/>
              <w:spacing w:before="0" w:after="0"/>
              <w:rPr>
                <w:sz w:val="18"/>
                <w:szCs w:val="18"/>
                <w:lang w:val="fr-FR" w:eastAsia="en-CA"/>
              </w:rPr>
            </w:pPr>
            <w:r w:rsidRPr="00BA52C1">
              <w:rPr>
                <w:sz w:val="18"/>
                <w:szCs w:val="18"/>
                <w:lang w:val="fr-FR" w:eastAsia="en-CA"/>
              </w:rPr>
              <w:t>Gr</w:t>
            </w:r>
            <w:r>
              <w:rPr>
                <w:sz w:val="18"/>
                <w:szCs w:val="18"/>
                <w:lang w:val="fr-FR" w:eastAsia="en-CA"/>
              </w:rPr>
              <w:t>èc</w:t>
            </w:r>
            <w:r w:rsidRPr="00BA52C1">
              <w:rPr>
                <w:sz w:val="18"/>
                <w:szCs w:val="18"/>
                <w:lang w:val="fr-FR" w:eastAsia="en-CA"/>
              </w:rPr>
              <w:t>e</w:t>
            </w:r>
          </w:p>
        </w:tc>
        <w:tc>
          <w:tcPr>
            <w:tcW w:w="1628" w:type="dxa"/>
            <w:tcBorders>
              <w:top w:val="nil"/>
              <w:left w:val="nil"/>
              <w:bottom w:val="single" w:sz="4" w:space="0" w:color="auto"/>
              <w:right w:val="single" w:sz="4" w:space="0" w:color="auto"/>
            </w:tcBorders>
            <w:shd w:val="clear" w:color="auto" w:fill="auto"/>
            <w:vAlign w:val="bottom"/>
            <w:hideMark/>
          </w:tcPr>
          <w:p w14:paraId="761FA668" w14:textId="5EA70A2E"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325</w:t>
            </w:r>
          </w:p>
        </w:tc>
        <w:tc>
          <w:tcPr>
            <w:tcW w:w="2198" w:type="dxa"/>
            <w:tcBorders>
              <w:top w:val="nil"/>
              <w:left w:val="nil"/>
              <w:bottom w:val="single" w:sz="4" w:space="0" w:color="auto"/>
              <w:right w:val="single" w:sz="4" w:space="0" w:color="auto"/>
            </w:tcBorders>
            <w:shd w:val="clear" w:color="auto" w:fill="auto"/>
            <w:noWrap/>
            <w:vAlign w:val="bottom"/>
            <w:hideMark/>
          </w:tcPr>
          <w:p w14:paraId="373FE914" w14:textId="7B8BD60D"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406</w:t>
            </w:r>
          </w:p>
        </w:tc>
        <w:tc>
          <w:tcPr>
            <w:tcW w:w="1176" w:type="dxa"/>
            <w:tcBorders>
              <w:top w:val="nil"/>
              <w:left w:val="nil"/>
              <w:bottom w:val="single" w:sz="4" w:space="0" w:color="auto"/>
              <w:right w:val="single" w:sz="4" w:space="0" w:color="auto"/>
            </w:tcBorders>
            <w:shd w:val="clear" w:color="auto" w:fill="auto"/>
            <w:noWrap/>
            <w:vAlign w:val="bottom"/>
            <w:hideMark/>
          </w:tcPr>
          <w:p w14:paraId="29DD8380" w14:textId="3341CFA7"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57 198</w:t>
            </w:r>
          </w:p>
        </w:tc>
        <w:tc>
          <w:tcPr>
            <w:tcW w:w="1461" w:type="dxa"/>
            <w:tcBorders>
              <w:top w:val="nil"/>
              <w:left w:val="nil"/>
              <w:bottom w:val="single" w:sz="4" w:space="0" w:color="auto"/>
              <w:right w:val="single" w:sz="4" w:space="0" w:color="auto"/>
            </w:tcBorders>
            <w:shd w:val="clear" w:color="auto" w:fill="auto"/>
            <w:noWrap/>
            <w:vAlign w:val="bottom"/>
            <w:hideMark/>
          </w:tcPr>
          <w:p w14:paraId="320A9A2C" w14:textId="77C7C81F"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61 112</w:t>
            </w:r>
          </w:p>
        </w:tc>
        <w:tc>
          <w:tcPr>
            <w:tcW w:w="1080" w:type="dxa"/>
            <w:tcBorders>
              <w:top w:val="nil"/>
              <w:left w:val="nil"/>
              <w:bottom w:val="single" w:sz="4" w:space="0" w:color="auto"/>
              <w:right w:val="single" w:sz="4" w:space="0" w:color="auto"/>
            </w:tcBorders>
            <w:shd w:val="clear" w:color="auto" w:fill="auto"/>
            <w:noWrap/>
            <w:vAlign w:val="bottom"/>
            <w:hideMark/>
          </w:tcPr>
          <w:p w14:paraId="5BC94733" w14:textId="14BCFECA"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118 310</w:t>
            </w:r>
          </w:p>
        </w:tc>
      </w:tr>
      <w:tr w:rsidR="00625F10" w:rsidRPr="00BA52C1" w14:paraId="7AA8AD5A"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201B250" w14:textId="1EAFA897" w:rsidR="00625F10" w:rsidRPr="00BA52C1" w:rsidRDefault="00625F10" w:rsidP="00625F10">
            <w:pPr>
              <w:pStyle w:val="CBDTableNormal"/>
              <w:spacing w:before="0" w:after="0"/>
              <w:rPr>
                <w:sz w:val="18"/>
                <w:szCs w:val="18"/>
                <w:lang w:val="fr-FR" w:eastAsia="en-CA"/>
              </w:rPr>
            </w:pPr>
            <w:r w:rsidRPr="00BA52C1">
              <w:rPr>
                <w:sz w:val="18"/>
                <w:szCs w:val="18"/>
                <w:lang w:val="fr-FR" w:eastAsia="en-CA"/>
              </w:rPr>
              <w:t>Grenad</w:t>
            </w:r>
            <w:r>
              <w:rPr>
                <w:sz w:val="18"/>
                <w:szCs w:val="18"/>
                <w:lang w:val="fr-FR" w:eastAsia="en-CA"/>
              </w:rPr>
              <w:t>e</w:t>
            </w:r>
          </w:p>
        </w:tc>
        <w:tc>
          <w:tcPr>
            <w:tcW w:w="1628" w:type="dxa"/>
            <w:tcBorders>
              <w:top w:val="nil"/>
              <w:left w:val="nil"/>
              <w:bottom w:val="single" w:sz="4" w:space="0" w:color="auto"/>
              <w:right w:val="single" w:sz="4" w:space="0" w:color="auto"/>
            </w:tcBorders>
            <w:shd w:val="clear" w:color="auto" w:fill="auto"/>
            <w:vAlign w:val="bottom"/>
            <w:hideMark/>
          </w:tcPr>
          <w:p w14:paraId="36225944" w14:textId="0F842393"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2198" w:type="dxa"/>
            <w:tcBorders>
              <w:top w:val="nil"/>
              <w:left w:val="nil"/>
              <w:bottom w:val="single" w:sz="4" w:space="0" w:color="auto"/>
              <w:right w:val="single" w:sz="4" w:space="0" w:color="auto"/>
            </w:tcBorders>
            <w:shd w:val="clear" w:color="auto" w:fill="auto"/>
            <w:noWrap/>
            <w:vAlign w:val="bottom"/>
            <w:hideMark/>
          </w:tcPr>
          <w:p w14:paraId="5EC75400" w14:textId="78ED2BAC"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1176" w:type="dxa"/>
            <w:tcBorders>
              <w:top w:val="nil"/>
              <w:left w:val="nil"/>
              <w:bottom w:val="single" w:sz="4" w:space="0" w:color="auto"/>
              <w:right w:val="single" w:sz="4" w:space="0" w:color="auto"/>
            </w:tcBorders>
            <w:shd w:val="clear" w:color="auto" w:fill="auto"/>
            <w:noWrap/>
            <w:vAlign w:val="bottom"/>
            <w:hideMark/>
          </w:tcPr>
          <w:p w14:paraId="1FEE7D16" w14:textId="65820A3A"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1B417CDA" w14:textId="49E7B8D3"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3A5F7217" w14:textId="7FC48CC2"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364</w:t>
            </w:r>
          </w:p>
        </w:tc>
      </w:tr>
      <w:tr w:rsidR="00625F10" w:rsidRPr="00BA52C1" w14:paraId="7BC6D8A7"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40F3D19" w14:textId="77777777" w:rsidR="00625F10" w:rsidRPr="00BA52C1" w:rsidRDefault="00625F10" w:rsidP="00625F10">
            <w:pPr>
              <w:pStyle w:val="CBDTableNormal"/>
              <w:spacing w:before="0" w:after="0"/>
              <w:rPr>
                <w:sz w:val="18"/>
                <w:szCs w:val="18"/>
                <w:lang w:val="fr-FR" w:eastAsia="en-CA"/>
              </w:rPr>
            </w:pPr>
            <w:r w:rsidRPr="00BA52C1">
              <w:rPr>
                <w:sz w:val="18"/>
                <w:szCs w:val="18"/>
                <w:lang w:val="fr-FR" w:eastAsia="en-CA"/>
              </w:rPr>
              <w:t>Guatemala</w:t>
            </w:r>
          </w:p>
        </w:tc>
        <w:tc>
          <w:tcPr>
            <w:tcW w:w="1628" w:type="dxa"/>
            <w:tcBorders>
              <w:top w:val="nil"/>
              <w:left w:val="nil"/>
              <w:bottom w:val="single" w:sz="4" w:space="0" w:color="auto"/>
              <w:right w:val="single" w:sz="4" w:space="0" w:color="auto"/>
            </w:tcBorders>
            <w:shd w:val="clear" w:color="auto" w:fill="auto"/>
            <w:vAlign w:val="bottom"/>
            <w:hideMark/>
          </w:tcPr>
          <w:p w14:paraId="47A7B509" w14:textId="5A013DD3"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041</w:t>
            </w:r>
          </w:p>
        </w:tc>
        <w:tc>
          <w:tcPr>
            <w:tcW w:w="2198" w:type="dxa"/>
            <w:tcBorders>
              <w:top w:val="nil"/>
              <w:left w:val="nil"/>
              <w:bottom w:val="single" w:sz="4" w:space="0" w:color="auto"/>
              <w:right w:val="single" w:sz="4" w:space="0" w:color="auto"/>
            </w:tcBorders>
            <w:shd w:val="clear" w:color="auto" w:fill="auto"/>
            <w:noWrap/>
            <w:vAlign w:val="bottom"/>
            <w:hideMark/>
          </w:tcPr>
          <w:p w14:paraId="07D8E2A7" w14:textId="2C2D4F8B"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051</w:t>
            </w:r>
          </w:p>
        </w:tc>
        <w:tc>
          <w:tcPr>
            <w:tcW w:w="1176" w:type="dxa"/>
            <w:tcBorders>
              <w:top w:val="nil"/>
              <w:left w:val="nil"/>
              <w:bottom w:val="single" w:sz="4" w:space="0" w:color="auto"/>
              <w:right w:val="single" w:sz="4" w:space="0" w:color="auto"/>
            </w:tcBorders>
            <w:shd w:val="clear" w:color="auto" w:fill="auto"/>
            <w:noWrap/>
            <w:vAlign w:val="bottom"/>
            <w:hideMark/>
          </w:tcPr>
          <w:p w14:paraId="267BE5FB" w14:textId="0C601E73"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7 216</w:t>
            </w:r>
          </w:p>
        </w:tc>
        <w:tc>
          <w:tcPr>
            <w:tcW w:w="1461" w:type="dxa"/>
            <w:tcBorders>
              <w:top w:val="nil"/>
              <w:left w:val="nil"/>
              <w:bottom w:val="single" w:sz="4" w:space="0" w:color="auto"/>
              <w:right w:val="single" w:sz="4" w:space="0" w:color="auto"/>
            </w:tcBorders>
            <w:shd w:val="clear" w:color="auto" w:fill="auto"/>
            <w:noWrap/>
            <w:vAlign w:val="bottom"/>
            <w:hideMark/>
          </w:tcPr>
          <w:p w14:paraId="7A328255" w14:textId="3EDF7CDE"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7 709</w:t>
            </w:r>
          </w:p>
        </w:tc>
        <w:tc>
          <w:tcPr>
            <w:tcW w:w="1080" w:type="dxa"/>
            <w:tcBorders>
              <w:top w:val="nil"/>
              <w:left w:val="nil"/>
              <w:bottom w:val="single" w:sz="4" w:space="0" w:color="auto"/>
              <w:right w:val="single" w:sz="4" w:space="0" w:color="auto"/>
            </w:tcBorders>
            <w:shd w:val="clear" w:color="auto" w:fill="auto"/>
            <w:noWrap/>
            <w:vAlign w:val="bottom"/>
            <w:hideMark/>
          </w:tcPr>
          <w:p w14:paraId="7EBEE0E6" w14:textId="28E09162"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14 925</w:t>
            </w:r>
          </w:p>
        </w:tc>
      </w:tr>
      <w:tr w:rsidR="00625F10" w:rsidRPr="00BA52C1" w14:paraId="190BDC7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6727DAD" w14:textId="758704C3" w:rsidR="00625F10" w:rsidRPr="00BA52C1" w:rsidRDefault="00625F10" w:rsidP="00625F10">
            <w:pPr>
              <w:pStyle w:val="CBDTableNormal"/>
              <w:spacing w:before="0" w:after="0"/>
              <w:rPr>
                <w:sz w:val="18"/>
                <w:szCs w:val="18"/>
                <w:lang w:val="fr-FR" w:eastAsia="en-CA"/>
              </w:rPr>
            </w:pPr>
            <w:r w:rsidRPr="00BA52C1">
              <w:rPr>
                <w:sz w:val="18"/>
                <w:szCs w:val="18"/>
                <w:lang w:val="fr-FR" w:eastAsia="en-CA"/>
              </w:rPr>
              <w:t>Guin</w:t>
            </w:r>
            <w:r>
              <w:rPr>
                <w:sz w:val="18"/>
                <w:szCs w:val="18"/>
                <w:lang w:val="fr-FR" w:eastAsia="en-CA"/>
              </w:rPr>
              <w:t>ée</w:t>
            </w:r>
          </w:p>
        </w:tc>
        <w:tc>
          <w:tcPr>
            <w:tcW w:w="1628" w:type="dxa"/>
            <w:tcBorders>
              <w:top w:val="nil"/>
              <w:left w:val="nil"/>
              <w:bottom w:val="single" w:sz="4" w:space="0" w:color="auto"/>
              <w:right w:val="single" w:sz="4" w:space="0" w:color="auto"/>
            </w:tcBorders>
            <w:shd w:val="clear" w:color="auto" w:fill="auto"/>
            <w:vAlign w:val="bottom"/>
            <w:hideMark/>
          </w:tcPr>
          <w:p w14:paraId="414C04D4" w14:textId="05AEE45B"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003</w:t>
            </w:r>
          </w:p>
        </w:tc>
        <w:tc>
          <w:tcPr>
            <w:tcW w:w="2198" w:type="dxa"/>
            <w:tcBorders>
              <w:top w:val="nil"/>
              <w:left w:val="nil"/>
              <w:bottom w:val="single" w:sz="4" w:space="0" w:color="auto"/>
              <w:right w:val="single" w:sz="4" w:space="0" w:color="auto"/>
            </w:tcBorders>
            <w:shd w:val="clear" w:color="auto" w:fill="auto"/>
            <w:noWrap/>
            <w:vAlign w:val="bottom"/>
            <w:hideMark/>
          </w:tcPr>
          <w:p w14:paraId="1C620E96" w14:textId="0C6F2334"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004</w:t>
            </w:r>
          </w:p>
        </w:tc>
        <w:tc>
          <w:tcPr>
            <w:tcW w:w="1176" w:type="dxa"/>
            <w:tcBorders>
              <w:top w:val="nil"/>
              <w:left w:val="nil"/>
              <w:bottom w:val="single" w:sz="4" w:space="0" w:color="auto"/>
              <w:right w:val="single" w:sz="4" w:space="0" w:color="auto"/>
            </w:tcBorders>
            <w:shd w:val="clear" w:color="auto" w:fill="auto"/>
            <w:noWrap/>
            <w:vAlign w:val="bottom"/>
            <w:hideMark/>
          </w:tcPr>
          <w:p w14:paraId="78D65499" w14:textId="74622D05"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528</w:t>
            </w:r>
          </w:p>
        </w:tc>
        <w:tc>
          <w:tcPr>
            <w:tcW w:w="1461" w:type="dxa"/>
            <w:tcBorders>
              <w:top w:val="nil"/>
              <w:left w:val="nil"/>
              <w:bottom w:val="single" w:sz="4" w:space="0" w:color="auto"/>
              <w:right w:val="single" w:sz="4" w:space="0" w:color="auto"/>
            </w:tcBorders>
            <w:shd w:val="clear" w:color="auto" w:fill="auto"/>
            <w:noWrap/>
            <w:vAlign w:val="bottom"/>
            <w:hideMark/>
          </w:tcPr>
          <w:p w14:paraId="5178760E" w14:textId="0B796406"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564</w:t>
            </w:r>
          </w:p>
        </w:tc>
        <w:tc>
          <w:tcPr>
            <w:tcW w:w="1080" w:type="dxa"/>
            <w:tcBorders>
              <w:top w:val="nil"/>
              <w:left w:val="nil"/>
              <w:bottom w:val="single" w:sz="4" w:space="0" w:color="auto"/>
              <w:right w:val="single" w:sz="4" w:space="0" w:color="auto"/>
            </w:tcBorders>
            <w:shd w:val="clear" w:color="auto" w:fill="auto"/>
            <w:noWrap/>
            <w:vAlign w:val="bottom"/>
            <w:hideMark/>
          </w:tcPr>
          <w:p w14:paraId="1555D653" w14:textId="394E4642" w:rsidR="00625F10" w:rsidRPr="00BA52C1" w:rsidRDefault="00625F10" w:rsidP="00625F10">
            <w:pPr>
              <w:pStyle w:val="CBDTableNormal"/>
              <w:spacing w:before="0" w:after="0"/>
              <w:jc w:val="right"/>
              <w:rPr>
                <w:sz w:val="18"/>
                <w:szCs w:val="18"/>
                <w:lang w:val="fr-FR" w:eastAsia="en-CA"/>
              </w:rPr>
            </w:pPr>
            <w:r w:rsidRPr="00BA52C1">
              <w:rPr>
                <w:sz w:val="18"/>
                <w:szCs w:val="18"/>
                <w:lang w:val="fr-FR" w:eastAsia="en-CA"/>
              </w:rPr>
              <w:t>1 092</w:t>
            </w:r>
          </w:p>
        </w:tc>
      </w:tr>
      <w:tr w:rsidR="00C50613" w:rsidRPr="00BA52C1" w14:paraId="59188B94"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tcPr>
          <w:p w14:paraId="469FD50F" w14:textId="5ED22D7E" w:rsidR="00C50613" w:rsidRPr="00BA52C1" w:rsidRDefault="00C50613" w:rsidP="00C50613">
            <w:pPr>
              <w:pStyle w:val="CBDTableNormal"/>
              <w:spacing w:before="0" w:after="0"/>
              <w:rPr>
                <w:sz w:val="18"/>
                <w:szCs w:val="18"/>
                <w:lang w:val="fr-FR" w:eastAsia="en-CA"/>
              </w:rPr>
            </w:pPr>
            <w:r w:rsidRPr="00BA52C1">
              <w:rPr>
                <w:sz w:val="18"/>
                <w:szCs w:val="18"/>
                <w:lang w:val="fr-FR" w:eastAsia="en-CA"/>
              </w:rPr>
              <w:t>Guin</w:t>
            </w:r>
            <w:r>
              <w:rPr>
                <w:sz w:val="18"/>
                <w:szCs w:val="18"/>
                <w:lang w:val="fr-FR" w:eastAsia="en-CA"/>
              </w:rPr>
              <w:t>ée équatoriale</w:t>
            </w:r>
          </w:p>
        </w:tc>
        <w:tc>
          <w:tcPr>
            <w:tcW w:w="1628" w:type="dxa"/>
            <w:tcBorders>
              <w:top w:val="nil"/>
              <w:left w:val="nil"/>
              <w:bottom w:val="single" w:sz="4" w:space="0" w:color="auto"/>
              <w:right w:val="single" w:sz="4" w:space="0" w:color="auto"/>
            </w:tcBorders>
            <w:shd w:val="clear" w:color="auto" w:fill="auto"/>
            <w:vAlign w:val="bottom"/>
          </w:tcPr>
          <w:p w14:paraId="7CBD6993" w14:textId="08862669"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012</w:t>
            </w:r>
          </w:p>
        </w:tc>
        <w:tc>
          <w:tcPr>
            <w:tcW w:w="2198" w:type="dxa"/>
            <w:tcBorders>
              <w:top w:val="nil"/>
              <w:left w:val="nil"/>
              <w:bottom w:val="single" w:sz="4" w:space="0" w:color="auto"/>
              <w:right w:val="single" w:sz="4" w:space="0" w:color="auto"/>
            </w:tcBorders>
            <w:shd w:val="clear" w:color="auto" w:fill="auto"/>
            <w:noWrap/>
            <w:vAlign w:val="bottom"/>
          </w:tcPr>
          <w:p w14:paraId="09883766" w14:textId="1D7C3BC0"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015</w:t>
            </w:r>
          </w:p>
        </w:tc>
        <w:tc>
          <w:tcPr>
            <w:tcW w:w="1176" w:type="dxa"/>
            <w:tcBorders>
              <w:top w:val="nil"/>
              <w:left w:val="nil"/>
              <w:bottom w:val="single" w:sz="4" w:space="0" w:color="auto"/>
              <w:right w:val="single" w:sz="4" w:space="0" w:color="auto"/>
            </w:tcBorders>
            <w:shd w:val="clear" w:color="auto" w:fill="auto"/>
            <w:noWrap/>
            <w:vAlign w:val="bottom"/>
          </w:tcPr>
          <w:p w14:paraId="49C1F56F" w14:textId="420CF1AB"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2 112</w:t>
            </w:r>
          </w:p>
        </w:tc>
        <w:tc>
          <w:tcPr>
            <w:tcW w:w="1461" w:type="dxa"/>
            <w:tcBorders>
              <w:top w:val="nil"/>
              <w:left w:val="nil"/>
              <w:bottom w:val="single" w:sz="4" w:space="0" w:color="auto"/>
              <w:right w:val="single" w:sz="4" w:space="0" w:color="auto"/>
            </w:tcBorders>
            <w:shd w:val="clear" w:color="auto" w:fill="auto"/>
            <w:noWrap/>
            <w:vAlign w:val="bottom"/>
          </w:tcPr>
          <w:p w14:paraId="30F171B3" w14:textId="059FFA73"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2 256</w:t>
            </w:r>
          </w:p>
        </w:tc>
        <w:tc>
          <w:tcPr>
            <w:tcW w:w="1080" w:type="dxa"/>
            <w:tcBorders>
              <w:top w:val="nil"/>
              <w:left w:val="nil"/>
              <w:bottom w:val="single" w:sz="4" w:space="0" w:color="auto"/>
              <w:right w:val="single" w:sz="4" w:space="0" w:color="auto"/>
            </w:tcBorders>
            <w:shd w:val="clear" w:color="auto" w:fill="auto"/>
            <w:noWrap/>
            <w:vAlign w:val="bottom"/>
          </w:tcPr>
          <w:p w14:paraId="39A3B9B8" w14:textId="6557D2A2"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4 368</w:t>
            </w:r>
          </w:p>
        </w:tc>
      </w:tr>
      <w:tr w:rsidR="00C50613" w:rsidRPr="00BA52C1" w14:paraId="70D0C2EB"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7155815" w14:textId="188589CB" w:rsidR="00C50613" w:rsidRPr="00BA52C1" w:rsidRDefault="00C50613" w:rsidP="00C50613">
            <w:pPr>
              <w:pStyle w:val="CBDTableNormal"/>
              <w:spacing w:before="0" w:after="0"/>
              <w:rPr>
                <w:sz w:val="18"/>
                <w:szCs w:val="18"/>
                <w:lang w:val="fr-FR" w:eastAsia="en-CA"/>
              </w:rPr>
            </w:pPr>
            <w:r w:rsidRPr="00BA52C1">
              <w:rPr>
                <w:sz w:val="18"/>
                <w:szCs w:val="18"/>
                <w:lang w:val="fr-FR" w:eastAsia="en-CA"/>
              </w:rPr>
              <w:t>Guin</w:t>
            </w:r>
            <w:r>
              <w:rPr>
                <w:sz w:val="18"/>
                <w:szCs w:val="18"/>
                <w:lang w:val="fr-FR" w:eastAsia="en-CA"/>
              </w:rPr>
              <w:t>ée</w:t>
            </w:r>
            <w:r w:rsidRPr="00BA52C1">
              <w:rPr>
                <w:sz w:val="18"/>
                <w:szCs w:val="18"/>
                <w:lang w:val="fr-FR" w:eastAsia="en-CA"/>
              </w:rPr>
              <w:t>-Bissau</w:t>
            </w:r>
          </w:p>
        </w:tc>
        <w:tc>
          <w:tcPr>
            <w:tcW w:w="1628" w:type="dxa"/>
            <w:tcBorders>
              <w:top w:val="nil"/>
              <w:left w:val="nil"/>
              <w:bottom w:val="single" w:sz="4" w:space="0" w:color="auto"/>
              <w:right w:val="single" w:sz="4" w:space="0" w:color="auto"/>
            </w:tcBorders>
            <w:shd w:val="clear" w:color="auto" w:fill="auto"/>
            <w:vAlign w:val="bottom"/>
            <w:hideMark/>
          </w:tcPr>
          <w:p w14:paraId="08E106D5" w14:textId="6BD84C1C"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2198" w:type="dxa"/>
            <w:tcBorders>
              <w:top w:val="nil"/>
              <w:left w:val="nil"/>
              <w:bottom w:val="single" w:sz="4" w:space="0" w:color="auto"/>
              <w:right w:val="single" w:sz="4" w:space="0" w:color="auto"/>
            </w:tcBorders>
            <w:shd w:val="clear" w:color="auto" w:fill="auto"/>
            <w:noWrap/>
            <w:vAlign w:val="bottom"/>
            <w:hideMark/>
          </w:tcPr>
          <w:p w14:paraId="3BCFCDC1" w14:textId="09C54387"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1176" w:type="dxa"/>
            <w:tcBorders>
              <w:top w:val="nil"/>
              <w:left w:val="nil"/>
              <w:bottom w:val="single" w:sz="4" w:space="0" w:color="auto"/>
              <w:right w:val="single" w:sz="4" w:space="0" w:color="auto"/>
            </w:tcBorders>
            <w:shd w:val="clear" w:color="auto" w:fill="auto"/>
            <w:noWrap/>
            <w:vAlign w:val="bottom"/>
            <w:hideMark/>
          </w:tcPr>
          <w:p w14:paraId="2E153DAE" w14:textId="66932E58"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7FEC0A82" w14:textId="12F84740"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1D5C1650" w14:textId="33A73604"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364</w:t>
            </w:r>
          </w:p>
        </w:tc>
      </w:tr>
      <w:tr w:rsidR="00C50613" w:rsidRPr="00BA52C1" w14:paraId="315F55A0"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3D292A2" w14:textId="77777777" w:rsidR="00C50613" w:rsidRPr="00BA52C1" w:rsidRDefault="00C50613" w:rsidP="00C50613">
            <w:pPr>
              <w:pStyle w:val="CBDTableNormal"/>
              <w:spacing w:before="0" w:after="0"/>
              <w:rPr>
                <w:sz w:val="18"/>
                <w:szCs w:val="18"/>
                <w:lang w:val="fr-FR" w:eastAsia="en-CA"/>
              </w:rPr>
            </w:pPr>
            <w:r w:rsidRPr="00BA52C1">
              <w:rPr>
                <w:sz w:val="18"/>
                <w:szCs w:val="18"/>
                <w:lang w:val="fr-FR" w:eastAsia="en-CA"/>
              </w:rPr>
              <w:t>Guyana</w:t>
            </w:r>
          </w:p>
        </w:tc>
        <w:tc>
          <w:tcPr>
            <w:tcW w:w="1628" w:type="dxa"/>
            <w:tcBorders>
              <w:top w:val="nil"/>
              <w:left w:val="nil"/>
              <w:bottom w:val="single" w:sz="4" w:space="0" w:color="auto"/>
              <w:right w:val="single" w:sz="4" w:space="0" w:color="auto"/>
            </w:tcBorders>
            <w:shd w:val="clear" w:color="auto" w:fill="auto"/>
            <w:vAlign w:val="bottom"/>
            <w:hideMark/>
          </w:tcPr>
          <w:p w14:paraId="104FFBA4" w14:textId="2744D427"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004</w:t>
            </w:r>
          </w:p>
        </w:tc>
        <w:tc>
          <w:tcPr>
            <w:tcW w:w="2198" w:type="dxa"/>
            <w:tcBorders>
              <w:top w:val="nil"/>
              <w:left w:val="nil"/>
              <w:bottom w:val="single" w:sz="4" w:space="0" w:color="auto"/>
              <w:right w:val="single" w:sz="4" w:space="0" w:color="auto"/>
            </w:tcBorders>
            <w:shd w:val="clear" w:color="auto" w:fill="auto"/>
            <w:noWrap/>
            <w:vAlign w:val="bottom"/>
            <w:hideMark/>
          </w:tcPr>
          <w:p w14:paraId="67756B30" w14:textId="03463C4A"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005</w:t>
            </w:r>
          </w:p>
        </w:tc>
        <w:tc>
          <w:tcPr>
            <w:tcW w:w="1176" w:type="dxa"/>
            <w:tcBorders>
              <w:top w:val="nil"/>
              <w:left w:val="nil"/>
              <w:bottom w:val="single" w:sz="4" w:space="0" w:color="auto"/>
              <w:right w:val="single" w:sz="4" w:space="0" w:color="auto"/>
            </w:tcBorders>
            <w:shd w:val="clear" w:color="auto" w:fill="auto"/>
            <w:noWrap/>
            <w:vAlign w:val="bottom"/>
            <w:hideMark/>
          </w:tcPr>
          <w:p w14:paraId="1E9DFB83" w14:textId="3234A510"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704</w:t>
            </w:r>
          </w:p>
        </w:tc>
        <w:tc>
          <w:tcPr>
            <w:tcW w:w="1461" w:type="dxa"/>
            <w:tcBorders>
              <w:top w:val="nil"/>
              <w:left w:val="nil"/>
              <w:bottom w:val="single" w:sz="4" w:space="0" w:color="auto"/>
              <w:right w:val="single" w:sz="4" w:space="0" w:color="auto"/>
            </w:tcBorders>
            <w:shd w:val="clear" w:color="auto" w:fill="auto"/>
            <w:noWrap/>
            <w:vAlign w:val="bottom"/>
            <w:hideMark/>
          </w:tcPr>
          <w:p w14:paraId="2DC699B9" w14:textId="5B9B0083"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752</w:t>
            </w:r>
          </w:p>
        </w:tc>
        <w:tc>
          <w:tcPr>
            <w:tcW w:w="1080" w:type="dxa"/>
            <w:tcBorders>
              <w:top w:val="nil"/>
              <w:left w:val="nil"/>
              <w:bottom w:val="single" w:sz="4" w:space="0" w:color="auto"/>
              <w:right w:val="single" w:sz="4" w:space="0" w:color="auto"/>
            </w:tcBorders>
            <w:shd w:val="clear" w:color="auto" w:fill="auto"/>
            <w:noWrap/>
            <w:vAlign w:val="bottom"/>
            <w:hideMark/>
          </w:tcPr>
          <w:p w14:paraId="37040C79" w14:textId="464F5AC6"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1 456</w:t>
            </w:r>
          </w:p>
        </w:tc>
      </w:tr>
      <w:tr w:rsidR="00C50613" w:rsidRPr="00BA52C1" w14:paraId="67600E92"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164A288" w14:textId="41E566D1" w:rsidR="00C50613" w:rsidRPr="00BA52C1" w:rsidRDefault="00C50613" w:rsidP="00C50613">
            <w:pPr>
              <w:pStyle w:val="CBDTableNormal"/>
              <w:spacing w:before="0" w:after="0"/>
              <w:rPr>
                <w:sz w:val="18"/>
                <w:szCs w:val="18"/>
                <w:lang w:val="fr-FR" w:eastAsia="en-CA"/>
              </w:rPr>
            </w:pPr>
            <w:r w:rsidRPr="00BA52C1">
              <w:rPr>
                <w:sz w:val="18"/>
                <w:szCs w:val="18"/>
                <w:lang w:val="fr-FR" w:eastAsia="en-CA"/>
              </w:rPr>
              <w:t>Ha</w:t>
            </w:r>
            <w:r>
              <w:rPr>
                <w:sz w:val="18"/>
                <w:szCs w:val="18"/>
                <w:lang w:val="fr-FR" w:eastAsia="en-CA"/>
              </w:rPr>
              <w:t>ïti</w:t>
            </w:r>
          </w:p>
        </w:tc>
        <w:tc>
          <w:tcPr>
            <w:tcW w:w="1628" w:type="dxa"/>
            <w:tcBorders>
              <w:top w:val="nil"/>
              <w:left w:val="nil"/>
              <w:bottom w:val="single" w:sz="4" w:space="0" w:color="auto"/>
              <w:right w:val="single" w:sz="4" w:space="0" w:color="auto"/>
            </w:tcBorders>
            <w:shd w:val="clear" w:color="auto" w:fill="auto"/>
            <w:vAlign w:val="bottom"/>
            <w:hideMark/>
          </w:tcPr>
          <w:p w14:paraId="7CBC1937" w14:textId="2B7C957A"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006</w:t>
            </w:r>
          </w:p>
        </w:tc>
        <w:tc>
          <w:tcPr>
            <w:tcW w:w="2198" w:type="dxa"/>
            <w:tcBorders>
              <w:top w:val="nil"/>
              <w:left w:val="nil"/>
              <w:bottom w:val="single" w:sz="4" w:space="0" w:color="auto"/>
              <w:right w:val="single" w:sz="4" w:space="0" w:color="auto"/>
            </w:tcBorders>
            <w:shd w:val="clear" w:color="auto" w:fill="auto"/>
            <w:noWrap/>
            <w:vAlign w:val="bottom"/>
            <w:hideMark/>
          </w:tcPr>
          <w:p w14:paraId="57203CB4" w14:textId="5BD6495F"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008</w:t>
            </w:r>
          </w:p>
        </w:tc>
        <w:tc>
          <w:tcPr>
            <w:tcW w:w="1176" w:type="dxa"/>
            <w:tcBorders>
              <w:top w:val="nil"/>
              <w:left w:val="nil"/>
              <w:bottom w:val="single" w:sz="4" w:space="0" w:color="auto"/>
              <w:right w:val="single" w:sz="4" w:space="0" w:color="auto"/>
            </w:tcBorders>
            <w:shd w:val="clear" w:color="auto" w:fill="auto"/>
            <w:noWrap/>
            <w:vAlign w:val="bottom"/>
            <w:hideMark/>
          </w:tcPr>
          <w:p w14:paraId="0AC5AA9F" w14:textId="6135DD94"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1 056</w:t>
            </w:r>
          </w:p>
        </w:tc>
        <w:tc>
          <w:tcPr>
            <w:tcW w:w="1461" w:type="dxa"/>
            <w:tcBorders>
              <w:top w:val="nil"/>
              <w:left w:val="nil"/>
              <w:bottom w:val="single" w:sz="4" w:space="0" w:color="auto"/>
              <w:right w:val="single" w:sz="4" w:space="0" w:color="auto"/>
            </w:tcBorders>
            <w:shd w:val="clear" w:color="auto" w:fill="auto"/>
            <w:noWrap/>
            <w:vAlign w:val="bottom"/>
            <w:hideMark/>
          </w:tcPr>
          <w:p w14:paraId="5C2F5872" w14:textId="16E11645"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1 128</w:t>
            </w:r>
          </w:p>
        </w:tc>
        <w:tc>
          <w:tcPr>
            <w:tcW w:w="1080" w:type="dxa"/>
            <w:tcBorders>
              <w:top w:val="nil"/>
              <w:left w:val="nil"/>
              <w:bottom w:val="single" w:sz="4" w:space="0" w:color="auto"/>
              <w:right w:val="single" w:sz="4" w:space="0" w:color="auto"/>
            </w:tcBorders>
            <w:shd w:val="clear" w:color="auto" w:fill="auto"/>
            <w:noWrap/>
            <w:vAlign w:val="bottom"/>
            <w:hideMark/>
          </w:tcPr>
          <w:p w14:paraId="1F610095" w14:textId="3B3AEB71"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2 184</w:t>
            </w:r>
          </w:p>
        </w:tc>
      </w:tr>
      <w:tr w:rsidR="00C50613" w:rsidRPr="00BA52C1" w14:paraId="699D22B4"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B1BEAF3" w14:textId="77777777" w:rsidR="00C50613" w:rsidRPr="00BA52C1" w:rsidRDefault="00C50613" w:rsidP="00C50613">
            <w:pPr>
              <w:pStyle w:val="CBDTableNormal"/>
              <w:spacing w:before="0" w:after="0"/>
              <w:rPr>
                <w:sz w:val="18"/>
                <w:szCs w:val="18"/>
                <w:lang w:val="fr-FR" w:eastAsia="en-CA"/>
              </w:rPr>
            </w:pPr>
            <w:r w:rsidRPr="00BA52C1">
              <w:rPr>
                <w:sz w:val="18"/>
                <w:szCs w:val="18"/>
                <w:lang w:val="fr-FR" w:eastAsia="en-CA"/>
              </w:rPr>
              <w:t>Honduras</w:t>
            </w:r>
          </w:p>
        </w:tc>
        <w:tc>
          <w:tcPr>
            <w:tcW w:w="1628" w:type="dxa"/>
            <w:tcBorders>
              <w:top w:val="nil"/>
              <w:left w:val="nil"/>
              <w:bottom w:val="single" w:sz="4" w:space="0" w:color="auto"/>
              <w:right w:val="single" w:sz="4" w:space="0" w:color="auto"/>
            </w:tcBorders>
            <w:shd w:val="clear" w:color="auto" w:fill="auto"/>
            <w:vAlign w:val="bottom"/>
            <w:hideMark/>
          </w:tcPr>
          <w:p w14:paraId="29116C68" w14:textId="3FD537CE"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009</w:t>
            </w:r>
          </w:p>
        </w:tc>
        <w:tc>
          <w:tcPr>
            <w:tcW w:w="2198" w:type="dxa"/>
            <w:tcBorders>
              <w:top w:val="nil"/>
              <w:left w:val="nil"/>
              <w:bottom w:val="single" w:sz="4" w:space="0" w:color="auto"/>
              <w:right w:val="single" w:sz="4" w:space="0" w:color="auto"/>
            </w:tcBorders>
            <w:shd w:val="clear" w:color="auto" w:fill="auto"/>
            <w:noWrap/>
            <w:vAlign w:val="bottom"/>
            <w:hideMark/>
          </w:tcPr>
          <w:p w14:paraId="1C789CA3" w14:textId="0A7B0D15"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011</w:t>
            </w:r>
          </w:p>
        </w:tc>
        <w:tc>
          <w:tcPr>
            <w:tcW w:w="1176" w:type="dxa"/>
            <w:tcBorders>
              <w:top w:val="nil"/>
              <w:left w:val="nil"/>
              <w:bottom w:val="single" w:sz="4" w:space="0" w:color="auto"/>
              <w:right w:val="single" w:sz="4" w:space="0" w:color="auto"/>
            </w:tcBorders>
            <w:shd w:val="clear" w:color="auto" w:fill="auto"/>
            <w:noWrap/>
            <w:vAlign w:val="bottom"/>
            <w:hideMark/>
          </w:tcPr>
          <w:p w14:paraId="5A1DDE4C" w14:textId="2D9E2978"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1 584</w:t>
            </w:r>
          </w:p>
        </w:tc>
        <w:tc>
          <w:tcPr>
            <w:tcW w:w="1461" w:type="dxa"/>
            <w:tcBorders>
              <w:top w:val="nil"/>
              <w:left w:val="nil"/>
              <w:bottom w:val="single" w:sz="4" w:space="0" w:color="auto"/>
              <w:right w:val="single" w:sz="4" w:space="0" w:color="auto"/>
            </w:tcBorders>
            <w:shd w:val="clear" w:color="auto" w:fill="auto"/>
            <w:noWrap/>
            <w:vAlign w:val="bottom"/>
            <w:hideMark/>
          </w:tcPr>
          <w:p w14:paraId="46E5F595" w14:textId="242157FD"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1 692</w:t>
            </w:r>
          </w:p>
        </w:tc>
        <w:tc>
          <w:tcPr>
            <w:tcW w:w="1080" w:type="dxa"/>
            <w:tcBorders>
              <w:top w:val="nil"/>
              <w:left w:val="nil"/>
              <w:bottom w:val="single" w:sz="4" w:space="0" w:color="auto"/>
              <w:right w:val="single" w:sz="4" w:space="0" w:color="auto"/>
            </w:tcBorders>
            <w:shd w:val="clear" w:color="auto" w:fill="auto"/>
            <w:noWrap/>
            <w:vAlign w:val="bottom"/>
            <w:hideMark/>
          </w:tcPr>
          <w:p w14:paraId="7F0B2526" w14:textId="5F853AF6"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3 276</w:t>
            </w:r>
          </w:p>
        </w:tc>
      </w:tr>
      <w:tr w:rsidR="00C50613" w:rsidRPr="00BA52C1" w14:paraId="2377B709"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C4955FD" w14:textId="3B1F7377" w:rsidR="00C50613" w:rsidRPr="00BA52C1" w:rsidRDefault="00C50613" w:rsidP="00C50613">
            <w:pPr>
              <w:pStyle w:val="CBDTableNormal"/>
              <w:spacing w:before="0" w:after="0"/>
              <w:rPr>
                <w:sz w:val="18"/>
                <w:szCs w:val="18"/>
                <w:lang w:val="fr-FR" w:eastAsia="en-CA"/>
              </w:rPr>
            </w:pPr>
            <w:r w:rsidRPr="00BA52C1">
              <w:rPr>
                <w:sz w:val="18"/>
                <w:szCs w:val="18"/>
                <w:lang w:val="fr-FR" w:eastAsia="en-CA"/>
              </w:rPr>
              <w:t>H</w:t>
            </w:r>
            <w:r>
              <w:rPr>
                <w:sz w:val="18"/>
                <w:szCs w:val="18"/>
                <w:lang w:val="fr-FR" w:eastAsia="en-CA"/>
              </w:rPr>
              <w:t>ongrie</w:t>
            </w:r>
          </w:p>
        </w:tc>
        <w:tc>
          <w:tcPr>
            <w:tcW w:w="1628" w:type="dxa"/>
            <w:tcBorders>
              <w:top w:val="nil"/>
              <w:left w:val="nil"/>
              <w:bottom w:val="single" w:sz="4" w:space="0" w:color="auto"/>
              <w:right w:val="single" w:sz="4" w:space="0" w:color="auto"/>
            </w:tcBorders>
            <w:shd w:val="clear" w:color="auto" w:fill="auto"/>
            <w:vAlign w:val="bottom"/>
            <w:hideMark/>
          </w:tcPr>
          <w:p w14:paraId="3474BBC1" w14:textId="0E72FC2D"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228</w:t>
            </w:r>
          </w:p>
        </w:tc>
        <w:tc>
          <w:tcPr>
            <w:tcW w:w="2198" w:type="dxa"/>
            <w:tcBorders>
              <w:top w:val="nil"/>
              <w:left w:val="nil"/>
              <w:bottom w:val="single" w:sz="4" w:space="0" w:color="auto"/>
              <w:right w:val="single" w:sz="4" w:space="0" w:color="auto"/>
            </w:tcBorders>
            <w:shd w:val="clear" w:color="auto" w:fill="auto"/>
            <w:noWrap/>
            <w:vAlign w:val="bottom"/>
            <w:hideMark/>
          </w:tcPr>
          <w:p w14:paraId="7D53A3B7" w14:textId="15590DB0"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285</w:t>
            </w:r>
          </w:p>
        </w:tc>
        <w:tc>
          <w:tcPr>
            <w:tcW w:w="1176" w:type="dxa"/>
            <w:tcBorders>
              <w:top w:val="nil"/>
              <w:left w:val="nil"/>
              <w:bottom w:val="single" w:sz="4" w:space="0" w:color="auto"/>
              <w:right w:val="single" w:sz="4" w:space="0" w:color="auto"/>
            </w:tcBorders>
            <w:shd w:val="clear" w:color="auto" w:fill="auto"/>
            <w:noWrap/>
            <w:vAlign w:val="bottom"/>
            <w:hideMark/>
          </w:tcPr>
          <w:p w14:paraId="0CBCA410" w14:textId="5E45B627"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40 127</w:t>
            </w:r>
          </w:p>
        </w:tc>
        <w:tc>
          <w:tcPr>
            <w:tcW w:w="1461" w:type="dxa"/>
            <w:tcBorders>
              <w:top w:val="nil"/>
              <w:left w:val="nil"/>
              <w:bottom w:val="single" w:sz="4" w:space="0" w:color="auto"/>
              <w:right w:val="single" w:sz="4" w:space="0" w:color="auto"/>
            </w:tcBorders>
            <w:shd w:val="clear" w:color="auto" w:fill="auto"/>
            <w:noWrap/>
            <w:vAlign w:val="bottom"/>
            <w:hideMark/>
          </w:tcPr>
          <w:p w14:paraId="3BEEA19A" w14:textId="19D78C58"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42 872</w:t>
            </w:r>
          </w:p>
        </w:tc>
        <w:tc>
          <w:tcPr>
            <w:tcW w:w="1080" w:type="dxa"/>
            <w:tcBorders>
              <w:top w:val="nil"/>
              <w:left w:val="nil"/>
              <w:bottom w:val="single" w:sz="4" w:space="0" w:color="auto"/>
              <w:right w:val="single" w:sz="4" w:space="0" w:color="auto"/>
            </w:tcBorders>
            <w:shd w:val="clear" w:color="auto" w:fill="auto"/>
            <w:noWrap/>
            <w:vAlign w:val="bottom"/>
            <w:hideMark/>
          </w:tcPr>
          <w:p w14:paraId="4CBA55BB" w14:textId="1D77F682"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82 999</w:t>
            </w:r>
          </w:p>
        </w:tc>
      </w:tr>
      <w:tr w:rsidR="00C50613" w:rsidRPr="00BA52C1" w14:paraId="7ABE4953"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tcPr>
          <w:p w14:paraId="2B4CDCD5" w14:textId="36B04E81" w:rsidR="00C50613" w:rsidRPr="00BA52C1" w:rsidRDefault="00C50613" w:rsidP="00C50613">
            <w:pPr>
              <w:pStyle w:val="CBDTableNormal"/>
              <w:spacing w:before="0" w:after="0"/>
              <w:rPr>
                <w:sz w:val="18"/>
                <w:szCs w:val="18"/>
                <w:lang w:val="fr-FR" w:eastAsia="en-CA"/>
              </w:rPr>
            </w:pPr>
            <w:r>
              <w:rPr>
                <w:sz w:val="18"/>
                <w:szCs w:val="18"/>
                <w:lang w:val="fr-FR" w:eastAsia="en-CA"/>
              </w:rPr>
              <w:t>Îles Cook</w:t>
            </w:r>
          </w:p>
        </w:tc>
        <w:tc>
          <w:tcPr>
            <w:tcW w:w="1628" w:type="dxa"/>
            <w:tcBorders>
              <w:top w:val="nil"/>
              <w:left w:val="nil"/>
              <w:bottom w:val="single" w:sz="4" w:space="0" w:color="auto"/>
              <w:right w:val="single" w:sz="4" w:space="0" w:color="auto"/>
            </w:tcBorders>
            <w:shd w:val="clear" w:color="auto" w:fill="auto"/>
            <w:vAlign w:val="bottom"/>
          </w:tcPr>
          <w:p w14:paraId="3EC090A0" w14:textId="79BE6376"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2198" w:type="dxa"/>
            <w:tcBorders>
              <w:top w:val="nil"/>
              <w:left w:val="nil"/>
              <w:bottom w:val="single" w:sz="4" w:space="0" w:color="auto"/>
              <w:right w:val="single" w:sz="4" w:space="0" w:color="auto"/>
            </w:tcBorders>
            <w:shd w:val="clear" w:color="auto" w:fill="auto"/>
            <w:noWrap/>
            <w:vAlign w:val="bottom"/>
          </w:tcPr>
          <w:p w14:paraId="7C791B45" w14:textId="17FAAACB"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1176" w:type="dxa"/>
            <w:tcBorders>
              <w:top w:val="nil"/>
              <w:left w:val="nil"/>
              <w:bottom w:val="single" w:sz="4" w:space="0" w:color="auto"/>
              <w:right w:val="single" w:sz="4" w:space="0" w:color="auto"/>
            </w:tcBorders>
            <w:shd w:val="clear" w:color="auto" w:fill="auto"/>
            <w:noWrap/>
            <w:vAlign w:val="bottom"/>
          </w:tcPr>
          <w:p w14:paraId="4D181B67" w14:textId="0676EA38"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176</w:t>
            </w:r>
          </w:p>
        </w:tc>
        <w:tc>
          <w:tcPr>
            <w:tcW w:w="1461" w:type="dxa"/>
            <w:tcBorders>
              <w:top w:val="nil"/>
              <w:left w:val="nil"/>
              <w:bottom w:val="single" w:sz="4" w:space="0" w:color="auto"/>
              <w:right w:val="single" w:sz="4" w:space="0" w:color="auto"/>
            </w:tcBorders>
            <w:shd w:val="clear" w:color="auto" w:fill="auto"/>
            <w:noWrap/>
            <w:vAlign w:val="bottom"/>
          </w:tcPr>
          <w:p w14:paraId="30E029A4" w14:textId="1B0409DD"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188</w:t>
            </w:r>
          </w:p>
        </w:tc>
        <w:tc>
          <w:tcPr>
            <w:tcW w:w="1080" w:type="dxa"/>
            <w:tcBorders>
              <w:top w:val="nil"/>
              <w:left w:val="nil"/>
              <w:bottom w:val="single" w:sz="4" w:space="0" w:color="auto"/>
              <w:right w:val="single" w:sz="4" w:space="0" w:color="auto"/>
            </w:tcBorders>
            <w:shd w:val="clear" w:color="auto" w:fill="auto"/>
            <w:noWrap/>
            <w:vAlign w:val="bottom"/>
          </w:tcPr>
          <w:p w14:paraId="22AA4FA6" w14:textId="04FB1A83"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364</w:t>
            </w:r>
          </w:p>
        </w:tc>
      </w:tr>
      <w:tr w:rsidR="00C50613" w:rsidRPr="00BA52C1" w14:paraId="078A0835"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tcPr>
          <w:p w14:paraId="0A00467F" w14:textId="16BA9BF0" w:rsidR="00C50613" w:rsidRDefault="00C50613" w:rsidP="00C50613">
            <w:pPr>
              <w:pStyle w:val="CBDTableNormal"/>
              <w:spacing w:before="0" w:after="0"/>
              <w:rPr>
                <w:sz w:val="18"/>
                <w:szCs w:val="18"/>
                <w:lang w:val="fr-FR" w:eastAsia="en-CA"/>
              </w:rPr>
            </w:pPr>
            <w:r>
              <w:rPr>
                <w:sz w:val="18"/>
                <w:szCs w:val="18"/>
                <w:lang w:val="fr-FR" w:eastAsia="en-CA"/>
              </w:rPr>
              <w:t>Îles Marshall</w:t>
            </w:r>
          </w:p>
        </w:tc>
        <w:tc>
          <w:tcPr>
            <w:tcW w:w="1628" w:type="dxa"/>
            <w:tcBorders>
              <w:top w:val="nil"/>
              <w:left w:val="nil"/>
              <w:bottom w:val="single" w:sz="4" w:space="0" w:color="auto"/>
              <w:right w:val="single" w:sz="4" w:space="0" w:color="auto"/>
            </w:tcBorders>
            <w:shd w:val="clear" w:color="auto" w:fill="auto"/>
            <w:vAlign w:val="bottom"/>
          </w:tcPr>
          <w:p w14:paraId="479D3274" w14:textId="131A0985"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2198" w:type="dxa"/>
            <w:tcBorders>
              <w:top w:val="nil"/>
              <w:left w:val="nil"/>
              <w:bottom w:val="single" w:sz="4" w:space="0" w:color="auto"/>
              <w:right w:val="single" w:sz="4" w:space="0" w:color="auto"/>
            </w:tcBorders>
            <w:shd w:val="clear" w:color="auto" w:fill="auto"/>
            <w:noWrap/>
            <w:vAlign w:val="bottom"/>
          </w:tcPr>
          <w:p w14:paraId="74A56E72" w14:textId="68EBF7E0"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1176" w:type="dxa"/>
            <w:tcBorders>
              <w:top w:val="nil"/>
              <w:left w:val="nil"/>
              <w:bottom w:val="single" w:sz="4" w:space="0" w:color="auto"/>
              <w:right w:val="single" w:sz="4" w:space="0" w:color="auto"/>
            </w:tcBorders>
            <w:shd w:val="clear" w:color="auto" w:fill="auto"/>
            <w:noWrap/>
            <w:vAlign w:val="bottom"/>
          </w:tcPr>
          <w:p w14:paraId="098AF13F" w14:textId="3F912DEF"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176</w:t>
            </w:r>
          </w:p>
        </w:tc>
        <w:tc>
          <w:tcPr>
            <w:tcW w:w="1461" w:type="dxa"/>
            <w:tcBorders>
              <w:top w:val="nil"/>
              <w:left w:val="nil"/>
              <w:bottom w:val="single" w:sz="4" w:space="0" w:color="auto"/>
              <w:right w:val="single" w:sz="4" w:space="0" w:color="auto"/>
            </w:tcBorders>
            <w:shd w:val="clear" w:color="auto" w:fill="auto"/>
            <w:noWrap/>
            <w:vAlign w:val="bottom"/>
          </w:tcPr>
          <w:p w14:paraId="3255ABAB" w14:textId="3F9BF055"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188</w:t>
            </w:r>
          </w:p>
        </w:tc>
        <w:tc>
          <w:tcPr>
            <w:tcW w:w="1080" w:type="dxa"/>
            <w:tcBorders>
              <w:top w:val="nil"/>
              <w:left w:val="nil"/>
              <w:bottom w:val="single" w:sz="4" w:space="0" w:color="auto"/>
              <w:right w:val="single" w:sz="4" w:space="0" w:color="auto"/>
            </w:tcBorders>
            <w:shd w:val="clear" w:color="auto" w:fill="auto"/>
            <w:noWrap/>
            <w:vAlign w:val="bottom"/>
          </w:tcPr>
          <w:p w14:paraId="1BA7984A" w14:textId="5C5FC3CB"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364</w:t>
            </w:r>
          </w:p>
        </w:tc>
      </w:tr>
      <w:tr w:rsidR="00C50613" w:rsidRPr="00BA52C1" w14:paraId="5D1C9AD1"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tcPr>
          <w:p w14:paraId="3CDE8F11" w14:textId="4E2F8DE8" w:rsidR="00C50613" w:rsidRDefault="00C50613" w:rsidP="00C50613">
            <w:pPr>
              <w:pStyle w:val="CBDTableNormal"/>
              <w:spacing w:before="0" w:after="0"/>
              <w:rPr>
                <w:sz w:val="18"/>
                <w:szCs w:val="18"/>
                <w:lang w:val="fr-FR" w:eastAsia="en-CA"/>
              </w:rPr>
            </w:pPr>
            <w:r>
              <w:rPr>
                <w:sz w:val="18"/>
                <w:szCs w:val="18"/>
                <w:lang w:val="fr-FR" w:eastAsia="en-CA"/>
              </w:rPr>
              <w:t>Îles Salomon</w:t>
            </w:r>
          </w:p>
        </w:tc>
        <w:tc>
          <w:tcPr>
            <w:tcW w:w="1628" w:type="dxa"/>
            <w:tcBorders>
              <w:top w:val="nil"/>
              <w:left w:val="nil"/>
              <w:bottom w:val="single" w:sz="4" w:space="0" w:color="auto"/>
              <w:right w:val="single" w:sz="4" w:space="0" w:color="auto"/>
            </w:tcBorders>
            <w:shd w:val="clear" w:color="auto" w:fill="auto"/>
            <w:vAlign w:val="bottom"/>
          </w:tcPr>
          <w:p w14:paraId="41234C5A" w14:textId="02F73282"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2198" w:type="dxa"/>
            <w:tcBorders>
              <w:top w:val="nil"/>
              <w:left w:val="nil"/>
              <w:bottom w:val="single" w:sz="4" w:space="0" w:color="auto"/>
              <w:right w:val="single" w:sz="4" w:space="0" w:color="auto"/>
            </w:tcBorders>
            <w:shd w:val="clear" w:color="auto" w:fill="auto"/>
            <w:noWrap/>
            <w:vAlign w:val="bottom"/>
          </w:tcPr>
          <w:p w14:paraId="0234F5FC" w14:textId="60596118"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1176" w:type="dxa"/>
            <w:tcBorders>
              <w:top w:val="nil"/>
              <w:left w:val="nil"/>
              <w:bottom w:val="single" w:sz="4" w:space="0" w:color="auto"/>
              <w:right w:val="single" w:sz="4" w:space="0" w:color="auto"/>
            </w:tcBorders>
            <w:shd w:val="clear" w:color="auto" w:fill="auto"/>
            <w:noWrap/>
            <w:vAlign w:val="bottom"/>
          </w:tcPr>
          <w:p w14:paraId="44CD7D7E" w14:textId="5FEEB494"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176</w:t>
            </w:r>
          </w:p>
        </w:tc>
        <w:tc>
          <w:tcPr>
            <w:tcW w:w="1461" w:type="dxa"/>
            <w:tcBorders>
              <w:top w:val="nil"/>
              <w:left w:val="nil"/>
              <w:bottom w:val="single" w:sz="4" w:space="0" w:color="auto"/>
              <w:right w:val="single" w:sz="4" w:space="0" w:color="auto"/>
            </w:tcBorders>
            <w:shd w:val="clear" w:color="auto" w:fill="auto"/>
            <w:noWrap/>
            <w:vAlign w:val="bottom"/>
          </w:tcPr>
          <w:p w14:paraId="1A54266A" w14:textId="639280F5"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188</w:t>
            </w:r>
          </w:p>
        </w:tc>
        <w:tc>
          <w:tcPr>
            <w:tcW w:w="1080" w:type="dxa"/>
            <w:tcBorders>
              <w:top w:val="nil"/>
              <w:left w:val="nil"/>
              <w:bottom w:val="single" w:sz="4" w:space="0" w:color="auto"/>
              <w:right w:val="single" w:sz="4" w:space="0" w:color="auto"/>
            </w:tcBorders>
            <w:shd w:val="clear" w:color="auto" w:fill="auto"/>
            <w:noWrap/>
            <w:vAlign w:val="bottom"/>
          </w:tcPr>
          <w:p w14:paraId="2952809C" w14:textId="066A2620"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364</w:t>
            </w:r>
          </w:p>
        </w:tc>
      </w:tr>
      <w:tr w:rsidR="00C50613" w:rsidRPr="00BA52C1" w14:paraId="6FF64AB3"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6AB5F3A" w14:textId="11050447" w:rsidR="00C50613" w:rsidRPr="00BA52C1" w:rsidRDefault="00C50613" w:rsidP="00C50613">
            <w:pPr>
              <w:pStyle w:val="CBDTableNormal"/>
              <w:spacing w:before="0" w:after="0"/>
              <w:rPr>
                <w:sz w:val="18"/>
                <w:szCs w:val="18"/>
                <w:lang w:val="fr-FR" w:eastAsia="en-CA"/>
              </w:rPr>
            </w:pPr>
            <w:r w:rsidRPr="00BA52C1">
              <w:rPr>
                <w:sz w:val="18"/>
                <w:szCs w:val="18"/>
                <w:lang w:val="fr-FR" w:eastAsia="en-CA"/>
              </w:rPr>
              <w:t>Ind</w:t>
            </w:r>
            <w:r>
              <w:rPr>
                <w:sz w:val="18"/>
                <w:szCs w:val="18"/>
                <w:lang w:val="fr-FR" w:eastAsia="en-CA"/>
              </w:rPr>
              <w:t>e</w:t>
            </w:r>
          </w:p>
        </w:tc>
        <w:tc>
          <w:tcPr>
            <w:tcW w:w="1628" w:type="dxa"/>
            <w:tcBorders>
              <w:top w:val="nil"/>
              <w:left w:val="nil"/>
              <w:bottom w:val="single" w:sz="4" w:space="0" w:color="auto"/>
              <w:right w:val="single" w:sz="4" w:space="0" w:color="auto"/>
            </w:tcBorders>
            <w:shd w:val="clear" w:color="auto" w:fill="auto"/>
            <w:vAlign w:val="bottom"/>
            <w:hideMark/>
          </w:tcPr>
          <w:p w14:paraId="57712F8D" w14:textId="228D90E7"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1</w:t>
            </w:r>
            <w:r>
              <w:rPr>
                <w:sz w:val="18"/>
                <w:szCs w:val="18"/>
                <w:lang w:val="fr-FR" w:eastAsia="en-CA"/>
              </w:rPr>
              <w:t>,</w:t>
            </w:r>
            <w:r w:rsidRPr="00BA52C1">
              <w:rPr>
                <w:sz w:val="18"/>
                <w:szCs w:val="18"/>
                <w:lang w:val="fr-FR" w:eastAsia="en-CA"/>
              </w:rPr>
              <w:t>044</w:t>
            </w:r>
          </w:p>
        </w:tc>
        <w:tc>
          <w:tcPr>
            <w:tcW w:w="2198" w:type="dxa"/>
            <w:tcBorders>
              <w:top w:val="nil"/>
              <w:left w:val="nil"/>
              <w:bottom w:val="single" w:sz="4" w:space="0" w:color="auto"/>
              <w:right w:val="single" w:sz="4" w:space="0" w:color="auto"/>
            </w:tcBorders>
            <w:shd w:val="clear" w:color="auto" w:fill="auto"/>
            <w:noWrap/>
            <w:vAlign w:val="bottom"/>
            <w:hideMark/>
          </w:tcPr>
          <w:p w14:paraId="2C3A1B40" w14:textId="1635AC74"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1</w:t>
            </w:r>
            <w:r>
              <w:rPr>
                <w:sz w:val="18"/>
                <w:szCs w:val="18"/>
                <w:lang w:val="fr-FR" w:eastAsia="en-CA"/>
              </w:rPr>
              <w:t>,</w:t>
            </w:r>
            <w:r w:rsidRPr="00BA52C1">
              <w:rPr>
                <w:sz w:val="18"/>
                <w:szCs w:val="18"/>
                <w:lang w:val="fr-FR" w:eastAsia="en-CA"/>
              </w:rPr>
              <w:t>305</w:t>
            </w:r>
          </w:p>
        </w:tc>
        <w:tc>
          <w:tcPr>
            <w:tcW w:w="1176" w:type="dxa"/>
            <w:tcBorders>
              <w:top w:val="nil"/>
              <w:left w:val="nil"/>
              <w:bottom w:val="single" w:sz="4" w:space="0" w:color="auto"/>
              <w:right w:val="single" w:sz="4" w:space="0" w:color="auto"/>
            </w:tcBorders>
            <w:shd w:val="clear" w:color="auto" w:fill="auto"/>
            <w:noWrap/>
            <w:vAlign w:val="bottom"/>
            <w:hideMark/>
          </w:tcPr>
          <w:p w14:paraId="4C3436B9" w14:textId="1238CBB8"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183 738</w:t>
            </w:r>
          </w:p>
        </w:tc>
        <w:tc>
          <w:tcPr>
            <w:tcW w:w="1461" w:type="dxa"/>
            <w:tcBorders>
              <w:top w:val="nil"/>
              <w:left w:val="nil"/>
              <w:bottom w:val="single" w:sz="4" w:space="0" w:color="auto"/>
              <w:right w:val="single" w:sz="4" w:space="0" w:color="auto"/>
            </w:tcBorders>
            <w:shd w:val="clear" w:color="auto" w:fill="auto"/>
            <w:noWrap/>
            <w:vAlign w:val="bottom"/>
            <w:hideMark/>
          </w:tcPr>
          <w:p w14:paraId="0A243432" w14:textId="530C6981"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196 310</w:t>
            </w:r>
          </w:p>
        </w:tc>
        <w:tc>
          <w:tcPr>
            <w:tcW w:w="1080" w:type="dxa"/>
            <w:tcBorders>
              <w:top w:val="nil"/>
              <w:left w:val="nil"/>
              <w:bottom w:val="single" w:sz="4" w:space="0" w:color="auto"/>
              <w:right w:val="single" w:sz="4" w:space="0" w:color="auto"/>
            </w:tcBorders>
            <w:shd w:val="clear" w:color="auto" w:fill="auto"/>
            <w:noWrap/>
            <w:vAlign w:val="bottom"/>
            <w:hideMark/>
          </w:tcPr>
          <w:p w14:paraId="29F3259A" w14:textId="5DE825FD"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380 048</w:t>
            </w:r>
          </w:p>
        </w:tc>
      </w:tr>
      <w:tr w:rsidR="00C50613" w:rsidRPr="00BA52C1" w14:paraId="22497951"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69CB95A" w14:textId="7DBE20D9" w:rsidR="00C50613" w:rsidRPr="00BA52C1" w:rsidRDefault="00C50613" w:rsidP="00C50613">
            <w:pPr>
              <w:pStyle w:val="CBDTableNormal"/>
              <w:spacing w:before="0" w:after="0"/>
              <w:rPr>
                <w:sz w:val="18"/>
                <w:szCs w:val="18"/>
                <w:lang w:val="fr-FR" w:eastAsia="en-CA"/>
              </w:rPr>
            </w:pPr>
            <w:r w:rsidRPr="00BA52C1">
              <w:rPr>
                <w:sz w:val="18"/>
                <w:szCs w:val="18"/>
                <w:lang w:val="fr-FR" w:eastAsia="en-CA"/>
              </w:rPr>
              <w:t>Indon</w:t>
            </w:r>
            <w:r w:rsidR="00E13C63">
              <w:rPr>
                <w:sz w:val="18"/>
                <w:szCs w:val="18"/>
                <w:lang w:val="fr-FR" w:eastAsia="en-CA"/>
              </w:rPr>
              <w:t>ésie</w:t>
            </w:r>
          </w:p>
        </w:tc>
        <w:tc>
          <w:tcPr>
            <w:tcW w:w="1628" w:type="dxa"/>
            <w:tcBorders>
              <w:top w:val="nil"/>
              <w:left w:val="nil"/>
              <w:bottom w:val="single" w:sz="4" w:space="0" w:color="auto"/>
              <w:right w:val="single" w:sz="4" w:space="0" w:color="auto"/>
            </w:tcBorders>
            <w:shd w:val="clear" w:color="auto" w:fill="auto"/>
            <w:vAlign w:val="bottom"/>
            <w:hideMark/>
          </w:tcPr>
          <w:p w14:paraId="557F8324" w14:textId="4FC63247"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549</w:t>
            </w:r>
          </w:p>
        </w:tc>
        <w:tc>
          <w:tcPr>
            <w:tcW w:w="2198" w:type="dxa"/>
            <w:tcBorders>
              <w:top w:val="nil"/>
              <w:left w:val="nil"/>
              <w:bottom w:val="single" w:sz="4" w:space="0" w:color="auto"/>
              <w:right w:val="single" w:sz="4" w:space="0" w:color="auto"/>
            </w:tcBorders>
            <w:shd w:val="clear" w:color="auto" w:fill="auto"/>
            <w:noWrap/>
            <w:vAlign w:val="bottom"/>
            <w:hideMark/>
          </w:tcPr>
          <w:p w14:paraId="17D6E6EE" w14:textId="339779F4"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686</w:t>
            </w:r>
          </w:p>
        </w:tc>
        <w:tc>
          <w:tcPr>
            <w:tcW w:w="1176" w:type="dxa"/>
            <w:tcBorders>
              <w:top w:val="nil"/>
              <w:left w:val="nil"/>
              <w:bottom w:val="single" w:sz="4" w:space="0" w:color="auto"/>
              <w:right w:val="single" w:sz="4" w:space="0" w:color="auto"/>
            </w:tcBorders>
            <w:shd w:val="clear" w:color="auto" w:fill="auto"/>
            <w:noWrap/>
            <w:vAlign w:val="bottom"/>
            <w:hideMark/>
          </w:tcPr>
          <w:p w14:paraId="2A65ECB0" w14:textId="7E404A58"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96 621</w:t>
            </w:r>
          </w:p>
        </w:tc>
        <w:tc>
          <w:tcPr>
            <w:tcW w:w="1461" w:type="dxa"/>
            <w:tcBorders>
              <w:top w:val="nil"/>
              <w:left w:val="nil"/>
              <w:bottom w:val="single" w:sz="4" w:space="0" w:color="auto"/>
              <w:right w:val="single" w:sz="4" w:space="0" w:color="auto"/>
            </w:tcBorders>
            <w:shd w:val="clear" w:color="auto" w:fill="auto"/>
            <w:noWrap/>
            <w:vAlign w:val="bottom"/>
            <w:hideMark/>
          </w:tcPr>
          <w:p w14:paraId="2335E691" w14:textId="6B4D9F60"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103 232</w:t>
            </w:r>
          </w:p>
        </w:tc>
        <w:tc>
          <w:tcPr>
            <w:tcW w:w="1080" w:type="dxa"/>
            <w:tcBorders>
              <w:top w:val="nil"/>
              <w:left w:val="nil"/>
              <w:bottom w:val="single" w:sz="4" w:space="0" w:color="auto"/>
              <w:right w:val="single" w:sz="4" w:space="0" w:color="auto"/>
            </w:tcBorders>
            <w:shd w:val="clear" w:color="auto" w:fill="auto"/>
            <w:noWrap/>
            <w:vAlign w:val="bottom"/>
            <w:hideMark/>
          </w:tcPr>
          <w:p w14:paraId="65DB1F37" w14:textId="79CA9C23"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199 853</w:t>
            </w:r>
          </w:p>
        </w:tc>
      </w:tr>
      <w:tr w:rsidR="00C50613" w:rsidRPr="00BA52C1" w14:paraId="2DE75A5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7BFE752" w14:textId="019E30D8" w:rsidR="00C50613" w:rsidRPr="00BA52C1" w:rsidRDefault="00C50613" w:rsidP="00C50613">
            <w:pPr>
              <w:pStyle w:val="CBDTableNormal"/>
              <w:tabs>
                <w:tab w:val="clear" w:pos="567"/>
                <w:tab w:val="left" w:pos="178"/>
              </w:tabs>
              <w:spacing w:before="0" w:after="0"/>
              <w:ind w:left="144" w:hanging="144"/>
              <w:rPr>
                <w:sz w:val="18"/>
                <w:szCs w:val="18"/>
                <w:lang w:val="fr-FR" w:eastAsia="en-CA"/>
              </w:rPr>
            </w:pPr>
            <w:r w:rsidRPr="00BA52C1">
              <w:rPr>
                <w:sz w:val="18"/>
                <w:szCs w:val="18"/>
                <w:lang w:val="fr-FR" w:eastAsia="en-CA"/>
              </w:rPr>
              <w:t>Iran</w:t>
            </w:r>
            <w:r w:rsidR="00E13C63">
              <w:rPr>
                <w:sz w:val="18"/>
                <w:szCs w:val="18"/>
                <w:lang w:val="fr-FR" w:eastAsia="en-CA"/>
              </w:rPr>
              <w:t xml:space="preserve"> </w:t>
            </w:r>
            <w:r w:rsidRPr="00BA52C1">
              <w:rPr>
                <w:sz w:val="18"/>
                <w:szCs w:val="18"/>
                <w:lang w:val="fr-FR" w:eastAsia="en-CA"/>
              </w:rPr>
              <w:t>(</w:t>
            </w:r>
            <w:r w:rsidR="00E13C63">
              <w:rPr>
                <w:sz w:val="18"/>
                <w:szCs w:val="18"/>
                <w:lang w:val="fr-FR" w:eastAsia="en-CA"/>
              </w:rPr>
              <w:t>République islamique d’</w:t>
            </w:r>
            <w:r w:rsidRPr="00BA52C1">
              <w:rPr>
                <w:sz w:val="18"/>
                <w:szCs w:val="18"/>
                <w:lang w:val="fr-FR" w:eastAsia="en-CA"/>
              </w:rPr>
              <w:t>)</w:t>
            </w:r>
          </w:p>
        </w:tc>
        <w:tc>
          <w:tcPr>
            <w:tcW w:w="1628" w:type="dxa"/>
            <w:tcBorders>
              <w:top w:val="nil"/>
              <w:left w:val="nil"/>
              <w:bottom w:val="single" w:sz="4" w:space="0" w:color="auto"/>
              <w:right w:val="single" w:sz="4" w:space="0" w:color="auto"/>
            </w:tcBorders>
            <w:shd w:val="clear" w:color="auto" w:fill="auto"/>
            <w:vAlign w:val="bottom"/>
            <w:hideMark/>
          </w:tcPr>
          <w:p w14:paraId="181A3F42" w14:textId="6F4B4C45"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371</w:t>
            </w:r>
          </w:p>
        </w:tc>
        <w:tc>
          <w:tcPr>
            <w:tcW w:w="2198" w:type="dxa"/>
            <w:tcBorders>
              <w:top w:val="nil"/>
              <w:left w:val="nil"/>
              <w:bottom w:val="single" w:sz="4" w:space="0" w:color="auto"/>
              <w:right w:val="single" w:sz="4" w:space="0" w:color="auto"/>
            </w:tcBorders>
            <w:shd w:val="clear" w:color="auto" w:fill="auto"/>
            <w:noWrap/>
            <w:vAlign w:val="bottom"/>
            <w:hideMark/>
          </w:tcPr>
          <w:p w14:paraId="41F9943A" w14:textId="123B8358"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464</w:t>
            </w:r>
          </w:p>
        </w:tc>
        <w:tc>
          <w:tcPr>
            <w:tcW w:w="1176" w:type="dxa"/>
            <w:tcBorders>
              <w:top w:val="nil"/>
              <w:left w:val="nil"/>
              <w:bottom w:val="single" w:sz="4" w:space="0" w:color="auto"/>
              <w:right w:val="single" w:sz="4" w:space="0" w:color="auto"/>
            </w:tcBorders>
            <w:shd w:val="clear" w:color="auto" w:fill="auto"/>
            <w:noWrap/>
            <w:vAlign w:val="bottom"/>
            <w:hideMark/>
          </w:tcPr>
          <w:p w14:paraId="1EB85954" w14:textId="5514E2DD"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65 294</w:t>
            </w:r>
          </w:p>
        </w:tc>
        <w:tc>
          <w:tcPr>
            <w:tcW w:w="1461" w:type="dxa"/>
            <w:tcBorders>
              <w:top w:val="nil"/>
              <w:left w:val="nil"/>
              <w:bottom w:val="single" w:sz="4" w:space="0" w:color="auto"/>
              <w:right w:val="single" w:sz="4" w:space="0" w:color="auto"/>
            </w:tcBorders>
            <w:shd w:val="clear" w:color="auto" w:fill="auto"/>
            <w:noWrap/>
            <w:vAlign w:val="bottom"/>
            <w:hideMark/>
          </w:tcPr>
          <w:p w14:paraId="2147A058" w14:textId="3115EA81"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69 762</w:t>
            </w:r>
          </w:p>
        </w:tc>
        <w:tc>
          <w:tcPr>
            <w:tcW w:w="1080" w:type="dxa"/>
            <w:tcBorders>
              <w:top w:val="nil"/>
              <w:left w:val="nil"/>
              <w:bottom w:val="single" w:sz="4" w:space="0" w:color="auto"/>
              <w:right w:val="single" w:sz="4" w:space="0" w:color="auto"/>
            </w:tcBorders>
            <w:shd w:val="clear" w:color="auto" w:fill="auto"/>
            <w:noWrap/>
            <w:vAlign w:val="bottom"/>
            <w:hideMark/>
          </w:tcPr>
          <w:p w14:paraId="53DF059E" w14:textId="79391657"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135 055</w:t>
            </w:r>
          </w:p>
        </w:tc>
      </w:tr>
      <w:tr w:rsidR="00C50613" w:rsidRPr="00BA52C1" w14:paraId="09A29127"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F816A37" w14:textId="77777777" w:rsidR="00C50613" w:rsidRPr="00BA52C1" w:rsidRDefault="00C50613" w:rsidP="00C50613">
            <w:pPr>
              <w:pStyle w:val="CBDTableNormal"/>
              <w:spacing w:before="0" w:after="0"/>
              <w:rPr>
                <w:sz w:val="18"/>
                <w:szCs w:val="18"/>
                <w:lang w:val="fr-FR" w:eastAsia="en-CA"/>
              </w:rPr>
            </w:pPr>
            <w:r w:rsidRPr="00BA52C1">
              <w:rPr>
                <w:sz w:val="18"/>
                <w:szCs w:val="18"/>
                <w:lang w:val="fr-FR" w:eastAsia="en-CA"/>
              </w:rPr>
              <w:t>Iraq</w:t>
            </w:r>
          </w:p>
        </w:tc>
        <w:tc>
          <w:tcPr>
            <w:tcW w:w="1628" w:type="dxa"/>
            <w:tcBorders>
              <w:top w:val="nil"/>
              <w:left w:val="nil"/>
              <w:bottom w:val="single" w:sz="4" w:space="0" w:color="auto"/>
              <w:right w:val="single" w:sz="4" w:space="0" w:color="auto"/>
            </w:tcBorders>
            <w:shd w:val="clear" w:color="auto" w:fill="auto"/>
            <w:vAlign w:val="bottom"/>
            <w:hideMark/>
          </w:tcPr>
          <w:p w14:paraId="42D472B5" w14:textId="47CAE30B"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128</w:t>
            </w:r>
          </w:p>
        </w:tc>
        <w:tc>
          <w:tcPr>
            <w:tcW w:w="2198" w:type="dxa"/>
            <w:tcBorders>
              <w:top w:val="nil"/>
              <w:left w:val="nil"/>
              <w:bottom w:val="single" w:sz="4" w:space="0" w:color="auto"/>
              <w:right w:val="single" w:sz="4" w:space="0" w:color="auto"/>
            </w:tcBorders>
            <w:shd w:val="clear" w:color="auto" w:fill="auto"/>
            <w:noWrap/>
            <w:vAlign w:val="bottom"/>
            <w:hideMark/>
          </w:tcPr>
          <w:p w14:paraId="6B416277" w14:textId="1CAC9037"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160</w:t>
            </w:r>
          </w:p>
        </w:tc>
        <w:tc>
          <w:tcPr>
            <w:tcW w:w="1176" w:type="dxa"/>
            <w:tcBorders>
              <w:top w:val="nil"/>
              <w:left w:val="nil"/>
              <w:bottom w:val="single" w:sz="4" w:space="0" w:color="auto"/>
              <w:right w:val="single" w:sz="4" w:space="0" w:color="auto"/>
            </w:tcBorders>
            <w:shd w:val="clear" w:color="auto" w:fill="auto"/>
            <w:noWrap/>
            <w:vAlign w:val="bottom"/>
            <w:hideMark/>
          </w:tcPr>
          <w:p w14:paraId="466B71D5" w14:textId="3B56FF98"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22 527</w:t>
            </w:r>
          </w:p>
        </w:tc>
        <w:tc>
          <w:tcPr>
            <w:tcW w:w="1461" w:type="dxa"/>
            <w:tcBorders>
              <w:top w:val="nil"/>
              <w:left w:val="nil"/>
              <w:bottom w:val="single" w:sz="4" w:space="0" w:color="auto"/>
              <w:right w:val="single" w:sz="4" w:space="0" w:color="auto"/>
            </w:tcBorders>
            <w:shd w:val="clear" w:color="auto" w:fill="auto"/>
            <w:noWrap/>
            <w:vAlign w:val="bottom"/>
            <w:hideMark/>
          </w:tcPr>
          <w:p w14:paraId="22FAC2EF" w14:textId="0253C8B1"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24 069</w:t>
            </w:r>
          </w:p>
        </w:tc>
        <w:tc>
          <w:tcPr>
            <w:tcW w:w="1080" w:type="dxa"/>
            <w:tcBorders>
              <w:top w:val="nil"/>
              <w:left w:val="nil"/>
              <w:bottom w:val="single" w:sz="4" w:space="0" w:color="auto"/>
              <w:right w:val="single" w:sz="4" w:space="0" w:color="auto"/>
            </w:tcBorders>
            <w:shd w:val="clear" w:color="auto" w:fill="auto"/>
            <w:noWrap/>
            <w:vAlign w:val="bottom"/>
            <w:hideMark/>
          </w:tcPr>
          <w:p w14:paraId="09151A67" w14:textId="66C932B3"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46 596</w:t>
            </w:r>
          </w:p>
        </w:tc>
      </w:tr>
      <w:tr w:rsidR="00C50613" w:rsidRPr="00BA52C1" w14:paraId="4D41E971"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CA72D54" w14:textId="641C6CD4" w:rsidR="00C50613" w:rsidRPr="00BA52C1" w:rsidRDefault="00E13C63" w:rsidP="00C50613">
            <w:pPr>
              <w:pStyle w:val="CBDTableNormal"/>
              <w:spacing w:before="0" w:after="0"/>
              <w:rPr>
                <w:sz w:val="18"/>
                <w:szCs w:val="18"/>
                <w:lang w:val="fr-FR" w:eastAsia="en-CA"/>
              </w:rPr>
            </w:pPr>
            <w:r>
              <w:rPr>
                <w:sz w:val="18"/>
                <w:szCs w:val="18"/>
                <w:lang w:val="fr-FR" w:eastAsia="en-CA"/>
              </w:rPr>
              <w:t>Irlande</w:t>
            </w:r>
          </w:p>
        </w:tc>
        <w:tc>
          <w:tcPr>
            <w:tcW w:w="1628" w:type="dxa"/>
            <w:tcBorders>
              <w:top w:val="nil"/>
              <w:left w:val="nil"/>
              <w:bottom w:val="single" w:sz="4" w:space="0" w:color="auto"/>
              <w:right w:val="single" w:sz="4" w:space="0" w:color="auto"/>
            </w:tcBorders>
            <w:shd w:val="clear" w:color="auto" w:fill="auto"/>
            <w:vAlign w:val="bottom"/>
            <w:hideMark/>
          </w:tcPr>
          <w:p w14:paraId="7482D723" w14:textId="6B54E8BF"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439</w:t>
            </w:r>
          </w:p>
        </w:tc>
        <w:tc>
          <w:tcPr>
            <w:tcW w:w="2198" w:type="dxa"/>
            <w:tcBorders>
              <w:top w:val="nil"/>
              <w:left w:val="nil"/>
              <w:bottom w:val="single" w:sz="4" w:space="0" w:color="auto"/>
              <w:right w:val="single" w:sz="4" w:space="0" w:color="auto"/>
            </w:tcBorders>
            <w:shd w:val="clear" w:color="auto" w:fill="auto"/>
            <w:noWrap/>
            <w:vAlign w:val="bottom"/>
            <w:hideMark/>
          </w:tcPr>
          <w:p w14:paraId="5A8461EF" w14:textId="307E63AE"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549</w:t>
            </w:r>
          </w:p>
        </w:tc>
        <w:tc>
          <w:tcPr>
            <w:tcW w:w="1176" w:type="dxa"/>
            <w:tcBorders>
              <w:top w:val="nil"/>
              <w:left w:val="nil"/>
              <w:bottom w:val="single" w:sz="4" w:space="0" w:color="auto"/>
              <w:right w:val="single" w:sz="4" w:space="0" w:color="auto"/>
            </w:tcBorders>
            <w:shd w:val="clear" w:color="auto" w:fill="auto"/>
            <w:noWrap/>
            <w:vAlign w:val="bottom"/>
            <w:hideMark/>
          </w:tcPr>
          <w:p w14:paraId="23ADF05B" w14:textId="076F8001"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77 262</w:t>
            </w:r>
          </w:p>
        </w:tc>
        <w:tc>
          <w:tcPr>
            <w:tcW w:w="1461" w:type="dxa"/>
            <w:tcBorders>
              <w:top w:val="nil"/>
              <w:left w:val="nil"/>
              <w:bottom w:val="single" w:sz="4" w:space="0" w:color="auto"/>
              <w:right w:val="single" w:sz="4" w:space="0" w:color="auto"/>
            </w:tcBorders>
            <w:shd w:val="clear" w:color="auto" w:fill="auto"/>
            <w:noWrap/>
            <w:vAlign w:val="bottom"/>
            <w:hideMark/>
          </w:tcPr>
          <w:p w14:paraId="62EAA76D" w14:textId="5A8BCAB3"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82 548</w:t>
            </w:r>
          </w:p>
        </w:tc>
        <w:tc>
          <w:tcPr>
            <w:tcW w:w="1080" w:type="dxa"/>
            <w:tcBorders>
              <w:top w:val="nil"/>
              <w:left w:val="nil"/>
              <w:bottom w:val="single" w:sz="4" w:space="0" w:color="auto"/>
              <w:right w:val="single" w:sz="4" w:space="0" w:color="auto"/>
            </w:tcBorders>
            <w:shd w:val="clear" w:color="auto" w:fill="auto"/>
            <w:noWrap/>
            <w:vAlign w:val="bottom"/>
            <w:hideMark/>
          </w:tcPr>
          <w:p w14:paraId="5F25EEAA" w14:textId="436E8617"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159 810</w:t>
            </w:r>
          </w:p>
        </w:tc>
      </w:tr>
      <w:tr w:rsidR="00C50613" w:rsidRPr="00BA52C1" w14:paraId="3711970C"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tcPr>
          <w:p w14:paraId="22AD2723" w14:textId="64FCB043" w:rsidR="00C50613" w:rsidRPr="00BA52C1" w:rsidRDefault="00E13C63" w:rsidP="00C50613">
            <w:pPr>
              <w:pStyle w:val="CBDTableNormal"/>
              <w:spacing w:before="0" w:after="0"/>
              <w:rPr>
                <w:sz w:val="18"/>
                <w:szCs w:val="18"/>
                <w:lang w:val="fr-FR" w:eastAsia="en-CA"/>
              </w:rPr>
            </w:pPr>
            <w:r>
              <w:rPr>
                <w:sz w:val="18"/>
                <w:szCs w:val="18"/>
                <w:lang w:val="fr-FR" w:eastAsia="en-CA"/>
              </w:rPr>
              <w:t>Islande</w:t>
            </w:r>
          </w:p>
        </w:tc>
        <w:tc>
          <w:tcPr>
            <w:tcW w:w="1628" w:type="dxa"/>
            <w:tcBorders>
              <w:top w:val="nil"/>
              <w:left w:val="nil"/>
              <w:bottom w:val="single" w:sz="4" w:space="0" w:color="auto"/>
              <w:right w:val="single" w:sz="4" w:space="0" w:color="auto"/>
            </w:tcBorders>
            <w:shd w:val="clear" w:color="auto" w:fill="auto"/>
            <w:vAlign w:val="bottom"/>
          </w:tcPr>
          <w:p w14:paraId="67C32641" w14:textId="3EA35D7C"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036</w:t>
            </w:r>
          </w:p>
        </w:tc>
        <w:tc>
          <w:tcPr>
            <w:tcW w:w="2198" w:type="dxa"/>
            <w:tcBorders>
              <w:top w:val="nil"/>
              <w:left w:val="nil"/>
              <w:bottom w:val="single" w:sz="4" w:space="0" w:color="auto"/>
              <w:right w:val="single" w:sz="4" w:space="0" w:color="auto"/>
            </w:tcBorders>
            <w:shd w:val="clear" w:color="auto" w:fill="auto"/>
            <w:noWrap/>
            <w:vAlign w:val="bottom"/>
          </w:tcPr>
          <w:p w14:paraId="449F82D3" w14:textId="1C4642FA"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045</w:t>
            </w:r>
          </w:p>
        </w:tc>
        <w:tc>
          <w:tcPr>
            <w:tcW w:w="1176" w:type="dxa"/>
            <w:tcBorders>
              <w:top w:val="nil"/>
              <w:left w:val="nil"/>
              <w:bottom w:val="single" w:sz="4" w:space="0" w:color="auto"/>
              <w:right w:val="single" w:sz="4" w:space="0" w:color="auto"/>
            </w:tcBorders>
            <w:shd w:val="clear" w:color="auto" w:fill="auto"/>
            <w:noWrap/>
            <w:vAlign w:val="bottom"/>
          </w:tcPr>
          <w:p w14:paraId="366AB21E" w14:textId="4E843DFF"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6 336</w:t>
            </w:r>
          </w:p>
        </w:tc>
        <w:tc>
          <w:tcPr>
            <w:tcW w:w="1461" w:type="dxa"/>
            <w:tcBorders>
              <w:top w:val="nil"/>
              <w:left w:val="nil"/>
              <w:bottom w:val="single" w:sz="4" w:space="0" w:color="auto"/>
              <w:right w:val="single" w:sz="4" w:space="0" w:color="auto"/>
            </w:tcBorders>
            <w:shd w:val="clear" w:color="auto" w:fill="auto"/>
            <w:noWrap/>
            <w:vAlign w:val="bottom"/>
          </w:tcPr>
          <w:p w14:paraId="363FFE18" w14:textId="424B3CEC"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6 769</w:t>
            </w:r>
          </w:p>
        </w:tc>
        <w:tc>
          <w:tcPr>
            <w:tcW w:w="1080" w:type="dxa"/>
            <w:tcBorders>
              <w:top w:val="nil"/>
              <w:left w:val="nil"/>
              <w:bottom w:val="single" w:sz="4" w:space="0" w:color="auto"/>
              <w:right w:val="single" w:sz="4" w:space="0" w:color="auto"/>
            </w:tcBorders>
            <w:shd w:val="clear" w:color="auto" w:fill="auto"/>
            <w:noWrap/>
            <w:vAlign w:val="bottom"/>
          </w:tcPr>
          <w:p w14:paraId="5003A659" w14:textId="5B6D090B"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13 105</w:t>
            </w:r>
          </w:p>
        </w:tc>
      </w:tr>
      <w:tr w:rsidR="00C50613" w:rsidRPr="00BA52C1" w14:paraId="7553B103"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4A56D4A" w14:textId="17898869" w:rsidR="00C50613" w:rsidRPr="00BA52C1" w:rsidRDefault="00C50613" w:rsidP="00C50613">
            <w:pPr>
              <w:pStyle w:val="CBDTableNormal"/>
              <w:spacing w:before="0" w:after="0"/>
              <w:rPr>
                <w:sz w:val="18"/>
                <w:szCs w:val="18"/>
                <w:lang w:val="fr-FR" w:eastAsia="en-CA"/>
              </w:rPr>
            </w:pPr>
            <w:r w:rsidRPr="00BA52C1">
              <w:rPr>
                <w:sz w:val="18"/>
                <w:szCs w:val="18"/>
                <w:lang w:val="fr-FR" w:eastAsia="en-CA"/>
              </w:rPr>
              <w:t>Isra</w:t>
            </w:r>
            <w:r w:rsidR="00E13C63">
              <w:rPr>
                <w:sz w:val="18"/>
                <w:szCs w:val="18"/>
                <w:lang w:val="fr-FR" w:eastAsia="en-CA"/>
              </w:rPr>
              <w:t>ël</w:t>
            </w:r>
          </w:p>
        </w:tc>
        <w:tc>
          <w:tcPr>
            <w:tcW w:w="1628" w:type="dxa"/>
            <w:tcBorders>
              <w:top w:val="nil"/>
              <w:left w:val="nil"/>
              <w:bottom w:val="single" w:sz="4" w:space="0" w:color="auto"/>
              <w:right w:val="single" w:sz="4" w:space="0" w:color="auto"/>
            </w:tcBorders>
            <w:shd w:val="clear" w:color="auto" w:fill="auto"/>
            <w:vAlign w:val="bottom"/>
            <w:hideMark/>
          </w:tcPr>
          <w:p w14:paraId="095E968A" w14:textId="7CD94DBB"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561</w:t>
            </w:r>
          </w:p>
        </w:tc>
        <w:tc>
          <w:tcPr>
            <w:tcW w:w="2198" w:type="dxa"/>
            <w:tcBorders>
              <w:top w:val="nil"/>
              <w:left w:val="nil"/>
              <w:bottom w:val="single" w:sz="4" w:space="0" w:color="auto"/>
              <w:right w:val="single" w:sz="4" w:space="0" w:color="auto"/>
            </w:tcBorders>
            <w:shd w:val="clear" w:color="auto" w:fill="auto"/>
            <w:noWrap/>
            <w:vAlign w:val="bottom"/>
            <w:hideMark/>
          </w:tcPr>
          <w:p w14:paraId="0CC1D9EB" w14:textId="75B00657"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701</w:t>
            </w:r>
          </w:p>
        </w:tc>
        <w:tc>
          <w:tcPr>
            <w:tcW w:w="1176" w:type="dxa"/>
            <w:tcBorders>
              <w:top w:val="nil"/>
              <w:left w:val="nil"/>
              <w:bottom w:val="single" w:sz="4" w:space="0" w:color="auto"/>
              <w:right w:val="single" w:sz="4" w:space="0" w:color="auto"/>
            </w:tcBorders>
            <w:shd w:val="clear" w:color="auto" w:fill="auto"/>
            <w:noWrap/>
            <w:vAlign w:val="bottom"/>
            <w:hideMark/>
          </w:tcPr>
          <w:p w14:paraId="03D1BF2D" w14:textId="2CD5AFBD"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98 733</w:t>
            </w:r>
          </w:p>
        </w:tc>
        <w:tc>
          <w:tcPr>
            <w:tcW w:w="1461" w:type="dxa"/>
            <w:tcBorders>
              <w:top w:val="nil"/>
              <w:left w:val="nil"/>
              <w:bottom w:val="single" w:sz="4" w:space="0" w:color="auto"/>
              <w:right w:val="single" w:sz="4" w:space="0" w:color="auto"/>
            </w:tcBorders>
            <w:shd w:val="clear" w:color="auto" w:fill="auto"/>
            <w:noWrap/>
            <w:vAlign w:val="bottom"/>
            <w:hideMark/>
          </w:tcPr>
          <w:p w14:paraId="209FDAAC" w14:textId="19B1194E"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105 488</w:t>
            </w:r>
          </w:p>
        </w:tc>
        <w:tc>
          <w:tcPr>
            <w:tcW w:w="1080" w:type="dxa"/>
            <w:tcBorders>
              <w:top w:val="nil"/>
              <w:left w:val="nil"/>
              <w:bottom w:val="single" w:sz="4" w:space="0" w:color="auto"/>
              <w:right w:val="single" w:sz="4" w:space="0" w:color="auto"/>
            </w:tcBorders>
            <w:shd w:val="clear" w:color="auto" w:fill="auto"/>
            <w:noWrap/>
            <w:vAlign w:val="bottom"/>
            <w:hideMark/>
          </w:tcPr>
          <w:p w14:paraId="2F94AA3D" w14:textId="658D9887"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204 221</w:t>
            </w:r>
          </w:p>
        </w:tc>
      </w:tr>
      <w:tr w:rsidR="00C50613" w:rsidRPr="00BA52C1" w14:paraId="3E9C5AAC"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6BAAB8A" w14:textId="09A3B009" w:rsidR="00C50613" w:rsidRPr="00BA52C1" w:rsidRDefault="00C50613" w:rsidP="00C50613">
            <w:pPr>
              <w:pStyle w:val="CBDTableNormal"/>
              <w:spacing w:before="0" w:after="0"/>
              <w:rPr>
                <w:sz w:val="18"/>
                <w:szCs w:val="18"/>
                <w:lang w:val="fr-FR" w:eastAsia="en-CA"/>
              </w:rPr>
            </w:pPr>
            <w:r w:rsidRPr="00BA52C1">
              <w:rPr>
                <w:sz w:val="18"/>
                <w:szCs w:val="18"/>
                <w:lang w:val="fr-FR" w:eastAsia="en-CA"/>
              </w:rPr>
              <w:t>Ital</w:t>
            </w:r>
            <w:r w:rsidR="00E13C63">
              <w:rPr>
                <w:sz w:val="18"/>
                <w:szCs w:val="18"/>
                <w:lang w:val="fr-FR" w:eastAsia="en-CA"/>
              </w:rPr>
              <w:t>ie</w:t>
            </w:r>
          </w:p>
        </w:tc>
        <w:tc>
          <w:tcPr>
            <w:tcW w:w="1628" w:type="dxa"/>
            <w:tcBorders>
              <w:top w:val="nil"/>
              <w:left w:val="nil"/>
              <w:bottom w:val="single" w:sz="4" w:space="0" w:color="auto"/>
              <w:right w:val="single" w:sz="4" w:space="0" w:color="auto"/>
            </w:tcBorders>
            <w:shd w:val="clear" w:color="auto" w:fill="auto"/>
            <w:vAlign w:val="bottom"/>
            <w:hideMark/>
          </w:tcPr>
          <w:p w14:paraId="625392E4" w14:textId="25C23B93"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3</w:t>
            </w:r>
            <w:r>
              <w:rPr>
                <w:sz w:val="18"/>
                <w:szCs w:val="18"/>
                <w:lang w:val="fr-FR" w:eastAsia="en-CA"/>
              </w:rPr>
              <w:t>,</w:t>
            </w:r>
            <w:r w:rsidRPr="00BA52C1">
              <w:rPr>
                <w:sz w:val="18"/>
                <w:szCs w:val="18"/>
                <w:lang w:val="fr-FR" w:eastAsia="en-CA"/>
              </w:rPr>
              <w:t>189</w:t>
            </w:r>
          </w:p>
        </w:tc>
        <w:tc>
          <w:tcPr>
            <w:tcW w:w="2198" w:type="dxa"/>
            <w:tcBorders>
              <w:top w:val="nil"/>
              <w:left w:val="nil"/>
              <w:bottom w:val="single" w:sz="4" w:space="0" w:color="auto"/>
              <w:right w:val="single" w:sz="4" w:space="0" w:color="auto"/>
            </w:tcBorders>
            <w:shd w:val="clear" w:color="auto" w:fill="auto"/>
            <w:noWrap/>
            <w:vAlign w:val="bottom"/>
            <w:hideMark/>
          </w:tcPr>
          <w:p w14:paraId="3B3712CA" w14:textId="2EBC6B4F"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3</w:t>
            </w:r>
            <w:r>
              <w:rPr>
                <w:sz w:val="18"/>
                <w:szCs w:val="18"/>
                <w:lang w:val="fr-FR" w:eastAsia="en-CA"/>
              </w:rPr>
              <w:t>,</w:t>
            </w:r>
            <w:r w:rsidRPr="00BA52C1">
              <w:rPr>
                <w:sz w:val="18"/>
                <w:szCs w:val="18"/>
                <w:lang w:val="fr-FR" w:eastAsia="en-CA"/>
              </w:rPr>
              <w:t>987</w:t>
            </w:r>
          </w:p>
        </w:tc>
        <w:tc>
          <w:tcPr>
            <w:tcW w:w="1176" w:type="dxa"/>
            <w:tcBorders>
              <w:top w:val="nil"/>
              <w:left w:val="nil"/>
              <w:bottom w:val="single" w:sz="4" w:space="0" w:color="auto"/>
              <w:right w:val="single" w:sz="4" w:space="0" w:color="auto"/>
            </w:tcBorders>
            <w:shd w:val="clear" w:color="auto" w:fill="auto"/>
            <w:noWrap/>
            <w:vAlign w:val="bottom"/>
            <w:hideMark/>
          </w:tcPr>
          <w:p w14:paraId="4AD8A0AE" w14:textId="6B4F6BE1"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561 246</w:t>
            </w:r>
          </w:p>
        </w:tc>
        <w:tc>
          <w:tcPr>
            <w:tcW w:w="1461" w:type="dxa"/>
            <w:tcBorders>
              <w:top w:val="nil"/>
              <w:left w:val="nil"/>
              <w:bottom w:val="single" w:sz="4" w:space="0" w:color="auto"/>
              <w:right w:val="single" w:sz="4" w:space="0" w:color="auto"/>
            </w:tcBorders>
            <w:shd w:val="clear" w:color="auto" w:fill="auto"/>
            <w:noWrap/>
            <w:vAlign w:val="bottom"/>
            <w:hideMark/>
          </w:tcPr>
          <w:p w14:paraId="7399101F" w14:textId="6C7033CC"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599 648</w:t>
            </w:r>
          </w:p>
        </w:tc>
        <w:tc>
          <w:tcPr>
            <w:tcW w:w="1080" w:type="dxa"/>
            <w:tcBorders>
              <w:top w:val="nil"/>
              <w:left w:val="nil"/>
              <w:bottom w:val="single" w:sz="4" w:space="0" w:color="auto"/>
              <w:right w:val="single" w:sz="4" w:space="0" w:color="auto"/>
            </w:tcBorders>
            <w:shd w:val="clear" w:color="auto" w:fill="auto"/>
            <w:noWrap/>
            <w:vAlign w:val="bottom"/>
            <w:hideMark/>
          </w:tcPr>
          <w:p w14:paraId="520C5817" w14:textId="2AED32C3"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1 160 895</w:t>
            </w:r>
          </w:p>
        </w:tc>
      </w:tr>
      <w:tr w:rsidR="00C50613" w:rsidRPr="00BA52C1" w14:paraId="472BD883"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F4F5D0B" w14:textId="6168CAE2" w:rsidR="00C50613" w:rsidRPr="00BA52C1" w:rsidRDefault="00C50613" w:rsidP="00C50613">
            <w:pPr>
              <w:pStyle w:val="CBDTableNormal"/>
              <w:spacing w:before="0" w:after="0"/>
              <w:rPr>
                <w:sz w:val="18"/>
                <w:szCs w:val="18"/>
                <w:lang w:val="fr-FR" w:eastAsia="en-CA"/>
              </w:rPr>
            </w:pPr>
            <w:r w:rsidRPr="00BA52C1">
              <w:rPr>
                <w:sz w:val="18"/>
                <w:szCs w:val="18"/>
                <w:lang w:val="fr-FR" w:eastAsia="en-CA"/>
              </w:rPr>
              <w:t>Jama</w:t>
            </w:r>
            <w:r w:rsidR="00E13C63">
              <w:rPr>
                <w:sz w:val="18"/>
                <w:szCs w:val="18"/>
                <w:lang w:val="fr-FR" w:eastAsia="en-CA"/>
              </w:rPr>
              <w:t>ïque</w:t>
            </w:r>
          </w:p>
        </w:tc>
        <w:tc>
          <w:tcPr>
            <w:tcW w:w="1628" w:type="dxa"/>
            <w:tcBorders>
              <w:top w:val="nil"/>
              <w:left w:val="nil"/>
              <w:bottom w:val="single" w:sz="4" w:space="0" w:color="auto"/>
              <w:right w:val="single" w:sz="4" w:space="0" w:color="auto"/>
            </w:tcBorders>
            <w:shd w:val="clear" w:color="auto" w:fill="auto"/>
            <w:vAlign w:val="bottom"/>
            <w:hideMark/>
          </w:tcPr>
          <w:p w14:paraId="72B11954" w14:textId="7B7C3AF8"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008</w:t>
            </w:r>
          </w:p>
        </w:tc>
        <w:tc>
          <w:tcPr>
            <w:tcW w:w="2198" w:type="dxa"/>
            <w:tcBorders>
              <w:top w:val="nil"/>
              <w:left w:val="nil"/>
              <w:bottom w:val="single" w:sz="4" w:space="0" w:color="auto"/>
              <w:right w:val="single" w:sz="4" w:space="0" w:color="auto"/>
            </w:tcBorders>
            <w:shd w:val="clear" w:color="auto" w:fill="auto"/>
            <w:noWrap/>
            <w:vAlign w:val="bottom"/>
            <w:hideMark/>
          </w:tcPr>
          <w:p w14:paraId="0F259D69" w14:textId="5C4B6AFF"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010</w:t>
            </w:r>
          </w:p>
        </w:tc>
        <w:tc>
          <w:tcPr>
            <w:tcW w:w="1176" w:type="dxa"/>
            <w:tcBorders>
              <w:top w:val="nil"/>
              <w:left w:val="nil"/>
              <w:bottom w:val="single" w:sz="4" w:space="0" w:color="auto"/>
              <w:right w:val="single" w:sz="4" w:space="0" w:color="auto"/>
            </w:tcBorders>
            <w:shd w:val="clear" w:color="auto" w:fill="auto"/>
            <w:noWrap/>
            <w:vAlign w:val="bottom"/>
            <w:hideMark/>
          </w:tcPr>
          <w:p w14:paraId="31147C38" w14:textId="767EE308"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1 408</w:t>
            </w:r>
          </w:p>
        </w:tc>
        <w:tc>
          <w:tcPr>
            <w:tcW w:w="1461" w:type="dxa"/>
            <w:tcBorders>
              <w:top w:val="nil"/>
              <w:left w:val="nil"/>
              <w:bottom w:val="single" w:sz="4" w:space="0" w:color="auto"/>
              <w:right w:val="single" w:sz="4" w:space="0" w:color="auto"/>
            </w:tcBorders>
            <w:shd w:val="clear" w:color="auto" w:fill="auto"/>
            <w:noWrap/>
            <w:vAlign w:val="bottom"/>
            <w:hideMark/>
          </w:tcPr>
          <w:p w14:paraId="79EE3739" w14:textId="32ADB7BF"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1 504</w:t>
            </w:r>
          </w:p>
        </w:tc>
        <w:tc>
          <w:tcPr>
            <w:tcW w:w="1080" w:type="dxa"/>
            <w:tcBorders>
              <w:top w:val="nil"/>
              <w:left w:val="nil"/>
              <w:bottom w:val="single" w:sz="4" w:space="0" w:color="auto"/>
              <w:right w:val="single" w:sz="4" w:space="0" w:color="auto"/>
            </w:tcBorders>
            <w:shd w:val="clear" w:color="auto" w:fill="auto"/>
            <w:noWrap/>
            <w:vAlign w:val="bottom"/>
            <w:hideMark/>
          </w:tcPr>
          <w:p w14:paraId="42C97F77" w14:textId="10B4F9FF"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2 912</w:t>
            </w:r>
          </w:p>
        </w:tc>
      </w:tr>
      <w:tr w:rsidR="00C50613" w:rsidRPr="00BA52C1" w14:paraId="5F40E5A3"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81E0316" w14:textId="435C44AF" w:rsidR="00C50613" w:rsidRPr="00BA52C1" w:rsidRDefault="00C50613" w:rsidP="00C50613">
            <w:pPr>
              <w:pStyle w:val="CBDTableNormal"/>
              <w:spacing w:before="0" w:after="0"/>
              <w:rPr>
                <w:sz w:val="18"/>
                <w:szCs w:val="18"/>
                <w:lang w:val="fr-FR" w:eastAsia="en-CA"/>
              </w:rPr>
            </w:pPr>
            <w:r w:rsidRPr="00BA52C1">
              <w:rPr>
                <w:sz w:val="18"/>
                <w:szCs w:val="18"/>
                <w:lang w:val="fr-FR" w:eastAsia="en-CA"/>
              </w:rPr>
              <w:t>Jap</w:t>
            </w:r>
            <w:r w:rsidR="00E13C63">
              <w:rPr>
                <w:sz w:val="18"/>
                <w:szCs w:val="18"/>
                <w:lang w:val="fr-FR" w:eastAsia="en-CA"/>
              </w:rPr>
              <w:t>on</w:t>
            </w:r>
          </w:p>
        </w:tc>
        <w:tc>
          <w:tcPr>
            <w:tcW w:w="1628" w:type="dxa"/>
            <w:tcBorders>
              <w:top w:val="nil"/>
              <w:left w:val="nil"/>
              <w:bottom w:val="single" w:sz="4" w:space="0" w:color="auto"/>
              <w:right w:val="single" w:sz="4" w:space="0" w:color="auto"/>
            </w:tcBorders>
            <w:shd w:val="clear" w:color="auto" w:fill="auto"/>
            <w:noWrap/>
            <w:vAlign w:val="bottom"/>
            <w:hideMark/>
          </w:tcPr>
          <w:p w14:paraId="3269599B" w14:textId="4FE251AF"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8</w:t>
            </w:r>
            <w:r>
              <w:rPr>
                <w:sz w:val="18"/>
                <w:szCs w:val="18"/>
                <w:lang w:val="fr-FR" w:eastAsia="en-CA"/>
              </w:rPr>
              <w:t>,</w:t>
            </w:r>
            <w:r w:rsidRPr="00BA52C1">
              <w:rPr>
                <w:sz w:val="18"/>
                <w:szCs w:val="18"/>
                <w:lang w:val="fr-FR" w:eastAsia="en-CA"/>
              </w:rPr>
              <w:t>033</w:t>
            </w:r>
          </w:p>
        </w:tc>
        <w:tc>
          <w:tcPr>
            <w:tcW w:w="2198" w:type="dxa"/>
            <w:tcBorders>
              <w:top w:val="nil"/>
              <w:left w:val="nil"/>
              <w:bottom w:val="single" w:sz="4" w:space="0" w:color="auto"/>
              <w:right w:val="single" w:sz="4" w:space="0" w:color="auto"/>
            </w:tcBorders>
            <w:shd w:val="clear" w:color="auto" w:fill="auto"/>
            <w:noWrap/>
            <w:vAlign w:val="bottom"/>
            <w:hideMark/>
          </w:tcPr>
          <w:p w14:paraId="0E9F5778" w14:textId="03C746DD"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10</w:t>
            </w:r>
            <w:r>
              <w:rPr>
                <w:sz w:val="18"/>
                <w:szCs w:val="18"/>
                <w:lang w:val="fr-FR" w:eastAsia="en-CA"/>
              </w:rPr>
              <w:t>,</w:t>
            </w:r>
            <w:r w:rsidRPr="00BA52C1">
              <w:rPr>
                <w:sz w:val="18"/>
                <w:szCs w:val="18"/>
                <w:lang w:val="fr-FR" w:eastAsia="en-CA"/>
              </w:rPr>
              <w:t>042</w:t>
            </w:r>
          </w:p>
        </w:tc>
        <w:tc>
          <w:tcPr>
            <w:tcW w:w="1176" w:type="dxa"/>
            <w:tcBorders>
              <w:top w:val="nil"/>
              <w:left w:val="nil"/>
              <w:bottom w:val="single" w:sz="4" w:space="0" w:color="auto"/>
              <w:right w:val="single" w:sz="4" w:space="0" w:color="auto"/>
            </w:tcBorders>
            <w:shd w:val="clear" w:color="auto" w:fill="auto"/>
            <w:noWrap/>
            <w:vAlign w:val="bottom"/>
            <w:hideMark/>
          </w:tcPr>
          <w:p w14:paraId="11EB4700" w14:textId="6C1F1F3E"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1 413 763</w:t>
            </w:r>
          </w:p>
        </w:tc>
        <w:tc>
          <w:tcPr>
            <w:tcW w:w="1461" w:type="dxa"/>
            <w:tcBorders>
              <w:top w:val="nil"/>
              <w:left w:val="nil"/>
              <w:bottom w:val="single" w:sz="4" w:space="0" w:color="auto"/>
              <w:right w:val="single" w:sz="4" w:space="0" w:color="auto"/>
            </w:tcBorders>
            <w:shd w:val="clear" w:color="auto" w:fill="auto"/>
            <w:noWrap/>
            <w:vAlign w:val="bottom"/>
            <w:hideMark/>
          </w:tcPr>
          <w:p w14:paraId="0A0F8B84" w14:textId="7AA9BE9E"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1 510 497</w:t>
            </w:r>
          </w:p>
        </w:tc>
        <w:tc>
          <w:tcPr>
            <w:tcW w:w="1080" w:type="dxa"/>
            <w:tcBorders>
              <w:top w:val="nil"/>
              <w:left w:val="nil"/>
              <w:bottom w:val="single" w:sz="4" w:space="0" w:color="auto"/>
              <w:right w:val="single" w:sz="4" w:space="0" w:color="auto"/>
            </w:tcBorders>
            <w:shd w:val="clear" w:color="auto" w:fill="auto"/>
            <w:noWrap/>
            <w:vAlign w:val="bottom"/>
            <w:hideMark/>
          </w:tcPr>
          <w:p w14:paraId="1168097E" w14:textId="0DD80F30"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2 924 260</w:t>
            </w:r>
          </w:p>
        </w:tc>
      </w:tr>
      <w:tr w:rsidR="00C50613" w:rsidRPr="00BA52C1" w14:paraId="1EEA80F8"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7B68743" w14:textId="00E0350A" w:rsidR="00C50613" w:rsidRPr="00BA52C1" w:rsidRDefault="00C50613" w:rsidP="00C50613">
            <w:pPr>
              <w:pStyle w:val="CBDTableNormal"/>
              <w:spacing w:before="0" w:after="0"/>
              <w:rPr>
                <w:sz w:val="18"/>
                <w:szCs w:val="18"/>
                <w:lang w:val="fr-FR" w:eastAsia="en-CA"/>
              </w:rPr>
            </w:pPr>
            <w:r w:rsidRPr="00BA52C1">
              <w:rPr>
                <w:sz w:val="18"/>
                <w:szCs w:val="18"/>
                <w:lang w:val="fr-FR" w:eastAsia="en-CA"/>
              </w:rPr>
              <w:t>Jordan</w:t>
            </w:r>
            <w:r w:rsidR="00E13C63">
              <w:rPr>
                <w:sz w:val="18"/>
                <w:szCs w:val="18"/>
                <w:lang w:val="fr-FR" w:eastAsia="en-CA"/>
              </w:rPr>
              <w:t>ie</w:t>
            </w:r>
          </w:p>
        </w:tc>
        <w:tc>
          <w:tcPr>
            <w:tcW w:w="1628" w:type="dxa"/>
            <w:tcBorders>
              <w:top w:val="nil"/>
              <w:left w:val="nil"/>
              <w:bottom w:val="single" w:sz="4" w:space="0" w:color="auto"/>
              <w:right w:val="single" w:sz="4" w:space="0" w:color="auto"/>
            </w:tcBorders>
            <w:shd w:val="clear" w:color="auto" w:fill="auto"/>
            <w:vAlign w:val="bottom"/>
            <w:hideMark/>
          </w:tcPr>
          <w:p w14:paraId="10700882" w14:textId="1788D28F"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022</w:t>
            </w:r>
          </w:p>
        </w:tc>
        <w:tc>
          <w:tcPr>
            <w:tcW w:w="2198" w:type="dxa"/>
            <w:tcBorders>
              <w:top w:val="nil"/>
              <w:left w:val="nil"/>
              <w:bottom w:val="single" w:sz="4" w:space="0" w:color="auto"/>
              <w:right w:val="single" w:sz="4" w:space="0" w:color="auto"/>
            </w:tcBorders>
            <w:shd w:val="clear" w:color="auto" w:fill="auto"/>
            <w:noWrap/>
            <w:vAlign w:val="bottom"/>
            <w:hideMark/>
          </w:tcPr>
          <w:p w14:paraId="35031DAC" w14:textId="33E59A80"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028</w:t>
            </w:r>
          </w:p>
        </w:tc>
        <w:tc>
          <w:tcPr>
            <w:tcW w:w="1176" w:type="dxa"/>
            <w:tcBorders>
              <w:top w:val="nil"/>
              <w:left w:val="nil"/>
              <w:bottom w:val="single" w:sz="4" w:space="0" w:color="auto"/>
              <w:right w:val="single" w:sz="4" w:space="0" w:color="auto"/>
            </w:tcBorders>
            <w:shd w:val="clear" w:color="auto" w:fill="auto"/>
            <w:noWrap/>
            <w:vAlign w:val="bottom"/>
            <w:hideMark/>
          </w:tcPr>
          <w:p w14:paraId="53961D09" w14:textId="5E8CFDA4"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3 872</w:t>
            </w:r>
          </w:p>
        </w:tc>
        <w:tc>
          <w:tcPr>
            <w:tcW w:w="1461" w:type="dxa"/>
            <w:tcBorders>
              <w:top w:val="nil"/>
              <w:left w:val="nil"/>
              <w:bottom w:val="single" w:sz="4" w:space="0" w:color="auto"/>
              <w:right w:val="single" w:sz="4" w:space="0" w:color="auto"/>
            </w:tcBorders>
            <w:shd w:val="clear" w:color="auto" w:fill="auto"/>
            <w:noWrap/>
            <w:vAlign w:val="bottom"/>
            <w:hideMark/>
          </w:tcPr>
          <w:p w14:paraId="40E4BC09" w14:textId="4B5D4745"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4 137</w:t>
            </w:r>
          </w:p>
        </w:tc>
        <w:tc>
          <w:tcPr>
            <w:tcW w:w="1080" w:type="dxa"/>
            <w:tcBorders>
              <w:top w:val="nil"/>
              <w:left w:val="nil"/>
              <w:bottom w:val="single" w:sz="4" w:space="0" w:color="auto"/>
              <w:right w:val="single" w:sz="4" w:space="0" w:color="auto"/>
            </w:tcBorders>
            <w:shd w:val="clear" w:color="auto" w:fill="auto"/>
            <w:noWrap/>
            <w:vAlign w:val="bottom"/>
            <w:hideMark/>
          </w:tcPr>
          <w:p w14:paraId="220E6FFA" w14:textId="713AA757"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8 009</w:t>
            </w:r>
          </w:p>
        </w:tc>
      </w:tr>
      <w:tr w:rsidR="00C50613" w:rsidRPr="00BA52C1" w14:paraId="6FD701DF"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56277F2" w14:textId="77777777" w:rsidR="00C50613" w:rsidRPr="00BA52C1" w:rsidRDefault="00C50613" w:rsidP="00C50613">
            <w:pPr>
              <w:pStyle w:val="CBDTableNormal"/>
              <w:spacing w:before="0" w:after="0"/>
              <w:rPr>
                <w:sz w:val="18"/>
                <w:szCs w:val="18"/>
                <w:lang w:val="fr-FR" w:eastAsia="en-CA"/>
              </w:rPr>
            </w:pPr>
            <w:r w:rsidRPr="00BA52C1">
              <w:rPr>
                <w:sz w:val="18"/>
                <w:szCs w:val="18"/>
                <w:lang w:val="fr-FR" w:eastAsia="en-CA"/>
              </w:rPr>
              <w:t>Kazakhstan</w:t>
            </w:r>
          </w:p>
        </w:tc>
        <w:tc>
          <w:tcPr>
            <w:tcW w:w="1628" w:type="dxa"/>
            <w:tcBorders>
              <w:top w:val="nil"/>
              <w:left w:val="nil"/>
              <w:bottom w:val="single" w:sz="4" w:space="0" w:color="auto"/>
              <w:right w:val="single" w:sz="4" w:space="0" w:color="auto"/>
            </w:tcBorders>
            <w:shd w:val="clear" w:color="auto" w:fill="auto"/>
            <w:vAlign w:val="bottom"/>
            <w:hideMark/>
          </w:tcPr>
          <w:p w14:paraId="4DA04E30" w14:textId="6020DF0D"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133</w:t>
            </w:r>
          </w:p>
        </w:tc>
        <w:tc>
          <w:tcPr>
            <w:tcW w:w="2198" w:type="dxa"/>
            <w:tcBorders>
              <w:top w:val="nil"/>
              <w:left w:val="nil"/>
              <w:bottom w:val="single" w:sz="4" w:space="0" w:color="auto"/>
              <w:right w:val="single" w:sz="4" w:space="0" w:color="auto"/>
            </w:tcBorders>
            <w:shd w:val="clear" w:color="auto" w:fill="auto"/>
            <w:noWrap/>
            <w:vAlign w:val="bottom"/>
            <w:hideMark/>
          </w:tcPr>
          <w:p w14:paraId="19E46806" w14:textId="42398D9B"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166</w:t>
            </w:r>
          </w:p>
        </w:tc>
        <w:tc>
          <w:tcPr>
            <w:tcW w:w="1176" w:type="dxa"/>
            <w:tcBorders>
              <w:top w:val="nil"/>
              <w:left w:val="nil"/>
              <w:bottom w:val="single" w:sz="4" w:space="0" w:color="auto"/>
              <w:right w:val="single" w:sz="4" w:space="0" w:color="auto"/>
            </w:tcBorders>
            <w:shd w:val="clear" w:color="auto" w:fill="auto"/>
            <w:noWrap/>
            <w:vAlign w:val="bottom"/>
            <w:hideMark/>
          </w:tcPr>
          <w:p w14:paraId="6A7766D3" w14:textId="23F4FFEC"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23 407</w:t>
            </w:r>
          </w:p>
        </w:tc>
        <w:tc>
          <w:tcPr>
            <w:tcW w:w="1461" w:type="dxa"/>
            <w:tcBorders>
              <w:top w:val="nil"/>
              <w:left w:val="nil"/>
              <w:bottom w:val="single" w:sz="4" w:space="0" w:color="auto"/>
              <w:right w:val="single" w:sz="4" w:space="0" w:color="auto"/>
            </w:tcBorders>
            <w:shd w:val="clear" w:color="auto" w:fill="auto"/>
            <w:noWrap/>
            <w:vAlign w:val="bottom"/>
            <w:hideMark/>
          </w:tcPr>
          <w:p w14:paraId="01B092C9" w14:textId="2AA0EBE7"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25 009</w:t>
            </w:r>
          </w:p>
        </w:tc>
        <w:tc>
          <w:tcPr>
            <w:tcW w:w="1080" w:type="dxa"/>
            <w:tcBorders>
              <w:top w:val="nil"/>
              <w:left w:val="nil"/>
              <w:bottom w:val="single" w:sz="4" w:space="0" w:color="auto"/>
              <w:right w:val="single" w:sz="4" w:space="0" w:color="auto"/>
            </w:tcBorders>
            <w:shd w:val="clear" w:color="auto" w:fill="auto"/>
            <w:noWrap/>
            <w:vAlign w:val="bottom"/>
            <w:hideMark/>
          </w:tcPr>
          <w:p w14:paraId="6DFBCC3C" w14:textId="7745DAC5"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48 416</w:t>
            </w:r>
          </w:p>
        </w:tc>
      </w:tr>
      <w:tr w:rsidR="00C50613" w:rsidRPr="00BA52C1" w14:paraId="602C8091"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66FC452" w14:textId="77777777" w:rsidR="00C50613" w:rsidRPr="00BA52C1" w:rsidRDefault="00C50613" w:rsidP="00C50613">
            <w:pPr>
              <w:pStyle w:val="CBDTableNormal"/>
              <w:spacing w:before="0" w:after="0"/>
              <w:rPr>
                <w:sz w:val="18"/>
                <w:szCs w:val="18"/>
                <w:lang w:val="fr-FR" w:eastAsia="en-CA"/>
              </w:rPr>
            </w:pPr>
            <w:r w:rsidRPr="00BA52C1">
              <w:rPr>
                <w:sz w:val="18"/>
                <w:szCs w:val="18"/>
                <w:lang w:val="fr-FR" w:eastAsia="en-CA"/>
              </w:rPr>
              <w:t>Kenya</w:t>
            </w:r>
          </w:p>
        </w:tc>
        <w:tc>
          <w:tcPr>
            <w:tcW w:w="1628" w:type="dxa"/>
            <w:tcBorders>
              <w:top w:val="nil"/>
              <w:left w:val="nil"/>
              <w:bottom w:val="single" w:sz="4" w:space="0" w:color="auto"/>
              <w:right w:val="single" w:sz="4" w:space="0" w:color="auto"/>
            </w:tcBorders>
            <w:shd w:val="clear" w:color="auto" w:fill="auto"/>
            <w:vAlign w:val="bottom"/>
            <w:hideMark/>
          </w:tcPr>
          <w:p w14:paraId="28CB3E74" w14:textId="7EC25B41"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030</w:t>
            </w:r>
          </w:p>
        </w:tc>
        <w:tc>
          <w:tcPr>
            <w:tcW w:w="2198" w:type="dxa"/>
            <w:tcBorders>
              <w:top w:val="nil"/>
              <w:left w:val="nil"/>
              <w:bottom w:val="single" w:sz="4" w:space="0" w:color="auto"/>
              <w:right w:val="single" w:sz="4" w:space="0" w:color="auto"/>
            </w:tcBorders>
            <w:shd w:val="clear" w:color="auto" w:fill="auto"/>
            <w:noWrap/>
            <w:vAlign w:val="bottom"/>
            <w:hideMark/>
          </w:tcPr>
          <w:p w14:paraId="1827B89E" w14:textId="38B5DD29"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038</w:t>
            </w:r>
          </w:p>
        </w:tc>
        <w:tc>
          <w:tcPr>
            <w:tcW w:w="1176" w:type="dxa"/>
            <w:tcBorders>
              <w:top w:val="nil"/>
              <w:left w:val="nil"/>
              <w:bottom w:val="single" w:sz="4" w:space="0" w:color="auto"/>
              <w:right w:val="single" w:sz="4" w:space="0" w:color="auto"/>
            </w:tcBorders>
            <w:shd w:val="clear" w:color="auto" w:fill="auto"/>
            <w:noWrap/>
            <w:vAlign w:val="bottom"/>
            <w:hideMark/>
          </w:tcPr>
          <w:p w14:paraId="46E23C05" w14:textId="2AB32444"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5 280</w:t>
            </w:r>
          </w:p>
        </w:tc>
        <w:tc>
          <w:tcPr>
            <w:tcW w:w="1461" w:type="dxa"/>
            <w:tcBorders>
              <w:top w:val="nil"/>
              <w:left w:val="nil"/>
              <w:bottom w:val="single" w:sz="4" w:space="0" w:color="auto"/>
              <w:right w:val="single" w:sz="4" w:space="0" w:color="auto"/>
            </w:tcBorders>
            <w:shd w:val="clear" w:color="auto" w:fill="auto"/>
            <w:noWrap/>
            <w:vAlign w:val="bottom"/>
            <w:hideMark/>
          </w:tcPr>
          <w:p w14:paraId="7025759D" w14:textId="0E13A282"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5 641</w:t>
            </w:r>
          </w:p>
        </w:tc>
        <w:tc>
          <w:tcPr>
            <w:tcW w:w="1080" w:type="dxa"/>
            <w:tcBorders>
              <w:top w:val="nil"/>
              <w:left w:val="nil"/>
              <w:bottom w:val="single" w:sz="4" w:space="0" w:color="auto"/>
              <w:right w:val="single" w:sz="4" w:space="0" w:color="auto"/>
            </w:tcBorders>
            <w:shd w:val="clear" w:color="auto" w:fill="auto"/>
            <w:noWrap/>
            <w:vAlign w:val="bottom"/>
            <w:hideMark/>
          </w:tcPr>
          <w:p w14:paraId="681DF428" w14:textId="09DB89FC"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10 921</w:t>
            </w:r>
          </w:p>
        </w:tc>
      </w:tr>
      <w:tr w:rsidR="00E13C63" w:rsidRPr="00BA52C1" w14:paraId="4343C06A"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tcPr>
          <w:p w14:paraId="1D289C12" w14:textId="23A44D43" w:rsidR="00E13C63" w:rsidRPr="00BA52C1" w:rsidRDefault="00E13C63" w:rsidP="00E13C63">
            <w:pPr>
              <w:pStyle w:val="CBDTableNormal"/>
              <w:spacing w:before="0" w:after="0"/>
              <w:rPr>
                <w:sz w:val="18"/>
                <w:szCs w:val="18"/>
                <w:lang w:val="fr-FR" w:eastAsia="en-CA"/>
              </w:rPr>
            </w:pPr>
            <w:r w:rsidRPr="00BA52C1">
              <w:rPr>
                <w:sz w:val="18"/>
                <w:szCs w:val="18"/>
                <w:lang w:val="fr-FR" w:eastAsia="en-CA"/>
              </w:rPr>
              <w:t>K</w:t>
            </w:r>
            <w:r>
              <w:rPr>
                <w:sz w:val="18"/>
                <w:szCs w:val="18"/>
                <w:lang w:val="fr-FR" w:eastAsia="en-CA"/>
              </w:rPr>
              <w:t>i</w:t>
            </w:r>
            <w:r w:rsidRPr="00BA52C1">
              <w:rPr>
                <w:sz w:val="18"/>
                <w:szCs w:val="18"/>
                <w:lang w:val="fr-FR" w:eastAsia="en-CA"/>
              </w:rPr>
              <w:t>rg</w:t>
            </w:r>
            <w:r>
              <w:rPr>
                <w:sz w:val="18"/>
                <w:szCs w:val="18"/>
                <w:lang w:val="fr-FR" w:eastAsia="en-CA"/>
              </w:rPr>
              <w:t>hizistan</w:t>
            </w:r>
          </w:p>
        </w:tc>
        <w:tc>
          <w:tcPr>
            <w:tcW w:w="1628" w:type="dxa"/>
            <w:tcBorders>
              <w:top w:val="nil"/>
              <w:left w:val="nil"/>
              <w:bottom w:val="single" w:sz="4" w:space="0" w:color="auto"/>
              <w:right w:val="single" w:sz="4" w:space="0" w:color="auto"/>
            </w:tcBorders>
            <w:shd w:val="clear" w:color="auto" w:fill="auto"/>
            <w:vAlign w:val="bottom"/>
          </w:tcPr>
          <w:p w14:paraId="39F81949" w14:textId="763243A6" w:rsidR="00E13C63" w:rsidRPr="00BA52C1" w:rsidRDefault="00E13C63" w:rsidP="00E13C6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002</w:t>
            </w:r>
          </w:p>
        </w:tc>
        <w:tc>
          <w:tcPr>
            <w:tcW w:w="2198" w:type="dxa"/>
            <w:tcBorders>
              <w:top w:val="nil"/>
              <w:left w:val="nil"/>
              <w:bottom w:val="single" w:sz="4" w:space="0" w:color="auto"/>
              <w:right w:val="single" w:sz="4" w:space="0" w:color="auto"/>
            </w:tcBorders>
            <w:shd w:val="clear" w:color="auto" w:fill="auto"/>
            <w:noWrap/>
            <w:vAlign w:val="bottom"/>
          </w:tcPr>
          <w:p w14:paraId="7DEEC894" w14:textId="015A2335" w:rsidR="00E13C63" w:rsidRPr="00BA52C1" w:rsidRDefault="00E13C63" w:rsidP="00E13C6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003</w:t>
            </w:r>
          </w:p>
        </w:tc>
        <w:tc>
          <w:tcPr>
            <w:tcW w:w="1176" w:type="dxa"/>
            <w:tcBorders>
              <w:top w:val="nil"/>
              <w:left w:val="nil"/>
              <w:bottom w:val="single" w:sz="4" w:space="0" w:color="auto"/>
              <w:right w:val="single" w:sz="4" w:space="0" w:color="auto"/>
            </w:tcBorders>
            <w:shd w:val="clear" w:color="auto" w:fill="auto"/>
            <w:noWrap/>
            <w:vAlign w:val="bottom"/>
          </w:tcPr>
          <w:p w14:paraId="4C91C569" w14:textId="7A054AF1" w:rsidR="00E13C63" w:rsidRPr="00BA52C1" w:rsidRDefault="00E13C63" w:rsidP="00E13C63">
            <w:pPr>
              <w:pStyle w:val="CBDTableNormal"/>
              <w:spacing w:before="0" w:after="0"/>
              <w:jc w:val="right"/>
              <w:rPr>
                <w:sz w:val="18"/>
                <w:szCs w:val="18"/>
                <w:lang w:val="fr-FR" w:eastAsia="en-CA"/>
              </w:rPr>
            </w:pPr>
            <w:r w:rsidRPr="00BA52C1">
              <w:rPr>
                <w:sz w:val="18"/>
                <w:szCs w:val="18"/>
                <w:lang w:val="fr-FR" w:eastAsia="en-CA"/>
              </w:rPr>
              <w:t>352</w:t>
            </w:r>
          </w:p>
        </w:tc>
        <w:tc>
          <w:tcPr>
            <w:tcW w:w="1461" w:type="dxa"/>
            <w:tcBorders>
              <w:top w:val="nil"/>
              <w:left w:val="nil"/>
              <w:bottom w:val="single" w:sz="4" w:space="0" w:color="auto"/>
              <w:right w:val="single" w:sz="4" w:space="0" w:color="auto"/>
            </w:tcBorders>
            <w:shd w:val="clear" w:color="auto" w:fill="auto"/>
            <w:noWrap/>
            <w:vAlign w:val="bottom"/>
          </w:tcPr>
          <w:p w14:paraId="0F4F1980" w14:textId="38190394" w:rsidR="00E13C63" w:rsidRPr="00BA52C1" w:rsidRDefault="00E13C63" w:rsidP="00E13C63">
            <w:pPr>
              <w:pStyle w:val="CBDTableNormal"/>
              <w:spacing w:before="0" w:after="0"/>
              <w:jc w:val="right"/>
              <w:rPr>
                <w:sz w:val="18"/>
                <w:szCs w:val="18"/>
                <w:lang w:val="fr-FR" w:eastAsia="en-CA"/>
              </w:rPr>
            </w:pPr>
            <w:r w:rsidRPr="00BA52C1">
              <w:rPr>
                <w:sz w:val="18"/>
                <w:szCs w:val="18"/>
                <w:lang w:val="fr-FR" w:eastAsia="en-CA"/>
              </w:rPr>
              <w:t>376</w:t>
            </w:r>
          </w:p>
        </w:tc>
        <w:tc>
          <w:tcPr>
            <w:tcW w:w="1080" w:type="dxa"/>
            <w:tcBorders>
              <w:top w:val="nil"/>
              <w:left w:val="nil"/>
              <w:bottom w:val="single" w:sz="4" w:space="0" w:color="auto"/>
              <w:right w:val="single" w:sz="4" w:space="0" w:color="auto"/>
            </w:tcBorders>
            <w:shd w:val="clear" w:color="auto" w:fill="auto"/>
            <w:noWrap/>
            <w:vAlign w:val="bottom"/>
          </w:tcPr>
          <w:p w14:paraId="6891FA7F" w14:textId="32AB05BB" w:rsidR="00E13C63" w:rsidRPr="00BA52C1" w:rsidRDefault="00E13C63" w:rsidP="00E13C63">
            <w:pPr>
              <w:pStyle w:val="CBDTableNormal"/>
              <w:spacing w:before="0" w:after="0"/>
              <w:jc w:val="right"/>
              <w:rPr>
                <w:sz w:val="18"/>
                <w:szCs w:val="18"/>
                <w:lang w:val="fr-FR" w:eastAsia="en-CA"/>
              </w:rPr>
            </w:pPr>
            <w:r w:rsidRPr="00BA52C1">
              <w:rPr>
                <w:sz w:val="18"/>
                <w:szCs w:val="18"/>
                <w:lang w:val="fr-FR" w:eastAsia="en-CA"/>
              </w:rPr>
              <w:t>728</w:t>
            </w:r>
          </w:p>
        </w:tc>
      </w:tr>
      <w:tr w:rsidR="00C50613" w:rsidRPr="00BA52C1" w14:paraId="49E585E4"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64D12F1" w14:textId="77777777" w:rsidR="00C50613" w:rsidRPr="00BA52C1" w:rsidRDefault="00C50613" w:rsidP="00C50613">
            <w:pPr>
              <w:pStyle w:val="CBDTableNormal"/>
              <w:spacing w:before="0" w:after="0"/>
              <w:rPr>
                <w:sz w:val="18"/>
                <w:szCs w:val="18"/>
                <w:lang w:val="fr-FR" w:eastAsia="en-CA"/>
              </w:rPr>
            </w:pPr>
            <w:r w:rsidRPr="00BA52C1">
              <w:rPr>
                <w:sz w:val="18"/>
                <w:szCs w:val="18"/>
                <w:lang w:val="fr-FR" w:eastAsia="en-CA"/>
              </w:rPr>
              <w:t>Kiribati</w:t>
            </w:r>
          </w:p>
        </w:tc>
        <w:tc>
          <w:tcPr>
            <w:tcW w:w="1628" w:type="dxa"/>
            <w:tcBorders>
              <w:top w:val="nil"/>
              <w:left w:val="nil"/>
              <w:bottom w:val="single" w:sz="4" w:space="0" w:color="auto"/>
              <w:right w:val="single" w:sz="4" w:space="0" w:color="auto"/>
            </w:tcBorders>
            <w:shd w:val="clear" w:color="auto" w:fill="auto"/>
            <w:vAlign w:val="bottom"/>
            <w:hideMark/>
          </w:tcPr>
          <w:p w14:paraId="75DC8056" w14:textId="6EC58ACE"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2198" w:type="dxa"/>
            <w:tcBorders>
              <w:top w:val="nil"/>
              <w:left w:val="nil"/>
              <w:bottom w:val="single" w:sz="4" w:space="0" w:color="auto"/>
              <w:right w:val="single" w:sz="4" w:space="0" w:color="auto"/>
            </w:tcBorders>
            <w:shd w:val="clear" w:color="auto" w:fill="auto"/>
            <w:noWrap/>
            <w:vAlign w:val="bottom"/>
            <w:hideMark/>
          </w:tcPr>
          <w:p w14:paraId="27346CD0" w14:textId="3F6A988A"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1176" w:type="dxa"/>
            <w:tcBorders>
              <w:top w:val="nil"/>
              <w:left w:val="nil"/>
              <w:bottom w:val="single" w:sz="4" w:space="0" w:color="auto"/>
              <w:right w:val="single" w:sz="4" w:space="0" w:color="auto"/>
            </w:tcBorders>
            <w:shd w:val="clear" w:color="auto" w:fill="auto"/>
            <w:noWrap/>
            <w:vAlign w:val="bottom"/>
            <w:hideMark/>
          </w:tcPr>
          <w:p w14:paraId="213F2DEC" w14:textId="3BAF3520"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0FD17FB8" w14:textId="79FC2DEA"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731D662B" w14:textId="0CA8AF25"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364</w:t>
            </w:r>
          </w:p>
        </w:tc>
      </w:tr>
      <w:tr w:rsidR="00C50613" w:rsidRPr="00BA52C1" w14:paraId="30AB7D7D"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54E68DA" w14:textId="50713CD9" w:rsidR="00C50613" w:rsidRPr="00BA52C1" w:rsidRDefault="00E13C63" w:rsidP="00C50613">
            <w:pPr>
              <w:pStyle w:val="CBDTableNormal"/>
              <w:spacing w:before="0" w:after="0"/>
              <w:rPr>
                <w:sz w:val="18"/>
                <w:szCs w:val="18"/>
                <w:lang w:val="fr-FR" w:eastAsia="en-CA"/>
              </w:rPr>
            </w:pPr>
            <w:r>
              <w:rPr>
                <w:sz w:val="18"/>
                <w:szCs w:val="18"/>
                <w:lang w:val="fr-FR" w:eastAsia="en-CA"/>
              </w:rPr>
              <w:t>Koweït</w:t>
            </w:r>
          </w:p>
        </w:tc>
        <w:tc>
          <w:tcPr>
            <w:tcW w:w="1628" w:type="dxa"/>
            <w:tcBorders>
              <w:top w:val="nil"/>
              <w:left w:val="nil"/>
              <w:bottom w:val="single" w:sz="4" w:space="0" w:color="auto"/>
              <w:right w:val="single" w:sz="4" w:space="0" w:color="auto"/>
            </w:tcBorders>
            <w:shd w:val="clear" w:color="auto" w:fill="auto"/>
            <w:vAlign w:val="bottom"/>
            <w:hideMark/>
          </w:tcPr>
          <w:p w14:paraId="2C1931B0" w14:textId="566A5895"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234</w:t>
            </w:r>
          </w:p>
        </w:tc>
        <w:tc>
          <w:tcPr>
            <w:tcW w:w="2198" w:type="dxa"/>
            <w:tcBorders>
              <w:top w:val="nil"/>
              <w:left w:val="nil"/>
              <w:bottom w:val="single" w:sz="4" w:space="0" w:color="auto"/>
              <w:right w:val="single" w:sz="4" w:space="0" w:color="auto"/>
            </w:tcBorders>
            <w:shd w:val="clear" w:color="auto" w:fill="auto"/>
            <w:noWrap/>
            <w:vAlign w:val="bottom"/>
            <w:hideMark/>
          </w:tcPr>
          <w:p w14:paraId="5D93F325" w14:textId="3765C701"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293</w:t>
            </w:r>
          </w:p>
        </w:tc>
        <w:tc>
          <w:tcPr>
            <w:tcW w:w="1176" w:type="dxa"/>
            <w:tcBorders>
              <w:top w:val="nil"/>
              <w:left w:val="nil"/>
              <w:bottom w:val="single" w:sz="4" w:space="0" w:color="auto"/>
              <w:right w:val="single" w:sz="4" w:space="0" w:color="auto"/>
            </w:tcBorders>
            <w:shd w:val="clear" w:color="auto" w:fill="auto"/>
            <w:noWrap/>
            <w:vAlign w:val="bottom"/>
            <w:hideMark/>
          </w:tcPr>
          <w:p w14:paraId="0FE3B3DA" w14:textId="76878A6C"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41 183</w:t>
            </w:r>
          </w:p>
        </w:tc>
        <w:tc>
          <w:tcPr>
            <w:tcW w:w="1461" w:type="dxa"/>
            <w:tcBorders>
              <w:top w:val="nil"/>
              <w:left w:val="nil"/>
              <w:bottom w:val="single" w:sz="4" w:space="0" w:color="auto"/>
              <w:right w:val="single" w:sz="4" w:space="0" w:color="auto"/>
            </w:tcBorders>
            <w:shd w:val="clear" w:color="auto" w:fill="auto"/>
            <w:noWrap/>
            <w:vAlign w:val="bottom"/>
            <w:hideMark/>
          </w:tcPr>
          <w:p w14:paraId="2D776AC5" w14:textId="6E74F3C1"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44 001</w:t>
            </w:r>
          </w:p>
        </w:tc>
        <w:tc>
          <w:tcPr>
            <w:tcW w:w="1080" w:type="dxa"/>
            <w:tcBorders>
              <w:top w:val="nil"/>
              <w:left w:val="nil"/>
              <w:bottom w:val="single" w:sz="4" w:space="0" w:color="auto"/>
              <w:right w:val="single" w:sz="4" w:space="0" w:color="auto"/>
            </w:tcBorders>
            <w:shd w:val="clear" w:color="auto" w:fill="auto"/>
            <w:noWrap/>
            <w:vAlign w:val="bottom"/>
            <w:hideMark/>
          </w:tcPr>
          <w:p w14:paraId="5947C05C" w14:textId="33097322" w:rsidR="00C50613" w:rsidRPr="00BA52C1" w:rsidRDefault="00C50613" w:rsidP="00C50613">
            <w:pPr>
              <w:pStyle w:val="CBDTableNormal"/>
              <w:spacing w:before="0" w:after="0"/>
              <w:jc w:val="right"/>
              <w:rPr>
                <w:sz w:val="18"/>
                <w:szCs w:val="18"/>
                <w:lang w:val="fr-FR" w:eastAsia="en-CA"/>
              </w:rPr>
            </w:pPr>
            <w:r w:rsidRPr="00BA52C1">
              <w:rPr>
                <w:sz w:val="18"/>
                <w:szCs w:val="18"/>
                <w:lang w:val="fr-FR" w:eastAsia="en-CA"/>
              </w:rPr>
              <w:t>85 183</w:t>
            </w:r>
          </w:p>
        </w:tc>
      </w:tr>
      <w:tr w:rsidR="00FF7AB4" w:rsidRPr="00BA52C1" w14:paraId="723012C2" w14:textId="77777777" w:rsidTr="00FF7AB4">
        <w:tc>
          <w:tcPr>
            <w:tcW w:w="1880" w:type="dxa"/>
            <w:tcBorders>
              <w:top w:val="nil"/>
              <w:left w:val="single" w:sz="4" w:space="0" w:color="auto"/>
              <w:bottom w:val="single" w:sz="4" w:space="0" w:color="auto"/>
              <w:right w:val="single" w:sz="4" w:space="0" w:color="auto"/>
            </w:tcBorders>
            <w:shd w:val="clear" w:color="auto" w:fill="auto"/>
            <w:vAlign w:val="bottom"/>
          </w:tcPr>
          <w:p w14:paraId="13E1E6CE" w14:textId="6F0AF8AD" w:rsidR="00FF7AB4" w:rsidRPr="00BA52C1" w:rsidRDefault="00FF7AB4" w:rsidP="00FF7AB4">
            <w:pPr>
              <w:pStyle w:val="CBDTableNormal"/>
              <w:tabs>
                <w:tab w:val="clear" w:pos="567"/>
                <w:tab w:val="left" w:pos="178"/>
              </w:tabs>
              <w:spacing w:before="0" w:after="0"/>
              <w:ind w:left="144" w:hanging="144"/>
              <w:rPr>
                <w:sz w:val="18"/>
                <w:szCs w:val="18"/>
                <w:lang w:val="fr-FR" w:eastAsia="en-CA"/>
              </w:rPr>
            </w:pPr>
            <w:r w:rsidRPr="00BA52C1">
              <w:rPr>
                <w:sz w:val="18"/>
                <w:szCs w:val="18"/>
                <w:lang w:val="fr-FR" w:eastAsia="en-CA"/>
              </w:rPr>
              <w:t>Lesotho</w:t>
            </w:r>
          </w:p>
        </w:tc>
        <w:tc>
          <w:tcPr>
            <w:tcW w:w="1628" w:type="dxa"/>
            <w:tcBorders>
              <w:top w:val="nil"/>
              <w:left w:val="nil"/>
              <w:bottom w:val="single" w:sz="4" w:space="0" w:color="auto"/>
              <w:right w:val="single" w:sz="4" w:space="0" w:color="auto"/>
            </w:tcBorders>
            <w:shd w:val="clear" w:color="auto" w:fill="auto"/>
            <w:vAlign w:val="bottom"/>
          </w:tcPr>
          <w:p w14:paraId="5C6022C8" w14:textId="12F30221"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2198" w:type="dxa"/>
            <w:tcBorders>
              <w:top w:val="nil"/>
              <w:left w:val="nil"/>
              <w:bottom w:val="single" w:sz="4" w:space="0" w:color="auto"/>
              <w:right w:val="single" w:sz="4" w:space="0" w:color="auto"/>
            </w:tcBorders>
            <w:shd w:val="clear" w:color="auto" w:fill="auto"/>
            <w:noWrap/>
            <w:vAlign w:val="bottom"/>
          </w:tcPr>
          <w:p w14:paraId="6F234A77" w14:textId="0FA57A71"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1176" w:type="dxa"/>
            <w:tcBorders>
              <w:top w:val="nil"/>
              <w:left w:val="nil"/>
              <w:bottom w:val="single" w:sz="4" w:space="0" w:color="auto"/>
              <w:right w:val="single" w:sz="4" w:space="0" w:color="auto"/>
            </w:tcBorders>
            <w:shd w:val="clear" w:color="auto" w:fill="auto"/>
            <w:noWrap/>
            <w:vAlign w:val="bottom"/>
          </w:tcPr>
          <w:p w14:paraId="37ECA214" w14:textId="5A56FB58"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176</w:t>
            </w:r>
          </w:p>
        </w:tc>
        <w:tc>
          <w:tcPr>
            <w:tcW w:w="1461" w:type="dxa"/>
            <w:tcBorders>
              <w:top w:val="nil"/>
              <w:left w:val="nil"/>
              <w:bottom w:val="single" w:sz="4" w:space="0" w:color="auto"/>
              <w:right w:val="single" w:sz="4" w:space="0" w:color="auto"/>
            </w:tcBorders>
            <w:shd w:val="clear" w:color="auto" w:fill="auto"/>
            <w:noWrap/>
            <w:vAlign w:val="bottom"/>
          </w:tcPr>
          <w:p w14:paraId="0C12B402" w14:textId="55F544F2"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188</w:t>
            </w:r>
          </w:p>
        </w:tc>
        <w:tc>
          <w:tcPr>
            <w:tcW w:w="1080" w:type="dxa"/>
            <w:tcBorders>
              <w:top w:val="nil"/>
              <w:left w:val="nil"/>
              <w:bottom w:val="single" w:sz="4" w:space="0" w:color="auto"/>
              <w:right w:val="single" w:sz="4" w:space="0" w:color="auto"/>
            </w:tcBorders>
            <w:shd w:val="clear" w:color="auto" w:fill="auto"/>
            <w:noWrap/>
            <w:vAlign w:val="bottom"/>
          </w:tcPr>
          <w:p w14:paraId="449062EE" w14:textId="3D62D9EC"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364</w:t>
            </w:r>
          </w:p>
        </w:tc>
      </w:tr>
      <w:tr w:rsidR="00FF7AB4" w:rsidRPr="00BA52C1" w14:paraId="654E6691"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94C9590" w14:textId="658A67BB" w:rsidR="00FF7AB4" w:rsidRPr="00BA52C1" w:rsidRDefault="00FF7AB4" w:rsidP="00FF7AB4">
            <w:pPr>
              <w:pStyle w:val="CBDTableNormal"/>
              <w:spacing w:before="0" w:after="0"/>
              <w:rPr>
                <w:sz w:val="18"/>
                <w:szCs w:val="18"/>
                <w:lang w:val="fr-FR" w:eastAsia="en-CA"/>
              </w:rPr>
            </w:pPr>
            <w:r>
              <w:rPr>
                <w:sz w:val="18"/>
                <w:szCs w:val="18"/>
                <w:lang w:val="fr-FR" w:eastAsia="en-CA"/>
              </w:rPr>
              <w:t>Lettonie</w:t>
            </w:r>
          </w:p>
        </w:tc>
        <w:tc>
          <w:tcPr>
            <w:tcW w:w="1628" w:type="dxa"/>
            <w:tcBorders>
              <w:top w:val="nil"/>
              <w:left w:val="nil"/>
              <w:bottom w:val="single" w:sz="4" w:space="0" w:color="auto"/>
              <w:right w:val="single" w:sz="4" w:space="0" w:color="auto"/>
            </w:tcBorders>
            <w:shd w:val="clear" w:color="auto" w:fill="auto"/>
            <w:vAlign w:val="bottom"/>
            <w:hideMark/>
          </w:tcPr>
          <w:p w14:paraId="4A127D2B" w14:textId="23F9B8FE"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050</w:t>
            </w:r>
          </w:p>
        </w:tc>
        <w:tc>
          <w:tcPr>
            <w:tcW w:w="2198" w:type="dxa"/>
            <w:tcBorders>
              <w:top w:val="nil"/>
              <w:left w:val="nil"/>
              <w:bottom w:val="single" w:sz="4" w:space="0" w:color="auto"/>
              <w:right w:val="single" w:sz="4" w:space="0" w:color="auto"/>
            </w:tcBorders>
            <w:shd w:val="clear" w:color="auto" w:fill="auto"/>
            <w:noWrap/>
            <w:vAlign w:val="bottom"/>
            <w:hideMark/>
          </w:tcPr>
          <w:p w14:paraId="4258BBE1" w14:textId="6DD4141D"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063</w:t>
            </w:r>
          </w:p>
        </w:tc>
        <w:tc>
          <w:tcPr>
            <w:tcW w:w="1176" w:type="dxa"/>
            <w:tcBorders>
              <w:top w:val="nil"/>
              <w:left w:val="nil"/>
              <w:bottom w:val="single" w:sz="4" w:space="0" w:color="auto"/>
              <w:right w:val="single" w:sz="4" w:space="0" w:color="auto"/>
            </w:tcBorders>
            <w:shd w:val="clear" w:color="auto" w:fill="auto"/>
            <w:noWrap/>
            <w:vAlign w:val="bottom"/>
            <w:hideMark/>
          </w:tcPr>
          <w:p w14:paraId="612C77BC" w14:textId="5174BA7A"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8 800</w:t>
            </w:r>
          </w:p>
        </w:tc>
        <w:tc>
          <w:tcPr>
            <w:tcW w:w="1461" w:type="dxa"/>
            <w:tcBorders>
              <w:top w:val="nil"/>
              <w:left w:val="nil"/>
              <w:bottom w:val="single" w:sz="4" w:space="0" w:color="auto"/>
              <w:right w:val="single" w:sz="4" w:space="0" w:color="auto"/>
            </w:tcBorders>
            <w:shd w:val="clear" w:color="auto" w:fill="auto"/>
            <w:noWrap/>
            <w:vAlign w:val="bottom"/>
            <w:hideMark/>
          </w:tcPr>
          <w:p w14:paraId="01FA4EB4" w14:textId="0637EFAA"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9 402</w:t>
            </w:r>
          </w:p>
        </w:tc>
        <w:tc>
          <w:tcPr>
            <w:tcW w:w="1080" w:type="dxa"/>
            <w:tcBorders>
              <w:top w:val="nil"/>
              <w:left w:val="nil"/>
              <w:bottom w:val="single" w:sz="4" w:space="0" w:color="auto"/>
              <w:right w:val="single" w:sz="4" w:space="0" w:color="auto"/>
            </w:tcBorders>
            <w:shd w:val="clear" w:color="auto" w:fill="auto"/>
            <w:noWrap/>
            <w:vAlign w:val="bottom"/>
            <w:hideMark/>
          </w:tcPr>
          <w:p w14:paraId="7AA9F5FA" w14:textId="0C45F92A"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18 202</w:t>
            </w:r>
          </w:p>
        </w:tc>
      </w:tr>
      <w:tr w:rsidR="00FF7AB4" w:rsidRPr="00BA52C1" w14:paraId="79AC601D"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BC1A511" w14:textId="6DAD523C" w:rsidR="00FF7AB4" w:rsidRPr="00BA52C1" w:rsidRDefault="00FF7AB4" w:rsidP="00FF7AB4">
            <w:pPr>
              <w:pStyle w:val="CBDTableNormal"/>
              <w:spacing w:before="0" w:after="0"/>
              <w:rPr>
                <w:sz w:val="18"/>
                <w:szCs w:val="18"/>
                <w:lang w:val="fr-FR" w:eastAsia="en-CA"/>
              </w:rPr>
            </w:pPr>
            <w:r>
              <w:rPr>
                <w:sz w:val="18"/>
                <w:szCs w:val="18"/>
                <w:lang w:val="fr-FR" w:eastAsia="en-CA"/>
              </w:rPr>
              <w:t>Liban</w:t>
            </w:r>
          </w:p>
        </w:tc>
        <w:tc>
          <w:tcPr>
            <w:tcW w:w="1628" w:type="dxa"/>
            <w:tcBorders>
              <w:top w:val="nil"/>
              <w:left w:val="nil"/>
              <w:bottom w:val="single" w:sz="4" w:space="0" w:color="auto"/>
              <w:right w:val="single" w:sz="4" w:space="0" w:color="auto"/>
            </w:tcBorders>
            <w:shd w:val="clear" w:color="auto" w:fill="auto"/>
            <w:vAlign w:val="bottom"/>
            <w:hideMark/>
          </w:tcPr>
          <w:p w14:paraId="1EE62F3B" w14:textId="39362560"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036</w:t>
            </w:r>
          </w:p>
        </w:tc>
        <w:tc>
          <w:tcPr>
            <w:tcW w:w="2198" w:type="dxa"/>
            <w:tcBorders>
              <w:top w:val="nil"/>
              <w:left w:val="nil"/>
              <w:bottom w:val="single" w:sz="4" w:space="0" w:color="auto"/>
              <w:right w:val="single" w:sz="4" w:space="0" w:color="auto"/>
            </w:tcBorders>
            <w:shd w:val="clear" w:color="auto" w:fill="auto"/>
            <w:noWrap/>
            <w:vAlign w:val="bottom"/>
            <w:hideMark/>
          </w:tcPr>
          <w:p w14:paraId="7FAEAACB" w14:textId="00728404"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045</w:t>
            </w:r>
          </w:p>
        </w:tc>
        <w:tc>
          <w:tcPr>
            <w:tcW w:w="1176" w:type="dxa"/>
            <w:tcBorders>
              <w:top w:val="nil"/>
              <w:left w:val="nil"/>
              <w:bottom w:val="single" w:sz="4" w:space="0" w:color="auto"/>
              <w:right w:val="single" w:sz="4" w:space="0" w:color="auto"/>
            </w:tcBorders>
            <w:shd w:val="clear" w:color="auto" w:fill="auto"/>
            <w:noWrap/>
            <w:vAlign w:val="bottom"/>
            <w:hideMark/>
          </w:tcPr>
          <w:p w14:paraId="6ADB2F12" w14:textId="5475074D"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6 336</w:t>
            </w:r>
          </w:p>
        </w:tc>
        <w:tc>
          <w:tcPr>
            <w:tcW w:w="1461" w:type="dxa"/>
            <w:tcBorders>
              <w:top w:val="nil"/>
              <w:left w:val="nil"/>
              <w:bottom w:val="single" w:sz="4" w:space="0" w:color="auto"/>
              <w:right w:val="single" w:sz="4" w:space="0" w:color="auto"/>
            </w:tcBorders>
            <w:shd w:val="clear" w:color="auto" w:fill="auto"/>
            <w:noWrap/>
            <w:vAlign w:val="bottom"/>
            <w:hideMark/>
          </w:tcPr>
          <w:p w14:paraId="75A9B328" w14:textId="3ABC5C26"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6 769</w:t>
            </w:r>
          </w:p>
        </w:tc>
        <w:tc>
          <w:tcPr>
            <w:tcW w:w="1080" w:type="dxa"/>
            <w:tcBorders>
              <w:top w:val="nil"/>
              <w:left w:val="nil"/>
              <w:bottom w:val="single" w:sz="4" w:space="0" w:color="auto"/>
              <w:right w:val="single" w:sz="4" w:space="0" w:color="auto"/>
            </w:tcBorders>
            <w:shd w:val="clear" w:color="auto" w:fill="auto"/>
            <w:noWrap/>
            <w:vAlign w:val="bottom"/>
            <w:hideMark/>
          </w:tcPr>
          <w:p w14:paraId="0A4AFBD9" w14:textId="67E039CE"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13 105</w:t>
            </w:r>
          </w:p>
        </w:tc>
      </w:tr>
      <w:tr w:rsidR="00FF7AB4" w:rsidRPr="00BA52C1" w14:paraId="06505619"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6AE6790" w14:textId="77777777" w:rsidR="00FF7AB4" w:rsidRPr="00BA52C1" w:rsidRDefault="00FF7AB4" w:rsidP="00FF7AB4">
            <w:pPr>
              <w:pStyle w:val="CBDTableNormal"/>
              <w:spacing w:before="0" w:after="0"/>
              <w:rPr>
                <w:sz w:val="18"/>
                <w:szCs w:val="18"/>
                <w:lang w:val="fr-FR" w:eastAsia="en-CA"/>
              </w:rPr>
            </w:pPr>
            <w:r w:rsidRPr="00BA52C1">
              <w:rPr>
                <w:sz w:val="18"/>
                <w:szCs w:val="18"/>
                <w:lang w:val="fr-FR" w:eastAsia="en-CA"/>
              </w:rPr>
              <w:t>Liberia</w:t>
            </w:r>
          </w:p>
        </w:tc>
        <w:tc>
          <w:tcPr>
            <w:tcW w:w="1628" w:type="dxa"/>
            <w:tcBorders>
              <w:top w:val="nil"/>
              <w:left w:val="nil"/>
              <w:bottom w:val="single" w:sz="4" w:space="0" w:color="auto"/>
              <w:right w:val="single" w:sz="4" w:space="0" w:color="auto"/>
            </w:tcBorders>
            <w:shd w:val="clear" w:color="auto" w:fill="auto"/>
            <w:vAlign w:val="bottom"/>
            <w:hideMark/>
          </w:tcPr>
          <w:p w14:paraId="2BC7E045" w14:textId="1B2653E0"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2198" w:type="dxa"/>
            <w:tcBorders>
              <w:top w:val="nil"/>
              <w:left w:val="nil"/>
              <w:bottom w:val="single" w:sz="4" w:space="0" w:color="auto"/>
              <w:right w:val="single" w:sz="4" w:space="0" w:color="auto"/>
            </w:tcBorders>
            <w:shd w:val="clear" w:color="auto" w:fill="auto"/>
            <w:noWrap/>
            <w:vAlign w:val="bottom"/>
            <w:hideMark/>
          </w:tcPr>
          <w:p w14:paraId="2DF3928E" w14:textId="65385BEC"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1176" w:type="dxa"/>
            <w:tcBorders>
              <w:top w:val="nil"/>
              <w:left w:val="nil"/>
              <w:bottom w:val="single" w:sz="4" w:space="0" w:color="auto"/>
              <w:right w:val="single" w:sz="4" w:space="0" w:color="auto"/>
            </w:tcBorders>
            <w:shd w:val="clear" w:color="auto" w:fill="auto"/>
            <w:noWrap/>
            <w:vAlign w:val="bottom"/>
            <w:hideMark/>
          </w:tcPr>
          <w:p w14:paraId="744A231B" w14:textId="0CF07B0A"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5B31B4A0" w14:textId="3EE84C6F"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1CEB34AB" w14:textId="5EAECA3C"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364</w:t>
            </w:r>
          </w:p>
        </w:tc>
      </w:tr>
      <w:tr w:rsidR="00FF7AB4" w:rsidRPr="00BA52C1" w14:paraId="4318DFA9"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303A59E" w14:textId="1477D9E7" w:rsidR="00FF7AB4" w:rsidRPr="00BA52C1" w:rsidRDefault="00FF7AB4" w:rsidP="00FF7AB4">
            <w:pPr>
              <w:pStyle w:val="CBDTableNormal"/>
              <w:spacing w:before="0" w:after="0"/>
              <w:rPr>
                <w:sz w:val="18"/>
                <w:szCs w:val="18"/>
                <w:lang w:val="fr-FR" w:eastAsia="en-CA"/>
              </w:rPr>
            </w:pPr>
            <w:r w:rsidRPr="00BA52C1">
              <w:rPr>
                <w:sz w:val="18"/>
                <w:szCs w:val="18"/>
                <w:lang w:val="fr-FR" w:eastAsia="en-CA"/>
              </w:rPr>
              <w:t>Li</w:t>
            </w:r>
            <w:r>
              <w:rPr>
                <w:sz w:val="18"/>
                <w:szCs w:val="18"/>
                <w:lang w:val="fr-FR" w:eastAsia="en-CA"/>
              </w:rPr>
              <w:t>bye</w:t>
            </w:r>
          </w:p>
        </w:tc>
        <w:tc>
          <w:tcPr>
            <w:tcW w:w="1628" w:type="dxa"/>
            <w:tcBorders>
              <w:top w:val="nil"/>
              <w:left w:val="nil"/>
              <w:bottom w:val="single" w:sz="4" w:space="0" w:color="auto"/>
              <w:right w:val="single" w:sz="4" w:space="0" w:color="auto"/>
            </w:tcBorders>
            <w:shd w:val="clear" w:color="auto" w:fill="auto"/>
            <w:vAlign w:val="bottom"/>
            <w:hideMark/>
          </w:tcPr>
          <w:p w14:paraId="4DF58281" w14:textId="1FDD08F2"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018</w:t>
            </w:r>
          </w:p>
        </w:tc>
        <w:tc>
          <w:tcPr>
            <w:tcW w:w="2198" w:type="dxa"/>
            <w:tcBorders>
              <w:top w:val="nil"/>
              <w:left w:val="nil"/>
              <w:bottom w:val="single" w:sz="4" w:space="0" w:color="auto"/>
              <w:right w:val="single" w:sz="4" w:space="0" w:color="auto"/>
            </w:tcBorders>
            <w:shd w:val="clear" w:color="auto" w:fill="auto"/>
            <w:noWrap/>
            <w:vAlign w:val="bottom"/>
            <w:hideMark/>
          </w:tcPr>
          <w:p w14:paraId="5E9C5C1D" w14:textId="6BC673B7"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023</w:t>
            </w:r>
          </w:p>
        </w:tc>
        <w:tc>
          <w:tcPr>
            <w:tcW w:w="1176" w:type="dxa"/>
            <w:tcBorders>
              <w:top w:val="nil"/>
              <w:left w:val="nil"/>
              <w:bottom w:val="single" w:sz="4" w:space="0" w:color="auto"/>
              <w:right w:val="single" w:sz="4" w:space="0" w:color="auto"/>
            </w:tcBorders>
            <w:shd w:val="clear" w:color="auto" w:fill="auto"/>
            <w:noWrap/>
            <w:vAlign w:val="bottom"/>
            <w:hideMark/>
          </w:tcPr>
          <w:p w14:paraId="2F86A8CA" w14:textId="72061022"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3 168</w:t>
            </w:r>
          </w:p>
        </w:tc>
        <w:tc>
          <w:tcPr>
            <w:tcW w:w="1461" w:type="dxa"/>
            <w:tcBorders>
              <w:top w:val="nil"/>
              <w:left w:val="nil"/>
              <w:bottom w:val="single" w:sz="4" w:space="0" w:color="auto"/>
              <w:right w:val="single" w:sz="4" w:space="0" w:color="auto"/>
            </w:tcBorders>
            <w:shd w:val="clear" w:color="auto" w:fill="auto"/>
            <w:noWrap/>
            <w:vAlign w:val="bottom"/>
            <w:hideMark/>
          </w:tcPr>
          <w:p w14:paraId="5C062892" w14:textId="12F8CC69"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3 385</w:t>
            </w:r>
          </w:p>
        </w:tc>
        <w:tc>
          <w:tcPr>
            <w:tcW w:w="1080" w:type="dxa"/>
            <w:tcBorders>
              <w:top w:val="nil"/>
              <w:left w:val="nil"/>
              <w:bottom w:val="single" w:sz="4" w:space="0" w:color="auto"/>
              <w:right w:val="single" w:sz="4" w:space="0" w:color="auto"/>
            </w:tcBorders>
            <w:shd w:val="clear" w:color="auto" w:fill="auto"/>
            <w:noWrap/>
            <w:vAlign w:val="bottom"/>
            <w:hideMark/>
          </w:tcPr>
          <w:p w14:paraId="734F450C" w14:textId="1981362F"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6 553</w:t>
            </w:r>
          </w:p>
        </w:tc>
      </w:tr>
      <w:tr w:rsidR="00FF7AB4" w:rsidRPr="00BA52C1" w14:paraId="10257439"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C492B71" w14:textId="77777777" w:rsidR="00FF7AB4" w:rsidRPr="00BA52C1" w:rsidRDefault="00FF7AB4" w:rsidP="00FF7AB4">
            <w:pPr>
              <w:pStyle w:val="CBDTableNormal"/>
              <w:spacing w:before="0" w:after="0"/>
              <w:rPr>
                <w:sz w:val="18"/>
                <w:szCs w:val="18"/>
                <w:lang w:val="fr-FR" w:eastAsia="en-CA"/>
              </w:rPr>
            </w:pPr>
            <w:r w:rsidRPr="00BA52C1">
              <w:rPr>
                <w:sz w:val="18"/>
                <w:szCs w:val="18"/>
                <w:lang w:val="fr-FR" w:eastAsia="en-CA"/>
              </w:rPr>
              <w:t>Liechtenstein</w:t>
            </w:r>
          </w:p>
        </w:tc>
        <w:tc>
          <w:tcPr>
            <w:tcW w:w="1628" w:type="dxa"/>
            <w:tcBorders>
              <w:top w:val="nil"/>
              <w:left w:val="nil"/>
              <w:bottom w:val="single" w:sz="4" w:space="0" w:color="auto"/>
              <w:right w:val="single" w:sz="4" w:space="0" w:color="auto"/>
            </w:tcBorders>
            <w:shd w:val="clear" w:color="auto" w:fill="auto"/>
            <w:vAlign w:val="bottom"/>
            <w:hideMark/>
          </w:tcPr>
          <w:p w14:paraId="0E1447C0" w14:textId="6340043D"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010</w:t>
            </w:r>
          </w:p>
        </w:tc>
        <w:tc>
          <w:tcPr>
            <w:tcW w:w="2198" w:type="dxa"/>
            <w:tcBorders>
              <w:top w:val="nil"/>
              <w:left w:val="nil"/>
              <w:bottom w:val="single" w:sz="4" w:space="0" w:color="auto"/>
              <w:right w:val="single" w:sz="4" w:space="0" w:color="auto"/>
            </w:tcBorders>
            <w:shd w:val="clear" w:color="auto" w:fill="auto"/>
            <w:noWrap/>
            <w:vAlign w:val="bottom"/>
            <w:hideMark/>
          </w:tcPr>
          <w:p w14:paraId="3B113EFB" w14:textId="659B71A4"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013</w:t>
            </w:r>
          </w:p>
        </w:tc>
        <w:tc>
          <w:tcPr>
            <w:tcW w:w="1176" w:type="dxa"/>
            <w:tcBorders>
              <w:top w:val="nil"/>
              <w:left w:val="nil"/>
              <w:bottom w:val="single" w:sz="4" w:space="0" w:color="auto"/>
              <w:right w:val="single" w:sz="4" w:space="0" w:color="auto"/>
            </w:tcBorders>
            <w:shd w:val="clear" w:color="auto" w:fill="auto"/>
            <w:noWrap/>
            <w:vAlign w:val="bottom"/>
            <w:hideMark/>
          </w:tcPr>
          <w:p w14:paraId="1FA9FFCC" w14:textId="5ADCC771"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1 760</w:t>
            </w:r>
          </w:p>
        </w:tc>
        <w:tc>
          <w:tcPr>
            <w:tcW w:w="1461" w:type="dxa"/>
            <w:tcBorders>
              <w:top w:val="nil"/>
              <w:left w:val="nil"/>
              <w:bottom w:val="single" w:sz="4" w:space="0" w:color="auto"/>
              <w:right w:val="single" w:sz="4" w:space="0" w:color="auto"/>
            </w:tcBorders>
            <w:shd w:val="clear" w:color="auto" w:fill="auto"/>
            <w:noWrap/>
            <w:vAlign w:val="bottom"/>
            <w:hideMark/>
          </w:tcPr>
          <w:p w14:paraId="57C6FC11" w14:textId="54264C13"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1 880</w:t>
            </w:r>
          </w:p>
        </w:tc>
        <w:tc>
          <w:tcPr>
            <w:tcW w:w="1080" w:type="dxa"/>
            <w:tcBorders>
              <w:top w:val="nil"/>
              <w:left w:val="nil"/>
              <w:bottom w:val="single" w:sz="4" w:space="0" w:color="auto"/>
              <w:right w:val="single" w:sz="4" w:space="0" w:color="auto"/>
            </w:tcBorders>
            <w:shd w:val="clear" w:color="auto" w:fill="auto"/>
            <w:noWrap/>
            <w:vAlign w:val="bottom"/>
            <w:hideMark/>
          </w:tcPr>
          <w:p w14:paraId="07C0F28B" w14:textId="3CD2E3BA"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3 640</w:t>
            </w:r>
          </w:p>
        </w:tc>
      </w:tr>
      <w:tr w:rsidR="00FF7AB4" w:rsidRPr="00BA52C1" w14:paraId="6B1D4201"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7E86B41" w14:textId="7EA8AD8E" w:rsidR="00FF7AB4" w:rsidRPr="00BA52C1" w:rsidRDefault="00FF7AB4" w:rsidP="00FF7AB4">
            <w:pPr>
              <w:pStyle w:val="CBDTableNormal"/>
              <w:spacing w:before="0" w:after="0"/>
              <w:rPr>
                <w:sz w:val="18"/>
                <w:szCs w:val="18"/>
                <w:lang w:val="fr-FR" w:eastAsia="en-CA"/>
              </w:rPr>
            </w:pPr>
            <w:r>
              <w:rPr>
                <w:sz w:val="18"/>
                <w:szCs w:val="18"/>
                <w:lang w:val="fr-FR" w:eastAsia="en-CA"/>
              </w:rPr>
              <w:t>Lituanie</w:t>
            </w:r>
          </w:p>
        </w:tc>
        <w:tc>
          <w:tcPr>
            <w:tcW w:w="1628" w:type="dxa"/>
            <w:tcBorders>
              <w:top w:val="nil"/>
              <w:left w:val="nil"/>
              <w:bottom w:val="single" w:sz="4" w:space="0" w:color="auto"/>
              <w:right w:val="single" w:sz="4" w:space="0" w:color="auto"/>
            </w:tcBorders>
            <w:shd w:val="clear" w:color="auto" w:fill="auto"/>
            <w:vAlign w:val="bottom"/>
            <w:hideMark/>
          </w:tcPr>
          <w:p w14:paraId="7A674718" w14:textId="5ECC477F"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077</w:t>
            </w:r>
          </w:p>
        </w:tc>
        <w:tc>
          <w:tcPr>
            <w:tcW w:w="2198" w:type="dxa"/>
            <w:tcBorders>
              <w:top w:val="nil"/>
              <w:left w:val="nil"/>
              <w:bottom w:val="single" w:sz="4" w:space="0" w:color="auto"/>
              <w:right w:val="single" w:sz="4" w:space="0" w:color="auto"/>
            </w:tcBorders>
            <w:shd w:val="clear" w:color="auto" w:fill="auto"/>
            <w:noWrap/>
            <w:vAlign w:val="bottom"/>
            <w:hideMark/>
          </w:tcPr>
          <w:p w14:paraId="671F638B" w14:textId="6D936F98"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096</w:t>
            </w:r>
          </w:p>
        </w:tc>
        <w:tc>
          <w:tcPr>
            <w:tcW w:w="1176" w:type="dxa"/>
            <w:tcBorders>
              <w:top w:val="nil"/>
              <w:left w:val="nil"/>
              <w:bottom w:val="single" w:sz="4" w:space="0" w:color="auto"/>
              <w:right w:val="single" w:sz="4" w:space="0" w:color="auto"/>
            </w:tcBorders>
            <w:shd w:val="clear" w:color="auto" w:fill="auto"/>
            <w:noWrap/>
            <w:vAlign w:val="bottom"/>
            <w:hideMark/>
          </w:tcPr>
          <w:p w14:paraId="3A3AC734" w14:textId="002264BB"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13 552</w:t>
            </w:r>
          </w:p>
        </w:tc>
        <w:tc>
          <w:tcPr>
            <w:tcW w:w="1461" w:type="dxa"/>
            <w:tcBorders>
              <w:top w:val="nil"/>
              <w:left w:val="nil"/>
              <w:bottom w:val="single" w:sz="4" w:space="0" w:color="auto"/>
              <w:right w:val="single" w:sz="4" w:space="0" w:color="auto"/>
            </w:tcBorders>
            <w:shd w:val="clear" w:color="auto" w:fill="auto"/>
            <w:noWrap/>
            <w:vAlign w:val="bottom"/>
            <w:hideMark/>
          </w:tcPr>
          <w:p w14:paraId="7BF8EB75" w14:textId="31DD9A69"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14 479</w:t>
            </w:r>
          </w:p>
        </w:tc>
        <w:tc>
          <w:tcPr>
            <w:tcW w:w="1080" w:type="dxa"/>
            <w:tcBorders>
              <w:top w:val="nil"/>
              <w:left w:val="nil"/>
              <w:bottom w:val="single" w:sz="4" w:space="0" w:color="auto"/>
              <w:right w:val="single" w:sz="4" w:space="0" w:color="auto"/>
            </w:tcBorders>
            <w:shd w:val="clear" w:color="auto" w:fill="auto"/>
            <w:noWrap/>
            <w:vAlign w:val="bottom"/>
            <w:hideMark/>
          </w:tcPr>
          <w:p w14:paraId="176DD1FB" w14:textId="2D541A37"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28 030</w:t>
            </w:r>
          </w:p>
        </w:tc>
      </w:tr>
      <w:tr w:rsidR="00FF7AB4" w:rsidRPr="00BA52C1" w14:paraId="106A90D0"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C7A0690" w14:textId="77777777" w:rsidR="00FF7AB4" w:rsidRPr="00BA52C1" w:rsidRDefault="00FF7AB4" w:rsidP="00FF7AB4">
            <w:pPr>
              <w:pStyle w:val="CBDTableNormal"/>
              <w:spacing w:before="0" w:after="0"/>
              <w:rPr>
                <w:sz w:val="18"/>
                <w:szCs w:val="18"/>
                <w:lang w:val="fr-FR" w:eastAsia="en-CA"/>
              </w:rPr>
            </w:pPr>
            <w:r w:rsidRPr="00BA52C1">
              <w:rPr>
                <w:sz w:val="18"/>
                <w:szCs w:val="18"/>
                <w:lang w:val="fr-FR" w:eastAsia="en-CA"/>
              </w:rPr>
              <w:t>Luxembourg</w:t>
            </w:r>
          </w:p>
        </w:tc>
        <w:tc>
          <w:tcPr>
            <w:tcW w:w="1628" w:type="dxa"/>
            <w:tcBorders>
              <w:top w:val="nil"/>
              <w:left w:val="nil"/>
              <w:bottom w:val="single" w:sz="4" w:space="0" w:color="auto"/>
              <w:right w:val="single" w:sz="4" w:space="0" w:color="auto"/>
            </w:tcBorders>
            <w:shd w:val="clear" w:color="auto" w:fill="auto"/>
            <w:vAlign w:val="bottom"/>
            <w:hideMark/>
          </w:tcPr>
          <w:p w14:paraId="505AB939" w14:textId="3BC459DD"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068</w:t>
            </w:r>
          </w:p>
        </w:tc>
        <w:tc>
          <w:tcPr>
            <w:tcW w:w="2198" w:type="dxa"/>
            <w:tcBorders>
              <w:top w:val="nil"/>
              <w:left w:val="nil"/>
              <w:bottom w:val="single" w:sz="4" w:space="0" w:color="auto"/>
              <w:right w:val="single" w:sz="4" w:space="0" w:color="auto"/>
            </w:tcBorders>
            <w:shd w:val="clear" w:color="auto" w:fill="auto"/>
            <w:noWrap/>
            <w:vAlign w:val="bottom"/>
            <w:hideMark/>
          </w:tcPr>
          <w:p w14:paraId="4380A3A9" w14:textId="142C3C10"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085</w:t>
            </w:r>
          </w:p>
        </w:tc>
        <w:tc>
          <w:tcPr>
            <w:tcW w:w="1176" w:type="dxa"/>
            <w:tcBorders>
              <w:top w:val="nil"/>
              <w:left w:val="nil"/>
              <w:bottom w:val="single" w:sz="4" w:space="0" w:color="auto"/>
              <w:right w:val="single" w:sz="4" w:space="0" w:color="auto"/>
            </w:tcBorders>
            <w:shd w:val="clear" w:color="auto" w:fill="auto"/>
            <w:noWrap/>
            <w:vAlign w:val="bottom"/>
            <w:hideMark/>
          </w:tcPr>
          <w:p w14:paraId="39137013" w14:textId="4CE4638A"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11 968</w:t>
            </w:r>
          </w:p>
        </w:tc>
        <w:tc>
          <w:tcPr>
            <w:tcW w:w="1461" w:type="dxa"/>
            <w:tcBorders>
              <w:top w:val="nil"/>
              <w:left w:val="nil"/>
              <w:bottom w:val="single" w:sz="4" w:space="0" w:color="auto"/>
              <w:right w:val="single" w:sz="4" w:space="0" w:color="auto"/>
            </w:tcBorders>
            <w:shd w:val="clear" w:color="auto" w:fill="auto"/>
            <w:noWrap/>
            <w:vAlign w:val="bottom"/>
            <w:hideMark/>
          </w:tcPr>
          <w:p w14:paraId="39BF4F09" w14:textId="1C6E0A1E"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12 786</w:t>
            </w:r>
          </w:p>
        </w:tc>
        <w:tc>
          <w:tcPr>
            <w:tcW w:w="1080" w:type="dxa"/>
            <w:tcBorders>
              <w:top w:val="nil"/>
              <w:left w:val="nil"/>
              <w:bottom w:val="single" w:sz="4" w:space="0" w:color="auto"/>
              <w:right w:val="single" w:sz="4" w:space="0" w:color="auto"/>
            </w:tcBorders>
            <w:shd w:val="clear" w:color="auto" w:fill="auto"/>
            <w:noWrap/>
            <w:vAlign w:val="bottom"/>
            <w:hideMark/>
          </w:tcPr>
          <w:p w14:paraId="7B47E6B4" w14:textId="6184887B"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24 754</w:t>
            </w:r>
          </w:p>
        </w:tc>
      </w:tr>
      <w:tr w:rsidR="00FF7AB4" w:rsidRPr="00BA52C1" w14:paraId="605BA2B4"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tcPr>
          <w:p w14:paraId="3BFE7ADB" w14:textId="571B8877" w:rsidR="00FF7AB4" w:rsidRPr="00BA52C1" w:rsidRDefault="00FF7AB4" w:rsidP="00FF7AB4">
            <w:pPr>
              <w:pStyle w:val="CBDTableNormal"/>
              <w:spacing w:before="0" w:after="0"/>
              <w:rPr>
                <w:sz w:val="18"/>
                <w:szCs w:val="18"/>
                <w:lang w:val="fr-FR" w:eastAsia="en-CA"/>
              </w:rPr>
            </w:pPr>
            <w:r>
              <w:rPr>
                <w:sz w:val="18"/>
                <w:szCs w:val="18"/>
                <w:lang w:val="fr-FR" w:eastAsia="en-CA"/>
              </w:rPr>
              <w:lastRenderedPageBreak/>
              <w:t>Macédoine du Nord</w:t>
            </w:r>
          </w:p>
        </w:tc>
        <w:tc>
          <w:tcPr>
            <w:tcW w:w="1628" w:type="dxa"/>
            <w:tcBorders>
              <w:top w:val="nil"/>
              <w:left w:val="nil"/>
              <w:bottom w:val="single" w:sz="4" w:space="0" w:color="auto"/>
              <w:right w:val="single" w:sz="4" w:space="0" w:color="auto"/>
            </w:tcBorders>
            <w:shd w:val="clear" w:color="auto" w:fill="auto"/>
            <w:vAlign w:val="bottom"/>
          </w:tcPr>
          <w:p w14:paraId="2CBC0531" w14:textId="0B5C77B5"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007</w:t>
            </w:r>
          </w:p>
        </w:tc>
        <w:tc>
          <w:tcPr>
            <w:tcW w:w="2198" w:type="dxa"/>
            <w:tcBorders>
              <w:top w:val="nil"/>
              <w:left w:val="nil"/>
              <w:bottom w:val="single" w:sz="4" w:space="0" w:color="auto"/>
              <w:right w:val="single" w:sz="4" w:space="0" w:color="auto"/>
            </w:tcBorders>
            <w:shd w:val="clear" w:color="auto" w:fill="auto"/>
            <w:noWrap/>
            <w:vAlign w:val="bottom"/>
          </w:tcPr>
          <w:p w14:paraId="441FF647" w14:textId="75691BF0"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009</w:t>
            </w:r>
          </w:p>
        </w:tc>
        <w:tc>
          <w:tcPr>
            <w:tcW w:w="1176" w:type="dxa"/>
            <w:tcBorders>
              <w:top w:val="nil"/>
              <w:left w:val="nil"/>
              <w:bottom w:val="single" w:sz="4" w:space="0" w:color="auto"/>
              <w:right w:val="single" w:sz="4" w:space="0" w:color="auto"/>
            </w:tcBorders>
            <w:shd w:val="clear" w:color="auto" w:fill="auto"/>
            <w:noWrap/>
            <w:vAlign w:val="bottom"/>
          </w:tcPr>
          <w:p w14:paraId="1937D497" w14:textId="5C61C770"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1 232</w:t>
            </w:r>
          </w:p>
        </w:tc>
        <w:tc>
          <w:tcPr>
            <w:tcW w:w="1461" w:type="dxa"/>
            <w:tcBorders>
              <w:top w:val="nil"/>
              <w:left w:val="nil"/>
              <w:bottom w:val="single" w:sz="4" w:space="0" w:color="auto"/>
              <w:right w:val="single" w:sz="4" w:space="0" w:color="auto"/>
            </w:tcBorders>
            <w:shd w:val="clear" w:color="auto" w:fill="auto"/>
            <w:noWrap/>
            <w:vAlign w:val="bottom"/>
          </w:tcPr>
          <w:p w14:paraId="0DE373AF" w14:textId="2E2CFA44"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1 316</w:t>
            </w:r>
          </w:p>
        </w:tc>
        <w:tc>
          <w:tcPr>
            <w:tcW w:w="1080" w:type="dxa"/>
            <w:tcBorders>
              <w:top w:val="nil"/>
              <w:left w:val="nil"/>
              <w:bottom w:val="single" w:sz="4" w:space="0" w:color="auto"/>
              <w:right w:val="single" w:sz="4" w:space="0" w:color="auto"/>
            </w:tcBorders>
            <w:shd w:val="clear" w:color="auto" w:fill="auto"/>
            <w:noWrap/>
            <w:vAlign w:val="bottom"/>
          </w:tcPr>
          <w:p w14:paraId="69D9B758" w14:textId="0E89CFBC"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2 548</w:t>
            </w:r>
          </w:p>
        </w:tc>
      </w:tr>
      <w:tr w:rsidR="00FF7AB4" w:rsidRPr="00BA52C1" w14:paraId="40831AEE"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3423422" w14:textId="77777777" w:rsidR="00FF7AB4" w:rsidRPr="00BA52C1" w:rsidRDefault="00FF7AB4" w:rsidP="00FF7AB4">
            <w:pPr>
              <w:pStyle w:val="CBDTableNormal"/>
              <w:spacing w:before="0" w:after="0"/>
              <w:rPr>
                <w:sz w:val="18"/>
                <w:szCs w:val="18"/>
                <w:lang w:val="fr-FR" w:eastAsia="en-CA"/>
              </w:rPr>
            </w:pPr>
            <w:r w:rsidRPr="00BA52C1">
              <w:rPr>
                <w:sz w:val="18"/>
                <w:szCs w:val="18"/>
                <w:lang w:val="fr-FR" w:eastAsia="en-CA"/>
              </w:rPr>
              <w:t>Madagascar</w:t>
            </w:r>
          </w:p>
        </w:tc>
        <w:tc>
          <w:tcPr>
            <w:tcW w:w="1628" w:type="dxa"/>
            <w:tcBorders>
              <w:top w:val="nil"/>
              <w:left w:val="nil"/>
              <w:bottom w:val="single" w:sz="4" w:space="0" w:color="auto"/>
              <w:right w:val="single" w:sz="4" w:space="0" w:color="auto"/>
            </w:tcBorders>
            <w:shd w:val="clear" w:color="auto" w:fill="auto"/>
            <w:vAlign w:val="bottom"/>
            <w:hideMark/>
          </w:tcPr>
          <w:p w14:paraId="7DD6DB82" w14:textId="726201C2"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004</w:t>
            </w:r>
          </w:p>
        </w:tc>
        <w:tc>
          <w:tcPr>
            <w:tcW w:w="2198" w:type="dxa"/>
            <w:tcBorders>
              <w:top w:val="nil"/>
              <w:left w:val="nil"/>
              <w:bottom w:val="single" w:sz="4" w:space="0" w:color="auto"/>
              <w:right w:val="single" w:sz="4" w:space="0" w:color="auto"/>
            </w:tcBorders>
            <w:shd w:val="clear" w:color="auto" w:fill="auto"/>
            <w:noWrap/>
            <w:vAlign w:val="bottom"/>
            <w:hideMark/>
          </w:tcPr>
          <w:p w14:paraId="36AFFE4B" w14:textId="1C533912"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005</w:t>
            </w:r>
          </w:p>
        </w:tc>
        <w:tc>
          <w:tcPr>
            <w:tcW w:w="1176" w:type="dxa"/>
            <w:tcBorders>
              <w:top w:val="nil"/>
              <w:left w:val="nil"/>
              <w:bottom w:val="single" w:sz="4" w:space="0" w:color="auto"/>
              <w:right w:val="single" w:sz="4" w:space="0" w:color="auto"/>
            </w:tcBorders>
            <w:shd w:val="clear" w:color="auto" w:fill="auto"/>
            <w:noWrap/>
            <w:vAlign w:val="bottom"/>
            <w:hideMark/>
          </w:tcPr>
          <w:p w14:paraId="18BB44A9" w14:textId="7975D787"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704</w:t>
            </w:r>
          </w:p>
        </w:tc>
        <w:tc>
          <w:tcPr>
            <w:tcW w:w="1461" w:type="dxa"/>
            <w:tcBorders>
              <w:top w:val="nil"/>
              <w:left w:val="nil"/>
              <w:bottom w:val="single" w:sz="4" w:space="0" w:color="auto"/>
              <w:right w:val="single" w:sz="4" w:space="0" w:color="auto"/>
            </w:tcBorders>
            <w:shd w:val="clear" w:color="auto" w:fill="auto"/>
            <w:noWrap/>
            <w:vAlign w:val="bottom"/>
            <w:hideMark/>
          </w:tcPr>
          <w:p w14:paraId="6345D0D3" w14:textId="397C353B"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752</w:t>
            </w:r>
          </w:p>
        </w:tc>
        <w:tc>
          <w:tcPr>
            <w:tcW w:w="1080" w:type="dxa"/>
            <w:tcBorders>
              <w:top w:val="nil"/>
              <w:left w:val="nil"/>
              <w:bottom w:val="single" w:sz="4" w:space="0" w:color="auto"/>
              <w:right w:val="single" w:sz="4" w:space="0" w:color="auto"/>
            </w:tcBorders>
            <w:shd w:val="clear" w:color="auto" w:fill="auto"/>
            <w:noWrap/>
            <w:vAlign w:val="bottom"/>
            <w:hideMark/>
          </w:tcPr>
          <w:p w14:paraId="086908CB" w14:textId="2C34B51E"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1 456</w:t>
            </w:r>
          </w:p>
        </w:tc>
      </w:tr>
      <w:tr w:rsidR="00FF7AB4" w:rsidRPr="00BA52C1" w14:paraId="3FA06585"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tcPr>
          <w:p w14:paraId="7966DC93" w14:textId="30E94D69" w:rsidR="00FF7AB4" w:rsidRPr="00BA52C1" w:rsidRDefault="00FF7AB4" w:rsidP="00FF7AB4">
            <w:pPr>
              <w:pStyle w:val="CBDTableNormal"/>
              <w:spacing w:before="0" w:after="0"/>
              <w:rPr>
                <w:sz w:val="18"/>
                <w:szCs w:val="18"/>
                <w:lang w:val="fr-FR" w:eastAsia="en-CA"/>
              </w:rPr>
            </w:pPr>
            <w:r w:rsidRPr="00BA52C1">
              <w:rPr>
                <w:sz w:val="18"/>
                <w:szCs w:val="18"/>
                <w:lang w:val="fr-FR" w:eastAsia="en-CA"/>
              </w:rPr>
              <w:t>Mala</w:t>
            </w:r>
            <w:r>
              <w:rPr>
                <w:sz w:val="18"/>
                <w:szCs w:val="18"/>
                <w:lang w:val="fr-FR" w:eastAsia="en-CA"/>
              </w:rPr>
              <w:t>isie</w:t>
            </w:r>
          </w:p>
        </w:tc>
        <w:tc>
          <w:tcPr>
            <w:tcW w:w="1628" w:type="dxa"/>
            <w:tcBorders>
              <w:top w:val="nil"/>
              <w:left w:val="nil"/>
              <w:bottom w:val="single" w:sz="4" w:space="0" w:color="auto"/>
              <w:right w:val="single" w:sz="4" w:space="0" w:color="auto"/>
            </w:tcBorders>
            <w:shd w:val="clear" w:color="auto" w:fill="auto"/>
            <w:vAlign w:val="bottom"/>
          </w:tcPr>
          <w:p w14:paraId="7A28F673" w14:textId="5647AE81"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348</w:t>
            </w:r>
          </w:p>
        </w:tc>
        <w:tc>
          <w:tcPr>
            <w:tcW w:w="2198" w:type="dxa"/>
            <w:tcBorders>
              <w:top w:val="nil"/>
              <w:left w:val="nil"/>
              <w:bottom w:val="single" w:sz="4" w:space="0" w:color="auto"/>
              <w:right w:val="single" w:sz="4" w:space="0" w:color="auto"/>
            </w:tcBorders>
            <w:shd w:val="clear" w:color="auto" w:fill="auto"/>
            <w:noWrap/>
            <w:vAlign w:val="bottom"/>
          </w:tcPr>
          <w:p w14:paraId="10838E25" w14:textId="16FE76EA"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435</w:t>
            </w:r>
          </w:p>
        </w:tc>
        <w:tc>
          <w:tcPr>
            <w:tcW w:w="1176" w:type="dxa"/>
            <w:tcBorders>
              <w:top w:val="nil"/>
              <w:left w:val="nil"/>
              <w:bottom w:val="single" w:sz="4" w:space="0" w:color="auto"/>
              <w:right w:val="single" w:sz="4" w:space="0" w:color="auto"/>
            </w:tcBorders>
            <w:shd w:val="clear" w:color="auto" w:fill="auto"/>
            <w:noWrap/>
            <w:vAlign w:val="bottom"/>
          </w:tcPr>
          <w:p w14:paraId="21F0D85E" w14:textId="3B249FA3"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61 246</w:t>
            </w:r>
          </w:p>
        </w:tc>
        <w:tc>
          <w:tcPr>
            <w:tcW w:w="1461" w:type="dxa"/>
            <w:tcBorders>
              <w:top w:val="nil"/>
              <w:left w:val="nil"/>
              <w:bottom w:val="single" w:sz="4" w:space="0" w:color="auto"/>
              <w:right w:val="single" w:sz="4" w:space="0" w:color="auto"/>
            </w:tcBorders>
            <w:shd w:val="clear" w:color="auto" w:fill="auto"/>
            <w:noWrap/>
            <w:vAlign w:val="bottom"/>
          </w:tcPr>
          <w:p w14:paraId="2FA94718" w14:textId="070D05A3"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65 437</w:t>
            </w:r>
          </w:p>
        </w:tc>
        <w:tc>
          <w:tcPr>
            <w:tcW w:w="1080" w:type="dxa"/>
            <w:tcBorders>
              <w:top w:val="nil"/>
              <w:left w:val="nil"/>
              <w:bottom w:val="single" w:sz="4" w:space="0" w:color="auto"/>
              <w:right w:val="single" w:sz="4" w:space="0" w:color="auto"/>
            </w:tcBorders>
            <w:shd w:val="clear" w:color="auto" w:fill="auto"/>
            <w:noWrap/>
            <w:vAlign w:val="bottom"/>
          </w:tcPr>
          <w:p w14:paraId="0C193F5C" w14:textId="199DF464"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126 683</w:t>
            </w:r>
          </w:p>
        </w:tc>
      </w:tr>
      <w:tr w:rsidR="00FF7AB4" w:rsidRPr="00BA52C1" w14:paraId="6308560F"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0ACE55F" w14:textId="77777777" w:rsidR="00FF7AB4" w:rsidRPr="00BA52C1" w:rsidRDefault="00FF7AB4" w:rsidP="00FF7AB4">
            <w:pPr>
              <w:pStyle w:val="CBDTableNormal"/>
              <w:spacing w:before="0" w:after="0"/>
              <w:rPr>
                <w:sz w:val="18"/>
                <w:szCs w:val="18"/>
                <w:lang w:val="fr-FR" w:eastAsia="en-CA"/>
              </w:rPr>
            </w:pPr>
            <w:r w:rsidRPr="00BA52C1">
              <w:rPr>
                <w:sz w:val="18"/>
                <w:szCs w:val="18"/>
                <w:lang w:val="fr-FR" w:eastAsia="en-CA"/>
              </w:rPr>
              <w:t>Malawi</w:t>
            </w:r>
          </w:p>
        </w:tc>
        <w:tc>
          <w:tcPr>
            <w:tcW w:w="1628" w:type="dxa"/>
            <w:tcBorders>
              <w:top w:val="nil"/>
              <w:left w:val="nil"/>
              <w:bottom w:val="single" w:sz="4" w:space="0" w:color="auto"/>
              <w:right w:val="single" w:sz="4" w:space="0" w:color="auto"/>
            </w:tcBorders>
            <w:shd w:val="clear" w:color="auto" w:fill="auto"/>
            <w:vAlign w:val="bottom"/>
            <w:hideMark/>
          </w:tcPr>
          <w:p w14:paraId="03E816E0" w14:textId="6E1C5B49"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002</w:t>
            </w:r>
          </w:p>
        </w:tc>
        <w:tc>
          <w:tcPr>
            <w:tcW w:w="2198" w:type="dxa"/>
            <w:tcBorders>
              <w:top w:val="nil"/>
              <w:left w:val="nil"/>
              <w:bottom w:val="single" w:sz="4" w:space="0" w:color="auto"/>
              <w:right w:val="single" w:sz="4" w:space="0" w:color="auto"/>
            </w:tcBorders>
            <w:shd w:val="clear" w:color="auto" w:fill="auto"/>
            <w:noWrap/>
            <w:vAlign w:val="bottom"/>
            <w:hideMark/>
          </w:tcPr>
          <w:p w14:paraId="79C24D0A" w14:textId="48AB10DA"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003</w:t>
            </w:r>
          </w:p>
        </w:tc>
        <w:tc>
          <w:tcPr>
            <w:tcW w:w="1176" w:type="dxa"/>
            <w:tcBorders>
              <w:top w:val="nil"/>
              <w:left w:val="nil"/>
              <w:bottom w:val="single" w:sz="4" w:space="0" w:color="auto"/>
              <w:right w:val="single" w:sz="4" w:space="0" w:color="auto"/>
            </w:tcBorders>
            <w:shd w:val="clear" w:color="auto" w:fill="auto"/>
            <w:noWrap/>
            <w:vAlign w:val="bottom"/>
            <w:hideMark/>
          </w:tcPr>
          <w:p w14:paraId="2E1270C7" w14:textId="3051D391"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352</w:t>
            </w:r>
          </w:p>
        </w:tc>
        <w:tc>
          <w:tcPr>
            <w:tcW w:w="1461" w:type="dxa"/>
            <w:tcBorders>
              <w:top w:val="nil"/>
              <w:left w:val="nil"/>
              <w:bottom w:val="single" w:sz="4" w:space="0" w:color="auto"/>
              <w:right w:val="single" w:sz="4" w:space="0" w:color="auto"/>
            </w:tcBorders>
            <w:shd w:val="clear" w:color="auto" w:fill="auto"/>
            <w:noWrap/>
            <w:vAlign w:val="bottom"/>
            <w:hideMark/>
          </w:tcPr>
          <w:p w14:paraId="147D4B5A" w14:textId="22861777"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376</w:t>
            </w:r>
          </w:p>
        </w:tc>
        <w:tc>
          <w:tcPr>
            <w:tcW w:w="1080" w:type="dxa"/>
            <w:tcBorders>
              <w:top w:val="nil"/>
              <w:left w:val="nil"/>
              <w:bottom w:val="single" w:sz="4" w:space="0" w:color="auto"/>
              <w:right w:val="single" w:sz="4" w:space="0" w:color="auto"/>
            </w:tcBorders>
            <w:shd w:val="clear" w:color="auto" w:fill="auto"/>
            <w:noWrap/>
            <w:vAlign w:val="bottom"/>
            <w:hideMark/>
          </w:tcPr>
          <w:p w14:paraId="25C072FF" w14:textId="6D3C35B8"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728</w:t>
            </w:r>
          </w:p>
        </w:tc>
      </w:tr>
      <w:tr w:rsidR="00FF7AB4" w:rsidRPr="00BA52C1" w14:paraId="6B0E1807"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7C4798E" w14:textId="77777777" w:rsidR="00FF7AB4" w:rsidRPr="00BA52C1" w:rsidRDefault="00FF7AB4" w:rsidP="00FF7AB4">
            <w:pPr>
              <w:pStyle w:val="CBDTableNormal"/>
              <w:spacing w:before="0" w:after="0"/>
              <w:rPr>
                <w:sz w:val="18"/>
                <w:szCs w:val="18"/>
                <w:lang w:val="fr-FR" w:eastAsia="en-CA"/>
              </w:rPr>
            </w:pPr>
            <w:r w:rsidRPr="00BA52C1">
              <w:rPr>
                <w:sz w:val="18"/>
                <w:szCs w:val="18"/>
                <w:lang w:val="fr-FR" w:eastAsia="en-CA"/>
              </w:rPr>
              <w:t>Maldives</w:t>
            </w:r>
          </w:p>
        </w:tc>
        <w:tc>
          <w:tcPr>
            <w:tcW w:w="1628" w:type="dxa"/>
            <w:tcBorders>
              <w:top w:val="nil"/>
              <w:left w:val="nil"/>
              <w:bottom w:val="single" w:sz="4" w:space="0" w:color="auto"/>
              <w:right w:val="single" w:sz="4" w:space="0" w:color="auto"/>
            </w:tcBorders>
            <w:shd w:val="clear" w:color="auto" w:fill="auto"/>
            <w:vAlign w:val="bottom"/>
            <w:hideMark/>
          </w:tcPr>
          <w:p w14:paraId="477822F0" w14:textId="04E4B55B"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004</w:t>
            </w:r>
          </w:p>
        </w:tc>
        <w:tc>
          <w:tcPr>
            <w:tcW w:w="2198" w:type="dxa"/>
            <w:tcBorders>
              <w:top w:val="nil"/>
              <w:left w:val="nil"/>
              <w:bottom w:val="single" w:sz="4" w:space="0" w:color="auto"/>
              <w:right w:val="single" w:sz="4" w:space="0" w:color="auto"/>
            </w:tcBorders>
            <w:shd w:val="clear" w:color="auto" w:fill="auto"/>
            <w:noWrap/>
            <w:vAlign w:val="bottom"/>
            <w:hideMark/>
          </w:tcPr>
          <w:p w14:paraId="66E12FD2" w14:textId="16B58AF2"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005</w:t>
            </w:r>
          </w:p>
        </w:tc>
        <w:tc>
          <w:tcPr>
            <w:tcW w:w="1176" w:type="dxa"/>
            <w:tcBorders>
              <w:top w:val="nil"/>
              <w:left w:val="nil"/>
              <w:bottom w:val="single" w:sz="4" w:space="0" w:color="auto"/>
              <w:right w:val="single" w:sz="4" w:space="0" w:color="auto"/>
            </w:tcBorders>
            <w:shd w:val="clear" w:color="auto" w:fill="auto"/>
            <w:noWrap/>
            <w:vAlign w:val="bottom"/>
            <w:hideMark/>
          </w:tcPr>
          <w:p w14:paraId="67F474F0" w14:textId="43EAA95B"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704</w:t>
            </w:r>
          </w:p>
        </w:tc>
        <w:tc>
          <w:tcPr>
            <w:tcW w:w="1461" w:type="dxa"/>
            <w:tcBorders>
              <w:top w:val="nil"/>
              <w:left w:val="nil"/>
              <w:bottom w:val="single" w:sz="4" w:space="0" w:color="auto"/>
              <w:right w:val="single" w:sz="4" w:space="0" w:color="auto"/>
            </w:tcBorders>
            <w:shd w:val="clear" w:color="auto" w:fill="auto"/>
            <w:noWrap/>
            <w:vAlign w:val="bottom"/>
            <w:hideMark/>
          </w:tcPr>
          <w:p w14:paraId="2836F960" w14:textId="6749C2E3"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752</w:t>
            </w:r>
          </w:p>
        </w:tc>
        <w:tc>
          <w:tcPr>
            <w:tcW w:w="1080" w:type="dxa"/>
            <w:tcBorders>
              <w:top w:val="nil"/>
              <w:left w:val="nil"/>
              <w:bottom w:val="single" w:sz="4" w:space="0" w:color="auto"/>
              <w:right w:val="single" w:sz="4" w:space="0" w:color="auto"/>
            </w:tcBorders>
            <w:shd w:val="clear" w:color="auto" w:fill="auto"/>
            <w:noWrap/>
            <w:vAlign w:val="bottom"/>
            <w:hideMark/>
          </w:tcPr>
          <w:p w14:paraId="600997B6" w14:textId="6AA9C72F"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1 456</w:t>
            </w:r>
          </w:p>
        </w:tc>
      </w:tr>
      <w:tr w:rsidR="00FF7AB4" w:rsidRPr="00BA52C1" w14:paraId="7E95FA7A"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6BCA880" w14:textId="77777777" w:rsidR="00FF7AB4" w:rsidRPr="00BA52C1" w:rsidRDefault="00FF7AB4" w:rsidP="00FF7AB4">
            <w:pPr>
              <w:pStyle w:val="CBDTableNormal"/>
              <w:spacing w:before="0" w:after="0"/>
              <w:rPr>
                <w:sz w:val="18"/>
                <w:szCs w:val="18"/>
                <w:lang w:val="fr-FR" w:eastAsia="en-CA"/>
              </w:rPr>
            </w:pPr>
            <w:r w:rsidRPr="00BA52C1">
              <w:rPr>
                <w:sz w:val="18"/>
                <w:szCs w:val="18"/>
                <w:lang w:val="fr-FR" w:eastAsia="en-CA"/>
              </w:rPr>
              <w:t>Mali</w:t>
            </w:r>
          </w:p>
        </w:tc>
        <w:tc>
          <w:tcPr>
            <w:tcW w:w="1628" w:type="dxa"/>
            <w:tcBorders>
              <w:top w:val="nil"/>
              <w:left w:val="nil"/>
              <w:bottom w:val="single" w:sz="4" w:space="0" w:color="auto"/>
              <w:right w:val="single" w:sz="4" w:space="0" w:color="auto"/>
            </w:tcBorders>
            <w:shd w:val="clear" w:color="auto" w:fill="auto"/>
            <w:vAlign w:val="bottom"/>
            <w:hideMark/>
          </w:tcPr>
          <w:p w14:paraId="5E98F5F6" w14:textId="15E335FF"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005</w:t>
            </w:r>
          </w:p>
        </w:tc>
        <w:tc>
          <w:tcPr>
            <w:tcW w:w="2198" w:type="dxa"/>
            <w:tcBorders>
              <w:top w:val="nil"/>
              <w:left w:val="nil"/>
              <w:bottom w:val="single" w:sz="4" w:space="0" w:color="auto"/>
              <w:right w:val="single" w:sz="4" w:space="0" w:color="auto"/>
            </w:tcBorders>
            <w:shd w:val="clear" w:color="auto" w:fill="auto"/>
            <w:noWrap/>
            <w:vAlign w:val="bottom"/>
            <w:hideMark/>
          </w:tcPr>
          <w:p w14:paraId="2D20D8CD" w14:textId="074CE11F"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006</w:t>
            </w:r>
          </w:p>
        </w:tc>
        <w:tc>
          <w:tcPr>
            <w:tcW w:w="1176" w:type="dxa"/>
            <w:tcBorders>
              <w:top w:val="nil"/>
              <w:left w:val="nil"/>
              <w:bottom w:val="single" w:sz="4" w:space="0" w:color="auto"/>
              <w:right w:val="single" w:sz="4" w:space="0" w:color="auto"/>
            </w:tcBorders>
            <w:shd w:val="clear" w:color="auto" w:fill="auto"/>
            <w:noWrap/>
            <w:vAlign w:val="bottom"/>
            <w:hideMark/>
          </w:tcPr>
          <w:p w14:paraId="602A02AB" w14:textId="22EC93E3"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880</w:t>
            </w:r>
          </w:p>
        </w:tc>
        <w:tc>
          <w:tcPr>
            <w:tcW w:w="1461" w:type="dxa"/>
            <w:tcBorders>
              <w:top w:val="nil"/>
              <w:left w:val="nil"/>
              <w:bottom w:val="single" w:sz="4" w:space="0" w:color="auto"/>
              <w:right w:val="single" w:sz="4" w:space="0" w:color="auto"/>
            </w:tcBorders>
            <w:shd w:val="clear" w:color="auto" w:fill="auto"/>
            <w:noWrap/>
            <w:vAlign w:val="bottom"/>
            <w:hideMark/>
          </w:tcPr>
          <w:p w14:paraId="46B53DED" w14:textId="6CB19B2A"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940</w:t>
            </w:r>
          </w:p>
        </w:tc>
        <w:tc>
          <w:tcPr>
            <w:tcW w:w="1080" w:type="dxa"/>
            <w:tcBorders>
              <w:top w:val="nil"/>
              <w:left w:val="nil"/>
              <w:bottom w:val="single" w:sz="4" w:space="0" w:color="auto"/>
              <w:right w:val="single" w:sz="4" w:space="0" w:color="auto"/>
            </w:tcBorders>
            <w:shd w:val="clear" w:color="auto" w:fill="auto"/>
            <w:noWrap/>
            <w:vAlign w:val="bottom"/>
            <w:hideMark/>
          </w:tcPr>
          <w:p w14:paraId="321584D7" w14:textId="6E8C72D9"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1 820</w:t>
            </w:r>
          </w:p>
        </w:tc>
      </w:tr>
      <w:tr w:rsidR="00FF7AB4" w:rsidRPr="00BA52C1" w14:paraId="2F1C4201"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AB71A5F" w14:textId="47BC8D9F" w:rsidR="00FF7AB4" w:rsidRPr="00BA52C1" w:rsidRDefault="00FF7AB4" w:rsidP="00FF7AB4">
            <w:pPr>
              <w:pStyle w:val="CBDTableNormal"/>
              <w:spacing w:before="0" w:after="0"/>
              <w:rPr>
                <w:sz w:val="18"/>
                <w:szCs w:val="18"/>
                <w:lang w:val="fr-FR" w:eastAsia="en-CA"/>
              </w:rPr>
            </w:pPr>
            <w:r w:rsidRPr="00BA52C1">
              <w:rPr>
                <w:sz w:val="18"/>
                <w:szCs w:val="18"/>
                <w:lang w:val="fr-FR" w:eastAsia="en-CA"/>
              </w:rPr>
              <w:t>Malt</w:t>
            </w:r>
            <w:r>
              <w:rPr>
                <w:sz w:val="18"/>
                <w:szCs w:val="18"/>
                <w:lang w:val="fr-FR" w:eastAsia="en-CA"/>
              </w:rPr>
              <w:t>e</w:t>
            </w:r>
          </w:p>
        </w:tc>
        <w:tc>
          <w:tcPr>
            <w:tcW w:w="1628" w:type="dxa"/>
            <w:tcBorders>
              <w:top w:val="nil"/>
              <w:left w:val="nil"/>
              <w:bottom w:val="single" w:sz="4" w:space="0" w:color="auto"/>
              <w:right w:val="single" w:sz="4" w:space="0" w:color="auto"/>
            </w:tcBorders>
            <w:shd w:val="clear" w:color="auto" w:fill="auto"/>
            <w:vAlign w:val="bottom"/>
            <w:hideMark/>
          </w:tcPr>
          <w:p w14:paraId="3D7B98B0" w14:textId="5E33DA06"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019</w:t>
            </w:r>
          </w:p>
        </w:tc>
        <w:tc>
          <w:tcPr>
            <w:tcW w:w="2198" w:type="dxa"/>
            <w:tcBorders>
              <w:top w:val="nil"/>
              <w:left w:val="nil"/>
              <w:bottom w:val="single" w:sz="4" w:space="0" w:color="auto"/>
              <w:right w:val="single" w:sz="4" w:space="0" w:color="auto"/>
            </w:tcBorders>
            <w:shd w:val="clear" w:color="auto" w:fill="auto"/>
            <w:noWrap/>
            <w:vAlign w:val="bottom"/>
            <w:hideMark/>
          </w:tcPr>
          <w:p w14:paraId="499D5A2D" w14:textId="5F372FD9"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024</w:t>
            </w:r>
          </w:p>
        </w:tc>
        <w:tc>
          <w:tcPr>
            <w:tcW w:w="1176" w:type="dxa"/>
            <w:tcBorders>
              <w:top w:val="nil"/>
              <w:left w:val="nil"/>
              <w:bottom w:val="single" w:sz="4" w:space="0" w:color="auto"/>
              <w:right w:val="single" w:sz="4" w:space="0" w:color="auto"/>
            </w:tcBorders>
            <w:shd w:val="clear" w:color="auto" w:fill="auto"/>
            <w:noWrap/>
            <w:vAlign w:val="bottom"/>
            <w:hideMark/>
          </w:tcPr>
          <w:p w14:paraId="349939B4" w14:textId="3CCE3178"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3 344</w:t>
            </w:r>
          </w:p>
        </w:tc>
        <w:tc>
          <w:tcPr>
            <w:tcW w:w="1461" w:type="dxa"/>
            <w:tcBorders>
              <w:top w:val="nil"/>
              <w:left w:val="nil"/>
              <w:bottom w:val="single" w:sz="4" w:space="0" w:color="auto"/>
              <w:right w:val="single" w:sz="4" w:space="0" w:color="auto"/>
            </w:tcBorders>
            <w:shd w:val="clear" w:color="auto" w:fill="auto"/>
            <w:noWrap/>
            <w:vAlign w:val="bottom"/>
            <w:hideMark/>
          </w:tcPr>
          <w:p w14:paraId="7547818F" w14:textId="0B67CB10"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3 573</w:t>
            </w:r>
          </w:p>
        </w:tc>
        <w:tc>
          <w:tcPr>
            <w:tcW w:w="1080" w:type="dxa"/>
            <w:tcBorders>
              <w:top w:val="nil"/>
              <w:left w:val="nil"/>
              <w:bottom w:val="single" w:sz="4" w:space="0" w:color="auto"/>
              <w:right w:val="single" w:sz="4" w:space="0" w:color="auto"/>
            </w:tcBorders>
            <w:shd w:val="clear" w:color="auto" w:fill="auto"/>
            <w:noWrap/>
            <w:vAlign w:val="bottom"/>
            <w:hideMark/>
          </w:tcPr>
          <w:p w14:paraId="53423C9D" w14:textId="6C0455E6"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6 917</w:t>
            </w:r>
          </w:p>
        </w:tc>
      </w:tr>
      <w:tr w:rsidR="00FF7AB4" w:rsidRPr="00BA52C1" w14:paraId="6B125991"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tcPr>
          <w:p w14:paraId="5167C6EB" w14:textId="6CDF3FEC" w:rsidR="00FF7AB4" w:rsidRPr="00BA52C1" w:rsidRDefault="00FF7AB4" w:rsidP="00FF7AB4">
            <w:pPr>
              <w:pStyle w:val="CBDTableNormal"/>
              <w:spacing w:before="0" w:after="0"/>
              <w:rPr>
                <w:sz w:val="18"/>
                <w:szCs w:val="18"/>
                <w:lang w:val="fr-FR" w:eastAsia="en-CA"/>
              </w:rPr>
            </w:pPr>
            <w:r>
              <w:rPr>
                <w:sz w:val="18"/>
                <w:szCs w:val="18"/>
                <w:lang w:val="fr-FR" w:eastAsia="en-CA"/>
              </w:rPr>
              <w:t>Maroc</w:t>
            </w:r>
          </w:p>
        </w:tc>
        <w:tc>
          <w:tcPr>
            <w:tcW w:w="1628" w:type="dxa"/>
            <w:tcBorders>
              <w:top w:val="nil"/>
              <w:left w:val="nil"/>
              <w:bottom w:val="single" w:sz="4" w:space="0" w:color="auto"/>
              <w:right w:val="single" w:sz="4" w:space="0" w:color="auto"/>
            </w:tcBorders>
            <w:shd w:val="clear" w:color="auto" w:fill="auto"/>
            <w:vAlign w:val="bottom"/>
          </w:tcPr>
          <w:p w14:paraId="1546F6BF" w14:textId="280F0ACF"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055</w:t>
            </w:r>
          </w:p>
        </w:tc>
        <w:tc>
          <w:tcPr>
            <w:tcW w:w="2198" w:type="dxa"/>
            <w:tcBorders>
              <w:top w:val="nil"/>
              <w:left w:val="nil"/>
              <w:bottom w:val="single" w:sz="4" w:space="0" w:color="auto"/>
              <w:right w:val="single" w:sz="4" w:space="0" w:color="auto"/>
            </w:tcBorders>
            <w:shd w:val="clear" w:color="auto" w:fill="auto"/>
            <w:noWrap/>
            <w:vAlign w:val="bottom"/>
          </w:tcPr>
          <w:p w14:paraId="5E74BAE7" w14:textId="641E6803"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069</w:t>
            </w:r>
          </w:p>
        </w:tc>
        <w:tc>
          <w:tcPr>
            <w:tcW w:w="1176" w:type="dxa"/>
            <w:tcBorders>
              <w:top w:val="nil"/>
              <w:left w:val="nil"/>
              <w:bottom w:val="single" w:sz="4" w:space="0" w:color="auto"/>
              <w:right w:val="single" w:sz="4" w:space="0" w:color="auto"/>
            </w:tcBorders>
            <w:shd w:val="clear" w:color="auto" w:fill="auto"/>
            <w:noWrap/>
            <w:vAlign w:val="bottom"/>
          </w:tcPr>
          <w:p w14:paraId="3F330EA1" w14:textId="7D89197F"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9 680</w:t>
            </w:r>
          </w:p>
        </w:tc>
        <w:tc>
          <w:tcPr>
            <w:tcW w:w="1461" w:type="dxa"/>
            <w:tcBorders>
              <w:top w:val="nil"/>
              <w:left w:val="nil"/>
              <w:bottom w:val="single" w:sz="4" w:space="0" w:color="auto"/>
              <w:right w:val="single" w:sz="4" w:space="0" w:color="auto"/>
            </w:tcBorders>
            <w:shd w:val="clear" w:color="auto" w:fill="auto"/>
            <w:noWrap/>
            <w:vAlign w:val="bottom"/>
          </w:tcPr>
          <w:p w14:paraId="24C500BF" w14:textId="0FA4183F"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10 342</w:t>
            </w:r>
          </w:p>
        </w:tc>
        <w:tc>
          <w:tcPr>
            <w:tcW w:w="1080" w:type="dxa"/>
            <w:tcBorders>
              <w:top w:val="nil"/>
              <w:left w:val="nil"/>
              <w:bottom w:val="single" w:sz="4" w:space="0" w:color="auto"/>
              <w:right w:val="single" w:sz="4" w:space="0" w:color="auto"/>
            </w:tcBorders>
            <w:shd w:val="clear" w:color="auto" w:fill="auto"/>
            <w:noWrap/>
            <w:vAlign w:val="bottom"/>
          </w:tcPr>
          <w:p w14:paraId="34BA5317" w14:textId="2542ED26"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20 022</w:t>
            </w:r>
          </w:p>
        </w:tc>
      </w:tr>
      <w:tr w:rsidR="003D2C70" w:rsidRPr="00BA52C1" w14:paraId="5615AA87"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tcPr>
          <w:p w14:paraId="685FF9ED" w14:textId="37928CF9" w:rsidR="003D2C70" w:rsidRDefault="003D2C70" w:rsidP="003D2C70">
            <w:pPr>
              <w:pStyle w:val="CBDTableNormal"/>
              <w:spacing w:before="0" w:after="0"/>
              <w:rPr>
                <w:sz w:val="18"/>
                <w:szCs w:val="18"/>
                <w:lang w:val="fr-FR" w:eastAsia="en-CA"/>
              </w:rPr>
            </w:pPr>
            <w:r w:rsidRPr="00BA52C1">
              <w:rPr>
                <w:sz w:val="18"/>
                <w:szCs w:val="18"/>
                <w:lang w:val="fr-FR" w:eastAsia="en-CA"/>
              </w:rPr>
              <w:t>Mauri</w:t>
            </w:r>
            <w:r>
              <w:rPr>
                <w:sz w:val="18"/>
                <w:szCs w:val="18"/>
                <w:lang w:val="fr-FR" w:eastAsia="en-CA"/>
              </w:rPr>
              <w:t>ce</w:t>
            </w:r>
          </w:p>
        </w:tc>
        <w:tc>
          <w:tcPr>
            <w:tcW w:w="1628" w:type="dxa"/>
            <w:tcBorders>
              <w:top w:val="nil"/>
              <w:left w:val="nil"/>
              <w:bottom w:val="single" w:sz="4" w:space="0" w:color="auto"/>
              <w:right w:val="single" w:sz="4" w:space="0" w:color="auto"/>
            </w:tcBorders>
            <w:shd w:val="clear" w:color="auto" w:fill="auto"/>
            <w:vAlign w:val="bottom"/>
          </w:tcPr>
          <w:p w14:paraId="4503F51B" w14:textId="785147D7"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019</w:t>
            </w:r>
          </w:p>
        </w:tc>
        <w:tc>
          <w:tcPr>
            <w:tcW w:w="2198" w:type="dxa"/>
            <w:tcBorders>
              <w:top w:val="nil"/>
              <w:left w:val="nil"/>
              <w:bottom w:val="single" w:sz="4" w:space="0" w:color="auto"/>
              <w:right w:val="single" w:sz="4" w:space="0" w:color="auto"/>
            </w:tcBorders>
            <w:shd w:val="clear" w:color="auto" w:fill="auto"/>
            <w:noWrap/>
            <w:vAlign w:val="bottom"/>
          </w:tcPr>
          <w:p w14:paraId="43DED7E3" w14:textId="613DE842"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024</w:t>
            </w:r>
          </w:p>
        </w:tc>
        <w:tc>
          <w:tcPr>
            <w:tcW w:w="1176" w:type="dxa"/>
            <w:tcBorders>
              <w:top w:val="nil"/>
              <w:left w:val="nil"/>
              <w:bottom w:val="single" w:sz="4" w:space="0" w:color="auto"/>
              <w:right w:val="single" w:sz="4" w:space="0" w:color="auto"/>
            </w:tcBorders>
            <w:shd w:val="clear" w:color="auto" w:fill="auto"/>
            <w:noWrap/>
            <w:vAlign w:val="bottom"/>
          </w:tcPr>
          <w:p w14:paraId="570CF974" w14:textId="1F040E36"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3 344</w:t>
            </w:r>
          </w:p>
        </w:tc>
        <w:tc>
          <w:tcPr>
            <w:tcW w:w="1461" w:type="dxa"/>
            <w:tcBorders>
              <w:top w:val="nil"/>
              <w:left w:val="nil"/>
              <w:bottom w:val="single" w:sz="4" w:space="0" w:color="auto"/>
              <w:right w:val="single" w:sz="4" w:space="0" w:color="auto"/>
            </w:tcBorders>
            <w:shd w:val="clear" w:color="auto" w:fill="auto"/>
            <w:noWrap/>
            <w:vAlign w:val="bottom"/>
          </w:tcPr>
          <w:p w14:paraId="27CAB6C0" w14:textId="79A1E61C"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3 573</w:t>
            </w:r>
          </w:p>
        </w:tc>
        <w:tc>
          <w:tcPr>
            <w:tcW w:w="1080" w:type="dxa"/>
            <w:tcBorders>
              <w:top w:val="nil"/>
              <w:left w:val="nil"/>
              <w:bottom w:val="single" w:sz="4" w:space="0" w:color="auto"/>
              <w:right w:val="single" w:sz="4" w:space="0" w:color="auto"/>
            </w:tcBorders>
            <w:shd w:val="clear" w:color="auto" w:fill="auto"/>
            <w:noWrap/>
            <w:vAlign w:val="bottom"/>
          </w:tcPr>
          <w:p w14:paraId="26D1B4E6" w14:textId="5305BEBA"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6 917</w:t>
            </w:r>
          </w:p>
        </w:tc>
      </w:tr>
      <w:tr w:rsidR="00FF7AB4" w:rsidRPr="00BA52C1" w14:paraId="1BBC097F"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216CF06" w14:textId="5EEE4875" w:rsidR="00FF7AB4" w:rsidRPr="00BA52C1" w:rsidRDefault="00FF7AB4" w:rsidP="00FF7AB4">
            <w:pPr>
              <w:pStyle w:val="CBDTableNormal"/>
              <w:spacing w:before="0" w:after="0"/>
              <w:rPr>
                <w:sz w:val="18"/>
                <w:szCs w:val="18"/>
                <w:lang w:val="fr-FR" w:eastAsia="en-CA"/>
              </w:rPr>
            </w:pPr>
            <w:r w:rsidRPr="00BA52C1">
              <w:rPr>
                <w:sz w:val="18"/>
                <w:szCs w:val="18"/>
                <w:lang w:val="fr-FR" w:eastAsia="en-CA"/>
              </w:rPr>
              <w:t>Mauritani</w:t>
            </w:r>
            <w:r w:rsidR="003D2C70">
              <w:rPr>
                <w:sz w:val="18"/>
                <w:szCs w:val="18"/>
                <w:lang w:val="fr-FR" w:eastAsia="en-CA"/>
              </w:rPr>
              <w:t>e</w:t>
            </w:r>
          </w:p>
        </w:tc>
        <w:tc>
          <w:tcPr>
            <w:tcW w:w="1628" w:type="dxa"/>
            <w:tcBorders>
              <w:top w:val="nil"/>
              <w:left w:val="nil"/>
              <w:bottom w:val="single" w:sz="4" w:space="0" w:color="auto"/>
              <w:right w:val="single" w:sz="4" w:space="0" w:color="auto"/>
            </w:tcBorders>
            <w:shd w:val="clear" w:color="auto" w:fill="auto"/>
            <w:vAlign w:val="bottom"/>
            <w:hideMark/>
          </w:tcPr>
          <w:p w14:paraId="70110200" w14:textId="4BE15DE5"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002</w:t>
            </w:r>
          </w:p>
        </w:tc>
        <w:tc>
          <w:tcPr>
            <w:tcW w:w="2198" w:type="dxa"/>
            <w:tcBorders>
              <w:top w:val="nil"/>
              <w:left w:val="nil"/>
              <w:bottom w:val="single" w:sz="4" w:space="0" w:color="auto"/>
              <w:right w:val="single" w:sz="4" w:space="0" w:color="auto"/>
            </w:tcBorders>
            <w:shd w:val="clear" w:color="auto" w:fill="auto"/>
            <w:noWrap/>
            <w:vAlign w:val="bottom"/>
            <w:hideMark/>
          </w:tcPr>
          <w:p w14:paraId="5786BEB2" w14:textId="55475BE7"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003</w:t>
            </w:r>
          </w:p>
        </w:tc>
        <w:tc>
          <w:tcPr>
            <w:tcW w:w="1176" w:type="dxa"/>
            <w:tcBorders>
              <w:top w:val="nil"/>
              <w:left w:val="nil"/>
              <w:bottom w:val="single" w:sz="4" w:space="0" w:color="auto"/>
              <w:right w:val="single" w:sz="4" w:space="0" w:color="auto"/>
            </w:tcBorders>
            <w:shd w:val="clear" w:color="auto" w:fill="auto"/>
            <w:noWrap/>
            <w:vAlign w:val="bottom"/>
            <w:hideMark/>
          </w:tcPr>
          <w:p w14:paraId="674EA6E0" w14:textId="34BFFBFB"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352</w:t>
            </w:r>
          </w:p>
        </w:tc>
        <w:tc>
          <w:tcPr>
            <w:tcW w:w="1461" w:type="dxa"/>
            <w:tcBorders>
              <w:top w:val="nil"/>
              <w:left w:val="nil"/>
              <w:bottom w:val="single" w:sz="4" w:space="0" w:color="auto"/>
              <w:right w:val="single" w:sz="4" w:space="0" w:color="auto"/>
            </w:tcBorders>
            <w:shd w:val="clear" w:color="auto" w:fill="auto"/>
            <w:noWrap/>
            <w:vAlign w:val="bottom"/>
            <w:hideMark/>
          </w:tcPr>
          <w:p w14:paraId="4F64D503" w14:textId="76488B2B"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376</w:t>
            </w:r>
          </w:p>
        </w:tc>
        <w:tc>
          <w:tcPr>
            <w:tcW w:w="1080" w:type="dxa"/>
            <w:tcBorders>
              <w:top w:val="nil"/>
              <w:left w:val="nil"/>
              <w:bottom w:val="single" w:sz="4" w:space="0" w:color="auto"/>
              <w:right w:val="single" w:sz="4" w:space="0" w:color="auto"/>
            </w:tcBorders>
            <w:shd w:val="clear" w:color="auto" w:fill="auto"/>
            <w:noWrap/>
            <w:vAlign w:val="bottom"/>
            <w:hideMark/>
          </w:tcPr>
          <w:p w14:paraId="6A4CB4AC" w14:textId="62CCA831"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728</w:t>
            </w:r>
          </w:p>
        </w:tc>
      </w:tr>
      <w:tr w:rsidR="00FF7AB4" w:rsidRPr="00BA52C1" w14:paraId="7EBDB0C4"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8754C0B" w14:textId="35503C8B" w:rsidR="00FF7AB4" w:rsidRPr="00BA52C1" w:rsidRDefault="00FF7AB4" w:rsidP="00FF7AB4">
            <w:pPr>
              <w:pStyle w:val="CBDTableNormal"/>
              <w:spacing w:before="0" w:after="0"/>
              <w:rPr>
                <w:sz w:val="18"/>
                <w:szCs w:val="18"/>
                <w:lang w:val="fr-FR" w:eastAsia="en-CA"/>
              </w:rPr>
            </w:pPr>
            <w:r w:rsidRPr="00BA52C1">
              <w:rPr>
                <w:sz w:val="18"/>
                <w:szCs w:val="18"/>
                <w:lang w:val="fr-FR" w:eastAsia="en-CA"/>
              </w:rPr>
              <w:t>Mexi</w:t>
            </w:r>
            <w:r w:rsidR="003D2C70">
              <w:rPr>
                <w:sz w:val="18"/>
                <w:szCs w:val="18"/>
                <w:lang w:val="fr-FR" w:eastAsia="en-CA"/>
              </w:rPr>
              <w:t>que</w:t>
            </w:r>
          </w:p>
        </w:tc>
        <w:tc>
          <w:tcPr>
            <w:tcW w:w="1628" w:type="dxa"/>
            <w:tcBorders>
              <w:top w:val="nil"/>
              <w:left w:val="nil"/>
              <w:bottom w:val="single" w:sz="4" w:space="0" w:color="auto"/>
              <w:right w:val="single" w:sz="4" w:space="0" w:color="auto"/>
            </w:tcBorders>
            <w:shd w:val="clear" w:color="auto" w:fill="auto"/>
            <w:vAlign w:val="bottom"/>
            <w:hideMark/>
          </w:tcPr>
          <w:p w14:paraId="36F318EA" w14:textId="70844BFB"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1</w:t>
            </w:r>
            <w:r>
              <w:rPr>
                <w:sz w:val="18"/>
                <w:szCs w:val="18"/>
                <w:lang w:val="fr-FR" w:eastAsia="en-CA"/>
              </w:rPr>
              <w:t>,</w:t>
            </w:r>
            <w:r w:rsidRPr="00BA52C1">
              <w:rPr>
                <w:sz w:val="18"/>
                <w:szCs w:val="18"/>
                <w:lang w:val="fr-FR" w:eastAsia="en-CA"/>
              </w:rPr>
              <w:t>221</w:t>
            </w:r>
          </w:p>
        </w:tc>
        <w:tc>
          <w:tcPr>
            <w:tcW w:w="2198" w:type="dxa"/>
            <w:tcBorders>
              <w:top w:val="nil"/>
              <w:left w:val="nil"/>
              <w:bottom w:val="single" w:sz="4" w:space="0" w:color="auto"/>
              <w:right w:val="single" w:sz="4" w:space="0" w:color="auto"/>
            </w:tcBorders>
            <w:shd w:val="clear" w:color="auto" w:fill="auto"/>
            <w:noWrap/>
            <w:vAlign w:val="bottom"/>
            <w:hideMark/>
          </w:tcPr>
          <w:p w14:paraId="270F9776" w14:textId="74DD183C"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1</w:t>
            </w:r>
            <w:r>
              <w:rPr>
                <w:sz w:val="18"/>
                <w:szCs w:val="18"/>
                <w:lang w:val="fr-FR" w:eastAsia="en-CA"/>
              </w:rPr>
              <w:t>,</w:t>
            </w:r>
            <w:r w:rsidRPr="00BA52C1">
              <w:rPr>
                <w:sz w:val="18"/>
                <w:szCs w:val="18"/>
                <w:lang w:val="fr-FR" w:eastAsia="en-CA"/>
              </w:rPr>
              <w:t>526</w:t>
            </w:r>
          </w:p>
        </w:tc>
        <w:tc>
          <w:tcPr>
            <w:tcW w:w="1176" w:type="dxa"/>
            <w:tcBorders>
              <w:top w:val="nil"/>
              <w:left w:val="nil"/>
              <w:bottom w:val="single" w:sz="4" w:space="0" w:color="auto"/>
              <w:right w:val="single" w:sz="4" w:space="0" w:color="auto"/>
            </w:tcBorders>
            <w:shd w:val="clear" w:color="auto" w:fill="auto"/>
            <w:noWrap/>
            <w:vAlign w:val="bottom"/>
            <w:hideMark/>
          </w:tcPr>
          <w:p w14:paraId="1C32442A" w14:textId="0DB069A7"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214 889</w:t>
            </w:r>
          </w:p>
        </w:tc>
        <w:tc>
          <w:tcPr>
            <w:tcW w:w="1461" w:type="dxa"/>
            <w:tcBorders>
              <w:top w:val="nil"/>
              <w:left w:val="nil"/>
              <w:bottom w:val="single" w:sz="4" w:space="0" w:color="auto"/>
              <w:right w:val="single" w:sz="4" w:space="0" w:color="auto"/>
            </w:tcBorders>
            <w:shd w:val="clear" w:color="auto" w:fill="auto"/>
            <w:noWrap/>
            <w:vAlign w:val="bottom"/>
            <w:hideMark/>
          </w:tcPr>
          <w:p w14:paraId="4F6DBEDF" w14:textId="67C6942F"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229 593</w:t>
            </w:r>
          </w:p>
        </w:tc>
        <w:tc>
          <w:tcPr>
            <w:tcW w:w="1080" w:type="dxa"/>
            <w:tcBorders>
              <w:top w:val="nil"/>
              <w:left w:val="nil"/>
              <w:bottom w:val="single" w:sz="4" w:space="0" w:color="auto"/>
              <w:right w:val="single" w:sz="4" w:space="0" w:color="auto"/>
            </w:tcBorders>
            <w:shd w:val="clear" w:color="auto" w:fill="auto"/>
            <w:noWrap/>
            <w:vAlign w:val="bottom"/>
            <w:hideMark/>
          </w:tcPr>
          <w:p w14:paraId="40405305" w14:textId="00E50CE0"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444 482</w:t>
            </w:r>
          </w:p>
        </w:tc>
      </w:tr>
      <w:tr w:rsidR="00FF7AB4" w:rsidRPr="00BA52C1" w14:paraId="600F6F10"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E335A1F" w14:textId="1B11D310" w:rsidR="00FF7AB4" w:rsidRPr="00BA52C1" w:rsidRDefault="00FF7AB4" w:rsidP="00FF7AB4">
            <w:pPr>
              <w:pStyle w:val="CBDTableNormal"/>
              <w:tabs>
                <w:tab w:val="clear" w:pos="567"/>
                <w:tab w:val="left" w:pos="178"/>
              </w:tabs>
              <w:spacing w:before="0" w:after="0"/>
              <w:ind w:left="144" w:hanging="144"/>
              <w:rPr>
                <w:sz w:val="18"/>
                <w:szCs w:val="18"/>
                <w:lang w:val="fr-FR" w:eastAsia="en-CA"/>
              </w:rPr>
            </w:pPr>
            <w:r w:rsidRPr="00BA52C1">
              <w:rPr>
                <w:sz w:val="18"/>
                <w:szCs w:val="18"/>
                <w:lang w:val="fr-FR" w:eastAsia="en-CA"/>
              </w:rPr>
              <w:t>Micron</w:t>
            </w:r>
            <w:r w:rsidR="003D2C70">
              <w:rPr>
                <w:sz w:val="18"/>
                <w:szCs w:val="18"/>
                <w:lang w:val="fr-FR" w:eastAsia="en-CA"/>
              </w:rPr>
              <w:t>é</w:t>
            </w:r>
            <w:r w:rsidRPr="00BA52C1">
              <w:rPr>
                <w:sz w:val="18"/>
                <w:szCs w:val="18"/>
                <w:lang w:val="fr-FR" w:eastAsia="en-CA"/>
              </w:rPr>
              <w:t>si</w:t>
            </w:r>
            <w:r w:rsidR="003D2C70">
              <w:rPr>
                <w:sz w:val="18"/>
                <w:szCs w:val="18"/>
                <w:lang w:val="fr-FR" w:eastAsia="en-CA"/>
              </w:rPr>
              <w:t>e</w:t>
            </w:r>
            <w:r w:rsidRPr="00BA52C1">
              <w:rPr>
                <w:sz w:val="18"/>
                <w:szCs w:val="18"/>
                <w:lang w:val="fr-FR" w:eastAsia="en-CA"/>
              </w:rPr>
              <w:t xml:space="preserve"> (</w:t>
            </w:r>
            <w:r w:rsidR="003D2C70">
              <w:rPr>
                <w:sz w:val="18"/>
                <w:szCs w:val="18"/>
                <w:lang w:val="fr-FR" w:eastAsia="en-CA"/>
              </w:rPr>
              <w:t>États fédérés de</w:t>
            </w:r>
            <w:r w:rsidRPr="00BA52C1">
              <w:rPr>
                <w:sz w:val="18"/>
                <w:szCs w:val="18"/>
                <w:lang w:val="fr-FR" w:eastAsia="en-CA"/>
              </w:rPr>
              <w:t>)</w:t>
            </w:r>
          </w:p>
        </w:tc>
        <w:tc>
          <w:tcPr>
            <w:tcW w:w="1628" w:type="dxa"/>
            <w:tcBorders>
              <w:top w:val="nil"/>
              <w:left w:val="nil"/>
              <w:bottom w:val="single" w:sz="4" w:space="0" w:color="auto"/>
              <w:right w:val="single" w:sz="4" w:space="0" w:color="auto"/>
            </w:tcBorders>
            <w:shd w:val="clear" w:color="auto" w:fill="auto"/>
            <w:vAlign w:val="bottom"/>
            <w:hideMark/>
          </w:tcPr>
          <w:p w14:paraId="2315281D" w14:textId="168A384E"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2198" w:type="dxa"/>
            <w:tcBorders>
              <w:top w:val="nil"/>
              <w:left w:val="nil"/>
              <w:bottom w:val="single" w:sz="4" w:space="0" w:color="auto"/>
              <w:right w:val="single" w:sz="4" w:space="0" w:color="auto"/>
            </w:tcBorders>
            <w:shd w:val="clear" w:color="auto" w:fill="auto"/>
            <w:noWrap/>
            <w:vAlign w:val="bottom"/>
            <w:hideMark/>
          </w:tcPr>
          <w:p w14:paraId="7DB093A2" w14:textId="17728DEB"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1176" w:type="dxa"/>
            <w:tcBorders>
              <w:top w:val="nil"/>
              <w:left w:val="nil"/>
              <w:bottom w:val="single" w:sz="4" w:space="0" w:color="auto"/>
              <w:right w:val="single" w:sz="4" w:space="0" w:color="auto"/>
            </w:tcBorders>
            <w:shd w:val="clear" w:color="auto" w:fill="auto"/>
            <w:noWrap/>
            <w:vAlign w:val="bottom"/>
            <w:hideMark/>
          </w:tcPr>
          <w:p w14:paraId="7A1CA968" w14:textId="0128E4FE"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389BE8DA" w14:textId="33A4155A"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5040C697" w14:textId="1725660D"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364</w:t>
            </w:r>
          </w:p>
        </w:tc>
      </w:tr>
      <w:tr w:rsidR="00FF7AB4" w:rsidRPr="00BA52C1" w14:paraId="43B71C79"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B249B58" w14:textId="77777777" w:rsidR="00FF7AB4" w:rsidRPr="00BA52C1" w:rsidRDefault="00FF7AB4" w:rsidP="00FF7AB4">
            <w:pPr>
              <w:pStyle w:val="CBDTableNormal"/>
              <w:spacing w:before="0" w:after="0"/>
              <w:rPr>
                <w:sz w:val="18"/>
                <w:szCs w:val="18"/>
                <w:lang w:val="fr-FR" w:eastAsia="en-CA"/>
              </w:rPr>
            </w:pPr>
            <w:r w:rsidRPr="00BA52C1">
              <w:rPr>
                <w:sz w:val="18"/>
                <w:szCs w:val="18"/>
                <w:lang w:val="fr-FR" w:eastAsia="en-CA"/>
              </w:rPr>
              <w:t>Monaco</w:t>
            </w:r>
          </w:p>
        </w:tc>
        <w:tc>
          <w:tcPr>
            <w:tcW w:w="1628" w:type="dxa"/>
            <w:tcBorders>
              <w:top w:val="nil"/>
              <w:left w:val="nil"/>
              <w:bottom w:val="single" w:sz="4" w:space="0" w:color="auto"/>
              <w:right w:val="single" w:sz="4" w:space="0" w:color="auto"/>
            </w:tcBorders>
            <w:shd w:val="clear" w:color="auto" w:fill="auto"/>
            <w:vAlign w:val="bottom"/>
            <w:hideMark/>
          </w:tcPr>
          <w:p w14:paraId="56685356" w14:textId="48915407"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011</w:t>
            </w:r>
          </w:p>
        </w:tc>
        <w:tc>
          <w:tcPr>
            <w:tcW w:w="2198" w:type="dxa"/>
            <w:tcBorders>
              <w:top w:val="nil"/>
              <w:left w:val="nil"/>
              <w:bottom w:val="single" w:sz="4" w:space="0" w:color="auto"/>
              <w:right w:val="single" w:sz="4" w:space="0" w:color="auto"/>
            </w:tcBorders>
            <w:shd w:val="clear" w:color="auto" w:fill="auto"/>
            <w:noWrap/>
            <w:vAlign w:val="bottom"/>
            <w:hideMark/>
          </w:tcPr>
          <w:p w14:paraId="7B51F84F" w14:textId="6F6B2EC8"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014</w:t>
            </w:r>
          </w:p>
        </w:tc>
        <w:tc>
          <w:tcPr>
            <w:tcW w:w="1176" w:type="dxa"/>
            <w:tcBorders>
              <w:top w:val="nil"/>
              <w:left w:val="nil"/>
              <w:bottom w:val="single" w:sz="4" w:space="0" w:color="auto"/>
              <w:right w:val="single" w:sz="4" w:space="0" w:color="auto"/>
            </w:tcBorders>
            <w:shd w:val="clear" w:color="auto" w:fill="auto"/>
            <w:noWrap/>
            <w:vAlign w:val="bottom"/>
            <w:hideMark/>
          </w:tcPr>
          <w:p w14:paraId="12AFE863" w14:textId="5A25BF87"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1 936</w:t>
            </w:r>
          </w:p>
        </w:tc>
        <w:tc>
          <w:tcPr>
            <w:tcW w:w="1461" w:type="dxa"/>
            <w:tcBorders>
              <w:top w:val="nil"/>
              <w:left w:val="nil"/>
              <w:bottom w:val="single" w:sz="4" w:space="0" w:color="auto"/>
              <w:right w:val="single" w:sz="4" w:space="0" w:color="auto"/>
            </w:tcBorders>
            <w:shd w:val="clear" w:color="auto" w:fill="auto"/>
            <w:noWrap/>
            <w:vAlign w:val="bottom"/>
            <w:hideMark/>
          </w:tcPr>
          <w:p w14:paraId="0172D0D8" w14:textId="511D9B07"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2 068</w:t>
            </w:r>
          </w:p>
        </w:tc>
        <w:tc>
          <w:tcPr>
            <w:tcW w:w="1080" w:type="dxa"/>
            <w:tcBorders>
              <w:top w:val="nil"/>
              <w:left w:val="nil"/>
              <w:bottom w:val="single" w:sz="4" w:space="0" w:color="auto"/>
              <w:right w:val="single" w:sz="4" w:space="0" w:color="auto"/>
            </w:tcBorders>
            <w:shd w:val="clear" w:color="auto" w:fill="auto"/>
            <w:noWrap/>
            <w:vAlign w:val="bottom"/>
            <w:hideMark/>
          </w:tcPr>
          <w:p w14:paraId="2CC2AEC2" w14:textId="2F0110DB"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4 004</w:t>
            </w:r>
          </w:p>
        </w:tc>
      </w:tr>
      <w:tr w:rsidR="00FF7AB4" w:rsidRPr="00BA52C1" w14:paraId="5704634E"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2CC24AF" w14:textId="047FC384" w:rsidR="00FF7AB4" w:rsidRPr="00BA52C1" w:rsidRDefault="00FF7AB4" w:rsidP="00FF7AB4">
            <w:pPr>
              <w:pStyle w:val="CBDTableNormal"/>
              <w:spacing w:before="0" w:after="0"/>
              <w:rPr>
                <w:sz w:val="18"/>
                <w:szCs w:val="18"/>
                <w:lang w:val="fr-FR" w:eastAsia="en-CA"/>
              </w:rPr>
            </w:pPr>
            <w:r w:rsidRPr="00BA52C1">
              <w:rPr>
                <w:sz w:val="18"/>
                <w:szCs w:val="18"/>
                <w:lang w:val="fr-FR" w:eastAsia="en-CA"/>
              </w:rPr>
              <w:t>Mongoli</w:t>
            </w:r>
            <w:r w:rsidR="003D2C70">
              <w:rPr>
                <w:sz w:val="18"/>
                <w:szCs w:val="18"/>
                <w:lang w:val="fr-FR" w:eastAsia="en-CA"/>
              </w:rPr>
              <w:t>e</w:t>
            </w:r>
          </w:p>
        </w:tc>
        <w:tc>
          <w:tcPr>
            <w:tcW w:w="1628" w:type="dxa"/>
            <w:tcBorders>
              <w:top w:val="nil"/>
              <w:left w:val="nil"/>
              <w:bottom w:val="single" w:sz="4" w:space="0" w:color="auto"/>
              <w:right w:val="single" w:sz="4" w:space="0" w:color="auto"/>
            </w:tcBorders>
            <w:shd w:val="clear" w:color="auto" w:fill="auto"/>
            <w:vAlign w:val="bottom"/>
            <w:hideMark/>
          </w:tcPr>
          <w:p w14:paraId="4CA8441C" w14:textId="461EFD78"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004</w:t>
            </w:r>
          </w:p>
        </w:tc>
        <w:tc>
          <w:tcPr>
            <w:tcW w:w="2198" w:type="dxa"/>
            <w:tcBorders>
              <w:top w:val="nil"/>
              <w:left w:val="nil"/>
              <w:bottom w:val="single" w:sz="4" w:space="0" w:color="auto"/>
              <w:right w:val="single" w:sz="4" w:space="0" w:color="auto"/>
            </w:tcBorders>
            <w:shd w:val="clear" w:color="auto" w:fill="auto"/>
            <w:noWrap/>
            <w:vAlign w:val="bottom"/>
            <w:hideMark/>
          </w:tcPr>
          <w:p w14:paraId="6E49CDA5" w14:textId="39ED06EE"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005</w:t>
            </w:r>
          </w:p>
        </w:tc>
        <w:tc>
          <w:tcPr>
            <w:tcW w:w="1176" w:type="dxa"/>
            <w:tcBorders>
              <w:top w:val="nil"/>
              <w:left w:val="nil"/>
              <w:bottom w:val="single" w:sz="4" w:space="0" w:color="auto"/>
              <w:right w:val="single" w:sz="4" w:space="0" w:color="auto"/>
            </w:tcBorders>
            <w:shd w:val="clear" w:color="auto" w:fill="auto"/>
            <w:noWrap/>
            <w:vAlign w:val="bottom"/>
            <w:hideMark/>
          </w:tcPr>
          <w:p w14:paraId="20632D3A" w14:textId="450FC87F"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704</w:t>
            </w:r>
          </w:p>
        </w:tc>
        <w:tc>
          <w:tcPr>
            <w:tcW w:w="1461" w:type="dxa"/>
            <w:tcBorders>
              <w:top w:val="nil"/>
              <w:left w:val="nil"/>
              <w:bottom w:val="single" w:sz="4" w:space="0" w:color="auto"/>
              <w:right w:val="single" w:sz="4" w:space="0" w:color="auto"/>
            </w:tcBorders>
            <w:shd w:val="clear" w:color="auto" w:fill="auto"/>
            <w:noWrap/>
            <w:vAlign w:val="bottom"/>
            <w:hideMark/>
          </w:tcPr>
          <w:p w14:paraId="17CACE55" w14:textId="69AEE3DA"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752</w:t>
            </w:r>
          </w:p>
        </w:tc>
        <w:tc>
          <w:tcPr>
            <w:tcW w:w="1080" w:type="dxa"/>
            <w:tcBorders>
              <w:top w:val="nil"/>
              <w:left w:val="nil"/>
              <w:bottom w:val="single" w:sz="4" w:space="0" w:color="auto"/>
              <w:right w:val="single" w:sz="4" w:space="0" w:color="auto"/>
            </w:tcBorders>
            <w:shd w:val="clear" w:color="auto" w:fill="auto"/>
            <w:noWrap/>
            <w:vAlign w:val="bottom"/>
            <w:hideMark/>
          </w:tcPr>
          <w:p w14:paraId="5A5A5890" w14:textId="6D262669"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1 456</w:t>
            </w:r>
          </w:p>
        </w:tc>
      </w:tr>
      <w:tr w:rsidR="00FF7AB4" w:rsidRPr="00BA52C1" w14:paraId="0A7444B3"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E627CC1" w14:textId="41F682DD" w:rsidR="00FF7AB4" w:rsidRPr="00BA52C1" w:rsidRDefault="00FF7AB4" w:rsidP="00FF7AB4">
            <w:pPr>
              <w:pStyle w:val="CBDTableNormal"/>
              <w:spacing w:before="0" w:after="0"/>
              <w:rPr>
                <w:sz w:val="18"/>
                <w:szCs w:val="18"/>
                <w:lang w:val="fr-FR" w:eastAsia="en-CA"/>
              </w:rPr>
            </w:pPr>
            <w:r w:rsidRPr="00BA52C1">
              <w:rPr>
                <w:sz w:val="18"/>
                <w:szCs w:val="18"/>
                <w:lang w:val="fr-FR" w:eastAsia="en-CA"/>
              </w:rPr>
              <w:t>Mont</w:t>
            </w:r>
            <w:r w:rsidR="003D2C70">
              <w:rPr>
                <w:sz w:val="18"/>
                <w:szCs w:val="18"/>
                <w:lang w:val="fr-FR" w:eastAsia="en-CA"/>
              </w:rPr>
              <w:t>é</w:t>
            </w:r>
            <w:r w:rsidRPr="00BA52C1">
              <w:rPr>
                <w:sz w:val="18"/>
                <w:szCs w:val="18"/>
                <w:lang w:val="fr-FR" w:eastAsia="en-CA"/>
              </w:rPr>
              <w:t>n</w:t>
            </w:r>
            <w:r w:rsidR="003D2C70">
              <w:rPr>
                <w:sz w:val="18"/>
                <w:szCs w:val="18"/>
                <w:lang w:val="fr-FR" w:eastAsia="en-CA"/>
              </w:rPr>
              <w:t>é</w:t>
            </w:r>
            <w:r w:rsidRPr="00BA52C1">
              <w:rPr>
                <w:sz w:val="18"/>
                <w:szCs w:val="18"/>
                <w:lang w:val="fr-FR" w:eastAsia="en-CA"/>
              </w:rPr>
              <w:t>gro</w:t>
            </w:r>
          </w:p>
        </w:tc>
        <w:tc>
          <w:tcPr>
            <w:tcW w:w="1628" w:type="dxa"/>
            <w:tcBorders>
              <w:top w:val="nil"/>
              <w:left w:val="nil"/>
              <w:bottom w:val="single" w:sz="4" w:space="0" w:color="auto"/>
              <w:right w:val="single" w:sz="4" w:space="0" w:color="auto"/>
            </w:tcBorders>
            <w:shd w:val="clear" w:color="auto" w:fill="auto"/>
            <w:vAlign w:val="bottom"/>
            <w:hideMark/>
          </w:tcPr>
          <w:p w14:paraId="0358D4A7" w14:textId="204B577E"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004</w:t>
            </w:r>
          </w:p>
        </w:tc>
        <w:tc>
          <w:tcPr>
            <w:tcW w:w="2198" w:type="dxa"/>
            <w:tcBorders>
              <w:top w:val="nil"/>
              <w:left w:val="nil"/>
              <w:bottom w:val="single" w:sz="4" w:space="0" w:color="auto"/>
              <w:right w:val="single" w:sz="4" w:space="0" w:color="auto"/>
            </w:tcBorders>
            <w:shd w:val="clear" w:color="auto" w:fill="auto"/>
            <w:noWrap/>
            <w:vAlign w:val="bottom"/>
            <w:hideMark/>
          </w:tcPr>
          <w:p w14:paraId="01E2CAA9" w14:textId="0DBBA320"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005</w:t>
            </w:r>
          </w:p>
        </w:tc>
        <w:tc>
          <w:tcPr>
            <w:tcW w:w="1176" w:type="dxa"/>
            <w:tcBorders>
              <w:top w:val="nil"/>
              <w:left w:val="nil"/>
              <w:bottom w:val="single" w:sz="4" w:space="0" w:color="auto"/>
              <w:right w:val="single" w:sz="4" w:space="0" w:color="auto"/>
            </w:tcBorders>
            <w:shd w:val="clear" w:color="auto" w:fill="auto"/>
            <w:noWrap/>
            <w:vAlign w:val="bottom"/>
            <w:hideMark/>
          </w:tcPr>
          <w:p w14:paraId="74856D83" w14:textId="2807C34F"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704</w:t>
            </w:r>
          </w:p>
        </w:tc>
        <w:tc>
          <w:tcPr>
            <w:tcW w:w="1461" w:type="dxa"/>
            <w:tcBorders>
              <w:top w:val="nil"/>
              <w:left w:val="nil"/>
              <w:bottom w:val="single" w:sz="4" w:space="0" w:color="auto"/>
              <w:right w:val="single" w:sz="4" w:space="0" w:color="auto"/>
            </w:tcBorders>
            <w:shd w:val="clear" w:color="auto" w:fill="auto"/>
            <w:noWrap/>
            <w:vAlign w:val="bottom"/>
            <w:hideMark/>
          </w:tcPr>
          <w:p w14:paraId="3DC73CAB" w14:textId="1AC7FF96"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752</w:t>
            </w:r>
          </w:p>
        </w:tc>
        <w:tc>
          <w:tcPr>
            <w:tcW w:w="1080" w:type="dxa"/>
            <w:tcBorders>
              <w:top w:val="nil"/>
              <w:left w:val="nil"/>
              <w:bottom w:val="single" w:sz="4" w:space="0" w:color="auto"/>
              <w:right w:val="single" w:sz="4" w:space="0" w:color="auto"/>
            </w:tcBorders>
            <w:shd w:val="clear" w:color="auto" w:fill="auto"/>
            <w:noWrap/>
            <w:vAlign w:val="bottom"/>
            <w:hideMark/>
          </w:tcPr>
          <w:p w14:paraId="1F6F4344" w14:textId="1FEB3D6C"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1 456</w:t>
            </w:r>
          </w:p>
        </w:tc>
      </w:tr>
      <w:tr w:rsidR="00FF7AB4" w:rsidRPr="00BA52C1" w14:paraId="36A577F4"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E26CCAD" w14:textId="77777777" w:rsidR="00FF7AB4" w:rsidRPr="00BA52C1" w:rsidRDefault="00FF7AB4" w:rsidP="00FF7AB4">
            <w:pPr>
              <w:pStyle w:val="CBDTableNormal"/>
              <w:spacing w:before="0" w:after="0"/>
              <w:rPr>
                <w:sz w:val="18"/>
                <w:szCs w:val="18"/>
                <w:lang w:val="fr-FR" w:eastAsia="en-CA"/>
              </w:rPr>
            </w:pPr>
            <w:r w:rsidRPr="00BA52C1">
              <w:rPr>
                <w:sz w:val="18"/>
                <w:szCs w:val="18"/>
                <w:lang w:val="fr-FR" w:eastAsia="en-CA"/>
              </w:rPr>
              <w:t>Mozambique</w:t>
            </w:r>
          </w:p>
        </w:tc>
        <w:tc>
          <w:tcPr>
            <w:tcW w:w="1628" w:type="dxa"/>
            <w:tcBorders>
              <w:top w:val="nil"/>
              <w:left w:val="nil"/>
              <w:bottom w:val="single" w:sz="4" w:space="0" w:color="auto"/>
              <w:right w:val="single" w:sz="4" w:space="0" w:color="auto"/>
            </w:tcBorders>
            <w:shd w:val="clear" w:color="auto" w:fill="auto"/>
            <w:vAlign w:val="bottom"/>
            <w:hideMark/>
          </w:tcPr>
          <w:p w14:paraId="4186FA84" w14:textId="3A1F4C8F"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004</w:t>
            </w:r>
          </w:p>
        </w:tc>
        <w:tc>
          <w:tcPr>
            <w:tcW w:w="2198" w:type="dxa"/>
            <w:tcBorders>
              <w:top w:val="nil"/>
              <w:left w:val="nil"/>
              <w:bottom w:val="single" w:sz="4" w:space="0" w:color="auto"/>
              <w:right w:val="single" w:sz="4" w:space="0" w:color="auto"/>
            </w:tcBorders>
            <w:shd w:val="clear" w:color="auto" w:fill="auto"/>
            <w:noWrap/>
            <w:vAlign w:val="bottom"/>
            <w:hideMark/>
          </w:tcPr>
          <w:p w14:paraId="7245627B" w14:textId="7D33E0EF"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005</w:t>
            </w:r>
          </w:p>
        </w:tc>
        <w:tc>
          <w:tcPr>
            <w:tcW w:w="1176" w:type="dxa"/>
            <w:tcBorders>
              <w:top w:val="nil"/>
              <w:left w:val="nil"/>
              <w:bottom w:val="single" w:sz="4" w:space="0" w:color="auto"/>
              <w:right w:val="single" w:sz="4" w:space="0" w:color="auto"/>
            </w:tcBorders>
            <w:shd w:val="clear" w:color="auto" w:fill="auto"/>
            <w:noWrap/>
            <w:vAlign w:val="bottom"/>
            <w:hideMark/>
          </w:tcPr>
          <w:p w14:paraId="6AE0024A" w14:textId="7D5229B4"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704</w:t>
            </w:r>
          </w:p>
        </w:tc>
        <w:tc>
          <w:tcPr>
            <w:tcW w:w="1461" w:type="dxa"/>
            <w:tcBorders>
              <w:top w:val="nil"/>
              <w:left w:val="nil"/>
              <w:bottom w:val="single" w:sz="4" w:space="0" w:color="auto"/>
              <w:right w:val="single" w:sz="4" w:space="0" w:color="auto"/>
            </w:tcBorders>
            <w:shd w:val="clear" w:color="auto" w:fill="auto"/>
            <w:noWrap/>
            <w:vAlign w:val="bottom"/>
            <w:hideMark/>
          </w:tcPr>
          <w:p w14:paraId="2EC4C998" w14:textId="7CB12B3E"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752</w:t>
            </w:r>
          </w:p>
        </w:tc>
        <w:tc>
          <w:tcPr>
            <w:tcW w:w="1080" w:type="dxa"/>
            <w:tcBorders>
              <w:top w:val="nil"/>
              <w:left w:val="nil"/>
              <w:bottom w:val="single" w:sz="4" w:space="0" w:color="auto"/>
              <w:right w:val="single" w:sz="4" w:space="0" w:color="auto"/>
            </w:tcBorders>
            <w:shd w:val="clear" w:color="auto" w:fill="auto"/>
            <w:noWrap/>
            <w:vAlign w:val="bottom"/>
            <w:hideMark/>
          </w:tcPr>
          <w:p w14:paraId="4E7697AC" w14:textId="46562A88"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1 456</w:t>
            </w:r>
          </w:p>
        </w:tc>
      </w:tr>
      <w:tr w:rsidR="00FF7AB4" w:rsidRPr="00BA52C1" w14:paraId="295082AD"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4F796A6" w14:textId="77777777" w:rsidR="00FF7AB4" w:rsidRPr="00BA52C1" w:rsidRDefault="00FF7AB4" w:rsidP="00FF7AB4">
            <w:pPr>
              <w:pStyle w:val="CBDTableNormal"/>
              <w:spacing w:before="0" w:after="0"/>
              <w:rPr>
                <w:sz w:val="18"/>
                <w:szCs w:val="18"/>
                <w:lang w:val="fr-FR" w:eastAsia="en-CA"/>
              </w:rPr>
            </w:pPr>
            <w:r w:rsidRPr="00BA52C1">
              <w:rPr>
                <w:sz w:val="18"/>
                <w:szCs w:val="18"/>
                <w:lang w:val="fr-FR" w:eastAsia="en-CA"/>
              </w:rPr>
              <w:t>Myanmar</w:t>
            </w:r>
          </w:p>
        </w:tc>
        <w:tc>
          <w:tcPr>
            <w:tcW w:w="1628" w:type="dxa"/>
            <w:tcBorders>
              <w:top w:val="nil"/>
              <w:left w:val="nil"/>
              <w:bottom w:val="single" w:sz="4" w:space="0" w:color="auto"/>
              <w:right w:val="single" w:sz="4" w:space="0" w:color="auto"/>
            </w:tcBorders>
            <w:shd w:val="clear" w:color="auto" w:fill="auto"/>
            <w:vAlign w:val="bottom"/>
            <w:hideMark/>
          </w:tcPr>
          <w:p w14:paraId="295B0AF7" w14:textId="7307C104"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010</w:t>
            </w:r>
          </w:p>
        </w:tc>
        <w:tc>
          <w:tcPr>
            <w:tcW w:w="2198" w:type="dxa"/>
            <w:tcBorders>
              <w:top w:val="nil"/>
              <w:left w:val="nil"/>
              <w:bottom w:val="single" w:sz="4" w:space="0" w:color="auto"/>
              <w:right w:val="single" w:sz="4" w:space="0" w:color="auto"/>
            </w:tcBorders>
            <w:shd w:val="clear" w:color="auto" w:fill="auto"/>
            <w:noWrap/>
            <w:vAlign w:val="bottom"/>
            <w:hideMark/>
          </w:tcPr>
          <w:p w14:paraId="24C06319" w14:textId="78DF70B6"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010</w:t>
            </w:r>
          </w:p>
        </w:tc>
        <w:tc>
          <w:tcPr>
            <w:tcW w:w="1176" w:type="dxa"/>
            <w:tcBorders>
              <w:top w:val="nil"/>
              <w:left w:val="nil"/>
              <w:bottom w:val="single" w:sz="4" w:space="0" w:color="auto"/>
              <w:right w:val="single" w:sz="4" w:space="0" w:color="auto"/>
            </w:tcBorders>
            <w:shd w:val="clear" w:color="auto" w:fill="auto"/>
            <w:noWrap/>
            <w:vAlign w:val="bottom"/>
            <w:hideMark/>
          </w:tcPr>
          <w:p w14:paraId="03A686DC" w14:textId="311131F6"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1 408</w:t>
            </w:r>
          </w:p>
        </w:tc>
        <w:tc>
          <w:tcPr>
            <w:tcW w:w="1461" w:type="dxa"/>
            <w:tcBorders>
              <w:top w:val="nil"/>
              <w:left w:val="nil"/>
              <w:bottom w:val="single" w:sz="4" w:space="0" w:color="auto"/>
              <w:right w:val="single" w:sz="4" w:space="0" w:color="auto"/>
            </w:tcBorders>
            <w:shd w:val="clear" w:color="auto" w:fill="auto"/>
            <w:noWrap/>
            <w:vAlign w:val="bottom"/>
            <w:hideMark/>
          </w:tcPr>
          <w:p w14:paraId="2690520E" w14:textId="3D47B8DC"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1 504</w:t>
            </w:r>
          </w:p>
        </w:tc>
        <w:tc>
          <w:tcPr>
            <w:tcW w:w="1080" w:type="dxa"/>
            <w:tcBorders>
              <w:top w:val="nil"/>
              <w:left w:val="nil"/>
              <w:bottom w:val="single" w:sz="4" w:space="0" w:color="auto"/>
              <w:right w:val="single" w:sz="4" w:space="0" w:color="auto"/>
            </w:tcBorders>
            <w:shd w:val="clear" w:color="auto" w:fill="auto"/>
            <w:noWrap/>
            <w:vAlign w:val="bottom"/>
            <w:hideMark/>
          </w:tcPr>
          <w:p w14:paraId="09A8BC67" w14:textId="3493095D"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2 912</w:t>
            </w:r>
          </w:p>
        </w:tc>
      </w:tr>
      <w:tr w:rsidR="00FF7AB4" w:rsidRPr="00BA52C1" w14:paraId="176C44E5"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0B1F6B9" w14:textId="149C217B" w:rsidR="00FF7AB4" w:rsidRPr="00BA52C1" w:rsidRDefault="00FF7AB4" w:rsidP="00FF7AB4">
            <w:pPr>
              <w:pStyle w:val="CBDTableNormal"/>
              <w:spacing w:before="0" w:after="0"/>
              <w:rPr>
                <w:sz w:val="18"/>
                <w:szCs w:val="18"/>
                <w:lang w:val="fr-FR" w:eastAsia="en-CA"/>
              </w:rPr>
            </w:pPr>
            <w:r w:rsidRPr="00BA52C1">
              <w:rPr>
                <w:sz w:val="18"/>
                <w:szCs w:val="18"/>
                <w:lang w:val="fr-FR" w:eastAsia="en-CA"/>
              </w:rPr>
              <w:t>Namibi</w:t>
            </w:r>
            <w:r w:rsidR="003D2C70">
              <w:rPr>
                <w:sz w:val="18"/>
                <w:szCs w:val="18"/>
                <w:lang w:val="fr-FR" w:eastAsia="en-CA"/>
              </w:rPr>
              <w:t>e</w:t>
            </w:r>
          </w:p>
        </w:tc>
        <w:tc>
          <w:tcPr>
            <w:tcW w:w="1628" w:type="dxa"/>
            <w:tcBorders>
              <w:top w:val="nil"/>
              <w:left w:val="nil"/>
              <w:bottom w:val="single" w:sz="4" w:space="0" w:color="auto"/>
              <w:right w:val="single" w:sz="4" w:space="0" w:color="auto"/>
            </w:tcBorders>
            <w:shd w:val="clear" w:color="auto" w:fill="auto"/>
            <w:vAlign w:val="bottom"/>
            <w:hideMark/>
          </w:tcPr>
          <w:p w14:paraId="1652E2D0" w14:textId="5CF33F80"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009</w:t>
            </w:r>
          </w:p>
        </w:tc>
        <w:tc>
          <w:tcPr>
            <w:tcW w:w="2198" w:type="dxa"/>
            <w:tcBorders>
              <w:top w:val="nil"/>
              <w:left w:val="nil"/>
              <w:bottom w:val="single" w:sz="4" w:space="0" w:color="auto"/>
              <w:right w:val="single" w:sz="4" w:space="0" w:color="auto"/>
            </w:tcBorders>
            <w:shd w:val="clear" w:color="auto" w:fill="auto"/>
            <w:noWrap/>
            <w:vAlign w:val="bottom"/>
            <w:hideMark/>
          </w:tcPr>
          <w:p w14:paraId="04D4039B" w14:textId="4D2C2392"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011</w:t>
            </w:r>
          </w:p>
        </w:tc>
        <w:tc>
          <w:tcPr>
            <w:tcW w:w="1176" w:type="dxa"/>
            <w:tcBorders>
              <w:top w:val="nil"/>
              <w:left w:val="nil"/>
              <w:bottom w:val="single" w:sz="4" w:space="0" w:color="auto"/>
              <w:right w:val="single" w:sz="4" w:space="0" w:color="auto"/>
            </w:tcBorders>
            <w:shd w:val="clear" w:color="auto" w:fill="auto"/>
            <w:noWrap/>
            <w:vAlign w:val="bottom"/>
            <w:hideMark/>
          </w:tcPr>
          <w:p w14:paraId="549B1412" w14:textId="3B8EC080"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1 584</w:t>
            </w:r>
          </w:p>
        </w:tc>
        <w:tc>
          <w:tcPr>
            <w:tcW w:w="1461" w:type="dxa"/>
            <w:tcBorders>
              <w:top w:val="nil"/>
              <w:left w:val="nil"/>
              <w:bottom w:val="single" w:sz="4" w:space="0" w:color="auto"/>
              <w:right w:val="single" w:sz="4" w:space="0" w:color="auto"/>
            </w:tcBorders>
            <w:shd w:val="clear" w:color="auto" w:fill="auto"/>
            <w:noWrap/>
            <w:vAlign w:val="bottom"/>
            <w:hideMark/>
          </w:tcPr>
          <w:p w14:paraId="5C5DCA4F" w14:textId="26415423"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1 692</w:t>
            </w:r>
          </w:p>
        </w:tc>
        <w:tc>
          <w:tcPr>
            <w:tcW w:w="1080" w:type="dxa"/>
            <w:tcBorders>
              <w:top w:val="nil"/>
              <w:left w:val="nil"/>
              <w:bottom w:val="single" w:sz="4" w:space="0" w:color="auto"/>
              <w:right w:val="single" w:sz="4" w:space="0" w:color="auto"/>
            </w:tcBorders>
            <w:shd w:val="clear" w:color="auto" w:fill="auto"/>
            <w:noWrap/>
            <w:vAlign w:val="bottom"/>
            <w:hideMark/>
          </w:tcPr>
          <w:p w14:paraId="15271563" w14:textId="64F491E4"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3 276</w:t>
            </w:r>
          </w:p>
        </w:tc>
      </w:tr>
      <w:tr w:rsidR="00FF7AB4" w:rsidRPr="00BA52C1" w14:paraId="7905F987"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F9BB512" w14:textId="77777777" w:rsidR="00FF7AB4" w:rsidRPr="00BA52C1" w:rsidRDefault="00FF7AB4" w:rsidP="00FF7AB4">
            <w:pPr>
              <w:pStyle w:val="CBDTableNormal"/>
              <w:spacing w:before="0" w:after="0"/>
              <w:rPr>
                <w:sz w:val="18"/>
                <w:szCs w:val="18"/>
                <w:lang w:val="fr-FR" w:eastAsia="en-CA"/>
              </w:rPr>
            </w:pPr>
            <w:r w:rsidRPr="00BA52C1">
              <w:rPr>
                <w:sz w:val="18"/>
                <w:szCs w:val="18"/>
                <w:lang w:val="fr-FR" w:eastAsia="en-CA"/>
              </w:rPr>
              <w:t>Nauru</w:t>
            </w:r>
          </w:p>
        </w:tc>
        <w:tc>
          <w:tcPr>
            <w:tcW w:w="1628" w:type="dxa"/>
            <w:tcBorders>
              <w:top w:val="nil"/>
              <w:left w:val="nil"/>
              <w:bottom w:val="single" w:sz="4" w:space="0" w:color="auto"/>
              <w:right w:val="single" w:sz="4" w:space="0" w:color="auto"/>
            </w:tcBorders>
            <w:shd w:val="clear" w:color="auto" w:fill="auto"/>
            <w:vAlign w:val="bottom"/>
            <w:hideMark/>
          </w:tcPr>
          <w:p w14:paraId="037E5001" w14:textId="6C1131F0"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2198" w:type="dxa"/>
            <w:tcBorders>
              <w:top w:val="nil"/>
              <w:left w:val="nil"/>
              <w:bottom w:val="single" w:sz="4" w:space="0" w:color="auto"/>
              <w:right w:val="single" w:sz="4" w:space="0" w:color="auto"/>
            </w:tcBorders>
            <w:shd w:val="clear" w:color="auto" w:fill="auto"/>
            <w:noWrap/>
            <w:vAlign w:val="bottom"/>
            <w:hideMark/>
          </w:tcPr>
          <w:p w14:paraId="1FCFEF63" w14:textId="587B9640"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1176" w:type="dxa"/>
            <w:tcBorders>
              <w:top w:val="nil"/>
              <w:left w:val="nil"/>
              <w:bottom w:val="single" w:sz="4" w:space="0" w:color="auto"/>
              <w:right w:val="single" w:sz="4" w:space="0" w:color="auto"/>
            </w:tcBorders>
            <w:shd w:val="clear" w:color="auto" w:fill="auto"/>
            <w:noWrap/>
            <w:vAlign w:val="bottom"/>
            <w:hideMark/>
          </w:tcPr>
          <w:p w14:paraId="071F6536" w14:textId="41910FC0"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5A7A7D97" w14:textId="04C09297"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2830F3CE" w14:textId="1A148D1F"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364</w:t>
            </w:r>
          </w:p>
        </w:tc>
      </w:tr>
      <w:tr w:rsidR="00FF7AB4" w:rsidRPr="00BA52C1" w14:paraId="286FFD4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542AC1F" w14:textId="27444F5A" w:rsidR="00FF7AB4" w:rsidRPr="00BA52C1" w:rsidRDefault="00FF7AB4" w:rsidP="00FF7AB4">
            <w:pPr>
              <w:pStyle w:val="CBDTableNormal"/>
              <w:spacing w:before="0" w:after="0"/>
              <w:rPr>
                <w:sz w:val="18"/>
                <w:szCs w:val="18"/>
                <w:lang w:val="fr-FR" w:eastAsia="en-CA"/>
              </w:rPr>
            </w:pPr>
            <w:r w:rsidRPr="00BA52C1">
              <w:rPr>
                <w:sz w:val="18"/>
                <w:szCs w:val="18"/>
                <w:lang w:val="fr-FR" w:eastAsia="en-CA"/>
              </w:rPr>
              <w:t>N</w:t>
            </w:r>
            <w:r w:rsidR="003D2C70">
              <w:rPr>
                <w:sz w:val="18"/>
                <w:szCs w:val="18"/>
                <w:lang w:val="fr-FR" w:eastAsia="en-CA"/>
              </w:rPr>
              <w:t>é</w:t>
            </w:r>
            <w:r w:rsidRPr="00BA52C1">
              <w:rPr>
                <w:sz w:val="18"/>
                <w:szCs w:val="18"/>
                <w:lang w:val="fr-FR" w:eastAsia="en-CA"/>
              </w:rPr>
              <w:t>pal</w:t>
            </w:r>
          </w:p>
        </w:tc>
        <w:tc>
          <w:tcPr>
            <w:tcW w:w="1628" w:type="dxa"/>
            <w:tcBorders>
              <w:top w:val="nil"/>
              <w:left w:val="nil"/>
              <w:bottom w:val="single" w:sz="4" w:space="0" w:color="auto"/>
              <w:right w:val="single" w:sz="4" w:space="0" w:color="auto"/>
            </w:tcBorders>
            <w:shd w:val="clear" w:color="auto" w:fill="auto"/>
            <w:vAlign w:val="bottom"/>
            <w:hideMark/>
          </w:tcPr>
          <w:p w14:paraId="19D219AD" w14:textId="6759BBCF"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010</w:t>
            </w:r>
          </w:p>
        </w:tc>
        <w:tc>
          <w:tcPr>
            <w:tcW w:w="2198" w:type="dxa"/>
            <w:tcBorders>
              <w:top w:val="nil"/>
              <w:left w:val="nil"/>
              <w:bottom w:val="single" w:sz="4" w:space="0" w:color="auto"/>
              <w:right w:val="single" w:sz="4" w:space="0" w:color="auto"/>
            </w:tcBorders>
            <w:shd w:val="clear" w:color="auto" w:fill="auto"/>
            <w:noWrap/>
            <w:vAlign w:val="bottom"/>
            <w:hideMark/>
          </w:tcPr>
          <w:p w14:paraId="2C2FB16E" w14:textId="6C24478B"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010</w:t>
            </w:r>
          </w:p>
        </w:tc>
        <w:tc>
          <w:tcPr>
            <w:tcW w:w="1176" w:type="dxa"/>
            <w:tcBorders>
              <w:top w:val="nil"/>
              <w:left w:val="nil"/>
              <w:bottom w:val="single" w:sz="4" w:space="0" w:color="auto"/>
              <w:right w:val="single" w:sz="4" w:space="0" w:color="auto"/>
            </w:tcBorders>
            <w:shd w:val="clear" w:color="auto" w:fill="auto"/>
            <w:noWrap/>
            <w:vAlign w:val="bottom"/>
            <w:hideMark/>
          </w:tcPr>
          <w:p w14:paraId="3CB6898D" w14:textId="50C66742"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1 408</w:t>
            </w:r>
          </w:p>
        </w:tc>
        <w:tc>
          <w:tcPr>
            <w:tcW w:w="1461" w:type="dxa"/>
            <w:tcBorders>
              <w:top w:val="nil"/>
              <w:left w:val="nil"/>
              <w:bottom w:val="single" w:sz="4" w:space="0" w:color="auto"/>
              <w:right w:val="single" w:sz="4" w:space="0" w:color="auto"/>
            </w:tcBorders>
            <w:shd w:val="clear" w:color="auto" w:fill="auto"/>
            <w:noWrap/>
            <w:vAlign w:val="bottom"/>
            <w:hideMark/>
          </w:tcPr>
          <w:p w14:paraId="41C7AFBA" w14:textId="3A8C4766"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1 504</w:t>
            </w:r>
          </w:p>
        </w:tc>
        <w:tc>
          <w:tcPr>
            <w:tcW w:w="1080" w:type="dxa"/>
            <w:tcBorders>
              <w:top w:val="nil"/>
              <w:left w:val="nil"/>
              <w:bottom w:val="single" w:sz="4" w:space="0" w:color="auto"/>
              <w:right w:val="single" w:sz="4" w:space="0" w:color="auto"/>
            </w:tcBorders>
            <w:shd w:val="clear" w:color="auto" w:fill="auto"/>
            <w:noWrap/>
            <w:vAlign w:val="bottom"/>
            <w:hideMark/>
          </w:tcPr>
          <w:p w14:paraId="24AD53AE" w14:textId="1BD999DE"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2 912</w:t>
            </w:r>
          </w:p>
        </w:tc>
      </w:tr>
      <w:tr w:rsidR="00FF7AB4" w:rsidRPr="00BA52C1" w14:paraId="5CAEA52D"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89A5250" w14:textId="77777777" w:rsidR="00FF7AB4" w:rsidRPr="00BA52C1" w:rsidRDefault="00FF7AB4" w:rsidP="00FF7AB4">
            <w:pPr>
              <w:pStyle w:val="CBDTableNormal"/>
              <w:spacing w:before="0" w:after="0"/>
              <w:rPr>
                <w:sz w:val="18"/>
                <w:szCs w:val="18"/>
                <w:lang w:val="fr-FR" w:eastAsia="en-CA"/>
              </w:rPr>
            </w:pPr>
            <w:r w:rsidRPr="00BA52C1">
              <w:rPr>
                <w:sz w:val="18"/>
                <w:szCs w:val="18"/>
                <w:lang w:val="fr-FR" w:eastAsia="en-CA"/>
              </w:rPr>
              <w:t>Nicaragua</w:t>
            </w:r>
          </w:p>
        </w:tc>
        <w:tc>
          <w:tcPr>
            <w:tcW w:w="1628" w:type="dxa"/>
            <w:tcBorders>
              <w:top w:val="nil"/>
              <w:left w:val="nil"/>
              <w:bottom w:val="single" w:sz="4" w:space="0" w:color="auto"/>
              <w:right w:val="single" w:sz="4" w:space="0" w:color="auto"/>
            </w:tcBorders>
            <w:shd w:val="clear" w:color="auto" w:fill="auto"/>
            <w:vAlign w:val="bottom"/>
            <w:hideMark/>
          </w:tcPr>
          <w:p w14:paraId="3354BBE0" w14:textId="5141245B"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005</w:t>
            </w:r>
          </w:p>
        </w:tc>
        <w:tc>
          <w:tcPr>
            <w:tcW w:w="2198" w:type="dxa"/>
            <w:tcBorders>
              <w:top w:val="nil"/>
              <w:left w:val="nil"/>
              <w:bottom w:val="single" w:sz="4" w:space="0" w:color="auto"/>
              <w:right w:val="single" w:sz="4" w:space="0" w:color="auto"/>
            </w:tcBorders>
            <w:shd w:val="clear" w:color="auto" w:fill="auto"/>
            <w:noWrap/>
            <w:vAlign w:val="bottom"/>
            <w:hideMark/>
          </w:tcPr>
          <w:p w14:paraId="54B86108" w14:textId="220F37CE"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006</w:t>
            </w:r>
          </w:p>
        </w:tc>
        <w:tc>
          <w:tcPr>
            <w:tcW w:w="1176" w:type="dxa"/>
            <w:tcBorders>
              <w:top w:val="nil"/>
              <w:left w:val="nil"/>
              <w:bottom w:val="single" w:sz="4" w:space="0" w:color="auto"/>
              <w:right w:val="single" w:sz="4" w:space="0" w:color="auto"/>
            </w:tcBorders>
            <w:shd w:val="clear" w:color="auto" w:fill="auto"/>
            <w:noWrap/>
            <w:vAlign w:val="bottom"/>
            <w:hideMark/>
          </w:tcPr>
          <w:p w14:paraId="406F55E2" w14:textId="444DD217"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880</w:t>
            </w:r>
          </w:p>
        </w:tc>
        <w:tc>
          <w:tcPr>
            <w:tcW w:w="1461" w:type="dxa"/>
            <w:tcBorders>
              <w:top w:val="nil"/>
              <w:left w:val="nil"/>
              <w:bottom w:val="single" w:sz="4" w:space="0" w:color="auto"/>
              <w:right w:val="single" w:sz="4" w:space="0" w:color="auto"/>
            </w:tcBorders>
            <w:shd w:val="clear" w:color="auto" w:fill="auto"/>
            <w:noWrap/>
            <w:vAlign w:val="bottom"/>
            <w:hideMark/>
          </w:tcPr>
          <w:p w14:paraId="0A3EA11D" w14:textId="2B27BCC6"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940</w:t>
            </w:r>
          </w:p>
        </w:tc>
        <w:tc>
          <w:tcPr>
            <w:tcW w:w="1080" w:type="dxa"/>
            <w:tcBorders>
              <w:top w:val="nil"/>
              <w:left w:val="nil"/>
              <w:bottom w:val="single" w:sz="4" w:space="0" w:color="auto"/>
              <w:right w:val="single" w:sz="4" w:space="0" w:color="auto"/>
            </w:tcBorders>
            <w:shd w:val="clear" w:color="auto" w:fill="auto"/>
            <w:noWrap/>
            <w:vAlign w:val="bottom"/>
            <w:hideMark/>
          </w:tcPr>
          <w:p w14:paraId="1FB77921" w14:textId="0CBACEA9"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1 820</w:t>
            </w:r>
          </w:p>
        </w:tc>
      </w:tr>
      <w:tr w:rsidR="00FF7AB4" w:rsidRPr="00BA52C1" w14:paraId="0E320A0C"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303A669" w14:textId="77777777" w:rsidR="00FF7AB4" w:rsidRPr="00BA52C1" w:rsidRDefault="00FF7AB4" w:rsidP="00FF7AB4">
            <w:pPr>
              <w:pStyle w:val="CBDTableNormal"/>
              <w:spacing w:before="0" w:after="0"/>
              <w:rPr>
                <w:sz w:val="18"/>
                <w:szCs w:val="18"/>
                <w:lang w:val="fr-FR" w:eastAsia="en-CA"/>
              </w:rPr>
            </w:pPr>
            <w:r w:rsidRPr="00BA52C1">
              <w:rPr>
                <w:sz w:val="18"/>
                <w:szCs w:val="18"/>
                <w:lang w:val="fr-FR" w:eastAsia="en-CA"/>
              </w:rPr>
              <w:t>Niger</w:t>
            </w:r>
          </w:p>
        </w:tc>
        <w:tc>
          <w:tcPr>
            <w:tcW w:w="1628" w:type="dxa"/>
            <w:tcBorders>
              <w:top w:val="nil"/>
              <w:left w:val="nil"/>
              <w:bottom w:val="single" w:sz="4" w:space="0" w:color="auto"/>
              <w:right w:val="single" w:sz="4" w:space="0" w:color="auto"/>
            </w:tcBorders>
            <w:shd w:val="clear" w:color="auto" w:fill="auto"/>
            <w:vAlign w:val="bottom"/>
            <w:hideMark/>
          </w:tcPr>
          <w:p w14:paraId="2E13D5AC" w14:textId="78C93252"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003</w:t>
            </w:r>
          </w:p>
        </w:tc>
        <w:tc>
          <w:tcPr>
            <w:tcW w:w="2198" w:type="dxa"/>
            <w:tcBorders>
              <w:top w:val="nil"/>
              <w:left w:val="nil"/>
              <w:bottom w:val="single" w:sz="4" w:space="0" w:color="auto"/>
              <w:right w:val="single" w:sz="4" w:space="0" w:color="auto"/>
            </w:tcBorders>
            <w:shd w:val="clear" w:color="auto" w:fill="auto"/>
            <w:noWrap/>
            <w:vAlign w:val="bottom"/>
            <w:hideMark/>
          </w:tcPr>
          <w:p w14:paraId="49F904EB" w14:textId="5FEFE20E"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004</w:t>
            </w:r>
          </w:p>
        </w:tc>
        <w:tc>
          <w:tcPr>
            <w:tcW w:w="1176" w:type="dxa"/>
            <w:tcBorders>
              <w:top w:val="nil"/>
              <w:left w:val="nil"/>
              <w:bottom w:val="single" w:sz="4" w:space="0" w:color="auto"/>
              <w:right w:val="single" w:sz="4" w:space="0" w:color="auto"/>
            </w:tcBorders>
            <w:shd w:val="clear" w:color="auto" w:fill="auto"/>
            <w:noWrap/>
            <w:vAlign w:val="bottom"/>
            <w:hideMark/>
          </w:tcPr>
          <w:p w14:paraId="713E989D" w14:textId="680A8A2F"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528</w:t>
            </w:r>
          </w:p>
        </w:tc>
        <w:tc>
          <w:tcPr>
            <w:tcW w:w="1461" w:type="dxa"/>
            <w:tcBorders>
              <w:top w:val="nil"/>
              <w:left w:val="nil"/>
              <w:bottom w:val="single" w:sz="4" w:space="0" w:color="auto"/>
              <w:right w:val="single" w:sz="4" w:space="0" w:color="auto"/>
            </w:tcBorders>
            <w:shd w:val="clear" w:color="auto" w:fill="auto"/>
            <w:noWrap/>
            <w:vAlign w:val="bottom"/>
            <w:hideMark/>
          </w:tcPr>
          <w:p w14:paraId="0971B8CC" w14:textId="7B4551A2"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564</w:t>
            </w:r>
          </w:p>
        </w:tc>
        <w:tc>
          <w:tcPr>
            <w:tcW w:w="1080" w:type="dxa"/>
            <w:tcBorders>
              <w:top w:val="nil"/>
              <w:left w:val="nil"/>
              <w:bottom w:val="single" w:sz="4" w:space="0" w:color="auto"/>
              <w:right w:val="single" w:sz="4" w:space="0" w:color="auto"/>
            </w:tcBorders>
            <w:shd w:val="clear" w:color="auto" w:fill="auto"/>
            <w:noWrap/>
            <w:vAlign w:val="bottom"/>
            <w:hideMark/>
          </w:tcPr>
          <w:p w14:paraId="6ACB2407" w14:textId="20C56495"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1 092</w:t>
            </w:r>
          </w:p>
        </w:tc>
      </w:tr>
      <w:tr w:rsidR="00FF7AB4" w:rsidRPr="00BA52C1" w14:paraId="1B1A2260"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0B8183F" w14:textId="77777777" w:rsidR="00FF7AB4" w:rsidRPr="00BA52C1" w:rsidRDefault="00FF7AB4" w:rsidP="00FF7AB4">
            <w:pPr>
              <w:pStyle w:val="CBDTableNormal"/>
              <w:spacing w:before="0" w:after="0"/>
              <w:rPr>
                <w:sz w:val="18"/>
                <w:szCs w:val="18"/>
                <w:lang w:val="fr-FR" w:eastAsia="en-CA"/>
              </w:rPr>
            </w:pPr>
            <w:r w:rsidRPr="00BA52C1">
              <w:rPr>
                <w:sz w:val="18"/>
                <w:szCs w:val="18"/>
                <w:lang w:val="fr-FR" w:eastAsia="en-CA"/>
              </w:rPr>
              <w:t>Nigeria</w:t>
            </w:r>
          </w:p>
        </w:tc>
        <w:tc>
          <w:tcPr>
            <w:tcW w:w="1628" w:type="dxa"/>
            <w:tcBorders>
              <w:top w:val="nil"/>
              <w:left w:val="nil"/>
              <w:bottom w:val="single" w:sz="4" w:space="0" w:color="auto"/>
              <w:right w:val="single" w:sz="4" w:space="0" w:color="auto"/>
            </w:tcBorders>
            <w:shd w:val="clear" w:color="auto" w:fill="auto"/>
            <w:vAlign w:val="bottom"/>
            <w:hideMark/>
          </w:tcPr>
          <w:p w14:paraId="2186F0F8" w14:textId="33384C36"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182</w:t>
            </w:r>
          </w:p>
        </w:tc>
        <w:tc>
          <w:tcPr>
            <w:tcW w:w="2198" w:type="dxa"/>
            <w:tcBorders>
              <w:top w:val="nil"/>
              <w:left w:val="nil"/>
              <w:bottom w:val="single" w:sz="4" w:space="0" w:color="auto"/>
              <w:right w:val="single" w:sz="4" w:space="0" w:color="auto"/>
            </w:tcBorders>
            <w:shd w:val="clear" w:color="auto" w:fill="auto"/>
            <w:noWrap/>
            <w:vAlign w:val="bottom"/>
            <w:hideMark/>
          </w:tcPr>
          <w:p w14:paraId="50D729E4" w14:textId="052F1CF4"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228</w:t>
            </w:r>
          </w:p>
        </w:tc>
        <w:tc>
          <w:tcPr>
            <w:tcW w:w="1176" w:type="dxa"/>
            <w:tcBorders>
              <w:top w:val="nil"/>
              <w:left w:val="nil"/>
              <w:bottom w:val="single" w:sz="4" w:space="0" w:color="auto"/>
              <w:right w:val="single" w:sz="4" w:space="0" w:color="auto"/>
            </w:tcBorders>
            <w:shd w:val="clear" w:color="auto" w:fill="auto"/>
            <w:noWrap/>
            <w:vAlign w:val="bottom"/>
            <w:hideMark/>
          </w:tcPr>
          <w:p w14:paraId="696EFAD3" w14:textId="57789A7E"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32 031</w:t>
            </w:r>
          </w:p>
        </w:tc>
        <w:tc>
          <w:tcPr>
            <w:tcW w:w="1461" w:type="dxa"/>
            <w:tcBorders>
              <w:top w:val="nil"/>
              <w:left w:val="nil"/>
              <w:bottom w:val="single" w:sz="4" w:space="0" w:color="auto"/>
              <w:right w:val="single" w:sz="4" w:space="0" w:color="auto"/>
            </w:tcBorders>
            <w:shd w:val="clear" w:color="auto" w:fill="auto"/>
            <w:noWrap/>
            <w:vAlign w:val="bottom"/>
            <w:hideMark/>
          </w:tcPr>
          <w:p w14:paraId="6199592D" w14:textId="3A37E4E7"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34 223</w:t>
            </w:r>
          </w:p>
        </w:tc>
        <w:tc>
          <w:tcPr>
            <w:tcW w:w="1080" w:type="dxa"/>
            <w:tcBorders>
              <w:top w:val="nil"/>
              <w:left w:val="nil"/>
              <w:bottom w:val="single" w:sz="4" w:space="0" w:color="auto"/>
              <w:right w:val="single" w:sz="4" w:space="0" w:color="auto"/>
            </w:tcBorders>
            <w:shd w:val="clear" w:color="auto" w:fill="auto"/>
            <w:noWrap/>
            <w:vAlign w:val="bottom"/>
            <w:hideMark/>
          </w:tcPr>
          <w:p w14:paraId="52FEFC19" w14:textId="2D36DD10"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66 254</w:t>
            </w:r>
          </w:p>
        </w:tc>
      </w:tr>
      <w:tr w:rsidR="00FF7AB4" w:rsidRPr="00BA52C1" w14:paraId="74FDB1C8"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4A587CD" w14:textId="6515261E" w:rsidR="00FF7AB4" w:rsidRPr="00BA52C1" w:rsidRDefault="00FF7AB4" w:rsidP="00FF7AB4">
            <w:pPr>
              <w:pStyle w:val="CBDTableNormal"/>
              <w:spacing w:before="0" w:after="0"/>
              <w:rPr>
                <w:sz w:val="18"/>
                <w:szCs w:val="18"/>
                <w:lang w:val="fr-FR" w:eastAsia="en-CA"/>
              </w:rPr>
            </w:pPr>
            <w:r w:rsidRPr="00BA52C1">
              <w:rPr>
                <w:sz w:val="18"/>
                <w:szCs w:val="18"/>
                <w:lang w:val="fr-FR" w:eastAsia="en-CA"/>
              </w:rPr>
              <w:t>Ni</w:t>
            </w:r>
            <w:r w:rsidR="003D2C70">
              <w:rPr>
                <w:sz w:val="18"/>
                <w:szCs w:val="18"/>
                <w:lang w:val="fr-FR" w:eastAsia="en-CA"/>
              </w:rPr>
              <w:t>oué</w:t>
            </w:r>
          </w:p>
        </w:tc>
        <w:tc>
          <w:tcPr>
            <w:tcW w:w="1628" w:type="dxa"/>
            <w:tcBorders>
              <w:top w:val="nil"/>
              <w:left w:val="nil"/>
              <w:bottom w:val="single" w:sz="4" w:space="0" w:color="auto"/>
              <w:right w:val="single" w:sz="4" w:space="0" w:color="auto"/>
            </w:tcBorders>
            <w:shd w:val="clear" w:color="auto" w:fill="auto"/>
            <w:vAlign w:val="bottom"/>
            <w:hideMark/>
          </w:tcPr>
          <w:p w14:paraId="6D57B5E3" w14:textId="07E93565"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2198" w:type="dxa"/>
            <w:tcBorders>
              <w:top w:val="nil"/>
              <w:left w:val="nil"/>
              <w:bottom w:val="single" w:sz="4" w:space="0" w:color="auto"/>
              <w:right w:val="single" w:sz="4" w:space="0" w:color="auto"/>
            </w:tcBorders>
            <w:shd w:val="clear" w:color="auto" w:fill="auto"/>
            <w:noWrap/>
            <w:vAlign w:val="bottom"/>
            <w:hideMark/>
          </w:tcPr>
          <w:p w14:paraId="58E9AD50" w14:textId="04D34B6A"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1176" w:type="dxa"/>
            <w:tcBorders>
              <w:top w:val="nil"/>
              <w:left w:val="nil"/>
              <w:bottom w:val="single" w:sz="4" w:space="0" w:color="auto"/>
              <w:right w:val="single" w:sz="4" w:space="0" w:color="auto"/>
            </w:tcBorders>
            <w:shd w:val="clear" w:color="auto" w:fill="auto"/>
            <w:noWrap/>
            <w:vAlign w:val="bottom"/>
            <w:hideMark/>
          </w:tcPr>
          <w:p w14:paraId="17AACCFA" w14:textId="1CC48717"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0E86506A" w14:textId="2916C489"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51C7B1D2" w14:textId="058D306B"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364</w:t>
            </w:r>
          </w:p>
        </w:tc>
      </w:tr>
      <w:tr w:rsidR="00FF7AB4" w:rsidRPr="00BA52C1" w14:paraId="2DD8AA61"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EB8F3FD" w14:textId="69FB1CAC" w:rsidR="00FF7AB4" w:rsidRPr="00BA52C1" w:rsidRDefault="00FF7AB4" w:rsidP="00FF7AB4">
            <w:pPr>
              <w:pStyle w:val="CBDTableNormal"/>
              <w:spacing w:before="0" w:after="0"/>
              <w:rPr>
                <w:sz w:val="18"/>
                <w:szCs w:val="18"/>
                <w:lang w:val="fr-FR" w:eastAsia="en-CA"/>
              </w:rPr>
            </w:pPr>
            <w:r w:rsidRPr="00BA52C1">
              <w:rPr>
                <w:sz w:val="18"/>
                <w:szCs w:val="18"/>
                <w:lang w:val="fr-FR" w:eastAsia="en-CA"/>
              </w:rPr>
              <w:t>Nor</w:t>
            </w:r>
            <w:r w:rsidR="003D2C70">
              <w:rPr>
                <w:sz w:val="18"/>
                <w:szCs w:val="18"/>
                <w:lang w:val="fr-FR" w:eastAsia="en-CA"/>
              </w:rPr>
              <w:t>vège</w:t>
            </w:r>
          </w:p>
        </w:tc>
        <w:tc>
          <w:tcPr>
            <w:tcW w:w="1628" w:type="dxa"/>
            <w:tcBorders>
              <w:top w:val="nil"/>
              <w:left w:val="nil"/>
              <w:bottom w:val="single" w:sz="4" w:space="0" w:color="auto"/>
              <w:right w:val="single" w:sz="4" w:space="0" w:color="auto"/>
            </w:tcBorders>
            <w:shd w:val="clear" w:color="auto" w:fill="auto"/>
            <w:vAlign w:val="bottom"/>
            <w:hideMark/>
          </w:tcPr>
          <w:p w14:paraId="18752F18" w14:textId="0B69619A"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679</w:t>
            </w:r>
          </w:p>
        </w:tc>
        <w:tc>
          <w:tcPr>
            <w:tcW w:w="2198" w:type="dxa"/>
            <w:tcBorders>
              <w:top w:val="nil"/>
              <w:left w:val="nil"/>
              <w:bottom w:val="single" w:sz="4" w:space="0" w:color="auto"/>
              <w:right w:val="single" w:sz="4" w:space="0" w:color="auto"/>
            </w:tcBorders>
            <w:shd w:val="clear" w:color="auto" w:fill="auto"/>
            <w:noWrap/>
            <w:vAlign w:val="bottom"/>
            <w:hideMark/>
          </w:tcPr>
          <w:p w14:paraId="629C5AB2" w14:textId="66E9A173"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849</w:t>
            </w:r>
          </w:p>
        </w:tc>
        <w:tc>
          <w:tcPr>
            <w:tcW w:w="1176" w:type="dxa"/>
            <w:tcBorders>
              <w:top w:val="nil"/>
              <w:left w:val="nil"/>
              <w:bottom w:val="single" w:sz="4" w:space="0" w:color="auto"/>
              <w:right w:val="single" w:sz="4" w:space="0" w:color="auto"/>
            </w:tcBorders>
            <w:shd w:val="clear" w:color="auto" w:fill="auto"/>
            <w:noWrap/>
            <w:vAlign w:val="bottom"/>
            <w:hideMark/>
          </w:tcPr>
          <w:p w14:paraId="23505A99" w14:textId="60E10228"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119 500</w:t>
            </w:r>
          </w:p>
        </w:tc>
        <w:tc>
          <w:tcPr>
            <w:tcW w:w="1461" w:type="dxa"/>
            <w:tcBorders>
              <w:top w:val="nil"/>
              <w:left w:val="nil"/>
              <w:bottom w:val="single" w:sz="4" w:space="0" w:color="auto"/>
              <w:right w:val="single" w:sz="4" w:space="0" w:color="auto"/>
            </w:tcBorders>
            <w:shd w:val="clear" w:color="auto" w:fill="auto"/>
            <w:noWrap/>
            <w:vAlign w:val="bottom"/>
            <w:hideMark/>
          </w:tcPr>
          <w:p w14:paraId="5CB063B1" w14:textId="175AD1FF"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127 677</w:t>
            </w:r>
          </w:p>
        </w:tc>
        <w:tc>
          <w:tcPr>
            <w:tcW w:w="1080" w:type="dxa"/>
            <w:tcBorders>
              <w:top w:val="nil"/>
              <w:left w:val="nil"/>
              <w:bottom w:val="single" w:sz="4" w:space="0" w:color="auto"/>
              <w:right w:val="single" w:sz="4" w:space="0" w:color="auto"/>
            </w:tcBorders>
            <w:shd w:val="clear" w:color="auto" w:fill="auto"/>
            <w:noWrap/>
            <w:vAlign w:val="bottom"/>
            <w:hideMark/>
          </w:tcPr>
          <w:p w14:paraId="75ED5B68" w14:textId="64C3015C" w:rsidR="00FF7AB4" w:rsidRPr="00BA52C1" w:rsidRDefault="00FF7AB4" w:rsidP="00FF7AB4">
            <w:pPr>
              <w:pStyle w:val="CBDTableNormal"/>
              <w:spacing w:before="0" w:after="0"/>
              <w:jc w:val="right"/>
              <w:rPr>
                <w:sz w:val="18"/>
                <w:szCs w:val="18"/>
                <w:lang w:val="fr-FR" w:eastAsia="en-CA"/>
              </w:rPr>
            </w:pPr>
            <w:r w:rsidRPr="00BA52C1">
              <w:rPr>
                <w:sz w:val="18"/>
                <w:szCs w:val="18"/>
                <w:lang w:val="fr-FR" w:eastAsia="en-CA"/>
              </w:rPr>
              <w:t>247 177</w:t>
            </w:r>
          </w:p>
        </w:tc>
      </w:tr>
      <w:tr w:rsidR="003D2C70" w:rsidRPr="00BA52C1" w14:paraId="0502E640"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tcPr>
          <w:p w14:paraId="4B6CB8F6" w14:textId="62E98FF8" w:rsidR="003D2C70" w:rsidRPr="00BA52C1" w:rsidRDefault="003D2C70" w:rsidP="003D2C70">
            <w:pPr>
              <w:pStyle w:val="CBDTableNormal"/>
              <w:spacing w:before="0" w:after="0"/>
              <w:rPr>
                <w:sz w:val="18"/>
                <w:szCs w:val="18"/>
                <w:lang w:val="fr-FR" w:eastAsia="en-CA"/>
              </w:rPr>
            </w:pPr>
            <w:r>
              <w:rPr>
                <w:sz w:val="18"/>
                <w:szCs w:val="18"/>
                <w:lang w:val="fr-FR" w:eastAsia="en-CA"/>
              </w:rPr>
              <w:t>Nouvelle-Zélande</w:t>
            </w:r>
          </w:p>
        </w:tc>
        <w:tc>
          <w:tcPr>
            <w:tcW w:w="1628" w:type="dxa"/>
            <w:tcBorders>
              <w:top w:val="nil"/>
              <w:left w:val="nil"/>
              <w:bottom w:val="single" w:sz="4" w:space="0" w:color="auto"/>
              <w:right w:val="single" w:sz="4" w:space="0" w:color="auto"/>
            </w:tcBorders>
            <w:shd w:val="clear" w:color="auto" w:fill="auto"/>
            <w:vAlign w:val="bottom"/>
          </w:tcPr>
          <w:p w14:paraId="25009713" w14:textId="0A28ADD5"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309</w:t>
            </w:r>
          </w:p>
        </w:tc>
        <w:tc>
          <w:tcPr>
            <w:tcW w:w="2198" w:type="dxa"/>
            <w:tcBorders>
              <w:top w:val="nil"/>
              <w:left w:val="nil"/>
              <w:bottom w:val="single" w:sz="4" w:space="0" w:color="auto"/>
              <w:right w:val="single" w:sz="4" w:space="0" w:color="auto"/>
            </w:tcBorders>
            <w:shd w:val="clear" w:color="auto" w:fill="auto"/>
            <w:noWrap/>
            <w:vAlign w:val="bottom"/>
          </w:tcPr>
          <w:p w14:paraId="22B08859" w14:textId="55A18305"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386</w:t>
            </w:r>
          </w:p>
        </w:tc>
        <w:tc>
          <w:tcPr>
            <w:tcW w:w="1176" w:type="dxa"/>
            <w:tcBorders>
              <w:top w:val="nil"/>
              <w:left w:val="nil"/>
              <w:bottom w:val="single" w:sz="4" w:space="0" w:color="auto"/>
              <w:right w:val="single" w:sz="4" w:space="0" w:color="auto"/>
            </w:tcBorders>
            <w:shd w:val="clear" w:color="auto" w:fill="auto"/>
            <w:noWrap/>
            <w:vAlign w:val="bottom"/>
          </w:tcPr>
          <w:p w14:paraId="696B8D01" w14:textId="302C2AF6"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54 382</w:t>
            </w:r>
          </w:p>
        </w:tc>
        <w:tc>
          <w:tcPr>
            <w:tcW w:w="1461" w:type="dxa"/>
            <w:tcBorders>
              <w:top w:val="nil"/>
              <w:left w:val="nil"/>
              <w:bottom w:val="single" w:sz="4" w:space="0" w:color="auto"/>
              <w:right w:val="single" w:sz="4" w:space="0" w:color="auto"/>
            </w:tcBorders>
            <w:shd w:val="clear" w:color="auto" w:fill="auto"/>
            <w:noWrap/>
            <w:vAlign w:val="bottom"/>
          </w:tcPr>
          <w:p w14:paraId="5E0D54ED" w14:textId="2978F889"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58 103</w:t>
            </w:r>
          </w:p>
        </w:tc>
        <w:tc>
          <w:tcPr>
            <w:tcW w:w="1080" w:type="dxa"/>
            <w:tcBorders>
              <w:top w:val="nil"/>
              <w:left w:val="nil"/>
              <w:bottom w:val="single" w:sz="4" w:space="0" w:color="auto"/>
              <w:right w:val="single" w:sz="4" w:space="0" w:color="auto"/>
            </w:tcBorders>
            <w:shd w:val="clear" w:color="auto" w:fill="auto"/>
            <w:noWrap/>
            <w:vAlign w:val="bottom"/>
          </w:tcPr>
          <w:p w14:paraId="407FE1B6" w14:textId="20E35918"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112 486</w:t>
            </w:r>
          </w:p>
        </w:tc>
      </w:tr>
      <w:tr w:rsidR="003D2C70" w:rsidRPr="00BA52C1" w14:paraId="765E8B6E"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C0D1FFB" w14:textId="77777777" w:rsidR="003D2C70" w:rsidRPr="00BA52C1" w:rsidRDefault="003D2C70" w:rsidP="003D2C70">
            <w:pPr>
              <w:pStyle w:val="CBDTableNormal"/>
              <w:spacing w:before="0" w:after="0"/>
              <w:rPr>
                <w:sz w:val="18"/>
                <w:szCs w:val="18"/>
                <w:lang w:val="fr-FR" w:eastAsia="en-CA"/>
              </w:rPr>
            </w:pPr>
            <w:r w:rsidRPr="00BA52C1">
              <w:rPr>
                <w:sz w:val="18"/>
                <w:szCs w:val="18"/>
                <w:lang w:val="fr-FR" w:eastAsia="en-CA"/>
              </w:rPr>
              <w:t>Oman</w:t>
            </w:r>
          </w:p>
        </w:tc>
        <w:tc>
          <w:tcPr>
            <w:tcW w:w="1628" w:type="dxa"/>
            <w:tcBorders>
              <w:top w:val="nil"/>
              <w:left w:val="nil"/>
              <w:bottom w:val="single" w:sz="4" w:space="0" w:color="auto"/>
              <w:right w:val="single" w:sz="4" w:space="0" w:color="auto"/>
            </w:tcBorders>
            <w:shd w:val="clear" w:color="auto" w:fill="auto"/>
            <w:vAlign w:val="bottom"/>
            <w:hideMark/>
          </w:tcPr>
          <w:p w14:paraId="4E90CABB" w14:textId="56D54E0A"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111</w:t>
            </w:r>
          </w:p>
        </w:tc>
        <w:tc>
          <w:tcPr>
            <w:tcW w:w="2198" w:type="dxa"/>
            <w:tcBorders>
              <w:top w:val="nil"/>
              <w:left w:val="nil"/>
              <w:bottom w:val="single" w:sz="4" w:space="0" w:color="auto"/>
              <w:right w:val="single" w:sz="4" w:space="0" w:color="auto"/>
            </w:tcBorders>
            <w:shd w:val="clear" w:color="auto" w:fill="auto"/>
            <w:noWrap/>
            <w:vAlign w:val="bottom"/>
            <w:hideMark/>
          </w:tcPr>
          <w:p w14:paraId="23BE4D2A" w14:textId="6DB20310"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139</w:t>
            </w:r>
          </w:p>
        </w:tc>
        <w:tc>
          <w:tcPr>
            <w:tcW w:w="1176" w:type="dxa"/>
            <w:tcBorders>
              <w:top w:val="nil"/>
              <w:left w:val="nil"/>
              <w:bottom w:val="single" w:sz="4" w:space="0" w:color="auto"/>
              <w:right w:val="single" w:sz="4" w:space="0" w:color="auto"/>
            </w:tcBorders>
            <w:shd w:val="clear" w:color="auto" w:fill="auto"/>
            <w:noWrap/>
            <w:vAlign w:val="bottom"/>
            <w:hideMark/>
          </w:tcPr>
          <w:p w14:paraId="56A306F1" w14:textId="1EE4A2B8"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19 535</w:t>
            </w:r>
          </w:p>
        </w:tc>
        <w:tc>
          <w:tcPr>
            <w:tcW w:w="1461" w:type="dxa"/>
            <w:tcBorders>
              <w:top w:val="nil"/>
              <w:left w:val="nil"/>
              <w:bottom w:val="single" w:sz="4" w:space="0" w:color="auto"/>
              <w:right w:val="single" w:sz="4" w:space="0" w:color="auto"/>
            </w:tcBorders>
            <w:shd w:val="clear" w:color="auto" w:fill="auto"/>
            <w:noWrap/>
            <w:vAlign w:val="bottom"/>
            <w:hideMark/>
          </w:tcPr>
          <w:p w14:paraId="474E3EB7" w14:textId="027D2B9A"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20 872</w:t>
            </w:r>
          </w:p>
        </w:tc>
        <w:tc>
          <w:tcPr>
            <w:tcW w:w="1080" w:type="dxa"/>
            <w:tcBorders>
              <w:top w:val="nil"/>
              <w:left w:val="nil"/>
              <w:bottom w:val="single" w:sz="4" w:space="0" w:color="auto"/>
              <w:right w:val="single" w:sz="4" w:space="0" w:color="auto"/>
            </w:tcBorders>
            <w:shd w:val="clear" w:color="auto" w:fill="auto"/>
            <w:noWrap/>
            <w:vAlign w:val="bottom"/>
            <w:hideMark/>
          </w:tcPr>
          <w:p w14:paraId="1FC8D34A" w14:textId="4A368FF8"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40 407</w:t>
            </w:r>
          </w:p>
        </w:tc>
      </w:tr>
      <w:tr w:rsidR="003D2C70" w:rsidRPr="00BA52C1" w14:paraId="25748599"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tcPr>
          <w:p w14:paraId="056ECEE5" w14:textId="25610939" w:rsidR="003D2C70" w:rsidRPr="00BA52C1" w:rsidRDefault="003D2C70" w:rsidP="003D2C70">
            <w:pPr>
              <w:pStyle w:val="CBDTableNormal"/>
              <w:spacing w:before="0" w:after="0"/>
              <w:rPr>
                <w:sz w:val="18"/>
                <w:szCs w:val="18"/>
                <w:lang w:val="fr-FR" w:eastAsia="en-CA"/>
              </w:rPr>
            </w:pPr>
            <w:r>
              <w:rPr>
                <w:sz w:val="18"/>
                <w:szCs w:val="18"/>
                <w:lang w:val="fr-FR" w:eastAsia="en-CA"/>
              </w:rPr>
              <w:t>Ou</w:t>
            </w:r>
            <w:r w:rsidRPr="00BA52C1">
              <w:rPr>
                <w:sz w:val="18"/>
                <w:szCs w:val="18"/>
                <w:lang w:val="fr-FR" w:eastAsia="en-CA"/>
              </w:rPr>
              <w:t>ganda</w:t>
            </w:r>
          </w:p>
        </w:tc>
        <w:tc>
          <w:tcPr>
            <w:tcW w:w="1628" w:type="dxa"/>
            <w:tcBorders>
              <w:top w:val="nil"/>
              <w:left w:val="nil"/>
              <w:bottom w:val="single" w:sz="4" w:space="0" w:color="auto"/>
              <w:right w:val="single" w:sz="4" w:space="0" w:color="auto"/>
            </w:tcBorders>
            <w:shd w:val="clear" w:color="auto" w:fill="auto"/>
            <w:vAlign w:val="bottom"/>
          </w:tcPr>
          <w:p w14:paraId="0703CA7D" w14:textId="5A3E63A3"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010</w:t>
            </w:r>
          </w:p>
        </w:tc>
        <w:tc>
          <w:tcPr>
            <w:tcW w:w="2198" w:type="dxa"/>
            <w:tcBorders>
              <w:top w:val="nil"/>
              <w:left w:val="nil"/>
              <w:bottom w:val="single" w:sz="4" w:space="0" w:color="auto"/>
              <w:right w:val="single" w:sz="4" w:space="0" w:color="auto"/>
            </w:tcBorders>
            <w:shd w:val="clear" w:color="auto" w:fill="auto"/>
            <w:noWrap/>
            <w:vAlign w:val="bottom"/>
          </w:tcPr>
          <w:p w14:paraId="377BBFBA" w14:textId="26814699"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010</w:t>
            </w:r>
          </w:p>
        </w:tc>
        <w:tc>
          <w:tcPr>
            <w:tcW w:w="1176" w:type="dxa"/>
            <w:tcBorders>
              <w:top w:val="nil"/>
              <w:left w:val="nil"/>
              <w:bottom w:val="single" w:sz="4" w:space="0" w:color="auto"/>
              <w:right w:val="single" w:sz="4" w:space="0" w:color="auto"/>
            </w:tcBorders>
            <w:shd w:val="clear" w:color="auto" w:fill="auto"/>
            <w:noWrap/>
            <w:vAlign w:val="bottom"/>
          </w:tcPr>
          <w:p w14:paraId="217723C1" w14:textId="487E2204"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1 408</w:t>
            </w:r>
          </w:p>
        </w:tc>
        <w:tc>
          <w:tcPr>
            <w:tcW w:w="1461" w:type="dxa"/>
            <w:tcBorders>
              <w:top w:val="nil"/>
              <w:left w:val="nil"/>
              <w:bottom w:val="single" w:sz="4" w:space="0" w:color="auto"/>
              <w:right w:val="single" w:sz="4" w:space="0" w:color="auto"/>
            </w:tcBorders>
            <w:shd w:val="clear" w:color="auto" w:fill="auto"/>
            <w:noWrap/>
            <w:vAlign w:val="bottom"/>
          </w:tcPr>
          <w:p w14:paraId="72A36D24" w14:textId="29EBC367"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1 504</w:t>
            </w:r>
          </w:p>
        </w:tc>
        <w:tc>
          <w:tcPr>
            <w:tcW w:w="1080" w:type="dxa"/>
            <w:tcBorders>
              <w:top w:val="nil"/>
              <w:left w:val="nil"/>
              <w:bottom w:val="single" w:sz="4" w:space="0" w:color="auto"/>
              <w:right w:val="single" w:sz="4" w:space="0" w:color="auto"/>
            </w:tcBorders>
            <w:shd w:val="clear" w:color="auto" w:fill="auto"/>
            <w:noWrap/>
            <w:vAlign w:val="bottom"/>
          </w:tcPr>
          <w:p w14:paraId="029EE99B" w14:textId="54B418FD"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2 912</w:t>
            </w:r>
          </w:p>
        </w:tc>
      </w:tr>
      <w:tr w:rsidR="003D2C70" w:rsidRPr="00BA52C1" w14:paraId="66D3F777"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tcPr>
          <w:p w14:paraId="1350EA9C" w14:textId="7950F4D7" w:rsidR="003D2C70" w:rsidRDefault="003D2C70" w:rsidP="003D2C70">
            <w:pPr>
              <w:pStyle w:val="CBDTableNormal"/>
              <w:spacing w:before="0" w:after="0"/>
              <w:rPr>
                <w:sz w:val="18"/>
                <w:szCs w:val="18"/>
                <w:lang w:val="fr-FR" w:eastAsia="en-CA"/>
              </w:rPr>
            </w:pPr>
            <w:r>
              <w:rPr>
                <w:sz w:val="18"/>
                <w:szCs w:val="18"/>
                <w:lang w:val="fr-FR" w:eastAsia="en-CA"/>
              </w:rPr>
              <w:t>Ou</w:t>
            </w:r>
            <w:r w:rsidRPr="00BA52C1">
              <w:rPr>
                <w:sz w:val="18"/>
                <w:szCs w:val="18"/>
                <w:lang w:val="fr-FR" w:eastAsia="en-CA"/>
              </w:rPr>
              <w:t>zb</w:t>
            </w:r>
            <w:r>
              <w:rPr>
                <w:sz w:val="18"/>
                <w:szCs w:val="18"/>
                <w:lang w:val="fr-FR" w:eastAsia="en-CA"/>
              </w:rPr>
              <w:t>é</w:t>
            </w:r>
            <w:r w:rsidRPr="00BA52C1">
              <w:rPr>
                <w:sz w:val="18"/>
                <w:szCs w:val="18"/>
                <w:lang w:val="fr-FR" w:eastAsia="en-CA"/>
              </w:rPr>
              <w:t>kistan</w:t>
            </w:r>
          </w:p>
        </w:tc>
        <w:tc>
          <w:tcPr>
            <w:tcW w:w="1628" w:type="dxa"/>
            <w:tcBorders>
              <w:top w:val="nil"/>
              <w:left w:val="nil"/>
              <w:bottom w:val="single" w:sz="4" w:space="0" w:color="auto"/>
              <w:right w:val="single" w:sz="4" w:space="0" w:color="auto"/>
            </w:tcBorders>
            <w:shd w:val="clear" w:color="auto" w:fill="auto"/>
            <w:vAlign w:val="bottom"/>
          </w:tcPr>
          <w:p w14:paraId="22452F8D" w14:textId="7D36F6B8"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027</w:t>
            </w:r>
          </w:p>
        </w:tc>
        <w:tc>
          <w:tcPr>
            <w:tcW w:w="2198" w:type="dxa"/>
            <w:tcBorders>
              <w:top w:val="nil"/>
              <w:left w:val="nil"/>
              <w:bottom w:val="single" w:sz="4" w:space="0" w:color="auto"/>
              <w:right w:val="single" w:sz="4" w:space="0" w:color="auto"/>
            </w:tcBorders>
            <w:shd w:val="clear" w:color="auto" w:fill="auto"/>
            <w:noWrap/>
            <w:vAlign w:val="bottom"/>
          </w:tcPr>
          <w:p w14:paraId="533DF5A2" w14:textId="40A3DE2A"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034</w:t>
            </w:r>
          </w:p>
        </w:tc>
        <w:tc>
          <w:tcPr>
            <w:tcW w:w="1176" w:type="dxa"/>
            <w:tcBorders>
              <w:top w:val="nil"/>
              <w:left w:val="nil"/>
              <w:bottom w:val="single" w:sz="4" w:space="0" w:color="auto"/>
              <w:right w:val="single" w:sz="4" w:space="0" w:color="auto"/>
            </w:tcBorders>
            <w:shd w:val="clear" w:color="auto" w:fill="auto"/>
            <w:noWrap/>
            <w:vAlign w:val="bottom"/>
          </w:tcPr>
          <w:p w14:paraId="0B0537A6" w14:textId="698ECBB2"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4 752</w:t>
            </w:r>
          </w:p>
        </w:tc>
        <w:tc>
          <w:tcPr>
            <w:tcW w:w="1461" w:type="dxa"/>
            <w:tcBorders>
              <w:top w:val="nil"/>
              <w:left w:val="nil"/>
              <w:bottom w:val="single" w:sz="4" w:space="0" w:color="auto"/>
              <w:right w:val="single" w:sz="4" w:space="0" w:color="auto"/>
            </w:tcBorders>
            <w:shd w:val="clear" w:color="auto" w:fill="auto"/>
            <w:noWrap/>
            <w:vAlign w:val="bottom"/>
          </w:tcPr>
          <w:p w14:paraId="62348F14" w14:textId="26294EB9"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5 077</w:t>
            </w:r>
          </w:p>
        </w:tc>
        <w:tc>
          <w:tcPr>
            <w:tcW w:w="1080" w:type="dxa"/>
            <w:tcBorders>
              <w:top w:val="nil"/>
              <w:left w:val="nil"/>
              <w:bottom w:val="single" w:sz="4" w:space="0" w:color="auto"/>
              <w:right w:val="single" w:sz="4" w:space="0" w:color="auto"/>
            </w:tcBorders>
            <w:shd w:val="clear" w:color="auto" w:fill="auto"/>
            <w:noWrap/>
            <w:vAlign w:val="bottom"/>
          </w:tcPr>
          <w:p w14:paraId="1561DFD0" w14:textId="19BDC7A1"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9 829</w:t>
            </w:r>
          </w:p>
        </w:tc>
      </w:tr>
      <w:tr w:rsidR="003D2C70" w:rsidRPr="00BA52C1" w14:paraId="38C67502"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417FB17" w14:textId="77777777" w:rsidR="003D2C70" w:rsidRPr="00BA52C1" w:rsidRDefault="003D2C70" w:rsidP="003D2C70">
            <w:pPr>
              <w:pStyle w:val="CBDTableNormal"/>
              <w:spacing w:before="0" w:after="0"/>
              <w:rPr>
                <w:sz w:val="18"/>
                <w:szCs w:val="18"/>
                <w:lang w:val="fr-FR" w:eastAsia="en-CA"/>
              </w:rPr>
            </w:pPr>
            <w:r w:rsidRPr="00BA52C1">
              <w:rPr>
                <w:sz w:val="18"/>
                <w:szCs w:val="18"/>
                <w:lang w:val="fr-FR" w:eastAsia="en-CA"/>
              </w:rPr>
              <w:t>Pakistan</w:t>
            </w:r>
          </w:p>
        </w:tc>
        <w:tc>
          <w:tcPr>
            <w:tcW w:w="1628" w:type="dxa"/>
            <w:tcBorders>
              <w:top w:val="nil"/>
              <w:left w:val="nil"/>
              <w:bottom w:val="single" w:sz="4" w:space="0" w:color="auto"/>
              <w:right w:val="single" w:sz="4" w:space="0" w:color="auto"/>
            </w:tcBorders>
            <w:shd w:val="clear" w:color="auto" w:fill="auto"/>
            <w:vAlign w:val="bottom"/>
            <w:hideMark/>
          </w:tcPr>
          <w:p w14:paraId="47086C35" w14:textId="7F9758B8"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114</w:t>
            </w:r>
          </w:p>
        </w:tc>
        <w:tc>
          <w:tcPr>
            <w:tcW w:w="2198" w:type="dxa"/>
            <w:tcBorders>
              <w:top w:val="nil"/>
              <w:left w:val="nil"/>
              <w:bottom w:val="single" w:sz="4" w:space="0" w:color="auto"/>
              <w:right w:val="single" w:sz="4" w:space="0" w:color="auto"/>
            </w:tcBorders>
            <w:shd w:val="clear" w:color="auto" w:fill="auto"/>
            <w:noWrap/>
            <w:vAlign w:val="bottom"/>
            <w:hideMark/>
          </w:tcPr>
          <w:p w14:paraId="292C18B4" w14:textId="12A62373"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143</w:t>
            </w:r>
          </w:p>
        </w:tc>
        <w:tc>
          <w:tcPr>
            <w:tcW w:w="1176" w:type="dxa"/>
            <w:tcBorders>
              <w:top w:val="nil"/>
              <w:left w:val="nil"/>
              <w:bottom w:val="single" w:sz="4" w:space="0" w:color="auto"/>
              <w:right w:val="single" w:sz="4" w:space="0" w:color="auto"/>
            </w:tcBorders>
            <w:shd w:val="clear" w:color="auto" w:fill="auto"/>
            <w:noWrap/>
            <w:vAlign w:val="bottom"/>
            <w:hideMark/>
          </w:tcPr>
          <w:p w14:paraId="1BBC7700" w14:textId="5FA8FF01"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20 063</w:t>
            </w:r>
          </w:p>
        </w:tc>
        <w:tc>
          <w:tcPr>
            <w:tcW w:w="1461" w:type="dxa"/>
            <w:tcBorders>
              <w:top w:val="nil"/>
              <w:left w:val="nil"/>
              <w:bottom w:val="single" w:sz="4" w:space="0" w:color="auto"/>
              <w:right w:val="single" w:sz="4" w:space="0" w:color="auto"/>
            </w:tcBorders>
            <w:shd w:val="clear" w:color="auto" w:fill="auto"/>
            <w:noWrap/>
            <w:vAlign w:val="bottom"/>
            <w:hideMark/>
          </w:tcPr>
          <w:p w14:paraId="282E0B06" w14:textId="743198A1"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21 436</w:t>
            </w:r>
          </w:p>
        </w:tc>
        <w:tc>
          <w:tcPr>
            <w:tcW w:w="1080" w:type="dxa"/>
            <w:tcBorders>
              <w:top w:val="nil"/>
              <w:left w:val="nil"/>
              <w:bottom w:val="single" w:sz="4" w:space="0" w:color="auto"/>
              <w:right w:val="single" w:sz="4" w:space="0" w:color="auto"/>
            </w:tcBorders>
            <w:shd w:val="clear" w:color="auto" w:fill="auto"/>
            <w:noWrap/>
            <w:vAlign w:val="bottom"/>
            <w:hideMark/>
          </w:tcPr>
          <w:p w14:paraId="0969BEB9" w14:textId="6FD830AF"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41 500</w:t>
            </w:r>
          </w:p>
        </w:tc>
      </w:tr>
      <w:tr w:rsidR="003D2C70" w:rsidRPr="00BA52C1" w14:paraId="35018761"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083913D" w14:textId="6272FB02" w:rsidR="003D2C70" w:rsidRPr="00BA52C1" w:rsidRDefault="003D2C70" w:rsidP="003D2C70">
            <w:pPr>
              <w:pStyle w:val="CBDTableNormal"/>
              <w:spacing w:before="0" w:after="0"/>
              <w:rPr>
                <w:sz w:val="18"/>
                <w:szCs w:val="18"/>
                <w:lang w:val="fr-FR" w:eastAsia="en-CA"/>
              </w:rPr>
            </w:pPr>
            <w:r w:rsidRPr="00BA52C1">
              <w:rPr>
                <w:sz w:val="18"/>
                <w:szCs w:val="18"/>
                <w:lang w:val="fr-FR" w:eastAsia="en-CA"/>
              </w:rPr>
              <w:t>Pala</w:t>
            </w:r>
            <w:r>
              <w:rPr>
                <w:sz w:val="18"/>
                <w:szCs w:val="18"/>
                <w:lang w:val="fr-FR" w:eastAsia="en-CA"/>
              </w:rPr>
              <w:t>os</w:t>
            </w:r>
          </w:p>
        </w:tc>
        <w:tc>
          <w:tcPr>
            <w:tcW w:w="1628" w:type="dxa"/>
            <w:tcBorders>
              <w:top w:val="nil"/>
              <w:left w:val="nil"/>
              <w:bottom w:val="single" w:sz="4" w:space="0" w:color="auto"/>
              <w:right w:val="single" w:sz="4" w:space="0" w:color="auto"/>
            </w:tcBorders>
            <w:shd w:val="clear" w:color="auto" w:fill="auto"/>
            <w:vAlign w:val="bottom"/>
            <w:hideMark/>
          </w:tcPr>
          <w:p w14:paraId="42679DE3" w14:textId="4F965ED6"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2198" w:type="dxa"/>
            <w:tcBorders>
              <w:top w:val="nil"/>
              <w:left w:val="nil"/>
              <w:bottom w:val="single" w:sz="4" w:space="0" w:color="auto"/>
              <w:right w:val="single" w:sz="4" w:space="0" w:color="auto"/>
            </w:tcBorders>
            <w:shd w:val="clear" w:color="auto" w:fill="auto"/>
            <w:noWrap/>
            <w:vAlign w:val="bottom"/>
            <w:hideMark/>
          </w:tcPr>
          <w:p w14:paraId="1C20E74E" w14:textId="49648070"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1176" w:type="dxa"/>
            <w:tcBorders>
              <w:top w:val="nil"/>
              <w:left w:val="nil"/>
              <w:bottom w:val="single" w:sz="4" w:space="0" w:color="auto"/>
              <w:right w:val="single" w:sz="4" w:space="0" w:color="auto"/>
            </w:tcBorders>
            <w:shd w:val="clear" w:color="auto" w:fill="auto"/>
            <w:noWrap/>
            <w:vAlign w:val="bottom"/>
            <w:hideMark/>
          </w:tcPr>
          <w:p w14:paraId="35566D02" w14:textId="7F6DF5B8"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4FA0BF1E" w14:textId="76841D72"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64D0B01F" w14:textId="6885B429"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364</w:t>
            </w:r>
          </w:p>
        </w:tc>
      </w:tr>
      <w:tr w:rsidR="003D2C70" w:rsidRPr="00BA52C1" w14:paraId="49749584"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6B36038" w14:textId="77777777" w:rsidR="003D2C70" w:rsidRPr="00BA52C1" w:rsidRDefault="003D2C70" w:rsidP="003D2C70">
            <w:pPr>
              <w:pStyle w:val="CBDTableNormal"/>
              <w:spacing w:before="0" w:after="0"/>
              <w:rPr>
                <w:sz w:val="18"/>
                <w:szCs w:val="18"/>
                <w:lang w:val="fr-FR" w:eastAsia="en-CA"/>
              </w:rPr>
            </w:pPr>
            <w:r w:rsidRPr="00BA52C1">
              <w:rPr>
                <w:sz w:val="18"/>
                <w:szCs w:val="18"/>
                <w:lang w:val="fr-FR" w:eastAsia="en-CA"/>
              </w:rPr>
              <w:t>Panama</w:t>
            </w:r>
          </w:p>
        </w:tc>
        <w:tc>
          <w:tcPr>
            <w:tcW w:w="1628" w:type="dxa"/>
            <w:tcBorders>
              <w:top w:val="nil"/>
              <w:left w:val="nil"/>
              <w:bottom w:val="single" w:sz="4" w:space="0" w:color="auto"/>
              <w:right w:val="single" w:sz="4" w:space="0" w:color="auto"/>
            </w:tcBorders>
            <w:shd w:val="clear" w:color="auto" w:fill="auto"/>
            <w:vAlign w:val="bottom"/>
            <w:hideMark/>
          </w:tcPr>
          <w:p w14:paraId="7A7EFEDC" w14:textId="2BD2784E"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090</w:t>
            </w:r>
          </w:p>
        </w:tc>
        <w:tc>
          <w:tcPr>
            <w:tcW w:w="2198" w:type="dxa"/>
            <w:tcBorders>
              <w:top w:val="nil"/>
              <w:left w:val="nil"/>
              <w:bottom w:val="single" w:sz="4" w:space="0" w:color="auto"/>
              <w:right w:val="single" w:sz="4" w:space="0" w:color="auto"/>
            </w:tcBorders>
            <w:shd w:val="clear" w:color="auto" w:fill="auto"/>
            <w:noWrap/>
            <w:vAlign w:val="bottom"/>
            <w:hideMark/>
          </w:tcPr>
          <w:p w14:paraId="750438CD" w14:textId="6801C4A9"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113</w:t>
            </w:r>
          </w:p>
        </w:tc>
        <w:tc>
          <w:tcPr>
            <w:tcW w:w="1176" w:type="dxa"/>
            <w:tcBorders>
              <w:top w:val="nil"/>
              <w:left w:val="nil"/>
              <w:bottom w:val="single" w:sz="4" w:space="0" w:color="auto"/>
              <w:right w:val="single" w:sz="4" w:space="0" w:color="auto"/>
            </w:tcBorders>
            <w:shd w:val="clear" w:color="auto" w:fill="auto"/>
            <w:noWrap/>
            <w:vAlign w:val="bottom"/>
            <w:hideMark/>
          </w:tcPr>
          <w:p w14:paraId="3E040C7B" w14:textId="176AF0FB"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15 839</w:t>
            </w:r>
          </w:p>
        </w:tc>
        <w:tc>
          <w:tcPr>
            <w:tcW w:w="1461" w:type="dxa"/>
            <w:tcBorders>
              <w:top w:val="nil"/>
              <w:left w:val="nil"/>
              <w:bottom w:val="single" w:sz="4" w:space="0" w:color="auto"/>
              <w:right w:val="single" w:sz="4" w:space="0" w:color="auto"/>
            </w:tcBorders>
            <w:shd w:val="clear" w:color="auto" w:fill="auto"/>
            <w:noWrap/>
            <w:vAlign w:val="bottom"/>
            <w:hideMark/>
          </w:tcPr>
          <w:p w14:paraId="3C5F95D6" w14:textId="2D64F5E8"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16 923</w:t>
            </w:r>
          </w:p>
        </w:tc>
        <w:tc>
          <w:tcPr>
            <w:tcW w:w="1080" w:type="dxa"/>
            <w:tcBorders>
              <w:top w:val="nil"/>
              <w:left w:val="nil"/>
              <w:bottom w:val="single" w:sz="4" w:space="0" w:color="auto"/>
              <w:right w:val="single" w:sz="4" w:space="0" w:color="auto"/>
            </w:tcBorders>
            <w:shd w:val="clear" w:color="auto" w:fill="auto"/>
            <w:noWrap/>
            <w:vAlign w:val="bottom"/>
            <w:hideMark/>
          </w:tcPr>
          <w:p w14:paraId="3A0413B3" w14:textId="572EDB03"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32 763</w:t>
            </w:r>
          </w:p>
        </w:tc>
      </w:tr>
      <w:tr w:rsidR="003D2C70" w:rsidRPr="00BA52C1" w14:paraId="4A7AACED"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898BA7A" w14:textId="61F04CC2" w:rsidR="003D2C70" w:rsidRPr="00BA52C1" w:rsidRDefault="003D2C70" w:rsidP="003D2C70">
            <w:pPr>
              <w:pStyle w:val="CBDTableNormal"/>
              <w:spacing w:before="0" w:after="0"/>
              <w:rPr>
                <w:sz w:val="18"/>
                <w:szCs w:val="18"/>
                <w:lang w:val="fr-FR" w:eastAsia="en-CA"/>
              </w:rPr>
            </w:pPr>
            <w:r w:rsidRPr="00BA52C1">
              <w:rPr>
                <w:sz w:val="18"/>
                <w:szCs w:val="18"/>
                <w:lang w:val="fr-FR" w:eastAsia="en-CA"/>
              </w:rPr>
              <w:t>Pap</w:t>
            </w:r>
            <w:r>
              <w:rPr>
                <w:sz w:val="18"/>
                <w:szCs w:val="18"/>
                <w:lang w:val="fr-FR" w:eastAsia="en-CA"/>
              </w:rPr>
              <w:t>ouasie – Nouvelle-Guinée</w:t>
            </w:r>
          </w:p>
        </w:tc>
        <w:tc>
          <w:tcPr>
            <w:tcW w:w="1628" w:type="dxa"/>
            <w:tcBorders>
              <w:top w:val="nil"/>
              <w:left w:val="nil"/>
              <w:bottom w:val="single" w:sz="4" w:space="0" w:color="auto"/>
              <w:right w:val="single" w:sz="4" w:space="0" w:color="auto"/>
            </w:tcBorders>
            <w:shd w:val="clear" w:color="auto" w:fill="auto"/>
            <w:vAlign w:val="bottom"/>
            <w:hideMark/>
          </w:tcPr>
          <w:p w14:paraId="3636A5C6" w14:textId="566584B5"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010</w:t>
            </w:r>
          </w:p>
        </w:tc>
        <w:tc>
          <w:tcPr>
            <w:tcW w:w="2198" w:type="dxa"/>
            <w:tcBorders>
              <w:top w:val="nil"/>
              <w:left w:val="nil"/>
              <w:bottom w:val="single" w:sz="4" w:space="0" w:color="auto"/>
              <w:right w:val="single" w:sz="4" w:space="0" w:color="auto"/>
            </w:tcBorders>
            <w:shd w:val="clear" w:color="auto" w:fill="auto"/>
            <w:noWrap/>
            <w:vAlign w:val="bottom"/>
            <w:hideMark/>
          </w:tcPr>
          <w:p w14:paraId="69827365" w14:textId="2EE6CDF0"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013</w:t>
            </w:r>
          </w:p>
        </w:tc>
        <w:tc>
          <w:tcPr>
            <w:tcW w:w="1176" w:type="dxa"/>
            <w:tcBorders>
              <w:top w:val="nil"/>
              <w:left w:val="nil"/>
              <w:bottom w:val="single" w:sz="4" w:space="0" w:color="auto"/>
              <w:right w:val="single" w:sz="4" w:space="0" w:color="auto"/>
            </w:tcBorders>
            <w:shd w:val="clear" w:color="auto" w:fill="auto"/>
            <w:noWrap/>
            <w:vAlign w:val="bottom"/>
            <w:hideMark/>
          </w:tcPr>
          <w:p w14:paraId="4C91DB0F" w14:textId="29CD83C4"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1 760</w:t>
            </w:r>
          </w:p>
        </w:tc>
        <w:tc>
          <w:tcPr>
            <w:tcW w:w="1461" w:type="dxa"/>
            <w:tcBorders>
              <w:top w:val="nil"/>
              <w:left w:val="nil"/>
              <w:bottom w:val="single" w:sz="4" w:space="0" w:color="auto"/>
              <w:right w:val="single" w:sz="4" w:space="0" w:color="auto"/>
            </w:tcBorders>
            <w:shd w:val="clear" w:color="auto" w:fill="auto"/>
            <w:noWrap/>
            <w:vAlign w:val="bottom"/>
            <w:hideMark/>
          </w:tcPr>
          <w:p w14:paraId="128DA179" w14:textId="3803A9F4"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1 880</w:t>
            </w:r>
          </w:p>
        </w:tc>
        <w:tc>
          <w:tcPr>
            <w:tcW w:w="1080" w:type="dxa"/>
            <w:tcBorders>
              <w:top w:val="nil"/>
              <w:left w:val="nil"/>
              <w:bottom w:val="single" w:sz="4" w:space="0" w:color="auto"/>
              <w:right w:val="single" w:sz="4" w:space="0" w:color="auto"/>
            </w:tcBorders>
            <w:shd w:val="clear" w:color="auto" w:fill="auto"/>
            <w:noWrap/>
            <w:vAlign w:val="bottom"/>
            <w:hideMark/>
          </w:tcPr>
          <w:p w14:paraId="5E785C52" w14:textId="188B2CA8"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3 640</w:t>
            </w:r>
          </w:p>
        </w:tc>
      </w:tr>
      <w:tr w:rsidR="003D2C70" w:rsidRPr="00BA52C1" w14:paraId="0A3439D9"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F48D298" w14:textId="77777777" w:rsidR="003D2C70" w:rsidRPr="00BA52C1" w:rsidRDefault="003D2C70" w:rsidP="003D2C70">
            <w:pPr>
              <w:pStyle w:val="CBDTableNormal"/>
              <w:spacing w:before="0" w:after="0"/>
              <w:rPr>
                <w:sz w:val="18"/>
                <w:szCs w:val="18"/>
                <w:lang w:val="fr-FR" w:eastAsia="en-CA"/>
              </w:rPr>
            </w:pPr>
            <w:r w:rsidRPr="00BA52C1">
              <w:rPr>
                <w:sz w:val="18"/>
                <w:szCs w:val="18"/>
                <w:lang w:val="fr-FR" w:eastAsia="en-CA"/>
              </w:rPr>
              <w:t>Paraguay</w:t>
            </w:r>
          </w:p>
        </w:tc>
        <w:tc>
          <w:tcPr>
            <w:tcW w:w="1628" w:type="dxa"/>
            <w:tcBorders>
              <w:top w:val="nil"/>
              <w:left w:val="nil"/>
              <w:bottom w:val="single" w:sz="4" w:space="0" w:color="auto"/>
              <w:right w:val="single" w:sz="4" w:space="0" w:color="auto"/>
            </w:tcBorders>
            <w:shd w:val="clear" w:color="auto" w:fill="auto"/>
            <w:vAlign w:val="bottom"/>
            <w:hideMark/>
          </w:tcPr>
          <w:p w14:paraId="07C3EA89" w14:textId="6717B7F0"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026</w:t>
            </w:r>
          </w:p>
        </w:tc>
        <w:tc>
          <w:tcPr>
            <w:tcW w:w="2198" w:type="dxa"/>
            <w:tcBorders>
              <w:top w:val="nil"/>
              <w:left w:val="nil"/>
              <w:bottom w:val="single" w:sz="4" w:space="0" w:color="auto"/>
              <w:right w:val="single" w:sz="4" w:space="0" w:color="auto"/>
            </w:tcBorders>
            <w:shd w:val="clear" w:color="auto" w:fill="auto"/>
            <w:noWrap/>
            <w:vAlign w:val="bottom"/>
            <w:hideMark/>
          </w:tcPr>
          <w:p w14:paraId="02095108" w14:textId="383032B7"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033</w:t>
            </w:r>
          </w:p>
        </w:tc>
        <w:tc>
          <w:tcPr>
            <w:tcW w:w="1176" w:type="dxa"/>
            <w:tcBorders>
              <w:top w:val="nil"/>
              <w:left w:val="nil"/>
              <w:bottom w:val="single" w:sz="4" w:space="0" w:color="auto"/>
              <w:right w:val="single" w:sz="4" w:space="0" w:color="auto"/>
            </w:tcBorders>
            <w:shd w:val="clear" w:color="auto" w:fill="auto"/>
            <w:noWrap/>
            <w:vAlign w:val="bottom"/>
            <w:hideMark/>
          </w:tcPr>
          <w:p w14:paraId="3A76496B" w14:textId="4B08F4F1"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4 576</w:t>
            </w:r>
          </w:p>
        </w:tc>
        <w:tc>
          <w:tcPr>
            <w:tcW w:w="1461" w:type="dxa"/>
            <w:tcBorders>
              <w:top w:val="nil"/>
              <w:left w:val="nil"/>
              <w:bottom w:val="single" w:sz="4" w:space="0" w:color="auto"/>
              <w:right w:val="single" w:sz="4" w:space="0" w:color="auto"/>
            </w:tcBorders>
            <w:shd w:val="clear" w:color="auto" w:fill="auto"/>
            <w:noWrap/>
            <w:vAlign w:val="bottom"/>
            <w:hideMark/>
          </w:tcPr>
          <w:p w14:paraId="66EB5979" w14:textId="1928E5B7"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4 889</w:t>
            </w:r>
          </w:p>
        </w:tc>
        <w:tc>
          <w:tcPr>
            <w:tcW w:w="1080" w:type="dxa"/>
            <w:tcBorders>
              <w:top w:val="nil"/>
              <w:left w:val="nil"/>
              <w:bottom w:val="single" w:sz="4" w:space="0" w:color="auto"/>
              <w:right w:val="single" w:sz="4" w:space="0" w:color="auto"/>
            </w:tcBorders>
            <w:shd w:val="clear" w:color="auto" w:fill="auto"/>
            <w:noWrap/>
            <w:vAlign w:val="bottom"/>
            <w:hideMark/>
          </w:tcPr>
          <w:p w14:paraId="6DD4725D" w14:textId="4C53394A"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9 465</w:t>
            </w:r>
          </w:p>
        </w:tc>
      </w:tr>
      <w:tr w:rsidR="003D2C70" w:rsidRPr="00BA52C1" w14:paraId="224CBCFE"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tcPr>
          <w:p w14:paraId="445A257A" w14:textId="76614AF0" w:rsidR="003D2C70" w:rsidRPr="00BA52C1" w:rsidRDefault="003D2C70" w:rsidP="003D2C70">
            <w:pPr>
              <w:pStyle w:val="CBDTableNormal"/>
              <w:spacing w:before="0" w:after="0"/>
              <w:rPr>
                <w:sz w:val="18"/>
                <w:szCs w:val="18"/>
                <w:lang w:val="fr-FR" w:eastAsia="en-CA"/>
              </w:rPr>
            </w:pPr>
            <w:r>
              <w:rPr>
                <w:sz w:val="18"/>
                <w:szCs w:val="18"/>
                <w:lang w:val="fr-FR" w:eastAsia="en-CA"/>
              </w:rPr>
              <w:t>Pays-Bas (Royaume des)</w:t>
            </w:r>
          </w:p>
        </w:tc>
        <w:tc>
          <w:tcPr>
            <w:tcW w:w="1628" w:type="dxa"/>
            <w:tcBorders>
              <w:top w:val="nil"/>
              <w:left w:val="nil"/>
              <w:bottom w:val="single" w:sz="4" w:space="0" w:color="auto"/>
              <w:right w:val="single" w:sz="4" w:space="0" w:color="auto"/>
            </w:tcBorders>
            <w:shd w:val="clear" w:color="auto" w:fill="auto"/>
            <w:vAlign w:val="bottom"/>
          </w:tcPr>
          <w:p w14:paraId="515C8586" w14:textId="67B4E381"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1</w:t>
            </w:r>
            <w:r>
              <w:rPr>
                <w:sz w:val="18"/>
                <w:szCs w:val="18"/>
                <w:lang w:val="fr-FR" w:eastAsia="en-CA"/>
              </w:rPr>
              <w:t>,</w:t>
            </w:r>
            <w:r w:rsidRPr="00BA52C1">
              <w:rPr>
                <w:sz w:val="18"/>
                <w:szCs w:val="18"/>
                <w:lang w:val="fr-FR" w:eastAsia="en-CA"/>
              </w:rPr>
              <w:t>377</w:t>
            </w:r>
          </w:p>
        </w:tc>
        <w:tc>
          <w:tcPr>
            <w:tcW w:w="2198" w:type="dxa"/>
            <w:tcBorders>
              <w:top w:val="nil"/>
              <w:left w:val="nil"/>
              <w:bottom w:val="single" w:sz="4" w:space="0" w:color="auto"/>
              <w:right w:val="single" w:sz="4" w:space="0" w:color="auto"/>
            </w:tcBorders>
            <w:shd w:val="clear" w:color="auto" w:fill="auto"/>
            <w:noWrap/>
            <w:vAlign w:val="bottom"/>
          </w:tcPr>
          <w:p w14:paraId="657B351A" w14:textId="2188C9D2"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1</w:t>
            </w:r>
            <w:r>
              <w:rPr>
                <w:sz w:val="18"/>
                <w:szCs w:val="18"/>
                <w:lang w:val="fr-FR" w:eastAsia="en-CA"/>
              </w:rPr>
              <w:t>,</w:t>
            </w:r>
            <w:r w:rsidRPr="00BA52C1">
              <w:rPr>
                <w:sz w:val="18"/>
                <w:szCs w:val="18"/>
                <w:lang w:val="fr-FR" w:eastAsia="en-CA"/>
              </w:rPr>
              <w:t>721</w:t>
            </w:r>
          </w:p>
        </w:tc>
        <w:tc>
          <w:tcPr>
            <w:tcW w:w="1176" w:type="dxa"/>
            <w:tcBorders>
              <w:top w:val="nil"/>
              <w:left w:val="nil"/>
              <w:bottom w:val="single" w:sz="4" w:space="0" w:color="auto"/>
              <w:right w:val="single" w:sz="4" w:space="0" w:color="auto"/>
            </w:tcBorders>
            <w:shd w:val="clear" w:color="auto" w:fill="auto"/>
            <w:noWrap/>
            <w:vAlign w:val="bottom"/>
          </w:tcPr>
          <w:p w14:paraId="42B114F7" w14:textId="17B33DBB"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242 344</w:t>
            </w:r>
          </w:p>
        </w:tc>
        <w:tc>
          <w:tcPr>
            <w:tcW w:w="1461" w:type="dxa"/>
            <w:tcBorders>
              <w:top w:val="nil"/>
              <w:left w:val="nil"/>
              <w:bottom w:val="single" w:sz="4" w:space="0" w:color="auto"/>
              <w:right w:val="single" w:sz="4" w:space="0" w:color="auto"/>
            </w:tcBorders>
            <w:shd w:val="clear" w:color="auto" w:fill="auto"/>
            <w:noWrap/>
            <w:vAlign w:val="bottom"/>
          </w:tcPr>
          <w:p w14:paraId="1E7E1E80" w14:textId="5253EA80"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258 926</w:t>
            </w:r>
          </w:p>
        </w:tc>
        <w:tc>
          <w:tcPr>
            <w:tcW w:w="1080" w:type="dxa"/>
            <w:tcBorders>
              <w:top w:val="nil"/>
              <w:left w:val="nil"/>
              <w:bottom w:val="single" w:sz="4" w:space="0" w:color="auto"/>
              <w:right w:val="single" w:sz="4" w:space="0" w:color="auto"/>
            </w:tcBorders>
            <w:shd w:val="clear" w:color="auto" w:fill="auto"/>
            <w:noWrap/>
            <w:vAlign w:val="bottom"/>
          </w:tcPr>
          <w:p w14:paraId="6764D503" w14:textId="785819D9"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501 271</w:t>
            </w:r>
          </w:p>
        </w:tc>
      </w:tr>
      <w:tr w:rsidR="003D2C70" w:rsidRPr="00BA52C1" w14:paraId="08655A7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09BE837" w14:textId="456917B7" w:rsidR="003D2C70" w:rsidRPr="00BA52C1" w:rsidRDefault="003D2C70" w:rsidP="003D2C70">
            <w:pPr>
              <w:pStyle w:val="CBDTableNormal"/>
              <w:spacing w:before="0" w:after="0"/>
              <w:rPr>
                <w:sz w:val="18"/>
                <w:szCs w:val="18"/>
                <w:lang w:val="fr-FR" w:eastAsia="en-CA"/>
              </w:rPr>
            </w:pPr>
            <w:r w:rsidRPr="00BA52C1">
              <w:rPr>
                <w:sz w:val="18"/>
                <w:szCs w:val="18"/>
                <w:lang w:val="fr-FR" w:eastAsia="en-CA"/>
              </w:rPr>
              <w:t>P</w:t>
            </w:r>
            <w:r>
              <w:rPr>
                <w:sz w:val="18"/>
                <w:szCs w:val="18"/>
                <w:lang w:val="fr-FR" w:eastAsia="en-CA"/>
              </w:rPr>
              <w:t>érou</w:t>
            </w:r>
          </w:p>
        </w:tc>
        <w:tc>
          <w:tcPr>
            <w:tcW w:w="1628" w:type="dxa"/>
            <w:tcBorders>
              <w:top w:val="nil"/>
              <w:left w:val="nil"/>
              <w:bottom w:val="single" w:sz="4" w:space="0" w:color="auto"/>
              <w:right w:val="single" w:sz="4" w:space="0" w:color="auto"/>
            </w:tcBorders>
            <w:shd w:val="clear" w:color="auto" w:fill="auto"/>
            <w:vAlign w:val="bottom"/>
            <w:hideMark/>
          </w:tcPr>
          <w:p w14:paraId="48284A2A" w14:textId="727B5B7F"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163</w:t>
            </w:r>
          </w:p>
        </w:tc>
        <w:tc>
          <w:tcPr>
            <w:tcW w:w="2198" w:type="dxa"/>
            <w:tcBorders>
              <w:top w:val="nil"/>
              <w:left w:val="nil"/>
              <w:bottom w:val="single" w:sz="4" w:space="0" w:color="auto"/>
              <w:right w:val="single" w:sz="4" w:space="0" w:color="auto"/>
            </w:tcBorders>
            <w:shd w:val="clear" w:color="auto" w:fill="auto"/>
            <w:noWrap/>
            <w:vAlign w:val="bottom"/>
            <w:hideMark/>
          </w:tcPr>
          <w:p w14:paraId="4CB21256" w14:textId="0CFCA423"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204</w:t>
            </w:r>
          </w:p>
        </w:tc>
        <w:tc>
          <w:tcPr>
            <w:tcW w:w="1176" w:type="dxa"/>
            <w:tcBorders>
              <w:top w:val="nil"/>
              <w:left w:val="nil"/>
              <w:bottom w:val="single" w:sz="4" w:space="0" w:color="auto"/>
              <w:right w:val="single" w:sz="4" w:space="0" w:color="auto"/>
            </w:tcBorders>
            <w:shd w:val="clear" w:color="auto" w:fill="auto"/>
            <w:noWrap/>
            <w:vAlign w:val="bottom"/>
            <w:hideMark/>
          </w:tcPr>
          <w:p w14:paraId="6676485A" w14:textId="1F424107"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28 687</w:t>
            </w:r>
          </w:p>
        </w:tc>
        <w:tc>
          <w:tcPr>
            <w:tcW w:w="1461" w:type="dxa"/>
            <w:tcBorders>
              <w:top w:val="nil"/>
              <w:left w:val="nil"/>
              <w:bottom w:val="single" w:sz="4" w:space="0" w:color="auto"/>
              <w:right w:val="single" w:sz="4" w:space="0" w:color="auto"/>
            </w:tcBorders>
            <w:shd w:val="clear" w:color="auto" w:fill="auto"/>
            <w:noWrap/>
            <w:vAlign w:val="bottom"/>
            <w:hideMark/>
          </w:tcPr>
          <w:p w14:paraId="62C2A01A" w14:textId="295D905A"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30 650</w:t>
            </w:r>
          </w:p>
        </w:tc>
        <w:tc>
          <w:tcPr>
            <w:tcW w:w="1080" w:type="dxa"/>
            <w:tcBorders>
              <w:top w:val="nil"/>
              <w:left w:val="nil"/>
              <w:bottom w:val="single" w:sz="4" w:space="0" w:color="auto"/>
              <w:right w:val="single" w:sz="4" w:space="0" w:color="auto"/>
            </w:tcBorders>
            <w:shd w:val="clear" w:color="auto" w:fill="auto"/>
            <w:noWrap/>
            <w:vAlign w:val="bottom"/>
            <w:hideMark/>
          </w:tcPr>
          <w:p w14:paraId="5F84E580" w14:textId="2F4A0EBA"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59 337</w:t>
            </w:r>
          </w:p>
        </w:tc>
      </w:tr>
      <w:tr w:rsidR="003D2C70" w:rsidRPr="00BA52C1" w14:paraId="7A804A8D"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34C171E" w14:textId="77777777" w:rsidR="003D2C70" w:rsidRPr="00BA52C1" w:rsidRDefault="003D2C70" w:rsidP="003D2C70">
            <w:pPr>
              <w:pStyle w:val="CBDTableNormal"/>
              <w:spacing w:before="0" w:after="0"/>
              <w:rPr>
                <w:sz w:val="18"/>
                <w:szCs w:val="18"/>
                <w:lang w:val="fr-FR" w:eastAsia="en-CA"/>
              </w:rPr>
            </w:pPr>
            <w:r w:rsidRPr="00BA52C1">
              <w:rPr>
                <w:sz w:val="18"/>
                <w:szCs w:val="18"/>
                <w:lang w:val="fr-FR" w:eastAsia="en-CA"/>
              </w:rPr>
              <w:t>Philippines</w:t>
            </w:r>
          </w:p>
        </w:tc>
        <w:tc>
          <w:tcPr>
            <w:tcW w:w="1628" w:type="dxa"/>
            <w:tcBorders>
              <w:top w:val="nil"/>
              <w:left w:val="nil"/>
              <w:bottom w:val="single" w:sz="4" w:space="0" w:color="auto"/>
              <w:right w:val="single" w:sz="4" w:space="0" w:color="auto"/>
            </w:tcBorders>
            <w:shd w:val="clear" w:color="auto" w:fill="auto"/>
            <w:vAlign w:val="bottom"/>
            <w:hideMark/>
          </w:tcPr>
          <w:p w14:paraId="091FA0DC" w14:textId="2F1835EA"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212</w:t>
            </w:r>
          </w:p>
        </w:tc>
        <w:tc>
          <w:tcPr>
            <w:tcW w:w="2198" w:type="dxa"/>
            <w:tcBorders>
              <w:top w:val="nil"/>
              <w:left w:val="nil"/>
              <w:bottom w:val="single" w:sz="4" w:space="0" w:color="auto"/>
              <w:right w:val="single" w:sz="4" w:space="0" w:color="auto"/>
            </w:tcBorders>
            <w:shd w:val="clear" w:color="auto" w:fill="auto"/>
            <w:noWrap/>
            <w:vAlign w:val="bottom"/>
            <w:hideMark/>
          </w:tcPr>
          <w:p w14:paraId="1D6ACBED" w14:textId="79B3B52F"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265</w:t>
            </w:r>
          </w:p>
        </w:tc>
        <w:tc>
          <w:tcPr>
            <w:tcW w:w="1176" w:type="dxa"/>
            <w:tcBorders>
              <w:top w:val="nil"/>
              <w:left w:val="nil"/>
              <w:bottom w:val="single" w:sz="4" w:space="0" w:color="auto"/>
              <w:right w:val="single" w:sz="4" w:space="0" w:color="auto"/>
            </w:tcBorders>
            <w:shd w:val="clear" w:color="auto" w:fill="auto"/>
            <w:noWrap/>
            <w:vAlign w:val="bottom"/>
            <w:hideMark/>
          </w:tcPr>
          <w:p w14:paraId="251DF8D3" w14:textId="5CA46D05"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37 311</w:t>
            </w:r>
          </w:p>
        </w:tc>
        <w:tc>
          <w:tcPr>
            <w:tcW w:w="1461" w:type="dxa"/>
            <w:tcBorders>
              <w:top w:val="nil"/>
              <w:left w:val="nil"/>
              <w:bottom w:val="single" w:sz="4" w:space="0" w:color="auto"/>
              <w:right w:val="single" w:sz="4" w:space="0" w:color="auto"/>
            </w:tcBorders>
            <w:shd w:val="clear" w:color="auto" w:fill="auto"/>
            <w:noWrap/>
            <w:vAlign w:val="bottom"/>
            <w:hideMark/>
          </w:tcPr>
          <w:p w14:paraId="09DF7333" w14:textId="251DCC55"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39 864</w:t>
            </w:r>
          </w:p>
        </w:tc>
        <w:tc>
          <w:tcPr>
            <w:tcW w:w="1080" w:type="dxa"/>
            <w:tcBorders>
              <w:top w:val="nil"/>
              <w:left w:val="nil"/>
              <w:bottom w:val="single" w:sz="4" w:space="0" w:color="auto"/>
              <w:right w:val="single" w:sz="4" w:space="0" w:color="auto"/>
            </w:tcBorders>
            <w:shd w:val="clear" w:color="auto" w:fill="auto"/>
            <w:noWrap/>
            <w:vAlign w:val="bottom"/>
            <w:hideMark/>
          </w:tcPr>
          <w:p w14:paraId="5C531603" w14:textId="64301015"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77 175</w:t>
            </w:r>
          </w:p>
        </w:tc>
      </w:tr>
      <w:tr w:rsidR="003D2C70" w:rsidRPr="00BA52C1" w14:paraId="63ADA74B"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6B8FEC8" w14:textId="49B0F24E" w:rsidR="003D2C70" w:rsidRPr="00BA52C1" w:rsidRDefault="003D2C70" w:rsidP="003D2C70">
            <w:pPr>
              <w:pStyle w:val="CBDTableNormal"/>
              <w:spacing w:before="0" w:after="0"/>
              <w:rPr>
                <w:sz w:val="18"/>
                <w:szCs w:val="18"/>
                <w:lang w:val="fr-FR" w:eastAsia="en-CA"/>
              </w:rPr>
            </w:pPr>
            <w:r w:rsidRPr="00BA52C1">
              <w:rPr>
                <w:sz w:val="18"/>
                <w:szCs w:val="18"/>
                <w:lang w:val="fr-FR" w:eastAsia="en-CA"/>
              </w:rPr>
              <w:t>Pol</w:t>
            </w:r>
            <w:r>
              <w:rPr>
                <w:sz w:val="18"/>
                <w:szCs w:val="18"/>
                <w:lang w:val="fr-FR" w:eastAsia="en-CA"/>
              </w:rPr>
              <w:t>ogne</w:t>
            </w:r>
          </w:p>
        </w:tc>
        <w:tc>
          <w:tcPr>
            <w:tcW w:w="1628" w:type="dxa"/>
            <w:tcBorders>
              <w:top w:val="nil"/>
              <w:left w:val="nil"/>
              <w:bottom w:val="single" w:sz="4" w:space="0" w:color="auto"/>
              <w:right w:val="single" w:sz="4" w:space="0" w:color="auto"/>
            </w:tcBorders>
            <w:shd w:val="clear" w:color="auto" w:fill="auto"/>
            <w:vAlign w:val="bottom"/>
            <w:hideMark/>
          </w:tcPr>
          <w:p w14:paraId="2213065D" w14:textId="327EDD29"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837</w:t>
            </w:r>
          </w:p>
        </w:tc>
        <w:tc>
          <w:tcPr>
            <w:tcW w:w="2198" w:type="dxa"/>
            <w:tcBorders>
              <w:top w:val="nil"/>
              <w:left w:val="nil"/>
              <w:bottom w:val="single" w:sz="4" w:space="0" w:color="auto"/>
              <w:right w:val="single" w:sz="4" w:space="0" w:color="auto"/>
            </w:tcBorders>
            <w:shd w:val="clear" w:color="auto" w:fill="auto"/>
            <w:noWrap/>
            <w:vAlign w:val="bottom"/>
            <w:hideMark/>
          </w:tcPr>
          <w:p w14:paraId="4EE7F11B" w14:textId="753FC0B0"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1</w:t>
            </w:r>
            <w:r>
              <w:rPr>
                <w:sz w:val="18"/>
                <w:szCs w:val="18"/>
                <w:lang w:val="fr-FR" w:eastAsia="en-CA"/>
              </w:rPr>
              <w:t>,</w:t>
            </w:r>
            <w:r w:rsidRPr="00BA52C1">
              <w:rPr>
                <w:sz w:val="18"/>
                <w:szCs w:val="18"/>
                <w:lang w:val="fr-FR" w:eastAsia="en-CA"/>
              </w:rPr>
              <w:t>046</w:t>
            </w:r>
          </w:p>
        </w:tc>
        <w:tc>
          <w:tcPr>
            <w:tcW w:w="1176" w:type="dxa"/>
            <w:tcBorders>
              <w:top w:val="nil"/>
              <w:left w:val="nil"/>
              <w:bottom w:val="single" w:sz="4" w:space="0" w:color="auto"/>
              <w:right w:val="single" w:sz="4" w:space="0" w:color="auto"/>
            </w:tcBorders>
            <w:shd w:val="clear" w:color="auto" w:fill="auto"/>
            <w:noWrap/>
            <w:vAlign w:val="bottom"/>
            <w:hideMark/>
          </w:tcPr>
          <w:p w14:paraId="3319720D" w14:textId="7E17587F"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147 307</w:t>
            </w:r>
          </w:p>
        </w:tc>
        <w:tc>
          <w:tcPr>
            <w:tcW w:w="1461" w:type="dxa"/>
            <w:tcBorders>
              <w:top w:val="nil"/>
              <w:left w:val="nil"/>
              <w:bottom w:val="single" w:sz="4" w:space="0" w:color="auto"/>
              <w:right w:val="single" w:sz="4" w:space="0" w:color="auto"/>
            </w:tcBorders>
            <w:shd w:val="clear" w:color="auto" w:fill="auto"/>
            <w:noWrap/>
            <w:vAlign w:val="bottom"/>
            <w:hideMark/>
          </w:tcPr>
          <w:p w14:paraId="72391D02" w14:textId="073182A8"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157 387</w:t>
            </w:r>
          </w:p>
        </w:tc>
        <w:tc>
          <w:tcPr>
            <w:tcW w:w="1080" w:type="dxa"/>
            <w:tcBorders>
              <w:top w:val="nil"/>
              <w:left w:val="nil"/>
              <w:bottom w:val="single" w:sz="4" w:space="0" w:color="auto"/>
              <w:right w:val="single" w:sz="4" w:space="0" w:color="auto"/>
            </w:tcBorders>
            <w:shd w:val="clear" w:color="auto" w:fill="auto"/>
            <w:noWrap/>
            <w:vAlign w:val="bottom"/>
            <w:hideMark/>
          </w:tcPr>
          <w:p w14:paraId="141AD016" w14:textId="0F656EED"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304 694</w:t>
            </w:r>
          </w:p>
        </w:tc>
      </w:tr>
      <w:tr w:rsidR="003D2C70" w:rsidRPr="00BA52C1" w14:paraId="47EBC7CC"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7F7D725" w14:textId="77777777" w:rsidR="003D2C70" w:rsidRPr="00BA52C1" w:rsidRDefault="003D2C70" w:rsidP="003D2C70">
            <w:pPr>
              <w:pStyle w:val="CBDTableNormal"/>
              <w:spacing w:before="0" w:after="0"/>
              <w:rPr>
                <w:sz w:val="18"/>
                <w:szCs w:val="18"/>
                <w:lang w:val="fr-FR" w:eastAsia="en-CA"/>
              </w:rPr>
            </w:pPr>
            <w:r w:rsidRPr="00BA52C1">
              <w:rPr>
                <w:sz w:val="18"/>
                <w:szCs w:val="18"/>
                <w:lang w:val="fr-FR" w:eastAsia="en-CA"/>
              </w:rPr>
              <w:t>Portugal</w:t>
            </w:r>
          </w:p>
        </w:tc>
        <w:tc>
          <w:tcPr>
            <w:tcW w:w="1628" w:type="dxa"/>
            <w:tcBorders>
              <w:top w:val="nil"/>
              <w:left w:val="nil"/>
              <w:bottom w:val="single" w:sz="4" w:space="0" w:color="auto"/>
              <w:right w:val="single" w:sz="4" w:space="0" w:color="auto"/>
            </w:tcBorders>
            <w:shd w:val="clear" w:color="auto" w:fill="auto"/>
            <w:vAlign w:val="bottom"/>
            <w:hideMark/>
          </w:tcPr>
          <w:p w14:paraId="1A055353" w14:textId="31148F53"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353</w:t>
            </w:r>
          </w:p>
        </w:tc>
        <w:tc>
          <w:tcPr>
            <w:tcW w:w="2198" w:type="dxa"/>
            <w:tcBorders>
              <w:top w:val="nil"/>
              <w:left w:val="nil"/>
              <w:bottom w:val="single" w:sz="4" w:space="0" w:color="auto"/>
              <w:right w:val="single" w:sz="4" w:space="0" w:color="auto"/>
            </w:tcBorders>
            <w:shd w:val="clear" w:color="auto" w:fill="auto"/>
            <w:noWrap/>
            <w:vAlign w:val="bottom"/>
            <w:hideMark/>
          </w:tcPr>
          <w:p w14:paraId="595A696C" w14:textId="1B9691F5"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441</w:t>
            </w:r>
          </w:p>
        </w:tc>
        <w:tc>
          <w:tcPr>
            <w:tcW w:w="1176" w:type="dxa"/>
            <w:tcBorders>
              <w:top w:val="nil"/>
              <w:left w:val="nil"/>
              <w:bottom w:val="single" w:sz="4" w:space="0" w:color="auto"/>
              <w:right w:val="single" w:sz="4" w:space="0" w:color="auto"/>
            </w:tcBorders>
            <w:shd w:val="clear" w:color="auto" w:fill="auto"/>
            <w:noWrap/>
            <w:vAlign w:val="bottom"/>
            <w:hideMark/>
          </w:tcPr>
          <w:p w14:paraId="7C8B3F01" w14:textId="12C86A89"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62 126</w:t>
            </w:r>
          </w:p>
        </w:tc>
        <w:tc>
          <w:tcPr>
            <w:tcW w:w="1461" w:type="dxa"/>
            <w:tcBorders>
              <w:top w:val="nil"/>
              <w:left w:val="nil"/>
              <w:bottom w:val="single" w:sz="4" w:space="0" w:color="auto"/>
              <w:right w:val="single" w:sz="4" w:space="0" w:color="auto"/>
            </w:tcBorders>
            <w:shd w:val="clear" w:color="auto" w:fill="auto"/>
            <w:noWrap/>
            <w:vAlign w:val="bottom"/>
            <w:hideMark/>
          </w:tcPr>
          <w:p w14:paraId="04FD035A" w14:textId="5BE6C63C"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66 377</w:t>
            </w:r>
          </w:p>
        </w:tc>
        <w:tc>
          <w:tcPr>
            <w:tcW w:w="1080" w:type="dxa"/>
            <w:tcBorders>
              <w:top w:val="nil"/>
              <w:left w:val="nil"/>
              <w:bottom w:val="single" w:sz="4" w:space="0" w:color="auto"/>
              <w:right w:val="single" w:sz="4" w:space="0" w:color="auto"/>
            </w:tcBorders>
            <w:shd w:val="clear" w:color="auto" w:fill="auto"/>
            <w:noWrap/>
            <w:vAlign w:val="bottom"/>
            <w:hideMark/>
          </w:tcPr>
          <w:p w14:paraId="79763C14" w14:textId="650C7E7E"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128 503</w:t>
            </w:r>
          </w:p>
        </w:tc>
      </w:tr>
      <w:tr w:rsidR="003D2C70" w:rsidRPr="00BA52C1" w14:paraId="13879D88"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B5CB2C1" w14:textId="77777777" w:rsidR="003D2C70" w:rsidRPr="00BA52C1" w:rsidRDefault="003D2C70" w:rsidP="003D2C70">
            <w:pPr>
              <w:pStyle w:val="CBDTableNormal"/>
              <w:spacing w:before="0" w:after="0"/>
              <w:rPr>
                <w:sz w:val="18"/>
                <w:szCs w:val="18"/>
                <w:lang w:val="fr-FR" w:eastAsia="en-CA"/>
              </w:rPr>
            </w:pPr>
            <w:r w:rsidRPr="00BA52C1">
              <w:rPr>
                <w:sz w:val="18"/>
                <w:szCs w:val="18"/>
                <w:lang w:val="fr-FR" w:eastAsia="en-CA"/>
              </w:rPr>
              <w:t>Qatar</w:t>
            </w:r>
          </w:p>
        </w:tc>
        <w:tc>
          <w:tcPr>
            <w:tcW w:w="1628" w:type="dxa"/>
            <w:tcBorders>
              <w:top w:val="nil"/>
              <w:left w:val="nil"/>
              <w:bottom w:val="single" w:sz="4" w:space="0" w:color="auto"/>
              <w:right w:val="single" w:sz="4" w:space="0" w:color="auto"/>
            </w:tcBorders>
            <w:shd w:val="clear" w:color="auto" w:fill="auto"/>
            <w:vAlign w:val="bottom"/>
            <w:hideMark/>
          </w:tcPr>
          <w:p w14:paraId="6E426130" w14:textId="11EDF3A1"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269</w:t>
            </w:r>
          </w:p>
        </w:tc>
        <w:tc>
          <w:tcPr>
            <w:tcW w:w="2198" w:type="dxa"/>
            <w:tcBorders>
              <w:top w:val="nil"/>
              <w:left w:val="nil"/>
              <w:bottom w:val="single" w:sz="4" w:space="0" w:color="auto"/>
              <w:right w:val="single" w:sz="4" w:space="0" w:color="auto"/>
            </w:tcBorders>
            <w:shd w:val="clear" w:color="auto" w:fill="auto"/>
            <w:noWrap/>
            <w:vAlign w:val="bottom"/>
            <w:hideMark/>
          </w:tcPr>
          <w:p w14:paraId="03976ECB" w14:textId="7FC85D3D"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336</w:t>
            </w:r>
          </w:p>
        </w:tc>
        <w:tc>
          <w:tcPr>
            <w:tcW w:w="1176" w:type="dxa"/>
            <w:tcBorders>
              <w:top w:val="nil"/>
              <w:left w:val="nil"/>
              <w:bottom w:val="single" w:sz="4" w:space="0" w:color="auto"/>
              <w:right w:val="single" w:sz="4" w:space="0" w:color="auto"/>
            </w:tcBorders>
            <w:shd w:val="clear" w:color="auto" w:fill="auto"/>
            <w:noWrap/>
            <w:vAlign w:val="bottom"/>
            <w:hideMark/>
          </w:tcPr>
          <w:p w14:paraId="63821B10" w14:textId="0CAEE477"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47 343</w:t>
            </w:r>
          </w:p>
        </w:tc>
        <w:tc>
          <w:tcPr>
            <w:tcW w:w="1461" w:type="dxa"/>
            <w:tcBorders>
              <w:top w:val="nil"/>
              <w:left w:val="nil"/>
              <w:bottom w:val="single" w:sz="4" w:space="0" w:color="auto"/>
              <w:right w:val="single" w:sz="4" w:space="0" w:color="auto"/>
            </w:tcBorders>
            <w:shd w:val="clear" w:color="auto" w:fill="auto"/>
            <w:noWrap/>
            <w:vAlign w:val="bottom"/>
            <w:hideMark/>
          </w:tcPr>
          <w:p w14:paraId="1155334B" w14:textId="7A16C1AD"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50 582</w:t>
            </w:r>
          </w:p>
        </w:tc>
        <w:tc>
          <w:tcPr>
            <w:tcW w:w="1080" w:type="dxa"/>
            <w:tcBorders>
              <w:top w:val="nil"/>
              <w:left w:val="nil"/>
              <w:bottom w:val="single" w:sz="4" w:space="0" w:color="auto"/>
              <w:right w:val="single" w:sz="4" w:space="0" w:color="auto"/>
            </w:tcBorders>
            <w:shd w:val="clear" w:color="auto" w:fill="auto"/>
            <w:noWrap/>
            <w:vAlign w:val="bottom"/>
            <w:hideMark/>
          </w:tcPr>
          <w:p w14:paraId="0C9D8F1A" w14:textId="35F6E909" w:rsidR="003D2C70" w:rsidRPr="00BA52C1" w:rsidRDefault="003D2C70" w:rsidP="003D2C70">
            <w:pPr>
              <w:pStyle w:val="CBDTableNormal"/>
              <w:spacing w:before="0" w:after="0"/>
              <w:jc w:val="right"/>
              <w:rPr>
                <w:sz w:val="18"/>
                <w:szCs w:val="18"/>
                <w:lang w:val="fr-FR" w:eastAsia="en-CA"/>
              </w:rPr>
            </w:pPr>
            <w:r w:rsidRPr="00BA52C1">
              <w:rPr>
                <w:sz w:val="18"/>
                <w:szCs w:val="18"/>
                <w:lang w:val="fr-FR" w:eastAsia="en-CA"/>
              </w:rPr>
              <w:t>97 924</w:t>
            </w:r>
          </w:p>
        </w:tc>
      </w:tr>
      <w:tr w:rsidR="00C65CDE" w:rsidRPr="00BA52C1" w14:paraId="48C46DEA"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tcPr>
          <w:p w14:paraId="032F3F5E" w14:textId="0EF764C2" w:rsidR="00C65CDE" w:rsidRPr="00BA52C1" w:rsidRDefault="00C65CDE" w:rsidP="00C65CDE">
            <w:pPr>
              <w:pStyle w:val="CBDTableNormal"/>
              <w:spacing w:before="0" w:after="0"/>
              <w:rPr>
                <w:sz w:val="18"/>
                <w:szCs w:val="18"/>
                <w:lang w:val="fr-FR" w:eastAsia="en-CA"/>
              </w:rPr>
            </w:pPr>
            <w:r>
              <w:rPr>
                <w:sz w:val="18"/>
                <w:szCs w:val="18"/>
                <w:lang w:val="fr-FR" w:eastAsia="en-CA"/>
              </w:rPr>
              <w:t>République arabe syrienne</w:t>
            </w:r>
          </w:p>
        </w:tc>
        <w:tc>
          <w:tcPr>
            <w:tcW w:w="1628" w:type="dxa"/>
            <w:tcBorders>
              <w:top w:val="nil"/>
              <w:left w:val="nil"/>
              <w:bottom w:val="single" w:sz="4" w:space="0" w:color="auto"/>
              <w:right w:val="single" w:sz="4" w:space="0" w:color="auto"/>
            </w:tcBorders>
            <w:shd w:val="clear" w:color="auto" w:fill="auto"/>
            <w:vAlign w:val="bottom"/>
          </w:tcPr>
          <w:p w14:paraId="469EA295" w14:textId="2C20DCF2" w:rsidR="00C65CDE" w:rsidRPr="00BA52C1" w:rsidRDefault="00C65CDE" w:rsidP="00C65CD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009</w:t>
            </w:r>
          </w:p>
        </w:tc>
        <w:tc>
          <w:tcPr>
            <w:tcW w:w="2198" w:type="dxa"/>
            <w:tcBorders>
              <w:top w:val="nil"/>
              <w:left w:val="nil"/>
              <w:bottom w:val="single" w:sz="4" w:space="0" w:color="auto"/>
              <w:right w:val="single" w:sz="4" w:space="0" w:color="auto"/>
            </w:tcBorders>
            <w:shd w:val="clear" w:color="auto" w:fill="auto"/>
            <w:noWrap/>
            <w:vAlign w:val="bottom"/>
          </w:tcPr>
          <w:p w14:paraId="4ED01921" w14:textId="03C8EA70" w:rsidR="00C65CDE" w:rsidRPr="00BA52C1" w:rsidRDefault="00C65CDE" w:rsidP="00C65CD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011</w:t>
            </w:r>
          </w:p>
        </w:tc>
        <w:tc>
          <w:tcPr>
            <w:tcW w:w="1176" w:type="dxa"/>
            <w:tcBorders>
              <w:top w:val="nil"/>
              <w:left w:val="nil"/>
              <w:bottom w:val="single" w:sz="4" w:space="0" w:color="auto"/>
              <w:right w:val="single" w:sz="4" w:space="0" w:color="auto"/>
            </w:tcBorders>
            <w:shd w:val="clear" w:color="auto" w:fill="auto"/>
            <w:noWrap/>
            <w:vAlign w:val="bottom"/>
          </w:tcPr>
          <w:p w14:paraId="2060E028" w14:textId="4DD678D8" w:rsidR="00C65CDE" w:rsidRPr="00BA52C1" w:rsidRDefault="00C65CDE" w:rsidP="00C65CDE">
            <w:pPr>
              <w:pStyle w:val="CBDTableNormal"/>
              <w:spacing w:before="0" w:after="0"/>
              <w:jc w:val="right"/>
              <w:rPr>
                <w:sz w:val="18"/>
                <w:szCs w:val="18"/>
                <w:lang w:val="fr-FR" w:eastAsia="en-CA"/>
              </w:rPr>
            </w:pPr>
            <w:r w:rsidRPr="00BA52C1">
              <w:rPr>
                <w:sz w:val="18"/>
                <w:szCs w:val="18"/>
                <w:lang w:val="fr-FR" w:eastAsia="en-CA"/>
              </w:rPr>
              <w:t>1 584</w:t>
            </w:r>
          </w:p>
        </w:tc>
        <w:tc>
          <w:tcPr>
            <w:tcW w:w="1461" w:type="dxa"/>
            <w:tcBorders>
              <w:top w:val="nil"/>
              <w:left w:val="nil"/>
              <w:bottom w:val="single" w:sz="4" w:space="0" w:color="auto"/>
              <w:right w:val="single" w:sz="4" w:space="0" w:color="auto"/>
            </w:tcBorders>
            <w:shd w:val="clear" w:color="auto" w:fill="auto"/>
            <w:noWrap/>
            <w:vAlign w:val="bottom"/>
          </w:tcPr>
          <w:p w14:paraId="3F8417DA" w14:textId="37E6CC1D" w:rsidR="00C65CDE" w:rsidRPr="00BA52C1" w:rsidRDefault="00C65CDE" w:rsidP="00C65CDE">
            <w:pPr>
              <w:pStyle w:val="CBDTableNormal"/>
              <w:spacing w:before="0" w:after="0"/>
              <w:jc w:val="right"/>
              <w:rPr>
                <w:sz w:val="18"/>
                <w:szCs w:val="18"/>
                <w:lang w:val="fr-FR" w:eastAsia="en-CA"/>
              </w:rPr>
            </w:pPr>
            <w:r w:rsidRPr="00BA52C1">
              <w:rPr>
                <w:sz w:val="18"/>
                <w:szCs w:val="18"/>
                <w:lang w:val="fr-FR" w:eastAsia="en-CA"/>
              </w:rPr>
              <w:t>1 692</w:t>
            </w:r>
          </w:p>
        </w:tc>
        <w:tc>
          <w:tcPr>
            <w:tcW w:w="1080" w:type="dxa"/>
            <w:tcBorders>
              <w:top w:val="nil"/>
              <w:left w:val="nil"/>
              <w:bottom w:val="single" w:sz="4" w:space="0" w:color="auto"/>
              <w:right w:val="single" w:sz="4" w:space="0" w:color="auto"/>
            </w:tcBorders>
            <w:shd w:val="clear" w:color="auto" w:fill="auto"/>
            <w:noWrap/>
            <w:vAlign w:val="bottom"/>
          </w:tcPr>
          <w:p w14:paraId="4993DE50" w14:textId="2C313F9D" w:rsidR="00C65CDE" w:rsidRPr="00BA52C1" w:rsidRDefault="00C65CDE" w:rsidP="00C65CDE">
            <w:pPr>
              <w:pStyle w:val="CBDTableNormal"/>
              <w:spacing w:before="0" w:after="0"/>
              <w:jc w:val="right"/>
              <w:rPr>
                <w:sz w:val="18"/>
                <w:szCs w:val="18"/>
                <w:lang w:val="fr-FR" w:eastAsia="en-CA"/>
              </w:rPr>
            </w:pPr>
            <w:r w:rsidRPr="00BA52C1">
              <w:rPr>
                <w:sz w:val="18"/>
                <w:szCs w:val="18"/>
                <w:lang w:val="fr-FR" w:eastAsia="en-CA"/>
              </w:rPr>
              <w:t>3 276</w:t>
            </w:r>
          </w:p>
        </w:tc>
      </w:tr>
      <w:tr w:rsidR="00C65CDE" w:rsidRPr="00BA52C1" w14:paraId="17C1F1AB"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tcPr>
          <w:p w14:paraId="49EE0FC2" w14:textId="04FE1F38" w:rsidR="00C65CDE" w:rsidRDefault="00C65CDE" w:rsidP="00C65CDE">
            <w:pPr>
              <w:pStyle w:val="CBDTableNormal"/>
              <w:spacing w:before="0" w:after="0"/>
              <w:rPr>
                <w:sz w:val="18"/>
                <w:szCs w:val="18"/>
                <w:lang w:val="fr-FR" w:eastAsia="en-CA"/>
              </w:rPr>
            </w:pPr>
            <w:r>
              <w:rPr>
                <w:sz w:val="18"/>
                <w:szCs w:val="18"/>
                <w:lang w:val="fr-FR" w:eastAsia="en-CA"/>
              </w:rPr>
              <w:t>République centrafricaine</w:t>
            </w:r>
          </w:p>
        </w:tc>
        <w:tc>
          <w:tcPr>
            <w:tcW w:w="1628" w:type="dxa"/>
            <w:tcBorders>
              <w:top w:val="nil"/>
              <w:left w:val="nil"/>
              <w:bottom w:val="single" w:sz="4" w:space="0" w:color="auto"/>
              <w:right w:val="single" w:sz="4" w:space="0" w:color="auto"/>
            </w:tcBorders>
            <w:shd w:val="clear" w:color="auto" w:fill="auto"/>
            <w:vAlign w:val="bottom"/>
          </w:tcPr>
          <w:p w14:paraId="4CDF65FC" w14:textId="725FDB3E" w:rsidR="00C65CDE" w:rsidRPr="00BA52C1" w:rsidRDefault="00C65CDE" w:rsidP="00C65CD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2198" w:type="dxa"/>
            <w:tcBorders>
              <w:top w:val="nil"/>
              <w:left w:val="nil"/>
              <w:bottom w:val="single" w:sz="4" w:space="0" w:color="auto"/>
              <w:right w:val="single" w:sz="4" w:space="0" w:color="auto"/>
            </w:tcBorders>
            <w:shd w:val="clear" w:color="auto" w:fill="auto"/>
            <w:noWrap/>
            <w:vAlign w:val="bottom"/>
          </w:tcPr>
          <w:p w14:paraId="31584C97" w14:textId="626AD621" w:rsidR="00C65CDE" w:rsidRPr="00BA52C1" w:rsidRDefault="00C65CDE" w:rsidP="00C65CD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1176" w:type="dxa"/>
            <w:tcBorders>
              <w:top w:val="nil"/>
              <w:left w:val="nil"/>
              <w:bottom w:val="single" w:sz="4" w:space="0" w:color="auto"/>
              <w:right w:val="single" w:sz="4" w:space="0" w:color="auto"/>
            </w:tcBorders>
            <w:shd w:val="clear" w:color="auto" w:fill="auto"/>
            <w:noWrap/>
            <w:vAlign w:val="bottom"/>
          </w:tcPr>
          <w:p w14:paraId="237F00BE" w14:textId="37A58C87" w:rsidR="00C65CDE" w:rsidRPr="00BA52C1" w:rsidRDefault="00C65CDE" w:rsidP="00C65CDE">
            <w:pPr>
              <w:pStyle w:val="CBDTableNormal"/>
              <w:spacing w:before="0" w:after="0"/>
              <w:jc w:val="right"/>
              <w:rPr>
                <w:sz w:val="18"/>
                <w:szCs w:val="18"/>
                <w:lang w:val="fr-FR" w:eastAsia="en-CA"/>
              </w:rPr>
            </w:pPr>
            <w:r w:rsidRPr="00BA52C1">
              <w:rPr>
                <w:sz w:val="18"/>
                <w:szCs w:val="18"/>
                <w:lang w:val="fr-FR" w:eastAsia="en-CA"/>
              </w:rPr>
              <w:t>176</w:t>
            </w:r>
          </w:p>
        </w:tc>
        <w:tc>
          <w:tcPr>
            <w:tcW w:w="1461" w:type="dxa"/>
            <w:tcBorders>
              <w:top w:val="nil"/>
              <w:left w:val="nil"/>
              <w:bottom w:val="single" w:sz="4" w:space="0" w:color="auto"/>
              <w:right w:val="single" w:sz="4" w:space="0" w:color="auto"/>
            </w:tcBorders>
            <w:shd w:val="clear" w:color="auto" w:fill="auto"/>
            <w:noWrap/>
            <w:vAlign w:val="bottom"/>
          </w:tcPr>
          <w:p w14:paraId="5A4C423A" w14:textId="650CD708" w:rsidR="00C65CDE" w:rsidRPr="00BA52C1" w:rsidRDefault="00C65CDE" w:rsidP="00C65CDE">
            <w:pPr>
              <w:pStyle w:val="CBDTableNormal"/>
              <w:spacing w:before="0" w:after="0"/>
              <w:jc w:val="right"/>
              <w:rPr>
                <w:sz w:val="18"/>
                <w:szCs w:val="18"/>
                <w:lang w:val="fr-FR" w:eastAsia="en-CA"/>
              </w:rPr>
            </w:pPr>
            <w:r w:rsidRPr="00BA52C1">
              <w:rPr>
                <w:sz w:val="18"/>
                <w:szCs w:val="18"/>
                <w:lang w:val="fr-FR" w:eastAsia="en-CA"/>
              </w:rPr>
              <w:t>188</w:t>
            </w:r>
          </w:p>
        </w:tc>
        <w:tc>
          <w:tcPr>
            <w:tcW w:w="1080" w:type="dxa"/>
            <w:tcBorders>
              <w:top w:val="nil"/>
              <w:left w:val="nil"/>
              <w:bottom w:val="single" w:sz="4" w:space="0" w:color="auto"/>
              <w:right w:val="single" w:sz="4" w:space="0" w:color="auto"/>
            </w:tcBorders>
            <w:shd w:val="clear" w:color="auto" w:fill="auto"/>
            <w:noWrap/>
            <w:vAlign w:val="bottom"/>
          </w:tcPr>
          <w:p w14:paraId="3A9596AB" w14:textId="38A22C64" w:rsidR="00C65CDE" w:rsidRPr="00BA52C1" w:rsidRDefault="00C65CDE" w:rsidP="00C65CDE">
            <w:pPr>
              <w:pStyle w:val="CBDTableNormal"/>
              <w:spacing w:before="0" w:after="0"/>
              <w:jc w:val="right"/>
              <w:rPr>
                <w:sz w:val="18"/>
                <w:szCs w:val="18"/>
                <w:lang w:val="fr-FR" w:eastAsia="en-CA"/>
              </w:rPr>
            </w:pPr>
            <w:r w:rsidRPr="00BA52C1">
              <w:rPr>
                <w:sz w:val="18"/>
                <w:szCs w:val="18"/>
                <w:lang w:val="fr-FR" w:eastAsia="en-CA"/>
              </w:rPr>
              <w:t>364</w:t>
            </w:r>
          </w:p>
        </w:tc>
      </w:tr>
      <w:tr w:rsidR="00C65CDE" w:rsidRPr="00BA52C1" w14:paraId="74EC88F8"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4B33004" w14:textId="533C3BBD" w:rsidR="00C65CDE" w:rsidRPr="00BA52C1" w:rsidRDefault="00C65CDE" w:rsidP="00C65CDE">
            <w:pPr>
              <w:pStyle w:val="CBDTableNormal"/>
              <w:spacing w:before="0" w:after="0"/>
              <w:rPr>
                <w:sz w:val="18"/>
                <w:szCs w:val="18"/>
                <w:lang w:val="fr-FR" w:eastAsia="en-CA"/>
              </w:rPr>
            </w:pPr>
            <w:r>
              <w:rPr>
                <w:sz w:val="18"/>
                <w:szCs w:val="18"/>
                <w:lang w:val="fr-FR" w:eastAsia="en-CA"/>
              </w:rPr>
              <w:t>République de Corée</w:t>
            </w:r>
          </w:p>
        </w:tc>
        <w:tc>
          <w:tcPr>
            <w:tcW w:w="1628" w:type="dxa"/>
            <w:tcBorders>
              <w:top w:val="nil"/>
              <w:left w:val="nil"/>
              <w:bottom w:val="single" w:sz="4" w:space="0" w:color="auto"/>
              <w:right w:val="single" w:sz="4" w:space="0" w:color="auto"/>
            </w:tcBorders>
            <w:shd w:val="clear" w:color="auto" w:fill="auto"/>
            <w:vAlign w:val="bottom"/>
            <w:hideMark/>
          </w:tcPr>
          <w:p w14:paraId="7945D979" w14:textId="5F49DC99" w:rsidR="00C65CDE" w:rsidRPr="00BA52C1" w:rsidRDefault="00C65CDE" w:rsidP="00C65CDE">
            <w:pPr>
              <w:pStyle w:val="CBDTableNormal"/>
              <w:spacing w:before="0" w:after="0"/>
              <w:jc w:val="right"/>
              <w:rPr>
                <w:sz w:val="18"/>
                <w:szCs w:val="18"/>
                <w:lang w:val="fr-FR" w:eastAsia="en-CA"/>
              </w:rPr>
            </w:pPr>
            <w:r w:rsidRPr="00BA52C1">
              <w:rPr>
                <w:sz w:val="18"/>
                <w:szCs w:val="18"/>
                <w:lang w:val="fr-FR" w:eastAsia="en-CA"/>
              </w:rPr>
              <w:t>2</w:t>
            </w:r>
            <w:r>
              <w:rPr>
                <w:sz w:val="18"/>
                <w:szCs w:val="18"/>
                <w:lang w:val="fr-FR" w:eastAsia="en-CA"/>
              </w:rPr>
              <w:t>,</w:t>
            </w:r>
            <w:r w:rsidRPr="00BA52C1">
              <w:rPr>
                <w:sz w:val="18"/>
                <w:szCs w:val="18"/>
                <w:lang w:val="fr-FR" w:eastAsia="en-CA"/>
              </w:rPr>
              <w:t>574</w:t>
            </w:r>
          </w:p>
        </w:tc>
        <w:tc>
          <w:tcPr>
            <w:tcW w:w="2198" w:type="dxa"/>
            <w:tcBorders>
              <w:top w:val="nil"/>
              <w:left w:val="nil"/>
              <w:bottom w:val="single" w:sz="4" w:space="0" w:color="auto"/>
              <w:right w:val="single" w:sz="4" w:space="0" w:color="auto"/>
            </w:tcBorders>
            <w:shd w:val="clear" w:color="auto" w:fill="auto"/>
            <w:noWrap/>
            <w:vAlign w:val="bottom"/>
            <w:hideMark/>
          </w:tcPr>
          <w:p w14:paraId="07B4F6DD" w14:textId="482BED10" w:rsidR="00C65CDE" w:rsidRPr="00BA52C1" w:rsidRDefault="00C65CDE" w:rsidP="00C65CDE">
            <w:pPr>
              <w:pStyle w:val="CBDTableNormal"/>
              <w:spacing w:before="0" w:after="0"/>
              <w:jc w:val="right"/>
              <w:rPr>
                <w:sz w:val="18"/>
                <w:szCs w:val="18"/>
                <w:lang w:val="fr-FR" w:eastAsia="en-CA"/>
              </w:rPr>
            </w:pPr>
            <w:r w:rsidRPr="00BA52C1">
              <w:rPr>
                <w:sz w:val="18"/>
                <w:szCs w:val="18"/>
                <w:lang w:val="fr-FR" w:eastAsia="en-CA"/>
              </w:rPr>
              <w:t>3</w:t>
            </w:r>
            <w:r>
              <w:rPr>
                <w:sz w:val="18"/>
                <w:szCs w:val="18"/>
                <w:lang w:val="fr-FR" w:eastAsia="en-CA"/>
              </w:rPr>
              <w:t>,</w:t>
            </w:r>
            <w:r w:rsidRPr="00BA52C1">
              <w:rPr>
                <w:sz w:val="18"/>
                <w:szCs w:val="18"/>
                <w:lang w:val="fr-FR" w:eastAsia="en-CA"/>
              </w:rPr>
              <w:t>218</w:t>
            </w:r>
          </w:p>
        </w:tc>
        <w:tc>
          <w:tcPr>
            <w:tcW w:w="1176" w:type="dxa"/>
            <w:tcBorders>
              <w:top w:val="nil"/>
              <w:left w:val="nil"/>
              <w:bottom w:val="single" w:sz="4" w:space="0" w:color="auto"/>
              <w:right w:val="single" w:sz="4" w:space="0" w:color="auto"/>
            </w:tcBorders>
            <w:shd w:val="clear" w:color="auto" w:fill="auto"/>
            <w:noWrap/>
            <w:vAlign w:val="bottom"/>
            <w:hideMark/>
          </w:tcPr>
          <w:p w14:paraId="446F3229" w14:textId="115F3CFC" w:rsidR="00C65CDE" w:rsidRPr="00BA52C1" w:rsidRDefault="00C65CDE" w:rsidP="00C65CDE">
            <w:pPr>
              <w:pStyle w:val="CBDTableNormal"/>
              <w:spacing w:before="0" w:after="0"/>
              <w:jc w:val="right"/>
              <w:rPr>
                <w:sz w:val="18"/>
                <w:szCs w:val="18"/>
                <w:lang w:val="fr-FR" w:eastAsia="en-CA"/>
              </w:rPr>
            </w:pPr>
            <w:r w:rsidRPr="00BA52C1">
              <w:rPr>
                <w:sz w:val="18"/>
                <w:szCs w:val="18"/>
                <w:lang w:val="fr-FR" w:eastAsia="en-CA"/>
              </w:rPr>
              <w:t>453 010</w:t>
            </w:r>
          </w:p>
        </w:tc>
        <w:tc>
          <w:tcPr>
            <w:tcW w:w="1461" w:type="dxa"/>
            <w:tcBorders>
              <w:top w:val="nil"/>
              <w:left w:val="nil"/>
              <w:bottom w:val="single" w:sz="4" w:space="0" w:color="auto"/>
              <w:right w:val="single" w:sz="4" w:space="0" w:color="auto"/>
            </w:tcBorders>
            <w:shd w:val="clear" w:color="auto" w:fill="auto"/>
            <w:noWrap/>
            <w:vAlign w:val="bottom"/>
            <w:hideMark/>
          </w:tcPr>
          <w:p w14:paraId="78E4195F" w14:textId="230AF7A7" w:rsidR="00C65CDE" w:rsidRPr="00BA52C1" w:rsidRDefault="00C65CDE" w:rsidP="00C65CDE">
            <w:pPr>
              <w:pStyle w:val="CBDTableNormal"/>
              <w:spacing w:before="0" w:after="0"/>
              <w:jc w:val="right"/>
              <w:rPr>
                <w:sz w:val="18"/>
                <w:szCs w:val="18"/>
                <w:lang w:val="fr-FR" w:eastAsia="en-CA"/>
              </w:rPr>
            </w:pPr>
            <w:r w:rsidRPr="00BA52C1">
              <w:rPr>
                <w:sz w:val="18"/>
                <w:szCs w:val="18"/>
                <w:lang w:val="fr-FR" w:eastAsia="en-CA"/>
              </w:rPr>
              <w:t>484 006</w:t>
            </w:r>
          </w:p>
        </w:tc>
        <w:tc>
          <w:tcPr>
            <w:tcW w:w="1080" w:type="dxa"/>
            <w:tcBorders>
              <w:top w:val="nil"/>
              <w:left w:val="nil"/>
              <w:bottom w:val="single" w:sz="4" w:space="0" w:color="auto"/>
              <w:right w:val="single" w:sz="4" w:space="0" w:color="auto"/>
            </w:tcBorders>
            <w:shd w:val="clear" w:color="auto" w:fill="auto"/>
            <w:noWrap/>
            <w:vAlign w:val="bottom"/>
            <w:hideMark/>
          </w:tcPr>
          <w:p w14:paraId="61AE407B" w14:textId="57056339" w:rsidR="00C65CDE" w:rsidRPr="00BA52C1" w:rsidRDefault="00C65CDE" w:rsidP="00C65CDE">
            <w:pPr>
              <w:pStyle w:val="CBDTableNormal"/>
              <w:spacing w:before="0" w:after="0"/>
              <w:jc w:val="right"/>
              <w:rPr>
                <w:sz w:val="18"/>
                <w:szCs w:val="18"/>
                <w:lang w:val="fr-FR" w:eastAsia="en-CA"/>
              </w:rPr>
            </w:pPr>
            <w:r w:rsidRPr="00BA52C1">
              <w:rPr>
                <w:sz w:val="18"/>
                <w:szCs w:val="18"/>
                <w:lang w:val="fr-FR" w:eastAsia="en-CA"/>
              </w:rPr>
              <w:t>937 016</w:t>
            </w:r>
          </w:p>
        </w:tc>
      </w:tr>
      <w:tr w:rsidR="00C65CDE" w:rsidRPr="00BA52C1" w14:paraId="6AD6C7EF"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14F8D94" w14:textId="2DD6C283" w:rsidR="00C65CDE" w:rsidRPr="00BA52C1" w:rsidRDefault="00C65CDE" w:rsidP="00C65CDE">
            <w:pPr>
              <w:pStyle w:val="CBDTableNormal"/>
              <w:spacing w:before="0" w:after="0"/>
              <w:rPr>
                <w:sz w:val="18"/>
                <w:szCs w:val="18"/>
                <w:lang w:val="fr-FR" w:eastAsia="en-CA"/>
              </w:rPr>
            </w:pPr>
            <w:r>
              <w:rPr>
                <w:sz w:val="18"/>
                <w:szCs w:val="18"/>
                <w:lang w:val="fr-FR" w:eastAsia="en-CA"/>
              </w:rPr>
              <w:t>République de</w:t>
            </w:r>
            <w:r w:rsidRPr="00BA52C1">
              <w:rPr>
                <w:sz w:val="18"/>
                <w:szCs w:val="18"/>
                <w:lang w:val="fr-FR" w:eastAsia="en-CA"/>
              </w:rPr>
              <w:t xml:space="preserve"> Moldova</w:t>
            </w:r>
          </w:p>
        </w:tc>
        <w:tc>
          <w:tcPr>
            <w:tcW w:w="1628" w:type="dxa"/>
            <w:tcBorders>
              <w:top w:val="nil"/>
              <w:left w:val="nil"/>
              <w:bottom w:val="single" w:sz="4" w:space="0" w:color="auto"/>
              <w:right w:val="single" w:sz="4" w:space="0" w:color="auto"/>
            </w:tcBorders>
            <w:shd w:val="clear" w:color="auto" w:fill="auto"/>
            <w:vAlign w:val="bottom"/>
            <w:hideMark/>
          </w:tcPr>
          <w:p w14:paraId="53F7276E" w14:textId="1F23A8F8" w:rsidR="00C65CDE" w:rsidRPr="00BA52C1" w:rsidRDefault="00C65CDE" w:rsidP="00C65CD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005</w:t>
            </w:r>
          </w:p>
        </w:tc>
        <w:tc>
          <w:tcPr>
            <w:tcW w:w="2198" w:type="dxa"/>
            <w:tcBorders>
              <w:top w:val="nil"/>
              <w:left w:val="nil"/>
              <w:bottom w:val="single" w:sz="4" w:space="0" w:color="auto"/>
              <w:right w:val="single" w:sz="4" w:space="0" w:color="auto"/>
            </w:tcBorders>
            <w:shd w:val="clear" w:color="auto" w:fill="auto"/>
            <w:noWrap/>
            <w:vAlign w:val="bottom"/>
            <w:hideMark/>
          </w:tcPr>
          <w:p w14:paraId="4BB0776F" w14:textId="060E4A6C" w:rsidR="00C65CDE" w:rsidRPr="00BA52C1" w:rsidRDefault="00C65CDE" w:rsidP="00C65CD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006</w:t>
            </w:r>
          </w:p>
        </w:tc>
        <w:tc>
          <w:tcPr>
            <w:tcW w:w="1176" w:type="dxa"/>
            <w:tcBorders>
              <w:top w:val="nil"/>
              <w:left w:val="nil"/>
              <w:bottom w:val="single" w:sz="4" w:space="0" w:color="auto"/>
              <w:right w:val="single" w:sz="4" w:space="0" w:color="auto"/>
            </w:tcBorders>
            <w:shd w:val="clear" w:color="auto" w:fill="auto"/>
            <w:noWrap/>
            <w:vAlign w:val="bottom"/>
            <w:hideMark/>
          </w:tcPr>
          <w:p w14:paraId="4BE2BA4F" w14:textId="1C605C02" w:rsidR="00C65CDE" w:rsidRPr="00BA52C1" w:rsidRDefault="00C65CDE" w:rsidP="00C65CDE">
            <w:pPr>
              <w:pStyle w:val="CBDTableNormal"/>
              <w:spacing w:before="0" w:after="0"/>
              <w:jc w:val="right"/>
              <w:rPr>
                <w:sz w:val="18"/>
                <w:szCs w:val="18"/>
                <w:lang w:val="fr-FR" w:eastAsia="en-CA"/>
              </w:rPr>
            </w:pPr>
            <w:r w:rsidRPr="00BA52C1">
              <w:rPr>
                <w:sz w:val="18"/>
                <w:szCs w:val="18"/>
                <w:lang w:val="fr-FR" w:eastAsia="en-CA"/>
              </w:rPr>
              <w:t>880</w:t>
            </w:r>
          </w:p>
        </w:tc>
        <w:tc>
          <w:tcPr>
            <w:tcW w:w="1461" w:type="dxa"/>
            <w:tcBorders>
              <w:top w:val="nil"/>
              <w:left w:val="nil"/>
              <w:bottom w:val="single" w:sz="4" w:space="0" w:color="auto"/>
              <w:right w:val="single" w:sz="4" w:space="0" w:color="auto"/>
            </w:tcBorders>
            <w:shd w:val="clear" w:color="auto" w:fill="auto"/>
            <w:noWrap/>
            <w:vAlign w:val="bottom"/>
            <w:hideMark/>
          </w:tcPr>
          <w:p w14:paraId="5412527F" w14:textId="21CDB96E" w:rsidR="00C65CDE" w:rsidRPr="00BA52C1" w:rsidRDefault="00C65CDE" w:rsidP="00C65CDE">
            <w:pPr>
              <w:pStyle w:val="CBDTableNormal"/>
              <w:spacing w:before="0" w:after="0"/>
              <w:jc w:val="right"/>
              <w:rPr>
                <w:sz w:val="18"/>
                <w:szCs w:val="18"/>
                <w:lang w:val="fr-FR" w:eastAsia="en-CA"/>
              </w:rPr>
            </w:pPr>
            <w:r w:rsidRPr="00BA52C1">
              <w:rPr>
                <w:sz w:val="18"/>
                <w:szCs w:val="18"/>
                <w:lang w:val="fr-FR" w:eastAsia="en-CA"/>
              </w:rPr>
              <w:t>940</w:t>
            </w:r>
          </w:p>
        </w:tc>
        <w:tc>
          <w:tcPr>
            <w:tcW w:w="1080" w:type="dxa"/>
            <w:tcBorders>
              <w:top w:val="nil"/>
              <w:left w:val="nil"/>
              <w:bottom w:val="single" w:sz="4" w:space="0" w:color="auto"/>
              <w:right w:val="single" w:sz="4" w:space="0" w:color="auto"/>
            </w:tcBorders>
            <w:shd w:val="clear" w:color="auto" w:fill="auto"/>
            <w:noWrap/>
            <w:vAlign w:val="bottom"/>
            <w:hideMark/>
          </w:tcPr>
          <w:p w14:paraId="5DF3BE42" w14:textId="3AE28B8F" w:rsidR="00C65CDE" w:rsidRPr="00BA52C1" w:rsidRDefault="00C65CDE" w:rsidP="00C65CDE">
            <w:pPr>
              <w:pStyle w:val="CBDTableNormal"/>
              <w:spacing w:before="0" w:after="0"/>
              <w:jc w:val="right"/>
              <w:rPr>
                <w:sz w:val="18"/>
                <w:szCs w:val="18"/>
                <w:lang w:val="fr-FR" w:eastAsia="en-CA"/>
              </w:rPr>
            </w:pPr>
            <w:r w:rsidRPr="00BA52C1">
              <w:rPr>
                <w:sz w:val="18"/>
                <w:szCs w:val="18"/>
                <w:lang w:val="fr-FR" w:eastAsia="en-CA"/>
              </w:rPr>
              <w:t>1 820</w:t>
            </w:r>
          </w:p>
        </w:tc>
      </w:tr>
      <w:tr w:rsidR="00C65CDE" w:rsidRPr="00BA52C1" w14:paraId="7A308A82"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tcPr>
          <w:p w14:paraId="03D70567" w14:textId="24F641EB" w:rsidR="00C65CDE" w:rsidRDefault="00C65CDE" w:rsidP="00C65CDE">
            <w:pPr>
              <w:pStyle w:val="CBDTableNormal"/>
              <w:spacing w:before="0" w:after="0"/>
              <w:rPr>
                <w:sz w:val="18"/>
                <w:szCs w:val="18"/>
                <w:lang w:val="fr-FR" w:eastAsia="en-CA"/>
              </w:rPr>
            </w:pPr>
            <w:r>
              <w:rPr>
                <w:sz w:val="18"/>
                <w:szCs w:val="18"/>
                <w:lang w:val="fr-FR" w:eastAsia="en-CA"/>
              </w:rPr>
              <w:t>République démocratique du Congo</w:t>
            </w:r>
          </w:p>
        </w:tc>
        <w:tc>
          <w:tcPr>
            <w:tcW w:w="1628" w:type="dxa"/>
            <w:tcBorders>
              <w:top w:val="nil"/>
              <w:left w:val="nil"/>
              <w:bottom w:val="single" w:sz="4" w:space="0" w:color="auto"/>
              <w:right w:val="single" w:sz="4" w:space="0" w:color="auto"/>
            </w:tcBorders>
            <w:shd w:val="clear" w:color="auto" w:fill="auto"/>
            <w:vAlign w:val="bottom"/>
          </w:tcPr>
          <w:p w14:paraId="6AF6FADC" w14:textId="76DB93CB" w:rsidR="00C65CDE" w:rsidRPr="00BA52C1" w:rsidRDefault="00C65CDE" w:rsidP="00C65CD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010</w:t>
            </w:r>
          </w:p>
        </w:tc>
        <w:tc>
          <w:tcPr>
            <w:tcW w:w="2198" w:type="dxa"/>
            <w:tcBorders>
              <w:top w:val="nil"/>
              <w:left w:val="nil"/>
              <w:bottom w:val="single" w:sz="4" w:space="0" w:color="auto"/>
              <w:right w:val="single" w:sz="4" w:space="0" w:color="auto"/>
            </w:tcBorders>
            <w:shd w:val="clear" w:color="auto" w:fill="auto"/>
            <w:noWrap/>
            <w:vAlign w:val="bottom"/>
          </w:tcPr>
          <w:p w14:paraId="2002BDD7" w14:textId="60C1D113" w:rsidR="00C65CDE" w:rsidRPr="00BA52C1" w:rsidRDefault="00C65CDE" w:rsidP="00C65CD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010</w:t>
            </w:r>
          </w:p>
        </w:tc>
        <w:tc>
          <w:tcPr>
            <w:tcW w:w="1176" w:type="dxa"/>
            <w:tcBorders>
              <w:top w:val="nil"/>
              <w:left w:val="nil"/>
              <w:bottom w:val="single" w:sz="4" w:space="0" w:color="auto"/>
              <w:right w:val="single" w:sz="4" w:space="0" w:color="auto"/>
            </w:tcBorders>
            <w:shd w:val="clear" w:color="auto" w:fill="auto"/>
            <w:noWrap/>
            <w:vAlign w:val="bottom"/>
          </w:tcPr>
          <w:p w14:paraId="24399495" w14:textId="067EA956" w:rsidR="00C65CDE" w:rsidRPr="00BA52C1" w:rsidRDefault="00C65CDE" w:rsidP="00C65CDE">
            <w:pPr>
              <w:pStyle w:val="CBDTableNormal"/>
              <w:spacing w:before="0" w:after="0"/>
              <w:jc w:val="right"/>
              <w:rPr>
                <w:sz w:val="18"/>
                <w:szCs w:val="18"/>
                <w:lang w:val="fr-FR" w:eastAsia="en-CA"/>
              </w:rPr>
            </w:pPr>
            <w:r w:rsidRPr="00BA52C1">
              <w:rPr>
                <w:sz w:val="18"/>
                <w:szCs w:val="18"/>
                <w:lang w:val="fr-FR" w:eastAsia="en-CA"/>
              </w:rPr>
              <w:t>1 408</w:t>
            </w:r>
          </w:p>
        </w:tc>
        <w:tc>
          <w:tcPr>
            <w:tcW w:w="1461" w:type="dxa"/>
            <w:tcBorders>
              <w:top w:val="nil"/>
              <w:left w:val="nil"/>
              <w:bottom w:val="single" w:sz="4" w:space="0" w:color="auto"/>
              <w:right w:val="single" w:sz="4" w:space="0" w:color="auto"/>
            </w:tcBorders>
            <w:shd w:val="clear" w:color="auto" w:fill="auto"/>
            <w:noWrap/>
            <w:vAlign w:val="bottom"/>
          </w:tcPr>
          <w:p w14:paraId="5005E9CD" w14:textId="4432FD24" w:rsidR="00C65CDE" w:rsidRPr="00BA52C1" w:rsidRDefault="00C65CDE" w:rsidP="00C65CDE">
            <w:pPr>
              <w:pStyle w:val="CBDTableNormal"/>
              <w:spacing w:before="0" w:after="0"/>
              <w:jc w:val="right"/>
              <w:rPr>
                <w:sz w:val="18"/>
                <w:szCs w:val="18"/>
                <w:lang w:val="fr-FR" w:eastAsia="en-CA"/>
              </w:rPr>
            </w:pPr>
            <w:r w:rsidRPr="00BA52C1">
              <w:rPr>
                <w:sz w:val="18"/>
                <w:szCs w:val="18"/>
                <w:lang w:val="fr-FR" w:eastAsia="en-CA"/>
              </w:rPr>
              <w:t>1 504</w:t>
            </w:r>
          </w:p>
        </w:tc>
        <w:tc>
          <w:tcPr>
            <w:tcW w:w="1080" w:type="dxa"/>
            <w:tcBorders>
              <w:top w:val="nil"/>
              <w:left w:val="nil"/>
              <w:bottom w:val="single" w:sz="4" w:space="0" w:color="auto"/>
              <w:right w:val="single" w:sz="4" w:space="0" w:color="auto"/>
            </w:tcBorders>
            <w:shd w:val="clear" w:color="auto" w:fill="auto"/>
            <w:noWrap/>
            <w:vAlign w:val="bottom"/>
          </w:tcPr>
          <w:p w14:paraId="0DE736DE" w14:textId="7326310E" w:rsidR="00C65CDE" w:rsidRPr="00BA52C1" w:rsidRDefault="00C65CDE" w:rsidP="00C65CDE">
            <w:pPr>
              <w:pStyle w:val="CBDTableNormal"/>
              <w:spacing w:before="0" w:after="0"/>
              <w:jc w:val="right"/>
              <w:rPr>
                <w:sz w:val="18"/>
                <w:szCs w:val="18"/>
                <w:lang w:val="fr-FR" w:eastAsia="en-CA"/>
              </w:rPr>
            </w:pPr>
            <w:r w:rsidRPr="00BA52C1">
              <w:rPr>
                <w:sz w:val="18"/>
                <w:szCs w:val="18"/>
                <w:lang w:val="fr-FR" w:eastAsia="en-CA"/>
              </w:rPr>
              <w:t>2 912</w:t>
            </w:r>
          </w:p>
        </w:tc>
      </w:tr>
      <w:tr w:rsidR="00C65CDE" w:rsidRPr="00BA52C1" w14:paraId="3E5F533D"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tcPr>
          <w:p w14:paraId="75F676D5" w14:textId="1B95344B" w:rsidR="00C65CDE" w:rsidRDefault="00C65CDE" w:rsidP="00C65CDE">
            <w:pPr>
              <w:pStyle w:val="CBDTableNormal"/>
              <w:spacing w:before="0" w:after="0"/>
              <w:rPr>
                <w:sz w:val="18"/>
                <w:szCs w:val="18"/>
                <w:lang w:val="fr-FR" w:eastAsia="en-CA"/>
              </w:rPr>
            </w:pPr>
            <w:r>
              <w:rPr>
                <w:sz w:val="18"/>
                <w:szCs w:val="18"/>
                <w:lang w:val="fr-FR" w:eastAsia="en-CA"/>
              </w:rPr>
              <w:lastRenderedPageBreak/>
              <w:t>République démocratique populaire lao</w:t>
            </w:r>
          </w:p>
        </w:tc>
        <w:tc>
          <w:tcPr>
            <w:tcW w:w="1628" w:type="dxa"/>
            <w:tcBorders>
              <w:top w:val="nil"/>
              <w:left w:val="nil"/>
              <w:bottom w:val="single" w:sz="4" w:space="0" w:color="auto"/>
              <w:right w:val="single" w:sz="4" w:space="0" w:color="auto"/>
            </w:tcBorders>
            <w:shd w:val="clear" w:color="auto" w:fill="auto"/>
            <w:vAlign w:val="bottom"/>
          </w:tcPr>
          <w:p w14:paraId="0B39B581" w14:textId="74CD91DA" w:rsidR="00C65CDE" w:rsidRPr="00BA52C1" w:rsidRDefault="00C65CDE" w:rsidP="00C65CD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007</w:t>
            </w:r>
          </w:p>
        </w:tc>
        <w:tc>
          <w:tcPr>
            <w:tcW w:w="2198" w:type="dxa"/>
            <w:tcBorders>
              <w:top w:val="nil"/>
              <w:left w:val="nil"/>
              <w:bottom w:val="single" w:sz="4" w:space="0" w:color="auto"/>
              <w:right w:val="single" w:sz="4" w:space="0" w:color="auto"/>
            </w:tcBorders>
            <w:shd w:val="clear" w:color="auto" w:fill="auto"/>
            <w:noWrap/>
            <w:vAlign w:val="bottom"/>
          </w:tcPr>
          <w:p w14:paraId="3FF4DBEC" w14:textId="0D614CF0" w:rsidR="00C65CDE" w:rsidRPr="00BA52C1" w:rsidRDefault="00C65CDE" w:rsidP="00C65CDE">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009</w:t>
            </w:r>
          </w:p>
        </w:tc>
        <w:tc>
          <w:tcPr>
            <w:tcW w:w="1176" w:type="dxa"/>
            <w:tcBorders>
              <w:top w:val="nil"/>
              <w:left w:val="nil"/>
              <w:bottom w:val="single" w:sz="4" w:space="0" w:color="auto"/>
              <w:right w:val="single" w:sz="4" w:space="0" w:color="auto"/>
            </w:tcBorders>
            <w:shd w:val="clear" w:color="auto" w:fill="auto"/>
            <w:noWrap/>
            <w:vAlign w:val="bottom"/>
          </w:tcPr>
          <w:p w14:paraId="2FA5C035" w14:textId="68D146A9" w:rsidR="00C65CDE" w:rsidRPr="00BA52C1" w:rsidRDefault="00C65CDE" w:rsidP="00C65CDE">
            <w:pPr>
              <w:pStyle w:val="CBDTableNormal"/>
              <w:spacing w:before="0" w:after="0"/>
              <w:jc w:val="right"/>
              <w:rPr>
                <w:sz w:val="18"/>
                <w:szCs w:val="18"/>
                <w:lang w:val="fr-FR" w:eastAsia="en-CA"/>
              </w:rPr>
            </w:pPr>
            <w:r w:rsidRPr="00BA52C1">
              <w:rPr>
                <w:sz w:val="18"/>
                <w:szCs w:val="18"/>
                <w:lang w:val="fr-FR" w:eastAsia="en-CA"/>
              </w:rPr>
              <w:t>1 232</w:t>
            </w:r>
          </w:p>
        </w:tc>
        <w:tc>
          <w:tcPr>
            <w:tcW w:w="1461" w:type="dxa"/>
            <w:tcBorders>
              <w:top w:val="nil"/>
              <w:left w:val="nil"/>
              <w:bottom w:val="single" w:sz="4" w:space="0" w:color="auto"/>
              <w:right w:val="single" w:sz="4" w:space="0" w:color="auto"/>
            </w:tcBorders>
            <w:shd w:val="clear" w:color="auto" w:fill="auto"/>
            <w:noWrap/>
            <w:vAlign w:val="bottom"/>
          </w:tcPr>
          <w:p w14:paraId="04CB7212" w14:textId="3F90B96E" w:rsidR="00C65CDE" w:rsidRPr="00BA52C1" w:rsidRDefault="00C65CDE" w:rsidP="00C65CDE">
            <w:pPr>
              <w:pStyle w:val="CBDTableNormal"/>
              <w:spacing w:before="0" w:after="0"/>
              <w:jc w:val="right"/>
              <w:rPr>
                <w:sz w:val="18"/>
                <w:szCs w:val="18"/>
                <w:lang w:val="fr-FR" w:eastAsia="en-CA"/>
              </w:rPr>
            </w:pPr>
            <w:r w:rsidRPr="00BA52C1">
              <w:rPr>
                <w:sz w:val="18"/>
                <w:szCs w:val="18"/>
                <w:lang w:val="fr-FR" w:eastAsia="en-CA"/>
              </w:rPr>
              <w:t>1 316</w:t>
            </w:r>
          </w:p>
        </w:tc>
        <w:tc>
          <w:tcPr>
            <w:tcW w:w="1080" w:type="dxa"/>
            <w:tcBorders>
              <w:top w:val="nil"/>
              <w:left w:val="nil"/>
              <w:bottom w:val="single" w:sz="4" w:space="0" w:color="auto"/>
              <w:right w:val="single" w:sz="4" w:space="0" w:color="auto"/>
            </w:tcBorders>
            <w:shd w:val="clear" w:color="auto" w:fill="auto"/>
            <w:noWrap/>
            <w:vAlign w:val="bottom"/>
          </w:tcPr>
          <w:p w14:paraId="0BE3D497" w14:textId="2E268A5A" w:rsidR="00C65CDE" w:rsidRPr="00BA52C1" w:rsidRDefault="00C65CDE" w:rsidP="00C65CDE">
            <w:pPr>
              <w:pStyle w:val="CBDTableNormal"/>
              <w:spacing w:before="0" w:after="0"/>
              <w:jc w:val="right"/>
              <w:rPr>
                <w:sz w:val="18"/>
                <w:szCs w:val="18"/>
                <w:lang w:val="fr-FR" w:eastAsia="en-CA"/>
              </w:rPr>
            </w:pPr>
            <w:r w:rsidRPr="00BA52C1">
              <w:rPr>
                <w:sz w:val="18"/>
                <w:szCs w:val="18"/>
                <w:lang w:val="fr-FR" w:eastAsia="en-CA"/>
              </w:rPr>
              <w:t>2 548</w:t>
            </w:r>
          </w:p>
        </w:tc>
      </w:tr>
      <w:tr w:rsidR="00C65CDE" w:rsidRPr="00BA52C1" w14:paraId="3C5A984A" w14:textId="77777777" w:rsidTr="000A3A8D">
        <w:tc>
          <w:tcPr>
            <w:tcW w:w="1880" w:type="dxa"/>
            <w:tcBorders>
              <w:top w:val="nil"/>
              <w:left w:val="single" w:sz="4" w:space="0" w:color="auto"/>
              <w:bottom w:val="single" w:sz="4" w:space="0" w:color="auto"/>
              <w:right w:val="single" w:sz="4" w:space="0" w:color="auto"/>
            </w:tcBorders>
            <w:shd w:val="clear" w:color="auto" w:fill="auto"/>
          </w:tcPr>
          <w:p w14:paraId="216829C6" w14:textId="4D55B1DC" w:rsidR="00C65CDE" w:rsidRPr="00386C1F" w:rsidRDefault="00C65CDE" w:rsidP="00C65CDE">
            <w:pPr>
              <w:pStyle w:val="CBDTableNormal"/>
              <w:spacing w:before="0" w:after="0"/>
              <w:rPr>
                <w:sz w:val="18"/>
                <w:szCs w:val="20"/>
                <w:lang w:val="fr-FR" w:eastAsia="en-CA"/>
              </w:rPr>
            </w:pPr>
            <w:r w:rsidRPr="00386C1F">
              <w:rPr>
                <w:sz w:val="18"/>
                <w:szCs w:val="20"/>
                <w:lang w:val="fr-FR"/>
              </w:rPr>
              <w:t>République dominicaine</w:t>
            </w:r>
          </w:p>
        </w:tc>
        <w:tc>
          <w:tcPr>
            <w:tcW w:w="1628" w:type="dxa"/>
            <w:tcBorders>
              <w:top w:val="nil"/>
              <w:left w:val="nil"/>
              <w:bottom w:val="single" w:sz="4" w:space="0" w:color="auto"/>
              <w:right w:val="single" w:sz="4" w:space="0" w:color="auto"/>
            </w:tcBorders>
            <w:shd w:val="clear" w:color="auto" w:fill="auto"/>
          </w:tcPr>
          <w:p w14:paraId="34175856" w14:textId="665DF80B" w:rsidR="00C65CDE" w:rsidRPr="00C65CDE" w:rsidRDefault="00C65CDE" w:rsidP="00C65CDE">
            <w:pPr>
              <w:pStyle w:val="CBDTableNormal"/>
              <w:spacing w:before="0" w:after="0"/>
              <w:jc w:val="right"/>
              <w:rPr>
                <w:sz w:val="18"/>
                <w:szCs w:val="20"/>
                <w:lang w:val="fr-FR" w:eastAsia="en-CA"/>
              </w:rPr>
            </w:pPr>
            <w:r w:rsidRPr="00C65CDE">
              <w:rPr>
                <w:sz w:val="18"/>
                <w:szCs w:val="20"/>
              </w:rPr>
              <w:t>0,067</w:t>
            </w:r>
          </w:p>
        </w:tc>
        <w:tc>
          <w:tcPr>
            <w:tcW w:w="2198" w:type="dxa"/>
            <w:tcBorders>
              <w:top w:val="nil"/>
              <w:left w:val="nil"/>
              <w:bottom w:val="single" w:sz="4" w:space="0" w:color="auto"/>
              <w:right w:val="single" w:sz="4" w:space="0" w:color="auto"/>
            </w:tcBorders>
            <w:shd w:val="clear" w:color="auto" w:fill="auto"/>
            <w:noWrap/>
          </w:tcPr>
          <w:p w14:paraId="7EA4B90D" w14:textId="3E01B056" w:rsidR="00C65CDE" w:rsidRPr="00C65CDE" w:rsidRDefault="00C65CDE" w:rsidP="00C65CDE">
            <w:pPr>
              <w:pStyle w:val="CBDTableNormal"/>
              <w:spacing w:before="0" w:after="0"/>
              <w:jc w:val="right"/>
              <w:rPr>
                <w:sz w:val="18"/>
                <w:szCs w:val="20"/>
                <w:lang w:val="fr-FR" w:eastAsia="en-CA"/>
              </w:rPr>
            </w:pPr>
            <w:r w:rsidRPr="00C65CDE">
              <w:rPr>
                <w:sz w:val="18"/>
                <w:szCs w:val="20"/>
              </w:rPr>
              <w:t>0,084</w:t>
            </w:r>
          </w:p>
        </w:tc>
        <w:tc>
          <w:tcPr>
            <w:tcW w:w="1176" w:type="dxa"/>
            <w:tcBorders>
              <w:top w:val="nil"/>
              <w:left w:val="nil"/>
              <w:bottom w:val="single" w:sz="4" w:space="0" w:color="auto"/>
              <w:right w:val="single" w:sz="4" w:space="0" w:color="auto"/>
            </w:tcBorders>
            <w:shd w:val="clear" w:color="auto" w:fill="auto"/>
            <w:noWrap/>
          </w:tcPr>
          <w:p w14:paraId="105C1173" w14:textId="61D6B41F" w:rsidR="00C65CDE" w:rsidRPr="00C65CDE" w:rsidRDefault="00C65CDE" w:rsidP="00C65CDE">
            <w:pPr>
              <w:pStyle w:val="CBDTableNormal"/>
              <w:spacing w:before="0" w:after="0"/>
              <w:jc w:val="right"/>
              <w:rPr>
                <w:sz w:val="18"/>
                <w:szCs w:val="20"/>
                <w:lang w:val="fr-FR" w:eastAsia="en-CA"/>
              </w:rPr>
            </w:pPr>
            <w:r w:rsidRPr="00C65CDE">
              <w:rPr>
                <w:sz w:val="18"/>
                <w:szCs w:val="20"/>
              </w:rPr>
              <w:t>11 792</w:t>
            </w:r>
          </w:p>
        </w:tc>
        <w:tc>
          <w:tcPr>
            <w:tcW w:w="1461" w:type="dxa"/>
            <w:tcBorders>
              <w:top w:val="nil"/>
              <w:left w:val="nil"/>
              <w:bottom w:val="single" w:sz="4" w:space="0" w:color="auto"/>
              <w:right w:val="single" w:sz="4" w:space="0" w:color="auto"/>
            </w:tcBorders>
            <w:shd w:val="clear" w:color="auto" w:fill="auto"/>
            <w:noWrap/>
          </w:tcPr>
          <w:p w14:paraId="371627A5" w14:textId="04C90426" w:rsidR="00C65CDE" w:rsidRPr="00C65CDE" w:rsidRDefault="00C65CDE" w:rsidP="00C65CDE">
            <w:pPr>
              <w:pStyle w:val="CBDTableNormal"/>
              <w:spacing w:before="0" w:after="0"/>
              <w:jc w:val="right"/>
              <w:rPr>
                <w:sz w:val="18"/>
                <w:szCs w:val="20"/>
                <w:lang w:val="fr-FR" w:eastAsia="en-CA"/>
              </w:rPr>
            </w:pPr>
            <w:r w:rsidRPr="00C65CDE">
              <w:rPr>
                <w:sz w:val="18"/>
                <w:szCs w:val="20"/>
              </w:rPr>
              <w:t>12 598</w:t>
            </w:r>
          </w:p>
        </w:tc>
        <w:tc>
          <w:tcPr>
            <w:tcW w:w="1080" w:type="dxa"/>
            <w:tcBorders>
              <w:top w:val="nil"/>
              <w:left w:val="nil"/>
              <w:bottom w:val="single" w:sz="4" w:space="0" w:color="auto"/>
              <w:right w:val="single" w:sz="4" w:space="0" w:color="auto"/>
            </w:tcBorders>
            <w:shd w:val="clear" w:color="auto" w:fill="auto"/>
            <w:noWrap/>
          </w:tcPr>
          <w:p w14:paraId="67FBA7A0" w14:textId="2EB0D516" w:rsidR="00C65CDE" w:rsidRPr="00C65CDE" w:rsidRDefault="00C65CDE" w:rsidP="00C65CDE">
            <w:pPr>
              <w:pStyle w:val="CBDTableNormal"/>
              <w:spacing w:before="0" w:after="0"/>
              <w:jc w:val="right"/>
              <w:rPr>
                <w:sz w:val="18"/>
                <w:szCs w:val="20"/>
                <w:lang w:val="fr-FR" w:eastAsia="en-CA"/>
              </w:rPr>
            </w:pPr>
            <w:r w:rsidRPr="00C65CDE">
              <w:rPr>
                <w:sz w:val="18"/>
                <w:szCs w:val="20"/>
              </w:rPr>
              <w:t>24 390</w:t>
            </w:r>
          </w:p>
        </w:tc>
      </w:tr>
      <w:tr w:rsidR="00386C1F" w:rsidRPr="00BA52C1" w14:paraId="2F276307" w14:textId="77777777" w:rsidTr="00C50936">
        <w:tc>
          <w:tcPr>
            <w:tcW w:w="1880" w:type="dxa"/>
            <w:tcBorders>
              <w:top w:val="nil"/>
              <w:left w:val="single" w:sz="4" w:space="0" w:color="auto"/>
              <w:bottom w:val="single" w:sz="4" w:space="0" w:color="auto"/>
              <w:right w:val="single" w:sz="4" w:space="0" w:color="auto"/>
            </w:tcBorders>
            <w:shd w:val="clear" w:color="auto" w:fill="auto"/>
            <w:vAlign w:val="bottom"/>
          </w:tcPr>
          <w:p w14:paraId="1AFF1953" w14:textId="1E303E8A" w:rsidR="00386C1F" w:rsidRPr="00386C1F" w:rsidRDefault="00386C1F" w:rsidP="00386C1F">
            <w:pPr>
              <w:pStyle w:val="CBDTableNormal"/>
              <w:spacing w:before="0" w:after="0"/>
              <w:rPr>
                <w:sz w:val="18"/>
                <w:szCs w:val="20"/>
                <w:lang w:val="fr-FR"/>
              </w:rPr>
            </w:pPr>
            <w:r>
              <w:rPr>
                <w:sz w:val="18"/>
                <w:szCs w:val="18"/>
                <w:lang w:val="fr-FR" w:eastAsia="en-CA"/>
              </w:rPr>
              <w:t>République populaire démocratique de Corée</w:t>
            </w:r>
          </w:p>
        </w:tc>
        <w:tc>
          <w:tcPr>
            <w:tcW w:w="1628" w:type="dxa"/>
            <w:tcBorders>
              <w:top w:val="nil"/>
              <w:left w:val="nil"/>
              <w:bottom w:val="single" w:sz="4" w:space="0" w:color="auto"/>
              <w:right w:val="single" w:sz="4" w:space="0" w:color="auto"/>
            </w:tcBorders>
            <w:shd w:val="clear" w:color="auto" w:fill="auto"/>
            <w:vAlign w:val="bottom"/>
          </w:tcPr>
          <w:p w14:paraId="477B4943" w14:textId="1167277E" w:rsidR="00386C1F" w:rsidRPr="00C65CDE" w:rsidRDefault="00386C1F" w:rsidP="00386C1F">
            <w:pPr>
              <w:pStyle w:val="CBDTableNormal"/>
              <w:spacing w:before="0" w:after="0"/>
              <w:jc w:val="right"/>
              <w:rPr>
                <w:sz w:val="18"/>
                <w:szCs w:val="20"/>
              </w:rPr>
            </w:pPr>
            <w:r w:rsidRPr="00BA52C1">
              <w:rPr>
                <w:sz w:val="18"/>
                <w:szCs w:val="18"/>
                <w:lang w:val="fr-FR" w:eastAsia="en-CA"/>
              </w:rPr>
              <w:t>0</w:t>
            </w:r>
            <w:r>
              <w:rPr>
                <w:sz w:val="18"/>
                <w:szCs w:val="18"/>
                <w:lang w:val="fr-FR" w:eastAsia="en-CA"/>
              </w:rPr>
              <w:t>,</w:t>
            </w:r>
            <w:r w:rsidRPr="00BA52C1">
              <w:rPr>
                <w:sz w:val="18"/>
                <w:szCs w:val="18"/>
                <w:lang w:val="fr-FR" w:eastAsia="en-CA"/>
              </w:rPr>
              <w:t>005</w:t>
            </w:r>
          </w:p>
        </w:tc>
        <w:tc>
          <w:tcPr>
            <w:tcW w:w="2198" w:type="dxa"/>
            <w:tcBorders>
              <w:top w:val="nil"/>
              <w:left w:val="nil"/>
              <w:bottom w:val="single" w:sz="4" w:space="0" w:color="auto"/>
              <w:right w:val="single" w:sz="4" w:space="0" w:color="auto"/>
            </w:tcBorders>
            <w:shd w:val="clear" w:color="auto" w:fill="auto"/>
            <w:noWrap/>
            <w:vAlign w:val="bottom"/>
          </w:tcPr>
          <w:p w14:paraId="5FB66D73" w14:textId="3D62C32C" w:rsidR="00386C1F" w:rsidRPr="00C65CDE" w:rsidRDefault="00386C1F" w:rsidP="00386C1F">
            <w:pPr>
              <w:pStyle w:val="CBDTableNormal"/>
              <w:spacing w:before="0" w:after="0"/>
              <w:jc w:val="right"/>
              <w:rPr>
                <w:sz w:val="18"/>
                <w:szCs w:val="20"/>
              </w:rPr>
            </w:pPr>
            <w:r w:rsidRPr="00BA52C1">
              <w:rPr>
                <w:sz w:val="18"/>
                <w:szCs w:val="18"/>
                <w:lang w:val="fr-FR" w:eastAsia="en-CA"/>
              </w:rPr>
              <w:t>0</w:t>
            </w:r>
            <w:r>
              <w:rPr>
                <w:sz w:val="18"/>
                <w:szCs w:val="18"/>
                <w:lang w:val="fr-FR" w:eastAsia="en-CA"/>
              </w:rPr>
              <w:t>,</w:t>
            </w:r>
            <w:r w:rsidRPr="00BA52C1">
              <w:rPr>
                <w:sz w:val="18"/>
                <w:szCs w:val="18"/>
                <w:lang w:val="fr-FR" w:eastAsia="en-CA"/>
              </w:rPr>
              <w:t>006</w:t>
            </w:r>
          </w:p>
        </w:tc>
        <w:tc>
          <w:tcPr>
            <w:tcW w:w="1176" w:type="dxa"/>
            <w:tcBorders>
              <w:top w:val="nil"/>
              <w:left w:val="nil"/>
              <w:bottom w:val="single" w:sz="4" w:space="0" w:color="auto"/>
              <w:right w:val="single" w:sz="4" w:space="0" w:color="auto"/>
            </w:tcBorders>
            <w:shd w:val="clear" w:color="auto" w:fill="auto"/>
            <w:noWrap/>
            <w:vAlign w:val="bottom"/>
          </w:tcPr>
          <w:p w14:paraId="7491B402" w14:textId="10E643E2" w:rsidR="00386C1F" w:rsidRPr="00C65CDE" w:rsidRDefault="00386C1F" w:rsidP="00386C1F">
            <w:pPr>
              <w:pStyle w:val="CBDTableNormal"/>
              <w:spacing w:before="0" w:after="0"/>
              <w:jc w:val="right"/>
              <w:rPr>
                <w:sz w:val="18"/>
                <w:szCs w:val="20"/>
              </w:rPr>
            </w:pPr>
            <w:r w:rsidRPr="00BA52C1">
              <w:rPr>
                <w:sz w:val="18"/>
                <w:szCs w:val="18"/>
                <w:lang w:val="fr-FR" w:eastAsia="en-CA"/>
              </w:rPr>
              <w:t>880</w:t>
            </w:r>
          </w:p>
        </w:tc>
        <w:tc>
          <w:tcPr>
            <w:tcW w:w="1461" w:type="dxa"/>
            <w:tcBorders>
              <w:top w:val="nil"/>
              <w:left w:val="nil"/>
              <w:bottom w:val="single" w:sz="4" w:space="0" w:color="auto"/>
              <w:right w:val="single" w:sz="4" w:space="0" w:color="auto"/>
            </w:tcBorders>
            <w:shd w:val="clear" w:color="auto" w:fill="auto"/>
            <w:noWrap/>
            <w:vAlign w:val="bottom"/>
          </w:tcPr>
          <w:p w14:paraId="14B3ABC3" w14:textId="6CC6E0DB" w:rsidR="00386C1F" w:rsidRPr="00C65CDE" w:rsidRDefault="00386C1F" w:rsidP="00386C1F">
            <w:pPr>
              <w:pStyle w:val="CBDTableNormal"/>
              <w:spacing w:before="0" w:after="0"/>
              <w:jc w:val="right"/>
              <w:rPr>
                <w:sz w:val="18"/>
                <w:szCs w:val="20"/>
              </w:rPr>
            </w:pPr>
            <w:r w:rsidRPr="00BA52C1">
              <w:rPr>
                <w:sz w:val="18"/>
                <w:szCs w:val="18"/>
                <w:lang w:val="fr-FR" w:eastAsia="en-CA"/>
              </w:rPr>
              <w:t>940</w:t>
            </w:r>
          </w:p>
        </w:tc>
        <w:tc>
          <w:tcPr>
            <w:tcW w:w="1080" w:type="dxa"/>
            <w:tcBorders>
              <w:top w:val="nil"/>
              <w:left w:val="nil"/>
              <w:bottom w:val="single" w:sz="4" w:space="0" w:color="auto"/>
              <w:right w:val="single" w:sz="4" w:space="0" w:color="auto"/>
            </w:tcBorders>
            <w:shd w:val="clear" w:color="auto" w:fill="auto"/>
            <w:noWrap/>
            <w:vAlign w:val="bottom"/>
          </w:tcPr>
          <w:p w14:paraId="4BD11535" w14:textId="24AD34C3" w:rsidR="00386C1F" w:rsidRPr="00C65CDE" w:rsidRDefault="00386C1F" w:rsidP="00386C1F">
            <w:pPr>
              <w:pStyle w:val="CBDTableNormal"/>
              <w:spacing w:before="0" w:after="0"/>
              <w:jc w:val="right"/>
              <w:rPr>
                <w:sz w:val="18"/>
                <w:szCs w:val="20"/>
              </w:rPr>
            </w:pPr>
            <w:r w:rsidRPr="00BA52C1">
              <w:rPr>
                <w:sz w:val="18"/>
                <w:szCs w:val="18"/>
                <w:lang w:val="fr-FR" w:eastAsia="en-CA"/>
              </w:rPr>
              <w:t>1 820</w:t>
            </w:r>
          </w:p>
        </w:tc>
      </w:tr>
      <w:tr w:rsidR="00386C1F" w:rsidRPr="00BA52C1" w14:paraId="546CCD60" w14:textId="77777777" w:rsidTr="00C50936">
        <w:tc>
          <w:tcPr>
            <w:tcW w:w="1880" w:type="dxa"/>
            <w:tcBorders>
              <w:top w:val="nil"/>
              <w:left w:val="single" w:sz="4" w:space="0" w:color="auto"/>
              <w:bottom w:val="single" w:sz="4" w:space="0" w:color="auto"/>
              <w:right w:val="single" w:sz="4" w:space="0" w:color="auto"/>
            </w:tcBorders>
            <w:shd w:val="clear" w:color="auto" w:fill="auto"/>
            <w:vAlign w:val="bottom"/>
          </w:tcPr>
          <w:p w14:paraId="7F86A7FA" w14:textId="7B4935D3" w:rsidR="00386C1F" w:rsidRDefault="00386C1F" w:rsidP="00386C1F">
            <w:pPr>
              <w:pStyle w:val="CBDTableNormal"/>
              <w:spacing w:before="0" w:after="0"/>
              <w:rPr>
                <w:sz w:val="18"/>
                <w:szCs w:val="18"/>
                <w:lang w:val="fr-FR" w:eastAsia="en-CA"/>
              </w:rPr>
            </w:pPr>
            <w:r>
              <w:rPr>
                <w:sz w:val="18"/>
                <w:szCs w:val="18"/>
                <w:lang w:val="fr-FR" w:eastAsia="en-CA"/>
              </w:rPr>
              <w:t>République tchèque</w:t>
            </w:r>
          </w:p>
        </w:tc>
        <w:tc>
          <w:tcPr>
            <w:tcW w:w="1628" w:type="dxa"/>
            <w:tcBorders>
              <w:top w:val="nil"/>
              <w:left w:val="nil"/>
              <w:bottom w:val="single" w:sz="4" w:space="0" w:color="auto"/>
              <w:right w:val="single" w:sz="4" w:space="0" w:color="auto"/>
            </w:tcBorders>
            <w:shd w:val="clear" w:color="auto" w:fill="auto"/>
            <w:vAlign w:val="bottom"/>
          </w:tcPr>
          <w:p w14:paraId="6BE710B6" w14:textId="378D1707"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340</w:t>
            </w:r>
          </w:p>
        </w:tc>
        <w:tc>
          <w:tcPr>
            <w:tcW w:w="2198" w:type="dxa"/>
            <w:tcBorders>
              <w:top w:val="nil"/>
              <w:left w:val="nil"/>
              <w:bottom w:val="single" w:sz="4" w:space="0" w:color="auto"/>
              <w:right w:val="single" w:sz="4" w:space="0" w:color="auto"/>
            </w:tcBorders>
            <w:shd w:val="clear" w:color="auto" w:fill="auto"/>
            <w:noWrap/>
            <w:vAlign w:val="bottom"/>
          </w:tcPr>
          <w:p w14:paraId="1A790FBA" w14:textId="3AB93B9D"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425</w:t>
            </w:r>
          </w:p>
        </w:tc>
        <w:tc>
          <w:tcPr>
            <w:tcW w:w="1176" w:type="dxa"/>
            <w:tcBorders>
              <w:top w:val="nil"/>
              <w:left w:val="nil"/>
              <w:bottom w:val="single" w:sz="4" w:space="0" w:color="auto"/>
              <w:right w:val="single" w:sz="4" w:space="0" w:color="auto"/>
            </w:tcBorders>
            <w:shd w:val="clear" w:color="auto" w:fill="auto"/>
            <w:noWrap/>
            <w:vAlign w:val="bottom"/>
          </w:tcPr>
          <w:p w14:paraId="315D24EB" w14:textId="6F30C83B"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59 838</w:t>
            </w:r>
          </w:p>
        </w:tc>
        <w:tc>
          <w:tcPr>
            <w:tcW w:w="1461" w:type="dxa"/>
            <w:tcBorders>
              <w:top w:val="nil"/>
              <w:left w:val="nil"/>
              <w:bottom w:val="single" w:sz="4" w:space="0" w:color="auto"/>
              <w:right w:val="single" w:sz="4" w:space="0" w:color="auto"/>
            </w:tcBorders>
            <w:shd w:val="clear" w:color="auto" w:fill="auto"/>
            <w:noWrap/>
            <w:vAlign w:val="bottom"/>
          </w:tcPr>
          <w:p w14:paraId="5D5E16BF" w14:textId="3D7E633D"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63 932</w:t>
            </w:r>
          </w:p>
        </w:tc>
        <w:tc>
          <w:tcPr>
            <w:tcW w:w="1080" w:type="dxa"/>
            <w:tcBorders>
              <w:top w:val="nil"/>
              <w:left w:val="nil"/>
              <w:bottom w:val="single" w:sz="4" w:space="0" w:color="auto"/>
              <w:right w:val="single" w:sz="4" w:space="0" w:color="auto"/>
            </w:tcBorders>
            <w:shd w:val="clear" w:color="auto" w:fill="auto"/>
            <w:noWrap/>
            <w:vAlign w:val="bottom"/>
          </w:tcPr>
          <w:p w14:paraId="7D9B933F" w14:textId="34B1F2E7"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123 771</w:t>
            </w:r>
          </w:p>
        </w:tc>
      </w:tr>
      <w:tr w:rsidR="00386C1F" w:rsidRPr="00BA52C1" w14:paraId="348BCBE2" w14:textId="77777777" w:rsidTr="00C50936">
        <w:tc>
          <w:tcPr>
            <w:tcW w:w="1880" w:type="dxa"/>
            <w:tcBorders>
              <w:top w:val="nil"/>
              <w:left w:val="single" w:sz="4" w:space="0" w:color="auto"/>
              <w:bottom w:val="single" w:sz="4" w:space="0" w:color="auto"/>
              <w:right w:val="single" w:sz="4" w:space="0" w:color="auto"/>
            </w:tcBorders>
            <w:shd w:val="clear" w:color="auto" w:fill="auto"/>
            <w:vAlign w:val="bottom"/>
          </w:tcPr>
          <w:p w14:paraId="1A651EF4" w14:textId="4406B18A" w:rsidR="00386C1F" w:rsidRDefault="00386C1F" w:rsidP="00386C1F">
            <w:pPr>
              <w:pStyle w:val="CBDTableNormal"/>
              <w:spacing w:before="0" w:after="0"/>
              <w:rPr>
                <w:sz w:val="18"/>
                <w:szCs w:val="18"/>
                <w:lang w:val="fr-FR" w:eastAsia="en-CA"/>
              </w:rPr>
            </w:pPr>
            <w:r>
              <w:rPr>
                <w:sz w:val="18"/>
                <w:szCs w:val="18"/>
                <w:lang w:val="fr-FR" w:eastAsia="en-CA"/>
              </w:rPr>
              <w:t>République-Unie de Tanzanie</w:t>
            </w:r>
          </w:p>
        </w:tc>
        <w:tc>
          <w:tcPr>
            <w:tcW w:w="1628" w:type="dxa"/>
            <w:tcBorders>
              <w:top w:val="nil"/>
              <w:left w:val="nil"/>
              <w:bottom w:val="single" w:sz="4" w:space="0" w:color="auto"/>
              <w:right w:val="single" w:sz="4" w:space="0" w:color="auto"/>
            </w:tcBorders>
            <w:shd w:val="clear" w:color="auto" w:fill="auto"/>
            <w:vAlign w:val="bottom"/>
          </w:tcPr>
          <w:p w14:paraId="3461361B" w14:textId="1D90CA6B"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010</w:t>
            </w:r>
          </w:p>
        </w:tc>
        <w:tc>
          <w:tcPr>
            <w:tcW w:w="2198" w:type="dxa"/>
            <w:tcBorders>
              <w:top w:val="nil"/>
              <w:left w:val="nil"/>
              <w:bottom w:val="single" w:sz="4" w:space="0" w:color="auto"/>
              <w:right w:val="single" w:sz="4" w:space="0" w:color="auto"/>
            </w:tcBorders>
            <w:shd w:val="clear" w:color="auto" w:fill="auto"/>
            <w:noWrap/>
            <w:vAlign w:val="bottom"/>
          </w:tcPr>
          <w:p w14:paraId="10657DE2" w14:textId="56B22FF4"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010</w:t>
            </w:r>
          </w:p>
        </w:tc>
        <w:tc>
          <w:tcPr>
            <w:tcW w:w="1176" w:type="dxa"/>
            <w:tcBorders>
              <w:top w:val="nil"/>
              <w:left w:val="nil"/>
              <w:bottom w:val="single" w:sz="4" w:space="0" w:color="auto"/>
              <w:right w:val="single" w:sz="4" w:space="0" w:color="auto"/>
            </w:tcBorders>
            <w:shd w:val="clear" w:color="auto" w:fill="auto"/>
            <w:noWrap/>
            <w:vAlign w:val="bottom"/>
          </w:tcPr>
          <w:p w14:paraId="209AF2F0" w14:textId="0CE68F9E"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1 408</w:t>
            </w:r>
          </w:p>
        </w:tc>
        <w:tc>
          <w:tcPr>
            <w:tcW w:w="1461" w:type="dxa"/>
            <w:tcBorders>
              <w:top w:val="nil"/>
              <w:left w:val="nil"/>
              <w:bottom w:val="single" w:sz="4" w:space="0" w:color="auto"/>
              <w:right w:val="single" w:sz="4" w:space="0" w:color="auto"/>
            </w:tcBorders>
            <w:shd w:val="clear" w:color="auto" w:fill="auto"/>
            <w:noWrap/>
            <w:vAlign w:val="bottom"/>
          </w:tcPr>
          <w:p w14:paraId="73669EA0" w14:textId="04204A10"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1 504</w:t>
            </w:r>
          </w:p>
        </w:tc>
        <w:tc>
          <w:tcPr>
            <w:tcW w:w="1080" w:type="dxa"/>
            <w:tcBorders>
              <w:top w:val="nil"/>
              <w:left w:val="nil"/>
              <w:bottom w:val="single" w:sz="4" w:space="0" w:color="auto"/>
              <w:right w:val="single" w:sz="4" w:space="0" w:color="auto"/>
            </w:tcBorders>
            <w:shd w:val="clear" w:color="auto" w:fill="auto"/>
            <w:noWrap/>
            <w:vAlign w:val="bottom"/>
          </w:tcPr>
          <w:p w14:paraId="42E05E3B" w14:textId="65C5FAFD"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2 912</w:t>
            </w:r>
          </w:p>
        </w:tc>
      </w:tr>
      <w:tr w:rsidR="00386C1F" w:rsidRPr="00BA52C1" w14:paraId="2E40263B"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CC1137C" w14:textId="6E4A9BAA" w:rsidR="00386C1F" w:rsidRPr="00BA52C1" w:rsidRDefault="00386C1F" w:rsidP="00386C1F">
            <w:pPr>
              <w:pStyle w:val="CBDTableNormal"/>
              <w:spacing w:before="0" w:after="0"/>
              <w:rPr>
                <w:sz w:val="18"/>
                <w:szCs w:val="18"/>
                <w:lang w:val="fr-FR" w:eastAsia="en-CA"/>
              </w:rPr>
            </w:pPr>
            <w:r w:rsidRPr="00BA52C1">
              <w:rPr>
                <w:sz w:val="18"/>
                <w:szCs w:val="18"/>
                <w:lang w:val="fr-FR" w:eastAsia="en-CA"/>
              </w:rPr>
              <w:t>Ro</w:t>
            </w:r>
            <w:r>
              <w:rPr>
                <w:sz w:val="18"/>
                <w:szCs w:val="18"/>
                <w:lang w:val="fr-FR" w:eastAsia="en-CA"/>
              </w:rPr>
              <w:t>u</w:t>
            </w:r>
            <w:r w:rsidRPr="00BA52C1">
              <w:rPr>
                <w:sz w:val="18"/>
                <w:szCs w:val="18"/>
                <w:lang w:val="fr-FR" w:eastAsia="en-CA"/>
              </w:rPr>
              <w:t>mani</w:t>
            </w:r>
            <w:r>
              <w:rPr>
                <w:sz w:val="18"/>
                <w:szCs w:val="18"/>
                <w:lang w:val="fr-FR" w:eastAsia="en-CA"/>
              </w:rPr>
              <w:t>e</w:t>
            </w:r>
          </w:p>
        </w:tc>
        <w:tc>
          <w:tcPr>
            <w:tcW w:w="1628" w:type="dxa"/>
            <w:tcBorders>
              <w:top w:val="nil"/>
              <w:left w:val="nil"/>
              <w:bottom w:val="single" w:sz="4" w:space="0" w:color="auto"/>
              <w:right w:val="single" w:sz="4" w:space="0" w:color="auto"/>
            </w:tcBorders>
            <w:shd w:val="clear" w:color="auto" w:fill="auto"/>
            <w:vAlign w:val="bottom"/>
            <w:hideMark/>
          </w:tcPr>
          <w:p w14:paraId="26155909" w14:textId="44599147"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312</w:t>
            </w:r>
          </w:p>
        </w:tc>
        <w:tc>
          <w:tcPr>
            <w:tcW w:w="2198" w:type="dxa"/>
            <w:tcBorders>
              <w:top w:val="nil"/>
              <w:left w:val="nil"/>
              <w:bottom w:val="single" w:sz="4" w:space="0" w:color="auto"/>
              <w:right w:val="single" w:sz="4" w:space="0" w:color="auto"/>
            </w:tcBorders>
            <w:shd w:val="clear" w:color="auto" w:fill="auto"/>
            <w:noWrap/>
            <w:vAlign w:val="bottom"/>
            <w:hideMark/>
          </w:tcPr>
          <w:p w14:paraId="1C0571B5" w14:textId="686D5C97"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390</w:t>
            </w:r>
          </w:p>
        </w:tc>
        <w:tc>
          <w:tcPr>
            <w:tcW w:w="1176" w:type="dxa"/>
            <w:tcBorders>
              <w:top w:val="nil"/>
              <w:left w:val="nil"/>
              <w:bottom w:val="single" w:sz="4" w:space="0" w:color="auto"/>
              <w:right w:val="single" w:sz="4" w:space="0" w:color="auto"/>
            </w:tcBorders>
            <w:shd w:val="clear" w:color="auto" w:fill="auto"/>
            <w:noWrap/>
            <w:vAlign w:val="bottom"/>
            <w:hideMark/>
          </w:tcPr>
          <w:p w14:paraId="17E7F284" w14:textId="246E6A44"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54 910</w:t>
            </w:r>
          </w:p>
        </w:tc>
        <w:tc>
          <w:tcPr>
            <w:tcW w:w="1461" w:type="dxa"/>
            <w:tcBorders>
              <w:top w:val="nil"/>
              <w:left w:val="nil"/>
              <w:bottom w:val="single" w:sz="4" w:space="0" w:color="auto"/>
              <w:right w:val="single" w:sz="4" w:space="0" w:color="auto"/>
            </w:tcBorders>
            <w:shd w:val="clear" w:color="auto" w:fill="auto"/>
            <w:noWrap/>
            <w:vAlign w:val="bottom"/>
            <w:hideMark/>
          </w:tcPr>
          <w:p w14:paraId="384F698D" w14:textId="6301495B"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58 667</w:t>
            </w:r>
          </w:p>
        </w:tc>
        <w:tc>
          <w:tcPr>
            <w:tcW w:w="1080" w:type="dxa"/>
            <w:tcBorders>
              <w:top w:val="nil"/>
              <w:left w:val="nil"/>
              <w:bottom w:val="single" w:sz="4" w:space="0" w:color="auto"/>
              <w:right w:val="single" w:sz="4" w:space="0" w:color="auto"/>
            </w:tcBorders>
            <w:shd w:val="clear" w:color="auto" w:fill="auto"/>
            <w:noWrap/>
            <w:vAlign w:val="bottom"/>
            <w:hideMark/>
          </w:tcPr>
          <w:p w14:paraId="59911785" w14:textId="6A172757"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113 578</w:t>
            </w:r>
          </w:p>
        </w:tc>
      </w:tr>
      <w:tr w:rsidR="00386C1F" w:rsidRPr="00BA52C1" w14:paraId="7ED3A824" w14:textId="77777777" w:rsidTr="00625F10">
        <w:tc>
          <w:tcPr>
            <w:tcW w:w="1880" w:type="dxa"/>
            <w:tcBorders>
              <w:top w:val="nil"/>
              <w:left w:val="single" w:sz="4" w:space="0" w:color="auto"/>
              <w:bottom w:val="single" w:sz="4" w:space="0" w:color="auto"/>
              <w:right w:val="single" w:sz="4" w:space="0" w:color="auto"/>
            </w:tcBorders>
            <w:shd w:val="clear" w:color="auto" w:fill="auto"/>
            <w:vAlign w:val="bottom"/>
          </w:tcPr>
          <w:p w14:paraId="6E0761E6" w14:textId="5BEB978B" w:rsidR="00386C1F" w:rsidRPr="00BA52C1" w:rsidRDefault="00386C1F" w:rsidP="00386C1F">
            <w:pPr>
              <w:pStyle w:val="CBDTableNormal"/>
              <w:spacing w:before="0" w:after="0"/>
              <w:rPr>
                <w:sz w:val="18"/>
                <w:szCs w:val="18"/>
                <w:lang w:val="fr-FR" w:eastAsia="en-CA"/>
              </w:rPr>
            </w:pPr>
            <w:r>
              <w:rPr>
                <w:sz w:val="18"/>
                <w:szCs w:val="18"/>
                <w:lang w:val="fr-FR" w:eastAsia="en-CA"/>
              </w:rPr>
              <w:t>Royaume-Uni de Grande-Bretagne et d’Irlande du Nord</w:t>
            </w:r>
          </w:p>
        </w:tc>
        <w:tc>
          <w:tcPr>
            <w:tcW w:w="1628" w:type="dxa"/>
            <w:tcBorders>
              <w:top w:val="nil"/>
              <w:left w:val="nil"/>
              <w:bottom w:val="single" w:sz="4" w:space="0" w:color="auto"/>
              <w:right w:val="single" w:sz="4" w:space="0" w:color="auto"/>
            </w:tcBorders>
            <w:shd w:val="clear" w:color="auto" w:fill="auto"/>
            <w:vAlign w:val="bottom"/>
          </w:tcPr>
          <w:p w14:paraId="2C43A4CC" w14:textId="20DA59DB"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4</w:t>
            </w:r>
            <w:r>
              <w:rPr>
                <w:sz w:val="18"/>
                <w:szCs w:val="18"/>
                <w:lang w:val="fr-FR" w:eastAsia="en-CA"/>
              </w:rPr>
              <w:t>,</w:t>
            </w:r>
            <w:r w:rsidRPr="00BA52C1">
              <w:rPr>
                <w:sz w:val="18"/>
                <w:szCs w:val="18"/>
                <w:lang w:val="fr-FR" w:eastAsia="en-CA"/>
              </w:rPr>
              <w:t>375</w:t>
            </w:r>
          </w:p>
        </w:tc>
        <w:tc>
          <w:tcPr>
            <w:tcW w:w="2198" w:type="dxa"/>
            <w:tcBorders>
              <w:top w:val="nil"/>
              <w:left w:val="nil"/>
              <w:bottom w:val="single" w:sz="4" w:space="0" w:color="auto"/>
              <w:right w:val="single" w:sz="4" w:space="0" w:color="auto"/>
            </w:tcBorders>
            <w:shd w:val="clear" w:color="auto" w:fill="auto"/>
            <w:noWrap/>
            <w:vAlign w:val="bottom"/>
          </w:tcPr>
          <w:p w14:paraId="3A1603D8" w14:textId="73B5E379"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5</w:t>
            </w:r>
            <w:r>
              <w:rPr>
                <w:sz w:val="18"/>
                <w:szCs w:val="18"/>
                <w:lang w:val="fr-FR" w:eastAsia="en-CA"/>
              </w:rPr>
              <w:t>,</w:t>
            </w:r>
            <w:r w:rsidRPr="00BA52C1">
              <w:rPr>
                <w:sz w:val="18"/>
                <w:szCs w:val="18"/>
                <w:lang w:val="fr-FR" w:eastAsia="en-CA"/>
              </w:rPr>
              <w:t>469</w:t>
            </w:r>
          </w:p>
        </w:tc>
        <w:tc>
          <w:tcPr>
            <w:tcW w:w="1176" w:type="dxa"/>
            <w:tcBorders>
              <w:top w:val="nil"/>
              <w:left w:val="nil"/>
              <w:bottom w:val="single" w:sz="4" w:space="0" w:color="auto"/>
              <w:right w:val="single" w:sz="4" w:space="0" w:color="auto"/>
            </w:tcBorders>
            <w:shd w:val="clear" w:color="auto" w:fill="auto"/>
            <w:noWrap/>
            <w:vAlign w:val="bottom"/>
          </w:tcPr>
          <w:p w14:paraId="799E5839" w14:textId="23E48CA6"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769 976</w:t>
            </w:r>
          </w:p>
        </w:tc>
        <w:tc>
          <w:tcPr>
            <w:tcW w:w="1461" w:type="dxa"/>
            <w:tcBorders>
              <w:top w:val="nil"/>
              <w:left w:val="nil"/>
              <w:bottom w:val="single" w:sz="4" w:space="0" w:color="auto"/>
              <w:right w:val="single" w:sz="4" w:space="0" w:color="auto"/>
            </w:tcBorders>
            <w:shd w:val="clear" w:color="auto" w:fill="auto"/>
            <w:noWrap/>
            <w:vAlign w:val="bottom"/>
          </w:tcPr>
          <w:p w14:paraId="4AAB6BFB" w14:textId="11F4812B"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822 660</w:t>
            </w:r>
          </w:p>
        </w:tc>
        <w:tc>
          <w:tcPr>
            <w:tcW w:w="1080" w:type="dxa"/>
            <w:tcBorders>
              <w:top w:val="nil"/>
              <w:left w:val="nil"/>
              <w:bottom w:val="single" w:sz="4" w:space="0" w:color="auto"/>
              <w:right w:val="single" w:sz="4" w:space="0" w:color="auto"/>
            </w:tcBorders>
            <w:shd w:val="clear" w:color="auto" w:fill="auto"/>
            <w:noWrap/>
            <w:vAlign w:val="bottom"/>
          </w:tcPr>
          <w:p w14:paraId="2D5A5DF7" w14:textId="6C0BFF52"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1 592 635</w:t>
            </w:r>
          </w:p>
        </w:tc>
      </w:tr>
      <w:tr w:rsidR="00386C1F" w:rsidRPr="00BA52C1" w14:paraId="2D6357C0"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8E65DFF" w14:textId="77777777" w:rsidR="00386C1F" w:rsidRPr="00BA52C1" w:rsidRDefault="00386C1F" w:rsidP="00386C1F">
            <w:pPr>
              <w:pStyle w:val="CBDTableNormal"/>
              <w:spacing w:before="0" w:after="0"/>
              <w:rPr>
                <w:sz w:val="18"/>
                <w:szCs w:val="18"/>
                <w:lang w:val="fr-FR" w:eastAsia="en-CA"/>
              </w:rPr>
            </w:pPr>
            <w:r w:rsidRPr="00BA52C1">
              <w:rPr>
                <w:sz w:val="18"/>
                <w:szCs w:val="18"/>
                <w:lang w:val="fr-FR" w:eastAsia="en-CA"/>
              </w:rPr>
              <w:t>Rwanda</w:t>
            </w:r>
          </w:p>
        </w:tc>
        <w:tc>
          <w:tcPr>
            <w:tcW w:w="1628" w:type="dxa"/>
            <w:tcBorders>
              <w:top w:val="nil"/>
              <w:left w:val="nil"/>
              <w:bottom w:val="single" w:sz="4" w:space="0" w:color="auto"/>
              <w:right w:val="single" w:sz="4" w:space="0" w:color="auto"/>
            </w:tcBorders>
            <w:shd w:val="clear" w:color="auto" w:fill="auto"/>
            <w:vAlign w:val="bottom"/>
            <w:hideMark/>
          </w:tcPr>
          <w:p w14:paraId="58B0CF49" w14:textId="5C53DC00"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003</w:t>
            </w:r>
          </w:p>
        </w:tc>
        <w:tc>
          <w:tcPr>
            <w:tcW w:w="2198" w:type="dxa"/>
            <w:tcBorders>
              <w:top w:val="nil"/>
              <w:left w:val="nil"/>
              <w:bottom w:val="single" w:sz="4" w:space="0" w:color="auto"/>
              <w:right w:val="single" w:sz="4" w:space="0" w:color="auto"/>
            </w:tcBorders>
            <w:shd w:val="clear" w:color="auto" w:fill="auto"/>
            <w:noWrap/>
            <w:vAlign w:val="bottom"/>
            <w:hideMark/>
          </w:tcPr>
          <w:p w14:paraId="120D0095" w14:textId="628DF80F"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004</w:t>
            </w:r>
          </w:p>
        </w:tc>
        <w:tc>
          <w:tcPr>
            <w:tcW w:w="1176" w:type="dxa"/>
            <w:tcBorders>
              <w:top w:val="nil"/>
              <w:left w:val="nil"/>
              <w:bottom w:val="single" w:sz="4" w:space="0" w:color="auto"/>
              <w:right w:val="single" w:sz="4" w:space="0" w:color="auto"/>
            </w:tcBorders>
            <w:shd w:val="clear" w:color="auto" w:fill="auto"/>
            <w:noWrap/>
            <w:vAlign w:val="bottom"/>
            <w:hideMark/>
          </w:tcPr>
          <w:p w14:paraId="17DC1E89" w14:textId="53E10B3E"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528</w:t>
            </w:r>
          </w:p>
        </w:tc>
        <w:tc>
          <w:tcPr>
            <w:tcW w:w="1461" w:type="dxa"/>
            <w:tcBorders>
              <w:top w:val="nil"/>
              <w:left w:val="nil"/>
              <w:bottom w:val="single" w:sz="4" w:space="0" w:color="auto"/>
              <w:right w:val="single" w:sz="4" w:space="0" w:color="auto"/>
            </w:tcBorders>
            <w:shd w:val="clear" w:color="auto" w:fill="auto"/>
            <w:noWrap/>
            <w:vAlign w:val="bottom"/>
            <w:hideMark/>
          </w:tcPr>
          <w:p w14:paraId="728C2F67" w14:textId="27192F5F"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564</w:t>
            </w:r>
          </w:p>
        </w:tc>
        <w:tc>
          <w:tcPr>
            <w:tcW w:w="1080" w:type="dxa"/>
            <w:tcBorders>
              <w:top w:val="nil"/>
              <w:left w:val="nil"/>
              <w:bottom w:val="single" w:sz="4" w:space="0" w:color="auto"/>
              <w:right w:val="single" w:sz="4" w:space="0" w:color="auto"/>
            </w:tcBorders>
            <w:shd w:val="clear" w:color="auto" w:fill="auto"/>
            <w:noWrap/>
            <w:vAlign w:val="bottom"/>
            <w:hideMark/>
          </w:tcPr>
          <w:p w14:paraId="0703871F" w14:textId="30B2FC5A"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1 092</w:t>
            </w:r>
          </w:p>
        </w:tc>
      </w:tr>
      <w:tr w:rsidR="00386C1F" w:rsidRPr="00BA52C1" w14:paraId="3D16D44C"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B5956A3" w14:textId="20DEF48B" w:rsidR="00386C1F" w:rsidRPr="00BA52C1" w:rsidRDefault="00386C1F" w:rsidP="00386C1F">
            <w:pPr>
              <w:pStyle w:val="CBDTableNormal"/>
              <w:spacing w:before="0" w:after="0"/>
              <w:rPr>
                <w:sz w:val="18"/>
                <w:szCs w:val="18"/>
                <w:lang w:val="fr-FR" w:eastAsia="en-CA"/>
              </w:rPr>
            </w:pPr>
            <w:r w:rsidRPr="00BA52C1">
              <w:rPr>
                <w:sz w:val="18"/>
                <w:szCs w:val="18"/>
                <w:lang w:val="fr-FR" w:eastAsia="en-CA"/>
              </w:rPr>
              <w:t>Saint</w:t>
            </w:r>
            <w:r>
              <w:rPr>
                <w:sz w:val="18"/>
                <w:szCs w:val="18"/>
                <w:lang w:val="fr-FR" w:eastAsia="en-CA"/>
              </w:rPr>
              <w:t>e-</w:t>
            </w:r>
            <w:r w:rsidRPr="00BA52C1">
              <w:rPr>
                <w:sz w:val="18"/>
                <w:szCs w:val="18"/>
                <w:lang w:val="fr-FR" w:eastAsia="en-CA"/>
              </w:rPr>
              <w:t>Luci</w:t>
            </w:r>
            <w:r>
              <w:rPr>
                <w:sz w:val="18"/>
                <w:szCs w:val="18"/>
                <w:lang w:val="fr-FR" w:eastAsia="en-CA"/>
              </w:rPr>
              <w:t>e</w:t>
            </w:r>
          </w:p>
        </w:tc>
        <w:tc>
          <w:tcPr>
            <w:tcW w:w="1628" w:type="dxa"/>
            <w:tcBorders>
              <w:top w:val="nil"/>
              <w:left w:val="nil"/>
              <w:bottom w:val="single" w:sz="4" w:space="0" w:color="auto"/>
              <w:right w:val="single" w:sz="4" w:space="0" w:color="auto"/>
            </w:tcBorders>
            <w:shd w:val="clear" w:color="auto" w:fill="auto"/>
            <w:vAlign w:val="bottom"/>
            <w:hideMark/>
          </w:tcPr>
          <w:p w14:paraId="1D5D73F9" w14:textId="4BF0AA85"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002</w:t>
            </w:r>
          </w:p>
        </w:tc>
        <w:tc>
          <w:tcPr>
            <w:tcW w:w="2198" w:type="dxa"/>
            <w:tcBorders>
              <w:top w:val="nil"/>
              <w:left w:val="nil"/>
              <w:bottom w:val="single" w:sz="4" w:space="0" w:color="auto"/>
              <w:right w:val="single" w:sz="4" w:space="0" w:color="auto"/>
            </w:tcBorders>
            <w:shd w:val="clear" w:color="auto" w:fill="auto"/>
            <w:noWrap/>
            <w:vAlign w:val="bottom"/>
            <w:hideMark/>
          </w:tcPr>
          <w:p w14:paraId="2536D93F" w14:textId="798176EA"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003</w:t>
            </w:r>
          </w:p>
        </w:tc>
        <w:tc>
          <w:tcPr>
            <w:tcW w:w="1176" w:type="dxa"/>
            <w:tcBorders>
              <w:top w:val="nil"/>
              <w:left w:val="nil"/>
              <w:bottom w:val="single" w:sz="4" w:space="0" w:color="auto"/>
              <w:right w:val="single" w:sz="4" w:space="0" w:color="auto"/>
            </w:tcBorders>
            <w:shd w:val="clear" w:color="auto" w:fill="auto"/>
            <w:noWrap/>
            <w:vAlign w:val="bottom"/>
            <w:hideMark/>
          </w:tcPr>
          <w:p w14:paraId="44390BCB" w14:textId="0477F942"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352</w:t>
            </w:r>
          </w:p>
        </w:tc>
        <w:tc>
          <w:tcPr>
            <w:tcW w:w="1461" w:type="dxa"/>
            <w:tcBorders>
              <w:top w:val="nil"/>
              <w:left w:val="nil"/>
              <w:bottom w:val="single" w:sz="4" w:space="0" w:color="auto"/>
              <w:right w:val="single" w:sz="4" w:space="0" w:color="auto"/>
            </w:tcBorders>
            <w:shd w:val="clear" w:color="auto" w:fill="auto"/>
            <w:noWrap/>
            <w:vAlign w:val="bottom"/>
            <w:hideMark/>
          </w:tcPr>
          <w:p w14:paraId="5B8656A4" w14:textId="7BF65BFC"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376</w:t>
            </w:r>
          </w:p>
        </w:tc>
        <w:tc>
          <w:tcPr>
            <w:tcW w:w="1080" w:type="dxa"/>
            <w:tcBorders>
              <w:top w:val="nil"/>
              <w:left w:val="nil"/>
              <w:bottom w:val="single" w:sz="4" w:space="0" w:color="auto"/>
              <w:right w:val="single" w:sz="4" w:space="0" w:color="auto"/>
            </w:tcBorders>
            <w:shd w:val="clear" w:color="auto" w:fill="auto"/>
            <w:noWrap/>
            <w:vAlign w:val="bottom"/>
            <w:hideMark/>
          </w:tcPr>
          <w:p w14:paraId="4BB6C0FF" w14:textId="7EB69479"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728</w:t>
            </w:r>
          </w:p>
        </w:tc>
      </w:tr>
      <w:tr w:rsidR="00386C1F" w:rsidRPr="00BA52C1" w14:paraId="1B6112B4"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tcPr>
          <w:p w14:paraId="130E60C4" w14:textId="7B45EC87" w:rsidR="00386C1F" w:rsidRPr="00BA52C1" w:rsidRDefault="00386C1F" w:rsidP="00386C1F">
            <w:pPr>
              <w:pStyle w:val="CBDTableNormal"/>
              <w:spacing w:before="0" w:after="0"/>
              <w:rPr>
                <w:sz w:val="18"/>
                <w:szCs w:val="18"/>
                <w:lang w:val="fr-FR" w:eastAsia="en-CA"/>
              </w:rPr>
            </w:pPr>
            <w:r w:rsidRPr="00BA52C1">
              <w:rPr>
                <w:sz w:val="18"/>
                <w:szCs w:val="18"/>
                <w:lang w:val="fr-FR" w:eastAsia="en-CA"/>
              </w:rPr>
              <w:t>Saint</w:t>
            </w:r>
            <w:r>
              <w:rPr>
                <w:sz w:val="18"/>
                <w:szCs w:val="18"/>
                <w:lang w:val="fr-FR" w:eastAsia="en-CA"/>
              </w:rPr>
              <w:t>-</w:t>
            </w:r>
            <w:r w:rsidRPr="00BA52C1">
              <w:rPr>
                <w:sz w:val="18"/>
                <w:szCs w:val="18"/>
                <w:lang w:val="fr-FR" w:eastAsia="en-CA"/>
              </w:rPr>
              <w:t>Kitts</w:t>
            </w:r>
            <w:r>
              <w:rPr>
                <w:sz w:val="18"/>
                <w:szCs w:val="18"/>
                <w:lang w:val="fr-FR" w:eastAsia="en-CA"/>
              </w:rPr>
              <w:t>-et-</w:t>
            </w:r>
            <w:r w:rsidRPr="00BA52C1">
              <w:rPr>
                <w:sz w:val="18"/>
                <w:szCs w:val="18"/>
                <w:lang w:val="fr-FR" w:eastAsia="en-CA"/>
              </w:rPr>
              <w:t>Nevis</w:t>
            </w:r>
          </w:p>
        </w:tc>
        <w:tc>
          <w:tcPr>
            <w:tcW w:w="1628" w:type="dxa"/>
            <w:tcBorders>
              <w:top w:val="nil"/>
              <w:left w:val="nil"/>
              <w:bottom w:val="single" w:sz="4" w:space="0" w:color="auto"/>
              <w:right w:val="single" w:sz="4" w:space="0" w:color="auto"/>
            </w:tcBorders>
            <w:shd w:val="clear" w:color="auto" w:fill="auto"/>
            <w:vAlign w:val="bottom"/>
          </w:tcPr>
          <w:p w14:paraId="29A2ED19" w14:textId="1F86F271"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002</w:t>
            </w:r>
          </w:p>
        </w:tc>
        <w:tc>
          <w:tcPr>
            <w:tcW w:w="2198" w:type="dxa"/>
            <w:tcBorders>
              <w:top w:val="nil"/>
              <w:left w:val="nil"/>
              <w:bottom w:val="single" w:sz="4" w:space="0" w:color="auto"/>
              <w:right w:val="single" w:sz="4" w:space="0" w:color="auto"/>
            </w:tcBorders>
            <w:shd w:val="clear" w:color="auto" w:fill="auto"/>
            <w:noWrap/>
            <w:vAlign w:val="bottom"/>
          </w:tcPr>
          <w:p w14:paraId="6A6EB404" w14:textId="170F991E"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003</w:t>
            </w:r>
          </w:p>
        </w:tc>
        <w:tc>
          <w:tcPr>
            <w:tcW w:w="1176" w:type="dxa"/>
            <w:tcBorders>
              <w:top w:val="nil"/>
              <w:left w:val="nil"/>
              <w:bottom w:val="single" w:sz="4" w:space="0" w:color="auto"/>
              <w:right w:val="single" w:sz="4" w:space="0" w:color="auto"/>
            </w:tcBorders>
            <w:shd w:val="clear" w:color="auto" w:fill="auto"/>
            <w:noWrap/>
            <w:vAlign w:val="bottom"/>
          </w:tcPr>
          <w:p w14:paraId="33FCF8C9" w14:textId="4C71D2FD"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352</w:t>
            </w:r>
          </w:p>
        </w:tc>
        <w:tc>
          <w:tcPr>
            <w:tcW w:w="1461" w:type="dxa"/>
            <w:tcBorders>
              <w:top w:val="nil"/>
              <w:left w:val="nil"/>
              <w:bottom w:val="single" w:sz="4" w:space="0" w:color="auto"/>
              <w:right w:val="single" w:sz="4" w:space="0" w:color="auto"/>
            </w:tcBorders>
            <w:shd w:val="clear" w:color="auto" w:fill="auto"/>
            <w:noWrap/>
            <w:vAlign w:val="bottom"/>
          </w:tcPr>
          <w:p w14:paraId="0AE1101D" w14:textId="45B80B80"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376</w:t>
            </w:r>
          </w:p>
        </w:tc>
        <w:tc>
          <w:tcPr>
            <w:tcW w:w="1080" w:type="dxa"/>
            <w:tcBorders>
              <w:top w:val="nil"/>
              <w:left w:val="nil"/>
              <w:bottom w:val="single" w:sz="4" w:space="0" w:color="auto"/>
              <w:right w:val="single" w:sz="4" w:space="0" w:color="auto"/>
            </w:tcBorders>
            <w:shd w:val="clear" w:color="auto" w:fill="auto"/>
            <w:noWrap/>
            <w:vAlign w:val="bottom"/>
          </w:tcPr>
          <w:p w14:paraId="7733DAE2" w14:textId="409E144D"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728</w:t>
            </w:r>
          </w:p>
        </w:tc>
      </w:tr>
      <w:tr w:rsidR="00386C1F" w:rsidRPr="00BA52C1" w14:paraId="462D2AB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tcPr>
          <w:p w14:paraId="0A2BFE97" w14:textId="475AFB58" w:rsidR="00386C1F" w:rsidRPr="00BA52C1" w:rsidRDefault="00386C1F" w:rsidP="00386C1F">
            <w:pPr>
              <w:pStyle w:val="CBDTableNormal"/>
              <w:spacing w:before="0" w:after="0"/>
              <w:rPr>
                <w:sz w:val="18"/>
                <w:szCs w:val="18"/>
                <w:lang w:val="fr-FR" w:eastAsia="en-CA"/>
              </w:rPr>
            </w:pPr>
            <w:r w:rsidRPr="00BA52C1">
              <w:rPr>
                <w:sz w:val="18"/>
                <w:szCs w:val="18"/>
                <w:lang w:val="fr-FR" w:eastAsia="en-CA"/>
              </w:rPr>
              <w:t>Sa</w:t>
            </w:r>
            <w:r>
              <w:rPr>
                <w:sz w:val="18"/>
                <w:szCs w:val="18"/>
                <w:lang w:val="fr-FR" w:eastAsia="en-CA"/>
              </w:rPr>
              <w:t>int-Marin</w:t>
            </w:r>
          </w:p>
        </w:tc>
        <w:tc>
          <w:tcPr>
            <w:tcW w:w="1628" w:type="dxa"/>
            <w:tcBorders>
              <w:top w:val="nil"/>
              <w:left w:val="nil"/>
              <w:bottom w:val="single" w:sz="4" w:space="0" w:color="auto"/>
              <w:right w:val="single" w:sz="4" w:space="0" w:color="auto"/>
            </w:tcBorders>
            <w:shd w:val="clear" w:color="auto" w:fill="auto"/>
            <w:vAlign w:val="bottom"/>
          </w:tcPr>
          <w:p w14:paraId="54D28AE5" w14:textId="56EE2211"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002</w:t>
            </w:r>
          </w:p>
        </w:tc>
        <w:tc>
          <w:tcPr>
            <w:tcW w:w="2198" w:type="dxa"/>
            <w:tcBorders>
              <w:top w:val="nil"/>
              <w:left w:val="nil"/>
              <w:bottom w:val="single" w:sz="4" w:space="0" w:color="auto"/>
              <w:right w:val="single" w:sz="4" w:space="0" w:color="auto"/>
            </w:tcBorders>
            <w:shd w:val="clear" w:color="auto" w:fill="auto"/>
            <w:noWrap/>
            <w:vAlign w:val="bottom"/>
          </w:tcPr>
          <w:p w14:paraId="2C275B32" w14:textId="089DBF0B"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003</w:t>
            </w:r>
          </w:p>
        </w:tc>
        <w:tc>
          <w:tcPr>
            <w:tcW w:w="1176" w:type="dxa"/>
            <w:tcBorders>
              <w:top w:val="nil"/>
              <w:left w:val="nil"/>
              <w:bottom w:val="single" w:sz="4" w:space="0" w:color="auto"/>
              <w:right w:val="single" w:sz="4" w:space="0" w:color="auto"/>
            </w:tcBorders>
            <w:shd w:val="clear" w:color="auto" w:fill="auto"/>
            <w:noWrap/>
            <w:vAlign w:val="bottom"/>
          </w:tcPr>
          <w:p w14:paraId="7CE24522" w14:textId="26B6CCCF"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352</w:t>
            </w:r>
          </w:p>
        </w:tc>
        <w:tc>
          <w:tcPr>
            <w:tcW w:w="1461" w:type="dxa"/>
            <w:tcBorders>
              <w:top w:val="nil"/>
              <w:left w:val="nil"/>
              <w:bottom w:val="single" w:sz="4" w:space="0" w:color="auto"/>
              <w:right w:val="single" w:sz="4" w:space="0" w:color="auto"/>
            </w:tcBorders>
            <w:shd w:val="clear" w:color="auto" w:fill="auto"/>
            <w:noWrap/>
            <w:vAlign w:val="bottom"/>
          </w:tcPr>
          <w:p w14:paraId="0F831D7E" w14:textId="4DDBE36F"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376</w:t>
            </w:r>
          </w:p>
        </w:tc>
        <w:tc>
          <w:tcPr>
            <w:tcW w:w="1080" w:type="dxa"/>
            <w:tcBorders>
              <w:top w:val="nil"/>
              <w:left w:val="nil"/>
              <w:bottom w:val="single" w:sz="4" w:space="0" w:color="auto"/>
              <w:right w:val="single" w:sz="4" w:space="0" w:color="auto"/>
            </w:tcBorders>
            <w:shd w:val="clear" w:color="auto" w:fill="auto"/>
            <w:noWrap/>
            <w:vAlign w:val="bottom"/>
          </w:tcPr>
          <w:p w14:paraId="340F333B" w14:textId="07B1090C"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728</w:t>
            </w:r>
          </w:p>
        </w:tc>
      </w:tr>
      <w:tr w:rsidR="00386C1F" w:rsidRPr="00BA52C1" w14:paraId="2244607E"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FDB4366" w14:textId="04042FB3" w:rsidR="00386C1F" w:rsidRPr="00BA52C1" w:rsidRDefault="00386C1F" w:rsidP="00386C1F">
            <w:pPr>
              <w:pStyle w:val="CBDTableNormal"/>
              <w:tabs>
                <w:tab w:val="clear" w:pos="567"/>
                <w:tab w:val="left" w:pos="178"/>
              </w:tabs>
              <w:spacing w:before="0" w:after="0"/>
              <w:ind w:left="144" w:hanging="144"/>
              <w:rPr>
                <w:sz w:val="18"/>
                <w:szCs w:val="18"/>
                <w:lang w:val="fr-FR" w:eastAsia="en-CA"/>
              </w:rPr>
            </w:pPr>
            <w:r w:rsidRPr="00BA52C1">
              <w:rPr>
                <w:sz w:val="18"/>
                <w:szCs w:val="18"/>
                <w:lang w:val="fr-FR" w:eastAsia="en-CA"/>
              </w:rPr>
              <w:t>Saint</w:t>
            </w:r>
            <w:r>
              <w:rPr>
                <w:sz w:val="18"/>
                <w:szCs w:val="18"/>
                <w:lang w:val="fr-FR" w:eastAsia="en-CA"/>
              </w:rPr>
              <w:t>-</w:t>
            </w:r>
            <w:r w:rsidRPr="00BA52C1">
              <w:rPr>
                <w:sz w:val="18"/>
                <w:szCs w:val="18"/>
                <w:lang w:val="fr-FR" w:eastAsia="en-CA"/>
              </w:rPr>
              <w:t>Vincent</w:t>
            </w:r>
            <w:r>
              <w:rPr>
                <w:sz w:val="18"/>
                <w:szCs w:val="18"/>
                <w:lang w:val="fr-FR" w:eastAsia="en-CA"/>
              </w:rPr>
              <w:t>-et-les-</w:t>
            </w:r>
            <w:r w:rsidRPr="00BA52C1">
              <w:rPr>
                <w:sz w:val="18"/>
                <w:szCs w:val="18"/>
                <w:lang w:val="fr-FR" w:eastAsia="en-CA"/>
              </w:rPr>
              <w:t>Grenadines</w:t>
            </w:r>
          </w:p>
        </w:tc>
        <w:tc>
          <w:tcPr>
            <w:tcW w:w="1628" w:type="dxa"/>
            <w:tcBorders>
              <w:top w:val="nil"/>
              <w:left w:val="nil"/>
              <w:bottom w:val="single" w:sz="4" w:space="0" w:color="auto"/>
              <w:right w:val="single" w:sz="4" w:space="0" w:color="auto"/>
            </w:tcBorders>
            <w:shd w:val="clear" w:color="auto" w:fill="auto"/>
            <w:vAlign w:val="bottom"/>
            <w:hideMark/>
          </w:tcPr>
          <w:p w14:paraId="09B56717" w14:textId="54EB0625"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2198" w:type="dxa"/>
            <w:tcBorders>
              <w:top w:val="nil"/>
              <w:left w:val="nil"/>
              <w:bottom w:val="single" w:sz="4" w:space="0" w:color="auto"/>
              <w:right w:val="single" w:sz="4" w:space="0" w:color="auto"/>
            </w:tcBorders>
            <w:shd w:val="clear" w:color="auto" w:fill="auto"/>
            <w:noWrap/>
            <w:vAlign w:val="bottom"/>
            <w:hideMark/>
          </w:tcPr>
          <w:p w14:paraId="0F409854" w14:textId="57E1E9FF"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1176" w:type="dxa"/>
            <w:tcBorders>
              <w:top w:val="nil"/>
              <w:left w:val="nil"/>
              <w:bottom w:val="single" w:sz="4" w:space="0" w:color="auto"/>
              <w:right w:val="single" w:sz="4" w:space="0" w:color="auto"/>
            </w:tcBorders>
            <w:shd w:val="clear" w:color="auto" w:fill="auto"/>
            <w:noWrap/>
            <w:vAlign w:val="bottom"/>
            <w:hideMark/>
          </w:tcPr>
          <w:p w14:paraId="3C20801E" w14:textId="18059CE2"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45DFE22E" w14:textId="60C6E443"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38F4CC0A" w14:textId="0C486CE5"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364</w:t>
            </w:r>
          </w:p>
        </w:tc>
      </w:tr>
      <w:tr w:rsidR="00386C1F" w:rsidRPr="00BA52C1" w14:paraId="4E2904DD"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43698D7" w14:textId="77777777" w:rsidR="00386C1F" w:rsidRPr="00BA52C1" w:rsidRDefault="00386C1F" w:rsidP="00386C1F">
            <w:pPr>
              <w:pStyle w:val="CBDTableNormal"/>
              <w:spacing w:before="0" w:after="0"/>
              <w:rPr>
                <w:sz w:val="18"/>
                <w:szCs w:val="18"/>
                <w:lang w:val="fr-FR" w:eastAsia="en-CA"/>
              </w:rPr>
            </w:pPr>
            <w:r w:rsidRPr="00BA52C1">
              <w:rPr>
                <w:sz w:val="18"/>
                <w:szCs w:val="18"/>
                <w:lang w:val="fr-FR" w:eastAsia="en-CA"/>
              </w:rPr>
              <w:t>Samoa</w:t>
            </w:r>
          </w:p>
        </w:tc>
        <w:tc>
          <w:tcPr>
            <w:tcW w:w="1628" w:type="dxa"/>
            <w:tcBorders>
              <w:top w:val="nil"/>
              <w:left w:val="nil"/>
              <w:bottom w:val="single" w:sz="4" w:space="0" w:color="auto"/>
              <w:right w:val="single" w:sz="4" w:space="0" w:color="auto"/>
            </w:tcBorders>
            <w:shd w:val="clear" w:color="auto" w:fill="auto"/>
            <w:vAlign w:val="bottom"/>
            <w:hideMark/>
          </w:tcPr>
          <w:p w14:paraId="2D924C7E" w14:textId="338782F0"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2198" w:type="dxa"/>
            <w:tcBorders>
              <w:top w:val="nil"/>
              <w:left w:val="nil"/>
              <w:bottom w:val="single" w:sz="4" w:space="0" w:color="auto"/>
              <w:right w:val="single" w:sz="4" w:space="0" w:color="auto"/>
            </w:tcBorders>
            <w:shd w:val="clear" w:color="auto" w:fill="auto"/>
            <w:noWrap/>
            <w:vAlign w:val="bottom"/>
            <w:hideMark/>
          </w:tcPr>
          <w:p w14:paraId="608D5630" w14:textId="393A5CB3"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1176" w:type="dxa"/>
            <w:tcBorders>
              <w:top w:val="nil"/>
              <w:left w:val="nil"/>
              <w:bottom w:val="single" w:sz="4" w:space="0" w:color="auto"/>
              <w:right w:val="single" w:sz="4" w:space="0" w:color="auto"/>
            </w:tcBorders>
            <w:shd w:val="clear" w:color="auto" w:fill="auto"/>
            <w:noWrap/>
            <w:vAlign w:val="bottom"/>
            <w:hideMark/>
          </w:tcPr>
          <w:p w14:paraId="2930562A" w14:textId="35B86A8C"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3E666439" w14:textId="47B51B79"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791FA5D0" w14:textId="44402EBD"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364</w:t>
            </w:r>
          </w:p>
        </w:tc>
      </w:tr>
      <w:tr w:rsidR="00386C1F" w:rsidRPr="00BA52C1" w14:paraId="6233793D"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D2DB98E" w14:textId="6C59935A" w:rsidR="00386C1F" w:rsidRPr="00BA52C1" w:rsidRDefault="00386C1F" w:rsidP="00386C1F">
            <w:pPr>
              <w:pStyle w:val="CBDTableNormal"/>
              <w:spacing w:before="0" w:after="0"/>
              <w:rPr>
                <w:sz w:val="18"/>
                <w:szCs w:val="18"/>
                <w:lang w:val="fr-FR" w:eastAsia="en-CA"/>
              </w:rPr>
            </w:pPr>
            <w:r w:rsidRPr="00BA52C1">
              <w:rPr>
                <w:sz w:val="18"/>
                <w:szCs w:val="18"/>
                <w:lang w:val="fr-FR" w:eastAsia="en-CA"/>
              </w:rPr>
              <w:t>Sao Tom</w:t>
            </w:r>
            <w:r>
              <w:rPr>
                <w:sz w:val="18"/>
                <w:szCs w:val="18"/>
                <w:lang w:val="fr-FR" w:eastAsia="en-CA"/>
              </w:rPr>
              <w:t>é-et-Principe</w:t>
            </w:r>
          </w:p>
        </w:tc>
        <w:tc>
          <w:tcPr>
            <w:tcW w:w="1628" w:type="dxa"/>
            <w:tcBorders>
              <w:top w:val="nil"/>
              <w:left w:val="nil"/>
              <w:bottom w:val="single" w:sz="4" w:space="0" w:color="auto"/>
              <w:right w:val="single" w:sz="4" w:space="0" w:color="auto"/>
            </w:tcBorders>
            <w:shd w:val="clear" w:color="auto" w:fill="auto"/>
            <w:vAlign w:val="bottom"/>
            <w:hideMark/>
          </w:tcPr>
          <w:p w14:paraId="4E3437A1" w14:textId="7858EFC7"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2198" w:type="dxa"/>
            <w:tcBorders>
              <w:top w:val="nil"/>
              <w:left w:val="nil"/>
              <w:bottom w:val="single" w:sz="4" w:space="0" w:color="auto"/>
              <w:right w:val="single" w:sz="4" w:space="0" w:color="auto"/>
            </w:tcBorders>
            <w:shd w:val="clear" w:color="auto" w:fill="auto"/>
            <w:noWrap/>
            <w:vAlign w:val="bottom"/>
            <w:hideMark/>
          </w:tcPr>
          <w:p w14:paraId="4446FA6C" w14:textId="4DAA9917"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1176" w:type="dxa"/>
            <w:tcBorders>
              <w:top w:val="nil"/>
              <w:left w:val="nil"/>
              <w:bottom w:val="single" w:sz="4" w:space="0" w:color="auto"/>
              <w:right w:val="single" w:sz="4" w:space="0" w:color="auto"/>
            </w:tcBorders>
            <w:shd w:val="clear" w:color="auto" w:fill="auto"/>
            <w:noWrap/>
            <w:vAlign w:val="bottom"/>
            <w:hideMark/>
          </w:tcPr>
          <w:p w14:paraId="7201E064" w14:textId="029EA72F"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4D0A5064" w14:textId="210F1DBB"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1FBAF41B" w14:textId="08769237"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364</w:t>
            </w:r>
          </w:p>
        </w:tc>
      </w:tr>
      <w:tr w:rsidR="00386C1F" w:rsidRPr="00BA52C1" w14:paraId="57E1E8AB"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F816035" w14:textId="4EF35A80" w:rsidR="00386C1F" w:rsidRPr="00BA52C1" w:rsidRDefault="00386C1F" w:rsidP="00386C1F">
            <w:pPr>
              <w:pStyle w:val="CBDTableNormal"/>
              <w:spacing w:before="0" w:after="0"/>
              <w:rPr>
                <w:sz w:val="18"/>
                <w:szCs w:val="18"/>
                <w:lang w:val="fr-FR" w:eastAsia="en-CA"/>
              </w:rPr>
            </w:pPr>
            <w:r w:rsidRPr="00BA52C1">
              <w:rPr>
                <w:sz w:val="18"/>
                <w:szCs w:val="18"/>
                <w:lang w:val="fr-FR" w:eastAsia="en-CA"/>
              </w:rPr>
              <w:t>S</w:t>
            </w:r>
            <w:r>
              <w:rPr>
                <w:sz w:val="18"/>
                <w:szCs w:val="18"/>
                <w:lang w:val="fr-FR" w:eastAsia="en-CA"/>
              </w:rPr>
              <w:t>é</w:t>
            </w:r>
            <w:r w:rsidRPr="00BA52C1">
              <w:rPr>
                <w:sz w:val="18"/>
                <w:szCs w:val="18"/>
                <w:lang w:val="fr-FR" w:eastAsia="en-CA"/>
              </w:rPr>
              <w:t>n</w:t>
            </w:r>
            <w:r>
              <w:rPr>
                <w:sz w:val="18"/>
                <w:szCs w:val="18"/>
                <w:lang w:val="fr-FR" w:eastAsia="en-CA"/>
              </w:rPr>
              <w:t>é</w:t>
            </w:r>
            <w:r w:rsidRPr="00BA52C1">
              <w:rPr>
                <w:sz w:val="18"/>
                <w:szCs w:val="18"/>
                <w:lang w:val="fr-FR" w:eastAsia="en-CA"/>
              </w:rPr>
              <w:t>gal</w:t>
            </w:r>
          </w:p>
        </w:tc>
        <w:tc>
          <w:tcPr>
            <w:tcW w:w="1628" w:type="dxa"/>
            <w:tcBorders>
              <w:top w:val="nil"/>
              <w:left w:val="nil"/>
              <w:bottom w:val="single" w:sz="4" w:space="0" w:color="auto"/>
              <w:right w:val="single" w:sz="4" w:space="0" w:color="auto"/>
            </w:tcBorders>
            <w:shd w:val="clear" w:color="auto" w:fill="auto"/>
            <w:vAlign w:val="bottom"/>
            <w:hideMark/>
          </w:tcPr>
          <w:p w14:paraId="3154ADF1" w14:textId="5DE27C4A"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007</w:t>
            </w:r>
          </w:p>
        </w:tc>
        <w:tc>
          <w:tcPr>
            <w:tcW w:w="2198" w:type="dxa"/>
            <w:tcBorders>
              <w:top w:val="nil"/>
              <w:left w:val="nil"/>
              <w:bottom w:val="single" w:sz="4" w:space="0" w:color="auto"/>
              <w:right w:val="single" w:sz="4" w:space="0" w:color="auto"/>
            </w:tcBorders>
            <w:shd w:val="clear" w:color="auto" w:fill="auto"/>
            <w:noWrap/>
            <w:vAlign w:val="bottom"/>
            <w:hideMark/>
          </w:tcPr>
          <w:p w14:paraId="18A1C47B" w14:textId="70AEF8D1"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009</w:t>
            </w:r>
          </w:p>
        </w:tc>
        <w:tc>
          <w:tcPr>
            <w:tcW w:w="1176" w:type="dxa"/>
            <w:tcBorders>
              <w:top w:val="nil"/>
              <w:left w:val="nil"/>
              <w:bottom w:val="single" w:sz="4" w:space="0" w:color="auto"/>
              <w:right w:val="single" w:sz="4" w:space="0" w:color="auto"/>
            </w:tcBorders>
            <w:shd w:val="clear" w:color="auto" w:fill="auto"/>
            <w:noWrap/>
            <w:vAlign w:val="bottom"/>
            <w:hideMark/>
          </w:tcPr>
          <w:p w14:paraId="10FB5291" w14:textId="75020B03"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1 232</w:t>
            </w:r>
          </w:p>
        </w:tc>
        <w:tc>
          <w:tcPr>
            <w:tcW w:w="1461" w:type="dxa"/>
            <w:tcBorders>
              <w:top w:val="nil"/>
              <w:left w:val="nil"/>
              <w:bottom w:val="single" w:sz="4" w:space="0" w:color="auto"/>
              <w:right w:val="single" w:sz="4" w:space="0" w:color="auto"/>
            </w:tcBorders>
            <w:shd w:val="clear" w:color="auto" w:fill="auto"/>
            <w:noWrap/>
            <w:vAlign w:val="bottom"/>
            <w:hideMark/>
          </w:tcPr>
          <w:p w14:paraId="149B3AC7" w14:textId="2913B2AC"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1 316</w:t>
            </w:r>
          </w:p>
        </w:tc>
        <w:tc>
          <w:tcPr>
            <w:tcW w:w="1080" w:type="dxa"/>
            <w:tcBorders>
              <w:top w:val="nil"/>
              <w:left w:val="nil"/>
              <w:bottom w:val="single" w:sz="4" w:space="0" w:color="auto"/>
              <w:right w:val="single" w:sz="4" w:space="0" w:color="auto"/>
            </w:tcBorders>
            <w:shd w:val="clear" w:color="auto" w:fill="auto"/>
            <w:noWrap/>
            <w:vAlign w:val="bottom"/>
            <w:hideMark/>
          </w:tcPr>
          <w:p w14:paraId="222A9D51" w14:textId="34E34DF8"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2 548</w:t>
            </w:r>
          </w:p>
        </w:tc>
      </w:tr>
      <w:tr w:rsidR="00386C1F" w:rsidRPr="00BA52C1" w14:paraId="0439DC5D"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0A7C376" w14:textId="0553578E" w:rsidR="00386C1F" w:rsidRPr="00BA52C1" w:rsidRDefault="00386C1F" w:rsidP="00386C1F">
            <w:pPr>
              <w:pStyle w:val="CBDTableNormal"/>
              <w:spacing w:before="0" w:after="0"/>
              <w:rPr>
                <w:sz w:val="18"/>
                <w:szCs w:val="18"/>
                <w:lang w:val="fr-FR" w:eastAsia="en-CA"/>
              </w:rPr>
            </w:pPr>
            <w:r w:rsidRPr="00BA52C1">
              <w:rPr>
                <w:sz w:val="18"/>
                <w:szCs w:val="18"/>
                <w:lang w:val="fr-FR" w:eastAsia="en-CA"/>
              </w:rPr>
              <w:t>Serbi</w:t>
            </w:r>
            <w:r>
              <w:rPr>
                <w:sz w:val="18"/>
                <w:szCs w:val="18"/>
                <w:lang w:val="fr-FR" w:eastAsia="en-CA"/>
              </w:rPr>
              <w:t>e</w:t>
            </w:r>
          </w:p>
        </w:tc>
        <w:tc>
          <w:tcPr>
            <w:tcW w:w="1628" w:type="dxa"/>
            <w:tcBorders>
              <w:top w:val="nil"/>
              <w:left w:val="nil"/>
              <w:bottom w:val="single" w:sz="4" w:space="0" w:color="auto"/>
              <w:right w:val="single" w:sz="4" w:space="0" w:color="auto"/>
            </w:tcBorders>
            <w:shd w:val="clear" w:color="auto" w:fill="auto"/>
            <w:vAlign w:val="bottom"/>
            <w:hideMark/>
          </w:tcPr>
          <w:p w14:paraId="0F024975" w14:textId="3A830053"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032</w:t>
            </w:r>
          </w:p>
        </w:tc>
        <w:tc>
          <w:tcPr>
            <w:tcW w:w="2198" w:type="dxa"/>
            <w:tcBorders>
              <w:top w:val="nil"/>
              <w:left w:val="nil"/>
              <w:bottom w:val="single" w:sz="4" w:space="0" w:color="auto"/>
              <w:right w:val="single" w:sz="4" w:space="0" w:color="auto"/>
            </w:tcBorders>
            <w:shd w:val="clear" w:color="auto" w:fill="auto"/>
            <w:noWrap/>
            <w:vAlign w:val="bottom"/>
            <w:hideMark/>
          </w:tcPr>
          <w:p w14:paraId="65C8BAD5" w14:textId="5878B075"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040</w:t>
            </w:r>
          </w:p>
        </w:tc>
        <w:tc>
          <w:tcPr>
            <w:tcW w:w="1176" w:type="dxa"/>
            <w:tcBorders>
              <w:top w:val="nil"/>
              <w:left w:val="nil"/>
              <w:bottom w:val="single" w:sz="4" w:space="0" w:color="auto"/>
              <w:right w:val="single" w:sz="4" w:space="0" w:color="auto"/>
            </w:tcBorders>
            <w:shd w:val="clear" w:color="auto" w:fill="auto"/>
            <w:noWrap/>
            <w:vAlign w:val="bottom"/>
            <w:hideMark/>
          </w:tcPr>
          <w:p w14:paraId="60B47975" w14:textId="604CC094"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5 632</w:t>
            </w:r>
          </w:p>
        </w:tc>
        <w:tc>
          <w:tcPr>
            <w:tcW w:w="1461" w:type="dxa"/>
            <w:tcBorders>
              <w:top w:val="nil"/>
              <w:left w:val="nil"/>
              <w:bottom w:val="single" w:sz="4" w:space="0" w:color="auto"/>
              <w:right w:val="single" w:sz="4" w:space="0" w:color="auto"/>
            </w:tcBorders>
            <w:shd w:val="clear" w:color="auto" w:fill="auto"/>
            <w:noWrap/>
            <w:vAlign w:val="bottom"/>
            <w:hideMark/>
          </w:tcPr>
          <w:p w14:paraId="06A475EB" w14:textId="7F4B5618"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6 017</w:t>
            </w:r>
          </w:p>
        </w:tc>
        <w:tc>
          <w:tcPr>
            <w:tcW w:w="1080" w:type="dxa"/>
            <w:tcBorders>
              <w:top w:val="nil"/>
              <w:left w:val="nil"/>
              <w:bottom w:val="single" w:sz="4" w:space="0" w:color="auto"/>
              <w:right w:val="single" w:sz="4" w:space="0" w:color="auto"/>
            </w:tcBorders>
            <w:shd w:val="clear" w:color="auto" w:fill="auto"/>
            <w:noWrap/>
            <w:vAlign w:val="bottom"/>
            <w:hideMark/>
          </w:tcPr>
          <w:p w14:paraId="6E4C67E0" w14:textId="2930F5A2"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11 649</w:t>
            </w:r>
          </w:p>
        </w:tc>
      </w:tr>
      <w:tr w:rsidR="00386C1F" w:rsidRPr="00BA52C1" w14:paraId="7C63DCC3"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AC78320" w14:textId="77777777" w:rsidR="00386C1F" w:rsidRPr="00BA52C1" w:rsidRDefault="00386C1F" w:rsidP="00386C1F">
            <w:pPr>
              <w:pStyle w:val="CBDTableNormal"/>
              <w:spacing w:before="0" w:after="0"/>
              <w:rPr>
                <w:sz w:val="18"/>
                <w:szCs w:val="18"/>
                <w:lang w:val="fr-FR" w:eastAsia="en-CA"/>
              </w:rPr>
            </w:pPr>
            <w:r w:rsidRPr="00BA52C1">
              <w:rPr>
                <w:sz w:val="18"/>
                <w:szCs w:val="18"/>
                <w:lang w:val="fr-FR" w:eastAsia="en-CA"/>
              </w:rPr>
              <w:t>Seychelles</w:t>
            </w:r>
          </w:p>
        </w:tc>
        <w:tc>
          <w:tcPr>
            <w:tcW w:w="1628" w:type="dxa"/>
            <w:tcBorders>
              <w:top w:val="nil"/>
              <w:left w:val="nil"/>
              <w:bottom w:val="single" w:sz="4" w:space="0" w:color="auto"/>
              <w:right w:val="single" w:sz="4" w:space="0" w:color="auto"/>
            </w:tcBorders>
            <w:shd w:val="clear" w:color="auto" w:fill="auto"/>
            <w:vAlign w:val="bottom"/>
            <w:hideMark/>
          </w:tcPr>
          <w:p w14:paraId="12FE23F7" w14:textId="5B168C79"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002</w:t>
            </w:r>
          </w:p>
        </w:tc>
        <w:tc>
          <w:tcPr>
            <w:tcW w:w="2198" w:type="dxa"/>
            <w:tcBorders>
              <w:top w:val="nil"/>
              <w:left w:val="nil"/>
              <w:bottom w:val="single" w:sz="4" w:space="0" w:color="auto"/>
              <w:right w:val="single" w:sz="4" w:space="0" w:color="auto"/>
            </w:tcBorders>
            <w:shd w:val="clear" w:color="auto" w:fill="auto"/>
            <w:noWrap/>
            <w:vAlign w:val="bottom"/>
            <w:hideMark/>
          </w:tcPr>
          <w:p w14:paraId="3AB67D31" w14:textId="2D511830"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003</w:t>
            </w:r>
          </w:p>
        </w:tc>
        <w:tc>
          <w:tcPr>
            <w:tcW w:w="1176" w:type="dxa"/>
            <w:tcBorders>
              <w:top w:val="nil"/>
              <w:left w:val="nil"/>
              <w:bottom w:val="single" w:sz="4" w:space="0" w:color="auto"/>
              <w:right w:val="single" w:sz="4" w:space="0" w:color="auto"/>
            </w:tcBorders>
            <w:shd w:val="clear" w:color="auto" w:fill="auto"/>
            <w:noWrap/>
            <w:vAlign w:val="bottom"/>
            <w:hideMark/>
          </w:tcPr>
          <w:p w14:paraId="05ED9F10" w14:textId="0CA46DF2"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352</w:t>
            </w:r>
          </w:p>
        </w:tc>
        <w:tc>
          <w:tcPr>
            <w:tcW w:w="1461" w:type="dxa"/>
            <w:tcBorders>
              <w:top w:val="nil"/>
              <w:left w:val="nil"/>
              <w:bottom w:val="single" w:sz="4" w:space="0" w:color="auto"/>
              <w:right w:val="single" w:sz="4" w:space="0" w:color="auto"/>
            </w:tcBorders>
            <w:shd w:val="clear" w:color="auto" w:fill="auto"/>
            <w:noWrap/>
            <w:vAlign w:val="bottom"/>
            <w:hideMark/>
          </w:tcPr>
          <w:p w14:paraId="07FBEFA0" w14:textId="201882E4"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376</w:t>
            </w:r>
          </w:p>
        </w:tc>
        <w:tc>
          <w:tcPr>
            <w:tcW w:w="1080" w:type="dxa"/>
            <w:tcBorders>
              <w:top w:val="nil"/>
              <w:left w:val="nil"/>
              <w:bottom w:val="single" w:sz="4" w:space="0" w:color="auto"/>
              <w:right w:val="single" w:sz="4" w:space="0" w:color="auto"/>
            </w:tcBorders>
            <w:shd w:val="clear" w:color="auto" w:fill="auto"/>
            <w:noWrap/>
            <w:vAlign w:val="bottom"/>
            <w:hideMark/>
          </w:tcPr>
          <w:p w14:paraId="67247330" w14:textId="722CB493"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728</w:t>
            </w:r>
          </w:p>
        </w:tc>
      </w:tr>
      <w:tr w:rsidR="00386C1F" w:rsidRPr="00BA52C1" w14:paraId="7BE36D4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E192D5D" w14:textId="695293D0" w:rsidR="00386C1F" w:rsidRPr="00BA52C1" w:rsidRDefault="00386C1F" w:rsidP="00386C1F">
            <w:pPr>
              <w:pStyle w:val="CBDTableNormal"/>
              <w:spacing w:before="0" w:after="0"/>
              <w:rPr>
                <w:sz w:val="18"/>
                <w:szCs w:val="18"/>
                <w:lang w:val="fr-FR" w:eastAsia="en-CA"/>
              </w:rPr>
            </w:pPr>
            <w:r w:rsidRPr="00BA52C1">
              <w:rPr>
                <w:sz w:val="18"/>
                <w:szCs w:val="18"/>
                <w:lang w:val="fr-FR" w:eastAsia="en-CA"/>
              </w:rPr>
              <w:t>Sierra</w:t>
            </w:r>
            <w:r>
              <w:rPr>
                <w:sz w:val="18"/>
                <w:szCs w:val="18"/>
                <w:lang w:val="fr-FR" w:eastAsia="en-CA"/>
              </w:rPr>
              <w:t xml:space="preserve"> </w:t>
            </w:r>
            <w:r w:rsidRPr="00BA52C1">
              <w:rPr>
                <w:sz w:val="18"/>
                <w:szCs w:val="18"/>
                <w:lang w:val="fr-FR" w:eastAsia="en-CA"/>
              </w:rPr>
              <w:t>Leone</w:t>
            </w:r>
          </w:p>
        </w:tc>
        <w:tc>
          <w:tcPr>
            <w:tcW w:w="1628" w:type="dxa"/>
            <w:tcBorders>
              <w:top w:val="nil"/>
              <w:left w:val="nil"/>
              <w:bottom w:val="single" w:sz="4" w:space="0" w:color="auto"/>
              <w:right w:val="single" w:sz="4" w:space="0" w:color="auto"/>
            </w:tcBorders>
            <w:shd w:val="clear" w:color="auto" w:fill="auto"/>
            <w:vAlign w:val="bottom"/>
            <w:hideMark/>
          </w:tcPr>
          <w:p w14:paraId="46EDFA76" w14:textId="4393CCED"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2198" w:type="dxa"/>
            <w:tcBorders>
              <w:top w:val="nil"/>
              <w:left w:val="nil"/>
              <w:bottom w:val="single" w:sz="4" w:space="0" w:color="auto"/>
              <w:right w:val="single" w:sz="4" w:space="0" w:color="auto"/>
            </w:tcBorders>
            <w:shd w:val="clear" w:color="auto" w:fill="auto"/>
            <w:noWrap/>
            <w:vAlign w:val="bottom"/>
            <w:hideMark/>
          </w:tcPr>
          <w:p w14:paraId="32AE6B1E" w14:textId="09EFE119"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1176" w:type="dxa"/>
            <w:tcBorders>
              <w:top w:val="nil"/>
              <w:left w:val="nil"/>
              <w:bottom w:val="single" w:sz="4" w:space="0" w:color="auto"/>
              <w:right w:val="single" w:sz="4" w:space="0" w:color="auto"/>
            </w:tcBorders>
            <w:shd w:val="clear" w:color="auto" w:fill="auto"/>
            <w:noWrap/>
            <w:vAlign w:val="bottom"/>
            <w:hideMark/>
          </w:tcPr>
          <w:p w14:paraId="6850271A" w14:textId="65EB102E"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65F8FC0A" w14:textId="6BD71F52"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1BEA058B" w14:textId="54A6B8CC"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364</w:t>
            </w:r>
          </w:p>
        </w:tc>
      </w:tr>
      <w:tr w:rsidR="00386C1F" w:rsidRPr="00BA52C1" w14:paraId="4789A1E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EE41714" w14:textId="5A4804B0" w:rsidR="00386C1F" w:rsidRPr="00BA52C1" w:rsidRDefault="00386C1F" w:rsidP="00386C1F">
            <w:pPr>
              <w:pStyle w:val="CBDTableNormal"/>
              <w:spacing w:before="0" w:after="0"/>
              <w:rPr>
                <w:sz w:val="18"/>
                <w:szCs w:val="18"/>
                <w:lang w:val="fr-FR" w:eastAsia="en-CA"/>
              </w:rPr>
            </w:pPr>
            <w:r w:rsidRPr="00BA52C1">
              <w:rPr>
                <w:sz w:val="18"/>
                <w:szCs w:val="18"/>
                <w:lang w:val="fr-FR" w:eastAsia="en-CA"/>
              </w:rPr>
              <w:t>Singapo</w:t>
            </w:r>
            <w:r>
              <w:rPr>
                <w:sz w:val="18"/>
                <w:szCs w:val="18"/>
                <w:lang w:val="fr-FR" w:eastAsia="en-CA"/>
              </w:rPr>
              <w:t>ur</w:t>
            </w:r>
          </w:p>
        </w:tc>
        <w:tc>
          <w:tcPr>
            <w:tcW w:w="1628" w:type="dxa"/>
            <w:tcBorders>
              <w:top w:val="nil"/>
              <w:left w:val="nil"/>
              <w:bottom w:val="single" w:sz="4" w:space="0" w:color="auto"/>
              <w:right w:val="single" w:sz="4" w:space="0" w:color="auto"/>
            </w:tcBorders>
            <w:shd w:val="clear" w:color="auto" w:fill="auto"/>
            <w:vAlign w:val="bottom"/>
            <w:hideMark/>
          </w:tcPr>
          <w:p w14:paraId="6F5655D2" w14:textId="249C4838"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504</w:t>
            </w:r>
          </w:p>
        </w:tc>
        <w:tc>
          <w:tcPr>
            <w:tcW w:w="2198" w:type="dxa"/>
            <w:tcBorders>
              <w:top w:val="nil"/>
              <w:left w:val="nil"/>
              <w:bottom w:val="single" w:sz="4" w:space="0" w:color="auto"/>
              <w:right w:val="single" w:sz="4" w:space="0" w:color="auto"/>
            </w:tcBorders>
            <w:shd w:val="clear" w:color="auto" w:fill="auto"/>
            <w:noWrap/>
            <w:vAlign w:val="bottom"/>
            <w:hideMark/>
          </w:tcPr>
          <w:p w14:paraId="5E274748" w14:textId="70718F87"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630</w:t>
            </w:r>
          </w:p>
        </w:tc>
        <w:tc>
          <w:tcPr>
            <w:tcW w:w="1176" w:type="dxa"/>
            <w:tcBorders>
              <w:top w:val="nil"/>
              <w:left w:val="nil"/>
              <w:bottom w:val="single" w:sz="4" w:space="0" w:color="auto"/>
              <w:right w:val="single" w:sz="4" w:space="0" w:color="auto"/>
            </w:tcBorders>
            <w:shd w:val="clear" w:color="auto" w:fill="auto"/>
            <w:noWrap/>
            <w:vAlign w:val="bottom"/>
            <w:hideMark/>
          </w:tcPr>
          <w:p w14:paraId="23E687E0" w14:textId="300A6C40"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88 701</w:t>
            </w:r>
          </w:p>
        </w:tc>
        <w:tc>
          <w:tcPr>
            <w:tcW w:w="1461" w:type="dxa"/>
            <w:tcBorders>
              <w:top w:val="nil"/>
              <w:left w:val="nil"/>
              <w:bottom w:val="single" w:sz="4" w:space="0" w:color="auto"/>
              <w:right w:val="single" w:sz="4" w:space="0" w:color="auto"/>
            </w:tcBorders>
            <w:shd w:val="clear" w:color="auto" w:fill="auto"/>
            <w:noWrap/>
            <w:vAlign w:val="bottom"/>
            <w:hideMark/>
          </w:tcPr>
          <w:p w14:paraId="5DF7535F" w14:textId="23274DC0"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94 770</w:t>
            </w:r>
          </w:p>
        </w:tc>
        <w:tc>
          <w:tcPr>
            <w:tcW w:w="1080" w:type="dxa"/>
            <w:tcBorders>
              <w:top w:val="nil"/>
              <w:left w:val="nil"/>
              <w:bottom w:val="single" w:sz="4" w:space="0" w:color="auto"/>
              <w:right w:val="single" w:sz="4" w:space="0" w:color="auto"/>
            </w:tcBorders>
            <w:shd w:val="clear" w:color="auto" w:fill="auto"/>
            <w:noWrap/>
            <w:vAlign w:val="bottom"/>
            <w:hideMark/>
          </w:tcPr>
          <w:p w14:paraId="744649C9" w14:textId="39A72810"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183 472</w:t>
            </w:r>
          </w:p>
        </w:tc>
      </w:tr>
      <w:tr w:rsidR="00386C1F" w:rsidRPr="00BA52C1" w14:paraId="58824C9D"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614D464" w14:textId="006A6C4E" w:rsidR="00386C1F" w:rsidRPr="00BA52C1" w:rsidRDefault="00386C1F" w:rsidP="00386C1F">
            <w:pPr>
              <w:pStyle w:val="CBDTableNormal"/>
              <w:spacing w:before="0" w:after="0"/>
              <w:rPr>
                <w:sz w:val="18"/>
                <w:szCs w:val="18"/>
                <w:lang w:val="fr-FR" w:eastAsia="en-CA"/>
              </w:rPr>
            </w:pPr>
            <w:r w:rsidRPr="00BA52C1">
              <w:rPr>
                <w:sz w:val="18"/>
                <w:szCs w:val="18"/>
                <w:lang w:val="fr-FR" w:eastAsia="en-CA"/>
              </w:rPr>
              <w:t>Slova</w:t>
            </w:r>
            <w:r>
              <w:rPr>
                <w:sz w:val="18"/>
                <w:szCs w:val="18"/>
                <w:lang w:val="fr-FR" w:eastAsia="en-CA"/>
              </w:rPr>
              <w:t>quie</w:t>
            </w:r>
          </w:p>
        </w:tc>
        <w:tc>
          <w:tcPr>
            <w:tcW w:w="1628" w:type="dxa"/>
            <w:tcBorders>
              <w:top w:val="nil"/>
              <w:left w:val="nil"/>
              <w:bottom w:val="single" w:sz="4" w:space="0" w:color="auto"/>
              <w:right w:val="single" w:sz="4" w:space="0" w:color="auto"/>
            </w:tcBorders>
            <w:shd w:val="clear" w:color="auto" w:fill="auto"/>
            <w:vAlign w:val="bottom"/>
            <w:hideMark/>
          </w:tcPr>
          <w:p w14:paraId="6824C004" w14:textId="35705B04"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155</w:t>
            </w:r>
          </w:p>
        </w:tc>
        <w:tc>
          <w:tcPr>
            <w:tcW w:w="2198" w:type="dxa"/>
            <w:tcBorders>
              <w:top w:val="nil"/>
              <w:left w:val="nil"/>
              <w:bottom w:val="single" w:sz="4" w:space="0" w:color="auto"/>
              <w:right w:val="single" w:sz="4" w:space="0" w:color="auto"/>
            </w:tcBorders>
            <w:shd w:val="clear" w:color="auto" w:fill="auto"/>
            <w:noWrap/>
            <w:vAlign w:val="bottom"/>
            <w:hideMark/>
          </w:tcPr>
          <w:p w14:paraId="64E7426D" w14:textId="3B9E66FB"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194</w:t>
            </w:r>
          </w:p>
        </w:tc>
        <w:tc>
          <w:tcPr>
            <w:tcW w:w="1176" w:type="dxa"/>
            <w:tcBorders>
              <w:top w:val="nil"/>
              <w:left w:val="nil"/>
              <w:bottom w:val="single" w:sz="4" w:space="0" w:color="auto"/>
              <w:right w:val="single" w:sz="4" w:space="0" w:color="auto"/>
            </w:tcBorders>
            <w:shd w:val="clear" w:color="auto" w:fill="auto"/>
            <w:noWrap/>
            <w:vAlign w:val="bottom"/>
            <w:hideMark/>
          </w:tcPr>
          <w:p w14:paraId="16EC3BCC" w14:textId="0ED3AD42"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27 279</w:t>
            </w:r>
          </w:p>
        </w:tc>
        <w:tc>
          <w:tcPr>
            <w:tcW w:w="1461" w:type="dxa"/>
            <w:tcBorders>
              <w:top w:val="nil"/>
              <w:left w:val="nil"/>
              <w:bottom w:val="single" w:sz="4" w:space="0" w:color="auto"/>
              <w:right w:val="single" w:sz="4" w:space="0" w:color="auto"/>
            </w:tcBorders>
            <w:shd w:val="clear" w:color="auto" w:fill="auto"/>
            <w:noWrap/>
            <w:vAlign w:val="bottom"/>
            <w:hideMark/>
          </w:tcPr>
          <w:p w14:paraId="7FBEBFAC" w14:textId="4A2D7875"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29 146</w:t>
            </w:r>
          </w:p>
        </w:tc>
        <w:tc>
          <w:tcPr>
            <w:tcW w:w="1080" w:type="dxa"/>
            <w:tcBorders>
              <w:top w:val="nil"/>
              <w:left w:val="nil"/>
              <w:bottom w:val="single" w:sz="4" w:space="0" w:color="auto"/>
              <w:right w:val="single" w:sz="4" w:space="0" w:color="auto"/>
            </w:tcBorders>
            <w:shd w:val="clear" w:color="auto" w:fill="auto"/>
            <w:noWrap/>
            <w:vAlign w:val="bottom"/>
            <w:hideMark/>
          </w:tcPr>
          <w:p w14:paraId="53CC1D06" w14:textId="381E311C"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56 425</w:t>
            </w:r>
          </w:p>
        </w:tc>
      </w:tr>
      <w:tr w:rsidR="00386C1F" w:rsidRPr="00BA52C1" w14:paraId="33992233"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9C21049" w14:textId="4C83DA8F" w:rsidR="00386C1F" w:rsidRPr="00BA52C1" w:rsidRDefault="00386C1F" w:rsidP="00386C1F">
            <w:pPr>
              <w:pStyle w:val="CBDTableNormal"/>
              <w:spacing w:before="0" w:after="0"/>
              <w:rPr>
                <w:sz w:val="18"/>
                <w:szCs w:val="18"/>
                <w:lang w:val="fr-FR" w:eastAsia="en-CA"/>
              </w:rPr>
            </w:pPr>
            <w:r w:rsidRPr="00BA52C1">
              <w:rPr>
                <w:sz w:val="18"/>
                <w:szCs w:val="18"/>
                <w:lang w:val="fr-FR" w:eastAsia="en-CA"/>
              </w:rPr>
              <w:t>Slov</w:t>
            </w:r>
            <w:r>
              <w:rPr>
                <w:sz w:val="18"/>
                <w:szCs w:val="18"/>
                <w:lang w:val="fr-FR" w:eastAsia="en-CA"/>
              </w:rPr>
              <w:t>énie</w:t>
            </w:r>
          </w:p>
        </w:tc>
        <w:tc>
          <w:tcPr>
            <w:tcW w:w="1628" w:type="dxa"/>
            <w:tcBorders>
              <w:top w:val="nil"/>
              <w:left w:val="nil"/>
              <w:bottom w:val="single" w:sz="4" w:space="0" w:color="auto"/>
              <w:right w:val="single" w:sz="4" w:space="0" w:color="auto"/>
            </w:tcBorders>
            <w:shd w:val="clear" w:color="auto" w:fill="auto"/>
            <w:vAlign w:val="bottom"/>
            <w:hideMark/>
          </w:tcPr>
          <w:p w14:paraId="44F76D8D" w14:textId="5124121B"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079</w:t>
            </w:r>
          </w:p>
        </w:tc>
        <w:tc>
          <w:tcPr>
            <w:tcW w:w="2198" w:type="dxa"/>
            <w:tcBorders>
              <w:top w:val="nil"/>
              <w:left w:val="nil"/>
              <w:bottom w:val="single" w:sz="4" w:space="0" w:color="auto"/>
              <w:right w:val="single" w:sz="4" w:space="0" w:color="auto"/>
            </w:tcBorders>
            <w:shd w:val="clear" w:color="auto" w:fill="auto"/>
            <w:noWrap/>
            <w:vAlign w:val="bottom"/>
            <w:hideMark/>
          </w:tcPr>
          <w:p w14:paraId="63329A6E" w14:textId="385B9409"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099</w:t>
            </w:r>
          </w:p>
        </w:tc>
        <w:tc>
          <w:tcPr>
            <w:tcW w:w="1176" w:type="dxa"/>
            <w:tcBorders>
              <w:top w:val="nil"/>
              <w:left w:val="nil"/>
              <w:bottom w:val="single" w:sz="4" w:space="0" w:color="auto"/>
              <w:right w:val="single" w:sz="4" w:space="0" w:color="auto"/>
            </w:tcBorders>
            <w:shd w:val="clear" w:color="auto" w:fill="auto"/>
            <w:noWrap/>
            <w:vAlign w:val="bottom"/>
            <w:hideMark/>
          </w:tcPr>
          <w:p w14:paraId="275B507E" w14:textId="438318F4"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13 904</w:t>
            </w:r>
          </w:p>
        </w:tc>
        <w:tc>
          <w:tcPr>
            <w:tcW w:w="1461" w:type="dxa"/>
            <w:tcBorders>
              <w:top w:val="nil"/>
              <w:left w:val="nil"/>
              <w:bottom w:val="single" w:sz="4" w:space="0" w:color="auto"/>
              <w:right w:val="single" w:sz="4" w:space="0" w:color="auto"/>
            </w:tcBorders>
            <w:shd w:val="clear" w:color="auto" w:fill="auto"/>
            <w:noWrap/>
            <w:vAlign w:val="bottom"/>
            <w:hideMark/>
          </w:tcPr>
          <w:p w14:paraId="752BC624" w14:textId="66A8B8B3"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14 855</w:t>
            </w:r>
          </w:p>
        </w:tc>
        <w:tc>
          <w:tcPr>
            <w:tcW w:w="1080" w:type="dxa"/>
            <w:tcBorders>
              <w:top w:val="nil"/>
              <w:left w:val="nil"/>
              <w:bottom w:val="single" w:sz="4" w:space="0" w:color="auto"/>
              <w:right w:val="single" w:sz="4" w:space="0" w:color="auto"/>
            </w:tcBorders>
            <w:shd w:val="clear" w:color="auto" w:fill="auto"/>
            <w:noWrap/>
            <w:vAlign w:val="bottom"/>
            <w:hideMark/>
          </w:tcPr>
          <w:p w14:paraId="2B5D4126" w14:textId="20DD6502"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28 758</w:t>
            </w:r>
          </w:p>
        </w:tc>
      </w:tr>
      <w:tr w:rsidR="00386C1F" w:rsidRPr="00BA52C1" w14:paraId="136A0FDC"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6120852" w14:textId="21B7887E" w:rsidR="00386C1F" w:rsidRPr="00BA52C1" w:rsidRDefault="00386C1F" w:rsidP="00386C1F">
            <w:pPr>
              <w:pStyle w:val="CBDTableNormal"/>
              <w:spacing w:before="0" w:after="0"/>
              <w:rPr>
                <w:sz w:val="18"/>
                <w:szCs w:val="18"/>
                <w:lang w:val="fr-FR" w:eastAsia="en-CA"/>
              </w:rPr>
            </w:pPr>
            <w:r w:rsidRPr="00BA52C1">
              <w:rPr>
                <w:sz w:val="18"/>
                <w:szCs w:val="18"/>
                <w:lang w:val="fr-FR" w:eastAsia="en-CA"/>
              </w:rPr>
              <w:t>Somali</w:t>
            </w:r>
            <w:r>
              <w:rPr>
                <w:sz w:val="18"/>
                <w:szCs w:val="18"/>
                <w:lang w:val="fr-FR" w:eastAsia="en-CA"/>
              </w:rPr>
              <w:t>e</w:t>
            </w:r>
          </w:p>
        </w:tc>
        <w:tc>
          <w:tcPr>
            <w:tcW w:w="1628" w:type="dxa"/>
            <w:tcBorders>
              <w:top w:val="nil"/>
              <w:left w:val="nil"/>
              <w:bottom w:val="single" w:sz="4" w:space="0" w:color="auto"/>
              <w:right w:val="single" w:sz="4" w:space="0" w:color="auto"/>
            </w:tcBorders>
            <w:shd w:val="clear" w:color="auto" w:fill="auto"/>
            <w:vAlign w:val="bottom"/>
            <w:hideMark/>
          </w:tcPr>
          <w:p w14:paraId="4CD5FA2B" w14:textId="1C7C4FDC"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2198" w:type="dxa"/>
            <w:tcBorders>
              <w:top w:val="nil"/>
              <w:left w:val="nil"/>
              <w:bottom w:val="single" w:sz="4" w:space="0" w:color="auto"/>
              <w:right w:val="single" w:sz="4" w:space="0" w:color="auto"/>
            </w:tcBorders>
            <w:shd w:val="clear" w:color="auto" w:fill="auto"/>
            <w:noWrap/>
            <w:vAlign w:val="bottom"/>
            <w:hideMark/>
          </w:tcPr>
          <w:p w14:paraId="47EB2F4B" w14:textId="57C5B7EE"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1176" w:type="dxa"/>
            <w:tcBorders>
              <w:top w:val="nil"/>
              <w:left w:val="nil"/>
              <w:bottom w:val="single" w:sz="4" w:space="0" w:color="auto"/>
              <w:right w:val="single" w:sz="4" w:space="0" w:color="auto"/>
            </w:tcBorders>
            <w:shd w:val="clear" w:color="auto" w:fill="auto"/>
            <w:noWrap/>
            <w:vAlign w:val="bottom"/>
            <w:hideMark/>
          </w:tcPr>
          <w:p w14:paraId="24822AC3" w14:textId="6FFB8B31"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30AF3E80" w14:textId="58AB009B"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4DFD8F2A" w14:textId="123E9B2A"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364</w:t>
            </w:r>
          </w:p>
        </w:tc>
      </w:tr>
      <w:tr w:rsidR="00386C1F" w:rsidRPr="00BA52C1" w14:paraId="02703153" w14:textId="77777777" w:rsidTr="00214D86">
        <w:tc>
          <w:tcPr>
            <w:tcW w:w="1880" w:type="dxa"/>
            <w:tcBorders>
              <w:top w:val="nil"/>
              <w:left w:val="single" w:sz="4" w:space="0" w:color="auto"/>
              <w:bottom w:val="single" w:sz="4" w:space="0" w:color="auto"/>
              <w:right w:val="single" w:sz="4" w:space="0" w:color="auto"/>
            </w:tcBorders>
            <w:shd w:val="clear" w:color="auto" w:fill="auto"/>
            <w:vAlign w:val="bottom"/>
          </w:tcPr>
          <w:p w14:paraId="66EF16FA" w14:textId="722E185D" w:rsidR="00386C1F" w:rsidRPr="00BA52C1" w:rsidRDefault="00386C1F" w:rsidP="00386C1F">
            <w:pPr>
              <w:pStyle w:val="CBDTableNormal"/>
              <w:spacing w:before="0" w:after="0"/>
              <w:rPr>
                <w:sz w:val="18"/>
                <w:szCs w:val="18"/>
                <w:lang w:val="fr-FR" w:eastAsia="en-CA"/>
              </w:rPr>
            </w:pPr>
            <w:r w:rsidRPr="00BA52C1">
              <w:rPr>
                <w:sz w:val="18"/>
                <w:szCs w:val="18"/>
                <w:lang w:val="fr-FR" w:eastAsia="en-CA"/>
              </w:rPr>
              <w:t>S</w:t>
            </w:r>
            <w:r>
              <w:rPr>
                <w:sz w:val="18"/>
                <w:szCs w:val="18"/>
                <w:lang w:val="fr-FR" w:eastAsia="en-CA"/>
              </w:rPr>
              <w:t>o</w:t>
            </w:r>
            <w:r w:rsidRPr="00BA52C1">
              <w:rPr>
                <w:sz w:val="18"/>
                <w:szCs w:val="18"/>
                <w:lang w:val="fr-FR" w:eastAsia="en-CA"/>
              </w:rPr>
              <w:t>udan</w:t>
            </w:r>
          </w:p>
        </w:tc>
        <w:tc>
          <w:tcPr>
            <w:tcW w:w="1628" w:type="dxa"/>
            <w:tcBorders>
              <w:top w:val="nil"/>
              <w:left w:val="nil"/>
              <w:bottom w:val="single" w:sz="4" w:space="0" w:color="auto"/>
              <w:right w:val="single" w:sz="4" w:space="0" w:color="auto"/>
            </w:tcBorders>
            <w:shd w:val="clear" w:color="auto" w:fill="auto"/>
            <w:vAlign w:val="bottom"/>
          </w:tcPr>
          <w:p w14:paraId="7D516D87" w14:textId="760E093A"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010</w:t>
            </w:r>
          </w:p>
        </w:tc>
        <w:tc>
          <w:tcPr>
            <w:tcW w:w="2198" w:type="dxa"/>
            <w:tcBorders>
              <w:top w:val="nil"/>
              <w:left w:val="nil"/>
              <w:bottom w:val="single" w:sz="4" w:space="0" w:color="auto"/>
              <w:right w:val="single" w:sz="4" w:space="0" w:color="auto"/>
            </w:tcBorders>
            <w:shd w:val="clear" w:color="auto" w:fill="auto"/>
            <w:noWrap/>
            <w:vAlign w:val="bottom"/>
          </w:tcPr>
          <w:p w14:paraId="37E3C5C9" w14:textId="1384E8F0"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010</w:t>
            </w:r>
          </w:p>
        </w:tc>
        <w:tc>
          <w:tcPr>
            <w:tcW w:w="1176" w:type="dxa"/>
            <w:tcBorders>
              <w:top w:val="nil"/>
              <w:left w:val="nil"/>
              <w:bottom w:val="single" w:sz="4" w:space="0" w:color="auto"/>
              <w:right w:val="single" w:sz="4" w:space="0" w:color="auto"/>
            </w:tcBorders>
            <w:shd w:val="clear" w:color="auto" w:fill="auto"/>
            <w:noWrap/>
            <w:vAlign w:val="bottom"/>
          </w:tcPr>
          <w:p w14:paraId="38277FAB" w14:textId="6CE90432"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1 408</w:t>
            </w:r>
          </w:p>
        </w:tc>
        <w:tc>
          <w:tcPr>
            <w:tcW w:w="1461" w:type="dxa"/>
            <w:tcBorders>
              <w:top w:val="nil"/>
              <w:left w:val="nil"/>
              <w:bottom w:val="single" w:sz="4" w:space="0" w:color="auto"/>
              <w:right w:val="single" w:sz="4" w:space="0" w:color="auto"/>
            </w:tcBorders>
            <w:shd w:val="clear" w:color="auto" w:fill="auto"/>
            <w:noWrap/>
            <w:vAlign w:val="bottom"/>
          </w:tcPr>
          <w:p w14:paraId="5E59A02E" w14:textId="4252D72B"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1 504</w:t>
            </w:r>
          </w:p>
        </w:tc>
        <w:tc>
          <w:tcPr>
            <w:tcW w:w="1080" w:type="dxa"/>
            <w:tcBorders>
              <w:top w:val="nil"/>
              <w:left w:val="nil"/>
              <w:bottom w:val="single" w:sz="4" w:space="0" w:color="auto"/>
              <w:right w:val="single" w:sz="4" w:space="0" w:color="auto"/>
            </w:tcBorders>
            <w:shd w:val="clear" w:color="auto" w:fill="auto"/>
            <w:noWrap/>
            <w:vAlign w:val="bottom"/>
          </w:tcPr>
          <w:p w14:paraId="2F62F57B" w14:textId="7F1560C3"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2 912</w:t>
            </w:r>
          </w:p>
        </w:tc>
      </w:tr>
      <w:tr w:rsidR="00386C1F" w:rsidRPr="00BA52C1" w14:paraId="2AF7675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520F520" w14:textId="5D9DCE2E" w:rsidR="00386C1F" w:rsidRPr="00BA52C1" w:rsidRDefault="00386C1F" w:rsidP="00386C1F">
            <w:pPr>
              <w:pStyle w:val="CBDTableNormal"/>
              <w:spacing w:before="0" w:after="0"/>
              <w:rPr>
                <w:sz w:val="18"/>
                <w:szCs w:val="18"/>
                <w:lang w:val="fr-FR" w:eastAsia="en-CA"/>
              </w:rPr>
            </w:pPr>
            <w:r w:rsidRPr="00BA52C1">
              <w:rPr>
                <w:sz w:val="18"/>
                <w:szCs w:val="18"/>
                <w:lang w:val="fr-FR" w:eastAsia="en-CA"/>
              </w:rPr>
              <w:t>S</w:t>
            </w:r>
            <w:r>
              <w:rPr>
                <w:sz w:val="18"/>
                <w:szCs w:val="18"/>
                <w:lang w:val="fr-FR" w:eastAsia="en-CA"/>
              </w:rPr>
              <w:t>o</w:t>
            </w:r>
            <w:r w:rsidRPr="00BA52C1">
              <w:rPr>
                <w:sz w:val="18"/>
                <w:szCs w:val="18"/>
                <w:lang w:val="fr-FR" w:eastAsia="en-CA"/>
              </w:rPr>
              <w:t>udan</w:t>
            </w:r>
            <w:r>
              <w:rPr>
                <w:sz w:val="18"/>
                <w:szCs w:val="18"/>
                <w:lang w:val="fr-FR" w:eastAsia="en-CA"/>
              </w:rPr>
              <w:t xml:space="preserve"> du Sud</w:t>
            </w:r>
          </w:p>
        </w:tc>
        <w:tc>
          <w:tcPr>
            <w:tcW w:w="1628" w:type="dxa"/>
            <w:tcBorders>
              <w:top w:val="nil"/>
              <w:left w:val="nil"/>
              <w:bottom w:val="single" w:sz="4" w:space="0" w:color="auto"/>
              <w:right w:val="single" w:sz="4" w:space="0" w:color="auto"/>
            </w:tcBorders>
            <w:shd w:val="clear" w:color="auto" w:fill="auto"/>
            <w:vAlign w:val="bottom"/>
            <w:hideMark/>
          </w:tcPr>
          <w:p w14:paraId="7C689A66" w14:textId="69991448"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002</w:t>
            </w:r>
          </w:p>
        </w:tc>
        <w:tc>
          <w:tcPr>
            <w:tcW w:w="2198" w:type="dxa"/>
            <w:tcBorders>
              <w:top w:val="nil"/>
              <w:left w:val="nil"/>
              <w:bottom w:val="single" w:sz="4" w:space="0" w:color="auto"/>
              <w:right w:val="single" w:sz="4" w:space="0" w:color="auto"/>
            </w:tcBorders>
            <w:shd w:val="clear" w:color="auto" w:fill="auto"/>
            <w:noWrap/>
            <w:vAlign w:val="bottom"/>
            <w:hideMark/>
          </w:tcPr>
          <w:p w14:paraId="53F840BA" w14:textId="5405ED37"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003</w:t>
            </w:r>
          </w:p>
        </w:tc>
        <w:tc>
          <w:tcPr>
            <w:tcW w:w="1176" w:type="dxa"/>
            <w:tcBorders>
              <w:top w:val="nil"/>
              <w:left w:val="nil"/>
              <w:bottom w:val="single" w:sz="4" w:space="0" w:color="auto"/>
              <w:right w:val="single" w:sz="4" w:space="0" w:color="auto"/>
            </w:tcBorders>
            <w:shd w:val="clear" w:color="auto" w:fill="auto"/>
            <w:noWrap/>
            <w:vAlign w:val="bottom"/>
            <w:hideMark/>
          </w:tcPr>
          <w:p w14:paraId="75D7FB34" w14:textId="553B1FB5"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352</w:t>
            </w:r>
          </w:p>
        </w:tc>
        <w:tc>
          <w:tcPr>
            <w:tcW w:w="1461" w:type="dxa"/>
            <w:tcBorders>
              <w:top w:val="nil"/>
              <w:left w:val="nil"/>
              <w:bottom w:val="single" w:sz="4" w:space="0" w:color="auto"/>
              <w:right w:val="single" w:sz="4" w:space="0" w:color="auto"/>
            </w:tcBorders>
            <w:shd w:val="clear" w:color="auto" w:fill="auto"/>
            <w:noWrap/>
            <w:vAlign w:val="bottom"/>
            <w:hideMark/>
          </w:tcPr>
          <w:p w14:paraId="79CCFFB6" w14:textId="6E33F795"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376</w:t>
            </w:r>
          </w:p>
        </w:tc>
        <w:tc>
          <w:tcPr>
            <w:tcW w:w="1080" w:type="dxa"/>
            <w:tcBorders>
              <w:top w:val="nil"/>
              <w:left w:val="nil"/>
              <w:bottom w:val="single" w:sz="4" w:space="0" w:color="auto"/>
              <w:right w:val="single" w:sz="4" w:space="0" w:color="auto"/>
            </w:tcBorders>
            <w:shd w:val="clear" w:color="auto" w:fill="auto"/>
            <w:noWrap/>
            <w:vAlign w:val="bottom"/>
            <w:hideMark/>
          </w:tcPr>
          <w:p w14:paraId="487AD2D7" w14:textId="1BA2A73B"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728</w:t>
            </w:r>
          </w:p>
        </w:tc>
      </w:tr>
      <w:tr w:rsidR="00386C1F" w:rsidRPr="00BA52C1" w14:paraId="4B34B7EA"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2F24FAC" w14:textId="6C53A232" w:rsidR="00386C1F" w:rsidRPr="00BA52C1" w:rsidRDefault="00386C1F" w:rsidP="00386C1F">
            <w:pPr>
              <w:pStyle w:val="CBDTableNormal"/>
              <w:spacing w:before="0" w:after="0"/>
              <w:rPr>
                <w:sz w:val="18"/>
                <w:szCs w:val="18"/>
                <w:lang w:val="fr-FR" w:eastAsia="en-CA"/>
              </w:rPr>
            </w:pPr>
            <w:r w:rsidRPr="00BA52C1">
              <w:rPr>
                <w:sz w:val="18"/>
                <w:szCs w:val="18"/>
                <w:lang w:val="fr-FR" w:eastAsia="en-CA"/>
              </w:rPr>
              <w:t>Sri Lanka</w:t>
            </w:r>
          </w:p>
        </w:tc>
        <w:tc>
          <w:tcPr>
            <w:tcW w:w="1628" w:type="dxa"/>
            <w:tcBorders>
              <w:top w:val="nil"/>
              <w:left w:val="nil"/>
              <w:bottom w:val="single" w:sz="4" w:space="0" w:color="auto"/>
              <w:right w:val="single" w:sz="4" w:space="0" w:color="auto"/>
            </w:tcBorders>
            <w:shd w:val="clear" w:color="auto" w:fill="auto"/>
            <w:vAlign w:val="bottom"/>
            <w:hideMark/>
          </w:tcPr>
          <w:p w14:paraId="54E76348" w14:textId="64C5DEF3"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045</w:t>
            </w:r>
          </w:p>
        </w:tc>
        <w:tc>
          <w:tcPr>
            <w:tcW w:w="2198" w:type="dxa"/>
            <w:tcBorders>
              <w:top w:val="nil"/>
              <w:left w:val="nil"/>
              <w:bottom w:val="single" w:sz="4" w:space="0" w:color="auto"/>
              <w:right w:val="single" w:sz="4" w:space="0" w:color="auto"/>
            </w:tcBorders>
            <w:shd w:val="clear" w:color="auto" w:fill="auto"/>
            <w:noWrap/>
            <w:vAlign w:val="bottom"/>
            <w:hideMark/>
          </w:tcPr>
          <w:p w14:paraId="4BD8AD47" w14:textId="23924416"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056</w:t>
            </w:r>
          </w:p>
        </w:tc>
        <w:tc>
          <w:tcPr>
            <w:tcW w:w="1176" w:type="dxa"/>
            <w:tcBorders>
              <w:top w:val="nil"/>
              <w:left w:val="nil"/>
              <w:bottom w:val="single" w:sz="4" w:space="0" w:color="auto"/>
              <w:right w:val="single" w:sz="4" w:space="0" w:color="auto"/>
            </w:tcBorders>
            <w:shd w:val="clear" w:color="auto" w:fill="auto"/>
            <w:noWrap/>
            <w:vAlign w:val="bottom"/>
            <w:hideMark/>
          </w:tcPr>
          <w:p w14:paraId="527C5AC1" w14:textId="717BBED6"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7 920</w:t>
            </w:r>
          </w:p>
        </w:tc>
        <w:tc>
          <w:tcPr>
            <w:tcW w:w="1461" w:type="dxa"/>
            <w:tcBorders>
              <w:top w:val="nil"/>
              <w:left w:val="nil"/>
              <w:bottom w:val="single" w:sz="4" w:space="0" w:color="auto"/>
              <w:right w:val="single" w:sz="4" w:space="0" w:color="auto"/>
            </w:tcBorders>
            <w:shd w:val="clear" w:color="auto" w:fill="auto"/>
            <w:noWrap/>
            <w:vAlign w:val="bottom"/>
            <w:hideMark/>
          </w:tcPr>
          <w:p w14:paraId="07B26F6A" w14:textId="468965A4"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8 462</w:t>
            </w:r>
          </w:p>
        </w:tc>
        <w:tc>
          <w:tcPr>
            <w:tcW w:w="1080" w:type="dxa"/>
            <w:tcBorders>
              <w:top w:val="nil"/>
              <w:left w:val="nil"/>
              <w:bottom w:val="single" w:sz="4" w:space="0" w:color="auto"/>
              <w:right w:val="single" w:sz="4" w:space="0" w:color="auto"/>
            </w:tcBorders>
            <w:shd w:val="clear" w:color="auto" w:fill="auto"/>
            <w:noWrap/>
            <w:vAlign w:val="bottom"/>
            <w:hideMark/>
          </w:tcPr>
          <w:p w14:paraId="6368EC0E" w14:textId="3DC68266"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16 381</w:t>
            </w:r>
          </w:p>
        </w:tc>
      </w:tr>
      <w:tr w:rsidR="00386C1F" w:rsidRPr="00BA52C1" w14:paraId="78E0540C"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2524F27" w14:textId="75F475A9" w:rsidR="00386C1F" w:rsidRPr="00BA52C1" w:rsidRDefault="00386C1F" w:rsidP="00386C1F">
            <w:pPr>
              <w:pStyle w:val="CBDTableNormal"/>
              <w:spacing w:before="0" w:after="0"/>
              <w:rPr>
                <w:sz w:val="18"/>
                <w:szCs w:val="18"/>
                <w:lang w:val="fr-FR" w:eastAsia="en-CA"/>
              </w:rPr>
            </w:pPr>
            <w:r>
              <w:rPr>
                <w:sz w:val="18"/>
                <w:szCs w:val="18"/>
                <w:lang w:val="fr-FR" w:eastAsia="en-CA"/>
              </w:rPr>
              <w:t>Suède</w:t>
            </w:r>
          </w:p>
        </w:tc>
        <w:tc>
          <w:tcPr>
            <w:tcW w:w="1628" w:type="dxa"/>
            <w:tcBorders>
              <w:top w:val="nil"/>
              <w:left w:val="nil"/>
              <w:bottom w:val="single" w:sz="4" w:space="0" w:color="auto"/>
              <w:right w:val="single" w:sz="4" w:space="0" w:color="auto"/>
            </w:tcBorders>
            <w:shd w:val="clear" w:color="auto" w:fill="auto"/>
            <w:vAlign w:val="bottom"/>
            <w:hideMark/>
          </w:tcPr>
          <w:p w14:paraId="6AB3618F" w14:textId="1DAC4A41"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871</w:t>
            </w:r>
          </w:p>
        </w:tc>
        <w:tc>
          <w:tcPr>
            <w:tcW w:w="2198" w:type="dxa"/>
            <w:tcBorders>
              <w:top w:val="nil"/>
              <w:left w:val="nil"/>
              <w:bottom w:val="single" w:sz="4" w:space="0" w:color="auto"/>
              <w:right w:val="single" w:sz="4" w:space="0" w:color="auto"/>
            </w:tcBorders>
            <w:shd w:val="clear" w:color="auto" w:fill="auto"/>
            <w:noWrap/>
            <w:vAlign w:val="bottom"/>
            <w:hideMark/>
          </w:tcPr>
          <w:p w14:paraId="7EB29558" w14:textId="7DB9F5F2"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w:t>
            </w:r>
            <w:r>
              <w:rPr>
                <w:sz w:val="18"/>
                <w:szCs w:val="18"/>
                <w:lang w:val="fr-FR" w:eastAsia="en-CA"/>
              </w:rPr>
              <w:t>,</w:t>
            </w:r>
            <w:r w:rsidRPr="00BA52C1">
              <w:rPr>
                <w:sz w:val="18"/>
                <w:szCs w:val="18"/>
                <w:lang w:val="fr-FR" w:eastAsia="en-CA"/>
              </w:rPr>
              <w:t>089</w:t>
            </w:r>
          </w:p>
        </w:tc>
        <w:tc>
          <w:tcPr>
            <w:tcW w:w="1176" w:type="dxa"/>
            <w:tcBorders>
              <w:top w:val="nil"/>
              <w:left w:val="nil"/>
              <w:bottom w:val="single" w:sz="4" w:space="0" w:color="auto"/>
              <w:right w:val="single" w:sz="4" w:space="0" w:color="auto"/>
            </w:tcBorders>
            <w:shd w:val="clear" w:color="auto" w:fill="auto"/>
            <w:noWrap/>
            <w:vAlign w:val="bottom"/>
            <w:hideMark/>
          </w:tcPr>
          <w:p w14:paraId="24184E7A" w14:textId="65AD3017"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153 291</w:t>
            </w:r>
          </w:p>
        </w:tc>
        <w:tc>
          <w:tcPr>
            <w:tcW w:w="1461" w:type="dxa"/>
            <w:tcBorders>
              <w:top w:val="nil"/>
              <w:left w:val="nil"/>
              <w:bottom w:val="single" w:sz="4" w:space="0" w:color="auto"/>
              <w:right w:val="single" w:sz="4" w:space="0" w:color="auto"/>
            </w:tcBorders>
            <w:shd w:val="clear" w:color="auto" w:fill="auto"/>
            <w:noWrap/>
            <w:vAlign w:val="bottom"/>
            <w:hideMark/>
          </w:tcPr>
          <w:p w14:paraId="53875B63" w14:textId="1AFD9277"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163 780</w:t>
            </w:r>
          </w:p>
        </w:tc>
        <w:tc>
          <w:tcPr>
            <w:tcW w:w="1080" w:type="dxa"/>
            <w:tcBorders>
              <w:top w:val="nil"/>
              <w:left w:val="nil"/>
              <w:bottom w:val="single" w:sz="4" w:space="0" w:color="auto"/>
              <w:right w:val="single" w:sz="4" w:space="0" w:color="auto"/>
            </w:tcBorders>
            <w:shd w:val="clear" w:color="auto" w:fill="auto"/>
            <w:noWrap/>
            <w:vAlign w:val="bottom"/>
            <w:hideMark/>
          </w:tcPr>
          <w:p w14:paraId="0AC9C03B" w14:textId="64A94C78"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317 071</w:t>
            </w:r>
          </w:p>
        </w:tc>
      </w:tr>
      <w:tr w:rsidR="00386C1F" w:rsidRPr="00BA52C1" w14:paraId="066CA224"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1054E8A" w14:textId="7A8ABBCD" w:rsidR="00386C1F" w:rsidRPr="00BA52C1" w:rsidRDefault="00386C1F" w:rsidP="00386C1F">
            <w:pPr>
              <w:pStyle w:val="CBDTableNormal"/>
              <w:spacing w:before="0" w:after="0"/>
              <w:rPr>
                <w:sz w:val="18"/>
                <w:szCs w:val="18"/>
                <w:lang w:val="fr-FR" w:eastAsia="en-CA"/>
              </w:rPr>
            </w:pPr>
            <w:r>
              <w:rPr>
                <w:sz w:val="18"/>
                <w:szCs w:val="18"/>
                <w:lang w:val="fr-FR" w:eastAsia="en-CA"/>
              </w:rPr>
              <w:t>Suisse</w:t>
            </w:r>
          </w:p>
        </w:tc>
        <w:tc>
          <w:tcPr>
            <w:tcW w:w="1628" w:type="dxa"/>
            <w:tcBorders>
              <w:top w:val="nil"/>
              <w:left w:val="nil"/>
              <w:bottom w:val="single" w:sz="4" w:space="0" w:color="auto"/>
              <w:right w:val="single" w:sz="4" w:space="0" w:color="auto"/>
            </w:tcBorders>
            <w:shd w:val="clear" w:color="auto" w:fill="auto"/>
            <w:vAlign w:val="bottom"/>
            <w:hideMark/>
          </w:tcPr>
          <w:p w14:paraId="53A2D97A" w14:textId="14F4C40D"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w:t>
            </w:r>
            <w:r>
              <w:rPr>
                <w:sz w:val="18"/>
                <w:szCs w:val="18"/>
                <w:lang w:val="fr-FR" w:eastAsia="en-CA"/>
              </w:rPr>
              <w:t>,</w:t>
            </w:r>
            <w:r w:rsidRPr="00BA52C1">
              <w:rPr>
                <w:sz w:val="18"/>
                <w:szCs w:val="18"/>
                <w:lang w:val="fr-FR" w:eastAsia="en-CA"/>
              </w:rPr>
              <w:t>134</w:t>
            </w:r>
          </w:p>
        </w:tc>
        <w:tc>
          <w:tcPr>
            <w:tcW w:w="2198" w:type="dxa"/>
            <w:tcBorders>
              <w:top w:val="nil"/>
              <w:left w:val="nil"/>
              <w:bottom w:val="single" w:sz="4" w:space="0" w:color="auto"/>
              <w:right w:val="single" w:sz="4" w:space="0" w:color="auto"/>
            </w:tcBorders>
            <w:shd w:val="clear" w:color="auto" w:fill="auto"/>
            <w:noWrap/>
            <w:vAlign w:val="bottom"/>
            <w:hideMark/>
          </w:tcPr>
          <w:p w14:paraId="297DF2E4" w14:textId="7F741923"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w:t>
            </w:r>
            <w:r>
              <w:rPr>
                <w:sz w:val="18"/>
                <w:szCs w:val="18"/>
                <w:lang w:val="fr-FR" w:eastAsia="en-CA"/>
              </w:rPr>
              <w:t>,</w:t>
            </w:r>
            <w:r w:rsidRPr="00BA52C1">
              <w:rPr>
                <w:sz w:val="18"/>
                <w:szCs w:val="18"/>
                <w:lang w:val="fr-FR" w:eastAsia="en-CA"/>
              </w:rPr>
              <w:t>418</w:t>
            </w:r>
          </w:p>
        </w:tc>
        <w:tc>
          <w:tcPr>
            <w:tcW w:w="1176" w:type="dxa"/>
            <w:tcBorders>
              <w:top w:val="nil"/>
              <w:left w:val="nil"/>
              <w:bottom w:val="single" w:sz="4" w:space="0" w:color="auto"/>
              <w:right w:val="single" w:sz="4" w:space="0" w:color="auto"/>
            </w:tcBorders>
            <w:shd w:val="clear" w:color="auto" w:fill="auto"/>
            <w:noWrap/>
            <w:vAlign w:val="bottom"/>
            <w:hideMark/>
          </w:tcPr>
          <w:p w14:paraId="5FDBD8F0" w14:textId="7C91101E"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199 578</w:t>
            </w:r>
          </w:p>
        </w:tc>
        <w:tc>
          <w:tcPr>
            <w:tcW w:w="1461" w:type="dxa"/>
            <w:tcBorders>
              <w:top w:val="nil"/>
              <w:left w:val="nil"/>
              <w:bottom w:val="single" w:sz="4" w:space="0" w:color="auto"/>
              <w:right w:val="single" w:sz="4" w:space="0" w:color="auto"/>
            </w:tcBorders>
            <w:shd w:val="clear" w:color="auto" w:fill="auto"/>
            <w:noWrap/>
            <w:vAlign w:val="bottom"/>
            <w:hideMark/>
          </w:tcPr>
          <w:p w14:paraId="101E4D4D" w14:textId="572D83F2"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213 233</w:t>
            </w:r>
          </w:p>
        </w:tc>
        <w:tc>
          <w:tcPr>
            <w:tcW w:w="1080" w:type="dxa"/>
            <w:tcBorders>
              <w:top w:val="nil"/>
              <w:left w:val="nil"/>
              <w:bottom w:val="single" w:sz="4" w:space="0" w:color="auto"/>
              <w:right w:val="single" w:sz="4" w:space="0" w:color="auto"/>
            </w:tcBorders>
            <w:shd w:val="clear" w:color="auto" w:fill="auto"/>
            <w:noWrap/>
            <w:vAlign w:val="bottom"/>
            <w:hideMark/>
          </w:tcPr>
          <w:p w14:paraId="75883BD7" w14:textId="6D1C96C2"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412 811</w:t>
            </w:r>
          </w:p>
        </w:tc>
      </w:tr>
      <w:tr w:rsidR="00386C1F" w:rsidRPr="00BA52C1" w14:paraId="71EB2CA6" w14:textId="77777777" w:rsidTr="00C65CDE">
        <w:tc>
          <w:tcPr>
            <w:tcW w:w="1880" w:type="dxa"/>
            <w:tcBorders>
              <w:top w:val="nil"/>
              <w:left w:val="single" w:sz="4" w:space="0" w:color="auto"/>
              <w:bottom w:val="single" w:sz="4" w:space="0" w:color="auto"/>
              <w:right w:val="single" w:sz="4" w:space="0" w:color="auto"/>
            </w:tcBorders>
            <w:shd w:val="clear" w:color="auto" w:fill="auto"/>
            <w:vAlign w:val="bottom"/>
          </w:tcPr>
          <w:p w14:paraId="1094FC73" w14:textId="64DDCEEA" w:rsidR="00386C1F" w:rsidRPr="00BA52C1" w:rsidRDefault="00386C1F" w:rsidP="00386C1F">
            <w:pPr>
              <w:pStyle w:val="CBDTableNormal"/>
              <w:spacing w:before="0" w:after="0"/>
              <w:rPr>
                <w:sz w:val="18"/>
                <w:szCs w:val="18"/>
                <w:lang w:val="fr-FR" w:eastAsia="en-CA"/>
              </w:rPr>
            </w:pPr>
            <w:r w:rsidRPr="00BA52C1">
              <w:rPr>
                <w:sz w:val="18"/>
                <w:szCs w:val="18"/>
                <w:lang w:val="fr-FR" w:eastAsia="en-CA"/>
              </w:rPr>
              <w:t>Suriname</w:t>
            </w:r>
          </w:p>
        </w:tc>
        <w:tc>
          <w:tcPr>
            <w:tcW w:w="1628" w:type="dxa"/>
            <w:tcBorders>
              <w:top w:val="nil"/>
              <w:left w:val="nil"/>
              <w:bottom w:val="single" w:sz="4" w:space="0" w:color="auto"/>
              <w:right w:val="single" w:sz="4" w:space="0" w:color="auto"/>
            </w:tcBorders>
            <w:shd w:val="clear" w:color="auto" w:fill="auto"/>
            <w:vAlign w:val="bottom"/>
          </w:tcPr>
          <w:p w14:paraId="3EA57230" w14:textId="2C57DB5F"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003</w:t>
            </w:r>
          </w:p>
        </w:tc>
        <w:tc>
          <w:tcPr>
            <w:tcW w:w="2198" w:type="dxa"/>
            <w:tcBorders>
              <w:top w:val="nil"/>
              <w:left w:val="nil"/>
              <w:bottom w:val="single" w:sz="4" w:space="0" w:color="auto"/>
              <w:right w:val="single" w:sz="4" w:space="0" w:color="auto"/>
            </w:tcBorders>
            <w:shd w:val="clear" w:color="auto" w:fill="auto"/>
            <w:noWrap/>
            <w:vAlign w:val="bottom"/>
          </w:tcPr>
          <w:p w14:paraId="6C1A6DEE" w14:textId="4187A8B9"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004</w:t>
            </w:r>
          </w:p>
        </w:tc>
        <w:tc>
          <w:tcPr>
            <w:tcW w:w="1176" w:type="dxa"/>
            <w:tcBorders>
              <w:top w:val="nil"/>
              <w:left w:val="nil"/>
              <w:bottom w:val="single" w:sz="4" w:space="0" w:color="auto"/>
              <w:right w:val="single" w:sz="4" w:space="0" w:color="auto"/>
            </w:tcBorders>
            <w:shd w:val="clear" w:color="auto" w:fill="auto"/>
            <w:noWrap/>
            <w:vAlign w:val="bottom"/>
          </w:tcPr>
          <w:p w14:paraId="4CF84323" w14:textId="0C60998D"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528</w:t>
            </w:r>
          </w:p>
        </w:tc>
        <w:tc>
          <w:tcPr>
            <w:tcW w:w="1461" w:type="dxa"/>
            <w:tcBorders>
              <w:top w:val="nil"/>
              <w:left w:val="nil"/>
              <w:bottom w:val="single" w:sz="4" w:space="0" w:color="auto"/>
              <w:right w:val="single" w:sz="4" w:space="0" w:color="auto"/>
            </w:tcBorders>
            <w:shd w:val="clear" w:color="auto" w:fill="auto"/>
            <w:noWrap/>
            <w:vAlign w:val="bottom"/>
          </w:tcPr>
          <w:p w14:paraId="6B348355" w14:textId="70EF6F9D"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564</w:t>
            </w:r>
          </w:p>
        </w:tc>
        <w:tc>
          <w:tcPr>
            <w:tcW w:w="1080" w:type="dxa"/>
            <w:tcBorders>
              <w:top w:val="nil"/>
              <w:left w:val="nil"/>
              <w:bottom w:val="single" w:sz="4" w:space="0" w:color="auto"/>
              <w:right w:val="single" w:sz="4" w:space="0" w:color="auto"/>
            </w:tcBorders>
            <w:shd w:val="clear" w:color="auto" w:fill="auto"/>
            <w:noWrap/>
            <w:vAlign w:val="bottom"/>
          </w:tcPr>
          <w:p w14:paraId="589F4A1D" w14:textId="2C99DF7C"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1 092</w:t>
            </w:r>
          </w:p>
        </w:tc>
      </w:tr>
      <w:tr w:rsidR="00386C1F" w:rsidRPr="00BA52C1" w14:paraId="64BE7A95"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61CCEA5" w14:textId="17CFC273" w:rsidR="00386C1F" w:rsidRPr="00BA52C1" w:rsidRDefault="00386C1F" w:rsidP="00386C1F">
            <w:pPr>
              <w:pStyle w:val="CBDTableNormal"/>
              <w:spacing w:before="0" w:after="0"/>
              <w:rPr>
                <w:sz w:val="18"/>
                <w:szCs w:val="18"/>
                <w:lang w:val="fr-FR" w:eastAsia="en-CA"/>
              </w:rPr>
            </w:pPr>
            <w:r>
              <w:rPr>
                <w:sz w:val="18"/>
                <w:szCs w:val="18"/>
                <w:lang w:val="fr-FR" w:eastAsia="en-CA"/>
              </w:rPr>
              <w:t>Tadjikistan</w:t>
            </w:r>
          </w:p>
        </w:tc>
        <w:tc>
          <w:tcPr>
            <w:tcW w:w="1628" w:type="dxa"/>
            <w:tcBorders>
              <w:top w:val="nil"/>
              <w:left w:val="nil"/>
              <w:bottom w:val="single" w:sz="4" w:space="0" w:color="auto"/>
              <w:right w:val="single" w:sz="4" w:space="0" w:color="auto"/>
            </w:tcBorders>
            <w:shd w:val="clear" w:color="auto" w:fill="auto"/>
            <w:vAlign w:val="bottom"/>
            <w:hideMark/>
          </w:tcPr>
          <w:p w14:paraId="7A3070F8" w14:textId="57790266"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003</w:t>
            </w:r>
          </w:p>
        </w:tc>
        <w:tc>
          <w:tcPr>
            <w:tcW w:w="2198" w:type="dxa"/>
            <w:tcBorders>
              <w:top w:val="nil"/>
              <w:left w:val="nil"/>
              <w:bottom w:val="single" w:sz="4" w:space="0" w:color="auto"/>
              <w:right w:val="single" w:sz="4" w:space="0" w:color="auto"/>
            </w:tcBorders>
            <w:shd w:val="clear" w:color="auto" w:fill="auto"/>
            <w:noWrap/>
            <w:vAlign w:val="bottom"/>
            <w:hideMark/>
          </w:tcPr>
          <w:p w14:paraId="2F6AE2EA" w14:textId="2787E57B"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004</w:t>
            </w:r>
          </w:p>
        </w:tc>
        <w:tc>
          <w:tcPr>
            <w:tcW w:w="1176" w:type="dxa"/>
            <w:tcBorders>
              <w:top w:val="nil"/>
              <w:left w:val="nil"/>
              <w:bottom w:val="single" w:sz="4" w:space="0" w:color="auto"/>
              <w:right w:val="single" w:sz="4" w:space="0" w:color="auto"/>
            </w:tcBorders>
            <w:shd w:val="clear" w:color="auto" w:fill="auto"/>
            <w:noWrap/>
            <w:vAlign w:val="bottom"/>
            <w:hideMark/>
          </w:tcPr>
          <w:p w14:paraId="328FF88F" w14:textId="1E10874D"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528</w:t>
            </w:r>
          </w:p>
        </w:tc>
        <w:tc>
          <w:tcPr>
            <w:tcW w:w="1461" w:type="dxa"/>
            <w:tcBorders>
              <w:top w:val="nil"/>
              <w:left w:val="nil"/>
              <w:bottom w:val="single" w:sz="4" w:space="0" w:color="auto"/>
              <w:right w:val="single" w:sz="4" w:space="0" w:color="auto"/>
            </w:tcBorders>
            <w:shd w:val="clear" w:color="auto" w:fill="auto"/>
            <w:noWrap/>
            <w:vAlign w:val="bottom"/>
            <w:hideMark/>
          </w:tcPr>
          <w:p w14:paraId="583F5FB6" w14:textId="26231E64"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564</w:t>
            </w:r>
          </w:p>
        </w:tc>
        <w:tc>
          <w:tcPr>
            <w:tcW w:w="1080" w:type="dxa"/>
            <w:tcBorders>
              <w:top w:val="nil"/>
              <w:left w:val="nil"/>
              <w:bottom w:val="single" w:sz="4" w:space="0" w:color="auto"/>
              <w:right w:val="single" w:sz="4" w:space="0" w:color="auto"/>
            </w:tcBorders>
            <w:shd w:val="clear" w:color="auto" w:fill="auto"/>
            <w:noWrap/>
            <w:vAlign w:val="bottom"/>
            <w:hideMark/>
          </w:tcPr>
          <w:p w14:paraId="1247BA30" w14:textId="15CE6752"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1 092</w:t>
            </w:r>
          </w:p>
        </w:tc>
      </w:tr>
      <w:tr w:rsidR="00386C1F" w:rsidRPr="00BA52C1" w14:paraId="37C75343"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tcPr>
          <w:p w14:paraId="62C94F2A" w14:textId="51BB2FCA" w:rsidR="00386C1F" w:rsidRDefault="00386C1F" w:rsidP="00386C1F">
            <w:pPr>
              <w:pStyle w:val="CBDTableNormal"/>
              <w:spacing w:before="0" w:after="0"/>
              <w:rPr>
                <w:sz w:val="18"/>
                <w:szCs w:val="18"/>
                <w:lang w:val="fr-FR" w:eastAsia="en-CA"/>
              </w:rPr>
            </w:pPr>
            <w:r>
              <w:rPr>
                <w:sz w:val="18"/>
                <w:szCs w:val="18"/>
                <w:lang w:val="fr-FR" w:eastAsia="en-CA"/>
              </w:rPr>
              <w:t>Tc</w:t>
            </w:r>
            <w:r w:rsidRPr="00BA52C1">
              <w:rPr>
                <w:sz w:val="18"/>
                <w:szCs w:val="18"/>
                <w:lang w:val="fr-FR" w:eastAsia="en-CA"/>
              </w:rPr>
              <w:t>had</w:t>
            </w:r>
          </w:p>
        </w:tc>
        <w:tc>
          <w:tcPr>
            <w:tcW w:w="1628" w:type="dxa"/>
            <w:tcBorders>
              <w:top w:val="nil"/>
              <w:left w:val="nil"/>
              <w:bottom w:val="single" w:sz="4" w:space="0" w:color="auto"/>
              <w:right w:val="single" w:sz="4" w:space="0" w:color="auto"/>
            </w:tcBorders>
            <w:shd w:val="clear" w:color="auto" w:fill="auto"/>
            <w:vAlign w:val="bottom"/>
          </w:tcPr>
          <w:p w14:paraId="5FEEEB0D" w14:textId="53ACC715"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003</w:t>
            </w:r>
          </w:p>
        </w:tc>
        <w:tc>
          <w:tcPr>
            <w:tcW w:w="2198" w:type="dxa"/>
            <w:tcBorders>
              <w:top w:val="nil"/>
              <w:left w:val="nil"/>
              <w:bottom w:val="single" w:sz="4" w:space="0" w:color="auto"/>
              <w:right w:val="single" w:sz="4" w:space="0" w:color="auto"/>
            </w:tcBorders>
            <w:shd w:val="clear" w:color="auto" w:fill="auto"/>
            <w:noWrap/>
            <w:vAlign w:val="bottom"/>
          </w:tcPr>
          <w:p w14:paraId="6BBC4808" w14:textId="265E4620"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004</w:t>
            </w:r>
          </w:p>
        </w:tc>
        <w:tc>
          <w:tcPr>
            <w:tcW w:w="1176" w:type="dxa"/>
            <w:tcBorders>
              <w:top w:val="nil"/>
              <w:left w:val="nil"/>
              <w:bottom w:val="single" w:sz="4" w:space="0" w:color="auto"/>
              <w:right w:val="single" w:sz="4" w:space="0" w:color="auto"/>
            </w:tcBorders>
            <w:shd w:val="clear" w:color="auto" w:fill="auto"/>
            <w:noWrap/>
            <w:vAlign w:val="bottom"/>
          </w:tcPr>
          <w:p w14:paraId="312453D7" w14:textId="09B4F6C5"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528</w:t>
            </w:r>
          </w:p>
        </w:tc>
        <w:tc>
          <w:tcPr>
            <w:tcW w:w="1461" w:type="dxa"/>
            <w:tcBorders>
              <w:top w:val="nil"/>
              <w:left w:val="nil"/>
              <w:bottom w:val="single" w:sz="4" w:space="0" w:color="auto"/>
              <w:right w:val="single" w:sz="4" w:space="0" w:color="auto"/>
            </w:tcBorders>
            <w:shd w:val="clear" w:color="auto" w:fill="auto"/>
            <w:noWrap/>
            <w:vAlign w:val="bottom"/>
          </w:tcPr>
          <w:p w14:paraId="59B13F89" w14:textId="7E6B9F6E"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564</w:t>
            </w:r>
          </w:p>
        </w:tc>
        <w:tc>
          <w:tcPr>
            <w:tcW w:w="1080" w:type="dxa"/>
            <w:tcBorders>
              <w:top w:val="nil"/>
              <w:left w:val="nil"/>
              <w:bottom w:val="single" w:sz="4" w:space="0" w:color="auto"/>
              <w:right w:val="single" w:sz="4" w:space="0" w:color="auto"/>
            </w:tcBorders>
            <w:shd w:val="clear" w:color="auto" w:fill="auto"/>
            <w:noWrap/>
            <w:vAlign w:val="bottom"/>
          </w:tcPr>
          <w:p w14:paraId="7FDF6234" w14:textId="01D04430"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1 092</w:t>
            </w:r>
          </w:p>
        </w:tc>
      </w:tr>
      <w:tr w:rsidR="00386C1F" w:rsidRPr="00BA52C1" w14:paraId="41D03CD9"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A719A57" w14:textId="110C51C3" w:rsidR="00386C1F" w:rsidRPr="00BA52C1" w:rsidRDefault="00386C1F" w:rsidP="00386C1F">
            <w:pPr>
              <w:pStyle w:val="CBDTableNormal"/>
              <w:spacing w:before="0" w:after="0"/>
              <w:rPr>
                <w:sz w:val="18"/>
                <w:szCs w:val="18"/>
                <w:lang w:val="fr-FR" w:eastAsia="en-CA"/>
              </w:rPr>
            </w:pPr>
            <w:r w:rsidRPr="00BA52C1">
              <w:rPr>
                <w:sz w:val="18"/>
                <w:szCs w:val="18"/>
                <w:lang w:val="fr-FR" w:eastAsia="en-CA"/>
              </w:rPr>
              <w:t>Tha</w:t>
            </w:r>
            <w:r>
              <w:rPr>
                <w:sz w:val="18"/>
                <w:szCs w:val="18"/>
                <w:lang w:val="fr-FR" w:eastAsia="en-CA"/>
              </w:rPr>
              <w:t>ï</w:t>
            </w:r>
            <w:r w:rsidRPr="00BA52C1">
              <w:rPr>
                <w:sz w:val="18"/>
                <w:szCs w:val="18"/>
                <w:lang w:val="fr-FR" w:eastAsia="en-CA"/>
              </w:rPr>
              <w:t>land</w:t>
            </w:r>
            <w:r>
              <w:rPr>
                <w:sz w:val="18"/>
                <w:szCs w:val="18"/>
                <w:lang w:val="fr-FR" w:eastAsia="en-CA"/>
              </w:rPr>
              <w:t>e</w:t>
            </w:r>
          </w:p>
        </w:tc>
        <w:tc>
          <w:tcPr>
            <w:tcW w:w="1628" w:type="dxa"/>
            <w:tcBorders>
              <w:top w:val="nil"/>
              <w:left w:val="nil"/>
              <w:bottom w:val="single" w:sz="4" w:space="0" w:color="auto"/>
              <w:right w:val="single" w:sz="4" w:space="0" w:color="auto"/>
            </w:tcBorders>
            <w:shd w:val="clear" w:color="auto" w:fill="auto"/>
            <w:vAlign w:val="bottom"/>
            <w:hideMark/>
          </w:tcPr>
          <w:p w14:paraId="733AF13D" w14:textId="50B8B4F5"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368</w:t>
            </w:r>
          </w:p>
        </w:tc>
        <w:tc>
          <w:tcPr>
            <w:tcW w:w="2198" w:type="dxa"/>
            <w:tcBorders>
              <w:top w:val="nil"/>
              <w:left w:val="nil"/>
              <w:bottom w:val="single" w:sz="4" w:space="0" w:color="auto"/>
              <w:right w:val="single" w:sz="4" w:space="0" w:color="auto"/>
            </w:tcBorders>
            <w:shd w:val="clear" w:color="auto" w:fill="auto"/>
            <w:noWrap/>
            <w:vAlign w:val="bottom"/>
            <w:hideMark/>
          </w:tcPr>
          <w:p w14:paraId="3745B842" w14:textId="62F34311"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460</w:t>
            </w:r>
          </w:p>
        </w:tc>
        <w:tc>
          <w:tcPr>
            <w:tcW w:w="1176" w:type="dxa"/>
            <w:tcBorders>
              <w:top w:val="nil"/>
              <w:left w:val="nil"/>
              <w:bottom w:val="single" w:sz="4" w:space="0" w:color="auto"/>
              <w:right w:val="single" w:sz="4" w:space="0" w:color="auto"/>
            </w:tcBorders>
            <w:shd w:val="clear" w:color="auto" w:fill="auto"/>
            <w:noWrap/>
            <w:vAlign w:val="bottom"/>
            <w:hideMark/>
          </w:tcPr>
          <w:p w14:paraId="08BA82A3" w14:textId="7C747C64"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64 766</w:t>
            </w:r>
          </w:p>
        </w:tc>
        <w:tc>
          <w:tcPr>
            <w:tcW w:w="1461" w:type="dxa"/>
            <w:tcBorders>
              <w:top w:val="nil"/>
              <w:left w:val="nil"/>
              <w:bottom w:val="single" w:sz="4" w:space="0" w:color="auto"/>
              <w:right w:val="single" w:sz="4" w:space="0" w:color="auto"/>
            </w:tcBorders>
            <w:shd w:val="clear" w:color="auto" w:fill="auto"/>
            <w:noWrap/>
            <w:vAlign w:val="bottom"/>
            <w:hideMark/>
          </w:tcPr>
          <w:p w14:paraId="763265B4" w14:textId="68555433"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69 197</w:t>
            </w:r>
          </w:p>
        </w:tc>
        <w:tc>
          <w:tcPr>
            <w:tcW w:w="1080" w:type="dxa"/>
            <w:tcBorders>
              <w:top w:val="nil"/>
              <w:left w:val="nil"/>
              <w:bottom w:val="single" w:sz="4" w:space="0" w:color="auto"/>
              <w:right w:val="single" w:sz="4" w:space="0" w:color="auto"/>
            </w:tcBorders>
            <w:shd w:val="clear" w:color="auto" w:fill="auto"/>
            <w:noWrap/>
            <w:vAlign w:val="bottom"/>
            <w:hideMark/>
          </w:tcPr>
          <w:p w14:paraId="067496F7" w14:textId="445A1B2E"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133 963</w:t>
            </w:r>
          </w:p>
        </w:tc>
      </w:tr>
      <w:tr w:rsidR="00386C1F" w:rsidRPr="00BA52C1" w14:paraId="635F56EE"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CBB36BB" w14:textId="77777777" w:rsidR="00386C1F" w:rsidRPr="00BA52C1" w:rsidRDefault="00386C1F" w:rsidP="00386C1F">
            <w:pPr>
              <w:pStyle w:val="CBDTableNormal"/>
              <w:spacing w:before="0" w:after="0"/>
              <w:rPr>
                <w:sz w:val="18"/>
                <w:szCs w:val="18"/>
                <w:lang w:val="fr-FR" w:eastAsia="en-CA"/>
              </w:rPr>
            </w:pPr>
            <w:r w:rsidRPr="00BA52C1">
              <w:rPr>
                <w:sz w:val="18"/>
                <w:szCs w:val="18"/>
                <w:lang w:val="fr-FR" w:eastAsia="en-CA"/>
              </w:rPr>
              <w:t>Timor-Leste</w:t>
            </w:r>
          </w:p>
        </w:tc>
        <w:tc>
          <w:tcPr>
            <w:tcW w:w="1628" w:type="dxa"/>
            <w:tcBorders>
              <w:top w:val="nil"/>
              <w:left w:val="nil"/>
              <w:bottom w:val="single" w:sz="4" w:space="0" w:color="auto"/>
              <w:right w:val="single" w:sz="4" w:space="0" w:color="auto"/>
            </w:tcBorders>
            <w:shd w:val="clear" w:color="auto" w:fill="auto"/>
            <w:vAlign w:val="bottom"/>
            <w:hideMark/>
          </w:tcPr>
          <w:p w14:paraId="652FA555" w14:textId="1EF2291D"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2198" w:type="dxa"/>
            <w:tcBorders>
              <w:top w:val="nil"/>
              <w:left w:val="nil"/>
              <w:bottom w:val="single" w:sz="4" w:space="0" w:color="auto"/>
              <w:right w:val="single" w:sz="4" w:space="0" w:color="auto"/>
            </w:tcBorders>
            <w:shd w:val="clear" w:color="auto" w:fill="auto"/>
            <w:noWrap/>
            <w:vAlign w:val="bottom"/>
            <w:hideMark/>
          </w:tcPr>
          <w:p w14:paraId="6FE6A264" w14:textId="2561FB43"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1176" w:type="dxa"/>
            <w:tcBorders>
              <w:top w:val="nil"/>
              <w:left w:val="nil"/>
              <w:bottom w:val="single" w:sz="4" w:space="0" w:color="auto"/>
              <w:right w:val="single" w:sz="4" w:space="0" w:color="auto"/>
            </w:tcBorders>
            <w:shd w:val="clear" w:color="auto" w:fill="auto"/>
            <w:noWrap/>
            <w:vAlign w:val="bottom"/>
            <w:hideMark/>
          </w:tcPr>
          <w:p w14:paraId="7DF0C179" w14:textId="7ABBA336"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183B3592" w14:textId="38090CCA"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3282EA32" w14:textId="24053C62"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364</w:t>
            </w:r>
          </w:p>
        </w:tc>
      </w:tr>
      <w:tr w:rsidR="00386C1F" w:rsidRPr="00BA52C1" w14:paraId="6E13006B"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B96CF56" w14:textId="77777777" w:rsidR="00386C1F" w:rsidRPr="00BA52C1" w:rsidRDefault="00386C1F" w:rsidP="00386C1F">
            <w:pPr>
              <w:pStyle w:val="CBDTableNormal"/>
              <w:spacing w:before="0" w:after="0"/>
              <w:rPr>
                <w:sz w:val="18"/>
                <w:szCs w:val="18"/>
                <w:lang w:val="fr-FR" w:eastAsia="en-CA"/>
              </w:rPr>
            </w:pPr>
            <w:r w:rsidRPr="00BA52C1">
              <w:rPr>
                <w:sz w:val="18"/>
                <w:szCs w:val="18"/>
                <w:lang w:val="fr-FR" w:eastAsia="en-CA"/>
              </w:rPr>
              <w:t>Togo</w:t>
            </w:r>
          </w:p>
        </w:tc>
        <w:tc>
          <w:tcPr>
            <w:tcW w:w="1628" w:type="dxa"/>
            <w:tcBorders>
              <w:top w:val="nil"/>
              <w:left w:val="nil"/>
              <w:bottom w:val="single" w:sz="4" w:space="0" w:color="auto"/>
              <w:right w:val="single" w:sz="4" w:space="0" w:color="auto"/>
            </w:tcBorders>
            <w:shd w:val="clear" w:color="auto" w:fill="auto"/>
            <w:vAlign w:val="bottom"/>
            <w:hideMark/>
          </w:tcPr>
          <w:p w14:paraId="439CFF24" w14:textId="496ECBF1"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002</w:t>
            </w:r>
          </w:p>
        </w:tc>
        <w:tc>
          <w:tcPr>
            <w:tcW w:w="2198" w:type="dxa"/>
            <w:tcBorders>
              <w:top w:val="nil"/>
              <w:left w:val="nil"/>
              <w:bottom w:val="single" w:sz="4" w:space="0" w:color="auto"/>
              <w:right w:val="single" w:sz="4" w:space="0" w:color="auto"/>
            </w:tcBorders>
            <w:shd w:val="clear" w:color="auto" w:fill="auto"/>
            <w:noWrap/>
            <w:vAlign w:val="bottom"/>
            <w:hideMark/>
          </w:tcPr>
          <w:p w14:paraId="78F4ED4E" w14:textId="2777C281"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003</w:t>
            </w:r>
          </w:p>
        </w:tc>
        <w:tc>
          <w:tcPr>
            <w:tcW w:w="1176" w:type="dxa"/>
            <w:tcBorders>
              <w:top w:val="nil"/>
              <w:left w:val="nil"/>
              <w:bottom w:val="single" w:sz="4" w:space="0" w:color="auto"/>
              <w:right w:val="single" w:sz="4" w:space="0" w:color="auto"/>
            </w:tcBorders>
            <w:shd w:val="clear" w:color="auto" w:fill="auto"/>
            <w:noWrap/>
            <w:vAlign w:val="bottom"/>
            <w:hideMark/>
          </w:tcPr>
          <w:p w14:paraId="6740B262" w14:textId="0634E8BC"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352</w:t>
            </w:r>
          </w:p>
        </w:tc>
        <w:tc>
          <w:tcPr>
            <w:tcW w:w="1461" w:type="dxa"/>
            <w:tcBorders>
              <w:top w:val="nil"/>
              <w:left w:val="nil"/>
              <w:bottom w:val="single" w:sz="4" w:space="0" w:color="auto"/>
              <w:right w:val="single" w:sz="4" w:space="0" w:color="auto"/>
            </w:tcBorders>
            <w:shd w:val="clear" w:color="auto" w:fill="auto"/>
            <w:noWrap/>
            <w:vAlign w:val="bottom"/>
            <w:hideMark/>
          </w:tcPr>
          <w:p w14:paraId="38084CEB" w14:textId="6109C225"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376</w:t>
            </w:r>
          </w:p>
        </w:tc>
        <w:tc>
          <w:tcPr>
            <w:tcW w:w="1080" w:type="dxa"/>
            <w:tcBorders>
              <w:top w:val="nil"/>
              <w:left w:val="nil"/>
              <w:bottom w:val="single" w:sz="4" w:space="0" w:color="auto"/>
              <w:right w:val="single" w:sz="4" w:space="0" w:color="auto"/>
            </w:tcBorders>
            <w:shd w:val="clear" w:color="auto" w:fill="auto"/>
            <w:noWrap/>
            <w:vAlign w:val="bottom"/>
            <w:hideMark/>
          </w:tcPr>
          <w:p w14:paraId="317B9BC1" w14:textId="1333AF6E"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728</w:t>
            </w:r>
          </w:p>
        </w:tc>
      </w:tr>
      <w:tr w:rsidR="00386C1F" w:rsidRPr="00BA52C1" w14:paraId="7C311C90"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A0409BF" w14:textId="77777777" w:rsidR="00386C1F" w:rsidRPr="00BA52C1" w:rsidRDefault="00386C1F" w:rsidP="00386C1F">
            <w:pPr>
              <w:pStyle w:val="CBDTableNormal"/>
              <w:spacing w:before="0" w:after="0"/>
              <w:rPr>
                <w:sz w:val="18"/>
                <w:szCs w:val="18"/>
                <w:lang w:val="fr-FR" w:eastAsia="en-CA"/>
              </w:rPr>
            </w:pPr>
            <w:r w:rsidRPr="00BA52C1">
              <w:rPr>
                <w:sz w:val="18"/>
                <w:szCs w:val="18"/>
                <w:lang w:val="fr-FR" w:eastAsia="en-CA"/>
              </w:rPr>
              <w:t>Tonga</w:t>
            </w:r>
          </w:p>
        </w:tc>
        <w:tc>
          <w:tcPr>
            <w:tcW w:w="1628" w:type="dxa"/>
            <w:tcBorders>
              <w:top w:val="nil"/>
              <w:left w:val="nil"/>
              <w:bottom w:val="single" w:sz="4" w:space="0" w:color="auto"/>
              <w:right w:val="single" w:sz="4" w:space="0" w:color="auto"/>
            </w:tcBorders>
            <w:shd w:val="clear" w:color="auto" w:fill="auto"/>
            <w:vAlign w:val="bottom"/>
            <w:hideMark/>
          </w:tcPr>
          <w:p w14:paraId="37F6CE69" w14:textId="60166845"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2198" w:type="dxa"/>
            <w:tcBorders>
              <w:top w:val="nil"/>
              <w:left w:val="nil"/>
              <w:bottom w:val="single" w:sz="4" w:space="0" w:color="auto"/>
              <w:right w:val="single" w:sz="4" w:space="0" w:color="auto"/>
            </w:tcBorders>
            <w:shd w:val="clear" w:color="auto" w:fill="auto"/>
            <w:noWrap/>
            <w:vAlign w:val="bottom"/>
            <w:hideMark/>
          </w:tcPr>
          <w:p w14:paraId="12596CD0" w14:textId="7B96C5DC"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1176" w:type="dxa"/>
            <w:tcBorders>
              <w:top w:val="nil"/>
              <w:left w:val="nil"/>
              <w:bottom w:val="single" w:sz="4" w:space="0" w:color="auto"/>
              <w:right w:val="single" w:sz="4" w:space="0" w:color="auto"/>
            </w:tcBorders>
            <w:shd w:val="clear" w:color="auto" w:fill="auto"/>
            <w:noWrap/>
            <w:vAlign w:val="bottom"/>
            <w:hideMark/>
          </w:tcPr>
          <w:p w14:paraId="0BB012CD" w14:textId="7F0258D7"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7CCDEE87" w14:textId="74C9AABF"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0344A9C2" w14:textId="424D43E8"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364</w:t>
            </w:r>
          </w:p>
        </w:tc>
      </w:tr>
      <w:tr w:rsidR="00386C1F" w:rsidRPr="00BA52C1" w14:paraId="0804FB9F"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321BD26" w14:textId="33BA9A8E" w:rsidR="00386C1F" w:rsidRPr="00BA52C1" w:rsidRDefault="00386C1F" w:rsidP="00386C1F">
            <w:pPr>
              <w:pStyle w:val="CBDTableNormal"/>
              <w:spacing w:before="0" w:after="0"/>
              <w:rPr>
                <w:sz w:val="18"/>
                <w:szCs w:val="18"/>
                <w:lang w:val="fr-FR" w:eastAsia="en-CA"/>
              </w:rPr>
            </w:pPr>
            <w:r>
              <w:rPr>
                <w:sz w:val="18"/>
                <w:szCs w:val="18"/>
                <w:lang w:val="fr-FR" w:eastAsia="en-CA"/>
              </w:rPr>
              <w:t>Trinité-et-</w:t>
            </w:r>
            <w:r w:rsidRPr="00BA52C1">
              <w:rPr>
                <w:sz w:val="18"/>
                <w:szCs w:val="18"/>
                <w:lang w:val="fr-FR" w:eastAsia="en-CA"/>
              </w:rPr>
              <w:t>Tobago</w:t>
            </w:r>
          </w:p>
        </w:tc>
        <w:tc>
          <w:tcPr>
            <w:tcW w:w="1628" w:type="dxa"/>
            <w:tcBorders>
              <w:top w:val="nil"/>
              <w:left w:val="nil"/>
              <w:bottom w:val="single" w:sz="4" w:space="0" w:color="auto"/>
              <w:right w:val="single" w:sz="4" w:space="0" w:color="auto"/>
            </w:tcBorders>
            <w:shd w:val="clear" w:color="auto" w:fill="auto"/>
            <w:vAlign w:val="bottom"/>
            <w:hideMark/>
          </w:tcPr>
          <w:p w14:paraId="40621686" w14:textId="1F9A7711"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037</w:t>
            </w:r>
          </w:p>
        </w:tc>
        <w:tc>
          <w:tcPr>
            <w:tcW w:w="2198" w:type="dxa"/>
            <w:tcBorders>
              <w:top w:val="nil"/>
              <w:left w:val="nil"/>
              <w:bottom w:val="single" w:sz="4" w:space="0" w:color="auto"/>
              <w:right w:val="single" w:sz="4" w:space="0" w:color="auto"/>
            </w:tcBorders>
            <w:shd w:val="clear" w:color="auto" w:fill="auto"/>
            <w:noWrap/>
            <w:vAlign w:val="bottom"/>
            <w:hideMark/>
          </w:tcPr>
          <w:p w14:paraId="0E06E39C" w14:textId="583A32AC"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046</w:t>
            </w:r>
          </w:p>
        </w:tc>
        <w:tc>
          <w:tcPr>
            <w:tcW w:w="1176" w:type="dxa"/>
            <w:tcBorders>
              <w:top w:val="nil"/>
              <w:left w:val="nil"/>
              <w:bottom w:val="single" w:sz="4" w:space="0" w:color="auto"/>
              <w:right w:val="single" w:sz="4" w:space="0" w:color="auto"/>
            </w:tcBorders>
            <w:shd w:val="clear" w:color="auto" w:fill="auto"/>
            <w:noWrap/>
            <w:vAlign w:val="bottom"/>
            <w:hideMark/>
          </w:tcPr>
          <w:p w14:paraId="39568262" w14:textId="519FD51B"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6 512</w:t>
            </w:r>
          </w:p>
        </w:tc>
        <w:tc>
          <w:tcPr>
            <w:tcW w:w="1461" w:type="dxa"/>
            <w:tcBorders>
              <w:top w:val="nil"/>
              <w:left w:val="nil"/>
              <w:bottom w:val="single" w:sz="4" w:space="0" w:color="auto"/>
              <w:right w:val="single" w:sz="4" w:space="0" w:color="auto"/>
            </w:tcBorders>
            <w:shd w:val="clear" w:color="auto" w:fill="auto"/>
            <w:noWrap/>
            <w:vAlign w:val="bottom"/>
            <w:hideMark/>
          </w:tcPr>
          <w:p w14:paraId="46D4B19C" w14:textId="24E8EB3F"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6 957</w:t>
            </w:r>
          </w:p>
        </w:tc>
        <w:tc>
          <w:tcPr>
            <w:tcW w:w="1080" w:type="dxa"/>
            <w:tcBorders>
              <w:top w:val="nil"/>
              <w:left w:val="nil"/>
              <w:bottom w:val="single" w:sz="4" w:space="0" w:color="auto"/>
              <w:right w:val="single" w:sz="4" w:space="0" w:color="auto"/>
            </w:tcBorders>
            <w:shd w:val="clear" w:color="auto" w:fill="auto"/>
            <w:noWrap/>
            <w:vAlign w:val="bottom"/>
            <w:hideMark/>
          </w:tcPr>
          <w:p w14:paraId="68AE7680" w14:textId="676D7EFB"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13 469</w:t>
            </w:r>
          </w:p>
        </w:tc>
      </w:tr>
      <w:tr w:rsidR="00386C1F" w:rsidRPr="00BA52C1" w14:paraId="654FC1B4"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235C48D" w14:textId="4A933CD4" w:rsidR="00386C1F" w:rsidRPr="00BA52C1" w:rsidRDefault="00386C1F" w:rsidP="00386C1F">
            <w:pPr>
              <w:pStyle w:val="CBDTableNormal"/>
              <w:spacing w:before="0" w:after="0"/>
              <w:rPr>
                <w:sz w:val="18"/>
                <w:szCs w:val="18"/>
                <w:lang w:val="fr-FR" w:eastAsia="en-CA"/>
              </w:rPr>
            </w:pPr>
            <w:r w:rsidRPr="00BA52C1">
              <w:rPr>
                <w:sz w:val="18"/>
                <w:szCs w:val="18"/>
                <w:lang w:val="fr-FR" w:eastAsia="en-CA"/>
              </w:rPr>
              <w:t>Tunisi</w:t>
            </w:r>
            <w:r>
              <w:rPr>
                <w:sz w:val="18"/>
                <w:szCs w:val="18"/>
                <w:lang w:val="fr-FR" w:eastAsia="en-CA"/>
              </w:rPr>
              <w:t>e</w:t>
            </w:r>
          </w:p>
        </w:tc>
        <w:tc>
          <w:tcPr>
            <w:tcW w:w="1628" w:type="dxa"/>
            <w:tcBorders>
              <w:top w:val="nil"/>
              <w:left w:val="nil"/>
              <w:bottom w:val="single" w:sz="4" w:space="0" w:color="auto"/>
              <w:right w:val="single" w:sz="4" w:space="0" w:color="auto"/>
            </w:tcBorders>
            <w:shd w:val="clear" w:color="auto" w:fill="auto"/>
            <w:vAlign w:val="bottom"/>
            <w:hideMark/>
          </w:tcPr>
          <w:p w14:paraId="23C21B22" w14:textId="40626DF8"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019</w:t>
            </w:r>
          </w:p>
        </w:tc>
        <w:tc>
          <w:tcPr>
            <w:tcW w:w="2198" w:type="dxa"/>
            <w:tcBorders>
              <w:top w:val="nil"/>
              <w:left w:val="nil"/>
              <w:bottom w:val="single" w:sz="4" w:space="0" w:color="auto"/>
              <w:right w:val="single" w:sz="4" w:space="0" w:color="auto"/>
            </w:tcBorders>
            <w:shd w:val="clear" w:color="auto" w:fill="auto"/>
            <w:noWrap/>
            <w:vAlign w:val="bottom"/>
            <w:hideMark/>
          </w:tcPr>
          <w:p w14:paraId="6897ACE2" w14:textId="7299F97C"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024</w:t>
            </w:r>
          </w:p>
        </w:tc>
        <w:tc>
          <w:tcPr>
            <w:tcW w:w="1176" w:type="dxa"/>
            <w:tcBorders>
              <w:top w:val="nil"/>
              <w:left w:val="nil"/>
              <w:bottom w:val="single" w:sz="4" w:space="0" w:color="auto"/>
              <w:right w:val="single" w:sz="4" w:space="0" w:color="auto"/>
            </w:tcBorders>
            <w:shd w:val="clear" w:color="auto" w:fill="auto"/>
            <w:noWrap/>
            <w:vAlign w:val="bottom"/>
            <w:hideMark/>
          </w:tcPr>
          <w:p w14:paraId="1DD04986" w14:textId="48C75236"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3 344</w:t>
            </w:r>
          </w:p>
        </w:tc>
        <w:tc>
          <w:tcPr>
            <w:tcW w:w="1461" w:type="dxa"/>
            <w:tcBorders>
              <w:top w:val="nil"/>
              <w:left w:val="nil"/>
              <w:bottom w:val="single" w:sz="4" w:space="0" w:color="auto"/>
              <w:right w:val="single" w:sz="4" w:space="0" w:color="auto"/>
            </w:tcBorders>
            <w:shd w:val="clear" w:color="auto" w:fill="auto"/>
            <w:noWrap/>
            <w:vAlign w:val="bottom"/>
            <w:hideMark/>
          </w:tcPr>
          <w:p w14:paraId="5AA150FA" w14:textId="494A0A81"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3 573</w:t>
            </w:r>
          </w:p>
        </w:tc>
        <w:tc>
          <w:tcPr>
            <w:tcW w:w="1080" w:type="dxa"/>
            <w:tcBorders>
              <w:top w:val="nil"/>
              <w:left w:val="nil"/>
              <w:bottom w:val="single" w:sz="4" w:space="0" w:color="auto"/>
              <w:right w:val="single" w:sz="4" w:space="0" w:color="auto"/>
            </w:tcBorders>
            <w:shd w:val="clear" w:color="auto" w:fill="auto"/>
            <w:noWrap/>
            <w:vAlign w:val="bottom"/>
            <w:hideMark/>
          </w:tcPr>
          <w:p w14:paraId="79AC629B" w14:textId="18829AEB"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6 917</w:t>
            </w:r>
          </w:p>
        </w:tc>
      </w:tr>
      <w:tr w:rsidR="00386C1F" w:rsidRPr="00BA52C1" w14:paraId="70327D74"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FC6F7B9" w14:textId="77777777" w:rsidR="00386C1F" w:rsidRPr="00BA52C1" w:rsidRDefault="00386C1F" w:rsidP="00386C1F">
            <w:pPr>
              <w:pStyle w:val="CBDTableNormal"/>
              <w:spacing w:before="0" w:after="0"/>
              <w:rPr>
                <w:sz w:val="18"/>
                <w:szCs w:val="18"/>
                <w:lang w:val="fr-FR" w:eastAsia="en-CA"/>
              </w:rPr>
            </w:pPr>
            <w:r w:rsidRPr="00BA52C1">
              <w:rPr>
                <w:sz w:val="18"/>
                <w:szCs w:val="18"/>
                <w:lang w:val="fr-FR" w:eastAsia="en-CA"/>
              </w:rPr>
              <w:t>Türkiye</w:t>
            </w:r>
          </w:p>
        </w:tc>
        <w:tc>
          <w:tcPr>
            <w:tcW w:w="1628" w:type="dxa"/>
            <w:tcBorders>
              <w:top w:val="nil"/>
              <w:left w:val="nil"/>
              <w:bottom w:val="single" w:sz="4" w:space="0" w:color="auto"/>
              <w:right w:val="single" w:sz="4" w:space="0" w:color="auto"/>
            </w:tcBorders>
            <w:shd w:val="clear" w:color="auto" w:fill="auto"/>
            <w:vAlign w:val="bottom"/>
            <w:hideMark/>
          </w:tcPr>
          <w:p w14:paraId="4F1A4C2C" w14:textId="15166309"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845</w:t>
            </w:r>
          </w:p>
        </w:tc>
        <w:tc>
          <w:tcPr>
            <w:tcW w:w="2198" w:type="dxa"/>
            <w:tcBorders>
              <w:top w:val="nil"/>
              <w:left w:val="nil"/>
              <w:bottom w:val="single" w:sz="4" w:space="0" w:color="auto"/>
              <w:right w:val="single" w:sz="4" w:space="0" w:color="auto"/>
            </w:tcBorders>
            <w:shd w:val="clear" w:color="auto" w:fill="auto"/>
            <w:noWrap/>
            <w:vAlign w:val="bottom"/>
            <w:hideMark/>
          </w:tcPr>
          <w:p w14:paraId="3EE91744" w14:textId="7A378B37"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w:t>
            </w:r>
            <w:r>
              <w:rPr>
                <w:sz w:val="18"/>
                <w:szCs w:val="18"/>
                <w:lang w:val="fr-FR" w:eastAsia="en-CA"/>
              </w:rPr>
              <w:t>,</w:t>
            </w:r>
            <w:r w:rsidRPr="00BA52C1">
              <w:rPr>
                <w:sz w:val="18"/>
                <w:szCs w:val="18"/>
                <w:lang w:val="fr-FR" w:eastAsia="en-CA"/>
              </w:rPr>
              <w:t>056</w:t>
            </w:r>
          </w:p>
        </w:tc>
        <w:tc>
          <w:tcPr>
            <w:tcW w:w="1176" w:type="dxa"/>
            <w:tcBorders>
              <w:top w:val="nil"/>
              <w:left w:val="nil"/>
              <w:bottom w:val="single" w:sz="4" w:space="0" w:color="auto"/>
              <w:right w:val="single" w:sz="4" w:space="0" w:color="auto"/>
            </w:tcBorders>
            <w:shd w:val="clear" w:color="auto" w:fill="auto"/>
            <w:noWrap/>
            <w:vAlign w:val="bottom"/>
            <w:hideMark/>
          </w:tcPr>
          <w:p w14:paraId="0F2E5908" w14:textId="68BCC9F5"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148 715</w:t>
            </w:r>
          </w:p>
        </w:tc>
        <w:tc>
          <w:tcPr>
            <w:tcW w:w="1461" w:type="dxa"/>
            <w:tcBorders>
              <w:top w:val="nil"/>
              <w:left w:val="nil"/>
              <w:bottom w:val="single" w:sz="4" w:space="0" w:color="auto"/>
              <w:right w:val="single" w:sz="4" w:space="0" w:color="auto"/>
            </w:tcBorders>
            <w:shd w:val="clear" w:color="auto" w:fill="auto"/>
            <w:noWrap/>
            <w:vAlign w:val="bottom"/>
            <w:hideMark/>
          </w:tcPr>
          <w:p w14:paraId="001A4CC5" w14:textId="5FCAB5E5"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158 891</w:t>
            </w:r>
          </w:p>
        </w:tc>
        <w:tc>
          <w:tcPr>
            <w:tcW w:w="1080" w:type="dxa"/>
            <w:tcBorders>
              <w:top w:val="nil"/>
              <w:left w:val="nil"/>
              <w:bottom w:val="single" w:sz="4" w:space="0" w:color="auto"/>
              <w:right w:val="single" w:sz="4" w:space="0" w:color="auto"/>
            </w:tcBorders>
            <w:shd w:val="clear" w:color="auto" w:fill="auto"/>
            <w:noWrap/>
            <w:vAlign w:val="bottom"/>
            <w:hideMark/>
          </w:tcPr>
          <w:p w14:paraId="0BFFD246" w14:textId="629D45BA"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307 606</w:t>
            </w:r>
          </w:p>
        </w:tc>
      </w:tr>
      <w:tr w:rsidR="00386C1F" w:rsidRPr="00BA52C1" w14:paraId="4BEA842E"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C03B1EE" w14:textId="1CC8FBBC" w:rsidR="00386C1F" w:rsidRPr="00BA52C1" w:rsidRDefault="00386C1F" w:rsidP="00386C1F">
            <w:pPr>
              <w:pStyle w:val="CBDTableNormal"/>
              <w:spacing w:before="0" w:after="0"/>
              <w:rPr>
                <w:sz w:val="18"/>
                <w:szCs w:val="18"/>
                <w:lang w:val="fr-FR" w:eastAsia="en-CA"/>
              </w:rPr>
            </w:pPr>
            <w:r w:rsidRPr="00BA52C1">
              <w:rPr>
                <w:sz w:val="18"/>
                <w:szCs w:val="18"/>
                <w:lang w:val="fr-FR" w:eastAsia="en-CA"/>
              </w:rPr>
              <w:t>Turkm</w:t>
            </w:r>
            <w:r>
              <w:rPr>
                <w:sz w:val="18"/>
                <w:szCs w:val="18"/>
                <w:lang w:val="fr-FR" w:eastAsia="en-CA"/>
              </w:rPr>
              <w:t>é</w:t>
            </w:r>
            <w:r w:rsidRPr="00BA52C1">
              <w:rPr>
                <w:sz w:val="18"/>
                <w:szCs w:val="18"/>
                <w:lang w:val="fr-FR" w:eastAsia="en-CA"/>
              </w:rPr>
              <w:t>nistan</w:t>
            </w:r>
          </w:p>
        </w:tc>
        <w:tc>
          <w:tcPr>
            <w:tcW w:w="1628" w:type="dxa"/>
            <w:tcBorders>
              <w:top w:val="nil"/>
              <w:left w:val="nil"/>
              <w:bottom w:val="single" w:sz="4" w:space="0" w:color="auto"/>
              <w:right w:val="single" w:sz="4" w:space="0" w:color="auto"/>
            </w:tcBorders>
            <w:shd w:val="clear" w:color="auto" w:fill="auto"/>
            <w:vAlign w:val="bottom"/>
            <w:hideMark/>
          </w:tcPr>
          <w:p w14:paraId="14CDF09F" w14:textId="456B638C"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034</w:t>
            </w:r>
          </w:p>
        </w:tc>
        <w:tc>
          <w:tcPr>
            <w:tcW w:w="2198" w:type="dxa"/>
            <w:tcBorders>
              <w:top w:val="nil"/>
              <w:left w:val="nil"/>
              <w:bottom w:val="single" w:sz="4" w:space="0" w:color="auto"/>
              <w:right w:val="single" w:sz="4" w:space="0" w:color="auto"/>
            </w:tcBorders>
            <w:shd w:val="clear" w:color="auto" w:fill="auto"/>
            <w:noWrap/>
            <w:vAlign w:val="bottom"/>
            <w:hideMark/>
          </w:tcPr>
          <w:p w14:paraId="3B94D296" w14:textId="233FF8F8"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043</w:t>
            </w:r>
          </w:p>
        </w:tc>
        <w:tc>
          <w:tcPr>
            <w:tcW w:w="1176" w:type="dxa"/>
            <w:tcBorders>
              <w:top w:val="nil"/>
              <w:left w:val="nil"/>
              <w:bottom w:val="single" w:sz="4" w:space="0" w:color="auto"/>
              <w:right w:val="single" w:sz="4" w:space="0" w:color="auto"/>
            </w:tcBorders>
            <w:shd w:val="clear" w:color="auto" w:fill="auto"/>
            <w:noWrap/>
            <w:vAlign w:val="bottom"/>
            <w:hideMark/>
          </w:tcPr>
          <w:p w14:paraId="575FA1A1" w14:textId="0E0C8A59"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5 984</w:t>
            </w:r>
          </w:p>
        </w:tc>
        <w:tc>
          <w:tcPr>
            <w:tcW w:w="1461" w:type="dxa"/>
            <w:tcBorders>
              <w:top w:val="nil"/>
              <w:left w:val="nil"/>
              <w:bottom w:val="single" w:sz="4" w:space="0" w:color="auto"/>
              <w:right w:val="single" w:sz="4" w:space="0" w:color="auto"/>
            </w:tcBorders>
            <w:shd w:val="clear" w:color="auto" w:fill="auto"/>
            <w:noWrap/>
            <w:vAlign w:val="bottom"/>
            <w:hideMark/>
          </w:tcPr>
          <w:p w14:paraId="0AC86EDD" w14:textId="2255C0A8"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6 393</w:t>
            </w:r>
          </w:p>
        </w:tc>
        <w:tc>
          <w:tcPr>
            <w:tcW w:w="1080" w:type="dxa"/>
            <w:tcBorders>
              <w:top w:val="nil"/>
              <w:left w:val="nil"/>
              <w:bottom w:val="single" w:sz="4" w:space="0" w:color="auto"/>
              <w:right w:val="single" w:sz="4" w:space="0" w:color="auto"/>
            </w:tcBorders>
            <w:shd w:val="clear" w:color="auto" w:fill="auto"/>
            <w:noWrap/>
            <w:vAlign w:val="bottom"/>
            <w:hideMark/>
          </w:tcPr>
          <w:p w14:paraId="4651D1CD" w14:textId="6DA859F4"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12 377</w:t>
            </w:r>
          </w:p>
        </w:tc>
      </w:tr>
      <w:tr w:rsidR="00386C1F" w:rsidRPr="00BA52C1" w14:paraId="05B2E5B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EDDC953" w14:textId="77777777" w:rsidR="00386C1F" w:rsidRPr="00BA52C1" w:rsidRDefault="00386C1F" w:rsidP="00386C1F">
            <w:pPr>
              <w:pStyle w:val="CBDTableNormal"/>
              <w:spacing w:before="0" w:after="0"/>
              <w:rPr>
                <w:sz w:val="18"/>
                <w:szCs w:val="18"/>
                <w:lang w:val="fr-FR" w:eastAsia="en-CA"/>
              </w:rPr>
            </w:pPr>
            <w:r w:rsidRPr="00BA52C1">
              <w:rPr>
                <w:sz w:val="18"/>
                <w:szCs w:val="18"/>
                <w:lang w:val="fr-FR" w:eastAsia="en-CA"/>
              </w:rPr>
              <w:t>Tuvalu</w:t>
            </w:r>
          </w:p>
        </w:tc>
        <w:tc>
          <w:tcPr>
            <w:tcW w:w="1628" w:type="dxa"/>
            <w:tcBorders>
              <w:top w:val="nil"/>
              <w:left w:val="nil"/>
              <w:bottom w:val="single" w:sz="4" w:space="0" w:color="auto"/>
              <w:right w:val="single" w:sz="4" w:space="0" w:color="auto"/>
            </w:tcBorders>
            <w:shd w:val="clear" w:color="auto" w:fill="auto"/>
            <w:vAlign w:val="bottom"/>
            <w:hideMark/>
          </w:tcPr>
          <w:p w14:paraId="1D817595" w14:textId="52CA0EED"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2198" w:type="dxa"/>
            <w:tcBorders>
              <w:top w:val="nil"/>
              <w:left w:val="nil"/>
              <w:bottom w:val="single" w:sz="4" w:space="0" w:color="auto"/>
              <w:right w:val="single" w:sz="4" w:space="0" w:color="auto"/>
            </w:tcBorders>
            <w:shd w:val="clear" w:color="auto" w:fill="auto"/>
            <w:noWrap/>
            <w:vAlign w:val="bottom"/>
            <w:hideMark/>
          </w:tcPr>
          <w:p w14:paraId="0A88957F" w14:textId="489FAEF4"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1176" w:type="dxa"/>
            <w:tcBorders>
              <w:top w:val="nil"/>
              <w:left w:val="nil"/>
              <w:bottom w:val="single" w:sz="4" w:space="0" w:color="auto"/>
              <w:right w:val="single" w:sz="4" w:space="0" w:color="auto"/>
            </w:tcBorders>
            <w:shd w:val="clear" w:color="auto" w:fill="auto"/>
            <w:noWrap/>
            <w:vAlign w:val="bottom"/>
            <w:hideMark/>
          </w:tcPr>
          <w:p w14:paraId="34DBDDBD" w14:textId="70B18252"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71D662C4" w14:textId="43484315"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4897E181" w14:textId="43ECCA4E"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364</w:t>
            </w:r>
          </w:p>
        </w:tc>
      </w:tr>
      <w:tr w:rsidR="00386C1F" w:rsidRPr="00BA52C1" w14:paraId="02B551C1"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AFD10CE" w14:textId="77777777" w:rsidR="00386C1F" w:rsidRPr="00BA52C1" w:rsidRDefault="00386C1F" w:rsidP="00386C1F">
            <w:pPr>
              <w:pStyle w:val="CBDTableNormal"/>
              <w:spacing w:before="0" w:after="0"/>
              <w:rPr>
                <w:sz w:val="18"/>
                <w:szCs w:val="18"/>
                <w:lang w:val="fr-FR" w:eastAsia="en-CA"/>
              </w:rPr>
            </w:pPr>
            <w:r w:rsidRPr="00BA52C1">
              <w:rPr>
                <w:sz w:val="18"/>
                <w:szCs w:val="18"/>
                <w:lang w:val="fr-FR" w:eastAsia="en-CA"/>
              </w:rPr>
              <w:t>Ukraine</w:t>
            </w:r>
          </w:p>
        </w:tc>
        <w:tc>
          <w:tcPr>
            <w:tcW w:w="1628" w:type="dxa"/>
            <w:tcBorders>
              <w:top w:val="nil"/>
              <w:left w:val="nil"/>
              <w:bottom w:val="single" w:sz="4" w:space="0" w:color="auto"/>
              <w:right w:val="single" w:sz="4" w:space="0" w:color="auto"/>
            </w:tcBorders>
            <w:shd w:val="clear" w:color="auto" w:fill="auto"/>
            <w:vAlign w:val="bottom"/>
            <w:hideMark/>
          </w:tcPr>
          <w:p w14:paraId="797A6588" w14:textId="62357A8E"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056</w:t>
            </w:r>
          </w:p>
        </w:tc>
        <w:tc>
          <w:tcPr>
            <w:tcW w:w="2198" w:type="dxa"/>
            <w:tcBorders>
              <w:top w:val="nil"/>
              <w:left w:val="nil"/>
              <w:bottom w:val="single" w:sz="4" w:space="0" w:color="auto"/>
              <w:right w:val="single" w:sz="4" w:space="0" w:color="auto"/>
            </w:tcBorders>
            <w:shd w:val="clear" w:color="auto" w:fill="auto"/>
            <w:noWrap/>
            <w:vAlign w:val="bottom"/>
            <w:hideMark/>
          </w:tcPr>
          <w:p w14:paraId="6796032C" w14:textId="24FF0831"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070</w:t>
            </w:r>
          </w:p>
        </w:tc>
        <w:tc>
          <w:tcPr>
            <w:tcW w:w="1176" w:type="dxa"/>
            <w:tcBorders>
              <w:top w:val="nil"/>
              <w:left w:val="nil"/>
              <w:bottom w:val="single" w:sz="4" w:space="0" w:color="auto"/>
              <w:right w:val="single" w:sz="4" w:space="0" w:color="auto"/>
            </w:tcBorders>
            <w:shd w:val="clear" w:color="auto" w:fill="auto"/>
            <w:noWrap/>
            <w:vAlign w:val="bottom"/>
            <w:hideMark/>
          </w:tcPr>
          <w:p w14:paraId="01049710" w14:textId="69360F37"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9 856</w:t>
            </w:r>
          </w:p>
        </w:tc>
        <w:tc>
          <w:tcPr>
            <w:tcW w:w="1461" w:type="dxa"/>
            <w:tcBorders>
              <w:top w:val="nil"/>
              <w:left w:val="nil"/>
              <w:bottom w:val="single" w:sz="4" w:space="0" w:color="auto"/>
              <w:right w:val="single" w:sz="4" w:space="0" w:color="auto"/>
            </w:tcBorders>
            <w:shd w:val="clear" w:color="auto" w:fill="auto"/>
            <w:noWrap/>
            <w:vAlign w:val="bottom"/>
            <w:hideMark/>
          </w:tcPr>
          <w:p w14:paraId="2823FFC1" w14:textId="73215AE6"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10 530</w:t>
            </w:r>
          </w:p>
        </w:tc>
        <w:tc>
          <w:tcPr>
            <w:tcW w:w="1080" w:type="dxa"/>
            <w:tcBorders>
              <w:top w:val="nil"/>
              <w:left w:val="nil"/>
              <w:bottom w:val="single" w:sz="4" w:space="0" w:color="auto"/>
              <w:right w:val="single" w:sz="4" w:space="0" w:color="auto"/>
            </w:tcBorders>
            <w:shd w:val="clear" w:color="auto" w:fill="auto"/>
            <w:noWrap/>
            <w:vAlign w:val="bottom"/>
            <w:hideMark/>
          </w:tcPr>
          <w:p w14:paraId="081758C6" w14:textId="62CC2ECB"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20 386</w:t>
            </w:r>
          </w:p>
        </w:tc>
      </w:tr>
      <w:tr w:rsidR="00386C1F" w:rsidRPr="00BA52C1" w14:paraId="56833D7A" w14:textId="77777777" w:rsidTr="00625F10">
        <w:tc>
          <w:tcPr>
            <w:tcW w:w="1880" w:type="dxa"/>
            <w:tcBorders>
              <w:top w:val="nil"/>
              <w:left w:val="single" w:sz="4" w:space="0" w:color="auto"/>
              <w:bottom w:val="single" w:sz="4" w:space="0" w:color="auto"/>
              <w:right w:val="single" w:sz="4" w:space="0" w:color="auto"/>
            </w:tcBorders>
            <w:shd w:val="clear" w:color="auto" w:fill="auto"/>
            <w:vAlign w:val="bottom"/>
          </w:tcPr>
          <w:p w14:paraId="010DFC39" w14:textId="2BC5E4F6" w:rsidR="00386C1F" w:rsidRPr="00BA52C1" w:rsidRDefault="00386C1F" w:rsidP="00386C1F">
            <w:pPr>
              <w:pStyle w:val="CBDTableNormal"/>
              <w:spacing w:before="0" w:after="0"/>
              <w:rPr>
                <w:sz w:val="18"/>
                <w:szCs w:val="18"/>
                <w:lang w:val="fr-FR" w:eastAsia="en-CA"/>
              </w:rPr>
            </w:pPr>
            <w:r>
              <w:rPr>
                <w:sz w:val="18"/>
                <w:szCs w:val="18"/>
                <w:lang w:val="fr-FR" w:eastAsia="en-CA"/>
              </w:rPr>
              <w:t>Union européenne</w:t>
            </w:r>
          </w:p>
        </w:tc>
        <w:tc>
          <w:tcPr>
            <w:tcW w:w="1628" w:type="dxa"/>
            <w:tcBorders>
              <w:top w:val="nil"/>
              <w:left w:val="nil"/>
              <w:bottom w:val="single" w:sz="4" w:space="0" w:color="auto"/>
              <w:right w:val="single" w:sz="4" w:space="0" w:color="auto"/>
            </w:tcBorders>
            <w:shd w:val="clear" w:color="auto" w:fill="auto"/>
            <w:vAlign w:val="bottom"/>
          </w:tcPr>
          <w:p w14:paraId="1091BACA" w14:textId="77CD8A18" w:rsidR="00386C1F" w:rsidRPr="00BA52C1" w:rsidRDefault="004B7AF6" w:rsidP="00386C1F">
            <w:pPr>
              <w:pStyle w:val="CBDTableNormal"/>
              <w:spacing w:before="0" w:after="0"/>
              <w:jc w:val="right"/>
              <w:rPr>
                <w:sz w:val="18"/>
                <w:szCs w:val="18"/>
                <w:lang w:val="fr-FR" w:eastAsia="en-CA"/>
              </w:rPr>
            </w:pPr>
            <w:r>
              <w:rPr>
                <w:sz w:val="18"/>
                <w:szCs w:val="18"/>
                <w:lang w:eastAsia="en-CA"/>
              </w:rPr>
              <w:t>–</w:t>
            </w:r>
          </w:p>
        </w:tc>
        <w:tc>
          <w:tcPr>
            <w:tcW w:w="2198" w:type="dxa"/>
            <w:tcBorders>
              <w:top w:val="nil"/>
              <w:left w:val="nil"/>
              <w:bottom w:val="single" w:sz="4" w:space="0" w:color="auto"/>
              <w:right w:val="single" w:sz="4" w:space="0" w:color="auto"/>
            </w:tcBorders>
            <w:shd w:val="clear" w:color="auto" w:fill="auto"/>
            <w:noWrap/>
            <w:vAlign w:val="bottom"/>
          </w:tcPr>
          <w:p w14:paraId="41B7A052" w14:textId="002E6467"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2</w:t>
            </w:r>
            <w:r>
              <w:rPr>
                <w:sz w:val="18"/>
                <w:szCs w:val="18"/>
                <w:lang w:val="fr-FR" w:eastAsia="en-CA"/>
              </w:rPr>
              <w:t>,</w:t>
            </w:r>
            <w:r w:rsidRPr="00BA52C1">
              <w:rPr>
                <w:sz w:val="18"/>
                <w:szCs w:val="18"/>
                <w:lang w:val="fr-FR" w:eastAsia="en-CA"/>
              </w:rPr>
              <w:t>500</w:t>
            </w:r>
          </w:p>
        </w:tc>
        <w:tc>
          <w:tcPr>
            <w:tcW w:w="1176" w:type="dxa"/>
            <w:tcBorders>
              <w:top w:val="nil"/>
              <w:left w:val="nil"/>
              <w:bottom w:val="single" w:sz="4" w:space="0" w:color="auto"/>
              <w:right w:val="single" w:sz="4" w:space="0" w:color="auto"/>
            </w:tcBorders>
            <w:shd w:val="clear" w:color="auto" w:fill="auto"/>
            <w:noWrap/>
            <w:vAlign w:val="bottom"/>
          </w:tcPr>
          <w:p w14:paraId="3C8E3D0E" w14:textId="0ECE6D75"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351 966</w:t>
            </w:r>
          </w:p>
        </w:tc>
        <w:tc>
          <w:tcPr>
            <w:tcW w:w="1461" w:type="dxa"/>
            <w:tcBorders>
              <w:top w:val="nil"/>
              <w:left w:val="nil"/>
              <w:bottom w:val="single" w:sz="4" w:space="0" w:color="auto"/>
              <w:right w:val="single" w:sz="4" w:space="0" w:color="auto"/>
            </w:tcBorders>
            <w:shd w:val="clear" w:color="auto" w:fill="auto"/>
            <w:noWrap/>
            <w:vAlign w:val="bottom"/>
          </w:tcPr>
          <w:p w14:paraId="37C90C7E" w14:textId="2049D129"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376 049</w:t>
            </w:r>
          </w:p>
        </w:tc>
        <w:tc>
          <w:tcPr>
            <w:tcW w:w="1080" w:type="dxa"/>
            <w:tcBorders>
              <w:top w:val="nil"/>
              <w:left w:val="nil"/>
              <w:bottom w:val="single" w:sz="4" w:space="0" w:color="auto"/>
              <w:right w:val="single" w:sz="4" w:space="0" w:color="auto"/>
            </w:tcBorders>
            <w:shd w:val="clear" w:color="auto" w:fill="auto"/>
            <w:noWrap/>
            <w:vAlign w:val="bottom"/>
          </w:tcPr>
          <w:p w14:paraId="36F0FF69" w14:textId="4AE9E7D1"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728 015</w:t>
            </w:r>
          </w:p>
        </w:tc>
      </w:tr>
      <w:tr w:rsidR="00386C1F" w:rsidRPr="00BA52C1" w14:paraId="69268DCA"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4894358" w14:textId="77777777" w:rsidR="00386C1F" w:rsidRPr="00BA52C1" w:rsidRDefault="00386C1F" w:rsidP="00386C1F">
            <w:pPr>
              <w:pStyle w:val="CBDTableNormal"/>
              <w:spacing w:before="0" w:after="0"/>
              <w:rPr>
                <w:sz w:val="18"/>
                <w:szCs w:val="18"/>
                <w:lang w:val="fr-FR" w:eastAsia="en-CA"/>
              </w:rPr>
            </w:pPr>
            <w:r w:rsidRPr="00BA52C1">
              <w:rPr>
                <w:sz w:val="18"/>
                <w:szCs w:val="18"/>
                <w:lang w:val="fr-FR" w:eastAsia="en-CA"/>
              </w:rPr>
              <w:t>Uruguay</w:t>
            </w:r>
          </w:p>
        </w:tc>
        <w:tc>
          <w:tcPr>
            <w:tcW w:w="1628" w:type="dxa"/>
            <w:tcBorders>
              <w:top w:val="nil"/>
              <w:left w:val="nil"/>
              <w:bottom w:val="single" w:sz="4" w:space="0" w:color="auto"/>
              <w:right w:val="single" w:sz="4" w:space="0" w:color="auto"/>
            </w:tcBorders>
            <w:shd w:val="clear" w:color="auto" w:fill="auto"/>
            <w:vAlign w:val="bottom"/>
            <w:hideMark/>
          </w:tcPr>
          <w:p w14:paraId="40E94CBA" w14:textId="5C79288C"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092</w:t>
            </w:r>
          </w:p>
        </w:tc>
        <w:tc>
          <w:tcPr>
            <w:tcW w:w="2198" w:type="dxa"/>
            <w:tcBorders>
              <w:top w:val="nil"/>
              <w:left w:val="nil"/>
              <w:bottom w:val="single" w:sz="4" w:space="0" w:color="auto"/>
              <w:right w:val="single" w:sz="4" w:space="0" w:color="auto"/>
            </w:tcBorders>
            <w:shd w:val="clear" w:color="auto" w:fill="auto"/>
            <w:noWrap/>
            <w:vAlign w:val="bottom"/>
            <w:hideMark/>
          </w:tcPr>
          <w:p w14:paraId="51315988" w14:textId="61EE0C8F"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115</w:t>
            </w:r>
          </w:p>
        </w:tc>
        <w:tc>
          <w:tcPr>
            <w:tcW w:w="1176" w:type="dxa"/>
            <w:tcBorders>
              <w:top w:val="nil"/>
              <w:left w:val="nil"/>
              <w:bottom w:val="single" w:sz="4" w:space="0" w:color="auto"/>
              <w:right w:val="single" w:sz="4" w:space="0" w:color="auto"/>
            </w:tcBorders>
            <w:shd w:val="clear" w:color="auto" w:fill="auto"/>
            <w:noWrap/>
            <w:vAlign w:val="bottom"/>
            <w:hideMark/>
          </w:tcPr>
          <w:p w14:paraId="6D4487B3" w14:textId="2E899724"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16 191</w:t>
            </w:r>
          </w:p>
        </w:tc>
        <w:tc>
          <w:tcPr>
            <w:tcW w:w="1461" w:type="dxa"/>
            <w:tcBorders>
              <w:top w:val="nil"/>
              <w:left w:val="nil"/>
              <w:bottom w:val="single" w:sz="4" w:space="0" w:color="auto"/>
              <w:right w:val="single" w:sz="4" w:space="0" w:color="auto"/>
            </w:tcBorders>
            <w:shd w:val="clear" w:color="auto" w:fill="auto"/>
            <w:noWrap/>
            <w:vAlign w:val="bottom"/>
            <w:hideMark/>
          </w:tcPr>
          <w:p w14:paraId="7916E14C" w14:textId="3DD44599"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17 299</w:t>
            </w:r>
          </w:p>
        </w:tc>
        <w:tc>
          <w:tcPr>
            <w:tcW w:w="1080" w:type="dxa"/>
            <w:tcBorders>
              <w:top w:val="nil"/>
              <w:left w:val="nil"/>
              <w:bottom w:val="single" w:sz="4" w:space="0" w:color="auto"/>
              <w:right w:val="single" w:sz="4" w:space="0" w:color="auto"/>
            </w:tcBorders>
            <w:shd w:val="clear" w:color="auto" w:fill="auto"/>
            <w:noWrap/>
            <w:vAlign w:val="bottom"/>
            <w:hideMark/>
          </w:tcPr>
          <w:p w14:paraId="7DCE29CD" w14:textId="760FD9B5"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33 491</w:t>
            </w:r>
          </w:p>
        </w:tc>
      </w:tr>
      <w:tr w:rsidR="00386C1F" w:rsidRPr="00BA52C1" w14:paraId="73929B08"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6A44616" w14:textId="77777777" w:rsidR="00386C1F" w:rsidRPr="00BA52C1" w:rsidRDefault="00386C1F" w:rsidP="00386C1F">
            <w:pPr>
              <w:pStyle w:val="CBDTableNormal"/>
              <w:spacing w:before="0" w:after="0"/>
              <w:rPr>
                <w:sz w:val="18"/>
                <w:szCs w:val="18"/>
                <w:lang w:val="fr-FR" w:eastAsia="en-CA"/>
              </w:rPr>
            </w:pPr>
            <w:r w:rsidRPr="00BA52C1">
              <w:rPr>
                <w:sz w:val="18"/>
                <w:szCs w:val="18"/>
                <w:lang w:val="fr-FR" w:eastAsia="en-CA"/>
              </w:rPr>
              <w:t>Vanuatu</w:t>
            </w:r>
          </w:p>
        </w:tc>
        <w:tc>
          <w:tcPr>
            <w:tcW w:w="1628" w:type="dxa"/>
            <w:tcBorders>
              <w:top w:val="nil"/>
              <w:left w:val="nil"/>
              <w:bottom w:val="single" w:sz="4" w:space="0" w:color="auto"/>
              <w:right w:val="single" w:sz="4" w:space="0" w:color="auto"/>
            </w:tcBorders>
            <w:shd w:val="clear" w:color="auto" w:fill="auto"/>
            <w:vAlign w:val="bottom"/>
            <w:hideMark/>
          </w:tcPr>
          <w:p w14:paraId="67217B07" w14:textId="34C1A2A1"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2198" w:type="dxa"/>
            <w:tcBorders>
              <w:top w:val="nil"/>
              <w:left w:val="nil"/>
              <w:bottom w:val="single" w:sz="4" w:space="0" w:color="auto"/>
              <w:right w:val="single" w:sz="4" w:space="0" w:color="auto"/>
            </w:tcBorders>
            <w:shd w:val="clear" w:color="auto" w:fill="auto"/>
            <w:noWrap/>
            <w:vAlign w:val="bottom"/>
            <w:hideMark/>
          </w:tcPr>
          <w:p w14:paraId="0A79AEDC" w14:textId="33016F4B"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001</w:t>
            </w:r>
          </w:p>
        </w:tc>
        <w:tc>
          <w:tcPr>
            <w:tcW w:w="1176" w:type="dxa"/>
            <w:tcBorders>
              <w:top w:val="nil"/>
              <w:left w:val="nil"/>
              <w:bottom w:val="single" w:sz="4" w:space="0" w:color="auto"/>
              <w:right w:val="single" w:sz="4" w:space="0" w:color="auto"/>
            </w:tcBorders>
            <w:shd w:val="clear" w:color="auto" w:fill="auto"/>
            <w:noWrap/>
            <w:vAlign w:val="bottom"/>
            <w:hideMark/>
          </w:tcPr>
          <w:p w14:paraId="7935F64D" w14:textId="4939A238"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2636D3A6" w14:textId="34D7A20A"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20623B88" w14:textId="41782D44"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364</w:t>
            </w:r>
          </w:p>
        </w:tc>
      </w:tr>
      <w:tr w:rsidR="00386C1F" w:rsidRPr="00BA52C1" w14:paraId="10F9B918"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A527ECF" w14:textId="0789E0F6" w:rsidR="00386C1F" w:rsidRPr="00BA52C1" w:rsidRDefault="00386C1F" w:rsidP="00386C1F">
            <w:pPr>
              <w:pStyle w:val="CBDTableNormal"/>
              <w:tabs>
                <w:tab w:val="clear" w:pos="567"/>
                <w:tab w:val="left" w:pos="178"/>
              </w:tabs>
              <w:spacing w:before="0" w:after="0"/>
              <w:ind w:left="144" w:hanging="144"/>
              <w:rPr>
                <w:sz w:val="18"/>
                <w:szCs w:val="18"/>
                <w:lang w:val="fr-FR" w:eastAsia="en-CA"/>
              </w:rPr>
            </w:pPr>
            <w:r w:rsidRPr="00BA52C1">
              <w:rPr>
                <w:sz w:val="18"/>
                <w:szCs w:val="18"/>
                <w:lang w:val="fr-FR" w:eastAsia="en-CA"/>
              </w:rPr>
              <w:t>Venezuela (</w:t>
            </w:r>
            <w:r>
              <w:rPr>
                <w:sz w:val="18"/>
                <w:szCs w:val="18"/>
                <w:lang w:val="fr-FR" w:eastAsia="en-CA"/>
              </w:rPr>
              <w:t>République bolivarienne du</w:t>
            </w:r>
            <w:r w:rsidRPr="00BA52C1">
              <w:rPr>
                <w:sz w:val="18"/>
                <w:szCs w:val="18"/>
                <w:lang w:val="fr-FR" w:eastAsia="en-CA"/>
              </w:rPr>
              <w:t>)</w:t>
            </w:r>
          </w:p>
        </w:tc>
        <w:tc>
          <w:tcPr>
            <w:tcW w:w="1628" w:type="dxa"/>
            <w:tcBorders>
              <w:top w:val="nil"/>
              <w:left w:val="nil"/>
              <w:bottom w:val="single" w:sz="4" w:space="0" w:color="auto"/>
              <w:right w:val="single" w:sz="4" w:space="0" w:color="auto"/>
            </w:tcBorders>
            <w:shd w:val="clear" w:color="auto" w:fill="auto"/>
            <w:vAlign w:val="bottom"/>
            <w:hideMark/>
          </w:tcPr>
          <w:p w14:paraId="29D7C39C" w14:textId="6FCF7C5F"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175</w:t>
            </w:r>
          </w:p>
        </w:tc>
        <w:tc>
          <w:tcPr>
            <w:tcW w:w="2198" w:type="dxa"/>
            <w:tcBorders>
              <w:top w:val="nil"/>
              <w:left w:val="nil"/>
              <w:bottom w:val="single" w:sz="4" w:space="0" w:color="auto"/>
              <w:right w:val="single" w:sz="4" w:space="0" w:color="auto"/>
            </w:tcBorders>
            <w:shd w:val="clear" w:color="auto" w:fill="auto"/>
            <w:noWrap/>
            <w:vAlign w:val="bottom"/>
            <w:hideMark/>
          </w:tcPr>
          <w:p w14:paraId="55780D8A" w14:textId="7A77F116"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219</w:t>
            </w:r>
          </w:p>
        </w:tc>
        <w:tc>
          <w:tcPr>
            <w:tcW w:w="1176" w:type="dxa"/>
            <w:tcBorders>
              <w:top w:val="nil"/>
              <w:left w:val="nil"/>
              <w:bottom w:val="single" w:sz="4" w:space="0" w:color="auto"/>
              <w:right w:val="single" w:sz="4" w:space="0" w:color="auto"/>
            </w:tcBorders>
            <w:shd w:val="clear" w:color="auto" w:fill="auto"/>
            <w:noWrap/>
            <w:vAlign w:val="bottom"/>
            <w:hideMark/>
          </w:tcPr>
          <w:p w14:paraId="79AC471D" w14:textId="6CEE0F25"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30 799</w:t>
            </w:r>
          </w:p>
        </w:tc>
        <w:tc>
          <w:tcPr>
            <w:tcW w:w="1461" w:type="dxa"/>
            <w:tcBorders>
              <w:top w:val="nil"/>
              <w:left w:val="nil"/>
              <w:bottom w:val="single" w:sz="4" w:space="0" w:color="auto"/>
              <w:right w:val="single" w:sz="4" w:space="0" w:color="auto"/>
            </w:tcBorders>
            <w:shd w:val="clear" w:color="auto" w:fill="auto"/>
            <w:noWrap/>
            <w:vAlign w:val="bottom"/>
            <w:hideMark/>
          </w:tcPr>
          <w:p w14:paraId="61311786" w14:textId="1B59184B"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32 906</w:t>
            </w:r>
          </w:p>
        </w:tc>
        <w:tc>
          <w:tcPr>
            <w:tcW w:w="1080" w:type="dxa"/>
            <w:tcBorders>
              <w:top w:val="nil"/>
              <w:left w:val="nil"/>
              <w:bottom w:val="single" w:sz="4" w:space="0" w:color="auto"/>
              <w:right w:val="single" w:sz="4" w:space="0" w:color="auto"/>
            </w:tcBorders>
            <w:shd w:val="clear" w:color="auto" w:fill="auto"/>
            <w:noWrap/>
            <w:vAlign w:val="bottom"/>
            <w:hideMark/>
          </w:tcPr>
          <w:p w14:paraId="3360506A" w14:textId="4F84C6D6"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63 705</w:t>
            </w:r>
          </w:p>
        </w:tc>
      </w:tr>
      <w:tr w:rsidR="00386C1F" w:rsidRPr="00BA52C1" w14:paraId="6740CE78"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73E853D" w14:textId="33CCDC94" w:rsidR="00386C1F" w:rsidRPr="00BA52C1" w:rsidRDefault="00386C1F" w:rsidP="00386C1F">
            <w:pPr>
              <w:pStyle w:val="CBDTableNormal"/>
              <w:spacing w:before="0" w:after="0"/>
              <w:rPr>
                <w:sz w:val="18"/>
                <w:szCs w:val="18"/>
                <w:lang w:val="fr-FR" w:eastAsia="en-CA"/>
              </w:rPr>
            </w:pPr>
            <w:r w:rsidRPr="00BA52C1">
              <w:rPr>
                <w:sz w:val="18"/>
                <w:szCs w:val="18"/>
                <w:lang w:val="fr-FR" w:eastAsia="en-CA"/>
              </w:rPr>
              <w:t>Viet Nam</w:t>
            </w:r>
          </w:p>
        </w:tc>
        <w:tc>
          <w:tcPr>
            <w:tcW w:w="1628" w:type="dxa"/>
            <w:tcBorders>
              <w:top w:val="nil"/>
              <w:left w:val="nil"/>
              <w:bottom w:val="single" w:sz="4" w:space="0" w:color="auto"/>
              <w:right w:val="single" w:sz="4" w:space="0" w:color="auto"/>
            </w:tcBorders>
            <w:shd w:val="clear" w:color="auto" w:fill="auto"/>
            <w:vAlign w:val="bottom"/>
            <w:hideMark/>
          </w:tcPr>
          <w:p w14:paraId="148A65DB" w14:textId="607DB82E"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093</w:t>
            </w:r>
          </w:p>
        </w:tc>
        <w:tc>
          <w:tcPr>
            <w:tcW w:w="2198" w:type="dxa"/>
            <w:tcBorders>
              <w:top w:val="nil"/>
              <w:left w:val="nil"/>
              <w:bottom w:val="single" w:sz="4" w:space="0" w:color="auto"/>
              <w:right w:val="single" w:sz="4" w:space="0" w:color="auto"/>
            </w:tcBorders>
            <w:shd w:val="clear" w:color="auto" w:fill="auto"/>
            <w:noWrap/>
            <w:vAlign w:val="bottom"/>
            <w:hideMark/>
          </w:tcPr>
          <w:p w14:paraId="1C723D3B" w14:textId="3F2E616F"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116</w:t>
            </w:r>
          </w:p>
        </w:tc>
        <w:tc>
          <w:tcPr>
            <w:tcW w:w="1176" w:type="dxa"/>
            <w:tcBorders>
              <w:top w:val="nil"/>
              <w:left w:val="nil"/>
              <w:bottom w:val="single" w:sz="4" w:space="0" w:color="auto"/>
              <w:right w:val="single" w:sz="4" w:space="0" w:color="auto"/>
            </w:tcBorders>
            <w:shd w:val="clear" w:color="auto" w:fill="auto"/>
            <w:noWrap/>
            <w:vAlign w:val="bottom"/>
            <w:hideMark/>
          </w:tcPr>
          <w:p w14:paraId="65A3BC86" w14:textId="545E8B1A"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16 367</w:t>
            </w:r>
          </w:p>
        </w:tc>
        <w:tc>
          <w:tcPr>
            <w:tcW w:w="1461" w:type="dxa"/>
            <w:tcBorders>
              <w:top w:val="nil"/>
              <w:left w:val="nil"/>
              <w:bottom w:val="single" w:sz="4" w:space="0" w:color="auto"/>
              <w:right w:val="single" w:sz="4" w:space="0" w:color="auto"/>
            </w:tcBorders>
            <w:shd w:val="clear" w:color="auto" w:fill="auto"/>
            <w:noWrap/>
            <w:vAlign w:val="bottom"/>
            <w:hideMark/>
          </w:tcPr>
          <w:p w14:paraId="55845471" w14:textId="57C63B0B"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17 487</w:t>
            </w:r>
          </w:p>
        </w:tc>
        <w:tc>
          <w:tcPr>
            <w:tcW w:w="1080" w:type="dxa"/>
            <w:tcBorders>
              <w:top w:val="nil"/>
              <w:left w:val="nil"/>
              <w:bottom w:val="single" w:sz="4" w:space="0" w:color="auto"/>
              <w:right w:val="single" w:sz="4" w:space="0" w:color="auto"/>
            </w:tcBorders>
            <w:shd w:val="clear" w:color="auto" w:fill="auto"/>
            <w:noWrap/>
            <w:vAlign w:val="bottom"/>
            <w:hideMark/>
          </w:tcPr>
          <w:p w14:paraId="50A8653E" w14:textId="646E0D30"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33 855</w:t>
            </w:r>
          </w:p>
        </w:tc>
      </w:tr>
      <w:tr w:rsidR="00386C1F" w:rsidRPr="00BA52C1" w14:paraId="6DF73C1B"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C3DAE5B" w14:textId="2BBF70B2" w:rsidR="00386C1F" w:rsidRPr="00BA52C1" w:rsidRDefault="00386C1F" w:rsidP="00386C1F">
            <w:pPr>
              <w:pStyle w:val="CBDTableNormal"/>
              <w:spacing w:before="0" w:after="0"/>
              <w:rPr>
                <w:sz w:val="18"/>
                <w:szCs w:val="18"/>
                <w:lang w:val="fr-FR" w:eastAsia="en-CA"/>
              </w:rPr>
            </w:pPr>
            <w:r w:rsidRPr="00BA52C1">
              <w:rPr>
                <w:sz w:val="18"/>
                <w:szCs w:val="18"/>
                <w:lang w:val="fr-FR" w:eastAsia="en-CA"/>
              </w:rPr>
              <w:lastRenderedPageBreak/>
              <w:t>Y</w:t>
            </w:r>
            <w:r>
              <w:rPr>
                <w:sz w:val="18"/>
                <w:szCs w:val="18"/>
                <w:lang w:val="fr-FR" w:eastAsia="en-CA"/>
              </w:rPr>
              <w:t>é</w:t>
            </w:r>
            <w:r w:rsidRPr="00BA52C1">
              <w:rPr>
                <w:sz w:val="18"/>
                <w:szCs w:val="18"/>
                <w:lang w:val="fr-FR" w:eastAsia="en-CA"/>
              </w:rPr>
              <w:t>men</w:t>
            </w:r>
          </w:p>
        </w:tc>
        <w:tc>
          <w:tcPr>
            <w:tcW w:w="1628" w:type="dxa"/>
            <w:tcBorders>
              <w:top w:val="nil"/>
              <w:left w:val="nil"/>
              <w:bottom w:val="single" w:sz="4" w:space="0" w:color="auto"/>
              <w:right w:val="single" w:sz="4" w:space="0" w:color="auto"/>
            </w:tcBorders>
            <w:shd w:val="clear" w:color="auto" w:fill="auto"/>
            <w:vAlign w:val="bottom"/>
            <w:hideMark/>
          </w:tcPr>
          <w:p w14:paraId="2556ADF4" w14:textId="0AB74EC6"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008</w:t>
            </w:r>
          </w:p>
        </w:tc>
        <w:tc>
          <w:tcPr>
            <w:tcW w:w="2198" w:type="dxa"/>
            <w:tcBorders>
              <w:top w:val="nil"/>
              <w:left w:val="nil"/>
              <w:bottom w:val="single" w:sz="4" w:space="0" w:color="auto"/>
              <w:right w:val="single" w:sz="4" w:space="0" w:color="auto"/>
            </w:tcBorders>
            <w:shd w:val="clear" w:color="auto" w:fill="auto"/>
            <w:noWrap/>
            <w:vAlign w:val="bottom"/>
            <w:hideMark/>
          </w:tcPr>
          <w:p w14:paraId="095C3BC4" w14:textId="33CCAC13"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010</w:t>
            </w:r>
          </w:p>
        </w:tc>
        <w:tc>
          <w:tcPr>
            <w:tcW w:w="1176" w:type="dxa"/>
            <w:tcBorders>
              <w:top w:val="nil"/>
              <w:left w:val="nil"/>
              <w:bottom w:val="single" w:sz="4" w:space="0" w:color="auto"/>
              <w:right w:val="single" w:sz="4" w:space="0" w:color="auto"/>
            </w:tcBorders>
            <w:shd w:val="clear" w:color="auto" w:fill="auto"/>
            <w:noWrap/>
            <w:vAlign w:val="bottom"/>
            <w:hideMark/>
          </w:tcPr>
          <w:p w14:paraId="326D84AD" w14:textId="2A63899D"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1 408</w:t>
            </w:r>
          </w:p>
        </w:tc>
        <w:tc>
          <w:tcPr>
            <w:tcW w:w="1461" w:type="dxa"/>
            <w:tcBorders>
              <w:top w:val="nil"/>
              <w:left w:val="nil"/>
              <w:bottom w:val="single" w:sz="4" w:space="0" w:color="auto"/>
              <w:right w:val="single" w:sz="4" w:space="0" w:color="auto"/>
            </w:tcBorders>
            <w:shd w:val="clear" w:color="auto" w:fill="auto"/>
            <w:noWrap/>
            <w:vAlign w:val="bottom"/>
            <w:hideMark/>
          </w:tcPr>
          <w:p w14:paraId="2E87BCB6" w14:textId="7E95DCB0"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1 504</w:t>
            </w:r>
          </w:p>
        </w:tc>
        <w:tc>
          <w:tcPr>
            <w:tcW w:w="1080" w:type="dxa"/>
            <w:tcBorders>
              <w:top w:val="nil"/>
              <w:left w:val="nil"/>
              <w:bottom w:val="single" w:sz="4" w:space="0" w:color="auto"/>
              <w:right w:val="single" w:sz="4" w:space="0" w:color="auto"/>
            </w:tcBorders>
            <w:shd w:val="clear" w:color="auto" w:fill="auto"/>
            <w:noWrap/>
            <w:vAlign w:val="bottom"/>
            <w:hideMark/>
          </w:tcPr>
          <w:p w14:paraId="285F601F" w14:textId="06765601"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2 912</w:t>
            </w:r>
          </w:p>
        </w:tc>
      </w:tr>
      <w:tr w:rsidR="00386C1F" w:rsidRPr="00BA52C1" w14:paraId="4761D05B"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0C9D683" w14:textId="13DD95DE" w:rsidR="00386C1F" w:rsidRPr="00BA52C1" w:rsidRDefault="00386C1F" w:rsidP="00386C1F">
            <w:pPr>
              <w:pStyle w:val="CBDTableNormal"/>
              <w:spacing w:before="0" w:after="0"/>
              <w:rPr>
                <w:sz w:val="18"/>
                <w:szCs w:val="18"/>
                <w:lang w:val="fr-FR" w:eastAsia="en-CA"/>
              </w:rPr>
            </w:pPr>
            <w:r w:rsidRPr="00BA52C1">
              <w:rPr>
                <w:sz w:val="18"/>
                <w:szCs w:val="18"/>
                <w:lang w:val="fr-FR" w:eastAsia="en-CA"/>
              </w:rPr>
              <w:t>Zambi</w:t>
            </w:r>
            <w:r>
              <w:rPr>
                <w:sz w:val="18"/>
                <w:szCs w:val="18"/>
                <w:lang w:val="fr-FR" w:eastAsia="en-CA"/>
              </w:rPr>
              <w:t>e</w:t>
            </w:r>
          </w:p>
        </w:tc>
        <w:tc>
          <w:tcPr>
            <w:tcW w:w="1628" w:type="dxa"/>
            <w:tcBorders>
              <w:top w:val="nil"/>
              <w:left w:val="nil"/>
              <w:bottom w:val="single" w:sz="4" w:space="0" w:color="auto"/>
              <w:right w:val="single" w:sz="4" w:space="0" w:color="auto"/>
            </w:tcBorders>
            <w:shd w:val="clear" w:color="auto" w:fill="auto"/>
            <w:vAlign w:val="bottom"/>
            <w:hideMark/>
          </w:tcPr>
          <w:p w14:paraId="1A373F6D" w14:textId="5EF240F4"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008</w:t>
            </w:r>
          </w:p>
        </w:tc>
        <w:tc>
          <w:tcPr>
            <w:tcW w:w="2198" w:type="dxa"/>
            <w:tcBorders>
              <w:top w:val="nil"/>
              <w:left w:val="nil"/>
              <w:bottom w:val="single" w:sz="4" w:space="0" w:color="auto"/>
              <w:right w:val="single" w:sz="4" w:space="0" w:color="auto"/>
            </w:tcBorders>
            <w:shd w:val="clear" w:color="auto" w:fill="auto"/>
            <w:noWrap/>
            <w:vAlign w:val="bottom"/>
            <w:hideMark/>
          </w:tcPr>
          <w:p w14:paraId="5488F849" w14:textId="786DF4E7"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010</w:t>
            </w:r>
          </w:p>
        </w:tc>
        <w:tc>
          <w:tcPr>
            <w:tcW w:w="1176" w:type="dxa"/>
            <w:tcBorders>
              <w:top w:val="nil"/>
              <w:left w:val="nil"/>
              <w:bottom w:val="single" w:sz="4" w:space="0" w:color="auto"/>
              <w:right w:val="single" w:sz="4" w:space="0" w:color="auto"/>
            </w:tcBorders>
            <w:shd w:val="clear" w:color="auto" w:fill="auto"/>
            <w:noWrap/>
            <w:vAlign w:val="bottom"/>
            <w:hideMark/>
          </w:tcPr>
          <w:p w14:paraId="25A9F17F" w14:textId="7964BF17"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1 408</w:t>
            </w:r>
          </w:p>
        </w:tc>
        <w:tc>
          <w:tcPr>
            <w:tcW w:w="1461" w:type="dxa"/>
            <w:tcBorders>
              <w:top w:val="nil"/>
              <w:left w:val="nil"/>
              <w:bottom w:val="single" w:sz="4" w:space="0" w:color="auto"/>
              <w:right w:val="single" w:sz="4" w:space="0" w:color="auto"/>
            </w:tcBorders>
            <w:shd w:val="clear" w:color="auto" w:fill="auto"/>
            <w:noWrap/>
            <w:vAlign w:val="bottom"/>
            <w:hideMark/>
          </w:tcPr>
          <w:p w14:paraId="03A25AF9" w14:textId="3A1178DB"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1 504</w:t>
            </w:r>
          </w:p>
        </w:tc>
        <w:tc>
          <w:tcPr>
            <w:tcW w:w="1080" w:type="dxa"/>
            <w:tcBorders>
              <w:top w:val="nil"/>
              <w:left w:val="nil"/>
              <w:bottom w:val="single" w:sz="4" w:space="0" w:color="auto"/>
              <w:right w:val="single" w:sz="4" w:space="0" w:color="auto"/>
            </w:tcBorders>
            <w:shd w:val="clear" w:color="auto" w:fill="auto"/>
            <w:noWrap/>
            <w:vAlign w:val="bottom"/>
            <w:hideMark/>
          </w:tcPr>
          <w:p w14:paraId="0688C107" w14:textId="68DB8A61"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2 912</w:t>
            </w:r>
          </w:p>
        </w:tc>
      </w:tr>
      <w:tr w:rsidR="00386C1F" w:rsidRPr="00BA52C1" w14:paraId="2A52C8CF"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E831059" w14:textId="77777777" w:rsidR="00386C1F" w:rsidRPr="00BA52C1" w:rsidRDefault="00386C1F" w:rsidP="00386C1F">
            <w:pPr>
              <w:pStyle w:val="CBDTableNormal"/>
              <w:spacing w:before="0" w:after="0"/>
              <w:rPr>
                <w:sz w:val="18"/>
                <w:szCs w:val="18"/>
                <w:lang w:val="fr-FR" w:eastAsia="en-CA"/>
              </w:rPr>
            </w:pPr>
            <w:r w:rsidRPr="00BA52C1">
              <w:rPr>
                <w:sz w:val="18"/>
                <w:szCs w:val="18"/>
                <w:lang w:val="fr-FR" w:eastAsia="en-CA"/>
              </w:rPr>
              <w:t>Zimbabwe</w:t>
            </w:r>
          </w:p>
        </w:tc>
        <w:tc>
          <w:tcPr>
            <w:tcW w:w="1628" w:type="dxa"/>
            <w:tcBorders>
              <w:top w:val="nil"/>
              <w:left w:val="nil"/>
              <w:bottom w:val="single" w:sz="4" w:space="0" w:color="auto"/>
              <w:right w:val="single" w:sz="4" w:space="0" w:color="auto"/>
            </w:tcBorders>
            <w:shd w:val="clear" w:color="auto" w:fill="auto"/>
            <w:vAlign w:val="bottom"/>
            <w:hideMark/>
          </w:tcPr>
          <w:p w14:paraId="5516DF47" w14:textId="533C3D2A"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007</w:t>
            </w:r>
          </w:p>
        </w:tc>
        <w:tc>
          <w:tcPr>
            <w:tcW w:w="2198" w:type="dxa"/>
            <w:tcBorders>
              <w:top w:val="nil"/>
              <w:left w:val="nil"/>
              <w:bottom w:val="single" w:sz="4" w:space="0" w:color="auto"/>
              <w:right w:val="single" w:sz="4" w:space="0" w:color="auto"/>
            </w:tcBorders>
            <w:shd w:val="clear" w:color="auto" w:fill="auto"/>
            <w:noWrap/>
            <w:vAlign w:val="bottom"/>
            <w:hideMark/>
          </w:tcPr>
          <w:p w14:paraId="6980826E" w14:textId="2061B50A"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0</w:t>
            </w:r>
            <w:r>
              <w:rPr>
                <w:sz w:val="18"/>
                <w:szCs w:val="18"/>
                <w:lang w:val="fr-FR" w:eastAsia="en-CA"/>
              </w:rPr>
              <w:t>,</w:t>
            </w:r>
            <w:r w:rsidRPr="00BA52C1">
              <w:rPr>
                <w:sz w:val="18"/>
                <w:szCs w:val="18"/>
                <w:lang w:val="fr-FR" w:eastAsia="en-CA"/>
              </w:rPr>
              <w:t>009</w:t>
            </w:r>
          </w:p>
        </w:tc>
        <w:tc>
          <w:tcPr>
            <w:tcW w:w="1176" w:type="dxa"/>
            <w:tcBorders>
              <w:top w:val="nil"/>
              <w:left w:val="nil"/>
              <w:bottom w:val="single" w:sz="4" w:space="0" w:color="auto"/>
              <w:right w:val="single" w:sz="4" w:space="0" w:color="auto"/>
            </w:tcBorders>
            <w:shd w:val="clear" w:color="auto" w:fill="auto"/>
            <w:noWrap/>
            <w:vAlign w:val="bottom"/>
            <w:hideMark/>
          </w:tcPr>
          <w:p w14:paraId="0218956C" w14:textId="1FFA1D8C"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1 232</w:t>
            </w:r>
          </w:p>
        </w:tc>
        <w:tc>
          <w:tcPr>
            <w:tcW w:w="1461" w:type="dxa"/>
            <w:tcBorders>
              <w:top w:val="nil"/>
              <w:left w:val="nil"/>
              <w:bottom w:val="single" w:sz="4" w:space="0" w:color="auto"/>
              <w:right w:val="single" w:sz="4" w:space="0" w:color="auto"/>
            </w:tcBorders>
            <w:shd w:val="clear" w:color="auto" w:fill="auto"/>
            <w:noWrap/>
            <w:vAlign w:val="bottom"/>
            <w:hideMark/>
          </w:tcPr>
          <w:p w14:paraId="04291373" w14:textId="7786DD91"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1 316</w:t>
            </w:r>
          </w:p>
        </w:tc>
        <w:tc>
          <w:tcPr>
            <w:tcW w:w="1080" w:type="dxa"/>
            <w:tcBorders>
              <w:top w:val="nil"/>
              <w:left w:val="nil"/>
              <w:bottom w:val="single" w:sz="4" w:space="0" w:color="auto"/>
              <w:right w:val="single" w:sz="4" w:space="0" w:color="auto"/>
            </w:tcBorders>
            <w:shd w:val="clear" w:color="auto" w:fill="auto"/>
            <w:noWrap/>
            <w:vAlign w:val="bottom"/>
            <w:hideMark/>
          </w:tcPr>
          <w:p w14:paraId="36DBD3A2" w14:textId="3BEAA0FD" w:rsidR="00386C1F" w:rsidRPr="00BA52C1" w:rsidRDefault="00386C1F" w:rsidP="00386C1F">
            <w:pPr>
              <w:pStyle w:val="CBDTableNormal"/>
              <w:spacing w:before="0" w:after="0"/>
              <w:jc w:val="right"/>
              <w:rPr>
                <w:sz w:val="18"/>
                <w:szCs w:val="18"/>
                <w:lang w:val="fr-FR" w:eastAsia="en-CA"/>
              </w:rPr>
            </w:pPr>
            <w:r w:rsidRPr="00BA52C1">
              <w:rPr>
                <w:sz w:val="18"/>
                <w:szCs w:val="18"/>
                <w:lang w:val="fr-FR" w:eastAsia="en-CA"/>
              </w:rPr>
              <w:t>2 548</w:t>
            </w:r>
          </w:p>
        </w:tc>
      </w:tr>
      <w:tr w:rsidR="00386C1F" w:rsidRPr="00BA52C1" w14:paraId="6ACB45D3" w14:textId="77777777" w:rsidTr="00A526B1">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44EE6505" w14:textId="332EDCA2" w:rsidR="00386C1F" w:rsidRPr="00BA52C1" w:rsidRDefault="00386C1F" w:rsidP="00386C1F">
            <w:pPr>
              <w:pStyle w:val="CBDTableNormal"/>
              <w:spacing w:before="0" w:after="0"/>
              <w:ind w:left="322"/>
              <w:rPr>
                <w:b/>
                <w:bCs/>
                <w:sz w:val="18"/>
                <w:szCs w:val="18"/>
                <w:lang w:val="fr-FR" w:eastAsia="en-CA"/>
              </w:rPr>
            </w:pPr>
            <w:r w:rsidRPr="00BA52C1">
              <w:rPr>
                <w:b/>
                <w:bCs/>
                <w:sz w:val="18"/>
                <w:szCs w:val="18"/>
                <w:lang w:val="fr-FR" w:eastAsia="en-CA"/>
              </w:rPr>
              <w:t>Total</w:t>
            </w:r>
          </w:p>
        </w:tc>
        <w:tc>
          <w:tcPr>
            <w:tcW w:w="1628" w:type="dxa"/>
            <w:tcBorders>
              <w:top w:val="nil"/>
              <w:left w:val="nil"/>
              <w:bottom w:val="single" w:sz="4" w:space="0" w:color="auto"/>
              <w:right w:val="single" w:sz="4" w:space="0" w:color="auto"/>
            </w:tcBorders>
            <w:shd w:val="clear" w:color="auto" w:fill="auto"/>
            <w:noWrap/>
            <w:vAlign w:val="bottom"/>
            <w:hideMark/>
          </w:tcPr>
          <w:p w14:paraId="08A65706" w14:textId="7A8DBC03" w:rsidR="00386C1F" w:rsidRPr="00BA52C1" w:rsidRDefault="00386C1F" w:rsidP="00386C1F">
            <w:pPr>
              <w:pStyle w:val="CBDTableNormal"/>
              <w:spacing w:before="0" w:after="0"/>
              <w:jc w:val="right"/>
              <w:rPr>
                <w:b/>
                <w:bCs/>
                <w:sz w:val="18"/>
                <w:szCs w:val="18"/>
                <w:lang w:val="fr-FR" w:eastAsia="en-CA"/>
              </w:rPr>
            </w:pPr>
            <w:r w:rsidRPr="00BA52C1">
              <w:rPr>
                <w:b/>
                <w:bCs/>
                <w:sz w:val="18"/>
                <w:szCs w:val="18"/>
                <w:lang w:val="fr-FR" w:eastAsia="en-CA"/>
              </w:rPr>
              <w:t>78</w:t>
            </w:r>
            <w:r>
              <w:rPr>
                <w:b/>
                <w:bCs/>
                <w:sz w:val="18"/>
                <w:szCs w:val="18"/>
                <w:lang w:val="fr-FR" w:eastAsia="en-CA"/>
              </w:rPr>
              <w:t>,</w:t>
            </w:r>
            <w:r w:rsidRPr="00BA52C1">
              <w:rPr>
                <w:b/>
                <w:bCs/>
                <w:sz w:val="18"/>
                <w:szCs w:val="18"/>
                <w:lang w:val="fr-FR" w:eastAsia="en-CA"/>
              </w:rPr>
              <w:t>013</w:t>
            </w:r>
          </w:p>
        </w:tc>
        <w:tc>
          <w:tcPr>
            <w:tcW w:w="2198" w:type="dxa"/>
            <w:tcBorders>
              <w:top w:val="nil"/>
              <w:left w:val="nil"/>
              <w:bottom w:val="single" w:sz="4" w:space="0" w:color="auto"/>
              <w:right w:val="single" w:sz="4" w:space="0" w:color="auto"/>
            </w:tcBorders>
            <w:shd w:val="clear" w:color="auto" w:fill="auto"/>
            <w:noWrap/>
            <w:vAlign w:val="bottom"/>
            <w:hideMark/>
          </w:tcPr>
          <w:p w14:paraId="70652B5D" w14:textId="77777777" w:rsidR="00386C1F" w:rsidRPr="00BA52C1" w:rsidRDefault="00386C1F" w:rsidP="00386C1F">
            <w:pPr>
              <w:pStyle w:val="CBDTableNormal"/>
              <w:spacing w:before="0" w:after="0"/>
              <w:jc w:val="right"/>
              <w:rPr>
                <w:b/>
                <w:bCs/>
                <w:sz w:val="18"/>
                <w:szCs w:val="18"/>
                <w:lang w:val="fr-FR" w:eastAsia="en-CA"/>
              </w:rPr>
            </w:pPr>
            <w:r w:rsidRPr="00BA52C1">
              <w:rPr>
                <w:b/>
                <w:bCs/>
                <w:sz w:val="18"/>
                <w:szCs w:val="18"/>
                <w:lang w:val="fr-FR" w:eastAsia="en-CA"/>
              </w:rPr>
              <w:t>100</w:t>
            </w:r>
          </w:p>
        </w:tc>
        <w:tc>
          <w:tcPr>
            <w:tcW w:w="1176" w:type="dxa"/>
            <w:tcBorders>
              <w:top w:val="nil"/>
              <w:left w:val="nil"/>
              <w:bottom w:val="single" w:sz="4" w:space="0" w:color="auto"/>
              <w:right w:val="single" w:sz="4" w:space="0" w:color="auto"/>
            </w:tcBorders>
            <w:shd w:val="clear" w:color="auto" w:fill="auto"/>
            <w:noWrap/>
            <w:vAlign w:val="bottom"/>
            <w:hideMark/>
          </w:tcPr>
          <w:p w14:paraId="743D72BD" w14:textId="6A7FF752" w:rsidR="00386C1F" w:rsidRPr="00BA52C1" w:rsidRDefault="00386C1F" w:rsidP="00386C1F">
            <w:pPr>
              <w:pStyle w:val="CBDTableNormal"/>
              <w:spacing w:before="0" w:after="0"/>
              <w:jc w:val="right"/>
              <w:rPr>
                <w:b/>
                <w:bCs/>
                <w:sz w:val="18"/>
                <w:szCs w:val="18"/>
                <w:lang w:val="fr-FR" w:eastAsia="en-CA"/>
              </w:rPr>
            </w:pPr>
            <w:r w:rsidRPr="00BA52C1">
              <w:rPr>
                <w:b/>
                <w:bCs/>
                <w:sz w:val="18"/>
                <w:szCs w:val="18"/>
                <w:lang w:val="fr-FR" w:eastAsia="en-CA"/>
              </w:rPr>
              <w:t>14 078 652</w:t>
            </w:r>
          </w:p>
        </w:tc>
        <w:tc>
          <w:tcPr>
            <w:tcW w:w="1461" w:type="dxa"/>
            <w:tcBorders>
              <w:top w:val="nil"/>
              <w:left w:val="nil"/>
              <w:bottom w:val="single" w:sz="4" w:space="0" w:color="auto"/>
              <w:right w:val="single" w:sz="4" w:space="0" w:color="auto"/>
            </w:tcBorders>
            <w:shd w:val="clear" w:color="auto" w:fill="auto"/>
            <w:noWrap/>
            <w:vAlign w:val="bottom"/>
            <w:hideMark/>
          </w:tcPr>
          <w:p w14:paraId="7467A27C" w14:textId="037B7FCB" w:rsidR="00386C1F" w:rsidRPr="00BA52C1" w:rsidRDefault="00386C1F" w:rsidP="00386C1F">
            <w:pPr>
              <w:pStyle w:val="CBDTableNormal"/>
              <w:spacing w:before="0" w:after="0"/>
              <w:jc w:val="right"/>
              <w:rPr>
                <w:b/>
                <w:bCs/>
                <w:sz w:val="18"/>
                <w:szCs w:val="18"/>
                <w:lang w:val="fr-FR" w:eastAsia="en-CA"/>
              </w:rPr>
            </w:pPr>
            <w:r w:rsidRPr="00BA52C1">
              <w:rPr>
                <w:b/>
                <w:bCs/>
                <w:sz w:val="18"/>
                <w:szCs w:val="18"/>
                <w:lang w:val="fr-FR" w:eastAsia="en-CA"/>
              </w:rPr>
              <w:t>15 041 954</w:t>
            </w:r>
          </w:p>
        </w:tc>
        <w:tc>
          <w:tcPr>
            <w:tcW w:w="1080" w:type="dxa"/>
            <w:tcBorders>
              <w:top w:val="nil"/>
              <w:left w:val="nil"/>
              <w:bottom w:val="single" w:sz="4" w:space="0" w:color="auto"/>
              <w:right w:val="single" w:sz="4" w:space="0" w:color="auto"/>
            </w:tcBorders>
            <w:shd w:val="clear" w:color="auto" w:fill="auto"/>
            <w:noWrap/>
            <w:vAlign w:val="bottom"/>
            <w:hideMark/>
          </w:tcPr>
          <w:p w14:paraId="46D1698E" w14:textId="1480BA71" w:rsidR="00386C1F" w:rsidRPr="00BA52C1" w:rsidRDefault="00386C1F" w:rsidP="00386C1F">
            <w:pPr>
              <w:pStyle w:val="CBDTableNormal"/>
              <w:spacing w:before="0" w:after="0"/>
              <w:jc w:val="right"/>
              <w:rPr>
                <w:b/>
                <w:bCs/>
                <w:sz w:val="18"/>
                <w:szCs w:val="18"/>
                <w:lang w:val="fr-FR" w:eastAsia="en-CA"/>
              </w:rPr>
            </w:pPr>
            <w:r w:rsidRPr="00BA52C1">
              <w:rPr>
                <w:b/>
                <w:bCs/>
                <w:sz w:val="18"/>
                <w:szCs w:val="18"/>
                <w:lang w:val="fr-FR" w:eastAsia="en-CA"/>
              </w:rPr>
              <w:t>29 120 606</w:t>
            </w:r>
          </w:p>
        </w:tc>
      </w:tr>
    </w:tbl>
    <w:p w14:paraId="258F3D57" w14:textId="48B0FE35" w:rsidR="00561B5A" w:rsidRPr="00BA52C1" w:rsidRDefault="00370BD2" w:rsidP="00582303">
      <w:pPr>
        <w:spacing w:before="120" w:after="120"/>
        <w:jc w:val="center"/>
        <w:rPr>
          <w:lang w:val="fr-FR" w:bidi="ar-SY"/>
        </w:rPr>
      </w:pPr>
      <w:r w:rsidRPr="00BA52C1">
        <w:rPr>
          <w:lang w:val="fr-FR" w:bidi="ar-SY"/>
        </w:rPr>
        <w:t>__________</w:t>
      </w:r>
    </w:p>
    <w:sectPr w:rsidR="00561B5A" w:rsidRPr="00BA52C1" w:rsidSect="00582303">
      <w:headerReference w:type="even" r:id="rId20"/>
      <w:headerReference w:type="default" r:id="rId21"/>
      <w:footerReference w:type="even" r:id="rId22"/>
      <w:footerReference w:type="default" r:id="rId23"/>
      <w:headerReference w:type="first" r:id="rId24"/>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9F934" w14:textId="77777777" w:rsidR="00DB55BE" w:rsidRPr="008460CB" w:rsidRDefault="00DB55BE" w:rsidP="00A96B21">
      <w:r w:rsidRPr="008460CB">
        <w:separator/>
      </w:r>
    </w:p>
  </w:endnote>
  <w:endnote w:type="continuationSeparator" w:id="0">
    <w:p w14:paraId="24A48836" w14:textId="77777777" w:rsidR="00DB55BE" w:rsidRPr="008460CB" w:rsidRDefault="00DB55BE" w:rsidP="00A96B21">
      <w:r w:rsidRPr="008460CB">
        <w:continuationSeparator/>
      </w:r>
    </w:p>
  </w:endnote>
  <w:endnote w:type="continuationNotice" w:id="1">
    <w:p w14:paraId="42647732" w14:textId="77777777" w:rsidR="00DB55BE" w:rsidRPr="008460CB" w:rsidRDefault="00DB55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plified Arabic">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672278"/>
      <w:docPartObj>
        <w:docPartGallery w:val="Page Numbers (Top of Page)"/>
        <w:docPartUnique/>
      </w:docPartObj>
    </w:sdtPr>
    <w:sdtContent>
      <w:p w14:paraId="46AEFA53" w14:textId="77777777" w:rsidR="00F245C9" w:rsidRDefault="00F245C9" w:rsidP="00F37452">
        <w:pPr>
          <w:pStyle w:val="Pieddepage"/>
          <w:jc w:val="left"/>
        </w:pPr>
        <w:r w:rsidRPr="002B559C">
          <w:rPr>
            <w:szCs w:val="20"/>
          </w:rPr>
          <w:fldChar w:fldCharType="begin"/>
        </w:r>
        <w:r w:rsidRPr="002B559C">
          <w:rPr>
            <w:szCs w:val="20"/>
          </w:rPr>
          <w:instrText xml:space="preserve"> PAGE </w:instrText>
        </w:r>
        <w:r w:rsidRPr="002B559C">
          <w:rPr>
            <w:szCs w:val="20"/>
          </w:rPr>
          <w:fldChar w:fldCharType="separate"/>
        </w:r>
        <w:r>
          <w:rPr>
            <w:szCs w:val="20"/>
          </w:rPr>
          <w:t>9</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Pr>
            <w:szCs w:val="20"/>
          </w:rPr>
          <w:t>20</w:t>
        </w:r>
        <w:r w:rsidRPr="002B559C">
          <w:rPr>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64919"/>
      <w:docPartObj>
        <w:docPartGallery w:val="Page Numbers (Top of Page)"/>
        <w:docPartUnique/>
      </w:docPartObj>
    </w:sdtPr>
    <w:sdtContent>
      <w:p w14:paraId="6743DB6B" w14:textId="77777777" w:rsidR="00F245C9" w:rsidRPr="00CF6FF7" w:rsidRDefault="00F245C9" w:rsidP="00F37452">
        <w:pPr>
          <w:pStyle w:val="Pieddepage"/>
          <w:jc w:val="right"/>
        </w:pPr>
        <w:r w:rsidRPr="002B559C">
          <w:rPr>
            <w:szCs w:val="20"/>
          </w:rPr>
          <w:fldChar w:fldCharType="begin"/>
        </w:r>
        <w:r w:rsidRPr="002B559C">
          <w:rPr>
            <w:szCs w:val="20"/>
          </w:rPr>
          <w:instrText xml:space="preserve"> PAGE </w:instrText>
        </w:r>
        <w:r w:rsidRPr="002B559C">
          <w:rPr>
            <w:szCs w:val="20"/>
          </w:rPr>
          <w:fldChar w:fldCharType="separate"/>
        </w:r>
        <w:r>
          <w:rPr>
            <w:szCs w:val="20"/>
          </w:rPr>
          <w:t>9</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Pr>
            <w:szCs w:val="20"/>
          </w:rPr>
          <w:t>20</w:t>
        </w:r>
        <w:r w:rsidRPr="002B559C">
          <w:rPr>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D92B7" w14:textId="77777777" w:rsidR="00DB55BE" w:rsidRPr="008460CB" w:rsidRDefault="00DB55BE" w:rsidP="00582303">
      <w:pPr>
        <w:pStyle w:val="CBDNormal"/>
      </w:pPr>
      <w:r>
        <w:separator/>
      </w:r>
    </w:p>
  </w:footnote>
  <w:footnote w:type="continuationSeparator" w:id="0">
    <w:p w14:paraId="784D87A7" w14:textId="77777777" w:rsidR="00DB55BE" w:rsidRPr="008460CB" w:rsidRDefault="00DB55BE" w:rsidP="00582303">
      <w:pPr>
        <w:pStyle w:val="CBDNormal"/>
      </w:pPr>
      <w:r w:rsidRPr="008460CB">
        <w:continuationSeparator/>
      </w:r>
    </w:p>
  </w:footnote>
  <w:footnote w:type="continuationNotice" w:id="1">
    <w:p w14:paraId="04029114" w14:textId="77777777" w:rsidR="00DB55BE" w:rsidRPr="008460CB" w:rsidRDefault="00DB55BE" w:rsidP="00582303">
      <w:pPr>
        <w:pStyle w:val="CBDNormal"/>
      </w:pPr>
    </w:p>
  </w:footnote>
  <w:footnote w:id="2">
    <w:p w14:paraId="3B475C01" w14:textId="77777777" w:rsidR="00DF1690" w:rsidRPr="00DF1690" w:rsidRDefault="00DF1690" w:rsidP="00DF1690">
      <w:pPr>
        <w:pStyle w:val="CBDFootnoteText"/>
        <w:rPr>
          <w:lang w:val="fr-FR"/>
        </w:rPr>
      </w:pPr>
      <w:r w:rsidRPr="00DF1690">
        <w:rPr>
          <w:rStyle w:val="Appelnotedebasdep"/>
          <w:szCs w:val="18"/>
          <w:lang w:val="fr-FR"/>
        </w:rPr>
        <w:footnoteRef/>
      </w:r>
      <w:r w:rsidRPr="00DF1690">
        <w:rPr>
          <w:lang w:val="fr-FR"/>
        </w:rPr>
        <w:t xml:space="preserve"> Nations Unies, </w:t>
      </w:r>
      <w:r w:rsidRPr="00DF1690">
        <w:rPr>
          <w:i/>
          <w:iCs/>
          <w:lang w:val="fr-FR"/>
        </w:rPr>
        <w:t>Recueil des Traités</w:t>
      </w:r>
      <w:r w:rsidRPr="00DF1690">
        <w:rPr>
          <w:lang w:val="fr-FR"/>
        </w:rPr>
        <w:t>, vol. 1760, n</w:t>
      </w:r>
      <w:r w:rsidRPr="00DF1690">
        <w:rPr>
          <w:vertAlign w:val="superscript"/>
          <w:lang w:val="fr-FR"/>
        </w:rPr>
        <w:t>o</w:t>
      </w:r>
      <w:r w:rsidRPr="00DF1690">
        <w:rPr>
          <w:lang w:val="fr-FR"/>
        </w:rPr>
        <w:t> 30619.</w:t>
      </w:r>
    </w:p>
  </w:footnote>
  <w:footnote w:id="3">
    <w:p w14:paraId="3BA162B0" w14:textId="77777777" w:rsidR="00DF1690" w:rsidRPr="00DF1690" w:rsidRDefault="00DF1690" w:rsidP="00DF1690">
      <w:pPr>
        <w:pStyle w:val="Notedebasdepage"/>
        <w:rPr>
          <w:lang w:val="fr-FR"/>
        </w:rPr>
      </w:pPr>
      <w:r w:rsidRPr="00DF1690">
        <w:rPr>
          <w:rStyle w:val="Appelnotedebasdep"/>
          <w:lang w:val="fr-FR"/>
        </w:rPr>
        <w:footnoteRef/>
      </w:r>
      <w:r w:rsidRPr="00DF1690">
        <w:rPr>
          <w:lang w:val="fr-FR"/>
        </w:rPr>
        <w:t xml:space="preserve"> Décision 15/4, annexe.</w:t>
      </w:r>
    </w:p>
  </w:footnote>
  <w:footnote w:id="4">
    <w:p w14:paraId="3953C8FD" w14:textId="3FFDB625" w:rsidR="00DF1690" w:rsidRPr="00DF1690" w:rsidRDefault="00DF1690" w:rsidP="00DF1690">
      <w:pPr>
        <w:pStyle w:val="Notedebasdepage"/>
        <w:rPr>
          <w:lang w:val="fr-FR"/>
        </w:rPr>
      </w:pPr>
      <w:r w:rsidRPr="00DF1690">
        <w:rPr>
          <w:rStyle w:val="Appelnotedebasdep"/>
          <w:lang w:val="fr-FR"/>
        </w:rPr>
        <w:footnoteRef/>
      </w:r>
      <w:r w:rsidRPr="00DF1690">
        <w:rPr>
          <w:lang w:val="fr-FR"/>
        </w:rPr>
        <w:t xml:space="preserve"> </w:t>
      </w:r>
      <w:hyperlink r:id="rId1" w:history="1">
        <w:r w:rsidRPr="002A7585">
          <w:rPr>
            <w:rStyle w:val="Lienhypertexte"/>
            <w:lang w:val="fr-FR"/>
          </w:rPr>
          <w:t>CBD/COP/16/2/Rev.1</w:t>
        </w:r>
      </w:hyperlink>
      <w:r w:rsidRPr="00DF1690">
        <w:rPr>
          <w:lang w:val="fr-FR"/>
        </w:rPr>
        <w:t xml:space="preserve">, </w:t>
      </w:r>
      <w:hyperlink r:id="rId2" w:history="1">
        <w:r w:rsidRPr="002A7585">
          <w:rPr>
            <w:rStyle w:val="Lienhypertexte"/>
            <w:lang w:val="fr-FR"/>
          </w:rPr>
          <w:t>CBD/COP/16/2/Rev.1/Add.1</w:t>
        </w:r>
      </w:hyperlink>
      <w:r w:rsidRPr="00DF1690">
        <w:rPr>
          <w:lang w:val="fr-FR"/>
        </w:rPr>
        <w:t xml:space="preserve">, </w:t>
      </w:r>
      <w:hyperlink r:id="rId3" w:history="1">
        <w:r w:rsidRPr="002A7585">
          <w:rPr>
            <w:rStyle w:val="Lienhypertexte"/>
            <w:lang w:val="fr-FR"/>
          </w:rPr>
          <w:t>CBD/COP/16/4</w:t>
        </w:r>
      </w:hyperlink>
      <w:r w:rsidRPr="00DF1690">
        <w:rPr>
          <w:lang w:val="fr-FR"/>
        </w:rPr>
        <w:t xml:space="preserve">, </w:t>
      </w:r>
      <w:hyperlink r:id="rId4" w:history="1">
        <w:r w:rsidRPr="002A7585">
          <w:rPr>
            <w:rStyle w:val="Lienhypertexte"/>
            <w:lang w:val="fr-FR"/>
          </w:rPr>
          <w:t>CBD/COP/16/4/Add.1</w:t>
        </w:r>
      </w:hyperlink>
      <w:r w:rsidRPr="00DF1690">
        <w:rPr>
          <w:lang w:val="fr-FR"/>
        </w:rPr>
        <w:t xml:space="preserve"> et </w:t>
      </w:r>
      <w:hyperlink r:id="rId5" w:history="1">
        <w:r w:rsidRPr="002A7585">
          <w:rPr>
            <w:rStyle w:val="Lienhypertexte"/>
            <w:lang w:val="fr-FR"/>
          </w:rPr>
          <w:t>CBD/COP/16/</w:t>
        </w:r>
        <w:r w:rsidR="006A061F" w:rsidRPr="002A7585">
          <w:rPr>
            <w:rStyle w:val="Lienhypertexte"/>
            <w:lang w:val="fr-FR"/>
          </w:rPr>
          <w:t>4/</w:t>
        </w:r>
        <w:r w:rsidRPr="002A7585">
          <w:rPr>
            <w:rStyle w:val="Lienhypertexte"/>
            <w:lang w:val="fr-FR"/>
          </w:rPr>
          <w:t>Add.2</w:t>
        </w:r>
      </w:hyperlink>
      <w:r w:rsidRPr="00DF1690">
        <w:rPr>
          <w:lang w:val="fr-FR"/>
        </w:rPr>
        <w:t>.</w:t>
      </w:r>
    </w:p>
  </w:footnote>
  <w:footnote w:id="5">
    <w:p w14:paraId="5E525D96" w14:textId="77777777" w:rsidR="00DF1690" w:rsidRPr="00DF1690" w:rsidRDefault="00DF1690" w:rsidP="00DF1690">
      <w:pPr>
        <w:pStyle w:val="CBDFootnoteText"/>
        <w:rPr>
          <w:lang w:val="fr-FR"/>
        </w:rPr>
      </w:pPr>
      <w:r w:rsidRPr="00DF1690">
        <w:rPr>
          <w:rStyle w:val="Appelnotedebasdep"/>
          <w:szCs w:val="18"/>
          <w:lang w:val="fr-FR"/>
        </w:rPr>
        <w:footnoteRef/>
      </w:r>
      <w:r w:rsidRPr="00DF1690">
        <w:rPr>
          <w:lang w:val="fr-FR"/>
        </w:rPr>
        <w:t xml:space="preserve"> Nations Unies, </w:t>
      </w:r>
      <w:r w:rsidRPr="00DF1690">
        <w:rPr>
          <w:i/>
          <w:iCs/>
          <w:lang w:val="fr-FR"/>
        </w:rPr>
        <w:t>Recueil des Traités</w:t>
      </w:r>
      <w:r w:rsidRPr="00DF1690">
        <w:rPr>
          <w:lang w:val="fr-FR"/>
        </w:rPr>
        <w:t>, vol. 2226, n</w:t>
      </w:r>
      <w:r w:rsidRPr="00DF1690">
        <w:rPr>
          <w:vertAlign w:val="superscript"/>
          <w:lang w:val="fr-FR"/>
        </w:rPr>
        <w:t>o</w:t>
      </w:r>
      <w:r w:rsidRPr="00DF1690">
        <w:rPr>
          <w:lang w:val="fr-FR"/>
        </w:rPr>
        <w:t> 30619.</w:t>
      </w:r>
    </w:p>
  </w:footnote>
  <w:footnote w:id="6">
    <w:p w14:paraId="18DD2EDE" w14:textId="26DBDF5D" w:rsidR="00DF1690" w:rsidRPr="00DF1690" w:rsidRDefault="00DF1690" w:rsidP="00DF1690">
      <w:pPr>
        <w:pStyle w:val="CBDFootnoteText"/>
        <w:rPr>
          <w:lang w:val="fr-FR"/>
        </w:rPr>
      </w:pPr>
      <w:r w:rsidRPr="00DF1690">
        <w:rPr>
          <w:rStyle w:val="Appelnotedebasdep"/>
          <w:szCs w:val="18"/>
          <w:lang w:val="fr-FR"/>
        </w:rPr>
        <w:footnoteRef/>
      </w:r>
      <w:r w:rsidRPr="00DF1690">
        <w:rPr>
          <w:lang w:val="fr-FR"/>
        </w:rPr>
        <w:t xml:space="preserve"> </w:t>
      </w:r>
      <w:r w:rsidR="006A061F">
        <w:rPr>
          <w:lang w:val="fr-FR"/>
        </w:rPr>
        <w:t>Ibid.</w:t>
      </w:r>
      <w:r w:rsidRPr="00DF1690">
        <w:rPr>
          <w:lang w:val="fr-FR"/>
        </w:rPr>
        <w:t>, vol. 3008, n</w:t>
      </w:r>
      <w:r w:rsidRPr="00DF1690">
        <w:rPr>
          <w:vertAlign w:val="superscript"/>
          <w:lang w:val="fr-FR"/>
        </w:rPr>
        <w:t>o</w:t>
      </w:r>
      <w:r w:rsidRPr="00DF1690">
        <w:rPr>
          <w:lang w:val="fr-FR"/>
        </w:rPr>
        <w:t> 30619.</w:t>
      </w:r>
    </w:p>
  </w:footnote>
  <w:footnote w:id="7">
    <w:p w14:paraId="785BB949" w14:textId="77777777" w:rsidR="00DF1690" w:rsidRPr="00DF1690" w:rsidRDefault="00DF1690" w:rsidP="00DF1690">
      <w:pPr>
        <w:pStyle w:val="CBDFootnoteText"/>
        <w:rPr>
          <w:lang w:val="fr-FR"/>
        </w:rPr>
      </w:pPr>
      <w:r w:rsidRPr="00DF1690">
        <w:rPr>
          <w:rStyle w:val="Appelnotedebasdep"/>
          <w:rFonts w:asciiTheme="majorBidi" w:hAnsiTheme="majorBidi" w:cstheme="majorBidi"/>
          <w:szCs w:val="18"/>
          <w:lang w:val="fr-FR"/>
        </w:rPr>
        <w:footnoteRef/>
      </w:r>
      <w:r w:rsidRPr="00DF1690">
        <w:rPr>
          <w:lang w:val="fr-FR"/>
        </w:rPr>
        <w:t xml:space="preserve"> Comme présenté dans la résolution 76/238 de l’Assemblée générale. Une fois adopté par l’Assemblée générale, le barème de contributions actualisé pour l’exercice triennal 2025-2027 sera appliqué pour calculer les contributions mises en recouvrement pour 2025-2026.</w:t>
      </w:r>
    </w:p>
  </w:footnote>
  <w:footnote w:id="8">
    <w:p w14:paraId="71E02006" w14:textId="598AE4DF" w:rsidR="00DF1690" w:rsidRPr="008460CB" w:rsidRDefault="00DF1690" w:rsidP="00DF1690">
      <w:pPr>
        <w:pStyle w:val="CBDFootnoteText"/>
      </w:pPr>
      <w:r w:rsidRPr="00DF1690">
        <w:rPr>
          <w:rStyle w:val="Appelnotedebasdep"/>
          <w:lang w:val="fr-FR"/>
        </w:rPr>
        <w:footnoteRef/>
      </w:r>
      <w:r w:rsidRPr="00DF1690">
        <w:rPr>
          <w:lang w:val="fr-FR"/>
        </w:rPr>
        <w:t xml:space="preserve"> En vertu de l’article </w:t>
      </w:r>
      <w:hyperlink r:id="rId6" w:history="1">
        <w:r w:rsidRPr="002A7585">
          <w:rPr>
            <w:rStyle w:val="Lienhypertexte"/>
            <w:lang w:val="fr-FR"/>
          </w:rPr>
          <w:t>24</w:t>
        </w:r>
      </w:hyperlink>
      <w:r w:rsidRPr="00DF1690">
        <w:rPr>
          <w:lang w:val="fr-FR"/>
        </w:rPr>
        <w:t xml:space="preserve"> de la Convention.</w:t>
      </w:r>
    </w:p>
  </w:footnote>
  <w:footnote w:id="9">
    <w:p w14:paraId="3E3985C8" w14:textId="77777777" w:rsidR="00DF1690" w:rsidRPr="00DF1690" w:rsidRDefault="00DF1690" w:rsidP="00DF1690">
      <w:pPr>
        <w:pStyle w:val="Notedebasdepage"/>
        <w:rPr>
          <w:lang w:val="fr-FR"/>
        </w:rPr>
      </w:pPr>
      <w:r w:rsidRPr="00DF1690">
        <w:rPr>
          <w:rStyle w:val="Appelnotedebasdep"/>
          <w:lang w:val="fr-FR"/>
        </w:rPr>
        <w:footnoteRef/>
      </w:r>
      <w:r w:rsidRPr="00DF1690">
        <w:rPr>
          <w:lang w:val="fr-FR"/>
        </w:rPr>
        <w:t xml:space="preserve"> ST/SGB/2013/4 et ST/SGB/2013/4/Amend.1.</w:t>
      </w:r>
    </w:p>
  </w:footnote>
  <w:footnote w:id="10">
    <w:p w14:paraId="3FCE3062" w14:textId="77777777" w:rsidR="00DF1690" w:rsidRPr="008460CB" w:rsidRDefault="00DF1690" w:rsidP="00DF1690">
      <w:pPr>
        <w:pStyle w:val="CBDFootnoteText"/>
      </w:pPr>
      <w:r w:rsidRPr="00DF1690">
        <w:rPr>
          <w:rStyle w:val="Appelnotedebasdep"/>
          <w:szCs w:val="18"/>
          <w:lang w:val="fr-FR"/>
        </w:rPr>
        <w:footnoteRef/>
      </w:r>
      <w:r w:rsidRPr="00DF1690">
        <w:rPr>
          <w:lang w:val="fr-FR"/>
        </w:rPr>
        <w:t xml:space="preserve"> Voir la résolution 60/283 de l’Assemblée générale, partie IV.</w:t>
      </w:r>
    </w:p>
  </w:footnote>
  <w:footnote w:id="11">
    <w:p w14:paraId="6422FA90" w14:textId="32C6AAC3" w:rsidR="00DF1690" w:rsidRPr="00DF1690" w:rsidRDefault="00DF1690" w:rsidP="00DF1690">
      <w:pPr>
        <w:pStyle w:val="CBDFootnoteText"/>
        <w:rPr>
          <w:lang w:val="fr-FR"/>
        </w:rPr>
      </w:pPr>
      <w:r w:rsidRPr="00DF1690">
        <w:rPr>
          <w:rStyle w:val="Appelnotedebasdep"/>
          <w:szCs w:val="18"/>
          <w:lang w:val="fr-FR"/>
        </w:rPr>
        <w:footnoteRef/>
      </w:r>
      <w:r w:rsidRPr="00DF1690">
        <w:rPr>
          <w:lang w:val="fr-FR"/>
        </w:rPr>
        <w:t xml:space="preserve"> Annexe à la décision </w:t>
      </w:r>
      <w:hyperlink r:id="rId7" w:history="1">
        <w:r w:rsidRPr="002A7585">
          <w:rPr>
            <w:rStyle w:val="Lienhypertexte"/>
            <w:lang w:val="fr-FR"/>
          </w:rPr>
          <w:t>I/1</w:t>
        </w:r>
      </w:hyperlink>
      <w:r w:rsidRPr="00DF1690">
        <w:rPr>
          <w:lang w:val="fr-FR"/>
        </w:rPr>
        <w:t>, comme amendée dans la décision </w:t>
      </w:r>
      <w:hyperlink r:id="rId8" w:history="1">
        <w:r w:rsidRPr="002A7585">
          <w:rPr>
            <w:rStyle w:val="Lienhypertexte"/>
            <w:lang w:val="fr-FR"/>
          </w:rPr>
          <w:t>V/20</w:t>
        </w:r>
      </w:hyperlink>
      <w:r w:rsidRPr="00DF1690">
        <w:rPr>
          <w:lang w:val="fr-FR"/>
        </w:rPr>
        <w:t>.</w:t>
      </w:r>
    </w:p>
  </w:footnote>
  <w:footnote w:id="12">
    <w:p w14:paraId="675EE34A" w14:textId="42D6CB87" w:rsidR="00F245C9" w:rsidRPr="008460CB" w:rsidRDefault="00F245C9" w:rsidP="00582303">
      <w:pPr>
        <w:pStyle w:val="CBDFootnoteText"/>
      </w:pPr>
      <w:r w:rsidRPr="005031AA">
        <w:rPr>
          <w:rStyle w:val="Appelnotedebasdep"/>
        </w:rPr>
        <w:footnoteRef/>
      </w:r>
      <w:r w:rsidRPr="008460CB">
        <w:t xml:space="preserve"> </w:t>
      </w:r>
      <w:hyperlink r:id="rId9" w:history="1">
        <w:r w:rsidRPr="002A7585">
          <w:rPr>
            <w:rStyle w:val="Lienhypertexte"/>
          </w:rPr>
          <w:t>CBD/COP/16/3</w:t>
        </w:r>
      </w:hyperlink>
      <w:r w:rsidRPr="008460C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D3C7" w14:textId="2EE46257" w:rsidR="00F245C9" w:rsidRPr="006A2555" w:rsidRDefault="00F245C9" w:rsidP="00582303">
    <w:pPr>
      <w:pStyle w:val="CBDHeader"/>
      <w:rPr>
        <w:lang w:val="fr-FR"/>
      </w:rPr>
    </w:pPr>
    <w:r w:rsidRPr="006A2555">
      <w:rPr>
        <w:lang w:val="fr-FR"/>
      </w:rPr>
      <w:t>CBD/COP/</w:t>
    </w:r>
    <w:r w:rsidR="00952D20">
      <w:rPr>
        <w:lang w:val="fr-FR"/>
      </w:rPr>
      <w:t>DEC/</w:t>
    </w:r>
    <w:r w:rsidRPr="006A2555">
      <w:rPr>
        <w:lang w:val="fr-FR"/>
      </w:rPr>
      <w:t>16/</w:t>
    </w:r>
    <w:r w:rsidR="00952D20">
      <w:rPr>
        <w:lang w:val="fr-FR"/>
      </w:rPr>
      <w:t>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C1A9" w14:textId="4C58225E" w:rsidR="00F245C9" w:rsidRPr="00A2288B" w:rsidRDefault="00F245C9" w:rsidP="00582303">
    <w:pPr>
      <w:pStyle w:val="CBDHeader"/>
      <w:spacing w:after="240"/>
      <w:jc w:val="right"/>
      <w:rPr>
        <w:lang w:val="fr-FR"/>
      </w:rPr>
    </w:pPr>
    <w:r w:rsidRPr="00A2288B">
      <w:rPr>
        <w:lang w:val="fr-FR"/>
      </w:rPr>
      <w:t>CBD/COP/</w:t>
    </w:r>
    <w:r w:rsidR="00952D20">
      <w:rPr>
        <w:lang w:val="fr-FR"/>
      </w:rPr>
      <w:t>DEC</w:t>
    </w:r>
    <w:r w:rsidRPr="00A2288B">
      <w:rPr>
        <w:lang w:val="fr-FR"/>
      </w:rPr>
      <w:t>16/</w:t>
    </w:r>
    <w:r w:rsidR="00952D20">
      <w:rPr>
        <w:lang w:val="fr-FR"/>
      </w:rPr>
      <w:t>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581C5" w14:textId="77777777" w:rsidR="00F245C9" w:rsidRDefault="00F245C9" w:rsidP="00582303">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9C26F8"/>
    <w:multiLevelType w:val="multilevel"/>
    <w:tmpl w:val="222A08B4"/>
    <w:numStyleLink w:val="ListCBD"/>
  </w:abstractNum>
  <w:abstractNum w:abstractNumId="14"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052504EF"/>
    <w:multiLevelType w:val="hybridMultilevel"/>
    <w:tmpl w:val="63867624"/>
    <w:lvl w:ilvl="0" w:tplc="A1EED66C">
      <w:start w:val="1"/>
      <w:numFmt w:val="decimal"/>
      <w:lvlText w:val="%1."/>
      <w:lvlJc w:val="left"/>
      <w:pPr>
        <w:ind w:left="720" w:hanging="360"/>
      </w:pPr>
      <w:rPr>
        <w:rFonts w:ascii="Times New Roman" w:hAnsi="Times New Roman"/>
        <w:b w:val="0"/>
        <w:bCs w:val="0"/>
        <w:i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FA0170D"/>
    <w:multiLevelType w:val="multilevel"/>
    <w:tmpl w:val="222A08B4"/>
    <w:numStyleLink w:val="ListCBD"/>
  </w:abstractNum>
  <w:abstractNum w:abstractNumId="17"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19"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0"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034415"/>
    <w:multiLevelType w:val="hybridMultilevel"/>
    <w:tmpl w:val="13DC4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23"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4"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5" w15:restartNumberingAfterBreak="0">
    <w:nsid w:val="23A52337"/>
    <w:multiLevelType w:val="hybridMultilevel"/>
    <w:tmpl w:val="3C1C6816"/>
    <w:lvl w:ilvl="0" w:tplc="4F307454">
      <w:start w:val="4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5356EC"/>
    <w:multiLevelType w:val="multilevel"/>
    <w:tmpl w:val="07D269C8"/>
    <w:numStyleLink w:val="CBDHeadings"/>
  </w:abstractNum>
  <w:abstractNum w:abstractNumId="28"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98E2FF3"/>
    <w:multiLevelType w:val="multilevel"/>
    <w:tmpl w:val="222A08B4"/>
    <w:numStyleLink w:val="ListCBD"/>
  </w:abstractNum>
  <w:abstractNum w:abstractNumId="31" w15:restartNumberingAfterBreak="0">
    <w:nsid w:val="3A7A122E"/>
    <w:multiLevelType w:val="hybridMultilevel"/>
    <w:tmpl w:val="7A0A2D52"/>
    <w:lvl w:ilvl="0" w:tplc="0400CA88">
      <w:start w:val="3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99D5F66"/>
    <w:multiLevelType w:val="multilevel"/>
    <w:tmpl w:val="222A08B4"/>
    <w:styleLink w:val="ListCBD"/>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5"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E880595"/>
    <w:multiLevelType w:val="multilevel"/>
    <w:tmpl w:val="222A08B4"/>
    <w:numStyleLink w:val="ListCBD"/>
  </w:abstractNum>
  <w:abstractNum w:abstractNumId="37" w15:restartNumberingAfterBreak="0">
    <w:nsid w:val="52A66A9D"/>
    <w:multiLevelType w:val="multilevel"/>
    <w:tmpl w:val="222A08B4"/>
    <w:numStyleLink w:val="ListCBD"/>
  </w:abstractNum>
  <w:abstractNum w:abstractNumId="38"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D943BEE"/>
    <w:multiLevelType w:val="multilevel"/>
    <w:tmpl w:val="222A08B4"/>
    <w:numStyleLink w:val="ListCBD"/>
  </w:abstractNum>
  <w:abstractNum w:abstractNumId="42"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43" w15:restartNumberingAfterBreak="0">
    <w:nsid w:val="68B70991"/>
    <w:multiLevelType w:val="multilevel"/>
    <w:tmpl w:val="222A08B4"/>
    <w:numStyleLink w:val="ListCBD"/>
  </w:abstractNum>
  <w:abstractNum w:abstractNumId="44"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EE23244"/>
    <w:multiLevelType w:val="multilevel"/>
    <w:tmpl w:val="28D000E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620"/>
        </w:tabs>
        <w:ind w:left="900" w:firstLine="720"/>
      </w:pPr>
      <w:rPr>
        <w:b w:val="0"/>
        <w:i w:val="0"/>
      </w:rPr>
    </w:lvl>
    <w:lvl w:ilvl="2">
      <w:start w:val="1"/>
      <w:numFmt w:val="lowerRoman"/>
      <w:pStyle w:val="Para3"/>
      <w:lvlText w:val="(%3)"/>
      <w:lvlJc w:val="right"/>
      <w:pPr>
        <w:tabs>
          <w:tab w:val="num" w:pos="2591"/>
        </w:tabs>
        <w:ind w:left="2951" w:hanging="431"/>
      </w:pPr>
    </w:lvl>
    <w:lvl w:ilvl="3">
      <w:start w:val="1"/>
      <w:numFmt w:val="bullet"/>
      <w:lvlText w:val=""/>
      <w:lvlJc w:val="left"/>
      <w:pPr>
        <w:tabs>
          <w:tab w:val="num" w:pos="2880"/>
        </w:tabs>
        <w:ind w:left="3240" w:hanging="720"/>
      </w:pPr>
      <w:rPr>
        <w:rFonts w:ascii="Symbol" w:hAnsi="Symbol" w:hint="default"/>
        <w:color w:val="auto"/>
        <w:sz w:val="28"/>
      </w:rPr>
    </w:lvl>
    <w:lvl w:ilvl="4">
      <w:start w:val="1"/>
      <w:numFmt w:val="lowerLetter"/>
      <w:lvlText w:val="(%5)"/>
      <w:lvlJc w:val="left"/>
      <w:pPr>
        <w:tabs>
          <w:tab w:val="num" w:pos="2520"/>
        </w:tabs>
        <w:ind w:left="2880" w:hanging="360"/>
      </w:pPr>
    </w:lvl>
    <w:lvl w:ilvl="5">
      <w:start w:val="1"/>
      <w:numFmt w:val="lowerRoman"/>
      <w:lvlText w:val="(%6)"/>
      <w:lvlJc w:val="left"/>
      <w:pPr>
        <w:tabs>
          <w:tab w:val="num" w:pos="2880"/>
        </w:tabs>
        <w:ind w:left="3240" w:hanging="360"/>
      </w:pPr>
    </w:lvl>
    <w:lvl w:ilvl="6">
      <w:start w:val="1"/>
      <w:numFmt w:val="decimal"/>
      <w:lvlText w:val="%7."/>
      <w:lvlJc w:val="left"/>
      <w:pPr>
        <w:tabs>
          <w:tab w:val="num" w:pos="3240"/>
        </w:tabs>
        <w:ind w:left="3600" w:hanging="360"/>
      </w:pPr>
    </w:lvl>
    <w:lvl w:ilvl="7">
      <w:start w:val="1"/>
      <w:numFmt w:val="lowerLetter"/>
      <w:lvlText w:val="%8."/>
      <w:lvlJc w:val="left"/>
      <w:pPr>
        <w:tabs>
          <w:tab w:val="num" w:pos="3600"/>
        </w:tabs>
        <w:ind w:left="3960" w:hanging="360"/>
      </w:pPr>
    </w:lvl>
    <w:lvl w:ilvl="8">
      <w:start w:val="1"/>
      <w:numFmt w:val="lowerRoman"/>
      <w:lvlText w:val="%9."/>
      <w:lvlJc w:val="left"/>
      <w:pPr>
        <w:tabs>
          <w:tab w:val="num" w:pos="3960"/>
        </w:tabs>
        <w:ind w:left="4320" w:hanging="360"/>
      </w:pPr>
    </w:lvl>
  </w:abstractNum>
  <w:abstractNum w:abstractNumId="47"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48" w15:restartNumberingAfterBreak="0">
    <w:nsid w:val="727F33ED"/>
    <w:multiLevelType w:val="hybridMultilevel"/>
    <w:tmpl w:val="1BB8C646"/>
    <w:lvl w:ilvl="0" w:tplc="476A00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0"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09723942">
    <w:abstractNumId w:val="43"/>
  </w:num>
  <w:num w:numId="2" w16cid:durableId="1168059303">
    <w:abstractNumId w:val="42"/>
  </w:num>
  <w:num w:numId="3" w16cid:durableId="1239824100">
    <w:abstractNumId w:val="50"/>
  </w:num>
  <w:num w:numId="4" w16cid:durableId="1506630601">
    <w:abstractNumId w:val="46"/>
  </w:num>
  <w:num w:numId="5" w16cid:durableId="1029137351">
    <w:abstractNumId w:val="34"/>
  </w:num>
  <w:num w:numId="6" w16cid:durableId="1171064379">
    <w:abstractNumId w:val="44"/>
  </w:num>
  <w:num w:numId="7" w16cid:durableId="125052358">
    <w:abstractNumId w:val="44"/>
  </w:num>
  <w:num w:numId="8" w16cid:durableId="2066686021">
    <w:abstractNumId w:val="47"/>
  </w:num>
  <w:num w:numId="9" w16cid:durableId="778524189">
    <w:abstractNumId w:val="35"/>
  </w:num>
  <w:num w:numId="10" w16cid:durableId="1263338835">
    <w:abstractNumId w:val="45"/>
  </w:num>
  <w:num w:numId="11" w16cid:durableId="2052263633">
    <w:abstractNumId w:val="22"/>
  </w:num>
  <w:num w:numId="12" w16cid:durableId="1135028757">
    <w:abstractNumId w:val="48"/>
  </w:num>
  <w:num w:numId="13" w16cid:durableId="981664526">
    <w:abstractNumId w:val="21"/>
  </w:num>
  <w:num w:numId="14" w16cid:durableId="666790301">
    <w:abstractNumId w:val="15"/>
  </w:num>
  <w:num w:numId="15" w16cid:durableId="1116632075">
    <w:abstractNumId w:val="14"/>
  </w:num>
  <w:num w:numId="16" w16cid:durableId="147016920">
    <w:abstractNumId w:val="29"/>
  </w:num>
  <w:num w:numId="17" w16cid:durableId="1378237720">
    <w:abstractNumId w:val="11"/>
  </w:num>
  <w:num w:numId="18" w16cid:durableId="89858747">
    <w:abstractNumId w:val="19"/>
  </w:num>
  <w:num w:numId="19" w16cid:durableId="1800027245">
    <w:abstractNumId w:val="9"/>
  </w:num>
  <w:num w:numId="20" w16cid:durableId="31197380">
    <w:abstractNumId w:val="7"/>
  </w:num>
  <w:num w:numId="21" w16cid:durableId="2079283681">
    <w:abstractNumId w:val="6"/>
  </w:num>
  <w:num w:numId="22" w16cid:durableId="618683107">
    <w:abstractNumId w:val="5"/>
  </w:num>
  <w:num w:numId="23" w16cid:durableId="87584342">
    <w:abstractNumId w:val="4"/>
  </w:num>
  <w:num w:numId="24" w16cid:durableId="1690912229">
    <w:abstractNumId w:val="8"/>
  </w:num>
  <w:num w:numId="25" w16cid:durableId="923950302">
    <w:abstractNumId w:val="3"/>
  </w:num>
  <w:num w:numId="26" w16cid:durableId="437021085">
    <w:abstractNumId w:val="2"/>
  </w:num>
  <w:num w:numId="27" w16cid:durableId="1886602389">
    <w:abstractNumId w:val="1"/>
  </w:num>
  <w:num w:numId="28" w16cid:durableId="2119331249">
    <w:abstractNumId w:val="0"/>
  </w:num>
  <w:num w:numId="29" w16cid:durableId="2047871833">
    <w:abstractNumId w:val="49"/>
  </w:num>
  <w:num w:numId="30" w16cid:durableId="4133760">
    <w:abstractNumId w:val="23"/>
  </w:num>
  <w:num w:numId="31" w16cid:durableId="1881362379">
    <w:abstractNumId w:val="24"/>
  </w:num>
  <w:num w:numId="32" w16cid:durableId="530263543">
    <w:abstractNumId w:val="43"/>
    <w:lvlOverride w:ilvl="0">
      <w:startOverride w:val="1"/>
    </w:lvlOverride>
  </w:num>
  <w:num w:numId="33" w16cid:durableId="1408066389">
    <w:abstractNumId w:val="37"/>
  </w:num>
  <w:num w:numId="34" w16cid:durableId="392972180">
    <w:abstractNumId w:val="33"/>
  </w:num>
  <w:num w:numId="35" w16cid:durableId="1567496065">
    <w:abstractNumId w:val="40"/>
  </w:num>
  <w:num w:numId="36" w16cid:durableId="107897263">
    <w:abstractNumId w:val="39"/>
  </w:num>
  <w:num w:numId="37" w16cid:durableId="146959209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74840138">
    <w:abstractNumId w:val="16"/>
  </w:num>
  <w:num w:numId="39" w16cid:durableId="1957636110">
    <w:abstractNumId w:val="36"/>
  </w:num>
  <w:num w:numId="40" w16cid:durableId="2000227803">
    <w:abstractNumId w:val="30"/>
  </w:num>
  <w:num w:numId="41" w16cid:durableId="1118062468">
    <w:abstractNumId w:val="18"/>
  </w:num>
  <w:num w:numId="42" w16cid:durableId="15252866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87746145">
    <w:abstractNumId w:val="20"/>
  </w:num>
  <w:num w:numId="44" w16cid:durableId="1260798662">
    <w:abstractNumId w:val="10"/>
  </w:num>
  <w:num w:numId="45" w16cid:durableId="1166077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993867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41638281">
    <w:abstractNumId w:val="12"/>
  </w:num>
  <w:num w:numId="48" w16cid:durableId="174423150">
    <w:abstractNumId w:val="26"/>
  </w:num>
  <w:num w:numId="49" w16cid:durableId="1914974028">
    <w:abstractNumId w:val="26"/>
    <w:lvlOverride w:ilvl="0">
      <w:startOverride w:val="1"/>
    </w:lvlOverride>
  </w:num>
  <w:num w:numId="50" w16cid:durableId="107357011">
    <w:abstractNumId w:val="26"/>
    <w:lvlOverride w:ilvl="0">
      <w:startOverride w:val="1"/>
    </w:lvlOverride>
  </w:num>
  <w:num w:numId="51" w16cid:durableId="670907453">
    <w:abstractNumId w:val="26"/>
    <w:lvlOverride w:ilvl="0">
      <w:startOverride w:val="1"/>
    </w:lvlOverride>
  </w:num>
  <w:num w:numId="52" w16cid:durableId="1140268979">
    <w:abstractNumId w:val="28"/>
  </w:num>
  <w:num w:numId="53" w16cid:durableId="1008487673">
    <w:abstractNumId w:val="38"/>
  </w:num>
  <w:num w:numId="54" w16cid:durableId="616956573">
    <w:abstractNumId w:val="32"/>
  </w:num>
  <w:num w:numId="55" w16cid:durableId="182591951">
    <w:abstractNumId w:val="27"/>
  </w:num>
  <w:num w:numId="56" w16cid:durableId="649139311">
    <w:abstractNumId w:val="17"/>
  </w:num>
  <w:num w:numId="57" w16cid:durableId="15645570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341935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539736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15119075">
    <w:abstractNumId w:val="13"/>
  </w:num>
  <w:num w:numId="61" w16cid:durableId="9434170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070732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26913843">
    <w:abstractNumId w:val="41"/>
  </w:num>
  <w:num w:numId="64" w16cid:durableId="863250638">
    <w:abstractNumId w:val="31"/>
  </w:num>
  <w:num w:numId="65" w16cid:durableId="1572543615">
    <w:abstractNumId w:val="2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F81"/>
    <w:rsid w:val="00000BC9"/>
    <w:rsid w:val="000015E4"/>
    <w:rsid w:val="000034AE"/>
    <w:rsid w:val="0000439D"/>
    <w:rsid w:val="00004FE2"/>
    <w:rsid w:val="000058FA"/>
    <w:rsid w:val="000059CF"/>
    <w:rsid w:val="000106BA"/>
    <w:rsid w:val="000118F4"/>
    <w:rsid w:val="000121A9"/>
    <w:rsid w:val="000123F1"/>
    <w:rsid w:val="000127B7"/>
    <w:rsid w:val="0001311F"/>
    <w:rsid w:val="0001541F"/>
    <w:rsid w:val="00017AF7"/>
    <w:rsid w:val="000215F6"/>
    <w:rsid w:val="0002204C"/>
    <w:rsid w:val="0002211E"/>
    <w:rsid w:val="000233F1"/>
    <w:rsid w:val="000245E8"/>
    <w:rsid w:val="000249CF"/>
    <w:rsid w:val="000253C3"/>
    <w:rsid w:val="00025BF4"/>
    <w:rsid w:val="00025C0E"/>
    <w:rsid w:val="00025DA0"/>
    <w:rsid w:val="00030510"/>
    <w:rsid w:val="00031066"/>
    <w:rsid w:val="000317E1"/>
    <w:rsid w:val="00031DB3"/>
    <w:rsid w:val="00033FDE"/>
    <w:rsid w:val="000342F0"/>
    <w:rsid w:val="0003452B"/>
    <w:rsid w:val="00035746"/>
    <w:rsid w:val="00036463"/>
    <w:rsid w:val="000379C2"/>
    <w:rsid w:val="00037BF2"/>
    <w:rsid w:val="00037F8D"/>
    <w:rsid w:val="00037FC0"/>
    <w:rsid w:val="00040598"/>
    <w:rsid w:val="00040813"/>
    <w:rsid w:val="0004106B"/>
    <w:rsid w:val="00041725"/>
    <w:rsid w:val="00041D3E"/>
    <w:rsid w:val="00043A3A"/>
    <w:rsid w:val="00044396"/>
    <w:rsid w:val="000444B3"/>
    <w:rsid w:val="000458B5"/>
    <w:rsid w:val="00046EEB"/>
    <w:rsid w:val="00047E7A"/>
    <w:rsid w:val="0005095E"/>
    <w:rsid w:val="00051391"/>
    <w:rsid w:val="000536C3"/>
    <w:rsid w:val="000541AE"/>
    <w:rsid w:val="000556C0"/>
    <w:rsid w:val="000559E1"/>
    <w:rsid w:val="00057574"/>
    <w:rsid w:val="000611EE"/>
    <w:rsid w:val="00061AC7"/>
    <w:rsid w:val="00062E2F"/>
    <w:rsid w:val="00062ED4"/>
    <w:rsid w:val="00063C9E"/>
    <w:rsid w:val="00064B7B"/>
    <w:rsid w:val="00064BF7"/>
    <w:rsid w:val="00065A86"/>
    <w:rsid w:val="000661A0"/>
    <w:rsid w:val="000665A0"/>
    <w:rsid w:val="00066FA1"/>
    <w:rsid w:val="00067686"/>
    <w:rsid w:val="00067F39"/>
    <w:rsid w:val="00067FF2"/>
    <w:rsid w:val="00070579"/>
    <w:rsid w:val="00072055"/>
    <w:rsid w:val="000748E0"/>
    <w:rsid w:val="000802CB"/>
    <w:rsid w:val="0008073B"/>
    <w:rsid w:val="000816F0"/>
    <w:rsid w:val="00082064"/>
    <w:rsid w:val="00083482"/>
    <w:rsid w:val="00083B3C"/>
    <w:rsid w:val="00083D87"/>
    <w:rsid w:val="00084E80"/>
    <w:rsid w:val="0008506D"/>
    <w:rsid w:val="00085EA1"/>
    <w:rsid w:val="0009052D"/>
    <w:rsid w:val="00090F12"/>
    <w:rsid w:val="000919F2"/>
    <w:rsid w:val="00093CE4"/>
    <w:rsid w:val="00096093"/>
    <w:rsid w:val="00096A05"/>
    <w:rsid w:val="00096DCF"/>
    <w:rsid w:val="00096ED6"/>
    <w:rsid w:val="00097A83"/>
    <w:rsid w:val="000A2125"/>
    <w:rsid w:val="000A2BB4"/>
    <w:rsid w:val="000A374C"/>
    <w:rsid w:val="000A5894"/>
    <w:rsid w:val="000A5E72"/>
    <w:rsid w:val="000A6311"/>
    <w:rsid w:val="000A7F3E"/>
    <w:rsid w:val="000B03C2"/>
    <w:rsid w:val="000B27AE"/>
    <w:rsid w:val="000B339A"/>
    <w:rsid w:val="000B4E30"/>
    <w:rsid w:val="000B5117"/>
    <w:rsid w:val="000B6714"/>
    <w:rsid w:val="000B683F"/>
    <w:rsid w:val="000B76A3"/>
    <w:rsid w:val="000B7B96"/>
    <w:rsid w:val="000B7C4A"/>
    <w:rsid w:val="000B7FD3"/>
    <w:rsid w:val="000C0DB1"/>
    <w:rsid w:val="000C103B"/>
    <w:rsid w:val="000C12E8"/>
    <w:rsid w:val="000C1385"/>
    <w:rsid w:val="000C2477"/>
    <w:rsid w:val="000C3E8E"/>
    <w:rsid w:val="000C45FE"/>
    <w:rsid w:val="000C5C91"/>
    <w:rsid w:val="000C63A0"/>
    <w:rsid w:val="000C6F87"/>
    <w:rsid w:val="000D063C"/>
    <w:rsid w:val="000D1878"/>
    <w:rsid w:val="000D1CDD"/>
    <w:rsid w:val="000D253E"/>
    <w:rsid w:val="000D488B"/>
    <w:rsid w:val="000D5BAE"/>
    <w:rsid w:val="000D5E71"/>
    <w:rsid w:val="000D6B6C"/>
    <w:rsid w:val="000E2F47"/>
    <w:rsid w:val="000E3BB4"/>
    <w:rsid w:val="000E7343"/>
    <w:rsid w:val="000E7593"/>
    <w:rsid w:val="000E7A57"/>
    <w:rsid w:val="000F076D"/>
    <w:rsid w:val="000F13B5"/>
    <w:rsid w:val="000F1F71"/>
    <w:rsid w:val="000F2819"/>
    <w:rsid w:val="000F2E12"/>
    <w:rsid w:val="000F4F48"/>
    <w:rsid w:val="000F5A81"/>
    <w:rsid w:val="000F7199"/>
    <w:rsid w:val="0010016B"/>
    <w:rsid w:val="00100B6F"/>
    <w:rsid w:val="0010161D"/>
    <w:rsid w:val="00101DD7"/>
    <w:rsid w:val="001022AD"/>
    <w:rsid w:val="001043CD"/>
    <w:rsid w:val="001060C3"/>
    <w:rsid w:val="00106C12"/>
    <w:rsid w:val="0010703D"/>
    <w:rsid w:val="001107F4"/>
    <w:rsid w:val="00111FAB"/>
    <w:rsid w:val="00112F5E"/>
    <w:rsid w:val="00113634"/>
    <w:rsid w:val="00114279"/>
    <w:rsid w:val="00114347"/>
    <w:rsid w:val="00114487"/>
    <w:rsid w:val="00114503"/>
    <w:rsid w:val="00115751"/>
    <w:rsid w:val="00121220"/>
    <w:rsid w:val="001212B1"/>
    <w:rsid w:val="0012304A"/>
    <w:rsid w:val="001239B2"/>
    <w:rsid w:val="00126AA6"/>
    <w:rsid w:val="00126E42"/>
    <w:rsid w:val="0013052B"/>
    <w:rsid w:val="001308A8"/>
    <w:rsid w:val="00131699"/>
    <w:rsid w:val="00131BEB"/>
    <w:rsid w:val="00132581"/>
    <w:rsid w:val="00134BFD"/>
    <w:rsid w:val="001364CD"/>
    <w:rsid w:val="00143840"/>
    <w:rsid w:val="001468A4"/>
    <w:rsid w:val="001476A4"/>
    <w:rsid w:val="0015046D"/>
    <w:rsid w:val="00150CE7"/>
    <w:rsid w:val="00151888"/>
    <w:rsid w:val="00152117"/>
    <w:rsid w:val="00152B70"/>
    <w:rsid w:val="00153D63"/>
    <w:rsid w:val="0015426D"/>
    <w:rsid w:val="00154B53"/>
    <w:rsid w:val="00155927"/>
    <w:rsid w:val="00155A49"/>
    <w:rsid w:val="00160582"/>
    <w:rsid w:val="001617AD"/>
    <w:rsid w:val="00163A4C"/>
    <w:rsid w:val="00165283"/>
    <w:rsid w:val="001653AB"/>
    <w:rsid w:val="001671C0"/>
    <w:rsid w:val="0016731A"/>
    <w:rsid w:val="00167815"/>
    <w:rsid w:val="00167FF2"/>
    <w:rsid w:val="001709F2"/>
    <w:rsid w:val="001725C6"/>
    <w:rsid w:val="00172675"/>
    <w:rsid w:val="00172A79"/>
    <w:rsid w:val="00172BAE"/>
    <w:rsid w:val="001739F5"/>
    <w:rsid w:val="0017494C"/>
    <w:rsid w:val="00176162"/>
    <w:rsid w:val="0017655D"/>
    <w:rsid w:val="0017708A"/>
    <w:rsid w:val="001771B0"/>
    <w:rsid w:val="001774AA"/>
    <w:rsid w:val="00184909"/>
    <w:rsid w:val="00185D62"/>
    <w:rsid w:val="00186C97"/>
    <w:rsid w:val="0018782F"/>
    <w:rsid w:val="00187ECE"/>
    <w:rsid w:val="0019079E"/>
    <w:rsid w:val="00190A55"/>
    <w:rsid w:val="00190D3B"/>
    <w:rsid w:val="00191B09"/>
    <w:rsid w:val="00192956"/>
    <w:rsid w:val="001940AC"/>
    <w:rsid w:val="0019492C"/>
    <w:rsid w:val="00194E9E"/>
    <w:rsid w:val="00197521"/>
    <w:rsid w:val="001A06AF"/>
    <w:rsid w:val="001A0C52"/>
    <w:rsid w:val="001A0D6C"/>
    <w:rsid w:val="001A16F6"/>
    <w:rsid w:val="001A22C9"/>
    <w:rsid w:val="001A2D66"/>
    <w:rsid w:val="001A3525"/>
    <w:rsid w:val="001A3DF7"/>
    <w:rsid w:val="001A54BA"/>
    <w:rsid w:val="001A6867"/>
    <w:rsid w:val="001B14DB"/>
    <w:rsid w:val="001B1986"/>
    <w:rsid w:val="001B1BB5"/>
    <w:rsid w:val="001B2AAE"/>
    <w:rsid w:val="001B53B8"/>
    <w:rsid w:val="001B68F5"/>
    <w:rsid w:val="001C1107"/>
    <w:rsid w:val="001C1CB7"/>
    <w:rsid w:val="001C209E"/>
    <w:rsid w:val="001C327D"/>
    <w:rsid w:val="001C34A0"/>
    <w:rsid w:val="001C504A"/>
    <w:rsid w:val="001C62E1"/>
    <w:rsid w:val="001C6842"/>
    <w:rsid w:val="001D1140"/>
    <w:rsid w:val="001D1358"/>
    <w:rsid w:val="001D1EDD"/>
    <w:rsid w:val="001D2B06"/>
    <w:rsid w:val="001D3263"/>
    <w:rsid w:val="001D4622"/>
    <w:rsid w:val="001D7501"/>
    <w:rsid w:val="001D7AF0"/>
    <w:rsid w:val="001E015B"/>
    <w:rsid w:val="001E05E7"/>
    <w:rsid w:val="001E14B6"/>
    <w:rsid w:val="001E2D71"/>
    <w:rsid w:val="001E47CE"/>
    <w:rsid w:val="001E6606"/>
    <w:rsid w:val="001E7B0D"/>
    <w:rsid w:val="001E7D14"/>
    <w:rsid w:val="001F05F3"/>
    <w:rsid w:val="001F101E"/>
    <w:rsid w:val="001F2A03"/>
    <w:rsid w:val="001F2CC2"/>
    <w:rsid w:val="001F30E7"/>
    <w:rsid w:val="001F3C37"/>
    <w:rsid w:val="001F5324"/>
    <w:rsid w:val="001F5556"/>
    <w:rsid w:val="00200D9B"/>
    <w:rsid w:val="00201D78"/>
    <w:rsid w:val="00202426"/>
    <w:rsid w:val="00203456"/>
    <w:rsid w:val="002046E2"/>
    <w:rsid w:val="0020514B"/>
    <w:rsid w:val="002057A8"/>
    <w:rsid w:val="002063B3"/>
    <w:rsid w:val="002066B1"/>
    <w:rsid w:val="00207036"/>
    <w:rsid w:val="00207E13"/>
    <w:rsid w:val="002112B1"/>
    <w:rsid w:val="002144B4"/>
    <w:rsid w:val="00214915"/>
    <w:rsid w:val="00214D86"/>
    <w:rsid w:val="00214E9F"/>
    <w:rsid w:val="00215872"/>
    <w:rsid w:val="00215C3D"/>
    <w:rsid w:val="0021676E"/>
    <w:rsid w:val="002169EA"/>
    <w:rsid w:val="002202B4"/>
    <w:rsid w:val="00221ADE"/>
    <w:rsid w:val="00221E95"/>
    <w:rsid w:val="002224DC"/>
    <w:rsid w:val="00222502"/>
    <w:rsid w:val="00222789"/>
    <w:rsid w:val="00222A1E"/>
    <w:rsid w:val="00225320"/>
    <w:rsid w:val="002260BC"/>
    <w:rsid w:val="00226F47"/>
    <w:rsid w:val="002270FD"/>
    <w:rsid w:val="0022771A"/>
    <w:rsid w:val="00227CEA"/>
    <w:rsid w:val="00230DC5"/>
    <w:rsid w:val="00231BB7"/>
    <w:rsid w:val="002346FE"/>
    <w:rsid w:val="00235F5F"/>
    <w:rsid w:val="00236742"/>
    <w:rsid w:val="00236D75"/>
    <w:rsid w:val="00236DD4"/>
    <w:rsid w:val="00237035"/>
    <w:rsid w:val="002378DC"/>
    <w:rsid w:val="00237CB7"/>
    <w:rsid w:val="00240015"/>
    <w:rsid w:val="0024024E"/>
    <w:rsid w:val="002422A1"/>
    <w:rsid w:val="002428DA"/>
    <w:rsid w:val="00242933"/>
    <w:rsid w:val="00243779"/>
    <w:rsid w:val="00243F9A"/>
    <w:rsid w:val="00244907"/>
    <w:rsid w:val="00244942"/>
    <w:rsid w:val="00245044"/>
    <w:rsid w:val="00246B4D"/>
    <w:rsid w:val="00246D18"/>
    <w:rsid w:val="0024721D"/>
    <w:rsid w:val="002476DE"/>
    <w:rsid w:val="00247B12"/>
    <w:rsid w:val="00253097"/>
    <w:rsid w:val="002533C5"/>
    <w:rsid w:val="00254247"/>
    <w:rsid w:val="0026086D"/>
    <w:rsid w:val="002613BE"/>
    <w:rsid w:val="002620B8"/>
    <w:rsid w:val="00262226"/>
    <w:rsid w:val="00262D44"/>
    <w:rsid w:val="002637FB"/>
    <w:rsid w:val="00264583"/>
    <w:rsid w:val="002645F5"/>
    <w:rsid w:val="00266682"/>
    <w:rsid w:val="002678D1"/>
    <w:rsid w:val="00270146"/>
    <w:rsid w:val="00271075"/>
    <w:rsid w:val="0027118F"/>
    <w:rsid w:val="00271A43"/>
    <w:rsid w:val="00272139"/>
    <w:rsid w:val="00272636"/>
    <w:rsid w:val="00272973"/>
    <w:rsid w:val="00272FD5"/>
    <w:rsid w:val="00273D1A"/>
    <w:rsid w:val="00274327"/>
    <w:rsid w:val="00275747"/>
    <w:rsid w:val="00275D37"/>
    <w:rsid w:val="0028182E"/>
    <w:rsid w:val="00282C85"/>
    <w:rsid w:val="00283ECE"/>
    <w:rsid w:val="00284E71"/>
    <w:rsid w:val="002850D3"/>
    <w:rsid w:val="00285C26"/>
    <w:rsid w:val="002903F1"/>
    <w:rsid w:val="0029133F"/>
    <w:rsid w:val="002919D4"/>
    <w:rsid w:val="002925AF"/>
    <w:rsid w:val="00292906"/>
    <w:rsid w:val="002931AE"/>
    <w:rsid w:val="00295A42"/>
    <w:rsid w:val="002964C8"/>
    <w:rsid w:val="002964F9"/>
    <w:rsid w:val="00296961"/>
    <w:rsid w:val="00296E15"/>
    <w:rsid w:val="002972DE"/>
    <w:rsid w:val="002974D9"/>
    <w:rsid w:val="002A0DEE"/>
    <w:rsid w:val="002A1CBD"/>
    <w:rsid w:val="002A2470"/>
    <w:rsid w:val="002A319D"/>
    <w:rsid w:val="002A4A1D"/>
    <w:rsid w:val="002A5DA2"/>
    <w:rsid w:val="002A74CB"/>
    <w:rsid w:val="002A7585"/>
    <w:rsid w:val="002A7B73"/>
    <w:rsid w:val="002B0074"/>
    <w:rsid w:val="002B00CA"/>
    <w:rsid w:val="002B13BF"/>
    <w:rsid w:val="002B4CC5"/>
    <w:rsid w:val="002B4DCF"/>
    <w:rsid w:val="002B559C"/>
    <w:rsid w:val="002B5E5E"/>
    <w:rsid w:val="002B65F3"/>
    <w:rsid w:val="002B6F73"/>
    <w:rsid w:val="002B76D3"/>
    <w:rsid w:val="002B77AA"/>
    <w:rsid w:val="002C0F98"/>
    <w:rsid w:val="002C15FB"/>
    <w:rsid w:val="002C32CD"/>
    <w:rsid w:val="002C3F43"/>
    <w:rsid w:val="002C50CC"/>
    <w:rsid w:val="002C58D0"/>
    <w:rsid w:val="002C6FAE"/>
    <w:rsid w:val="002D154C"/>
    <w:rsid w:val="002D18F8"/>
    <w:rsid w:val="002D22DA"/>
    <w:rsid w:val="002D4B3D"/>
    <w:rsid w:val="002D5771"/>
    <w:rsid w:val="002D607C"/>
    <w:rsid w:val="002D6455"/>
    <w:rsid w:val="002D7CFE"/>
    <w:rsid w:val="002E1106"/>
    <w:rsid w:val="002E15E4"/>
    <w:rsid w:val="002E230C"/>
    <w:rsid w:val="002E2946"/>
    <w:rsid w:val="002E365D"/>
    <w:rsid w:val="002E37A7"/>
    <w:rsid w:val="002E38BA"/>
    <w:rsid w:val="002E5A1A"/>
    <w:rsid w:val="002E63F1"/>
    <w:rsid w:val="002E6707"/>
    <w:rsid w:val="002F0B8F"/>
    <w:rsid w:val="002F0C4E"/>
    <w:rsid w:val="002F2093"/>
    <w:rsid w:val="002F4229"/>
    <w:rsid w:val="002F4EB5"/>
    <w:rsid w:val="002F6039"/>
    <w:rsid w:val="00301340"/>
    <w:rsid w:val="003032D3"/>
    <w:rsid w:val="00303367"/>
    <w:rsid w:val="00303A06"/>
    <w:rsid w:val="00305135"/>
    <w:rsid w:val="00305357"/>
    <w:rsid w:val="00310608"/>
    <w:rsid w:val="00311336"/>
    <w:rsid w:val="0031436C"/>
    <w:rsid w:val="00314F24"/>
    <w:rsid w:val="0031629D"/>
    <w:rsid w:val="003177D4"/>
    <w:rsid w:val="0031787E"/>
    <w:rsid w:val="0032023E"/>
    <w:rsid w:val="003202F1"/>
    <w:rsid w:val="0032079F"/>
    <w:rsid w:val="0032092E"/>
    <w:rsid w:val="00320BB3"/>
    <w:rsid w:val="00320E7E"/>
    <w:rsid w:val="0032112F"/>
    <w:rsid w:val="00323B79"/>
    <w:rsid w:val="00323F22"/>
    <w:rsid w:val="003253A0"/>
    <w:rsid w:val="0032555E"/>
    <w:rsid w:val="003256F1"/>
    <w:rsid w:val="003266F8"/>
    <w:rsid w:val="00326DC2"/>
    <w:rsid w:val="00330203"/>
    <w:rsid w:val="00330A1F"/>
    <w:rsid w:val="00330F20"/>
    <w:rsid w:val="00332657"/>
    <w:rsid w:val="00334FCF"/>
    <w:rsid w:val="00336A84"/>
    <w:rsid w:val="00340B04"/>
    <w:rsid w:val="00340F71"/>
    <w:rsid w:val="00342D7C"/>
    <w:rsid w:val="003443CF"/>
    <w:rsid w:val="003444B0"/>
    <w:rsid w:val="003457D9"/>
    <w:rsid w:val="00345913"/>
    <w:rsid w:val="003476A9"/>
    <w:rsid w:val="00347FA2"/>
    <w:rsid w:val="0035016B"/>
    <w:rsid w:val="00350819"/>
    <w:rsid w:val="003522F2"/>
    <w:rsid w:val="0035328F"/>
    <w:rsid w:val="00353498"/>
    <w:rsid w:val="0035355F"/>
    <w:rsid w:val="003535A7"/>
    <w:rsid w:val="00354A13"/>
    <w:rsid w:val="003554B9"/>
    <w:rsid w:val="00355A56"/>
    <w:rsid w:val="0035651F"/>
    <w:rsid w:val="003566A8"/>
    <w:rsid w:val="003575E3"/>
    <w:rsid w:val="00360235"/>
    <w:rsid w:val="0036208B"/>
    <w:rsid w:val="00363B57"/>
    <w:rsid w:val="00364077"/>
    <w:rsid w:val="0036512F"/>
    <w:rsid w:val="00365133"/>
    <w:rsid w:val="00365237"/>
    <w:rsid w:val="00365A41"/>
    <w:rsid w:val="003667A0"/>
    <w:rsid w:val="003669FE"/>
    <w:rsid w:val="00367D71"/>
    <w:rsid w:val="00370084"/>
    <w:rsid w:val="00370BD2"/>
    <w:rsid w:val="00370F73"/>
    <w:rsid w:val="00371605"/>
    <w:rsid w:val="00371650"/>
    <w:rsid w:val="00371707"/>
    <w:rsid w:val="00371D11"/>
    <w:rsid w:val="00374BE1"/>
    <w:rsid w:val="003756C4"/>
    <w:rsid w:val="00381DB5"/>
    <w:rsid w:val="00382094"/>
    <w:rsid w:val="003821AD"/>
    <w:rsid w:val="0038394C"/>
    <w:rsid w:val="003847B7"/>
    <w:rsid w:val="0038499C"/>
    <w:rsid w:val="00386C1F"/>
    <w:rsid w:val="00387639"/>
    <w:rsid w:val="003901EC"/>
    <w:rsid w:val="00390A24"/>
    <w:rsid w:val="00390AD8"/>
    <w:rsid w:val="00390B93"/>
    <w:rsid w:val="00390C5B"/>
    <w:rsid w:val="0039145F"/>
    <w:rsid w:val="00391D1C"/>
    <w:rsid w:val="003924A0"/>
    <w:rsid w:val="00393032"/>
    <w:rsid w:val="003941D8"/>
    <w:rsid w:val="00394B21"/>
    <w:rsid w:val="00394C93"/>
    <w:rsid w:val="0039581F"/>
    <w:rsid w:val="00395890"/>
    <w:rsid w:val="00396796"/>
    <w:rsid w:val="00396DA5"/>
    <w:rsid w:val="003A088A"/>
    <w:rsid w:val="003A1548"/>
    <w:rsid w:val="003A1B3B"/>
    <w:rsid w:val="003A2D6E"/>
    <w:rsid w:val="003A36FE"/>
    <w:rsid w:val="003A43B5"/>
    <w:rsid w:val="003A4DA0"/>
    <w:rsid w:val="003B0994"/>
    <w:rsid w:val="003B1D5A"/>
    <w:rsid w:val="003B2498"/>
    <w:rsid w:val="003B329A"/>
    <w:rsid w:val="003B3901"/>
    <w:rsid w:val="003B5B1D"/>
    <w:rsid w:val="003B6AD0"/>
    <w:rsid w:val="003C0D93"/>
    <w:rsid w:val="003C57F4"/>
    <w:rsid w:val="003C6577"/>
    <w:rsid w:val="003C6DF9"/>
    <w:rsid w:val="003C6E52"/>
    <w:rsid w:val="003C6F10"/>
    <w:rsid w:val="003C7D16"/>
    <w:rsid w:val="003D05ED"/>
    <w:rsid w:val="003D0B3C"/>
    <w:rsid w:val="003D0C8E"/>
    <w:rsid w:val="003D0E4A"/>
    <w:rsid w:val="003D1A23"/>
    <w:rsid w:val="003D2C70"/>
    <w:rsid w:val="003D3E9C"/>
    <w:rsid w:val="003D4324"/>
    <w:rsid w:val="003D59F2"/>
    <w:rsid w:val="003E0390"/>
    <w:rsid w:val="003E0593"/>
    <w:rsid w:val="003E0AD1"/>
    <w:rsid w:val="003E2496"/>
    <w:rsid w:val="003E2E92"/>
    <w:rsid w:val="003E3813"/>
    <w:rsid w:val="003E590D"/>
    <w:rsid w:val="003E6C98"/>
    <w:rsid w:val="003E6D88"/>
    <w:rsid w:val="003E736B"/>
    <w:rsid w:val="003E749E"/>
    <w:rsid w:val="003E75C7"/>
    <w:rsid w:val="003E75FF"/>
    <w:rsid w:val="003E7F6D"/>
    <w:rsid w:val="003F0C35"/>
    <w:rsid w:val="003F1C38"/>
    <w:rsid w:val="003F3270"/>
    <w:rsid w:val="003F3FBD"/>
    <w:rsid w:val="003F47D0"/>
    <w:rsid w:val="003F4FB2"/>
    <w:rsid w:val="003F509F"/>
    <w:rsid w:val="00400F59"/>
    <w:rsid w:val="00401D44"/>
    <w:rsid w:val="00402B87"/>
    <w:rsid w:val="004035AC"/>
    <w:rsid w:val="00404F03"/>
    <w:rsid w:val="004050F8"/>
    <w:rsid w:val="00405F5C"/>
    <w:rsid w:val="00411446"/>
    <w:rsid w:val="00411495"/>
    <w:rsid w:val="00411636"/>
    <w:rsid w:val="00412139"/>
    <w:rsid w:val="00412C02"/>
    <w:rsid w:val="004138BC"/>
    <w:rsid w:val="00415186"/>
    <w:rsid w:val="00420560"/>
    <w:rsid w:val="004210DF"/>
    <w:rsid w:val="00423BC7"/>
    <w:rsid w:val="004244B5"/>
    <w:rsid w:val="00426451"/>
    <w:rsid w:val="004306D8"/>
    <w:rsid w:val="00430B4B"/>
    <w:rsid w:val="004312CD"/>
    <w:rsid w:val="0043225A"/>
    <w:rsid w:val="00434100"/>
    <w:rsid w:val="004374EA"/>
    <w:rsid w:val="00437943"/>
    <w:rsid w:val="0043796F"/>
    <w:rsid w:val="00437ED1"/>
    <w:rsid w:val="0044008E"/>
    <w:rsid w:val="00440FFB"/>
    <w:rsid w:val="00441305"/>
    <w:rsid w:val="00441498"/>
    <w:rsid w:val="00441E8C"/>
    <w:rsid w:val="00442610"/>
    <w:rsid w:val="00442923"/>
    <w:rsid w:val="004439B9"/>
    <w:rsid w:val="004450A8"/>
    <w:rsid w:val="00445AE3"/>
    <w:rsid w:val="00446ACA"/>
    <w:rsid w:val="0044732D"/>
    <w:rsid w:val="00452664"/>
    <w:rsid w:val="00453D4E"/>
    <w:rsid w:val="0045404A"/>
    <w:rsid w:val="004546D3"/>
    <w:rsid w:val="00454A46"/>
    <w:rsid w:val="00455E8E"/>
    <w:rsid w:val="00456F18"/>
    <w:rsid w:val="00457066"/>
    <w:rsid w:val="00460B7B"/>
    <w:rsid w:val="00461003"/>
    <w:rsid w:val="00461F9D"/>
    <w:rsid w:val="00462136"/>
    <w:rsid w:val="00463AF6"/>
    <w:rsid w:val="00464048"/>
    <w:rsid w:val="0046434A"/>
    <w:rsid w:val="0046465E"/>
    <w:rsid w:val="00465F1A"/>
    <w:rsid w:val="004665A8"/>
    <w:rsid w:val="004669F2"/>
    <w:rsid w:val="00467B37"/>
    <w:rsid w:val="00470021"/>
    <w:rsid w:val="00470133"/>
    <w:rsid w:val="004701EE"/>
    <w:rsid w:val="00472894"/>
    <w:rsid w:val="00473A9B"/>
    <w:rsid w:val="0047499C"/>
    <w:rsid w:val="00476C94"/>
    <w:rsid w:val="00477107"/>
    <w:rsid w:val="00477E7A"/>
    <w:rsid w:val="00480A8D"/>
    <w:rsid w:val="004813FE"/>
    <w:rsid w:val="0048181B"/>
    <w:rsid w:val="004824A3"/>
    <w:rsid w:val="00483587"/>
    <w:rsid w:val="004904C9"/>
    <w:rsid w:val="00490741"/>
    <w:rsid w:val="00493890"/>
    <w:rsid w:val="00493C46"/>
    <w:rsid w:val="00494A43"/>
    <w:rsid w:val="00494DB3"/>
    <w:rsid w:val="00495B14"/>
    <w:rsid w:val="00495D44"/>
    <w:rsid w:val="00496422"/>
    <w:rsid w:val="0049666B"/>
    <w:rsid w:val="00496A52"/>
    <w:rsid w:val="00497C81"/>
    <w:rsid w:val="00497CAF"/>
    <w:rsid w:val="00497EC2"/>
    <w:rsid w:val="004A01C6"/>
    <w:rsid w:val="004A0352"/>
    <w:rsid w:val="004A1424"/>
    <w:rsid w:val="004A1EF1"/>
    <w:rsid w:val="004A2A2D"/>
    <w:rsid w:val="004A309B"/>
    <w:rsid w:val="004A4E28"/>
    <w:rsid w:val="004A5105"/>
    <w:rsid w:val="004B0970"/>
    <w:rsid w:val="004B0EDE"/>
    <w:rsid w:val="004B1E47"/>
    <w:rsid w:val="004B3208"/>
    <w:rsid w:val="004B3F65"/>
    <w:rsid w:val="004B70C8"/>
    <w:rsid w:val="004B7AF6"/>
    <w:rsid w:val="004C005C"/>
    <w:rsid w:val="004C0F7D"/>
    <w:rsid w:val="004C15D4"/>
    <w:rsid w:val="004C174B"/>
    <w:rsid w:val="004C387D"/>
    <w:rsid w:val="004C38DF"/>
    <w:rsid w:val="004C41AB"/>
    <w:rsid w:val="004C46A6"/>
    <w:rsid w:val="004C5F03"/>
    <w:rsid w:val="004C6CB3"/>
    <w:rsid w:val="004C775B"/>
    <w:rsid w:val="004D0940"/>
    <w:rsid w:val="004D258C"/>
    <w:rsid w:val="004D33A7"/>
    <w:rsid w:val="004D343D"/>
    <w:rsid w:val="004D350F"/>
    <w:rsid w:val="004D467F"/>
    <w:rsid w:val="004D498F"/>
    <w:rsid w:val="004D501C"/>
    <w:rsid w:val="004D5076"/>
    <w:rsid w:val="004D67FB"/>
    <w:rsid w:val="004E1773"/>
    <w:rsid w:val="004E2B07"/>
    <w:rsid w:val="004E2BB5"/>
    <w:rsid w:val="004E3A4D"/>
    <w:rsid w:val="004E4592"/>
    <w:rsid w:val="004E4A9D"/>
    <w:rsid w:val="004E6108"/>
    <w:rsid w:val="004F1B77"/>
    <w:rsid w:val="004F2716"/>
    <w:rsid w:val="004F29F0"/>
    <w:rsid w:val="004F2B9B"/>
    <w:rsid w:val="004F385B"/>
    <w:rsid w:val="004F3B1F"/>
    <w:rsid w:val="004F465A"/>
    <w:rsid w:val="004F5B76"/>
    <w:rsid w:val="004F6373"/>
    <w:rsid w:val="00500F00"/>
    <w:rsid w:val="00501CC8"/>
    <w:rsid w:val="00501DE8"/>
    <w:rsid w:val="00501E92"/>
    <w:rsid w:val="005031AA"/>
    <w:rsid w:val="005034AB"/>
    <w:rsid w:val="00504351"/>
    <w:rsid w:val="0050444B"/>
    <w:rsid w:val="00505186"/>
    <w:rsid w:val="005069EF"/>
    <w:rsid w:val="00506B52"/>
    <w:rsid w:val="0050761B"/>
    <w:rsid w:val="00507E2D"/>
    <w:rsid w:val="00511080"/>
    <w:rsid w:val="0051400F"/>
    <w:rsid w:val="00516949"/>
    <w:rsid w:val="00516A72"/>
    <w:rsid w:val="00516A78"/>
    <w:rsid w:val="0052028B"/>
    <w:rsid w:val="00521456"/>
    <w:rsid w:val="00521641"/>
    <w:rsid w:val="00521847"/>
    <w:rsid w:val="00521BC5"/>
    <w:rsid w:val="00522C5B"/>
    <w:rsid w:val="00523940"/>
    <w:rsid w:val="00523A55"/>
    <w:rsid w:val="00523AA9"/>
    <w:rsid w:val="005253FF"/>
    <w:rsid w:val="00527821"/>
    <w:rsid w:val="00527F44"/>
    <w:rsid w:val="005303D2"/>
    <w:rsid w:val="0053085C"/>
    <w:rsid w:val="00530D9A"/>
    <w:rsid w:val="0053139E"/>
    <w:rsid w:val="005319A9"/>
    <w:rsid w:val="00531B2B"/>
    <w:rsid w:val="00531C5A"/>
    <w:rsid w:val="00532160"/>
    <w:rsid w:val="0053395A"/>
    <w:rsid w:val="00536912"/>
    <w:rsid w:val="00536989"/>
    <w:rsid w:val="00537248"/>
    <w:rsid w:val="00537D4C"/>
    <w:rsid w:val="00542290"/>
    <w:rsid w:val="00542725"/>
    <w:rsid w:val="00542FBE"/>
    <w:rsid w:val="00543960"/>
    <w:rsid w:val="00544220"/>
    <w:rsid w:val="00544DCB"/>
    <w:rsid w:val="00545C05"/>
    <w:rsid w:val="00545FF1"/>
    <w:rsid w:val="0054667A"/>
    <w:rsid w:val="00550D76"/>
    <w:rsid w:val="0055119B"/>
    <w:rsid w:val="00552353"/>
    <w:rsid w:val="005536D4"/>
    <w:rsid w:val="00554202"/>
    <w:rsid w:val="00554CAF"/>
    <w:rsid w:val="00556613"/>
    <w:rsid w:val="005567E2"/>
    <w:rsid w:val="0055716A"/>
    <w:rsid w:val="00557456"/>
    <w:rsid w:val="0055765C"/>
    <w:rsid w:val="00557FD1"/>
    <w:rsid w:val="005607CD"/>
    <w:rsid w:val="00561B5A"/>
    <w:rsid w:val="00567048"/>
    <w:rsid w:val="00567863"/>
    <w:rsid w:val="0057060E"/>
    <w:rsid w:val="00571DD4"/>
    <w:rsid w:val="00571E57"/>
    <w:rsid w:val="00573EE7"/>
    <w:rsid w:val="00575350"/>
    <w:rsid w:val="005753D8"/>
    <w:rsid w:val="005762FD"/>
    <w:rsid w:val="0057693B"/>
    <w:rsid w:val="005773A5"/>
    <w:rsid w:val="00581E5F"/>
    <w:rsid w:val="005820F6"/>
    <w:rsid w:val="00582230"/>
    <w:rsid w:val="00582303"/>
    <w:rsid w:val="00582C3C"/>
    <w:rsid w:val="00582EE1"/>
    <w:rsid w:val="0058389D"/>
    <w:rsid w:val="00583D25"/>
    <w:rsid w:val="0058750F"/>
    <w:rsid w:val="0058788F"/>
    <w:rsid w:val="005904B3"/>
    <w:rsid w:val="005918BB"/>
    <w:rsid w:val="0059233E"/>
    <w:rsid w:val="0059267C"/>
    <w:rsid w:val="00593BC5"/>
    <w:rsid w:val="00594279"/>
    <w:rsid w:val="00594B26"/>
    <w:rsid w:val="00594F84"/>
    <w:rsid w:val="00597A93"/>
    <w:rsid w:val="005A014B"/>
    <w:rsid w:val="005A040C"/>
    <w:rsid w:val="005A0438"/>
    <w:rsid w:val="005A1BFD"/>
    <w:rsid w:val="005A1C44"/>
    <w:rsid w:val="005A1EBE"/>
    <w:rsid w:val="005A206E"/>
    <w:rsid w:val="005A24C9"/>
    <w:rsid w:val="005A2DDA"/>
    <w:rsid w:val="005A31CE"/>
    <w:rsid w:val="005A37ED"/>
    <w:rsid w:val="005A3AE7"/>
    <w:rsid w:val="005A52A8"/>
    <w:rsid w:val="005A62FD"/>
    <w:rsid w:val="005A669F"/>
    <w:rsid w:val="005A69A5"/>
    <w:rsid w:val="005A6CEF"/>
    <w:rsid w:val="005A7104"/>
    <w:rsid w:val="005B0F53"/>
    <w:rsid w:val="005B1CD8"/>
    <w:rsid w:val="005B1F09"/>
    <w:rsid w:val="005B20B8"/>
    <w:rsid w:val="005B270C"/>
    <w:rsid w:val="005B2A69"/>
    <w:rsid w:val="005B5D4F"/>
    <w:rsid w:val="005B718F"/>
    <w:rsid w:val="005B73EC"/>
    <w:rsid w:val="005B763F"/>
    <w:rsid w:val="005B7732"/>
    <w:rsid w:val="005C01DE"/>
    <w:rsid w:val="005C0E7D"/>
    <w:rsid w:val="005C129C"/>
    <w:rsid w:val="005C2AC7"/>
    <w:rsid w:val="005C3102"/>
    <w:rsid w:val="005C32F7"/>
    <w:rsid w:val="005C3C78"/>
    <w:rsid w:val="005C447E"/>
    <w:rsid w:val="005C467C"/>
    <w:rsid w:val="005C46FC"/>
    <w:rsid w:val="005C4761"/>
    <w:rsid w:val="005C4AB3"/>
    <w:rsid w:val="005C5885"/>
    <w:rsid w:val="005C6628"/>
    <w:rsid w:val="005C6C7A"/>
    <w:rsid w:val="005C7861"/>
    <w:rsid w:val="005D12F2"/>
    <w:rsid w:val="005D3852"/>
    <w:rsid w:val="005D3D33"/>
    <w:rsid w:val="005D4030"/>
    <w:rsid w:val="005D4120"/>
    <w:rsid w:val="005D44B4"/>
    <w:rsid w:val="005D500F"/>
    <w:rsid w:val="005D52F2"/>
    <w:rsid w:val="005E0179"/>
    <w:rsid w:val="005E1150"/>
    <w:rsid w:val="005E1656"/>
    <w:rsid w:val="005E2605"/>
    <w:rsid w:val="005E27BC"/>
    <w:rsid w:val="005E30DB"/>
    <w:rsid w:val="005E3CD3"/>
    <w:rsid w:val="005E4CC0"/>
    <w:rsid w:val="005F07E6"/>
    <w:rsid w:val="005F11C9"/>
    <w:rsid w:val="005F149C"/>
    <w:rsid w:val="005F1A3B"/>
    <w:rsid w:val="005F3545"/>
    <w:rsid w:val="005F3992"/>
    <w:rsid w:val="005F3A67"/>
    <w:rsid w:val="005F4685"/>
    <w:rsid w:val="005F52A8"/>
    <w:rsid w:val="005F6FD0"/>
    <w:rsid w:val="005F70D4"/>
    <w:rsid w:val="006030A4"/>
    <w:rsid w:val="00603FD1"/>
    <w:rsid w:val="006041C9"/>
    <w:rsid w:val="00604367"/>
    <w:rsid w:val="00606029"/>
    <w:rsid w:val="00606704"/>
    <w:rsid w:val="0060761B"/>
    <w:rsid w:val="00607D1B"/>
    <w:rsid w:val="0061073E"/>
    <w:rsid w:val="00613849"/>
    <w:rsid w:val="00613F76"/>
    <w:rsid w:val="006142C8"/>
    <w:rsid w:val="00614EAD"/>
    <w:rsid w:val="00615C23"/>
    <w:rsid w:val="0061633B"/>
    <w:rsid w:val="00617BB9"/>
    <w:rsid w:val="00617C67"/>
    <w:rsid w:val="00617F55"/>
    <w:rsid w:val="00622C76"/>
    <w:rsid w:val="006233DD"/>
    <w:rsid w:val="006234F5"/>
    <w:rsid w:val="00625657"/>
    <w:rsid w:val="00625F10"/>
    <w:rsid w:val="0062691F"/>
    <w:rsid w:val="00626E28"/>
    <w:rsid w:val="0062749F"/>
    <w:rsid w:val="006309CC"/>
    <w:rsid w:val="00631B24"/>
    <w:rsid w:val="00631F50"/>
    <w:rsid w:val="006321CA"/>
    <w:rsid w:val="0063254D"/>
    <w:rsid w:val="0063366F"/>
    <w:rsid w:val="00633F1E"/>
    <w:rsid w:val="0063462C"/>
    <w:rsid w:val="0063464B"/>
    <w:rsid w:val="00634C07"/>
    <w:rsid w:val="00635A50"/>
    <w:rsid w:val="00635AC4"/>
    <w:rsid w:val="00636CDA"/>
    <w:rsid w:val="006370ED"/>
    <w:rsid w:val="00640D02"/>
    <w:rsid w:val="0064115F"/>
    <w:rsid w:val="006437DB"/>
    <w:rsid w:val="00643D87"/>
    <w:rsid w:val="00644B59"/>
    <w:rsid w:val="00645F3B"/>
    <w:rsid w:val="006464C6"/>
    <w:rsid w:val="00647829"/>
    <w:rsid w:val="00647BC2"/>
    <w:rsid w:val="00647CD1"/>
    <w:rsid w:val="006524F2"/>
    <w:rsid w:val="0065552A"/>
    <w:rsid w:val="00655673"/>
    <w:rsid w:val="00656550"/>
    <w:rsid w:val="00656AA4"/>
    <w:rsid w:val="00656E31"/>
    <w:rsid w:val="0065788B"/>
    <w:rsid w:val="00657ED6"/>
    <w:rsid w:val="00657EF0"/>
    <w:rsid w:val="00660E38"/>
    <w:rsid w:val="0066244C"/>
    <w:rsid w:val="006627F9"/>
    <w:rsid w:val="00662BA4"/>
    <w:rsid w:val="00664703"/>
    <w:rsid w:val="00665899"/>
    <w:rsid w:val="006675ED"/>
    <w:rsid w:val="0067185F"/>
    <w:rsid w:val="00671D9C"/>
    <w:rsid w:val="00673E84"/>
    <w:rsid w:val="006750DB"/>
    <w:rsid w:val="00675992"/>
    <w:rsid w:val="00675F87"/>
    <w:rsid w:val="006765FA"/>
    <w:rsid w:val="00676A19"/>
    <w:rsid w:val="006774B8"/>
    <w:rsid w:val="006778A5"/>
    <w:rsid w:val="00680211"/>
    <w:rsid w:val="00681369"/>
    <w:rsid w:val="006813FA"/>
    <w:rsid w:val="00682256"/>
    <w:rsid w:val="00682442"/>
    <w:rsid w:val="00682B41"/>
    <w:rsid w:val="0068328C"/>
    <w:rsid w:val="00683824"/>
    <w:rsid w:val="006838F2"/>
    <w:rsid w:val="00684083"/>
    <w:rsid w:val="00685011"/>
    <w:rsid w:val="00685DEC"/>
    <w:rsid w:val="006860B1"/>
    <w:rsid w:val="0068771A"/>
    <w:rsid w:val="00687A45"/>
    <w:rsid w:val="00691A4B"/>
    <w:rsid w:val="006932AD"/>
    <w:rsid w:val="00694487"/>
    <w:rsid w:val="00694BCA"/>
    <w:rsid w:val="006954FC"/>
    <w:rsid w:val="00697342"/>
    <w:rsid w:val="00697636"/>
    <w:rsid w:val="00697D34"/>
    <w:rsid w:val="006A061F"/>
    <w:rsid w:val="006A0BEA"/>
    <w:rsid w:val="006A12A7"/>
    <w:rsid w:val="006A1EA6"/>
    <w:rsid w:val="006A1F36"/>
    <w:rsid w:val="006A2555"/>
    <w:rsid w:val="006A272E"/>
    <w:rsid w:val="006A2AD6"/>
    <w:rsid w:val="006A6160"/>
    <w:rsid w:val="006A774C"/>
    <w:rsid w:val="006B293D"/>
    <w:rsid w:val="006B3C9E"/>
    <w:rsid w:val="006B3CA9"/>
    <w:rsid w:val="006B4C89"/>
    <w:rsid w:val="006B728F"/>
    <w:rsid w:val="006B79B8"/>
    <w:rsid w:val="006C08F1"/>
    <w:rsid w:val="006C0A39"/>
    <w:rsid w:val="006C20F4"/>
    <w:rsid w:val="006C2DF7"/>
    <w:rsid w:val="006C4655"/>
    <w:rsid w:val="006C5AA7"/>
    <w:rsid w:val="006D0185"/>
    <w:rsid w:val="006D1608"/>
    <w:rsid w:val="006D2CB9"/>
    <w:rsid w:val="006D39ED"/>
    <w:rsid w:val="006D39F1"/>
    <w:rsid w:val="006D5CAD"/>
    <w:rsid w:val="006D67CD"/>
    <w:rsid w:val="006D750F"/>
    <w:rsid w:val="006E101C"/>
    <w:rsid w:val="006E132D"/>
    <w:rsid w:val="006E184D"/>
    <w:rsid w:val="006E252B"/>
    <w:rsid w:val="006E4E3F"/>
    <w:rsid w:val="006E594A"/>
    <w:rsid w:val="006E5A78"/>
    <w:rsid w:val="006E73AA"/>
    <w:rsid w:val="006E7A4D"/>
    <w:rsid w:val="006F02F9"/>
    <w:rsid w:val="006F4BDE"/>
    <w:rsid w:val="006F50E9"/>
    <w:rsid w:val="006F57E3"/>
    <w:rsid w:val="006F5F29"/>
    <w:rsid w:val="007019E0"/>
    <w:rsid w:val="007029ED"/>
    <w:rsid w:val="00702F6B"/>
    <w:rsid w:val="007037D9"/>
    <w:rsid w:val="00704C27"/>
    <w:rsid w:val="00705AD8"/>
    <w:rsid w:val="00705F51"/>
    <w:rsid w:val="00707524"/>
    <w:rsid w:val="00711DD8"/>
    <w:rsid w:val="00712295"/>
    <w:rsid w:val="00712D66"/>
    <w:rsid w:val="00712F40"/>
    <w:rsid w:val="0071474F"/>
    <w:rsid w:val="00714F97"/>
    <w:rsid w:val="00715784"/>
    <w:rsid w:val="007167BA"/>
    <w:rsid w:val="0071697C"/>
    <w:rsid w:val="00716AC3"/>
    <w:rsid w:val="00716C14"/>
    <w:rsid w:val="0071761B"/>
    <w:rsid w:val="0071794C"/>
    <w:rsid w:val="00720DC3"/>
    <w:rsid w:val="0072155B"/>
    <w:rsid w:val="00721870"/>
    <w:rsid w:val="00721E3A"/>
    <w:rsid w:val="007242CD"/>
    <w:rsid w:val="00724E8D"/>
    <w:rsid w:val="007255E0"/>
    <w:rsid w:val="00726C88"/>
    <w:rsid w:val="00727ECE"/>
    <w:rsid w:val="00730802"/>
    <w:rsid w:val="00731018"/>
    <w:rsid w:val="007327C8"/>
    <w:rsid w:val="00732BC3"/>
    <w:rsid w:val="00734C22"/>
    <w:rsid w:val="00735DDD"/>
    <w:rsid w:val="00736189"/>
    <w:rsid w:val="00736745"/>
    <w:rsid w:val="00737EB3"/>
    <w:rsid w:val="00740BDA"/>
    <w:rsid w:val="00740DF9"/>
    <w:rsid w:val="00740F4B"/>
    <w:rsid w:val="0074269D"/>
    <w:rsid w:val="007466D3"/>
    <w:rsid w:val="0074727C"/>
    <w:rsid w:val="00747512"/>
    <w:rsid w:val="00747782"/>
    <w:rsid w:val="007506AA"/>
    <w:rsid w:val="0075075A"/>
    <w:rsid w:val="007510AA"/>
    <w:rsid w:val="00751F5D"/>
    <w:rsid w:val="00752540"/>
    <w:rsid w:val="00752ACA"/>
    <w:rsid w:val="00754782"/>
    <w:rsid w:val="00754B11"/>
    <w:rsid w:val="00755890"/>
    <w:rsid w:val="00756CB0"/>
    <w:rsid w:val="0076048F"/>
    <w:rsid w:val="0076079B"/>
    <w:rsid w:val="00760B78"/>
    <w:rsid w:val="0076136B"/>
    <w:rsid w:val="00761947"/>
    <w:rsid w:val="007628F5"/>
    <w:rsid w:val="007633F3"/>
    <w:rsid w:val="00764B80"/>
    <w:rsid w:val="00764F3D"/>
    <w:rsid w:val="007656F4"/>
    <w:rsid w:val="00770752"/>
    <w:rsid w:val="00770FD4"/>
    <w:rsid w:val="007715BD"/>
    <w:rsid w:val="00772253"/>
    <w:rsid w:val="00772885"/>
    <w:rsid w:val="0077320E"/>
    <w:rsid w:val="0077340F"/>
    <w:rsid w:val="007737A3"/>
    <w:rsid w:val="00775072"/>
    <w:rsid w:val="00776834"/>
    <w:rsid w:val="0077740D"/>
    <w:rsid w:val="0077799D"/>
    <w:rsid w:val="0078063B"/>
    <w:rsid w:val="0078215D"/>
    <w:rsid w:val="00782345"/>
    <w:rsid w:val="007853F9"/>
    <w:rsid w:val="00785DE9"/>
    <w:rsid w:val="00786DD1"/>
    <w:rsid w:val="007903E6"/>
    <w:rsid w:val="007908B1"/>
    <w:rsid w:val="00792D77"/>
    <w:rsid w:val="007931A9"/>
    <w:rsid w:val="0079341D"/>
    <w:rsid w:val="00795A2F"/>
    <w:rsid w:val="00795CE6"/>
    <w:rsid w:val="00795DF2"/>
    <w:rsid w:val="00796150"/>
    <w:rsid w:val="00796353"/>
    <w:rsid w:val="007963B6"/>
    <w:rsid w:val="007A0FE8"/>
    <w:rsid w:val="007A2141"/>
    <w:rsid w:val="007A494C"/>
    <w:rsid w:val="007A615E"/>
    <w:rsid w:val="007A6C8C"/>
    <w:rsid w:val="007A6CA3"/>
    <w:rsid w:val="007A6DE1"/>
    <w:rsid w:val="007A77CA"/>
    <w:rsid w:val="007B0285"/>
    <w:rsid w:val="007B0C58"/>
    <w:rsid w:val="007B0D4C"/>
    <w:rsid w:val="007B21E8"/>
    <w:rsid w:val="007B4873"/>
    <w:rsid w:val="007B6BB6"/>
    <w:rsid w:val="007B70DE"/>
    <w:rsid w:val="007B739E"/>
    <w:rsid w:val="007B77CF"/>
    <w:rsid w:val="007C0CEC"/>
    <w:rsid w:val="007C232B"/>
    <w:rsid w:val="007C3C70"/>
    <w:rsid w:val="007C4E1E"/>
    <w:rsid w:val="007C4E22"/>
    <w:rsid w:val="007C58E2"/>
    <w:rsid w:val="007C5C44"/>
    <w:rsid w:val="007C77BC"/>
    <w:rsid w:val="007D326D"/>
    <w:rsid w:val="007D4F59"/>
    <w:rsid w:val="007D6073"/>
    <w:rsid w:val="007D67E4"/>
    <w:rsid w:val="007D6F78"/>
    <w:rsid w:val="007E0F9C"/>
    <w:rsid w:val="007E1386"/>
    <w:rsid w:val="007E194F"/>
    <w:rsid w:val="007E3BEC"/>
    <w:rsid w:val="007E5F0E"/>
    <w:rsid w:val="007E6ACE"/>
    <w:rsid w:val="007E6BB1"/>
    <w:rsid w:val="007E7AB8"/>
    <w:rsid w:val="007F0380"/>
    <w:rsid w:val="007F0FD0"/>
    <w:rsid w:val="007F1435"/>
    <w:rsid w:val="007F15F5"/>
    <w:rsid w:val="007F1FCA"/>
    <w:rsid w:val="007F20C2"/>
    <w:rsid w:val="007F28EF"/>
    <w:rsid w:val="007F2900"/>
    <w:rsid w:val="007F2AC5"/>
    <w:rsid w:val="007F2B56"/>
    <w:rsid w:val="007F2DC1"/>
    <w:rsid w:val="007F3C1A"/>
    <w:rsid w:val="007F4718"/>
    <w:rsid w:val="007F4825"/>
    <w:rsid w:val="007F4A7C"/>
    <w:rsid w:val="007F4D97"/>
    <w:rsid w:val="007F5B94"/>
    <w:rsid w:val="00801ECB"/>
    <w:rsid w:val="00802E7E"/>
    <w:rsid w:val="0080416A"/>
    <w:rsid w:val="00805A66"/>
    <w:rsid w:val="0080730B"/>
    <w:rsid w:val="008073CC"/>
    <w:rsid w:val="00810140"/>
    <w:rsid w:val="00810382"/>
    <w:rsid w:val="00810B31"/>
    <w:rsid w:val="00810DF1"/>
    <w:rsid w:val="00811B82"/>
    <w:rsid w:val="0081332A"/>
    <w:rsid w:val="008139D5"/>
    <w:rsid w:val="00814024"/>
    <w:rsid w:val="00814378"/>
    <w:rsid w:val="008147CF"/>
    <w:rsid w:val="00814B92"/>
    <w:rsid w:val="00814D65"/>
    <w:rsid w:val="00815F35"/>
    <w:rsid w:val="00816500"/>
    <w:rsid w:val="00816EFE"/>
    <w:rsid w:val="00821E31"/>
    <w:rsid w:val="00825DC3"/>
    <w:rsid w:val="00825FB8"/>
    <w:rsid w:val="008260C8"/>
    <w:rsid w:val="008270F0"/>
    <w:rsid w:val="00832082"/>
    <w:rsid w:val="00833291"/>
    <w:rsid w:val="00833CFA"/>
    <w:rsid w:val="00834CAB"/>
    <w:rsid w:val="008362B7"/>
    <w:rsid w:val="008364A9"/>
    <w:rsid w:val="00836A4F"/>
    <w:rsid w:val="00837050"/>
    <w:rsid w:val="008376A0"/>
    <w:rsid w:val="00837CCF"/>
    <w:rsid w:val="0084088B"/>
    <w:rsid w:val="00842067"/>
    <w:rsid w:val="0084232D"/>
    <w:rsid w:val="00842B52"/>
    <w:rsid w:val="00843CBA"/>
    <w:rsid w:val="008448A7"/>
    <w:rsid w:val="00845119"/>
    <w:rsid w:val="00845319"/>
    <w:rsid w:val="008460CB"/>
    <w:rsid w:val="00846D84"/>
    <w:rsid w:val="00847166"/>
    <w:rsid w:val="0084744E"/>
    <w:rsid w:val="008474F3"/>
    <w:rsid w:val="00847527"/>
    <w:rsid w:val="00850653"/>
    <w:rsid w:val="008511D1"/>
    <w:rsid w:val="00851955"/>
    <w:rsid w:val="0085433D"/>
    <w:rsid w:val="008543F4"/>
    <w:rsid w:val="00854AB1"/>
    <w:rsid w:val="00854C5E"/>
    <w:rsid w:val="00854C9C"/>
    <w:rsid w:val="00856532"/>
    <w:rsid w:val="00856998"/>
    <w:rsid w:val="00857B89"/>
    <w:rsid w:val="00860814"/>
    <w:rsid w:val="0086155F"/>
    <w:rsid w:val="00862242"/>
    <w:rsid w:val="00862767"/>
    <w:rsid w:val="00863A60"/>
    <w:rsid w:val="00863EC0"/>
    <w:rsid w:val="00865188"/>
    <w:rsid w:val="0086634E"/>
    <w:rsid w:val="00866993"/>
    <w:rsid w:val="008675E4"/>
    <w:rsid w:val="008729E4"/>
    <w:rsid w:val="0087369F"/>
    <w:rsid w:val="0087420F"/>
    <w:rsid w:val="00874541"/>
    <w:rsid w:val="00877303"/>
    <w:rsid w:val="008828C1"/>
    <w:rsid w:val="00882DE3"/>
    <w:rsid w:val="0088454E"/>
    <w:rsid w:val="00887750"/>
    <w:rsid w:val="00890048"/>
    <w:rsid w:val="008918F5"/>
    <w:rsid w:val="00893294"/>
    <w:rsid w:val="008932C1"/>
    <w:rsid w:val="00893392"/>
    <w:rsid w:val="00894374"/>
    <w:rsid w:val="008958D6"/>
    <w:rsid w:val="0089596F"/>
    <w:rsid w:val="0089644B"/>
    <w:rsid w:val="00897878"/>
    <w:rsid w:val="008A0BEA"/>
    <w:rsid w:val="008A13F4"/>
    <w:rsid w:val="008A2151"/>
    <w:rsid w:val="008A3251"/>
    <w:rsid w:val="008A3661"/>
    <w:rsid w:val="008A42D9"/>
    <w:rsid w:val="008A53E8"/>
    <w:rsid w:val="008A5655"/>
    <w:rsid w:val="008B1220"/>
    <w:rsid w:val="008B18F4"/>
    <w:rsid w:val="008B1941"/>
    <w:rsid w:val="008B20CC"/>
    <w:rsid w:val="008B32AE"/>
    <w:rsid w:val="008B4872"/>
    <w:rsid w:val="008B4CEA"/>
    <w:rsid w:val="008B7ED9"/>
    <w:rsid w:val="008C0223"/>
    <w:rsid w:val="008C0F80"/>
    <w:rsid w:val="008C1375"/>
    <w:rsid w:val="008C2F4E"/>
    <w:rsid w:val="008C4665"/>
    <w:rsid w:val="008C5100"/>
    <w:rsid w:val="008C76A0"/>
    <w:rsid w:val="008C7B1B"/>
    <w:rsid w:val="008C7CF6"/>
    <w:rsid w:val="008D012E"/>
    <w:rsid w:val="008D2E71"/>
    <w:rsid w:val="008D376B"/>
    <w:rsid w:val="008D4120"/>
    <w:rsid w:val="008D4E63"/>
    <w:rsid w:val="008D6F4A"/>
    <w:rsid w:val="008D72B7"/>
    <w:rsid w:val="008E0032"/>
    <w:rsid w:val="008E0390"/>
    <w:rsid w:val="008E0581"/>
    <w:rsid w:val="008E0725"/>
    <w:rsid w:val="008E1634"/>
    <w:rsid w:val="008E1EAC"/>
    <w:rsid w:val="008E32DC"/>
    <w:rsid w:val="008E3910"/>
    <w:rsid w:val="008E478B"/>
    <w:rsid w:val="008E4FB2"/>
    <w:rsid w:val="008E6C93"/>
    <w:rsid w:val="008E6CD0"/>
    <w:rsid w:val="008E77FD"/>
    <w:rsid w:val="008E7878"/>
    <w:rsid w:val="008E7BFE"/>
    <w:rsid w:val="008F05AB"/>
    <w:rsid w:val="008F0611"/>
    <w:rsid w:val="008F15FB"/>
    <w:rsid w:val="008F1DAD"/>
    <w:rsid w:val="008F3F10"/>
    <w:rsid w:val="008F630C"/>
    <w:rsid w:val="008F6B34"/>
    <w:rsid w:val="00900D71"/>
    <w:rsid w:val="00900FE7"/>
    <w:rsid w:val="009022C0"/>
    <w:rsid w:val="009038DC"/>
    <w:rsid w:val="00903ACC"/>
    <w:rsid w:val="009042F0"/>
    <w:rsid w:val="00905798"/>
    <w:rsid w:val="0090625A"/>
    <w:rsid w:val="009062F9"/>
    <w:rsid w:val="00906B0C"/>
    <w:rsid w:val="009077B0"/>
    <w:rsid w:val="009101F9"/>
    <w:rsid w:val="009120E6"/>
    <w:rsid w:val="00912BB4"/>
    <w:rsid w:val="0091382B"/>
    <w:rsid w:val="00913E68"/>
    <w:rsid w:val="00914A2D"/>
    <w:rsid w:val="00915388"/>
    <w:rsid w:val="00915B73"/>
    <w:rsid w:val="00915E73"/>
    <w:rsid w:val="00916BD5"/>
    <w:rsid w:val="00917A62"/>
    <w:rsid w:val="00920304"/>
    <w:rsid w:val="00922451"/>
    <w:rsid w:val="00923288"/>
    <w:rsid w:val="00923BD5"/>
    <w:rsid w:val="00927141"/>
    <w:rsid w:val="00927423"/>
    <w:rsid w:val="00930B5D"/>
    <w:rsid w:val="00931C5E"/>
    <w:rsid w:val="0093225A"/>
    <w:rsid w:val="009324C3"/>
    <w:rsid w:val="009336CE"/>
    <w:rsid w:val="00933DA6"/>
    <w:rsid w:val="00933EC8"/>
    <w:rsid w:val="00935461"/>
    <w:rsid w:val="00936245"/>
    <w:rsid w:val="0093649A"/>
    <w:rsid w:val="009369DC"/>
    <w:rsid w:val="009370D5"/>
    <w:rsid w:val="00937EA6"/>
    <w:rsid w:val="00940F45"/>
    <w:rsid w:val="00941AED"/>
    <w:rsid w:val="0094256D"/>
    <w:rsid w:val="00943224"/>
    <w:rsid w:val="00944F7D"/>
    <w:rsid w:val="009459E3"/>
    <w:rsid w:val="00945A4D"/>
    <w:rsid w:val="0094614B"/>
    <w:rsid w:val="009475E4"/>
    <w:rsid w:val="009477B4"/>
    <w:rsid w:val="00951A02"/>
    <w:rsid w:val="00952016"/>
    <w:rsid w:val="00952D20"/>
    <w:rsid w:val="00952D32"/>
    <w:rsid w:val="00954BD0"/>
    <w:rsid w:val="00961327"/>
    <w:rsid w:val="00962308"/>
    <w:rsid w:val="009624EF"/>
    <w:rsid w:val="009641CA"/>
    <w:rsid w:val="009652D5"/>
    <w:rsid w:val="00966C9B"/>
    <w:rsid w:val="009672A8"/>
    <w:rsid w:val="00967547"/>
    <w:rsid w:val="00967A5C"/>
    <w:rsid w:val="00974744"/>
    <w:rsid w:val="00974DC8"/>
    <w:rsid w:val="0097537C"/>
    <w:rsid w:val="00975E03"/>
    <w:rsid w:val="009776FA"/>
    <w:rsid w:val="0098162C"/>
    <w:rsid w:val="009838CF"/>
    <w:rsid w:val="009839E7"/>
    <w:rsid w:val="00983A3F"/>
    <w:rsid w:val="0098453D"/>
    <w:rsid w:val="009846CA"/>
    <w:rsid w:val="009847EB"/>
    <w:rsid w:val="00987090"/>
    <w:rsid w:val="009875C9"/>
    <w:rsid w:val="00990239"/>
    <w:rsid w:val="00990317"/>
    <w:rsid w:val="009905B8"/>
    <w:rsid w:val="00990681"/>
    <w:rsid w:val="009920A1"/>
    <w:rsid w:val="00992D16"/>
    <w:rsid w:val="009939CB"/>
    <w:rsid w:val="00993A77"/>
    <w:rsid w:val="00993EE6"/>
    <w:rsid w:val="00994A54"/>
    <w:rsid w:val="00995DDC"/>
    <w:rsid w:val="009A14BE"/>
    <w:rsid w:val="009A24E2"/>
    <w:rsid w:val="009A285A"/>
    <w:rsid w:val="009A2991"/>
    <w:rsid w:val="009A2B16"/>
    <w:rsid w:val="009A375E"/>
    <w:rsid w:val="009A3AEF"/>
    <w:rsid w:val="009A4BA4"/>
    <w:rsid w:val="009A72F1"/>
    <w:rsid w:val="009A7787"/>
    <w:rsid w:val="009A7ABE"/>
    <w:rsid w:val="009B09AB"/>
    <w:rsid w:val="009B116E"/>
    <w:rsid w:val="009B1266"/>
    <w:rsid w:val="009B23B7"/>
    <w:rsid w:val="009B2DC8"/>
    <w:rsid w:val="009B3851"/>
    <w:rsid w:val="009B425A"/>
    <w:rsid w:val="009B5647"/>
    <w:rsid w:val="009B695D"/>
    <w:rsid w:val="009B7839"/>
    <w:rsid w:val="009C0A6B"/>
    <w:rsid w:val="009C0BF1"/>
    <w:rsid w:val="009C1114"/>
    <w:rsid w:val="009C13B3"/>
    <w:rsid w:val="009C1550"/>
    <w:rsid w:val="009C376A"/>
    <w:rsid w:val="009C48F2"/>
    <w:rsid w:val="009C6834"/>
    <w:rsid w:val="009C6B5B"/>
    <w:rsid w:val="009C6D13"/>
    <w:rsid w:val="009D07D9"/>
    <w:rsid w:val="009D0EE7"/>
    <w:rsid w:val="009D111D"/>
    <w:rsid w:val="009D18FF"/>
    <w:rsid w:val="009D1FD6"/>
    <w:rsid w:val="009D300D"/>
    <w:rsid w:val="009D3DC4"/>
    <w:rsid w:val="009D3EAA"/>
    <w:rsid w:val="009D5056"/>
    <w:rsid w:val="009D77B5"/>
    <w:rsid w:val="009E0323"/>
    <w:rsid w:val="009E0FF5"/>
    <w:rsid w:val="009E24E4"/>
    <w:rsid w:val="009E2CCC"/>
    <w:rsid w:val="009E56B3"/>
    <w:rsid w:val="009E5D5C"/>
    <w:rsid w:val="009E7299"/>
    <w:rsid w:val="009E7B8B"/>
    <w:rsid w:val="009F002C"/>
    <w:rsid w:val="009F24CF"/>
    <w:rsid w:val="009F2EFE"/>
    <w:rsid w:val="009F4708"/>
    <w:rsid w:val="009F4765"/>
    <w:rsid w:val="009F4F81"/>
    <w:rsid w:val="009F510B"/>
    <w:rsid w:val="009F5D2C"/>
    <w:rsid w:val="009F7877"/>
    <w:rsid w:val="009F79EE"/>
    <w:rsid w:val="00A0096D"/>
    <w:rsid w:val="00A0180A"/>
    <w:rsid w:val="00A039CD"/>
    <w:rsid w:val="00A04437"/>
    <w:rsid w:val="00A04C3A"/>
    <w:rsid w:val="00A06830"/>
    <w:rsid w:val="00A068AA"/>
    <w:rsid w:val="00A06ADE"/>
    <w:rsid w:val="00A07599"/>
    <w:rsid w:val="00A128FE"/>
    <w:rsid w:val="00A13384"/>
    <w:rsid w:val="00A14C6E"/>
    <w:rsid w:val="00A154D8"/>
    <w:rsid w:val="00A15923"/>
    <w:rsid w:val="00A165D7"/>
    <w:rsid w:val="00A20CFF"/>
    <w:rsid w:val="00A22154"/>
    <w:rsid w:val="00A2288B"/>
    <w:rsid w:val="00A2383B"/>
    <w:rsid w:val="00A24AF1"/>
    <w:rsid w:val="00A261FF"/>
    <w:rsid w:val="00A264D0"/>
    <w:rsid w:val="00A268C1"/>
    <w:rsid w:val="00A30555"/>
    <w:rsid w:val="00A30764"/>
    <w:rsid w:val="00A30939"/>
    <w:rsid w:val="00A327FE"/>
    <w:rsid w:val="00A32DE1"/>
    <w:rsid w:val="00A36FC4"/>
    <w:rsid w:val="00A37E43"/>
    <w:rsid w:val="00A37E86"/>
    <w:rsid w:val="00A437D5"/>
    <w:rsid w:val="00A526B1"/>
    <w:rsid w:val="00A54FA0"/>
    <w:rsid w:val="00A5549B"/>
    <w:rsid w:val="00A61E1B"/>
    <w:rsid w:val="00A64DDF"/>
    <w:rsid w:val="00A64F35"/>
    <w:rsid w:val="00A657E7"/>
    <w:rsid w:val="00A65FD8"/>
    <w:rsid w:val="00A663D7"/>
    <w:rsid w:val="00A66D94"/>
    <w:rsid w:val="00A67A5B"/>
    <w:rsid w:val="00A72D6C"/>
    <w:rsid w:val="00A748AC"/>
    <w:rsid w:val="00A74A15"/>
    <w:rsid w:val="00A755BF"/>
    <w:rsid w:val="00A76F55"/>
    <w:rsid w:val="00A77776"/>
    <w:rsid w:val="00A7793D"/>
    <w:rsid w:val="00A813EE"/>
    <w:rsid w:val="00A82176"/>
    <w:rsid w:val="00A821DA"/>
    <w:rsid w:val="00A82F9D"/>
    <w:rsid w:val="00A833A0"/>
    <w:rsid w:val="00A84614"/>
    <w:rsid w:val="00A84D6B"/>
    <w:rsid w:val="00A92297"/>
    <w:rsid w:val="00A94046"/>
    <w:rsid w:val="00A94F1D"/>
    <w:rsid w:val="00A96B21"/>
    <w:rsid w:val="00A97BCC"/>
    <w:rsid w:val="00A97C06"/>
    <w:rsid w:val="00AA0574"/>
    <w:rsid w:val="00AA1560"/>
    <w:rsid w:val="00AA1A10"/>
    <w:rsid w:val="00AA1D26"/>
    <w:rsid w:val="00AA30B4"/>
    <w:rsid w:val="00AA3108"/>
    <w:rsid w:val="00AA3A0E"/>
    <w:rsid w:val="00AA5432"/>
    <w:rsid w:val="00AA60D6"/>
    <w:rsid w:val="00AA6ACA"/>
    <w:rsid w:val="00AA70CA"/>
    <w:rsid w:val="00AA757B"/>
    <w:rsid w:val="00AB0160"/>
    <w:rsid w:val="00AB0F4E"/>
    <w:rsid w:val="00AB1116"/>
    <w:rsid w:val="00AB2056"/>
    <w:rsid w:val="00AB535A"/>
    <w:rsid w:val="00AB5BC9"/>
    <w:rsid w:val="00AB6C28"/>
    <w:rsid w:val="00AB6F91"/>
    <w:rsid w:val="00AB7014"/>
    <w:rsid w:val="00AC0C86"/>
    <w:rsid w:val="00AC13B7"/>
    <w:rsid w:val="00AC39EC"/>
    <w:rsid w:val="00AC699C"/>
    <w:rsid w:val="00AC6B60"/>
    <w:rsid w:val="00AC7A84"/>
    <w:rsid w:val="00AC7C62"/>
    <w:rsid w:val="00AD22F0"/>
    <w:rsid w:val="00AD2C3F"/>
    <w:rsid w:val="00AD32F8"/>
    <w:rsid w:val="00AD3685"/>
    <w:rsid w:val="00AD47C6"/>
    <w:rsid w:val="00AD6EFF"/>
    <w:rsid w:val="00AE1A95"/>
    <w:rsid w:val="00AE4222"/>
    <w:rsid w:val="00AE4979"/>
    <w:rsid w:val="00AE4B78"/>
    <w:rsid w:val="00AE61F9"/>
    <w:rsid w:val="00AE641A"/>
    <w:rsid w:val="00AE69BB"/>
    <w:rsid w:val="00AE6FD5"/>
    <w:rsid w:val="00AF1D65"/>
    <w:rsid w:val="00AF40F8"/>
    <w:rsid w:val="00AF51EE"/>
    <w:rsid w:val="00AF56A0"/>
    <w:rsid w:val="00AF6551"/>
    <w:rsid w:val="00AF6C70"/>
    <w:rsid w:val="00B000B7"/>
    <w:rsid w:val="00B02A2D"/>
    <w:rsid w:val="00B032FD"/>
    <w:rsid w:val="00B0332C"/>
    <w:rsid w:val="00B03DA3"/>
    <w:rsid w:val="00B0447C"/>
    <w:rsid w:val="00B04558"/>
    <w:rsid w:val="00B04C3F"/>
    <w:rsid w:val="00B055D0"/>
    <w:rsid w:val="00B05899"/>
    <w:rsid w:val="00B06481"/>
    <w:rsid w:val="00B119D9"/>
    <w:rsid w:val="00B127CB"/>
    <w:rsid w:val="00B13425"/>
    <w:rsid w:val="00B2009E"/>
    <w:rsid w:val="00B226C6"/>
    <w:rsid w:val="00B23969"/>
    <w:rsid w:val="00B2400E"/>
    <w:rsid w:val="00B24B02"/>
    <w:rsid w:val="00B260A4"/>
    <w:rsid w:val="00B2638A"/>
    <w:rsid w:val="00B2798D"/>
    <w:rsid w:val="00B30A30"/>
    <w:rsid w:val="00B312A2"/>
    <w:rsid w:val="00B32A77"/>
    <w:rsid w:val="00B33307"/>
    <w:rsid w:val="00B33A4A"/>
    <w:rsid w:val="00B36EA9"/>
    <w:rsid w:val="00B40006"/>
    <w:rsid w:val="00B401E5"/>
    <w:rsid w:val="00B40371"/>
    <w:rsid w:val="00B41FC8"/>
    <w:rsid w:val="00B44195"/>
    <w:rsid w:val="00B44629"/>
    <w:rsid w:val="00B446C0"/>
    <w:rsid w:val="00B44D5E"/>
    <w:rsid w:val="00B450E9"/>
    <w:rsid w:val="00B45B75"/>
    <w:rsid w:val="00B46180"/>
    <w:rsid w:val="00B46515"/>
    <w:rsid w:val="00B46A1E"/>
    <w:rsid w:val="00B47340"/>
    <w:rsid w:val="00B47EC2"/>
    <w:rsid w:val="00B50E96"/>
    <w:rsid w:val="00B51352"/>
    <w:rsid w:val="00B514E8"/>
    <w:rsid w:val="00B517CB"/>
    <w:rsid w:val="00B51A9A"/>
    <w:rsid w:val="00B520FC"/>
    <w:rsid w:val="00B5225A"/>
    <w:rsid w:val="00B52B0F"/>
    <w:rsid w:val="00B52D33"/>
    <w:rsid w:val="00B5373A"/>
    <w:rsid w:val="00B55C48"/>
    <w:rsid w:val="00B55E9B"/>
    <w:rsid w:val="00B56F2E"/>
    <w:rsid w:val="00B60C58"/>
    <w:rsid w:val="00B616B4"/>
    <w:rsid w:val="00B635F0"/>
    <w:rsid w:val="00B63719"/>
    <w:rsid w:val="00B65462"/>
    <w:rsid w:val="00B6720B"/>
    <w:rsid w:val="00B676A6"/>
    <w:rsid w:val="00B70F38"/>
    <w:rsid w:val="00B714AE"/>
    <w:rsid w:val="00B73097"/>
    <w:rsid w:val="00B73407"/>
    <w:rsid w:val="00B75134"/>
    <w:rsid w:val="00B75437"/>
    <w:rsid w:val="00B76386"/>
    <w:rsid w:val="00B76E60"/>
    <w:rsid w:val="00B77680"/>
    <w:rsid w:val="00B77A4D"/>
    <w:rsid w:val="00B80949"/>
    <w:rsid w:val="00B81542"/>
    <w:rsid w:val="00B82456"/>
    <w:rsid w:val="00B82CB9"/>
    <w:rsid w:val="00B83CF4"/>
    <w:rsid w:val="00B83D4E"/>
    <w:rsid w:val="00B83D85"/>
    <w:rsid w:val="00B83F85"/>
    <w:rsid w:val="00B8536F"/>
    <w:rsid w:val="00B854F7"/>
    <w:rsid w:val="00B85715"/>
    <w:rsid w:val="00B859EF"/>
    <w:rsid w:val="00B85A9C"/>
    <w:rsid w:val="00B85E15"/>
    <w:rsid w:val="00B85F56"/>
    <w:rsid w:val="00B866C8"/>
    <w:rsid w:val="00B866EF"/>
    <w:rsid w:val="00B91323"/>
    <w:rsid w:val="00B914C6"/>
    <w:rsid w:val="00B93BCC"/>
    <w:rsid w:val="00B97414"/>
    <w:rsid w:val="00B97B9B"/>
    <w:rsid w:val="00B97BBE"/>
    <w:rsid w:val="00BA0A9E"/>
    <w:rsid w:val="00BA50E9"/>
    <w:rsid w:val="00BA5110"/>
    <w:rsid w:val="00BA52C1"/>
    <w:rsid w:val="00BA584F"/>
    <w:rsid w:val="00BA699D"/>
    <w:rsid w:val="00BA7C78"/>
    <w:rsid w:val="00BB02C5"/>
    <w:rsid w:val="00BB07F9"/>
    <w:rsid w:val="00BB1D2E"/>
    <w:rsid w:val="00BB2470"/>
    <w:rsid w:val="00BB2C05"/>
    <w:rsid w:val="00BB2FFC"/>
    <w:rsid w:val="00BB3EE8"/>
    <w:rsid w:val="00BB4776"/>
    <w:rsid w:val="00BB5F2D"/>
    <w:rsid w:val="00BB6110"/>
    <w:rsid w:val="00BB790A"/>
    <w:rsid w:val="00BB7EB9"/>
    <w:rsid w:val="00BC2414"/>
    <w:rsid w:val="00BC27DC"/>
    <w:rsid w:val="00BC370F"/>
    <w:rsid w:val="00BC4526"/>
    <w:rsid w:val="00BC45AD"/>
    <w:rsid w:val="00BC658B"/>
    <w:rsid w:val="00BC6CDB"/>
    <w:rsid w:val="00BD120C"/>
    <w:rsid w:val="00BD25D1"/>
    <w:rsid w:val="00BD2B08"/>
    <w:rsid w:val="00BD5EF2"/>
    <w:rsid w:val="00BE5B8B"/>
    <w:rsid w:val="00BE7CEC"/>
    <w:rsid w:val="00BF00AC"/>
    <w:rsid w:val="00BF04BD"/>
    <w:rsid w:val="00BF14FE"/>
    <w:rsid w:val="00BF5862"/>
    <w:rsid w:val="00BF78AA"/>
    <w:rsid w:val="00BF78EB"/>
    <w:rsid w:val="00BF7C39"/>
    <w:rsid w:val="00C0069B"/>
    <w:rsid w:val="00C02F28"/>
    <w:rsid w:val="00C04275"/>
    <w:rsid w:val="00C0451F"/>
    <w:rsid w:val="00C057C4"/>
    <w:rsid w:val="00C059A8"/>
    <w:rsid w:val="00C06A85"/>
    <w:rsid w:val="00C06EE3"/>
    <w:rsid w:val="00C11CF8"/>
    <w:rsid w:val="00C134F7"/>
    <w:rsid w:val="00C13F04"/>
    <w:rsid w:val="00C14A3F"/>
    <w:rsid w:val="00C14E6B"/>
    <w:rsid w:val="00C15CBD"/>
    <w:rsid w:val="00C166A5"/>
    <w:rsid w:val="00C16B24"/>
    <w:rsid w:val="00C16D23"/>
    <w:rsid w:val="00C20BE4"/>
    <w:rsid w:val="00C216A6"/>
    <w:rsid w:val="00C229A1"/>
    <w:rsid w:val="00C2320E"/>
    <w:rsid w:val="00C2354A"/>
    <w:rsid w:val="00C237C7"/>
    <w:rsid w:val="00C24171"/>
    <w:rsid w:val="00C24929"/>
    <w:rsid w:val="00C262C6"/>
    <w:rsid w:val="00C26922"/>
    <w:rsid w:val="00C26A93"/>
    <w:rsid w:val="00C26D18"/>
    <w:rsid w:val="00C31AE7"/>
    <w:rsid w:val="00C31DD3"/>
    <w:rsid w:val="00C31F8D"/>
    <w:rsid w:val="00C320AB"/>
    <w:rsid w:val="00C32195"/>
    <w:rsid w:val="00C327F3"/>
    <w:rsid w:val="00C35848"/>
    <w:rsid w:val="00C36BBB"/>
    <w:rsid w:val="00C37C2F"/>
    <w:rsid w:val="00C40C33"/>
    <w:rsid w:val="00C413D6"/>
    <w:rsid w:val="00C41F26"/>
    <w:rsid w:val="00C4308E"/>
    <w:rsid w:val="00C43704"/>
    <w:rsid w:val="00C4542B"/>
    <w:rsid w:val="00C45A54"/>
    <w:rsid w:val="00C4631F"/>
    <w:rsid w:val="00C47836"/>
    <w:rsid w:val="00C502BB"/>
    <w:rsid w:val="00C50613"/>
    <w:rsid w:val="00C51340"/>
    <w:rsid w:val="00C52F81"/>
    <w:rsid w:val="00C539B2"/>
    <w:rsid w:val="00C53FE6"/>
    <w:rsid w:val="00C5534E"/>
    <w:rsid w:val="00C56A89"/>
    <w:rsid w:val="00C6012E"/>
    <w:rsid w:val="00C61A10"/>
    <w:rsid w:val="00C62AD3"/>
    <w:rsid w:val="00C65907"/>
    <w:rsid w:val="00C65CDE"/>
    <w:rsid w:val="00C66153"/>
    <w:rsid w:val="00C66F01"/>
    <w:rsid w:val="00C707E3"/>
    <w:rsid w:val="00C727A7"/>
    <w:rsid w:val="00C742E3"/>
    <w:rsid w:val="00C74BE6"/>
    <w:rsid w:val="00C751C8"/>
    <w:rsid w:val="00C7576D"/>
    <w:rsid w:val="00C767E4"/>
    <w:rsid w:val="00C80286"/>
    <w:rsid w:val="00C80391"/>
    <w:rsid w:val="00C80935"/>
    <w:rsid w:val="00C8106E"/>
    <w:rsid w:val="00C810D1"/>
    <w:rsid w:val="00C81363"/>
    <w:rsid w:val="00C81403"/>
    <w:rsid w:val="00C823E6"/>
    <w:rsid w:val="00C8261F"/>
    <w:rsid w:val="00C82C98"/>
    <w:rsid w:val="00C83B25"/>
    <w:rsid w:val="00C83CD2"/>
    <w:rsid w:val="00C84D7C"/>
    <w:rsid w:val="00C84F55"/>
    <w:rsid w:val="00C8515C"/>
    <w:rsid w:val="00C85659"/>
    <w:rsid w:val="00C859CA"/>
    <w:rsid w:val="00C86BB6"/>
    <w:rsid w:val="00C90918"/>
    <w:rsid w:val="00C909AC"/>
    <w:rsid w:val="00C92097"/>
    <w:rsid w:val="00C947BF"/>
    <w:rsid w:val="00C95902"/>
    <w:rsid w:val="00C95F2E"/>
    <w:rsid w:val="00C962C8"/>
    <w:rsid w:val="00C97B84"/>
    <w:rsid w:val="00CA24AC"/>
    <w:rsid w:val="00CA320F"/>
    <w:rsid w:val="00CA36AF"/>
    <w:rsid w:val="00CA4845"/>
    <w:rsid w:val="00CA6519"/>
    <w:rsid w:val="00CA7303"/>
    <w:rsid w:val="00CA7851"/>
    <w:rsid w:val="00CB01D3"/>
    <w:rsid w:val="00CB196D"/>
    <w:rsid w:val="00CB3E96"/>
    <w:rsid w:val="00CB6358"/>
    <w:rsid w:val="00CB6FB5"/>
    <w:rsid w:val="00CC0188"/>
    <w:rsid w:val="00CC01F2"/>
    <w:rsid w:val="00CC08AE"/>
    <w:rsid w:val="00CC0D8F"/>
    <w:rsid w:val="00CC384D"/>
    <w:rsid w:val="00CC3B57"/>
    <w:rsid w:val="00CC4841"/>
    <w:rsid w:val="00CC4A07"/>
    <w:rsid w:val="00CC4D9E"/>
    <w:rsid w:val="00CC7CB1"/>
    <w:rsid w:val="00CC7E8E"/>
    <w:rsid w:val="00CD060A"/>
    <w:rsid w:val="00CD26C3"/>
    <w:rsid w:val="00CD2E8D"/>
    <w:rsid w:val="00CD31BF"/>
    <w:rsid w:val="00CD32DA"/>
    <w:rsid w:val="00CD3CC4"/>
    <w:rsid w:val="00CD440A"/>
    <w:rsid w:val="00CD4927"/>
    <w:rsid w:val="00CD6C65"/>
    <w:rsid w:val="00CE2D7F"/>
    <w:rsid w:val="00CE3A44"/>
    <w:rsid w:val="00CE3BAF"/>
    <w:rsid w:val="00CE3D28"/>
    <w:rsid w:val="00CE5A58"/>
    <w:rsid w:val="00CF058E"/>
    <w:rsid w:val="00CF4597"/>
    <w:rsid w:val="00CF535F"/>
    <w:rsid w:val="00CF70AB"/>
    <w:rsid w:val="00CF7D48"/>
    <w:rsid w:val="00D001BA"/>
    <w:rsid w:val="00D03170"/>
    <w:rsid w:val="00D040FA"/>
    <w:rsid w:val="00D0551E"/>
    <w:rsid w:val="00D060EC"/>
    <w:rsid w:val="00D10C16"/>
    <w:rsid w:val="00D11C1C"/>
    <w:rsid w:val="00D1244F"/>
    <w:rsid w:val="00D1278F"/>
    <w:rsid w:val="00D12F14"/>
    <w:rsid w:val="00D13598"/>
    <w:rsid w:val="00D152DA"/>
    <w:rsid w:val="00D15371"/>
    <w:rsid w:val="00D154E8"/>
    <w:rsid w:val="00D16318"/>
    <w:rsid w:val="00D16588"/>
    <w:rsid w:val="00D16C7E"/>
    <w:rsid w:val="00D20B28"/>
    <w:rsid w:val="00D24308"/>
    <w:rsid w:val="00D26FC9"/>
    <w:rsid w:val="00D27398"/>
    <w:rsid w:val="00D30493"/>
    <w:rsid w:val="00D3059B"/>
    <w:rsid w:val="00D32130"/>
    <w:rsid w:val="00D35669"/>
    <w:rsid w:val="00D35D64"/>
    <w:rsid w:val="00D36024"/>
    <w:rsid w:val="00D40DAE"/>
    <w:rsid w:val="00D413A3"/>
    <w:rsid w:val="00D41B01"/>
    <w:rsid w:val="00D41FFF"/>
    <w:rsid w:val="00D4211D"/>
    <w:rsid w:val="00D42AAD"/>
    <w:rsid w:val="00D42AF4"/>
    <w:rsid w:val="00D44DA7"/>
    <w:rsid w:val="00D517FE"/>
    <w:rsid w:val="00D518BF"/>
    <w:rsid w:val="00D52126"/>
    <w:rsid w:val="00D5442D"/>
    <w:rsid w:val="00D5458E"/>
    <w:rsid w:val="00D54AEE"/>
    <w:rsid w:val="00D55442"/>
    <w:rsid w:val="00D56182"/>
    <w:rsid w:val="00D56358"/>
    <w:rsid w:val="00D56500"/>
    <w:rsid w:val="00D567AB"/>
    <w:rsid w:val="00D56F91"/>
    <w:rsid w:val="00D60046"/>
    <w:rsid w:val="00D60B86"/>
    <w:rsid w:val="00D61A76"/>
    <w:rsid w:val="00D62019"/>
    <w:rsid w:val="00D62C61"/>
    <w:rsid w:val="00D62E84"/>
    <w:rsid w:val="00D6305E"/>
    <w:rsid w:val="00D631B7"/>
    <w:rsid w:val="00D64FBD"/>
    <w:rsid w:val="00D652DF"/>
    <w:rsid w:val="00D6544B"/>
    <w:rsid w:val="00D66316"/>
    <w:rsid w:val="00D703A3"/>
    <w:rsid w:val="00D70FC8"/>
    <w:rsid w:val="00D713F4"/>
    <w:rsid w:val="00D71FFB"/>
    <w:rsid w:val="00D74113"/>
    <w:rsid w:val="00D743FC"/>
    <w:rsid w:val="00D74DD8"/>
    <w:rsid w:val="00D75069"/>
    <w:rsid w:val="00D7552C"/>
    <w:rsid w:val="00D75DF0"/>
    <w:rsid w:val="00D75ED2"/>
    <w:rsid w:val="00D761F4"/>
    <w:rsid w:val="00D7628B"/>
    <w:rsid w:val="00D76782"/>
    <w:rsid w:val="00D8001E"/>
    <w:rsid w:val="00D80A48"/>
    <w:rsid w:val="00D8116A"/>
    <w:rsid w:val="00D81826"/>
    <w:rsid w:val="00D822D3"/>
    <w:rsid w:val="00D82ACD"/>
    <w:rsid w:val="00D84A6A"/>
    <w:rsid w:val="00D84B69"/>
    <w:rsid w:val="00D85032"/>
    <w:rsid w:val="00D8583E"/>
    <w:rsid w:val="00D86084"/>
    <w:rsid w:val="00D875F2"/>
    <w:rsid w:val="00D87690"/>
    <w:rsid w:val="00D87E1F"/>
    <w:rsid w:val="00D9296D"/>
    <w:rsid w:val="00D930C7"/>
    <w:rsid w:val="00D932DC"/>
    <w:rsid w:val="00D941F0"/>
    <w:rsid w:val="00D945CE"/>
    <w:rsid w:val="00D94FC5"/>
    <w:rsid w:val="00D95259"/>
    <w:rsid w:val="00D97C30"/>
    <w:rsid w:val="00DA0309"/>
    <w:rsid w:val="00DA0D59"/>
    <w:rsid w:val="00DA2F47"/>
    <w:rsid w:val="00DA2F5E"/>
    <w:rsid w:val="00DA492E"/>
    <w:rsid w:val="00DA64FE"/>
    <w:rsid w:val="00DA6F5B"/>
    <w:rsid w:val="00DB067A"/>
    <w:rsid w:val="00DB21A2"/>
    <w:rsid w:val="00DB55BE"/>
    <w:rsid w:val="00DB6CA6"/>
    <w:rsid w:val="00DB7E8D"/>
    <w:rsid w:val="00DC0327"/>
    <w:rsid w:val="00DC0E99"/>
    <w:rsid w:val="00DC18A9"/>
    <w:rsid w:val="00DC1DF4"/>
    <w:rsid w:val="00DC23B0"/>
    <w:rsid w:val="00DC2878"/>
    <w:rsid w:val="00DC549A"/>
    <w:rsid w:val="00DC6141"/>
    <w:rsid w:val="00DC6EA1"/>
    <w:rsid w:val="00DD04BA"/>
    <w:rsid w:val="00DD0759"/>
    <w:rsid w:val="00DD07BA"/>
    <w:rsid w:val="00DD13E1"/>
    <w:rsid w:val="00DD1755"/>
    <w:rsid w:val="00DD4EC9"/>
    <w:rsid w:val="00DD586F"/>
    <w:rsid w:val="00DD5A83"/>
    <w:rsid w:val="00DD7587"/>
    <w:rsid w:val="00DE0BC4"/>
    <w:rsid w:val="00DE0D22"/>
    <w:rsid w:val="00DE111E"/>
    <w:rsid w:val="00DE6C40"/>
    <w:rsid w:val="00DF1690"/>
    <w:rsid w:val="00DF1722"/>
    <w:rsid w:val="00DF1A0D"/>
    <w:rsid w:val="00DF21EF"/>
    <w:rsid w:val="00DF23DF"/>
    <w:rsid w:val="00DF4F84"/>
    <w:rsid w:val="00DF63B0"/>
    <w:rsid w:val="00E008D4"/>
    <w:rsid w:val="00E01227"/>
    <w:rsid w:val="00E0132D"/>
    <w:rsid w:val="00E01E83"/>
    <w:rsid w:val="00E0243D"/>
    <w:rsid w:val="00E0357B"/>
    <w:rsid w:val="00E05B2C"/>
    <w:rsid w:val="00E062E5"/>
    <w:rsid w:val="00E10055"/>
    <w:rsid w:val="00E10A84"/>
    <w:rsid w:val="00E11008"/>
    <w:rsid w:val="00E11B20"/>
    <w:rsid w:val="00E12717"/>
    <w:rsid w:val="00E13C63"/>
    <w:rsid w:val="00E15247"/>
    <w:rsid w:val="00E1597C"/>
    <w:rsid w:val="00E17D39"/>
    <w:rsid w:val="00E21A7B"/>
    <w:rsid w:val="00E2248F"/>
    <w:rsid w:val="00E22DDB"/>
    <w:rsid w:val="00E2400E"/>
    <w:rsid w:val="00E24225"/>
    <w:rsid w:val="00E24496"/>
    <w:rsid w:val="00E245F7"/>
    <w:rsid w:val="00E250AE"/>
    <w:rsid w:val="00E2572F"/>
    <w:rsid w:val="00E259C1"/>
    <w:rsid w:val="00E26810"/>
    <w:rsid w:val="00E26920"/>
    <w:rsid w:val="00E27523"/>
    <w:rsid w:val="00E300BD"/>
    <w:rsid w:val="00E32E37"/>
    <w:rsid w:val="00E32F36"/>
    <w:rsid w:val="00E33124"/>
    <w:rsid w:val="00E3376A"/>
    <w:rsid w:val="00E33A58"/>
    <w:rsid w:val="00E3582A"/>
    <w:rsid w:val="00E360CC"/>
    <w:rsid w:val="00E36236"/>
    <w:rsid w:val="00E370FD"/>
    <w:rsid w:val="00E37884"/>
    <w:rsid w:val="00E3792E"/>
    <w:rsid w:val="00E40946"/>
    <w:rsid w:val="00E4197B"/>
    <w:rsid w:val="00E41A44"/>
    <w:rsid w:val="00E424C7"/>
    <w:rsid w:val="00E46B14"/>
    <w:rsid w:val="00E46CF4"/>
    <w:rsid w:val="00E50E1A"/>
    <w:rsid w:val="00E523AC"/>
    <w:rsid w:val="00E534A0"/>
    <w:rsid w:val="00E53E50"/>
    <w:rsid w:val="00E53F37"/>
    <w:rsid w:val="00E5567D"/>
    <w:rsid w:val="00E559DE"/>
    <w:rsid w:val="00E5635C"/>
    <w:rsid w:val="00E57588"/>
    <w:rsid w:val="00E609CE"/>
    <w:rsid w:val="00E610D3"/>
    <w:rsid w:val="00E61206"/>
    <w:rsid w:val="00E63720"/>
    <w:rsid w:val="00E64814"/>
    <w:rsid w:val="00E706C1"/>
    <w:rsid w:val="00E725F6"/>
    <w:rsid w:val="00E73175"/>
    <w:rsid w:val="00E759DF"/>
    <w:rsid w:val="00E766E4"/>
    <w:rsid w:val="00E77345"/>
    <w:rsid w:val="00E7750C"/>
    <w:rsid w:val="00E77CC8"/>
    <w:rsid w:val="00E8034F"/>
    <w:rsid w:val="00E8044A"/>
    <w:rsid w:val="00E81817"/>
    <w:rsid w:val="00E824B6"/>
    <w:rsid w:val="00E825DD"/>
    <w:rsid w:val="00E83F27"/>
    <w:rsid w:val="00E8435A"/>
    <w:rsid w:val="00E8464F"/>
    <w:rsid w:val="00E865C7"/>
    <w:rsid w:val="00E87A72"/>
    <w:rsid w:val="00E87C0B"/>
    <w:rsid w:val="00E91163"/>
    <w:rsid w:val="00E92142"/>
    <w:rsid w:val="00E92BAD"/>
    <w:rsid w:val="00E94257"/>
    <w:rsid w:val="00E94E64"/>
    <w:rsid w:val="00E95409"/>
    <w:rsid w:val="00E95775"/>
    <w:rsid w:val="00E9758F"/>
    <w:rsid w:val="00EA1796"/>
    <w:rsid w:val="00EA2A26"/>
    <w:rsid w:val="00EA2D74"/>
    <w:rsid w:val="00EA370E"/>
    <w:rsid w:val="00EA4139"/>
    <w:rsid w:val="00EA63B0"/>
    <w:rsid w:val="00EB16EA"/>
    <w:rsid w:val="00EB19CB"/>
    <w:rsid w:val="00EB1EB5"/>
    <w:rsid w:val="00EB2C16"/>
    <w:rsid w:val="00EB3011"/>
    <w:rsid w:val="00EB330F"/>
    <w:rsid w:val="00EB374F"/>
    <w:rsid w:val="00EB4322"/>
    <w:rsid w:val="00EB45D6"/>
    <w:rsid w:val="00EB46FB"/>
    <w:rsid w:val="00EB530D"/>
    <w:rsid w:val="00EB62EB"/>
    <w:rsid w:val="00EB6AA3"/>
    <w:rsid w:val="00EC1F1E"/>
    <w:rsid w:val="00EC4315"/>
    <w:rsid w:val="00EC5B72"/>
    <w:rsid w:val="00EC65ED"/>
    <w:rsid w:val="00EC7239"/>
    <w:rsid w:val="00EC7FA6"/>
    <w:rsid w:val="00ED05C7"/>
    <w:rsid w:val="00ED075C"/>
    <w:rsid w:val="00ED13AE"/>
    <w:rsid w:val="00ED2237"/>
    <w:rsid w:val="00ED3068"/>
    <w:rsid w:val="00ED3849"/>
    <w:rsid w:val="00ED398F"/>
    <w:rsid w:val="00ED4EA4"/>
    <w:rsid w:val="00ED5B96"/>
    <w:rsid w:val="00ED7270"/>
    <w:rsid w:val="00ED7B4C"/>
    <w:rsid w:val="00EE022E"/>
    <w:rsid w:val="00EE2133"/>
    <w:rsid w:val="00EE2A7D"/>
    <w:rsid w:val="00EE3A90"/>
    <w:rsid w:val="00EE5728"/>
    <w:rsid w:val="00EE7139"/>
    <w:rsid w:val="00EF1004"/>
    <w:rsid w:val="00EF1242"/>
    <w:rsid w:val="00EF145C"/>
    <w:rsid w:val="00EF14D7"/>
    <w:rsid w:val="00EF17E6"/>
    <w:rsid w:val="00EF1D51"/>
    <w:rsid w:val="00EF4BDD"/>
    <w:rsid w:val="00EF6447"/>
    <w:rsid w:val="00EF70FA"/>
    <w:rsid w:val="00F00274"/>
    <w:rsid w:val="00F035FC"/>
    <w:rsid w:val="00F044A1"/>
    <w:rsid w:val="00F0483B"/>
    <w:rsid w:val="00F07411"/>
    <w:rsid w:val="00F07DB0"/>
    <w:rsid w:val="00F10973"/>
    <w:rsid w:val="00F10BCB"/>
    <w:rsid w:val="00F11223"/>
    <w:rsid w:val="00F121B6"/>
    <w:rsid w:val="00F12F51"/>
    <w:rsid w:val="00F14EAB"/>
    <w:rsid w:val="00F15A0A"/>
    <w:rsid w:val="00F21899"/>
    <w:rsid w:val="00F2274F"/>
    <w:rsid w:val="00F22C7A"/>
    <w:rsid w:val="00F22C82"/>
    <w:rsid w:val="00F235D8"/>
    <w:rsid w:val="00F245C9"/>
    <w:rsid w:val="00F247B0"/>
    <w:rsid w:val="00F24C48"/>
    <w:rsid w:val="00F258FB"/>
    <w:rsid w:val="00F26DA8"/>
    <w:rsid w:val="00F30590"/>
    <w:rsid w:val="00F306D5"/>
    <w:rsid w:val="00F31C3D"/>
    <w:rsid w:val="00F33235"/>
    <w:rsid w:val="00F35B92"/>
    <w:rsid w:val="00F36481"/>
    <w:rsid w:val="00F36DDD"/>
    <w:rsid w:val="00F371E4"/>
    <w:rsid w:val="00F37452"/>
    <w:rsid w:val="00F37472"/>
    <w:rsid w:val="00F40B0E"/>
    <w:rsid w:val="00F40BBC"/>
    <w:rsid w:val="00F43B38"/>
    <w:rsid w:val="00F43EDC"/>
    <w:rsid w:val="00F447E8"/>
    <w:rsid w:val="00F44BAD"/>
    <w:rsid w:val="00F45F9F"/>
    <w:rsid w:val="00F50E10"/>
    <w:rsid w:val="00F51D57"/>
    <w:rsid w:val="00F5216D"/>
    <w:rsid w:val="00F53182"/>
    <w:rsid w:val="00F531E0"/>
    <w:rsid w:val="00F541DA"/>
    <w:rsid w:val="00F55930"/>
    <w:rsid w:val="00F56F2A"/>
    <w:rsid w:val="00F57CB3"/>
    <w:rsid w:val="00F57EF7"/>
    <w:rsid w:val="00F61114"/>
    <w:rsid w:val="00F61DBB"/>
    <w:rsid w:val="00F627CE"/>
    <w:rsid w:val="00F62A83"/>
    <w:rsid w:val="00F6369B"/>
    <w:rsid w:val="00F63884"/>
    <w:rsid w:val="00F63CD1"/>
    <w:rsid w:val="00F66A96"/>
    <w:rsid w:val="00F675A9"/>
    <w:rsid w:val="00F7177B"/>
    <w:rsid w:val="00F71E4D"/>
    <w:rsid w:val="00F71FE5"/>
    <w:rsid w:val="00F73813"/>
    <w:rsid w:val="00F7414D"/>
    <w:rsid w:val="00F74733"/>
    <w:rsid w:val="00F74BF9"/>
    <w:rsid w:val="00F75F90"/>
    <w:rsid w:val="00F80514"/>
    <w:rsid w:val="00F815C2"/>
    <w:rsid w:val="00F81B95"/>
    <w:rsid w:val="00F8407A"/>
    <w:rsid w:val="00F843A9"/>
    <w:rsid w:val="00F846B4"/>
    <w:rsid w:val="00F85FB5"/>
    <w:rsid w:val="00F86DD9"/>
    <w:rsid w:val="00F9006B"/>
    <w:rsid w:val="00F92417"/>
    <w:rsid w:val="00F94EFE"/>
    <w:rsid w:val="00F952E2"/>
    <w:rsid w:val="00F962EC"/>
    <w:rsid w:val="00FA0D48"/>
    <w:rsid w:val="00FA18C9"/>
    <w:rsid w:val="00FA2ED2"/>
    <w:rsid w:val="00FA2F10"/>
    <w:rsid w:val="00FA33AA"/>
    <w:rsid w:val="00FA3876"/>
    <w:rsid w:val="00FA5364"/>
    <w:rsid w:val="00FA6FDD"/>
    <w:rsid w:val="00FB0646"/>
    <w:rsid w:val="00FB1BFB"/>
    <w:rsid w:val="00FB22AF"/>
    <w:rsid w:val="00FB37E3"/>
    <w:rsid w:val="00FB66B3"/>
    <w:rsid w:val="00FB6EDB"/>
    <w:rsid w:val="00FB74B7"/>
    <w:rsid w:val="00FC05EE"/>
    <w:rsid w:val="00FC1698"/>
    <w:rsid w:val="00FC23DA"/>
    <w:rsid w:val="00FC252F"/>
    <w:rsid w:val="00FC37EF"/>
    <w:rsid w:val="00FC394D"/>
    <w:rsid w:val="00FC456F"/>
    <w:rsid w:val="00FC46B3"/>
    <w:rsid w:val="00FC61AF"/>
    <w:rsid w:val="00FC7FB5"/>
    <w:rsid w:val="00FD0E1B"/>
    <w:rsid w:val="00FD1287"/>
    <w:rsid w:val="00FD596A"/>
    <w:rsid w:val="00FD7F1B"/>
    <w:rsid w:val="00FE1210"/>
    <w:rsid w:val="00FE22DC"/>
    <w:rsid w:val="00FE255D"/>
    <w:rsid w:val="00FE3463"/>
    <w:rsid w:val="00FE40E9"/>
    <w:rsid w:val="00FE45B3"/>
    <w:rsid w:val="00FE54FD"/>
    <w:rsid w:val="00FE5B4F"/>
    <w:rsid w:val="00FF05F1"/>
    <w:rsid w:val="00FF1783"/>
    <w:rsid w:val="00FF2A4F"/>
    <w:rsid w:val="00FF4745"/>
    <w:rsid w:val="00FF582F"/>
    <w:rsid w:val="00FF5DE2"/>
    <w:rsid w:val="00FF6B80"/>
    <w:rsid w:val="00FF7486"/>
    <w:rsid w:val="00FF7AB4"/>
    <w:rsid w:val="00FF7D8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12F51"/>
  <w15:chartTrackingRefBased/>
  <w15:docId w15:val="{73A0A1CA-10C0-4AF5-A6F2-63FD5CDB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CB"/>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Titre1">
    <w:name w:val="heading 1"/>
    <w:basedOn w:val="Normal"/>
    <w:next w:val="Titre2"/>
    <w:link w:val="Titre1Car"/>
    <w:uiPriority w:val="9"/>
    <w:qFormat/>
    <w:rsid w:val="008460CB"/>
    <w:pPr>
      <w:keepNext/>
      <w:keepLines/>
      <w:numPr>
        <w:numId w:val="55"/>
      </w:numPr>
      <w:spacing w:before="240" w:after="120"/>
      <w:jc w:val="left"/>
      <w:outlineLvl w:val="0"/>
    </w:pPr>
    <w:rPr>
      <w:rFonts w:eastAsiaTheme="majorEastAsia" w:cstheme="majorBidi"/>
      <w:b/>
      <w:bCs/>
      <w:kern w:val="2"/>
      <w:sz w:val="28"/>
      <w:szCs w:val="32"/>
      <w14:ligatures w14:val="standardContextual"/>
    </w:rPr>
  </w:style>
  <w:style w:type="paragraph" w:styleId="Titre2">
    <w:name w:val="heading 2"/>
    <w:basedOn w:val="Normal"/>
    <w:next w:val="CBDNormalNumber"/>
    <w:link w:val="Titre2Car"/>
    <w:uiPriority w:val="9"/>
    <w:qFormat/>
    <w:rsid w:val="008460CB"/>
    <w:pPr>
      <w:keepNext/>
      <w:keepLines/>
      <w:numPr>
        <w:ilvl w:val="1"/>
        <w:numId w:val="55"/>
      </w:numPr>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8460CB"/>
    <w:pPr>
      <w:keepNext/>
      <w:keepLines/>
      <w:numPr>
        <w:ilvl w:val="2"/>
        <w:numId w:val="55"/>
      </w:numPr>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8460CB"/>
    <w:pPr>
      <w:keepNext/>
      <w:numPr>
        <w:ilvl w:val="3"/>
        <w:numId w:val="55"/>
      </w:numPr>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8460CB"/>
    <w:pPr>
      <w:keepNext/>
      <w:numPr>
        <w:ilvl w:val="4"/>
        <w:numId w:val="55"/>
      </w:numPr>
      <w:spacing w:before="120" w:after="120"/>
      <w:jc w:val="left"/>
      <w:outlineLvl w:val="4"/>
    </w:pPr>
    <w:rPr>
      <w:rFonts w:eastAsiaTheme="majorEastAsia"/>
      <w:i/>
      <w:iCs/>
    </w:rPr>
  </w:style>
  <w:style w:type="paragraph" w:styleId="Titre6">
    <w:name w:val="heading 6"/>
    <w:basedOn w:val="Normal"/>
    <w:next w:val="Normal"/>
    <w:link w:val="Titre6Car"/>
    <w:rsid w:val="008460CB"/>
    <w:pPr>
      <w:keepNext/>
      <w:keepLines/>
      <w:numPr>
        <w:ilvl w:val="5"/>
        <w:numId w:val="8"/>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rsid w:val="008460CB"/>
    <w:pPr>
      <w:keepNext/>
      <w:keepLines/>
      <w:widowControl w:val="0"/>
      <w:numPr>
        <w:ilvl w:val="6"/>
        <w:numId w:val="8"/>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rsid w:val="008460CB"/>
    <w:pPr>
      <w:keepNext/>
      <w:keepLines/>
      <w:widowControl w:val="0"/>
      <w:numPr>
        <w:ilvl w:val="7"/>
        <w:numId w:val="8"/>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rsid w:val="008460CB"/>
    <w:pPr>
      <w:keepNext/>
      <w:widowControl w:val="0"/>
      <w:numPr>
        <w:ilvl w:val="8"/>
        <w:numId w:val="8"/>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8460CB"/>
    <w:pPr>
      <w:suppressLineNumbers/>
      <w:suppressAutoHyphens/>
      <w:spacing w:before="240" w:after="120"/>
      <w:jc w:val="left"/>
    </w:pPr>
    <w:rPr>
      <w:rFonts w:eastAsia="Times New Roman"/>
      <w:b/>
      <w:iCs/>
      <w:snapToGrid w:val="0"/>
      <w:kern w:val="22"/>
      <w:sz w:val="24"/>
    </w:rPr>
  </w:style>
  <w:style w:type="paragraph" w:styleId="Corpsdetexte">
    <w:name w:val="Body Text"/>
    <w:basedOn w:val="Normal"/>
    <w:link w:val="CorpsdetexteCar"/>
    <w:uiPriority w:val="99"/>
    <w:unhideWhenUsed/>
    <w:rsid w:val="008460CB"/>
    <w:pPr>
      <w:spacing w:after="120" w:line="259" w:lineRule="auto"/>
      <w:jc w:val="left"/>
    </w:pPr>
    <w:rPr>
      <w:rFonts w:asciiTheme="minorHAnsi" w:eastAsiaTheme="minorHAnsi" w:hAnsiTheme="minorHAnsi" w:cstheme="minorBidi"/>
      <w:kern w:val="2"/>
      <w14:ligatures w14:val="standardContextual"/>
    </w:rPr>
  </w:style>
  <w:style w:type="character" w:customStyle="1" w:styleId="CorpsdetexteCar">
    <w:name w:val="Corps de texte Car"/>
    <w:basedOn w:val="Policepardfaut"/>
    <w:link w:val="Corpsdetexte"/>
    <w:uiPriority w:val="99"/>
    <w:rsid w:val="008460CB"/>
    <w:rPr>
      <w:lang w:val="en-GB"/>
    </w:rPr>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8460CB"/>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8460CB"/>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8460CB"/>
    <w:rPr>
      <w:rFonts w:ascii="Times New Roman" w:eastAsia="SimSun" w:hAnsi="Times New Roman" w:cs="Times New Roman"/>
      <w:kern w:val="0"/>
      <w:sz w:val="18"/>
      <w:szCs w:val="20"/>
      <w:lang w:val="en-GB"/>
      <w14:ligatures w14:val="non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8460CB"/>
    <w:rPr>
      <w:vertAlign w:val="superscript"/>
      <w:lang w:val="en-GB"/>
    </w:rPr>
  </w:style>
  <w:style w:type="paragraph" w:customStyle="1" w:styleId="Footnote">
    <w:name w:val="Footnote"/>
    <w:basedOn w:val="Notedebasdepage"/>
    <w:qFormat/>
    <w:rsid w:val="008460CB"/>
    <w:rPr>
      <w:szCs w:val="18"/>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0">
    <w:name w:val="Para 1"/>
    <w:basedOn w:val="Normal"/>
    <w:qFormat/>
    <w:rsid w:val="00480A8D"/>
    <w:pPr>
      <w:spacing w:before="120" w:after="120"/>
      <w:ind w:left="567"/>
    </w:pPr>
  </w:style>
  <w:style w:type="character" w:customStyle="1" w:styleId="Titre2Car">
    <w:name w:val="Titre 2 Car"/>
    <w:basedOn w:val="Policepardfaut"/>
    <w:link w:val="Titre2"/>
    <w:uiPriority w:val="9"/>
    <w:rsid w:val="008460CB"/>
    <w:rPr>
      <w:rFonts w:ascii="Times New Roman Bold" w:eastAsiaTheme="majorEastAsia" w:hAnsi="Times New Roman Bold" w:cstheme="majorBidi"/>
      <w:b/>
      <w:kern w:val="0"/>
      <w:sz w:val="24"/>
      <w:szCs w:val="26"/>
      <w:lang w:val="en-GB"/>
      <w14:ligatures w14:val="none"/>
    </w:rPr>
  </w:style>
  <w:style w:type="character" w:styleId="Textedelespacerserv">
    <w:name w:val="Placeholder Text"/>
    <w:basedOn w:val="Policepardfaut"/>
    <w:uiPriority w:val="99"/>
    <w:rsid w:val="00995DDC"/>
    <w:rPr>
      <w:color w:val="808080"/>
      <w:lang w:val="en-GB"/>
    </w:rPr>
  </w:style>
  <w:style w:type="paragraph" w:styleId="En-tte">
    <w:name w:val="header"/>
    <w:basedOn w:val="Normal"/>
    <w:link w:val="En-tteCar"/>
    <w:rsid w:val="008460CB"/>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8460CB"/>
    <w:rPr>
      <w:rFonts w:ascii="Times New Roman" w:eastAsia="SimSun" w:hAnsi="Times New Roman" w:cs="Times New Roman"/>
      <w:kern w:val="0"/>
      <w:sz w:val="20"/>
      <w:lang w:val="en-GB"/>
      <w14:ligatures w14:val="none"/>
    </w:rPr>
  </w:style>
  <w:style w:type="paragraph" w:styleId="Pieddepage">
    <w:name w:val="footer"/>
    <w:basedOn w:val="Normal"/>
    <w:link w:val="PieddepageCar"/>
    <w:uiPriority w:val="99"/>
    <w:rsid w:val="008460CB"/>
    <w:pPr>
      <w:tabs>
        <w:tab w:val="center" w:pos="4680"/>
        <w:tab w:val="right" w:pos="9360"/>
      </w:tabs>
    </w:pPr>
    <w:rPr>
      <w:sz w:val="20"/>
    </w:rPr>
  </w:style>
  <w:style w:type="character" w:customStyle="1" w:styleId="PieddepageCar">
    <w:name w:val="Pied de page Car"/>
    <w:basedOn w:val="Policepardfaut"/>
    <w:link w:val="Pieddepage"/>
    <w:uiPriority w:val="99"/>
    <w:rsid w:val="008460CB"/>
    <w:rPr>
      <w:rFonts w:ascii="Times New Roman" w:eastAsia="SimSun" w:hAnsi="Times New Roman" w:cs="Times New Roman"/>
      <w:kern w:val="0"/>
      <w:sz w:val="20"/>
      <w:lang w:val="en-GB"/>
      <w14:ligatures w14:val="none"/>
    </w:rPr>
  </w:style>
  <w:style w:type="character" w:customStyle="1" w:styleId="Titre3Car">
    <w:name w:val="Titre 3 Car"/>
    <w:basedOn w:val="Policepardfaut"/>
    <w:link w:val="Titre3"/>
    <w:uiPriority w:val="9"/>
    <w:rsid w:val="008460CB"/>
    <w:rPr>
      <w:rFonts w:ascii="Times New Roman" w:eastAsiaTheme="majorEastAsia" w:hAnsi="Times New Roman" w:cs="Times New Roman"/>
      <w:b/>
      <w:bCs/>
      <w:kern w:val="0"/>
      <w:lang w:val="en-GB"/>
      <w14:ligatures w14:val="none"/>
    </w:rPr>
  </w:style>
  <w:style w:type="paragraph" w:customStyle="1" w:styleId="Para2">
    <w:name w:val="Para 2"/>
    <w:qFormat/>
    <w:rsid w:val="00537248"/>
    <w:pPr>
      <w:numPr>
        <w:numId w:val="2"/>
      </w:numPr>
      <w:tabs>
        <w:tab w:val="left" w:pos="1701"/>
      </w:tabs>
      <w:spacing w:before="120" w:after="120" w:line="240" w:lineRule="auto"/>
      <w:ind w:left="567" w:firstLine="567"/>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8460CB"/>
    <w:pPr>
      <w:spacing w:after="240"/>
    </w:pPr>
    <w:rPr>
      <w:b/>
      <w:sz w:val="28"/>
    </w:rPr>
  </w:style>
  <w:style w:type="paragraph" w:customStyle="1" w:styleId="Para30">
    <w:name w:val="Para 3"/>
    <w:basedOn w:val="Normal"/>
    <w:qFormat/>
    <w:rsid w:val="002B00CA"/>
    <w:pPr>
      <w:numPr>
        <w:numId w:val="3"/>
      </w:numPr>
      <w:spacing w:before="120" w:after="120"/>
      <w:ind w:left="1134" w:firstLine="0"/>
    </w:pPr>
  </w:style>
  <w:style w:type="character" w:customStyle="1" w:styleId="Titre4Car">
    <w:name w:val="Titre 4 Car"/>
    <w:basedOn w:val="Policepardfaut"/>
    <w:link w:val="Titre4"/>
    <w:uiPriority w:val="9"/>
    <w:rsid w:val="008460CB"/>
    <w:rPr>
      <w:rFonts w:ascii="Times New Roman" w:eastAsiaTheme="majorEastAsia" w:hAnsi="Times New Roman" w:cs="Times New Roman"/>
      <w:b/>
      <w:bCs/>
      <w:kern w:val="0"/>
      <w:lang w:val="en-GB"/>
      <w14:ligatures w14:val="none"/>
    </w:rPr>
  </w:style>
  <w:style w:type="character" w:customStyle="1" w:styleId="Titre5Car">
    <w:name w:val="Titre 5 Car"/>
    <w:basedOn w:val="Policepardfaut"/>
    <w:link w:val="Titre5"/>
    <w:uiPriority w:val="9"/>
    <w:rsid w:val="008460CB"/>
    <w:rPr>
      <w:rFonts w:ascii="Times New Roman" w:eastAsiaTheme="majorEastAsia" w:hAnsi="Times New Roman" w:cs="Times New Roman"/>
      <w:i/>
      <w:iCs/>
      <w:kern w:val="0"/>
      <w:lang w:val="en-GB"/>
      <w14:ligatures w14:val="none"/>
    </w:rPr>
  </w:style>
  <w:style w:type="character" w:styleId="Marquedecommentaire">
    <w:name w:val="annotation reference"/>
    <w:basedOn w:val="Policepardfaut"/>
    <w:uiPriority w:val="99"/>
    <w:unhideWhenUsed/>
    <w:rsid w:val="008460CB"/>
    <w:rPr>
      <w:sz w:val="16"/>
      <w:szCs w:val="16"/>
      <w:lang w:val="en-GB"/>
    </w:rPr>
  </w:style>
  <w:style w:type="paragraph" w:styleId="Commentaire">
    <w:name w:val="annotation text"/>
    <w:basedOn w:val="Normal"/>
    <w:link w:val="CommentaireCar"/>
    <w:uiPriority w:val="99"/>
    <w:rsid w:val="008460CB"/>
    <w:rPr>
      <w:sz w:val="20"/>
      <w:szCs w:val="20"/>
    </w:rPr>
  </w:style>
  <w:style w:type="character" w:customStyle="1" w:styleId="CommentaireCar">
    <w:name w:val="Commentaire Car"/>
    <w:basedOn w:val="Policepardfaut"/>
    <w:link w:val="Commentaire"/>
    <w:uiPriority w:val="99"/>
    <w:rsid w:val="008460CB"/>
    <w:rPr>
      <w:rFonts w:ascii="Times New Roman" w:eastAsia="SimSun" w:hAnsi="Times New Roman" w:cs="Times New Roman"/>
      <w:kern w:val="0"/>
      <w:sz w:val="20"/>
      <w:szCs w:val="20"/>
      <w:lang w:val="en-GB"/>
      <w14:ligatures w14:val="none"/>
    </w:rPr>
  </w:style>
  <w:style w:type="paragraph" w:styleId="Objetducommentaire">
    <w:name w:val="annotation subject"/>
    <w:basedOn w:val="Commentaire"/>
    <w:next w:val="Commentaire"/>
    <w:link w:val="ObjetducommentaireCar"/>
    <w:uiPriority w:val="99"/>
    <w:semiHidden/>
    <w:unhideWhenUsed/>
    <w:rsid w:val="008460CB"/>
    <w:rPr>
      <w:b/>
      <w:bCs/>
    </w:rPr>
  </w:style>
  <w:style w:type="character" w:customStyle="1" w:styleId="ObjetducommentaireCar">
    <w:name w:val="Objet du commentaire Car"/>
    <w:basedOn w:val="CommentaireCar"/>
    <w:link w:val="Objetducommentaire"/>
    <w:uiPriority w:val="99"/>
    <w:semiHidden/>
    <w:rsid w:val="008460CB"/>
    <w:rPr>
      <w:rFonts w:ascii="Times New Roman" w:eastAsia="SimSun" w:hAnsi="Times New Roman" w:cs="Times New Roman"/>
      <w:b/>
      <w:bCs/>
      <w:kern w:val="0"/>
      <w:sz w:val="20"/>
      <w:szCs w:val="20"/>
      <w:lang w:val="en-GB"/>
      <w14:ligatures w14:val="none"/>
    </w:rPr>
  </w:style>
  <w:style w:type="paragraph" w:styleId="Textedebulles">
    <w:name w:val="Balloon Text"/>
    <w:basedOn w:val="Normal"/>
    <w:link w:val="TextedebullesCar"/>
    <w:uiPriority w:val="99"/>
    <w:semiHidden/>
    <w:unhideWhenUsed/>
    <w:rsid w:val="0031436C"/>
    <w:rPr>
      <w:rFonts w:ascii="Segoe UI" w:hAnsi="Segoe UI" w:cs="Segoe UI"/>
      <w:sz w:val="18"/>
      <w:szCs w:val="18"/>
    </w:rPr>
  </w:style>
  <w:style w:type="character" w:customStyle="1" w:styleId="TextedebullesCar">
    <w:name w:val="Texte de bulles Car"/>
    <w:basedOn w:val="Policepardfaut"/>
    <w:link w:val="Textedebulles"/>
    <w:uiPriority w:val="99"/>
    <w:semiHidden/>
    <w:rsid w:val="0031436C"/>
    <w:rPr>
      <w:rFonts w:ascii="Segoe UI" w:eastAsia="SimSun" w:hAnsi="Segoe UI" w:cs="Segoe UI"/>
      <w:kern w:val="0"/>
      <w:sz w:val="18"/>
      <w:szCs w:val="18"/>
      <w:lang w:val="en-GB"/>
      <w14:ligatures w14:val="none"/>
    </w:rPr>
  </w:style>
  <w:style w:type="paragraph" w:styleId="Rvision">
    <w:name w:val="Revision"/>
    <w:hidden/>
    <w:uiPriority w:val="99"/>
    <w:semiHidden/>
    <w:rsid w:val="008460CB"/>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CBDNormalNumber">
    <w:name w:val="CBD_Normal_Number"/>
    <w:basedOn w:val="CBDNormal"/>
    <w:qFormat/>
    <w:rsid w:val="008460CB"/>
    <w:pPr>
      <w:tabs>
        <w:tab w:val="left" w:pos="3969"/>
      </w:tabs>
      <w:spacing w:before="120" w:after="120"/>
      <w:ind w:left="567"/>
    </w:pPr>
  </w:style>
  <w:style w:type="character" w:styleId="Lienhypertexte">
    <w:name w:val="Hyperlink"/>
    <w:basedOn w:val="Policepardfaut"/>
    <w:uiPriority w:val="99"/>
    <w:unhideWhenUsed/>
    <w:rsid w:val="008460CB"/>
    <w:rPr>
      <w:rFonts w:ascii="Times New Roman" w:hAnsi="Times New Roman"/>
      <w:color w:val="0563C1" w:themeColor="hyperlink"/>
      <w:u w:val="single"/>
      <w:lang w:val="en-GB"/>
    </w:rPr>
  </w:style>
  <w:style w:type="character" w:customStyle="1" w:styleId="UnresolvedMention1">
    <w:name w:val="Unresolved Mention1"/>
    <w:basedOn w:val="Policepardfaut"/>
    <w:uiPriority w:val="99"/>
    <w:semiHidden/>
    <w:unhideWhenUsed/>
    <w:rsid w:val="00EF1242"/>
    <w:rPr>
      <w:color w:val="605E5C"/>
      <w:shd w:val="clear" w:color="auto" w:fill="E1DFDD"/>
      <w:lang w:val="en-GB"/>
    </w:rPr>
  </w:style>
  <w:style w:type="paragraph" w:styleId="TM5">
    <w:name w:val="toc 5"/>
    <w:basedOn w:val="CBDNormal"/>
    <w:next w:val="Normal"/>
    <w:uiPriority w:val="39"/>
    <w:rsid w:val="008460CB"/>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customStyle="1" w:styleId="Para3">
    <w:name w:val="Para3"/>
    <w:basedOn w:val="Normal"/>
    <w:rsid w:val="00C539B2"/>
    <w:pPr>
      <w:numPr>
        <w:ilvl w:val="2"/>
        <w:numId w:val="4"/>
      </w:numPr>
      <w:tabs>
        <w:tab w:val="clear" w:pos="2591"/>
        <w:tab w:val="left" w:pos="1985"/>
        <w:tab w:val="num" w:pos="2160"/>
      </w:tabs>
      <w:spacing w:before="80" w:after="80"/>
    </w:pPr>
    <w:rPr>
      <w:szCs w:val="20"/>
    </w:rPr>
  </w:style>
  <w:style w:type="character" w:styleId="Lienhypertextesuivivisit">
    <w:name w:val="FollowedHyperlink"/>
    <w:basedOn w:val="Policepardfaut"/>
    <w:uiPriority w:val="99"/>
    <w:unhideWhenUsed/>
    <w:rsid w:val="00185D62"/>
    <w:rPr>
      <w:color w:val="954F72" w:themeColor="followedHyperlink"/>
      <w:u w:val="single"/>
      <w:lang w:val="en-GB"/>
    </w:rPr>
  </w:style>
  <w:style w:type="paragraph" w:customStyle="1" w:styleId="AEDistrNormal">
    <w:name w:val="AE_DistrNormal"/>
    <w:basedOn w:val="Normal"/>
    <w:unhideWhenUsed/>
    <w:rsid w:val="008460CB"/>
    <w:pPr>
      <w:jc w:val="left"/>
    </w:pPr>
  </w:style>
  <w:style w:type="paragraph" w:customStyle="1" w:styleId="AASmallLogo">
    <w:name w:val="AA_SmallLogo"/>
    <w:basedOn w:val="AEDistrNormal"/>
    <w:unhideWhenUsed/>
    <w:rsid w:val="008460CB"/>
    <w:pPr>
      <w:spacing w:before="40"/>
    </w:pPr>
    <w:rPr>
      <w:sz w:val="4"/>
    </w:rPr>
  </w:style>
  <w:style w:type="paragraph" w:customStyle="1" w:styleId="ABSymbol">
    <w:name w:val="AB_Symbol"/>
    <w:basedOn w:val="Normal"/>
    <w:qFormat/>
    <w:rsid w:val="008460CB"/>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E245F7"/>
  </w:style>
  <w:style w:type="paragraph" w:customStyle="1" w:styleId="ACLargeLogo">
    <w:name w:val="AC_LargeLogo"/>
    <w:basedOn w:val="AFCorNNormal"/>
    <w:next w:val="AISpacer"/>
    <w:unhideWhenUsed/>
    <w:rsid w:val="008460CB"/>
    <w:pPr>
      <w:spacing w:before="120"/>
      <w:contextualSpacing/>
    </w:pPr>
    <w:rPr>
      <w:sz w:val="8"/>
    </w:rPr>
  </w:style>
  <w:style w:type="paragraph" w:customStyle="1" w:styleId="AEDistrNormal6pt">
    <w:name w:val="AE_DistrNormal6pt"/>
    <w:basedOn w:val="AEDistrNormal"/>
    <w:next w:val="AFCorNNormal"/>
    <w:unhideWhenUsed/>
    <w:qFormat/>
    <w:rsid w:val="008460CB"/>
    <w:pPr>
      <w:spacing w:before="120"/>
    </w:pPr>
  </w:style>
  <w:style w:type="paragraph" w:customStyle="1" w:styleId="AENormal">
    <w:name w:val="AE_Normal"/>
    <w:basedOn w:val="Normal"/>
    <w:rsid w:val="008460CB"/>
  </w:style>
  <w:style w:type="paragraph" w:customStyle="1" w:styleId="AFCorNot12Bold">
    <w:name w:val="AF_CorNot12Bold"/>
    <w:basedOn w:val="AFCorNotNormal"/>
    <w:next w:val="AFCorNotNormal"/>
    <w:unhideWhenUsed/>
    <w:qFormat/>
    <w:rsid w:val="00E245F7"/>
    <w:pPr>
      <w:jc w:val="left"/>
    </w:pPr>
    <w:rPr>
      <w:b/>
      <w:sz w:val="24"/>
    </w:rPr>
  </w:style>
  <w:style w:type="paragraph" w:customStyle="1" w:styleId="AFCorNotBold">
    <w:name w:val="AF_CorNotBold"/>
    <w:basedOn w:val="AFCorNotNormal"/>
    <w:next w:val="AFCorNotNormal"/>
    <w:unhideWhenUsed/>
    <w:qFormat/>
    <w:rsid w:val="00E245F7"/>
    <w:rPr>
      <w:b/>
    </w:rPr>
  </w:style>
  <w:style w:type="paragraph" w:customStyle="1" w:styleId="AISpacer">
    <w:name w:val="AI_Spacer"/>
    <w:next w:val="Normal"/>
    <w:unhideWhenUsed/>
    <w:qFormat/>
    <w:rsid w:val="008460CB"/>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8460CB"/>
    <w:pPr>
      <w:keepNext/>
      <w:keepLines/>
      <w:spacing w:before="240" w:after="120"/>
      <w:jc w:val="left"/>
    </w:pPr>
    <w:rPr>
      <w:b/>
      <w:sz w:val="24"/>
    </w:rPr>
  </w:style>
  <w:style w:type="paragraph" w:customStyle="1" w:styleId="CBDNormal">
    <w:name w:val="CBD_Normal"/>
    <w:unhideWhenUsed/>
    <w:qFormat/>
    <w:rsid w:val="008460CB"/>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8460CB"/>
    <w:pPr>
      <w:keepNext/>
      <w:keepLines/>
      <w:spacing w:after="240"/>
      <w:jc w:val="left"/>
    </w:pPr>
    <w:rPr>
      <w:b/>
      <w:sz w:val="28"/>
      <w:lang w:bidi="ar-SY"/>
    </w:rPr>
  </w:style>
  <w:style w:type="paragraph" w:customStyle="1" w:styleId="CBDDesicionAnnex">
    <w:name w:val="CBD_DesicionAnnex"/>
    <w:basedOn w:val="CBDNormal"/>
    <w:next w:val="CBDDesicionText"/>
    <w:qFormat/>
    <w:rsid w:val="008460CB"/>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8460CB"/>
    <w:pPr>
      <w:spacing w:after="120"/>
      <w:ind w:left="567" w:firstLine="567"/>
    </w:pPr>
  </w:style>
  <w:style w:type="paragraph" w:customStyle="1" w:styleId="CBDFigureTitle">
    <w:name w:val="CBD_FigureTitle"/>
    <w:basedOn w:val="CBDNormal"/>
    <w:next w:val="CBDNormalNoNumber"/>
    <w:qFormat/>
    <w:rsid w:val="008460CB"/>
    <w:pPr>
      <w:keepNext/>
      <w:keepLines/>
      <w:spacing w:before="120" w:after="60"/>
      <w:ind w:left="567"/>
      <w:jc w:val="left"/>
    </w:pPr>
    <w:rPr>
      <w:b/>
    </w:rPr>
  </w:style>
  <w:style w:type="paragraph" w:customStyle="1" w:styleId="CBDFooter">
    <w:name w:val="CBD_Footer"/>
    <w:basedOn w:val="CBDNormal"/>
    <w:qFormat/>
    <w:rsid w:val="008460CB"/>
    <w:rPr>
      <w:sz w:val="20"/>
    </w:rPr>
  </w:style>
  <w:style w:type="paragraph" w:customStyle="1" w:styleId="CBDFootnoteText">
    <w:name w:val="CBD_Footnote_Text"/>
    <w:basedOn w:val="CBDNormal"/>
    <w:qFormat/>
    <w:rsid w:val="008460CB"/>
    <w:pPr>
      <w:jc w:val="left"/>
    </w:pPr>
    <w:rPr>
      <w:sz w:val="18"/>
    </w:rPr>
  </w:style>
  <w:style w:type="paragraph" w:customStyle="1" w:styleId="CBDH1">
    <w:name w:val="CBD_H1"/>
    <w:basedOn w:val="CBDNormal"/>
    <w:qFormat/>
    <w:rsid w:val="008460CB"/>
    <w:pPr>
      <w:keepNext/>
      <w:keepLines/>
      <w:spacing w:before="240" w:after="120"/>
      <w:ind w:left="567" w:hanging="567"/>
      <w:jc w:val="left"/>
      <w:outlineLvl w:val="0"/>
    </w:pPr>
    <w:rPr>
      <w:b/>
      <w:sz w:val="28"/>
    </w:rPr>
  </w:style>
  <w:style w:type="paragraph" w:customStyle="1" w:styleId="CBDH2">
    <w:name w:val="CBD_H2"/>
    <w:basedOn w:val="CBDNormalNumber"/>
    <w:qFormat/>
    <w:rsid w:val="008460CB"/>
    <w:pPr>
      <w:keepNext/>
      <w:keepLines/>
      <w:ind w:hanging="567"/>
    </w:pPr>
    <w:rPr>
      <w:b/>
      <w:sz w:val="24"/>
    </w:rPr>
  </w:style>
  <w:style w:type="paragraph" w:customStyle="1" w:styleId="CBDH3">
    <w:name w:val="CBD_H3"/>
    <w:basedOn w:val="CBDNormal"/>
    <w:qFormat/>
    <w:rsid w:val="008460CB"/>
    <w:pPr>
      <w:keepNext/>
      <w:keepLines/>
      <w:spacing w:before="120" w:after="120"/>
      <w:ind w:left="567" w:hanging="567"/>
      <w:jc w:val="left"/>
    </w:pPr>
    <w:rPr>
      <w:b/>
    </w:rPr>
  </w:style>
  <w:style w:type="paragraph" w:customStyle="1" w:styleId="CBDH4">
    <w:name w:val="CBD_H4"/>
    <w:basedOn w:val="CBDNormal"/>
    <w:rsid w:val="008460CB"/>
    <w:pPr>
      <w:keepNext/>
      <w:keepLines/>
      <w:spacing w:before="120" w:after="120"/>
      <w:ind w:left="567" w:hanging="567"/>
      <w:jc w:val="left"/>
    </w:pPr>
    <w:rPr>
      <w:b/>
    </w:rPr>
  </w:style>
  <w:style w:type="paragraph" w:customStyle="1" w:styleId="CBDH5">
    <w:name w:val="CBD_H5"/>
    <w:basedOn w:val="CBDNormal"/>
    <w:qFormat/>
    <w:rsid w:val="008460CB"/>
    <w:pPr>
      <w:keepNext/>
      <w:keepLines/>
      <w:spacing w:before="120" w:after="120"/>
      <w:ind w:left="567" w:hanging="567"/>
      <w:jc w:val="left"/>
    </w:pPr>
    <w:rPr>
      <w:i/>
    </w:rPr>
  </w:style>
  <w:style w:type="paragraph" w:customStyle="1" w:styleId="CBDHeader">
    <w:name w:val="CBD_Header"/>
    <w:basedOn w:val="CBDNormal"/>
    <w:next w:val="CBDFooter"/>
    <w:qFormat/>
    <w:rsid w:val="008460CB"/>
    <w:pPr>
      <w:pBdr>
        <w:bottom w:val="single" w:sz="4" w:space="1" w:color="auto"/>
      </w:pBdr>
      <w:tabs>
        <w:tab w:val="center" w:pos="4678"/>
        <w:tab w:val="right" w:pos="9361"/>
      </w:tabs>
      <w:jc w:val="left"/>
    </w:pPr>
    <w:rPr>
      <w:sz w:val="20"/>
      <w:szCs w:val="20"/>
    </w:rPr>
  </w:style>
  <w:style w:type="numbering" w:customStyle="1" w:styleId="ListCBD">
    <w:name w:val="ListCBD"/>
    <w:basedOn w:val="Aucuneliste"/>
    <w:uiPriority w:val="99"/>
    <w:rsid w:val="008460CB"/>
    <w:pPr>
      <w:numPr>
        <w:numId w:val="5"/>
      </w:numPr>
    </w:pPr>
  </w:style>
  <w:style w:type="numbering" w:customStyle="1" w:styleId="CBDHeadings">
    <w:name w:val="CBD_Headings"/>
    <w:basedOn w:val="ListCBD"/>
    <w:uiPriority w:val="99"/>
    <w:rsid w:val="008460CB"/>
    <w:pPr>
      <w:numPr>
        <w:numId w:val="6"/>
      </w:numPr>
    </w:pPr>
  </w:style>
  <w:style w:type="paragraph" w:customStyle="1" w:styleId="CBDNormalNoNumber">
    <w:name w:val="CBD_Normal_NoNumber"/>
    <w:basedOn w:val="CBDNormal"/>
    <w:qFormat/>
    <w:rsid w:val="008460CB"/>
    <w:pPr>
      <w:spacing w:after="120"/>
      <w:ind w:left="567"/>
    </w:pPr>
  </w:style>
  <w:style w:type="paragraph" w:customStyle="1" w:styleId="CBDSubTitle">
    <w:name w:val="CBD_SubTitle"/>
    <w:basedOn w:val="CBDNormal"/>
    <w:qFormat/>
    <w:rsid w:val="008460CB"/>
    <w:pPr>
      <w:keepNext/>
      <w:keepLines/>
      <w:spacing w:before="240" w:after="240"/>
      <w:ind w:left="567"/>
      <w:jc w:val="left"/>
    </w:pPr>
    <w:rPr>
      <w:b/>
    </w:rPr>
  </w:style>
  <w:style w:type="paragraph" w:customStyle="1" w:styleId="CBDTableNormal">
    <w:name w:val="CBD_TableNormal"/>
    <w:basedOn w:val="CBDNormal"/>
    <w:qFormat/>
    <w:rsid w:val="008460CB"/>
    <w:pPr>
      <w:spacing w:before="40" w:after="80"/>
      <w:jc w:val="left"/>
    </w:pPr>
    <w:rPr>
      <w:sz w:val="20"/>
    </w:rPr>
  </w:style>
  <w:style w:type="paragraph" w:customStyle="1" w:styleId="CBDTableTitle">
    <w:name w:val="CBD_TableTitle"/>
    <w:basedOn w:val="CBDNormal"/>
    <w:qFormat/>
    <w:rsid w:val="008460CB"/>
    <w:pPr>
      <w:keepNext/>
      <w:keepLines/>
      <w:spacing w:before="120" w:after="60"/>
      <w:ind w:left="567"/>
      <w:jc w:val="left"/>
    </w:pPr>
    <w:rPr>
      <w:b/>
    </w:rPr>
  </w:style>
  <w:style w:type="paragraph" w:customStyle="1" w:styleId="CBDTitle">
    <w:name w:val="CBD_Title"/>
    <w:basedOn w:val="CBDNormal"/>
    <w:next w:val="CBDSubTitle"/>
    <w:qFormat/>
    <w:rsid w:val="008460CB"/>
    <w:pPr>
      <w:keepNext/>
      <w:keepLines/>
      <w:spacing w:before="240" w:after="240"/>
      <w:ind w:left="567"/>
      <w:jc w:val="left"/>
    </w:pPr>
    <w:rPr>
      <w:b/>
      <w:sz w:val="28"/>
    </w:rPr>
  </w:style>
  <w:style w:type="character" w:customStyle="1" w:styleId="Titre6Car">
    <w:name w:val="Titre 6 Car"/>
    <w:basedOn w:val="Policepardfaut"/>
    <w:link w:val="Titre6"/>
    <w:rsid w:val="008460CB"/>
    <w:rPr>
      <w:rFonts w:ascii="Times New Roman" w:eastAsia="SimSun" w:hAnsi="Times New Roman" w:cs="Times New Roman"/>
      <w:bCs/>
      <w:kern w:val="0"/>
      <w:sz w:val="24"/>
      <w:lang w:val="en-GB"/>
      <w14:ligatures w14:val="none"/>
    </w:rPr>
  </w:style>
  <w:style w:type="character" w:customStyle="1" w:styleId="Titre7Car">
    <w:name w:val="Titre 7 Car"/>
    <w:basedOn w:val="Policepardfaut"/>
    <w:link w:val="Titre7"/>
    <w:rsid w:val="008460CB"/>
    <w:rPr>
      <w:rFonts w:ascii="Times New Roman" w:eastAsia="SimSun" w:hAnsi="Times New Roman" w:cs="Times New Roman"/>
      <w:b/>
      <w:snapToGrid w:val="0"/>
      <w:kern w:val="0"/>
      <w:u w:val="single"/>
      <w:lang w:val="en-GB"/>
      <w14:ligatures w14:val="none"/>
    </w:rPr>
  </w:style>
  <w:style w:type="character" w:customStyle="1" w:styleId="Titre8Car">
    <w:name w:val="Titre 8 Car"/>
    <w:basedOn w:val="Policepardfaut"/>
    <w:link w:val="Titre8"/>
    <w:rsid w:val="008460CB"/>
    <w:rPr>
      <w:rFonts w:ascii="Times New Roman" w:eastAsia="SimSun" w:hAnsi="Times New Roman" w:cs="Times New Roman"/>
      <w:b/>
      <w:snapToGrid w:val="0"/>
      <w:kern w:val="0"/>
      <w:u w:val="single"/>
      <w:lang w:val="en-GB"/>
      <w14:ligatures w14:val="none"/>
    </w:rPr>
  </w:style>
  <w:style w:type="character" w:customStyle="1" w:styleId="Titre9Car">
    <w:name w:val="Titre 9 Car"/>
    <w:basedOn w:val="Policepardfaut"/>
    <w:link w:val="Titre9"/>
    <w:rsid w:val="008460CB"/>
    <w:rPr>
      <w:rFonts w:ascii="Times New Roman" w:eastAsia="SimSun" w:hAnsi="Times New Roman" w:cs="Times New Roman"/>
      <w:snapToGrid w:val="0"/>
      <w:kern w:val="0"/>
      <w:u w:val="single"/>
      <w:lang w:val="en-GB"/>
      <w14:ligatures w14:val="none"/>
    </w:rPr>
  </w:style>
  <w:style w:type="paragraph" w:styleId="Liste">
    <w:name w:val="List"/>
    <w:basedOn w:val="Normal"/>
    <w:semiHidden/>
    <w:rsid w:val="008460CB"/>
    <w:pPr>
      <w:contextualSpacing/>
    </w:pPr>
  </w:style>
  <w:style w:type="paragraph" w:styleId="Paragraphedeliste">
    <w:name w:val="List Paragraph"/>
    <w:basedOn w:val="Normal"/>
    <w:link w:val="ParagraphedelisteCar"/>
    <w:uiPriority w:val="34"/>
    <w:qFormat/>
    <w:rsid w:val="008460CB"/>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114347"/>
    <w:pPr>
      <w:spacing w:after="160" w:line="240" w:lineRule="exact"/>
    </w:pPr>
    <w:rPr>
      <w:rFonts w:asciiTheme="minorHAnsi" w:eastAsiaTheme="minorHAnsi" w:hAnsiTheme="minorHAnsi" w:cstheme="minorBidi"/>
      <w:kern w:val="2"/>
      <w:vertAlign w:val="superscript"/>
      <w14:ligatures w14:val="standardContextual"/>
    </w:rPr>
  </w:style>
  <w:style w:type="table" w:customStyle="1" w:styleId="TableGrid2">
    <w:name w:val="Table Grid2"/>
    <w:basedOn w:val="TableauNormal"/>
    <w:next w:val="Grilledutableau"/>
    <w:uiPriority w:val="39"/>
    <w:qFormat/>
    <w:rsid w:val="007B0D4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auNormal"/>
    <w:next w:val="Grilledutableau"/>
    <w:uiPriority w:val="39"/>
    <w:rsid w:val="007B0D4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Decisionheader">
    <w:name w:val="CBD-Decision header"/>
    <w:basedOn w:val="CBDH1"/>
    <w:qFormat/>
    <w:rsid w:val="00460B7B"/>
    <w:pPr>
      <w:outlineLvl w:val="1"/>
    </w:pPr>
    <w:rPr>
      <w:sz w:val="24"/>
    </w:rPr>
  </w:style>
  <w:style w:type="paragraph" w:styleId="TM1">
    <w:name w:val="toc 1"/>
    <w:basedOn w:val="CBDNormal"/>
    <w:next w:val="Normal"/>
    <w:autoRedefine/>
    <w:uiPriority w:val="39"/>
    <w:unhideWhenUsed/>
    <w:rsid w:val="008460CB"/>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M2">
    <w:name w:val="toc 2"/>
    <w:basedOn w:val="CBDNormal"/>
    <w:next w:val="Normal"/>
    <w:uiPriority w:val="39"/>
    <w:unhideWhenUsed/>
    <w:rsid w:val="008460CB"/>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customStyle="1" w:styleId="Para1">
    <w:name w:val="Para1"/>
    <w:basedOn w:val="Normal"/>
    <w:link w:val="Para1Char"/>
    <w:rsid w:val="006932AD"/>
    <w:pPr>
      <w:numPr>
        <w:numId w:val="9"/>
      </w:numPr>
      <w:spacing w:before="120" w:after="120"/>
    </w:pPr>
    <w:rPr>
      <w:snapToGrid w:val="0"/>
      <w:szCs w:val="18"/>
    </w:rPr>
  </w:style>
  <w:style w:type="paragraph" w:customStyle="1" w:styleId="reference">
    <w:name w:val="reference"/>
    <w:basedOn w:val="Titre9"/>
    <w:qFormat/>
    <w:rsid w:val="006932AD"/>
    <w:pPr>
      <w:numPr>
        <w:ilvl w:val="0"/>
        <w:numId w:val="0"/>
      </w:numPr>
      <w:ind w:left="7200" w:hanging="180"/>
    </w:pPr>
    <w:rPr>
      <w:i/>
      <w:sz w:val="18"/>
    </w:rPr>
  </w:style>
  <w:style w:type="paragraph" w:styleId="NormalWeb">
    <w:name w:val="Normal (Web)"/>
    <w:basedOn w:val="Normal"/>
    <w:uiPriority w:val="99"/>
    <w:unhideWhenUsed/>
    <w:rsid w:val="006932AD"/>
    <w:pPr>
      <w:spacing w:before="100" w:beforeAutospacing="1" w:after="100" w:afterAutospacing="1"/>
    </w:pPr>
  </w:style>
  <w:style w:type="paragraph" w:customStyle="1" w:styleId="meetingname">
    <w:name w:val="meeting name"/>
    <w:basedOn w:val="Normal"/>
    <w:qFormat/>
    <w:rsid w:val="00F7177B"/>
    <w:pPr>
      <w:ind w:left="142" w:right="4218" w:hanging="142"/>
    </w:pPr>
    <w:rPr>
      <w:caps/>
    </w:rPr>
  </w:style>
  <w:style w:type="paragraph" w:styleId="Retraitcorpsdetexte">
    <w:name w:val="Body Text Indent"/>
    <w:basedOn w:val="Normal"/>
    <w:link w:val="RetraitcorpsdetexteCar"/>
    <w:rsid w:val="00F7177B"/>
    <w:pPr>
      <w:spacing w:before="120" w:after="120"/>
      <w:ind w:left="1440" w:hanging="720"/>
    </w:pPr>
  </w:style>
  <w:style w:type="character" w:customStyle="1" w:styleId="RetraitcorpsdetexteCar">
    <w:name w:val="Retrait corps de texte Car"/>
    <w:basedOn w:val="Policepardfaut"/>
    <w:link w:val="Retraitcorpsdetexte"/>
    <w:rsid w:val="00F7177B"/>
    <w:rPr>
      <w:rFonts w:ascii="Times New Roman" w:eastAsia="SimSun" w:hAnsi="Times New Roman" w:cs="Times New Roman"/>
      <w:kern w:val="0"/>
      <w:lang w:val="en-GB"/>
      <w14:ligatures w14:val="none"/>
    </w:rPr>
  </w:style>
  <w:style w:type="character" w:styleId="Appeldenotedefin">
    <w:name w:val="endnote reference"/>
    <w:semiHidden/>
    <w:rsid w:val="00F7177B"/>
    <w:rPr>
      <w:vertAlign w:val="superscript"/>
      <w:lang w:val="en-GB"/>
    </w:rPr>
  </w:style>
  <w:style w:type="paragraph" w:styleId="Notedefin">
    <w:name w:val="endnote text"/>
    <w:basedOn w:val="Normal"/>
    <w:link w:val="NotedefinCar"/>
    <w:semiHidden/>
    <w:rsid w:val="00F7177B"/>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F7177B"/>
    <w:rPr>
      <w:rFonts w:ascii="Courier New" w:eastAsia="SimSun" w:hAnsi="Courier New" w:cs="Times New Roman"/>
      <w:kern w:val="0"/>
      <w:lang w:val="en-GB"/>
      <w14:ligatures w14:val="none"/>
    </w:rPr>
  </w:style>
  <w:style w:type="paragraph" w:customStyle="1" w:styleId="HEADING">
    <w:name w:val="HEADING"/>
    <w:basedOn w:val="Normal"/>
    <w:rsid w:val="00F7177B"/>
    <w:pPr>
      <w:keepNext/>
      <w:spacing w:before="240" w:after="120"/>
      <w:jc w:val="center"/>
    </w:pPr>
    <w:rPr>
      <w:b/>
      <w:bCs/>
      <w:caps/>
    </w:rPr>
  </w:style>
  <w:style w:type="paragraph" w:customStyle="1" w:styleId="HEADINGNOTFORTOC">
    <w:name w:val="HEADING (NOT FOR TOC)"/>
    <w:basedOn w:val="Titre1"/>
    <w:next w:val="Titre2"/>
    <w:rsid w:val="00F7177B"/>
  </w:style>
  <w:style w:type="paragraph" w:customStyle="1" w:styleId="Heading1longmultiline">
    <w:name w:val="Heading 1 (long multiline)"/>
    <w:basedOn w:val="Titre1"/>
    <w:rsid w:val="00F7177B"/>
    <w:pPr>
      <w:ind w:left="1843" w:hanging="1134"/>
    </w:pPr>
  </w:style>
  <w:style w:type="paragraph" w:customStyle="1" w:styleId="Heading1multiline">
    <w:name w:val="Heading 1 (multiline)"/>
    <w:basedOn w:val="Titre1"/>
    <w:rsid w:val="00F7177B"/>
    <w:pPr>
      <w:ind w:left="1843" w:right="996"/>
    </w:pPr>
  </w:style>
  <w:style w:type="paragraph" w:customStyle="1" w:styleId="Heading2multiline">
    <w:name w:val="Heading 2 (multiline)"/>
    <w:basedOn w:val="Titre1"/>
    <w:next w:val="Normal"/>
    <w:rsid w:val="00F7177B"/>
    <w:pPr>
      <w:spacing w:before="120"/>
      <w:ind w:left="1843" w:right="998"/>
    </w:pPr>
    <w:rPr>
      <w:i/>
      <w:iCs/>
      <w:caps/>
    </w:rPr>
  </w:style>
  <w:style w:type="paragraph" w:customStyle="1" w:styleId="Heading2longmultiline">
    <w:name w:val="Heading 2 (long multiline)"/>
    <w:basedOn w:val="Heading2multiline"/>
    <w:rsid w:val="00F7177B"/>
    <w:pPr>
      <w:ind w:left="2127" w:hanging="1276"/>
    </w:pPr>
  </w:style>
  <w:style w:type="paragraph" w:customStyle="1" w:styleId="heading2notforTOC">
    <w:name w:val="heading 2 not for TOC"/>
    <w:basedOn w:val="Titre3"/>
    <w:rsid w:val="00F7177B"/>
  </w:style>
  <w:style w:type="paragraph" w:customStyle="1" w:styleId="Heading3multiline">
    <w:name w:val="Heading 3 (multiline)"/>
    <w:basedOn w:val="Titre3"/>
    <w:next w:val="Normal"/>
    <w:rsid w:val="00F7177B"/>
    <w:pPr>
      <w:ind w:left="1418" w:hanging="425"/>
    </w:pPr>
  </w:style>
  <w:style w:type="paragraph" w:customStyle="1" w:styleId="Heading4indent">
    <w:name w:val="Heading 4 indent"/>
    <w:basedOn w:val="Titre4"/>
    <w:rsid w:val="00F7177B"/>
    <w:pPr>
      <w:ind w:left="720"/>
      <w:outlineLvl w:val="9"/>
    </w:pPr>
  </w:style>
  <w:style w:type="character" w:styleId="Numrodepage">
    <w:name w:val="page number"/>
    <w:rsid w:val="00F7177B"/>
    <w:rPr>
      <w:rFonts w:ascii="Times New Roman" w:hAnsi="Times New Roman"/>
      <w:sz w:val="22"/>
      <w:lang w:val="en-GB"/>
    </w:rPr>
  </w:style>
  <w:style w:type="paragraph" w:customStyle="1" w:styleId="Para20">
    <w:name w:val="Para2"/>
    <w:basedOn w:val="Para1"/>
    <w:rsid w:val="00F7177B"/>
    <w:pPr>
      <w:numPr>
        <w:numId w:val="0"/>
      </w:numPr>
      <w:autoSpaceDE w:val="0"/>
      <w:autoSpaceDN w:val="0"/>
    </w:pPr>
  </w:style>
  <w:style w:type="paragraph" w:customStyle="1" w:styleId="para4">
    <w:name w:val="para4"/>
    <w:basedOn w:val="Normal"/>
    <w:rsid w:val="00F7177B"/>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F7177B"/>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rPr>
  </w:style>
  <w:style w:type="paragraph" w:customStyle="1" w:styleId="Quotationtextindented">
    <w:name w:val="Quotation text (indented)"/>
    <w:basedOn w:val="Normal"/>
    <w:qFormat/>
    <w:rsid w:val="00F7177B"/>
    <w:pPr>
      <w:spacing w:before="120" w:after="120"/>
      <w:ind w:left="720" w:right="720"/>
    </w:pPr>
    <w:rPr>
      <w:bCs/>
    </w:rPr>
  </w:style>
  <w:style w:type="paragraph" w:customStyle="1" w:styleId="recommendationheader">
    <w:name w:val="recommendation header"/>
    <w:basedOn w:val="Titre2"/>
    <w:qFormat/>
    <w:rsid w:val="00F7177B"/>
  </w:style>
  <w:style w:type="paragraph" w:customStyle="1" w:styleId="recommendationheaderlong">
    <w:name w:val="recommendation header long"/>
    <w:basedOn w:val="Heading2longmultiline"/>
    <w:qFormat/>
    <w:rsid w:val="00F7177B"/>
  </w:style>
  <w:style w:type="character" w:customStyle="1" w:styleId="StyleFootnoteReferenceNounderline">
    <w:name w:val="Style Footnote Reference + No underline"/>
    <w:rsid w:val="00F7177B"/>
    <w:rPr>
      <w:sz w:val="18"/>
      <w:u w:val="none"/>
      <w:vertAlign w:val="baseline"/>
      <w:lang w:val="en-GB"/>
    </w:rPr>
  </w:style>
  <w:style w:type="paragraph" w:customStyle="1" w:styleId="tabletitle">
    <w:name w:val="table title"/>
    <w:basedOn w:val="Titre2"/>
    <w:qFormat/>
    <w:rsid w:val="00F7177B"/>
    <w:pPr>
      <w:outlineLvl w:val="9"/>
    </w:pPr>
    <w:rPr>
      <w:i/>
    </w:rPr>
  </w:style>
  <w:style w:type="paragraph" w:styleId="TitreTR">
    <w:name w:val="toa heading"/>
    <w:basedOn w:val="Normal"/>
    <w:next w:val="Normal"/>
    <w:semiHidden/>
    <w:rsid w:val="00F7177B"/>
    <w:pPr>
      <w:spacing w:before="120"/>
    </w:pPr>
    <w:rPr>
      <w:rFonts w:cs="Arial"/>
      <w:b/>
      <w:bCs/>
    </w:rPr>
  </w:style>
  <w:style w:type="paragraph" w:styleId="TM3">
    <w:name w:val="toc 3"/>
    <w:basedOn w:val="CBDNormal"/>
    <w:next w:val="Normal"/>
    <w:uiPriority w:val="39"/>
    <w:unhideWhenUsed/>
    <w:rsid w:val="008460CB"/>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M4">
    <w:name w:val="toc 4"/>
    <w:basedOn w:val="CBDNormal"/>
    <w:next w:val="Normal"/>
    <w:uiPriority w:val="39"/>
    <w:unhideWhenUsed/>
    <w:rsid w:val="008460CB"/>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M6">
    <w:name w:val="toc 6"/>
    <w:basedOn w:val="Normal"/>
    <w:next w:val="Normal"/>
    <w:semiHidden/>
    <w:rsid w:val="008460C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M7">
    <w:name w:val="toc 7"/>
    <w:basedOn w:val="Normal"/>
    <w:next w:val="Normal"/>
    <w:autoRedefine/>
    <w:semiHidden/>
    <w:rsid w:val="008460C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M8">
    <w:name w:val="toc 8"/>
    <w:basedOn w:val="Normal"/>
    <w:next w:val="Normal"/>
    <w:autoRedefine/>
    <w:semiHidden/>
    <w:rsid w:val="008460C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M9">
    <w:name w:val="toc 9"/>
    <w:basedOn w:val="Normal"/>
    <w:next w:val="Normal"/>
    <w:autoRedefine/>
    <w:semiHidden/>
    <w:rsid w:val="008460C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character" w:customStyle="1" w:styleId="Para1Char">
    <w:name w:val="Para1 Char"/>
    <w:link w:val="Para1"/>
    <w:locked/>
    <w:rsid w:val="00F7177B"/>
    <w:rPr>
      <w:rFonts w:ascii="Times New Roman" w:eastAsia="SimSun" w:hAnsi="Times New Roman" w:cs="Times New Roman"/>
      <w:snapToGrid w:val="0"/>
      <w:kern w:val="0"/>
      <w:szCs w:val="18"/>
      <w:lang w:val="en-GB"/>
      <w14:ligatures w14:val="none"/>
    </w:rPr>
  </w:style>
  <w:style w:type="paragraph" w:customStyle="1" w:styleId="CBD-Doc-Type">
    <w:name w:val="CBD-Doc-Type"/>
    <w:basedOn w:val="Normal"/>
    <w:rsid w:val="00F7177B"/>
    <w:pPr>
      <w:keepLines/>
      <w:spacing w:before="240" w:after="120"/>
    </w:pPr>
    <w:rPr>
      <w:rFonts w:cs="Angsana New"/>
      <w:b/>
      <w:i/>
    </w:rPr>
  </w:style>
  <w:style w:type="paragraph" w:customStyle="1" w:styleId="CBD-Doc">
    <w:name w:val="CBD-Doc"/>
    <w:basedOn w:val="Normal"/>
    <w:rsid w:val="00F7177B"/>
    <w:pPr>
      <w:keepLines/>
      <w:numPr>
        <w:numId w:val="10"/>
      </w:numPr>
      <w:spacing w:after="120"/>
    </w:pPr>
    <w:rPr>
      <w:rFonts w:cs="Angsana New"/>
    </w:rPr>
  </w:style>
  <w:style w:type="paragraph" w:styleId="Lgende">
    <w:name w:val="caption"/>
    <w:basedOn w:val="Normal"/>
    <w:next w:val="Normal"/>
    <w:uiPriority w:val="35"/>
    <w:unhideWhenUsed/>
    <w:qFormat/>
    <w:rsid w:val="00F7177B"/>
    <w:pPr>
      <w:keepNext/>
      <w:keepLines/>
      <w:spacing w:after="200"/>
    </w:pPr>
    <w:rPr>
      <w:b/>
      <w:iCs/>
      <w:szCs w:val="18"/>
    </w:rPr>
  </w:style>
  <w:style w:type="paragraph" w:customStyle="1" w:styleId="Style1">
    <w:name w:val="Style1"/>
    <w:basedOn w:val="Titre2"/>
    <w:qFormat/>
    <w:rsid w:val="00F7177B"/>
    <w:rPr>
      <w:i/>
    </w:rPr>
  </w:style>
  <w:style w:type="paragraph" w:customStyle="1" w:styleId="paragraph">
    <w:name w:val="paragraph"/>
    <w:basedOn w:val="Normal"/>
    <w:rsid w:val="00F7177B"/>
    <w:pPr>
      <w:spacing w:before="100" w:beforeAutospacing="1" w:after="100" w:afterAutospacing="1"/>
    </w:pPr>
  </w:style>
  <w:style w:type="character" w:customStyle="1" w:styleId="normaltextrun">
    <w:name w:val="normaltextrun"/>
    <w:basedOn w:val="Policepardfaut"/>
    <w:rsid w:val="00F7177B"/>
    <w:rPr>
      <w:lang w:val="en-GB"/>
    </w:rPr>
  </w:style>
  <w:style w:type="character" w:customStyle="1" w:styleId="eop">
    <w:name w:val="eop"/>
    <w:basedOn w:val="Policepardfaut"/>
    <w:rsid w:val="00F7177B"/>
    <w:rPr>
      <w:lang w:val="en-GB"/>
    </w:rPr>
  </w:style>
  <w:style w:type="paragraph" w:customStyle="1" w:styleId="Heading-plain">
    <w:name w:val="Heading - plain"/>
    <w:basedOn w:val="Titre2"/>
    <w:next w:val="Corpsdetexte"/>
    <w:rsid w:val="00F7177B"/>
    <w:pPr>
      <w:numPr>
        <w:ilvl w:val="0"/>
        <w:numId w:val="11"/>
      </w:numPr>
    </w:pPr>
    <w:rPr>
      <w:b w:val="0"/>
      <w:bCs/>
      <w:i/>
      <w:iCs/>
    </w:rPr>
  </w:style>
  <w:style w:type="paragraph" w:customStyle="1" w:styleId="H23">
    <w:name w:val="_ H_2/3"/>
    <w:basedOn w:val="Normal"/>
    <w:next w:val="Normal"/>
    <w:rsid w:val="00F7177B"/>
    <w:pPr>
      <w:suppressAutoHyphens/>
      <w:spacing w:before="120" w:after="120" w:line="240" w:lineRule="exact"/>
      <w:outlineLvl w:val="1"/>
    </w:pPr>
    <w:rPr>
      <w:rFonts w:eastAsia="Calibri"/>
      <w:b/>
      <w:spacing w:val="4"/>
      <w:w w:val="103"/>
      <w:kern w:val="14"/>
      <w:sz w:val="20"/>
      <w:szCs w:val="20"/>
    </w:rPr>
  </w:style>
  <w:style w:type="paragraph" w:customStyle="1" w:styleId="SingleTxt">
    <w:name w:val="__Single Txt"/>
    <w:basedOn w:val="Normal"/>
    <w:rsid w:val="00F7177B"/>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atLeast"/>
      <w:ind w:left="1267" w:right="1267"/>
    </w:pPr>
    <w:rPr>
      <w:rFonts w:eastAsia="Calibri"/>
      <w:spacing w:val="4"/>
      <w:w w:val="103"/>
      <w:kern w:val="14"/>
      <w:sz w:val="20"/>
      <w:szCs w:val="20"/>
    </w:rPr>
  </w:style>
  <w:style w:type="paragraph" w:customStyle="1" w:styleId="H56">
    <w:name w:val="_ H_5/6"/>
    <w:basedOn w:val="Normal"/>
    <w:next w:val="Normal"/>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4"/>
    </w:pPr>
    <w:rPr>
      <w:rFonts w:eastAsia="Calibri"/>
      <w:spacing w:val="4"/>
      <w:w w:val="103"/>
      <w:kern w:val="14"/>
      <w:sz w:val="20"/>
      <w:szCs w:val="20"/>
    </w:rPr>
  </w:style>
  <w:style w:type="table" w:styleId="Tableausimple4">
    <w:name w:val="Plain Table 4"/>
    <w:basedOn w:val="TableauNormal"/>
    <w:uiPriority w:val="44"/>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Ch">
    <w:name w:val="_ H _Ch"/>
    <w:basedOn w:val="Normal"/>
    <w:next w:val="SingleTxt"/>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300" w:lineRule="exact"/>
      <w:outlineLvl w:val="0"/>
    </w:pPr>
    <w:rPr>
      <w:rFonts w:eastAsia="Calibri"/>
      <w:b/>
      <w:spacing w:val="-2"/>
      <w:w w:val="103"/>
      <w:kern w:val="14"/>
      <w:sz w:val="28"/>
      <w:szCs w:val="20"/>
    </w:rPr>
  </w:style>
  <w:style w:type="paragraph" w:customStyle="1" w:styleId="H4">
    <w:name w:val="_ H_4"/>
    <w:basedOn w:val="Normal"/>
    <w:next w:val="Normal"/>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3"/>
    </w:pPr>
    <w:rPr>
      <w:rFonts w:eastAsia="Calibri"/>
      <w:i/>
      <w:spacing w:val="3"/>
      <w:w w:val="103"/>
      <w:kern w:val="14"/>
      <w:sz w:val="20"/>
      <w:szCs w:val="20"/>
    </w:rPr>
  </w:style>
  <w:style w:type="paragraph" w:customStyle="1" w:styleId="H1">
    <w:name w:val="_ H_1"/>
    <w:basedOn w:val="Normal"/>
    <w:next w:val="SingleTxt"/>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70" w:lineRule="exact"/>
      <w:ind w:left="1267" w:right="1267" w:hanging="1267"/>
      <w:outlineLvl w:val="0"/>
    </w:pPr>
    <w:rPr>
      <w:rFonts w:eastAsia="Calibri"/>
      <w:b/>
      <w:spacing w:val="4"/>
      <w:w w:val="103"/>
      <w:kern w:val="14"/>
      <w:szCs w:val="20"/>
    </w:rPr>
  </w:style>
  <w:style w:type="paragraph" w:customStyle="1" w:styleId="Default">
    <w:name w:val="Default"/>
    <w:rsid w:val="00F7177B"/>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GB"/>
      <w14:ligatures w14:val="none"/>
    </w:rPr>
  </w:style>
  <w:style w:type="paragraph" w:customStyle="1" w:styleId="p1">
    <w:name w:val="p1"/>
    <w:basedOn w:val="Normal"/>
    <w:rsid w:val="00F7177B"/>
    <w:pPr>
      <w:spacing w:before="100" w:beforeAutospacing="1" w:after="100" w:afterAutospacing="1"/>
    </w:pPr>
    <w:rPr>
      <w:rFonts w:ascii="Calibri" w:eastAsiaTheme="minorEastAsia" w:hAnsi="Calibri" w:cs="Calibri"/>
      <w:lang w:eastAsia="zh-CN"/>
    </w:rPr>
  </w:style>
  <w:style w:type="character" w:customStyle="1" w:styleId="s1">
    <w:name w:val="s1"/>
    <w:basedOn w:val="Policepardfaut"/>
    <w:rsid w:val="00F7177B"/>
    <w:rPr>
      <w:lang w:val="en-GB"/>
    </w:rPr>
  </w:style>
  <w:style w:type="paragraph" w:styleId="Sansinterligne">
    <w:name w:val="No Spacing"/>
    <w:uiPriority w:val="1"/>
    <w:qFormat/>
    <w:rsid w:val="00F7177B"/>
    <w:pPr>
      <w:spacing w:after="0" w:line="240" w:lineRule="auto"/>
      <w:jc w:val="both"/>
    </w:pPr>
    <w:rPr>
      <w:rFonts w:ascii="Times New Roman" w:eastAsia="Times New Roman" w:hAnsi="Times New Roman" w:cs="Times New Roman"/>
      <w:kern w:val="0"/>
      <w:szCs w:val="24"/>
      <w:lang w:val="en-GB"/>
      <w14:ligatures w14:val="none"/>
    </w:rPr>
  </w:style>
  <w:style w:type="character" w:styleId="lev">
    <w:name w:val="Strong"/>
    <w:basedOn w:val="Policepardfaut"/>
    <w:uiPriority w:val="22"/>
    <w:qFormat/>
    <w:rsid w:val="00F7177B"/>
    <w:rPr>
      <w:b/>
      <w:bCs/>
      <w:lang w:val="en-GB"/>
    </w:rPr>
  </w:style>
  <w:style w:type="character" w:customStyle="1" w:styleId="Mention1">
    <w:name w:val="Mention1"/>
    <w:basedOn w:val="Policepardfaut"/>
    <w:uiPriority w:val="99"/>
    <w:unhideWhenUsed/>
    <w:rsid w:val="00F7177B"/>
    <w:rPr>
      <w:color w:val="2B579A"/>
      <w:shd w:val="clear" w:color="auto" w:fill="E6E6E6"/>
      <w:lang w:val="en-GB"/>
    </w:rPr>
  </w:style>
  <w:style w:type="character" w:customStyle="1" w:styleId="scxw241879823">
    <w:name w:val="scxw241879823"/>
    <w:basedOn w:val="Policepardfaut"/>
    <w:rsid w:val="00F7177B"/>
    <w:rPr>
      <w:lang w:val="en-GB"/>
    </w:rPr>
  </w:style>
  <w:style w:type="numbering" w:customStyle="1" w:styleId="NoList1">
    <w:name w:val="No List1"/>
    <w:next w:val="Aucuneliste"/>
    <w:uiPriority w:val="99"/>
    <w:semiHidden/>
    <w:unhideWhenUsed/>
    <w:rsid w:val="00F7177B"/>
  </w:style>
  <w:style w:type="paragraph" w:customStyle="1" w:styleId="msonormal0">
    <w:name w:val="msonormal"/>
    <w:basedOn w:val="Normal"/>
    <w:rsid w:val="00F7177B"/>
    <w:pPr>
      <w:spacing w:before="100" w:beforeAutospacing="1" w:after="100" w:afterAutospacing="1"/>
    </w:pPr>
    <w:rPr>
      <w:lang w:eastAsia="zh-CN"/>
    </w:rPr>
  </w:style>
  <w:style w:type="paragraph" w:customStyle="1" w:styleId="xl33">
    <w:name w:val="xl33"/>
    <w:basedOn w:val="Normal"/>
    <w:rsid w:val="00F7177B"/>
    <w:pPr>
      <w:spacing w:before="100" w:beforeAutospacing="1" w:after="100" w:afterAutospacing="1"/>
      <w:textAlignment w:val="center"/>
    </w:pPr>
    <w:rPr>
      <w:sz w:val="18"/>
      <w:szCs w:val="18"/>
      <w:lang w:eastAsia="zh-CN"/>
    </w:rPr>
  </w:style>
  <w:style w:type="paragraph" w:customStyle="1" w:styleId="xl36">
    <w:name w:val="xl36"/>
    <w:basedOn w:val="Normal"/>
    <w:rsid w:val="00F7177B"/>
    <w:pPr>
      <w:spacing w:before="100" w:beforeAutospacing="1" w:after="100" w:afterAutospacing="1"/>
      <w:jc w:val="center"/>
      <w:textAlignment w:val="center"/>
    </w:pPr>
    <w:rPr>
      <w:sz w:val="18"/>
      <w:szCs w:val="18"/>
      <w:lang w:eastAsia="zh-CN"/>
    </w:rPr>
  </w:style>
  <w:style w:type="paragraph" w:customStyle="1" w:styleId="xl51">
    <w:name w:val="xl51"/>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53">
    <w:name w:val="xl53"/>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lang w:eastAsia="zh-CN"/>
    </w:rPr>
  </w:style>
  <w:style w:type="paragraph" w:customStyle="1" w:styleId="xl54">
    <w:name w:val="xl54"/>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55">
    <w:name w:val="xl55"/>
    <w:basedOn w:val="Normal"/>
    <w:rsid w:val="00F7177B"/>
    <w:pPr>
      <w:spacing w:before="100" w:beforeAutospacing="1" w:after="100" w:afterAutospacing="1"/>
      <w:jc w:val="center"/>
      <w:textAlignment w:val="center"/>
    </w:pPr>
    <w:rPr>
      <w:sz w:val="18"/>
      <w:szCs w:val="18"/>
      <w:lang w:eastAsia="zh-CN"/>
    </w:rPr>
  </w:style>
  <w:style w:type="paragraph" w:customStyle="1" w:styleId="xl57">
    <w:name w:val="xl57"/>
    <w:basedOn w:val="Normal"/>
    <w:rsid w:val="00F7177B"/>
    <w:pPr>
      <w:spacing w:before="100" w:beforeAutospacing="1" w:after="100" w:afterAutospacing="1"/>
      <w:textAlignment w:val="center"/>
    </w:pPr>
    <w:rPr>
      <w:sz w:val="18"/>
      <w:szCs w:val="18"/>
      <w:lang w:eastAsia="zh-CN"/>
    </w:rPr>
  </w:style>
  <w:style w:type="paragraph" w:customStyle="1" w:styleId="xl58">
    <w:name w:val="xl58"/>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60">
    <w:name w:val="xl60"/>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eastAsia="zh-CN"/>
    </w:rPr>
  </w:style>
  <w:style w:type="paragraph" w:customStyle="1" w:styleId="xl63">
    <w:name w:val="xl63"/>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64">
    <w:name w:val="xl64"/>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lang w:eastAsia="zh-CN"/>
    </w:rPr>
  </w:style>
  <w:style w:type="paragraph" w:customStyle="1" w:styleId="xl65">
    <w:name w:val="xl65"/>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eastAsia="zh-CN"/>
    </w:rPr>
  </w:style>
  <w:style w:type="paragraph" w:customStyle="1" w:styleId="xl66">
    <w:name w:val="xl66"/>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zh-CN"/>
    </w:rPr>
  </w:style>
  <w:style w:type="paragraph" w:customStyle="1" w:styleId="xl69">
    <w:name w:val="xl69"/>
    <w:basedOn w:val="Normal"/>
    <w:rsid w:val="00F7177B"/>
    <w:pPr>
      <w:spacing w:before="100" w:beforeAutospacing="1" w:after="100" w:afterAutospacing="1"/>
      <w:jc w:val="right"/>
      <w:textAlignment w:val="center"/>
    </w:pPr>
    <w:rPr>
      <w:sz w:val="18"/>
      <w:szCs w:val="18"/>
      <w:lang w:eastAsia="zh-CN"/>
    </w:rPr>
  </w:style>
  <w:style w:type="paragraph" w:customStyle="1" w:styleId="xl70">
    <w:name w:val="xl70"/>
    <w:basedOn w:val="Normal"/>
    <w:rsid w:val="00F7177B"/>
    <w:pPr>
      <w:spacing w:before="100" w:beforeAutospacing="1" w:after="100" w:afterAutospacing="1"/>
      <w:jc w:val="right"/>
      <w:textAlignment w:val="center"/>
    </w:pPr>
    <w:rPr>
      <w:sz w:val="18"/>
      <w:szCs w:val="18"/>
      <w:lang w:eastAsia="zh-CN"/>
    </w:rPr>
  </w:style>
  <w:style w:type="paragraph" w:customStyle="1" w:styleId="xl73">
    <w:name w:val="xl73"/>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eastAsia="zh-CN"/>
    </w:rPr>
  </w:style>
  <w:style w:type="paragraph" w:customStyle="1" w:styleId="xl74">
    <w:name w:val="xl74"/>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lang w:eastAsia="zh-CN"/>
    </w:rPr>
  </w:style>
  <w:style w:type="paragraph" w:customStyle="1" w:styleId="xl82">
    <w:name w:val="xl82"/>
    <w:basedOn w:val="Normal"/>
    <w:rsid w:val="00F7177B"/>
    <w:pPr>
      <w:spacing w:before="100" w:beforeAutospacing="1" w:after="100" w:afterAutospacing="1"/>
      <w:jc w:val="center"/>
      <w:textAlignment w:val="center"/>
    </w:pPr>
    <w:rPr>
      <w:sz w:val="16"/>
      <w:szCs w:val="16"/>
      <w:lang w:eastAsia="zh-CN"/>
    </w:rPr>
  </w:style>
  <w:style w:type="paragraph" w:customStyle="1" w:styleId="xl83">
    <w:name w:val="xl83"/>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lang w:eastAsia="zh-CN"/>
    </w:rPr>
  </w:style>
  <w:style w:type="paragraph" w:customStyle="1" w:styleId="xl99">
    <w:name w:val="xl99"/>
    <w:basedOn w:val="Normal"/>
    <w:rsid w:val="00F7177B"/>
    <w:pPr>
      <w:pBdr>
        <w:top w:val="single" w:sz="4" w:space="0" w:color="auto"/>
        <w:left w:val="single" w:sz="4" w:space="0" w:color="auto"/>
        <w:bottom w:val="single" w:sz="4" w:space="0" w:color="auto"/>
      </w:pBdr>
      <w:shd w:val="clear" w:color="000000" w:fill="595959"/>
      <w:spacing w:before="100" w:beforeAutospacing="1" w:after="100" w:afterAutospacing="1"/>
      <w:jc w:val="center"/>
      <w:textAlignment w:val="center"/>
    </w:pPr>
    <w:rPr>
      <w:b/>
      <w:bCs/>
      <w:color w:val="FFFFFF"/>
      <w:sz w:val="18"/>
      <w:szCs w:val="18"/>
      <w:lang w:eastAsia="zh-CN"/>
    </w:rPr>
  </w:style>
  <w:style w:type="paragraph" w:customStyle="1" w:styleId="xl100">
    <w:name w:val="xl100"/>
    <w:basedOn w:val="Normal"/>
    <w:rsid w:val="00F7177B"/>
    <w:pPr>
      <w:pBdr>
        <w:top w:val="single" w:sz="4" w:space="0" w:color="auto"/>
        <w:bottom w:val="single" w:sz="4" w:space="0" w:color="auto"/>
        <w:right w:val="single" w:sz="4" w:space="0" w:color="auto"/>
      </w:pBdr>
      <w:shd w:val="clear" w:color="000000" w:fill="595959"/>
      <w:spacing w:before="100" w:beforeAutospacing="1" w:after="100" w:afterAutospacing="1"/>
      <w:jc w:val="center"/>
      <w:textAlignment w:val="center"/>
    </w:pPr>
    <w:rPr>
      <w:b/>
      <w:bCs/>
      <w:color w:val="FFFFFF"/>
      <w:sz w:val="18"/>
      <w:szCs w:val="18"/>
      <w:lang w:eastAsia="zh-CN"/>
    </w:rPr>
  </w:style>
  <w:style w:type="paragraph" w:customStyle="1" w:styleId="xl101">
    <w:name w:val="xl101"/>
    <w:basedOn w:val="Normal"/>
    <w:rsid w:val="00F7177B"/>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lang w:eastAsia="zh-CN"/>
    </w:rPr>
  </w:style>
  <w:style w:type="paragraph" w:customStyle="1" w:styleId="xl102">
    <w:name w:val="xl102"/>
    <w:basedOn w:val="Normal"/>
    <w:rsid w:val="00F7177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zh-CN"/>
    </w:rPr>
  </w:style>
  <w:style w:type="paragraph" w:customStyle="1" w:styleId="xl106">
    <w:name w:val="xl106"/>
    <w:basedOn w:val="Normal"/>
    <w:rsid w:val="00F7177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18"/>
      <w:szCs w:val="18"/>
      <w:lang w:eastAsia="zh-CN"/>
    </w:rPr>
  </w:style>
  <w:style w:type="paragraph" w:customStyle="1" w:styleId="xl107">
    <w:name w:val="xl107"/>
    <w:basedOn w:val="Normal"/>
    <w:rsid w:val="00F717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8"/>
      <w:szCs w:val="18"/>
      <w:lang w:eastAsia="zh-CN"/>
    </w:rPr>
  </w:style>
  <w:style w:type="paragraph" w:customStyle="1" w:styleId="xl108">
    <w:name w:val="xl108"/>
    <w:basedOn w:val="Normal"/>
    <w:rsid w:val="00F7177B"/>
    <w:pPr>
      <w:pBdr>
        <w:top w:val="single" w:sz="4" w:space="0" w:color="auto"/>
        <w:left w:val="single" w:sz="4" w:space="0" w:color="auto"/>
      </w:pBdr>
      <w:spacing w:before="100" w:beforeAutospacing="1" w:after="100" w:afterAutospacing="1"/>
      <w:jc w:val="center"/>
      <w:textAlignment w:val="center"/>
    </w:pPr>
    <w:rPr>
      <w:b/>
      <w:bCs/>
      <w:color w:val="000000"/>
      <w:sz w:val="16"/>
      <w:szCs w:val="16"/>
      <w:lang w:eastAsia="zh-CN"/>
    </w:rPr>
  </w:style>
  <w:style w:type="paragraph" w:customStyle="1" w:styleId="xl109">
    <w:name w:val="xl109"/>
    <w:basedOn w:val="Normal"/>
    <w:rsid w:val="00F7177B"/>
    <w:pPr>
      <w:pBdr>
        <w:left w:val="single" w:sz="4" w:space="0" w:color="auto"/>
        <w:bottom w:val="single" w:sz="4" w:space="0" w:color="auto"/>
      </w:pBdr>
      <w:spacing w:before="100" w:beforeAutospacing="1" w:after="100" w:afterAutospacing="1"/>
      <w:jc w:val="center"/>
      <w:textAlignment w:val="center"/>
    </w:pPr>
    <w:rPr>
      <w:b/>
      <w:bCs/>
      <w:color w:val="000000"/>
      <w:sz w:val="16"/>
      <w:szCs w:val="16"/>
      <w:lang w:eastAsia="zh-CN"/>
    </w:rPr>
  </w:style>
  <w:style w:type="numbering" w:customStyle="1" w:styleId="NoList2">
    <w:name w:val="No List2"/>
    <w:next w:val="Aucuneliste"/>
    <w:uiPriority w:val="99"/>
    <w:semiHidden/>
    <w:unhideWhenUsed/>
    <w:rsid w:val="00F7177B"/>
  </w:style>
  <w:style w:type="paragraph" w:customStyle="1" w:styleId="xl17">
    <w:name w:val="xl17"/>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18">
    <w:name w:val="xl18"/>
    <w:basedOn w:val="Normal"/>
    <w:rsid w:val="00F7177B"/>
    <w:pPr>
      <w:spacing w:before="100" w:beforeAutospacing="1" w:after="100" w:afterAutospacing="1"/>
      <w:jc w:val="center"/>
      <w:textAlignment w:val="center"/>
    </w:pPr>
    <w:rPr>
      <w:sz w:val="18"/>
      <w:szCs w:val="18"/>
      <w:lang w:eastAsia="zh-CN"/>
    </w:rPr>
  </w:style>
  <w:style w:type="paragraph" w:customStyle="1" w:styleId="xl34">
    <w:name w:val="xl34"/>
    <w:basedOn w:val="Normal"/>
    <w:rsid w:val="00F7177B"/>
    <w:pPr>
      <w:spacing w:before="100" w:beforeAutospacing="1" w:after="100" w:afterAutospacing="1"/>
      <w:textAlignment w:val="center"/>
    </w:pPr>
    <w:rPr>
      <w:b/>
      <w:bCs/>
      <w:sz w:val="18"/>
      <w:szCs w:val="18"/>
      <w:lang w:eastAsia="zh-CN"/>
    </w:rPr>
  </w:style>
  <w:style w:type="paragraph" w:customStyle="1" w:styleId="xl46">
    <w:name w:val="xl46"/>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62">
    <w:name w:val="xl62"/>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eastAsia="zh-CN"/>
    </w:rPr>
  </w:style>
  <w:style w:type="paragraph" w:customStyle="1" w:styleId="xl92">
    <w:name w:val="xl92"/>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eastAsia="zh-CN"/>
    </w:rPr>
  </w:style>
  <w:style w:type="paragraph" w:customStyle="1" w:styleId="xl95">
    <w:name w:val="xl95"/>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eastAsia="zh-CN"/>
    </w:rPr>
  </w:style>
  <w:style w:type="paragraph" w:customStyle="1" w:styleId="xl97">
    <w:name w:val="xl97"/>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lang w:eastAsia="zh-CN"/>
    </w:rPr>
  </w:style>
  <w:style w:type="paragraph" w:customStyle="1" w:styleId="xl98">
    <w:name w:val="xl98"/>
    <w:basedOn w:val="Normal"/>
    <w:rsid w:val="00F7177B"/>
    <w:pPr>
      <w:spacing w:before="100" w:beforeAutospacing="1" w:after="100" w:afterAutospacing="1"/>
      <w:jc w:val="center"/>
      <w:textAlignment w:val="center"/>
    </w:pPr>
    <w:rPr>
      <w:b/>
      <w:bCs/>
      <w:sz w:val="18"/>
      <w:szCs w:val="18"/>
      <w:lang w:eastAsia="zh-CN"/>
    </w:rPr>
  </w:style>
  <w:style w:type="paragraph" w:customStyle="1" w:styleId="xl103">
    <w:name w:val="xl103"/>
    <w:basedOn w:val="Normal"/>
    <w:rsid w:val="00F7177B"/>
    <w:pPr>
      <w:pBdr>
        <w:top w:val="single" w:sz="4" w:space="0" w:color="auto"/>
        <w:left w:val="single" w:sz="4" w:space="0" w:color="auto"/>
      </w:pBdr>
      <w:spacing w:before="100" w:beforeAutospacing="1" w:after="100" w:afterAutospacing="1"/>
      <w:jc w:val="center"/>
      <w:textAlignment w:val="center"/>
    </w:pPr>
    <w:rPr>
      <w:b/>
      <w:bCs/>
      <w:sz w:val="16"/>
      <w:szCs w:val="16"/>
      <w:lang w:eastAsia="zh-CN"/>
    </w:rPr>
  </w:style>
  <w:style w:type="paragraph" w:customStyle="1" w:styleId="xl104">
    <w:name w:val="xl104"/>
    <w:basedOn w:val="Normal"/>
    <w:rsid w:val="00F7177B"/>
    <w:pPr>
      <w:pBdr>
        <w:left w:val="single" w:sz="4" w:space="0" w:color="auto"/>
        <w:bottom w:val="single" w:sz="4" w:space="0" w:color="auto"/>
      </w:pBdr>
      <w:spacing w:before="100" w:beforeAutospacing="1" w:after="100" w:afterAutospacing="1"/>
      <w:jc w:val="center"/>
      <w:textAlignment w:val="center"/>
    </w:pPr>
    <w:rPr>
      <w:b/>
      <w:bCs/>
      <w:sz w:val="16"/>
      <w:szCs w:val="16"/>
      <w:lang w:eastAsia="zh-CN"/>
    </w:rPr>
  </w:style>
  <w:style w:type="paragraph" w:customStyle="1" w:styleId="xl105">
    <w:name w:val="xl105"/>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zh-CN"/>
    </w:rPr>
  </w:style>
  <w:style w:type="numbering" w:customStyle="1" w:styleId="NoList3">
    <w:name w:val="No List3"/>
    <w:next w:val="Aucuneliste"/>
    <w:uiPriority w:val="99"/>
    <w:semiHidden/>
    <w:unhideWhenUsed/>
    <w:rsid w:val="00F7177B"/>
  </w:style>
  <w:style w:type="paragraph" w:customStyle="1" w:styleId="xl19">
    <w:name w:val="xl19"/>
    <w:basedOn w:val="Normal"/>
    <w:rsid w:val="00F7177B"/>
    <w:pPr>
      <w:spacing w:before="100" w:beforeAutospacing="1" w:after="100" w:afterAutospacing="1"/>
      <w:textAlignment w:val="center"/>
    </w:pPr>
    <w:rPr>
      <w:sz w:val="18"/>
      <w:szCs w:val="18"/>
      <w:lang w:eastAsia="zh-CN"/>
    </w:rPr>
  </w:style>
  <w:style w:type="paragraph" w:customStyle="1" w:styleId="xl21">
    <w:name w:val="xl21"/>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22">
    <w:name w:val="xl22"/>
    <w:basedOn w:val="Normal"/>
    <w:rsid w:val="00F7177B"/>
    <w:pPr>
      <w:pBdr>
        <w:top w:val="single" w:sz="4" w:space="0" w:color="auto"/>
        <w:left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23">
    <w:name w:val="xl23"/>
    <w:basedOn w:val="Normal"/>
    <w:rsid w:val="00F7177B"/>
    <w:pPr>
      <w:spacing w:before="100" w:beforeAutospacing="1" w:after="100" w:afterAutospacing="1"/>
      <w:textAlignment w:val="center"/>
    </w:pPr>
    <w:rPr>
      <w:b/>
      <w:bCs/>
      <w:sz w:val="18"/>
      <w:szCs w:val="18"/>
      <w:lang w:eastAsia="zh-CN"/>
    </w:rPr>
  </w:style>
  <w:style w:type="paragraph" w:customStyle="1" w:styleId="xl31">
    <w:name w:val="xl31"/>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eastAsia="zh-CN"/>
    </w:rPr>
  </w:style>
  <w:style w:type="paragraph" w:customStyle="1" w:styleId="xl47">
    <w:name w:val="xl47"/>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88">
    <w:name w:val="xl88"/>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zh-CN"/>
    </w:rPr>
  </w:style>
  <w:style w:type="paragraph" w:customStyle="1" w:styleId="xl90">
    <w:name w:val="xl90"/>
    <w:basedOn w:val="Normal"/>
    <w:rsid w:val="00F7177B"/>
    <w:pPr>
      <w:spacing w:before="100" w:beforeAutospacing="1" w:after="100" w:afterAutospacing="1"/>
      <w:jc w:val="center"/>
      <w:textAlignment w:val="center"/>
    </w:pPr>
    <w:rPr>
      <w:sz w:val="16"/>
      <w:szCs w:val="16"/>
      <w:lang w:eastAsia="zh-CN"/>
    </w:rPr>
  </w:style>
  <w:style w:type="numbering" w:customStyle="1" w:styleId="NoList4">
    <w:name w:val="No List4"/>
    <w:next w:val="Aucuneliste"/>
    <w:uiPriority w:val="99"/>
    <w:semiHidden/>
    <w:unhideWhenUsed/>
    <w:rsid w:val="00F7177B"/>
  </w:style>
  <w:style w:type="character" w:customStyle="1" w:styleId="ParagraphedelisteCar">
    <w:name w:val="Paragraphe de liste Car"/>
    <w:basedOn w:val="Policepardfaut"/>
    <w:link w:val="Paragraphedeliste"/>
    <w:uiPriority w:val="34"/>
    <w:qFormat/>
    <w:rsid w:val="00F7177B"/>
    <w:rPr>
      <w:rFonts w:ascii="Times New Roman" w:eastAsia="SimSun" w:hAnsi="Times New Roman" w:cs="Times New Roman"/>
      <w:kern w:val="0"/>
      <w:lang w:val="en-GB"/>
      <w14:ligatures w14:val="none"/>
    </w:rPr>
  </w:style>
  <w:style w:type="paragraph" w:customStyle="1" w:styleId="TableParagraph">
    <w:name w:val="Table Paragraph"/>
    <w:basedOn w:val="Normal"/>
    <w:uiPriority w:val="1"/>
    <w:qFormat/>
    <w:rsid w:val="00F7177B"/>
    <w:pPr>
      <w:widowControl w:val="0"/>
      <w:autoSpaceDE w:val="0"/>
      <w:autoSpaceDN w:val="0"/>
      <w:spacing w:before="16"/>
      <w:jc w:val="right"/>
    </w:pPr>
    <w:rPr>
      <w:rFonts w:ascii="Calibri" w:eastAsia="Calibri" w:hAnsi="Calibri" w:cs="Calibri"/>
    </w:rPr>
  </w:style>
  <w:style w:type="paragraph" w:customStyle="1" w:styleId="DarkList-Accent31">
    <w:name w:val="Dark List - Accent 31"/>
    <w:hidden/>
    <w:uiPriority w:val="99"/>
    <w:semiHidden/>
    <w:rsid w:val="008460CB"/>
    <w:pPr>
      <w:spacing w:after="0" w:line="240" w:lineRule="auto"/>
    </w:pPr>
    <w:rPr>
      <w:rFonts w:ascii="Times New Roman" w:eastAsia="SimSun" w:hAnsi="Times New Roman" w:cs="Times New Roman"/>
      <w:kern w:val="0"/>
      <w:lang w:val="en-GB" w:eastAsia="en-GB"/>
      <w14:ligatures w14:val="none"/>
    </w:rPr>
  </w:style>
  <w:style w:type="paragraph" w:styleId="Bibliographie">
    <w:name w:val="Bibliography"/>
    <w:basedOn w:val="Normal"/>
    <w:next w:val="Normal"/>
    <w:uiPriority w:val="37"/>
    <w:semiHidden/>
    <w:unhideWhenUsed/>
    <w:rsid w:val="00F7177B"/>
  </w:style>
  <w:style w:type="paragraph" w:styleId="Normalcentr">
    <w:name w:val="Block Text"/>
    <w:basedOn w:val="Normal"/>
    <w:uiPriority w:val="99"/>
    <w:semiHidden/>
    <w:unhideWhenUsed/>
    <w:rsid w:val="00F7177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Corpsdetexte2">
    <w:name w:val="Body Text 2"/>
    <w:basedOn w:val="Normal"/>
    <w:link w:val="Corpsdetexte2Car"/>
    <w:uiPriority w:val="99"/>
    <w:semiHidden/>
    <w:unhideWhenUsed/>
    <w:rsid w:val="00F7177B"/>
    <w:pPr>
      <w:spacing w:after="120" w:line="480" w:lineRule="auto"/>
    </w:pPr>
  </w:style>
  <w:style w:type="character" w:customStyle="1" w:styleId="Corpsdetexte2Car">
    <w:name w:val="Corps de texte 2 Car"/>
    <w:basedOn w:val="Policepardfaut"/>
    <w:link w:val="Corpsdetexte2"/>
    <w:uiPriority w:val="99"/>
    <w:semiHidden/>
    <w:rsid w:val="00F7177B"/>
    <w:rPr>
      <w:rFonts w:ascii="Times New Roman" w:eastAsia="SimSun" w:hAnsi="Times New Roman" w:cs="Times New Roman"/>
      <w:kern w:val="0"/>
      <w:lang w:val="en-GB"/>
      <w14:ligatures w14:val="none"/>
    </w:rPr>
  </w:style>
  <w:style w:type="paragraph" w:styleId="Corpsdetexte3">
    <w:name w:val="Body Text 3"/>
    <w:basedOn w:val="Normal"/>
    <w:link w:val="Corpsdetexte3Car"/>
    <w:uiPriority w:val="99"/>
    <w:semiHidden/>
    <w:unhideWhenUsed/>
    <w:rsid w:val="00F7177B"/>
    <w:pPr>
      <w:spacing w:after="120"/>
    </w:pPr>
    <w:rPr>
      <w:sz w:val="16"/>
      <w:szCs w:val="16"/>
    </w:rPr>
  </w:style>
  <w:style w:type="character" w:customStyle="1" w:styleId="Corpsdetexte3Car">
    <w:name w:val="Corps de texte 3 Car"/>
    <w:basedOn w:val="Policepardfaut"/>
    <w:link w:val="Corpsdetexte3"/>
    <w:uiPriority w:val="99"/>
    <w:semiHidden/>
    <w:rsid w:val="00F7177B"/>
    <w:rPr>
      <w:rFonts w:ascii="Times New Roman" w:eastAsia="SimSun" w:hAnsi="Times New Roman" w:cs="Times New Roman"/>
      <w:kern w:val="0"/>
      <w:sz w:val="16"/>
      <w:szCs w:val="16"/>
      <w:lang w:val="en-GB"/>
      <w14:ligatures w14:val="none"/>
    </w:rPr>
  </w:style>
  <w:style w:type="paragraph" w:styleId="Retrait1religne">
    <w:name w:val="Body Text First Indent"/>
    <w:basedOn w:val="Corpsdetexte"/>
    <w:link w:val="Retrait1religneCar"/>
    <w:uiPriority w:val="99"/>
    <w:semiHidden/>
    <w:unhideWhenUsed/>
    <w:rsid w:val="00F7177B"/>
    <w:pPr>
      <w:spacing w:after="0" w:line="240" w:lineRule="auto"/>
      <w:ind w:firstLine="360"/>
      <w:jc w:val="both"/>
    </w:pPr>
    <w:rPr>
      <w:rFonts w:ascii="Times New Roman" w:eastAsia="SimSun" w:hAnsi="Times New Roman" w:cs="Times New Roman"/>
      <w:kern w:val="0"/>
      <w14:ligatures w14:val="none"/>
    </w:rPr>
  </w:style>
  <w:style w:type="character" w:customStyle="1" w:styleId="Retrait1religneCar">
    <w:name w:val="Retrait 1re ligne Car"/>
    <w:basedOn w:val="CorpsdetexteCar"/>
    <w:link w:val="Retrait1religne"/>
    <w:uiPriority w:val="99"/>
    <w:semiHidden/>
    <w:rsid w:val="00F7177B"/>
    <w:rPr>
      <w:rFonts w:ascii="Times New Roman" w:eastAsia="SimSun" w:hAnsi="Times New Roman" w:cs="Times New Roman"/>
      <w:kern w:val="0"/>
      <w:lang w:val="en-GB"/>
      <w14:ligatures w14:val="none"/>
    </w:rPr>
  </w:style>
  <w:style w:type="paragraph" w:styleId="Retraitcorpset1relig">
    <w:name w:val="Body Text First Indent 2"/>
    <w:basedOn w:val="Retraitcorpsdetexte"/>
    <w:link w:val="Retraitcorpset1religCar"/>
    <w:uiPriority w:val="99"/>
    <w:semiHidden/>
    <w:unhideWhenUsed/>
    <w:rsid w:val="00F7177B"/>
    <w:pPr>
      <w:spacing w:before="0" w:after="0"/>
      <w:ind w:left="360" w:firstLine="360"/>
    </w:pPr>
  </w:style>
  <w:style w:type="character" w:customStyle="1" w:styleId="Retraitcorpset1religCar">
    <w:name w:val="Retrait corps et 1re lig. Car"/>
    <w:basedOn w:val="RetraitcorpsdetexteCar"/>
    <w:link w:val="Retraitcorpset1relig"/>
    <w:uiPriority w:val="99"/>
    <w:semiHidden/>
    <w:rsid w:val="00F7177B"/>
    <w:rPr>
      <w:rFonts w:ascii="Times New Roman" w:eastAsia="SimSun" w:hAnsi="Times New Roman" w:cs="Times New Roman"/>
      <w:kern w:val="0"/>
      <w:lang w:val="en-GB"/>
      <w14:ligatures w14:val="none"/>
    </w:rPr>
  </w:style>
  <w:style w:type="paragraph" w:styleId="Retraitcorpsdetexte2">
    <w:name w:val="Body Text Indent 2"/>
    <w:basedOn w:val="Normal"/>
    <w:link w:val="Retraitcorpsdetexte2Car"/>
    <w:uiPriority w:val="99"/>
    <w:semiHidden/>
    <w:unhideWhenUsed/>
    <w:rsid w:val="00F7177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F7177B"/>
    <w:rPr>
      <w:rFonts w:ascii="Times New Roman" w:eastAsia="SimSun" w:hAnsi="Times New Roman" w:cs="Times New Roman"/>
      <w:kern w:val="0"/>
      <w:lang w:val="en-GB"/>
      <w14:ligatures w14:val="none"/>
    </w:rPr>
  </w:style>
  <w:style w:type="paragraph" w:styleId="Retraitcorpsdetexte3">
    <w:name w:val="Body Text Indent 3"/>
    <w:basedOn w:val="Normal"/>
    <w:link w:val="Retraitcorpsdetexte3Car"/>
    <w:uiPriority w:val="99"/>
    <w:semiHidden/>
    <w:unhideWhenUsed/>
    <w:rsid w:val="00F7177B"/>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F7177B"/>
    <w:rPr>
      <w:rFonts w:ascii="Times New Roman" w:eastAsia="SimSun" w:hAnsi="Times New Roman" w:cs="Times New Roman"/>
      <w:kern w:val="0"/>
      <w:sz w:val="16"/>
      <w:szCs w:val="16"/>
      <w:lang w:val="en-GB"/>
      <w14:ligatures w14:val="none"/>
    </w:rPr>
  </w:style>
  <w:style w:type="character" w:styleId="Titredulivre">
    <w:name w:val="Book Title"/>
    <w:basedOn w:val="Policepardfaut"/>
    <w:uiPriority w:val="33"/>
    <w:qFormat/>
    <w:rsid w:val="00F7177B"/>
    <w:rPr>
      <w:b/>
      <w:bCs/>
      <w:i/>
      <w:iCs/>
      <w:spacing w:val="5"/>
      <w:lang w:val="en-GB"/>
    </w:rPr>
  </w:style>
  <w:style w:type="paragraph" w:styleId="Formuledepolitesse">
    <w:name w:val="Closing"/>
    <w:basedOn w:val="Normal"/>
    <w:link w:val="FormuledepolitesseCar"/>
    <w:uiPriority w:val="99"/>
    <w:semiHidden/>
    <w:unhideWhenUsed/>
    <w:rsid w:val="00F7177B"/>
    <w:pPr>
      <w:ind w:left="4252"/>
    </w:pPr>
  </w:style>
  <w:style w:type="character" w:customStyle="1" w:styleId="FormuledepolitesseCar">
    <w:name w:val="Formule de politesse Car"/>
    <w:basedOn w:val="Policepardfaut"/>
    <w:link w:val="Formuledepolitesse"/>
    <w:uiPriority w:val="99"/>
    <w:semiHidden/>
    <w:rsid w:val="00F7177B"/>
    <w:rPr>
      <w:rFonts w:ascii="Times New Roman" w:eastAsia="SimSun" w:hAnsi="Times New Roman" w:cs="Times New Roman"/>
      <w:kern w:val="0"/>
      <w:lang w:val="en-GB"/>
      <w14:ligatures w14:val="none"/>
    </w:rPr>
  </w:style>
  <w:style w:type="table" w:styleId="Grillecouleur">
    <w:name w:val="Colorful Grid"/>
    <w:basedOn w:val="Tableau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ecouleur">
    <w:name w:val="Colorful List"/>
    <w:basedOn w:val="Tableau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ramecouleur">
    <w:name w:val="Colorful Shading"/>
    <w:basedOn w:val="Tableau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ar"/>
    <w:uiPriority w:val="99"/>
    <w:semiHidden/>
    <w:unhideWhenUsed/>
    <w:rsid w:val="00F7177B"/>
  </w:style>
  <w:style w:type="character" w:customStyle="1" w:styleId="DateCar">
    <w:name w:val="Date Car"/>
    <w:basedOn w:val="Policepardfaut"/>
    <w:link w:val="Date"/>
    <w:uiPriority w:val="99"/>
    <w:semiHidden/>
    <w:rsid w:val="00F7177B"/>
    <w:rPr>
      <w:rFonts w:ascii="Times New Roman" w:eastAsia="SimSun" w:hAnsi="Times New Roman" w:cs="Times New Roman"/>
      <w:kern w:val="0"/>
      <w:lang w:val="en-GB"/>
      <w14:ligatures w14:val="none"/>
    </w:rPr>
  </w:style>
  <w:style w:type="paragraph" w:styleId="Explorateurdedocuments">
    <w:name w:val="Document Map"/>
    <w:basedOn w:val="Normal"/>
    <w:link w:val="ExplorateurdedocumentsCar"/>
    <w:uiPriority w:val="99"/>
    <w:semiHidden/>
    <w:unhideWhenUsed/>
    <w:rsid w:val="00F7177B"/>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F7177B"/>
    <w:rPr>
      <w:rFonts w:ascii="Segoe UI" w:eastAsia="SimSun" w:hAnsi="Segoe UI" w:cs="Segoe UI"/>
      <w:kern w:val="0"/>
      <w:sz w:val="16"/>
      <w:szCs w:val="16"/>
      <w:lang w:val="en-GB"/>
      <w14:ligatures w14:val="none"/>
    </w:rPr>
  </w:style>
  <w:style w:type="paragraph" w:styleId="Signaturelectronique">
    <w:name w:val="E-mail Signature"/>
    <w:basedOn w:val="Normal"/>
    <w:link w:val="SignaturelectroniqueCar"/>
    <w:uiPriority w:val="99"/>
    <w:semiHidden/>
    <w:unhideWhenUsed/>
    <w:rsid w:val="00F7177B"/>
  </w:style>
  <w:style w:type="character" w:customStyle="1" w:styleId="SignaturelectroniqueCar">
    <w:name w:val="Signature électronique Car"/>
    <w:basedOn w:val="Policepardfaut"/>
    <w:link w:val="Signaturelectronique"/>
    <w:uiPriority w:val="99"/>
    <w:semiHidden/>
    <w:rsid w:val="00F7177B"/>
    <w:rPr>
      <w:rFonts w:ascii="Times New Roman" w:eastAsia="SimSun" w:hAnsi="Times New Roman" w:cs="Times New Roman"/>
      <w:kern w:val="0"/>
      <w:lang w:val="en-GB"/>
      <w14:ligatures w14:val="none"/>
    </w:rPr>
  </w:style>
  <w:style w:type="character" w:styleId="Accentuation">
    <w:name w:val="Emphasis"/>
    <w:basedOn w:val="Policepardfaut"/>
    <w:uiPriority w:val="20"/>
    <w:qFormat/>
    <w:rsid w:val="00F7177B"/>
    <w:rPr>
      <w:i/>
      <w:iCs/>
      <w:lang w:val="en-GB"/>
    </w:rPr>
  </w:style>
  <w:style w:type="paragraph" w:styleId="Adressedestinataire">
    <w:name w:val="envelope address"/>
    <w:basedOn w:val="Normal"/>
    <w:uiPriority w:val="99"/>
    <w:semiHidden/>
    <w:unhideWhenUsed/>
    <w:rsid w:val="00F7177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F7177B"/>
    <w:rPr>
      <w:rFonts w:asciiTheme="majorHAnsi" w:eastAsiaTheme="majorEastAsia" w:hAnsiTheme="majorHAnsi" w:cstheme="majorBidi"/>
      <w:sz w:val="20"/>
      <w:szCs w:val="20"/>
    </w:rPr>
  </w:style>
  <w:style w:type="table" w:styleId="TableauGrille1Clair">
    <w:name w:val="Grid Table 1 Light"/>
    <w:basedOn w:val="Tableau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2-Accentuation2">
    <w:name w:val="Grid Table 2 Accent 2"/>
    <w:basedOn w:val="Tableau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2-Accentuation3">
    <w:name w:val="Grid Table 2 Accent 3"/>
    <w:basedOn w:val="Tableau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2-Accentuation4">
    <w:name w:val="Grid Table 2 Accent 4"/>
    <w:basedOn w:val="Tableau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2-Accentuation5">
    <w:name w:val="Grid Table 2 Accent 5"/>
    <w:basedOn w:val="Tableau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2-Accentuation6">
    <w:name w:val="Grid Table 2 Accent 6"/>
    <w:basedOn w:val="Tableau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3">
    <w:name w:val="Grid Table 3"/>
    <w:basedOn w:val="Tableau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eauGrille3-Accentuation2">
    <w:name w:val="Grid Table 3 Accent 2"/>
    <w:basedOn w:val="Tableau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3-Accentuation3">
    <w:name w:val="Grid Table 3 Accent 3"/>
    <w:basedOn w:val="Tableau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3-Accentuation4">
    <w:name w:val="Grid Table 3 Accent 4"/>
    <w:basedOn w:val="Tableau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auGrille3-Accentuation5">
    <w:name w:val="Grid Table 3 Accent 5"/>
    <w:basedOn w:val="Tableau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auGrille3-Accentuation6">
    <w:name w:val="Grid Table 3 Accent 6"/>
    <w:basedOn w:val="Tableau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auGrille4">
    <w:name w:val="Grid Table 4"/>
    <w:basedOn w:val="Tableau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4-Accentuation2">
    <w:name w:val="Grid Table 4 Accent 2"/>
    <w:basedOn w:val="Tableau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4-Accentuation3">
    <w:name w:val="Grid Table 4 Accent 3"/>
    <w:basedOn w:val="Tableau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4-Accentuation4">
    <w:name w:val="Grid Table 4 Accent 4"/>
    <w:basedOn w:val="Tableau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4-Accentuation5">
    <w:name w:val="Grid Table 4 Accent 5"/>
    <w:basedOn w:val="Tableau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4-Accentuation6">
    <w:name w:val="Grid Table 4 Accent 6"/>
    <w:basedOn w:val="Tableau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5Fonc">
    <w:name w:val="Grid Table 5 Dark"/>
    <w:basedOn w:val="Tableau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eauGrille5Fonc-Accentuation2">
    <w:name w:val="Grid Table 5 Dark Accent 2"/>
    <w:basedOn w:val="Tableau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eauGrille5Fonc-Accentuation3">
    <w:name w:val="Grid Table 5 Dark Accent 3"/>
    <w:basedOn w:val="Tableau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eauGrille5Fonc-Accentuation4">
    <w:name w:val="Grid Table 5 Dark Accent 4"/>
    <w:basedOn w:val="Tableau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eauGrille5Fonc-Accentuation5">
    <w:name w:val="Grid Table 5 Dark Accent 5"/>
    <w:basedOn w:val="Tableau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eauGrille5Fonc-Accentuation6">
    <w:name w:val="Grid Table 5 Dark Accent 6"/>
    <w:basedOn w:val="Tableau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eauGrille6Couleur">
    <w:name w:val="Grid Table 6 Colorful"/>
    <w:basedOn w:val="TableauNormal"/>
    <w:uiPriority w:val="51"/>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F7177B"/>
    <w:pPr>
      <w:spacing w:after="0" w:line="240" w:lineRule="auto"/>
    </w:pPr>
    <w:rPr>
      <w:rFonts w:eastAsiaTheme="minorEastAsia"/>
      <w:color w:val="2F5496" w:themeColor="accent1" w:themeShade="BF"/>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6Couleur-Accentuation2">
    <w:name w:val="Grid Table 6 Colorful Accent 2"/>
    <w:basedOn w:val="TableauNormal"/>
    <w:uiPriority w:val="51"/>
    <w:rsid w:val="00F7177B"/>
    <w:pPr>
      <w:spacing w:after="0" w:line="240" w:lineRule="auto"/>
    </w:pPr>
    <w:rPr>
      <w:rFonts w:eastAsiaTheme="minorEastAsia"/>
      <w:color w:val="C45911" w:themeColor="accent2" w:themeShade="BF"/>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6Couleur-Accentuation3">
    <w:name w:val="Grid Table 6 Colorful Accent 3"/>
    <w:basedOn w:val="TableauNormal"/>
    <w:uiPriority w:val="51"/>
    <w:rsid w:val="00F7177B"/>
    <w:pPr>
      <w:spacing w:after="0" w:line="240" w:lineRule="auto"/>
    </w:pPr>
    <w:rPr>
      <w:rFonts w:eastAsiaTheme="minorEastAsia"/>
      <w:color w:val="7B7B7B" w:themeColor="accent3" w:themeShade="BF"/>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6Couleur-Accentuation4">
    <w:name w:val="Grid Table 6 Colorful Accent 4"/>
    <w:basedOn w:val="TableauNormal"/>
    <w:uiPriority w:val="51"/>
    <w:rsid w:val="00F7177B"/>
    <w:pPr>
      <w:spacing w:after="0" w:line="240" w:lineRule="auto"/>
    </w:pPr>
    <w:rPr>
      <w:rFonts w:eastAsiaTheme="minorEastAsia"/>
      <w:color w:val="BF8F00" w:themeColor="accent4" w:themeShade="BF"/>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6Couleur-Accentuation5">
    <w:name w:val="Grid Table 6 Colorful Accent 5"/>
    <w:basedOn w:val="TableauNormal"/>
    <w:uiPriority w:val="51"/>
    <w:rsid w:val="00F7177B"/>
    <w:pPr>
      <w:spacing w:after="0" w:line="240" w:lineRule="auto"/>
    </w:pPr>
    <w:rPr>
      <w:rFonts w:eastAsiaTheme="minorEastAsia"/>
      <w:color w:val="2E74B5" w:themeColor="accent5" w:themeShade="BF"/>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6Couleur-Accentuation6">
    <w:name w:val="Grid Table 6 Colorful Accent 6"/>
    <w:basedOn w:val="TableauNormal"/>
    <w:uiPriority w:val="51"/>
    <w:rsid w:val="00F7177B"/>
    <w:pPr>
      <w:spacing w:after="0" w:line="240" w:lineRule="auto"/>
    </w:pPr>
    <w:rPr>
      <w:rFonts w:eastAsiaTheme="minorEastAsia"/>
      <w:color w:val="538135" w:themeColor="accent6" w:themeShade="BF"/>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7Couleur">
    <w:name w:val="Grid Table 7 Colorful"/>
    <w:basedOn w:val="TableauNormal"/>
    <w:uiPriority w:val="52"/>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F7177B"/>
    <w:pPr>
      <w:spacing w:after="0" w:line="240" w:lineRule="auto"/>
    </w:pPr>
    <w:rPr>
      <w:rFonts w:eastAsiaTheme="minorEastAsia"/>
      <w:color w:val="2F5496" w:themeColor="accent1" w:themeShade="BF"/>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eauGrille7Couleur-Accentuation2">
    <w:name w:val="Grid Table 7 Colorful Accent 2"/>
    <w:basedOn w:val="TableauNormal"/>
    <w:uiPriority w:val="52"/>
    <w:rsid w:val="00F7177B"/>
    <w:pPr>
      <w:spacing w:after="0" w:line="240" w:lineRule="auto"/>
    </w:pPr>
    <w:rPr>
      <w:rFonts w:eastAsiaTheme="minorEastAsia"/>
      <w:color w:val="C45911" w:themeColor="accent2" w:themeShade="BF"/>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7Couleur-Accentuation3">
    <w:name w:val="Grid Table 7 Colorful Accent 3"/>
    <w:basedOn w:val="TableauNormal"/>
    <w:uiPriority w:val="52"/>
    <w:rsid w:val="00F7177B"/>
    <w:pPr>
      <w:spacing w:after="0" w:line="240" w:lineRule="auto"/>
    </w:pPr>
    <w:rPr>
      <w:rFonts w:eastAsiaTheme="minorEastAsia"/>
      <w:color w:val="7B7B7B" w:themeColor="accent3" w:themeShade="BF"/>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7Couleur-Accentuation4">
    <w:name w:val="Grid Table 7 Colorful Accent 4"/>
    <w:basedOn w:val="TableauNormal"/>
    <w:uiPriority w:val="52"/>
    <w:rsid w:val="00F7177B"/>
    <w:pPr>
      <w:spacing w:after="0" w:line="240" w:lineRule="auto"/>
    </w:pPr>
    <w:rPr>
      <w:rFonts w:eastAsiaTheme="minorEastAsia"/>
      <w:color w:val="BF8F00" w:themeColor="accent4" w:themeShade="BF"/>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auGrille7Couleur-Accentuation5">
    <w:name w:val="Grid Table 7 Colorful Accent 5"/>
    <w:basedOn w:val="TableauNormal"/>
    <w:uiPriority w:val="52"/>
    <w:rsid w:val="00F7177B"/>
    <w:pPr>
      <w:spacing w:after="0" w:line="240" w:lineRule="auto"/>
    </w:pPr>
    <w:rPr>
      <w:rFonts w:eastAsiaTheme="minorEastAsia"/>
      <w:color w:val="2E74B5" w:themeColor="accent5" w:themeShade="BF"/>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auGrille7Couleur-Accentuation6">
    <w:name w:val="Grid Table 7 Colorful Accent 6"/>
    <w:basedOn w:val="TableauNormal"/>
    <w:uiPriority w:val="52"/>
    <w:rsid w:val="00F7177B"/>
    <w:pPr>
      <w:spacing w:after="0" w:line="240" w:lineRule="auto"/>
    </w:pPr>
    <w:rPr>
      <w:rFonts w:eastAsiaTheme="minorEastAsia"/>
      <w:color w:val="538135" w:themeColor="accent6" w:themeShade="BF"/>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Policepardfaut"/>
    <w:uiPriority w:val="99"/>
    <w:semiHidden/>
    <w:unhideWhenUsed/>
    <w:rsid w:val="00F7177B"/>
    <w:rPr>
      <w:color w:val="2B579A"/>
      <w:shd w:val="clear" w:color="auto" w:fill="E1DFDD"/>
      <w:lang w:val="en-GB"/>
    </w:rPr>
  </w:style>
  <w:style w:type="character" w:styleId="AcronymeHTML">
    <w:name w:val="HTML Acronym"/>
    <w:basedOn w:val="Policepardfaut"/>
    <w:uiPriority w:val="99"/>
    <w:semiHidden/>
    <w:unhideWhenUsed/>
    <w:rsid w:val="00F7177B"/>
    <w:rPr>
      <w:lang w:val="en-GB"/>
    </w:rPr>
  </w:style>
  <w:style w:type="paragraph" w:styleId="AdresseHTML">
    <w:name w:val="HTML Address"/>
    <w:basedOn w:val="Normal"/>
    <w:link w:val="AdresseHTMLCar"/>
    <w:uiPriority w:val="99"/>
    <w:semiHidden/>
    <w:unhideWhenUsed/>
    <w:rsid w:val="00F7177B"/>
    <w:rPr>
      <w:i/>
      <w:iCs/>
    </w:rPr>
  </w:style>
  <w:style w:type="character" w:customStyle="1" w:styleId="AdresseHTMLCar">
    <w:name w:val="Adresse HTML Car"/>
    <w:basedOn w:val="Policepardfaut"/>
    <w:link w:val="AdresseHTML"/>
    <w:uiPriority w:val="99"/>
    <w:semiHidden/>
    <w:rsid w:val="00F7177B"/>
    <w:rPr>
      <w:rFonts w:ascii="Times New Roman" w:eastAsia="SimSun" w:hAnsi="Times New Roman" w:cs="Times New Roman"/>
      <w:i/>
      <w:iCs/>
      <w:kern w:val="0"/>
      <w:lang w:val="en-GB"/>
      <w14:ligatures w14:val="none"/>
    </w:rPr>
  </w:style>
  <w:style w:type="character" w:styleId="CitationHTML">
    <w:name w:val="HTML Cite"/>
    <w:basedOn w:val="Policepardfaut"/>
    <w:uiPriority w:val="99"/>
    <w:semiHidden/>
    <w:unhideWhenUsed/>
    <w:rsid w:val="00F7177B"/>
    <w:rPr>
      <w:i/>
      <w:iCs/>
      <w:lang w:val="en-GB"/>
    </w:rPr>
  </w:style>
  <w:style w:type="character" w:styleId="CodeHTML">
    <w:name w:val="HTML Code"/>
    <w:basedOn w:val="Policepardfaut"/>
    <w:uiPriority w:val="99"/>
    <w:semiHidden/>
    <w:unhideWhenUsed/>
    <w:rsid w:val="00F7177B"/>
    <w:rPr>
      <w:rFonts w:ascii="Consolas" w:hAnsi="Consolas"/>
      <w:sz w:val="20"/>
      <w:szCs w:val="20"/>
      <w:lang w:val="en-GB"/>
    </w:rPr>
  </w:style>
  <w:style w:type="character" w:styleId="DfinitionHTML">
    <w:name w:val="HTML Definition"/>
    <w:basedOn w:val="Policepardfaut"/>
    <w:uiPriority w:val="99"/>
    <w:semiHidden/>
    <w:unhideWhenUsed/>
    <w:rsid w:val="00F7177B"/>
    <w:rPr>
      <w:i/>
      <w:iCs/>
      <w:lang w:val="en-GB"/>
    </w:rPr>
  </w:style>
  <w:style w:type="character" w:styleId="ClavierHTML">
    <w:name w:val="HTML Keyboard"/>
    <w:basedOn w:val="Policepardfaut"/>
    <w:uiPriority w:val="99"/>
    <w:semiHidden/>
    <w:unhideWhenUsed/>
    <w:rsid w:val="00F7177B"/>
    <w:rPr>
      <w:rFonts w:ascii="Consolas" w:hAnsi="Consolas"/>
      <w:sz w:val="20"/>
      <w:szCs w:val="20"/>
      <w:lang w:val="en-GB"/>
    </w:rPr>
  </w:style>
  <w:style w:type="paragraph" w:styleId="PrformatHTML">
    <w:name w:val="HTML Preformatted"/>
    <w:basedOn w:val="Normal"/>
    <w:link w:val="PrformatHTMLCar"/>
    <w:uiPriority w:val="99"/>
    <w:semiHidden/>
    <w:unhideWhenUsed/>
    <w:rsid w:val="00F7177B"/>
    <w:rPr>
      <w:rFonts w:ascii="Consolas" w:hAnsi="Consolas"/>
      <w:sz w:val="20"/>
      <w:szCs w:val="20"/>
    </w:rPr>
  </w:style>
  <w:style w:type="character" w:customStyle="1" w:styleId="PrformatHTMLCar">
    <w:name w:val="Préformaté HTML Car"/>
    <w:basedOn w:val="Policepardfaut"/>
    <w:link w:val="PrformatHTML"/>
    <w:uiPriority w:val="99"/>
    <w:semiHidden/>
    <w:rsid w:val="00F7177B"/>
    <w:rPr>
      <w:rFonts w:ascii="Consolas" w:eastAsia="SimSun" w:hAnsi="Consolas" w:cs="Times New Roman"/>
      <w:kern w:val="0"/>
      <w:sz w:val="20"/>
      <w:szCs w:val="20"/>
      <w:lang w:val="en-GB"/>
      <w14:ligatures w14:val="none"/>
    </w:rPr>
  </w:style>
  <w:style w:type="character" w:styleId="ExempleHTML">
    <w:name w:val="HTML Sample"/>
    <w:basedOn w:val="Policepardfaut"/>
    <w:uiPriority w:val="99"/>
    <w:semiHidden/>
    <w:unhideWhenUsed/>
    <w:rsid w:val="00F7177B"/>
    <w:rPr>
      <w:rFonts w:ascii="Consolas" w:hAnsi="Consolas"/>
      <w:sz w:val="24"/>
      <w:szCs w:val="24"/>
      <w:lang w:val="en-GB"/>
    </w:rPr>
  </w:style>
  <w:style w:type="character" w:styleId="MachinecrireHTML">
    <w:name w:val="HTML Typewriter"/>
    <w:basedOn w:val="Policepardfaut"/>
    <w:uiPriority w:val="99"/>
    <w:semiHidden/>
    <w:unhideWhenUsed/>
    <w:rsid w:val="00F7177B"/>
    <w:rPr>
      <w:rFonts w:ascii="Consolas" w:hAnsi="Consolas"/>
      <w:sz w:val="20"/>
      <w:szCs w:val="20"/>
      <w:lang w:val="en-GB"/>
    </w:rPr>
  </w:style>
  <w:style w:type="character" w:styleId="VariableHTML">
    <w:name w:val="HTML Variable"/>
    <w:basedOn w:val="Policepardfaut"/>
    <w:uiPriority w:val="99"/>
    <w:semiHidden/>
    <w:unhideWhenUsed/>
    <w:rsid w:val="00F7177B"/>
    <w:rPr>
      <w:i/>
      <w:iCs/>
      <w:lang w:val="en-GB"/>
    </w:rPr>
  </w:style>
  <w:style w:type="paragraph" w:styleId="Index1">
    <w:name w:val="index 1"/>
    <w:basedOn w:val="Normal"/>
    <w:next w:val="Normal"/>
    <w:autoRedefine/>
    <w:uiPriority w:val="99"/>
    <w:semiHidden/>
    <w:unhideWhenUsed/>
    <w:rsid w:val="00F7177B"/>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F7177B"/>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F7177B"/>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F7177B"/>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F7177B"/>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F7177B"/>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F7177B"/>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F7177B"/>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F7177B"/>
    <w:pPr>
      <w:tabs>
        <w:tab w:val="clear" w:pos="567"/>
        <w:tab w:val="clear" w:pos="1134"/>
        <w:tab w:val="clear" w:pos="1701"/>
        <w:tab w:val="clear" w:pos="2268"/>
      </w:tabs>
      <w:ind w:left="1980" w:hanging="220"/>
    </w:pPr>
  </w:style>
  <w:style w:type="paragraph" w:styleId="Titreindex">
    <w:name w:val="index heading"/>
    <w:basedOn w:val="Normal"/>
    <w:next w:val="Index1"/>
    <w:uiPriority w:val="99"/>
    <w:semiHidden/>
    <w:unhideWhenUsed/>
    <w:rsid w:val="00F7177B"/>
    <w:rPr>
      <w:rFonts w:asciiTheme="majorHAnsi" w:eastAsiaTheme="majorEastAsia" w:hAnsiTheme="majorHAnsi" w:cstheme="majorBidi"/>
      <w:b/>
      <w:bCs/>
    </w:rPr>
  </w:style>
  <w:style w:type="character" w:styleId="Accentuationintense">
    <w:name w:val="Intense Emphasis"/>
    <w:basedOn w:val="Policepardfaut"/>
    <w:uiPriority w:val="21"/>
    <w:qFormat/>
    <w:rsid w:val="00F7177B"/>
    <w:rPr>
      <w:i/>
      <w:iCs/>
      <w:color w:val="4472C4" w:themeColor="accent1"/>
      <w:lang w:val="en-GB"/>
    </w:rPr>
  </w:style>
  <w:style w:type="paragraph" w:styleId="Citationintense">
    <w:name w:val="Intense Quote"/>
    <w:basedOn w:val="Normal"/>
    <w:next w:val="Normal"/>
    <w:link w:val="CitationintenseCar"/>
    <w:uiPriority w:val="30"/>
    <w:qFormat/>
    <w:rsid w:val="00F7177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F7177B"/>
    <w:rPr>
      <w:rFonts w:ascii="Times New Roman" w:eastAsia="SimSun" w:hAnsi="Times New Roman" w:cs="Times New Roman"/>
      <w:i/>
      <w:iCs/>
      <w:color w:val="4472C4" w:themeColor="accent1"/>
      <w:kern w:val="0"/>
      <w:lang w:val="en-GB"/>
      <w14:ligatures w14:val="none"/>
    </w:rPr>
  </w:style>
  <w:style w:type="character" w:styleId="Rfrenceintense">
    <w:name w:val="Intense Reference"/>
    <w:basedOn w:val="Policepardfaut"/>
    <w:uiPriority w:val="32"/>
    <w:qFormat/>
    <w:rsid w:val="00F7177B"/>
    <w:rPr>
      <w:b/>
      <w:bCs/>
      <w:smallCaps/>
      <w:color w:val="4472C4" w:themeColor="accent1"/>
      <w:spacing w:val="5"/>
      <w:lang w:val="en-GB"/>
    </w:rPr>
  </w:style>
  <w:style w:type="table" w:styleId="Grilleclaire">
    <w:name w:val="Light Grid"/>
    <w:basedOn w:val="Tableau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eclaire">
    <w:name w:val="Light List"/>
    <w:basedOn w:val="Tableau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mbrageclair">
    <w:name w:val="Light Shading"/>
    <w:basedOn w:val="TableauNormal"/>
    <w:uiPriority w:val="60"/>
    <w:semiHidden/>
    <w:unhideWhenUsed/>
    <w:rsid w:val="00F7177B"/>
    <w:pPr>
      <w:spacing w:after="0" w:line="240" w:lineRule="auto"/>
    </w:pPr>
    <w:rPr>
      <w:rFonts w:eastAsiaTheme="minorEastAsia"/>
      <w:color w:val="000000" w:themeColor="text1" w:themeShade="BF"/>
      <w:kern w:val="0"/>
      <w:sz w:val="24"/>
      <w:szCs w:val="24"/>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F7177B"/>
    <w:pPr>
      <w:spacing w:after="0" w:line="240" w:lineRule="auto"/>
    </w:pPr>
    <w:rPr>
      <w:rFonts w:eastAsiaTheme="minorEastAsia"/>
      <w:color w:val="2F5496" w:themeColor="accent1" w:themeShade="BF"/>
      <w:kern w:val="0"/>
      <w:sz w:val="24"/>
      <w:szCs w:val="24"/>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semiHidden/>
    <w:unhideWhenUsed/>
    <w:rsid w:val="00F7177B"/>
    <w:pPr>
      <w:spacing w:after="0" w:line="240" w:lineRule="auto"/>
    </w:pPr>
    <w:rPr>
      <w:rFonts w:eastAsiaTheme="minorEastAsia"/>
      <w:color w:val="C45911" w:themeColor="accent2" w:themeShade="BF"/>
      <w:kern w:val="0"/>
      <w:sz w:val="24"/>
      <w:szCs w:val="24"/>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semiHidden/>
    <w:unhideWhenUsed/>
    <w:rsid w:val="00F7177B"/>
    <w:pPr>
      <w:spacing w:after="0" w:line="240" w:lineRule="auto"/>
    </w:pPr>
    <w:rPr>
      <w:rFonts w:eastAsiaTheme="minorEastAsia"/>
      <w:color w:val="7B7B7B" w:themeColor="accent3" w:themeShade="BF"/>
      <w:kern w:val="0"/>
      <w:sz w:val="24"/>
      <w:szCs w:val="24"/>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semiHidden/>
    <w:unhideWhenUsed/>
    <w:rsid w:val="00F7177B"/>
    <w:pPr>
      <w:spacing w:after="0" w:line="240" w:lineRule="auto"/>
    </w:pPr>
    <w:rPr>
      <w:rFonts w:eastAsiaTheme="minorEastAsia"/>
      <w:color w:val="BF8F00" w:themeColor="accent4" w:themeShade="BF"/>
      <w:kern w:val="0"/>
      <w:sz w:val="24"/>
      <w:szCs w:val="24"/>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semiHidden/>
    <w:unhideWhenUsed/>
    <w:rsid w:val="00F7177B"/>
    <w:pPr>
      <w:spacing w:after="0" w:line="240" w:lineRule="auto"/>
    </w:pPr>
    <w:rPr>
      <w:rFonts w:eastAsiaTheme="minorEastAsia"/>
      <w:color w:val="2E74B5" w:themeColor="accent5" w:themeShade="BF"/>
      <w:kern w:val="0"/>
      <w:sz w:val="24"/>
      <w:szCs w:val="24"/>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semiHidden/>
    <w:unhideWhenUsed/>
    <w:rsid w:val="00F7177B"/>
    <w:pPr>
      <w:spacing w:after="0" w:line="240" w:lineRule="auto"/>
    </w:pPr>
    <w:rPr>
      <w:rFonts w:eastAsiaTheme="minorEastAsia"/>
      <w:color w:val="538135" w:themeColor="accent6" w:themeShade="BF"/>
      <w:kern w:val="0"/>
      <w:sz w:val="24"/>
      <w:szCs w:val="24"/>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umrodeligne">
    <w:name w:val="line number"/>
    <w:basedOn w:val="Policepardfaut"/>
    <w:uiPriority w:val="99"/>
    <w:semiHidden/>
    <w:unhideWhenUsed/>
    <w:rsid w:val="00F7177B"/>
    <w:rPr>
      <w:lang w:val="en-GB"/>
    </w:rPr>
  </w:style>
  <w:style w:type="paragraph" w:styleId="Liste2">
    <w:name w:val="List 2"/>
    <w:basedOn w:val="Normal"/>
    <w:uiPriority w:val="99"/>
    <w:semiHidden/>
    <w:unhideWhenUsed/>
    <w:rsid w:val="00F7177B"/>
    <w:pPr>
      <w:ind w:left="566" w:hanging="283"/>
      <w:contextualSpacing/>
    </w:pPr>
  </w:style>
  <w:style w:type="paragraph" w:styleId="Liste3">
    <w:name w:val="List 3"/>
    <w:basedOn w:val="Normal"/>
    <w:uiPriority w:val="99"/>
    <w:semiHidden/>
    <w:unhideWhenUsed/>
    <w:rsid w:val="00F7177B"/>
    <w:pPr>
      <w:ind w:left="849" w:hanging="283"/>
      <w:contextualSpacing/>
    </w:pPr>
  </w:style>
  <w:style w:type="paragraph" w:styleId="Liste4">
    <w:name w:val="List 4"/>
    <w:basedOn w:val="Normal"/>
    <w:uiPriority w:val="99"/>
    <w:semiHidden/>
    <w:unhideWhenUsed/>
    <w:rsid w:val="00F7177B"/>
    <w:pPr>
      <w:ind w:left="1132" w:hanging="283"/>
      <w:contextualSpacing/>
    </w:pPr>
  </w:style>
  <w:style w:type="paragraph" w:styleId="Liste5">
    <w:name w:val="List 5"/>
    <w:basedOn w:val="Normal"/>
    <w:uiPriority w:val="99"/>
    <w:semiHidden/>
    <w:unhideWhenUsed/>
    <w:rsid w:val="00F7177B"/>
    <w:pPr>
      <w:ind w:left="1415" w:hanging="283"/>
      <w:contextualSpacing/>
    </w:pPr>
  </w:style>
  <w:style w:type="paragraph" w:styleId="Listepuces">
    <w:name w:val="List Bullet"/>
    <w:basedOn w:val="Normal"/>
    <w:uiPriority w:val="99"/>
    <w:semiHidden/>
    <w:unhideWhenUsed/>
    <w:rsid w:val="00F7177B"/>
    <w:pPr>
      <w:tabs>
        <w:tab w:val="num" w:pos="360"/>
      </w:tabs>
      <w:ind w:left="360" w:hanging="360"/>
      <w:contextualSpacing/>
    </w:pPr>
  </w:style>
  <w:style w:type="paragraph" w:styleId="Listepuces2">
    <w:name w:val="List Bullet 2"/>
    <w:basedOn w:val="Normal"/>
    <w:uiPriority w:val="99"/>
    <w:semiHidden/>
    <w:unhideWhenUsed/>
    <w:rsid w:val="00F7177B"/>
    <w:pPr>
      <w:tabs>
        <w:tab w:val="num" w:pos="643"/>
      </w:tabs>
      <w:ind w:left="643" w:hanging="360"/>
      <w:contextualSpacing/>
    </w:pPr>
  </w:style>
  <w:style w:type="paragraph" w:styleId="Listepuces3">
    <w:name w:val="List Bullet 3"/>
    <w:basedOn w:val="Normal"/>
    <w:uiPriority w:val="99"/>
    <w:semiHidden/>
    <w:unhideWhenUsed/>
    <w:rsid w:val="00F7177B"/>
    <w:pPr>
      <w:tabs>
        <w:tab w:val="num" w:pos="926"/>
      </w:tabs>
      <w:ind w:left="926" w:hanging="360"/>
      <w:contextualSpacing/>
    </w:pPr>
  </w:style>
  <w:style w:type="paragraph" w:styleId="Listepuces4">
    <w:name w:val="List Bullet 4"/>
    <w:basedOn w:val="Normal"/>
    <w:uiPriority w:val="99"/>
    <w:semiHidden/>
    <w:unhideWhenUsed/>
    <w:rsid w:val="00F7177B"/>
    <w:pPr>
      <w:tabs>
        <w:tab w:val="num" w:pos="1209"/>
      </w:tabs>
      <w:ind w:left="1209" w:hanging="360"/>
      <w:contextualSpacing/>
    </w:pPr>
  </w:style>
  <w:style w:type="paragraph" w:styleId="Listepuces5">
    <w:name w:val="List Bullet 5"/>
    <w:basedOn w:val="Normal"/>
    <w:uiPriority w:val="99"/>
    <w:semiHidden/>
    <w:unhideWhenUsed/>
    <w:rsid w:val="00F7177B"/>
    <w:pPr>
      <w:tabs>
        <w:tab w:val="num" w:pos="1492"/>
      </w:tabs>
      <w:ind w:left="1492" w:hanging="360"/>
      <w:contextualSpacing/>
    </w:pPr>
  </w:style>
  <w:style w:type="paragraph" w:styleId="Listecontinue">
    <w:name w:val="List Continue"/>
    <w:basedOn w:val="Normal"/>
    <w:uiPriority w:val="99"/>
    <w:semiHidden/>
    <w:unhideWhenUsed/>
    <w:rsid w:val="00F7177B"/>
    <w:pPr>
      <w:spacing w:after="120"/>
      <w:ind w:left="283"/>
      <w:contextualSpacing/>
    </w:pPr>
  </w:style>
  <w:style w:type="paragraph" w:styleId="Listecontinue2">
    <w:name w:val="List Continue 2"/>
    <w:basedOn w:val="Normal"/>
    <w:uiPriority w:val="99"/>
    <w:semiHidden/>
    <w:unhideWhenUsed/>
    <w:rsid w:val="00F7177B"/>
    <w:pPr>
      <w:spacing w:after="120"/>
      <w:ind w:left="566"/>
      <w:contextualSpacing/>
    </w:pPr>
  </w:style>
  <w:style w:type="paragraph" w:styleId="Listecontinue3">
    <w:name w:val="List Continue 3"/>
    <w:basedOn w:val="Normal"/>
    <w:uiPriority w:val="99"/>
    <w:semiHidden/>
    <w:unhideWhenUsed/>
    <w:rsid w:val="00F7177B"/>
    <w:pPr>
      <w:spacing w:after="120"/>
      <w:ind w:left="849"/>
      <w:contextualSpacing/>
    </w:pPr>
  </w:style>
  <w:style w:type="paragraph" w:styleId="Listecontinue4">
    <w:name w:val="List Continue 4"/>
    <w:basedOn w:val="Normal"/>
    <w:uiPriority w:val="99"/>
    <w:semiHidden/>
    <w:unhideWhenUsed/>
    <w:rsid w:val="00F7177B"/>
    <w:pPr>
      <w:spacing w:after="120"/>
      <w:ind w:left="1132"/>
      <w:contextualSpacing/>
    </w:pPr>
  </w:style>
  <w:style w:type="paragraph" w:styleId="Listecontinue5">
    <w:name w:val="List Continue 5"/>
    <w:basedOn w:val="Normal"/>
    <w:uiPriority w:val="99"/>
    <w:semiHidden/>
    <w:unhideWhenUsed/>
    <w:rsid w:val="00F7177B"/>
    <w:pPr>
      <w:spacing w:after="120"/>
      <w:ind w:left="1415"/>
      <w:contextualSpacing/>
    </w:pPr>
  </w:style>
  <w:style w:type="paragraph" w:styleId="Listenumros">
    <w:name w:val="List Number"/>
    <w:basedOn w:val="Normal"/>
    <w:uiPriority w:val="99"/>
    <w:semiHidden/>
    <w:unhideWhenUsed/>
    <w:rsid w:val="00F7177B"/>
    <w:pPr>
      <w:tabs>
        <w:tab w:val="num" w:pos="360"/>
      </w:tabs>
      <w:ind w:left="360" w:hanging="360"/>
      <w:contextualSpacing/>
    </w:pPr>
  </w:style>
  <w:style w:type="paragraph" w:styleId="Listenumros2">
    <w:name w:val="List Number 2"/>
    <w:basedOn w:val="Normal"/>
    <w:uiPriority w:val="99"/>
    <w:semiHidden/>
    <w:unhideWhenUsed/>
    <w:rsid w:val="00F7177B"/>
    <w:pPr>
      <w:tabs>
        <w:tab w:val="num" w:pos="643"/>
      </w:tabs>
      <w:ind w:left="643" w:hanging="360"/>
      <w:contextualSpacing/>
    </w:pPr>
  </w:style>
  <w:style w:type="paragraph" w:styleId="Listenumros3">
    <w:name w:val="List Number 3"/>
    <w:basedOn w:val="Normal"/>
    <w:uiPriority w:val="99"/>
    <w:semiHidden/>
    <w:unhideWhenUsed/>
    <w:rsid w:val="00F7177B"/>
    <w:pPr>
      <w:tabs>
        <w:tab w:val="num" w:pos="926"/>
      </w:tabs>
      <w:ind w:left="926" w:hanging="360"/>
      <w:contextualSpacing/>
    </w:pPr>
  </w:style>
  <w:style w:type="paragraph" w:styleId="Listenumros4">
    <w:name w:val="List Number 4"/>
    <w:basedOn w:val="Normal"/>
    <w:uiPriority w:val="99"/>
    <w:semiHidden/>
    <w:unhideWhenUsed/>
    <w:rsid w:val="00F7177B"/>
    <w:pPr>
      <w:tabs>
        <w:tab w:val="num" w:pos="1209"/>
      </w:tabs>
      <w:ind w:left="1209" w:hanging="360"/>
      <w:contextualSpacing/>
    </w:pPr>
  </w:style>
  <w:style w:type="paragraph" w:styleId="Listenumros5">
    <w:name w:val="List Number 5"/>
    <w:basedOn w:val="Normal"/>
    <w:uiPriority w:val="99"/>
    <w:semiHidden/>
    <w:unhideWhenUsed/>
    <w:rsid w:val="00F7177B"/>
    <w:pPr>
      <w:tabs>
        <w:tab w:val="num" w:pos="1800"/>
      </w:tabs>
      <w:ind w:left="1800" w:hanging="360"/>
      <w:contextualSpacing/>
    </w:pPr>
  </w:style>
  <w:style w:type="table" w:styleId="TableauListe1Clair">
    <w:name w:val="List Table 1 Light"/>
    <w:basedOn w:val="Tableau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1Clair-Accentuation2">
    <w:name w:val="List Table 1 Light Accent 2"/>
    <w:basedOn w:val="Tableau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1Clair-Accentuation3">
    <w:name w:val="List Table 1 Light Accent 3"/>
    <w:basedOn w:val="Tableau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1Clair-Accentuation4">
    <w:name w:val="List Table 1 Light Accent 4"/>
    <w:basedOn w:val="Tableau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1Clair-Accentuation5">
    <w:name w:val="List Table 1 Light Accent 5"/>
    <w:basedOn w:val="Tableau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1Clair-Accentuation6">
    <w:name w:val="List Table 1 Light Accent 6"/>
    <w:basedOn w:val="Tableau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2">
    <w:name w:val="List Table 2"/>
    <w:basedOn w:val="Tableau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2-Accentuation2">
    <w:name w:val="List Table 2 Accent 2"/>
    <w:basedOn w:val="Tableau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2-Accentuation3">
    <w:name w:val="List Table 2 Accent 3"/>
    <w:basedOn w:val="Tableau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2-Accentuation4">
    <w:name w:val="List Table 2 Accent 4"/>
    <w:basedOn w:val="Tableau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2-Accentuation5">
    <w:name w:val="List Table 2 Accent 5"/>
    <w:basedOn w:val="Tableau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2-Accentuation6">
    <w:name w:val="List Table 2 Accent 6"/>
    <w:basedOn w:val="Tableau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3">
    <w:name w:val="List Table 3"/>
    <w:basedOn w:val="Tableau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eauListe3-Accentuation2">
    <w:name w:val="List Table 3 Accent 2"/>
    <w:basedOn w:val="Tableau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eauListe3-Accentuation3">
    <w:name w:val="List Table 3 Accent 3"/>
    <w:basedOn w:val="Tableau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eauListe3-Accentuation4">
    <w:name w:val="List Table 3 Accent 4"/>
    <w:basedOn w:val="Tableau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eauListe3-Accentuation5">
    <w:name w:val="List Table 3 Accent 5"/>
    <w:basedOn w:val="Tableau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eauListe3-Accentuation6">
    <w:name w:val="List Table 3 Accent 6"/>
    <w:basedOn w:val="Tableau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eauListe4">
    <w:name w:val="List Table 4"/>
    <w:basedOn w:val="Tableau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4-Accentuation2">
    <w:name w:val="List Table 4 Accent 2"/>
    <w:basedOn w:val="Tableau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4-Accentuation3">
    <w:name w:val="List Table 4 Accent 3"/>
    <w:basedOn w:val="Tableau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4-Accentuation4">
    <w:name w:val="List Table 4 Accent 4"/>
    <w:basedOn w:val="Tableau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4-Accentuation5">
    <w:name w:val="List Table 4 Accent 5"/>
    <w:basedOn w:val="Tableau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4-Accentuation6">
    <w:name w:val="List Table 4 Accent 6"/>
    <w:basedOn w:val="Tableau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5Fonc">
    <w:name w:val="List Table 5 Dark"/>
    <w:basedOn w:val="Tableau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F7177B"/>
    <w:pPr>
      <w:spacing w:after="0" w:line="240" w:lineRule="auto"/>
    </w:pPr>
    <w:rPr>
      <w:rFonts w:eastAsiaTheme="minorEastAsia"/>
      <w:color w:val="2F5496" w:themeColor="accent1" w:themeShade="BF"/>
      <w:kern w:val="0"/>
      <w:sz w:val="24"/>
      <w:szCs w:val="24"/>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6Couleur-Accentuation2">
    <w:name w:val="List Table 6 Colorful Accent 2"/>
    <w:basedOn w:val="TableauNormal"/>
    <w:uiPriority w:val="51"/>
    <w:rsid w:val="00F7177B"/>
    <w:pPr>
      <w:spacing w:after="0" w:line="240" w:lineRule="auto"/>
    </w:pPr>
    <w:rPr>
      <w:rFonts w:eastAsiaTheme="minorEastAsia"/>
      <w:color w:val="C45911" w:themeColor="accent2" w:themeShade="BF"/>
      <w:kern w:val="0"/>
      <w:sz w:val="24"/>
      <w:szCs w:val="24"/>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6Couleur-Accentuation3">
    <w:name w:val="List Table 6 Colorful Accent 3"/>
    <w:basedOn w:val="TableauNormal"/>
    <w:uiPriority w:val="51"/>
    <w:rsid w:val="00F7177B"/>
    <w:pPr>
      <w:spacing w:after="0" w:line="240" w:lineRule="auto"/>
    </w:pPr>
    <w:rPr>
      <w:rFonts w:eastAsiaTheme="minorEastAsia"/>
      <w:color w:val="7B7B7B" w:themeColor="accent3" w:themeShade="BF"/>
      <w:kern w:val="0"/>
      <w:sz w:val="24"/>
      <w:szCs w:val="24"/>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6Couleur-Accentuation4">
    <w:name w:val="List Table 6 Colorful Accent 4"/>
    <w:basedOn w:val="TableauNormal"/>
    <w:uiPriority w:val="51"/>
    <w:rsid w:val="00F7177B"/>
    <w:pPr>
      <w:spacing w:after="0" w:line="240" w:lineRule="auto"/>
    </w:pPr>
    <w:rPr>
      <w:rFonts w:eastAsiaTheme="minorEastAsia"/>
      <w:color w:val="BF8F00" w:themeColor="accent4" w:themeShade="BF"/>
      <w:kern w:val="0"/>
      <w:sz w:val="24"/>
      <w:szCs w:val="24"/>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6Couleur-Accentuation5">
    <w:name w:val="List Table 6 Colorful Accent 5"/>
    <w:basedOn w:val="TableauNormal"/>
    <w:uiPriority w:val="51"/>
    <w:rsid w:val="00F7177B"/>
    <w:pPr>
      <w:spacing w:after="0" w:line="240" w:lineRule="auto"/>
    </w:pPr>
    <w:rPr>
      <w:rFonts w:eastAsiaTheme="minorEastAsia"/>
      <w:color w:val="2E74B5" w:themeColor="accent5" w:themeShade="BF"/>
      <w:kern w:val="0"/>
      <w:sz w:val="24"/>
      <w:szCs w:val="24"/>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6Couleur-Accentuation6">
    <w:name w:val="List Table 6 Colorful Accent 6"/>
    <w:basedOn w:val="TableauNormal"/>
    <w:uiPriority w:val="51"/>
    <w:rsid w:val="00F7177B"/>
    <w:pPr>
      <w:spacing w:after="0" w:line="240" w:lineRule="auto"/>
    </w:pPr>
    <w:rPr>
      <w:rFonts w:eastAsiaTheme="minorEastAsia"/>
      <w:color w:val="538135" w:themeColor="accent6" w:themeShade="BF"/>
      <w:kern w:val="0"/>
      <w:sz w:val="24"/>
      <w:szCs w:val="24"/>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7Couleur">
    <w:name w:val="List Table 7 Colorful"/>
    <w:basedOn w:val="TableauNormal"/>
    <w:uiPriority w:val="52"/>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F7177B"/>
    <w:pPr>
      <w:spacing w:after="0" w:line="240" w:lineRule="auto"/>
    </w:pPr>
    <w:rPr>
      <w:rFonts w:eastAsiaTheme="minorEastAsia"/>
      <w:color w:val="2F5496" w:themeColor="accent1"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F7177B"/>
    <w:pPr>
      <w:spacing w:after="0" w:line="240" w:lineRule="auto"/>
    </w:pPr>
    <w:rPr>
      <w:rFonts w:eastAsiaTheme="minorEastAsia"/>
      <w:color w:val="C45911" w:themeColor="accent2"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F7177B"/>
    <w:pPr>
      <w:spacing w:after="0" w:line="240" w:lineRule="auto"/>
    </w:pPr>
    <w:rPr>
      <w:rFonts w:eastAsiaTheme="minorEastAsia"/>
      <w:color w:val="7B7B7B" w:themeColor="accent3"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F7177B"/>
    <w:pPr>
      <w:spacing w:after="0" w:line="240" w:lineRule="auto"/>
    </w:pPr>
    <w:rPr>
      <w:rFonts w:eastAsiaTheme="minorEastAsia"/>
      <w:color w:val="BF8F00" w:themeColor="accent4"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F7177B"/>
    <w:pPr>
      <w:spacing w:after="0" w:line="240" w:lineRule="auto"/>
    </w:pPr>
    <w:rPr>
      <w:rFonts w:eastAsiaTheme="minorEastAsia"/>
      <w:color w:val="2E74B5" w:themeColor="accent5"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F7177B"/>
    <w:pPr>
      <w:spacing w:after="0" w:line="240" w:lineRule="auto"/>
    </w:pPr>
    <w:rPr>
      <w:rFonts w:eastAsiaTheme="minorEastAsia"/>
      <w:color w:val="538135" w:themeColor="accent6"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F7177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TextedemacroCar">
    <w:name w:val="Texte de macro Car"/>
    <w:basedOn w:val="Policepardfaut"/>
    <w:link w:val="Textedemacro"/>
    <w:uiPriority w:val="99"/>
    <w:semiHidden/>
    <w:rsid w:val="00F7177B"/>
    <w:rPr>
      <w:rFonts w:ascii="Consolas" w:eastAsia="SimSun" w:hAnsi="Consolas" w:cs="Times New Roman"/>
      <w:kern w:val="0"/>
      <w:sz w:val="20"/>
      <w:szCs w:val="20"/>
      <w:lang w:val="en-GB"/>
      <w14:ligatures w14:val="none"/>
    </w:rPr>
  </w:style>
  <w:style w:type="table" w:styleId="Grillemoyenne1">
    <w:name w:val="Medium Grid 1"/>
    <w:basedOn w:val="Tableau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moyenne1">
    <w:name w:val="Medium List 1"/>
    <w:basedOn w:val="Tableau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ttedemessage">
    <w:name w:val="Message Header"/>
    <w:basedOn w:val="Normal"/>
    <w:link w:val="En-ttedemessageCar"/>
    <w:uiPriority w:val="99"/>
    <w:semiHidden/>
    <w:unhideWhenUsed/>
    <w:rsid w:val="00F7177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F7177B"/>
    <w:rPr>
      <w:rFonts w:asciiTheme="majorHAnsi" w:eastAsiaTheme="majorEastAsia" w:hAnsiTheme="majorHAnsi" w:cstheme="majorBidi"/>
      <w:kern w:val="0"/>
      <w:sz w:val="24"/>
      <w:szCs w:val="24"/>
      <w:shd w:val="pct20" w:color="auto" w:fill="auto"/>
      <w:lang w:val="en-GB"/>
      <w14:ligatures w14:val="none"/>
    </w:rPr>
  </w:style>
  <w:style w:type="paragraph" w:styleId="Retraitnormal">
    <w:name w:val="Normal Indent"/>
    <w:basedOn w:val="Normal"/>
    <w:uiPriority w:val="99"/>
    <w:semiHidden/>
    <w:unhideWhenUsed/>
    <w:rsid w:val="00F7177B"/>
    <w:pPr>
      <w:ind w:left="720"/>
    </w:pPr>
  </w:style>
  <w:style w:type="paragraph" w:styleId="Titredenote">
    <w:name w:val="Note Heading"/>
    <w:basedOn w:val="Normal"/>
    <w:next w:val="Normal"/>
    <w:link w:val="TitredenoteCar"/>
    <w:uiPriority w:val="99"/>
    <w:semiHidden/>
    <w:unhideWhenUsed/>
    <w:rsid w:val="00F7177B"/>
  </w:style>
  <w:style w:type="character" w:customStyle="1" w:styleId="TitredenoteCar">
    <w:name w:val="Titre de note Car"/>
    <w:basedOn w:val="Policepardfaut"/>
    <w:link w:val="Titredenote"/>
    <w:uiPriority w:val="99"/>
    <w:semiHidden/>
    <w:rsid w:val="00F7177B"/>
    <w:rPr>
      <w:rFonts w:ascii="Times New Roman" w:eastAsia="SimSun" w:hAnsi="Times New Roman" w:cs="Times New Roman"/>
      <w:kern w:val="0"/>
      <w:lang w:val="en-GB"/>
      <w14:ligatures w14:val="none"/>
    </w:rPr>
  </w:style>
  <w:style w:type="table" w:styleId="Tableausimple1">
    <w:name w:val="Plain Table 1"/>
    <w:basedOn w:val="TableauNormal"/>
    <w:uiPriority w:val="41"/>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5">
    <w:name w:val="Plain Table 5"/>
    <w:basedOn w:val="TableauNormal"/>
    <w:uiPriority w:val="45"/>
    <w:rsid w:val="00F7177B"/>
    <w:pPr>
      <w:spacing w:after="0" w:line="240" w:lineRule="auto"/>
    </w:pPr>
    <w:rPr>
      <w:rFonts w:eastAsiaTheme="minorEastAsia"/>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F7177B"/>
    <w:rPr>
      <w:rFonts w:ascii="Consolas" w:hAnsi="Consolas"/>
      <w:sz w:val="21"/>
      <w:szCs w:val="21"/>
    </w:rPr>
  </w:style>
  <w:style w:type="character" w:customStyle="1" w:styleId="TextebrutCar">
    <w:name w:val="Texte brut Car"/>
    <w:basedOn w:val="Policepardfaut"/>
    <w:link w:val="Textebrut"/>
    <w:uiPriority w:val="99"/>
    <w:semiHidden/>
    <w:rsid w:val="00F7177B"/>
    <w:rPr>
      <w:rFonts w:ascii="Consolas" w:eastAsia="SimSun" w:hAnsi="Consolas" w:cs="Times New Roman"/>
      <w:kern w:val="0"/>
      <w:sz w:val="21"/>
      <w:szCs w:val="21"/>
      <w:lang w:val="en-GB"/>
      <w14:ligatures w14:val="none"/>
    </w:rPr>
  </w:style>
  <w:style w:type="paragraph" w:styleId="Citation">
    <w:name w:val="Quote"/>
    <w:basedOn w:val="Normal"/>
    <w:next w:val="Normal"/>
    <w:link w:val="CitationCar"/>
    <w:uiPriority w:val="29"/>
    <w:qFormat/>
    <w:rsid w:val="00F7177B"/>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F7177B"/>
    <w:rPr>
      <w:rFonts w:ascii="Times New Roman" w:eastAsia="SimSun" w:hAnsi="Times New Roman" w:cs="Times New Roman"/>
      <w:i/>
      <w:iCs/>
      <w:color w:val="404040" w:themeColor="text1" w:themeTint="BF"/>
      <w:kern w:val="0"/>
      <w:lang w:val="en-GB"/>
      <w14:ligatures w14:val="none"/>
    </w:rPr>
  </w:style>
  <w:style w:type="paragraph" w:styleId="Salutations">
    <w:name w:val="Salutation"/>
    <w:basedOn w:val="Normal"/>
    <w:next w:val="Normal"/>
    <w:link w:val="SalutationsCar"/>
    <w:uiPriority w:val="99"/>
    <w:semiHidden/>
    <w:unhideWhenUsed/>
    <w:rsid w:val="00F7177B"/>
  </w:style>
  <w:style w:type="character" w:customStyle="1" w:styleId="SalutationsCar">
    <w:name w:val="Salutations Car"/>
    <w:basedOn w:val="Policepardfaut"/>
    <w:link w:val="Salutations"/>
    <w:uiPriority w:val="99"/>
    <w:semiHidden/>
    <w:rsid w:val="00F7177B"/>
    <w:rPr>
      <w:rFonts w:ascii="Times New Roman" w:eastAsia="SimSun" w:hAnsi="Times New Roman" w:cs="Times New Roman"/>
      <w:kern w:val="0"/>
      <w:lang w:val="en-GB"/>
      <w14:ligatures w14:val="none"/>
    </w:rPr>
  </w:style>
  <w:style w:type="paragraph" w:styleId="Signature">
    <w:name w:val="Signature"/>
    <w:basedOn w:val="Normal"/>
    <w:link w:val="SignatureCar"/>
    <w:uiPriority w:val="99"/>
    <w:semiHidden/>
    <w:unhideWhenUsed/>
    <w:rsid w:val="00F7177B"/>
    <w:pPr>
      <w:ind w:left="4252"/>
    </w:pPr>
  </w:style>
  <w:style w:type="character" w:customStyle="1" w:styleId="SignatureCar">
    <w:name w:val="Signature Car"/>
    <w:basedOn w:val="Policepardfaut"/>
    <w:link w:val="Signature"/>
    <w:uiPriority w:val="99"/>
    <w:semiHidden/>
    <w:rsid w:val="00F7177B"/>
    <w:rPr>
      <w:rFonts w:ascii="Times New Roman" w:eastAsia="SimSun" w:hAnsi="Times New Roman" w:cs="Times New Roman"/>
      <w:kern w:val="0"/>
      <w:lang w:val="en-GB"/>
      <w14:ligatures w14:val="none"/>
    </w:rPr>
  </w:style>
  <w:style w:type="character" w:customStyle="1" w:styleId="SmartHyperlink1">
    <w:name w:val="Smart Hyperlink1"/>
    <w:basedOn w:val="Policepardfaut"/>
    <w:uiPriority w:val="99"/>
    <w:semiHidden/>
    <w:unhideWhenUsed/>
    <w:rsid w:val="00F7177B"/>
    <w:rPr>
      <w:u w:val="dotted"/>
      <w:lang w:val="en-GB"/>
    </w:rPr>
  </w:style>
  <w:style w:type="character" w:customStyle="1" w:styleId="SmartLink1">
    <w:name w:val="SmartLink1"/>
    <w:basedOn w:val="Policepardfaut"/>
    <w:uiPriority w:val="99"/>
    <w:semiHidden/>
    <w:unhideWhenUsed/>
    <w:rsid w:val="00F7177B"/>
    <w:rPr>
      <w:color w:val="0000FF"/>
      <w:u w:val="single"/>
      <w:shd w:val="clear" w:color="auto" w:fill="F3F2F1"/>
      <w:lang w:val="en-GB"/>
    </w:rPr>
  </w:style>
  <w:style w:type="character" w:styleId="Accentuationlgre">
    <w:name w:val="Subtle Emphasis"/>
    <w:basedOn w:val="Policepardfaut"/>
    <w:uiPriority w:val="19"/>
    <w:qFormat/>
    <w:rsid w:val="00F7177B"/>
    <w:rPr>
      <w:i/>
      <w:iCs/>
      <w:color w:val="404040" w:themeColor="text1" w:themeTint="BF"/>
      <w:lang w:val="en-GB"/>
    </w:rPr>
  </w:style>
  <w:style w:type="character" w:styleId="Rfrencelgre">
    <w:name w:val="Subtle Reference"/>
    <w:basedOn w:val="Policepardfaut"/>
    <w:uiPriority w:val="31"/>
    <w:qFormat/>
    <w:rsid w:val="00F7177B"/>
    <w:rPr>
      <w:smallCaps/>
      <w:color w:val="5A5A5A" w:themeColor="text1" w:themeTint="A5"/>
      <w:lang w:val="en-GB"/>
    </w:rPr>
  </w:style>
  <w:style w:type="table" w:styleId="Effetsdetableau3D1">
    <w:name w:val="Table 3D effects 1"/>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color w:val="000080"/>
      <w:kern w:val="0"/>
      <w:sz w:val="24"/>
      <w:szCs w:val="24"/>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color w:val="FFFFFF"/>
      <w:kern w:val="0"/>
      <w:sz w:val="24"/>
      <w:szCs w:val="24"/>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b/>
      <w:bCs/>
      <w:kern w:val="0"/>
      <w:sz w:val="24"/>
      <w:szCs w:val="24"/>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b/>
      <w:bCs/>
      <w:kern w:val="0"/>
      <w:sz w:val="24"/>
      <w:szCs w:val="24"/>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b/>
      <w:bCs/>
      <w:kern w:val="0"/>
      <w:sz w:val="24"/>
      <w:szCs w:val="24"/>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b/>
      <w:bCs/>
      <w:kern w:val="0"/>
      <w:sz w:val="24"/>
      <w:szCs w:val="24"/>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F7177B"/>
    <w:pPr>
      <w:spacing w:after="0" w:line="240" w:lineRule="auto"/>
    </w:pPr>
    <w:rPr>
      <w:rFonts w:eastAsiaTheme="minorEastAsia"/>
      <w:kern w:val="0"/>
      <w:sz w:val="24"/>
      <w:szCs w:val="24"/>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F7177B"/>
    <w:pPr>
      <w:tabs>
        <w:tab w:val="clear" w:pos="567"/>
        <w:tab w:val="clear" w:pos="1134"/>
        <w:tab w:val="clear" w:pos="1701"/>
        <w:tab w:val="clear" w:pos="2268"/>
      </w:tabs>
      <w:ind w:left="220" w:hanging="220"/>
    </w:pPr>
  </w:style>
  <w:style w:type="paragraph" w:styleId="Tabledesillustrations">
    <w:name w:val="table of figures"/>
    <w:basedOn w:val="Normal"/>
    <w:next w:val="Normal"/>
    <w:uiPriority w:val="99"/>
    <w:semiHidden/>
    <w:unhideWhenUsed/>
    <w:rsid w:val="00F7177B"/>
    <w:pPr>
      <w:tabs>
        <w:tab w:val="clear" w:pos="567"/>
        <w:tab w:val="clear" w:pos="1134"/>
        <w:tab w:val="clear" w:pos="1701"/>
        <w:tab w:val="clear" w:pos="2268"/>
      </w:tabs>
    </w:pPr>
  </w:style>
  <w:style w:type="table" w:styleId="Tableauprofessionnel">
    <w:name w:val="Table Professional"/>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ttedetabledesmatires">
    <w:name w:val="TOC Heading"/>
    <w:basedOn w:val="Titre1"/>
    <w:next w:val="Normal"/>
    <w:uiPriority w:val="39"/>
    <w:semiHidden/>
    <w:unhideWhenUsed/>
    <w:qFormat/>
    <w:rsid w:val="00F7177B"/>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Mention">
    <w:name w:val="Mention"/>
    <w:basedOn w:val="Policepardfaut"/>
    <w:uiPriority w:val="99"/>
    <w:unhideWhenUsed/>
    <w:rsid w:val="005F6FD0"/>
    <w:rPr>
      <w:color w:val="2B579A"/>
      <w:shd w:val="clear" w:color="auto" w:fill="E6E6E6"/>
      <w:lang w:val="en-GB"/>
    </w:rPr>
  </w:style>
  <w:style w:type="character" w:styleId="Mentionnonrsolue">
    <w:name w:val="Unresolved Mention"/>
    <w:basedOn w:val="Policepardfaut"/>
    <w:uiPriority w:val="99"/>
    <w:semiHidden/>
    <w:unhideWhenUsed/>
    <w:rsid w:val="005F6FD0"/>
    <w:rPr>
      <w:color w:val="605E5C"/>
      <w:shd w:val="clear" w:color="auto" w:fill="E1DFDD"/>
      <w:lang w:val="en-GB"/>
    </w:rPr>
  </w:style>
  <w:style w:type="character" w:styleId="Mot-dise">
    <w:name w:val="Hashtag"/>
    <w:basedOn w:val="Policepardfaut"/>
    <w:uiPriority w:val="99"/>
    <w:semiHidden/>
    <w:unhideWhenUsed/>
    <w:rsid w:val="005F6FD0"/>
    <w:rPr>
      <w:color w:val="2B579A"/>
      <w:shd w:val="clear" w:color="auto" w:fill="E1DFDD"/>
      <w:lang w:val="en-GB"/>
    </w:rPr>
  </w:style>
  <w:style w:type="character" w:styleId="SmartHyperlink">
    <w:name w:val="Smart Hyperlink"/>
    <w:basedOn w:val="Policepardfaut"/>
    <w:uiPriority w:val="99"/>
    <w:semiHidden/>
    <w:unhideWhenUsed/>
    <w:rsid w:val="005F6FD0"/>
    <w:rPr>
      <w:u w:val="dotted"/>
      <w:lang w:val="en-GB"/>
    </w:rPr>
  </w:style>
  <w:style w:type="character" w:customStyle="1" w:styleId="SmartLink2">
    <w:name w:val="SmartLink2"/>
    <w:basedOn w:val="Policepardfaut"/>
    <w:uiPriority w:val="99"/>
    <w:semiHidden/>
    <w:unhideWhenUsed/>
    <w:rsid w:val="005F6FD0"/>
    <w:rPr>
      <w:color w:val="0000FF"/>
      <w:u w:val="single"/>
      <w:shd w:val="clear" w:color="auto" w:fill="F3F2F1"/>
      <w:lang w:val="en-GB"/>
    </w:rPr>
  </w:style>
  <w:style w:type="paragraph" w:customStyle="1" w:styleId="xl67">
    <w:name w:val="xl67"/>
    <w:basedOn w:val="Normal"/>
    <w:rsid w:val="005F6FD0"/>
    <w:pP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68">
    <w:name w:val="xl68"/>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71">
    <w:name w:val="xl71"/>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sz w:val="18"/>
      <w:szCs w:val="18"/>
      <w:lang w:eastAsia="en-CA"/>
    </w:rPr>
  </w:style>
  <w:style w:type="paragraph" w:customStyle="1" w:styleId="xl72">
    <w:name w:val="xl72"/>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000000"/>
      <w:sz w:val="18"/>
      <w:szCs w:val="18"/>
      <w:lang w:eastAsia="en-CA"/>
    </w:rPr>
  </w:style>
  <w:style w:type="paragraph" w:customStyle="1" w:styleId="xl75">
    <w:name w:val="xl75"/>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color w:val="000000"/>
      <w:sz w:val="18"/>
      <w:szCs w:val="18"/>
      <w:lang w:eastAsia="en-CA"/>
    </w:rPr>
  </w:style>
  <w:style w:type="paragraph" w:customStyle="1" w:styleId="xl76">
    <w:name w:val="xl76"/>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77">
    <w:name w:val="xl77"/>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78">
    <w:name w:val="xl78"/>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79">
    <w:name w:val="xl79"/>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color w:val="FF0000"/>
      <w:sz w:val="18"/>
      <w:szCs w:val="18"/>
      <w:lang w:eastAsia="en-CA"/>
    </w:rPr>
  </w:style>
  <w:style w:type="paragraph" w:customStyle="1" w:styleId="xl80">
    <w:name w:val="xl80"/>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81">
    <w:name w:val="xl81"/>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AFCorNNormal">
    <w:name w:val="AF_CorNNormal"/>
    <w:basedOn w:val="Normal"/>
    <w:unhideWhenUsed/>
    <w:rsid w:val="008460CB"/>
    <w:pPr>
      <w:jc w:val="left"/>
    </w:pPr>
  </w:style>
  <w:style w:type="paragraph" w:customStyle="1" w:styleId="AFCorNBold">
    <w:name w:val="AF_CorNBold"/>
    <w:basedOn w:val="AFCorNNormal"/>
    <w:next w:val="AFCorNNormal"/>
    <w:unhideWhenUsed/>
    <w:qFormat/>
    <w:rsid w:val="008460CB"/>
    <w:rPr>
      <w:b/>
    </w:rPr>
  </w:style>
  <w:style w:type="paragraph" w:customStyle="1" w:styleId="AFCorN12Bold">
    <w:name w:val="AF_CorN12Bold"/>
    <w:basedOn w:val="AFCorNNormal"/>
    <w:next w:val="AFCorNNormal"/>
    <w:unhideWhenUsed/>
    <w:qFormat/>
    <w:rsid w:val="008460CB"/>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23560">
      <w:bodyDiv w:val="1"/>
      <w:marLeft w:val="0"/>
      <w:marRight w:val="0"/>
      <w:marTop w:val="0"/>
      <w:marBottom w:val="0"/>
      <w:divBdr>
        <w:top w:val="none" w:sz="0" w:space="0" w:color="auto"/>
        <w:left w:val="none" w:sz="0" w:space="0" w:color="auto"/>
        <w:bottom w:val="none" w:sz="0" w:space="0" w:color="auto"/>
        <w:right w:val="none" w:sz="0" w:space="0" w:color="auto"/>
      </w:divBdr>
    </w:div>
    <w:div w:id="368184846">
      <w:bodyDiv w:val="1"/>
      <w:marLeft w:val="0"/>
      <w:marRight w:val="0"/>
      <w:marTop w:val="0"/>
      <w:marBottom w:val="0"/>
      <w:divBdr>
        <w:top w:val="none" w:sz="0" w:space="0" w:color="auto"/>
        <w:left w:val="none" w:sz="0" w:space="0" w:color="auto"/>
        <w:bottom w:val="none" w:sz="0" w:space="0" w:color="auto"/>
        <w:right w:val="none" w:sz="0" w:space="0" w:color="auto"/>
      </w:divBdr>
    </w:div>
    <w:div w:id="685912574">
      <w:bodyDiv w:val="1"/>
      <w:marLeft w:val="0"/>
      <w:marRight w:val="0"/>
      <w:marTop w:val="0"/>
      <w:marBottom w:val="0"/>
      <w:divBdr>
        <w:top w:val="none" w:sz="0" w:space="0" w:color="auto"/>
        <w:left w:val="none" w:sz="0" w:space="0" w:color="auto"/>
        <w:bottom w:val="none" w:sz="0" w:space="0" w:color="auto"/>
        <w:right w:val="none" w:sz="0" w:space="0" w:color="auto"/>
      </w:divBdr>
    </w:div>
    <w:div w:id="154043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09/cop-09-dec-34-fr.pd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5/cop-15-dec-34-fr.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bd.int/doc/decisions/cop-15/cop-15-dec-34-fr.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cbd.int/doc/decisions/cop-15/cop-15-dec-34-fr.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bd.int/doc/decisions/cop-01/cop-01-dec-06-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34-fr.pdf"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ecision/cop/default.shtml?id=7162" TargetMode="External"/><Relationship Id="rId3" Type="http://schemas.openxmlformats.org/officeDocument/2006/relationships/hyperlink" Target="https://www.cbd.int/documents/CBD/COP/16/4" TargetMode="External"/><Relationship Id="rId7" Type="http://schemas.openxmlformats.org/officeDocument/2006/relationships/hyperlink" Target="https://www.cbd.int/doc/decisions/cop-01/cop-01-dec-01-en.pdf" TargetMode="External"/><Relationship Id="rId2" Type="http://schemas.openxmlformats.org/officeDocument/2006/relationships/hyperlink" Target="https://www.cbd.int/documents/CBD/COP/16/2/REV1/ADD1" TargetMode="External"/><Relationship Id="rId1" Type="http://schemas.openxmlformats.org/officeDocument/2006/relationships/hyperlink" Target="https://www.cbd.int/documents/CBD/COP/16/2/Rev.1" TargetMode="External"/><Relationship Id="rId6" Type="http://schemas.openxmlformats.org/officeDocument/2006/relationships/hyperlink" Target="https://www.cbd.int/convention/articles/default.shtml?a=cbd-24" TargetMode="External"/><Relationship Id="rId5" Type="http://schemas.openxmlformats.org/officeDocument/2006/relationships/hyperlink" Target="https://www.cbd.int/documents/CBD/COP/16/4/ADD2" TargetMode="External"/><Relationship Id="rId4" Type="http://schemas.openxmlformats.org/officeDocument/2006/relationships/hyperlink" Target="https://www.cbd.int/documents/CBD/COP/16/4/ADD1" TargetMode="External"/><Relationship Id="rId9" Type="http://schemas.openxmlformats.org/officeDocument/2006/relationships/hyperlink" Target="https://www.cbd.int/documents/CBD/COP/16/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D4ADDA21DA4D579B2CF5A22BC008E5"/>
        <w:category>
          <w:name w:val="Général"/>
          <w:gallery w:val="placeholder"/>
        </w:category>
        <w:types>
          <w:type w:val="bbPlcHdr"/>
        </w:types>
        <w:behaviors>
          <w:behavior w:val="content"/>
        </w:behaviors>
        <w:guid w:val="{15FFA956-959C-4DAA-A731-16498F806CD7}"/>
      </w:docPartPr>
      <w:docPartBody>
        <w:p w:rsidR="00AA6AEC" w:rsidRDefault="00CD5919" w:rsidP="00CD5919">
          <w:pPr>
            <w:pStyle w:val="CDD4ADDA21DA4D579B2CF5A22BC008E5"/>
          </w:pPr>
          <w:r w:rsidRPr="00C03E75">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plified Arabic">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E98"/>
    <w:rsid w:val="000034AE"/>
    <w:rsid w:val="00017B61"/>
    <w:rsid w:val="00025BF4"/>
    <w:rsid w:val="00043347"/>
    <w:rsid w:val="00096DCF"/>
    <w:rsid w:val="000B35C3"/>
    <w:rsid w:val="00107EED"/>
    <w:rsid w:val="00162591"/>
    <w:rsid w:val="00163971"/>
    <w:rsid w:val="00167C67"/>
    <w:rsid w:val="00171B36"/>
    <w:rsid w:val="00172A79"/>
    <w:rsid w:val="0017341D"/>
    <w:rsid w:val="00185697"/>
    <w:rsid w:val="001B6801"/>
    <w:rsid w:val="001C0E57"/>
    <w:rsid w:val="001D0FDA"/>
    <w:rsid w:val="001D7741"/>
    <w:rsid w:val="001F1736"/>
    <w:rsid w:val="002428DA"/>
    <w:rsid w:val="00266682"/>
    <w:rsid w:val="00271A43"/>
    <w:rsid w:val="00274D7D"/>
    <w:rsid w:val="002C32CD"/>
    <w:rsid w:val="002D4F2F"/>
    <w:rsid w:val="003177D4"/>
    <w:rsid w:val="00320BB3"/>
    <w:rsid w:val="00331915"/>
    <w:rsid w:val="00333F3A"/>
    <w:rsid w:val="00340F71"/>
    <w:rsid w:val="00391D1C"/>
    <w:rsid w:val="003D05ED"/>
    <w:rsid w:val="003D6FED"/>
    <w:rsid w:val="003E60FE"/>
    <w:rsid w:val="003F4FB2"/>
    <w:rsid w:val="00415186"/>
    <w:rsid w:val="00445AE3"/>
    <w:rsid w:val="00471EFA"/>
    <w:rsid w:val="00493890"/>
    <w:rsid w:val="004B0970"/>
    <w:rsid w:val="004C2C66"/>
    <w:rsid w:val="0051400F"/>
    <w:rsid w:val="00521663"/>
    <w:rsid w:val="0053146F"/>
    <w:rsid w:val="005620DB"/>
    <w:rsid w:val="005A3729"/>
    <w:rsid w:val="005E4CC0"/>
    <w:rsid w:val="00605F8D"/>
    <w:rsid w:val="006207B5"/>
    <w:rsid w:val="00630E98"/>
    <w:rsid w:val="00684083"/>
    <w:rsid w:val="006F70F8"/>
    <w:rsid w:val="0072653F"/>
    <w:rsid w:val="007436FD"/>
    <w:rsid w:val="0077320E"/>
    <w:rsid w:val="0077334F"/>
    <w:rsid w:val="00790271"/>
    <w:rsid w:val="007936C8"/>
    <w:rsid w:val="007D4F59"/>
    <w:rsid w:val="007D67E4"/>
    <w:rsid w:val="007F0913"/>
    <w:rsid w:val="008073CC"/>
    <w:rsid w:val="00814378"/>
    <w:rsid w:val="00833CFA"/>
    <w:rsid w:val="00834CAB"/>
    <w:rsid w:val="00862767"/>
    <w:rsid w:val="008B6A11"/>
    <w:rsid w:val="008C4492"/>
    <w:rsid w:val="008C4F8F"/>
    <w:rsid w:val="00906B0C"/>
    <w:rsid w:val="00923288"/>
    <w:rsid w:val="00936245"/>
    <w:rsid w:val="00984BB7"/>
    <w:rsid w:val="00992254"/>
    <w:rsid w:val="009A3AEF"/>
    <w:rsid w:val="009B5647"/>
    <w:rsid w:val="00A06830"/>
    <w:rsid w:val="00A128FE"/>
    <w:rsid w:val="00A15923"/>
    <w:rsid w:val="00A45CD3"/>
    <w:rsid w:val="00A5549B"/>
    <w:rsid w:val="00A56853"/>
    <w:rsid w:val="00A66268"/>
    <w:rsid w:val="00AA2BB5"/>
    <w:rsid w:val="00AA6AEC"/>
    <w:rsid w:val="00AB7E3A"/>
    <w:rsid w:val="00AE6E6C"/>
    <w:rsid w:val="00AF56A0"/>
    <w:rsid w:val="00B054BA"/>
    <w:rsid w:val="00B127CB"/>
    <w:rsid w:val="00B1638D"/>
    <w:rsid w:val="00B226C6"/>
    <w:rsid w:val="00B2400E"/>
    <w:rsid w:val="00B4016F"/>
    <w:rsid w:val="00B517CB"/>
    <w:rsid w:val="00B63719"/>
    <w:rsid w:val="00B670C3"/>
    <w:rsid w:val="00B729A9"/>
    <w:rsid w:val="00B738DC"/>
    <w:rsid w:val="00B81B72"/>
    <w:rsid w:val="00BB07F9"/>
    <w:rsid w:val="00BC31B8"/>
    <w:rsid w:val="00C16B24"/>
    <w:rsid w:val="00C216A6"/>
    <w:rsid w:val="00C31F8D"/>
    <w:rsid w:val="00C4542B"/>
    <w:rsid w:val="00C64E6F"/>
    <w:rsid w:val="00C823E6"/>
    <w:rsid w:val="00CD5919"/>
    <w:rsid w:val="00CF058E"/>
    <w:rsid w:val="00CF16EB"/>
    <w:rsid w:val="00D154E8"/>
    <w:rsid w:val="00D41FFF"/>
    <w:rsid w:val="00D61369"/>
    <w:rsid w:val="00D94207"/>
    <w:rsid w:val="00DD786B"/>
    <w:rsid w:val="00E24225"/>
    <w:rsid w:val="00E62009"/>
    <w:rsid w:val="00E708BD"/>
    <w:rsid w:val="00E76F86"/>
    <w:rsid w:val="00EA370E"/>
    <w:rsid w:val="00EB7490"/>
    <w:rsid w:val="00EC1DED"/>
    <w:rsid w:val="00F035FC"/>
    <w:rsid w:val="00F10564"/>
    <w:rsid w:val="00F22C82"/>
    <w:rsid w:val="00F26DA8"/>
    <w:rsid w:val="00F35B92"/>
    <w:rsid w:val="00F921FE"/>
    <w:rsid w:val="00F9455D"/>
    <w:rsid w:val="00F9750E"/>
    <w:rsid w:val="00FC7FB5"/>
    <w:rsid w:val="00FF41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CD5919"/>
    <w:rPr>
      <w:color w:val="808080"/>
      <w:lang w:val="en-GB"/>
    </w:rPr>
  </w:style>
  <w:style w:type="paragraph" w:customStyle="1" w:styleId="CDD4ADDA21DA4D579B2CF5A22BC008E5">
    <w:name w:val="CDD4ADDA21DA4D579B2CF5A22BC008E5"/>
    <w:rsid w:val="00CD5919"/>
    <w:pPr>
      <w:spacing w:line="278" w:lineRule="auto"/>
    </w:pPr>
    <w:rPr>
      <w:sz w:val="24"/>
      <w:szCs w:val="24"/>
      <w:lang w:val="fr-LU" w:eastAsia="fr-L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00AF7AD4-B677-4AFB-B33A-D972FC0B95E3}">
  <ds:schemaRefs>
    <ds:schemaRef ds:uri="http://schemas.openxmlformats.org/officeDocument/2006/bibliography"/>
  </ds:schemaRefs>
</ds:datastoreItem>
</file>

<file path=customXml/itemProps3.xml><?xml version="1.0" encoding="utf-8"?>
<ds:datastoreItem xmlns:ds="http://schemas.openxmlformats.org/officeDocument/2006/customXml" ds:itemID="{1C2F2F77-C27B-4274-9796-540C9BE54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7770C-4C96-40C5-99A3-B40E450143AB}">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19</Pages>
  <Words>7910</Words>
  <Characters>43505</Characters>
  <Application>Microsoft Office Word</Application>
  <DocSecurity>0</DocSecurity>
  <Lines>362</Lines>
  <Paragraphs>102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Décision adoptée par la Conférence des Parties à la Convention sur la diversité biologique le 6 septembre 2024</vt:lpstr>
      <vt:lpstr>Administration of the Convention and budget for the trust funds</vt:lpstr>
    </vt:vector>
  </TitlesOfParts>
  <Company/>
  <LinksUpToDate>false</LinksUpToDate>
  <CharactersWithSpaces>51313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adoptée par la Conférence des Parties à la Convention sur la diversité biologique le 6 septembre 2024</dc:title>
  <dc:subject>CBD/COP/16/L.35/Part.A</dc:subject>
  <dc:creator>veronique.lefebvre</dc:creator>
  <cp:keywords/>
  <dc:description/>
  <cp:lastModifiedBy>Gorge Adele</cp:lastModifiedBy>
  <cp:revision>18</cp:revision>
  <cp:lastPrinted>2024-11-02T09:12:00Z</cp:lastPrinted>
  <dcterms:created xsi:type="dcterms:W3CDTF">2025-05-15T15:19:00Z</dcterms:created>
  <dcterms:modified xsi:type="dcterms:W3CDTF">2025-05-24T08:28:00Z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CBD-Language">
    <vt:lpwstr>EN</vt:lpwstr>
  </property>
  <property fmtid="{D5CDD505-2E9C-101B-9397-08002B2CF9AE}" pid="5" name="CBD-Generator">
    <vt:lpwstr>0</vt:lpwstr>
  </property>
  <property fmtid="{D5CDD505-2E9C-101B-9397-08002B2CF9AE}" pid="6" name="CBD-Category">
    <vt:lpwstr>CBD</vt:lpwstr>
  </property>
</Properties>
</file>