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C0126E" w:rsidRPr="008048D0" w14:paraId="682BFF8B" w14:textId="77777777">
        <w:trPr>
          <w:trHeight w:val="851"/>
        </w:trPr>
        <w:tc>
          <w:tcPr>
            <w:tcW w:w="465" w:type="pct"/>
            <w:tcBorders>
              <w:bottom w:val="single" w:sz="8" w:space="0" w:color="auto"/>
            </w:tcBorders>
            <w:vAlign w:val="bottom"/>
          </w:tcPr>
          <w:p w14:paraId="47ADCA7E" w14:textId="77777777" w:rsidR="00C0126E" w:rsidRPr="008048D0" w:rsidRDefault="00C0126E">
            <w:pPr>
              <w:spacing w:after="120"/>
              <w:jc w:val="left"/>
            </w:pPr>
            <w:r w:rsidRPr="008048D0">
              <w:rPr>
                <w:noProof/>
              </w:rPr>
              <w:drawing>
                <wp:inline distT="0" distB="0" distL="0" distR="0" wp14:anchorId="12661658" wp14:editId="7173EE5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713E1897" w14:textId="77777777" w:rsidR="00C0126E" w:rsidRPr="008048D0" w:rsidRDefault="00C0126E">
            <w:pPr>
              <w:spacing w:after="120"/>
              <w:jc w:val="left"/>
            </w:pPr>
            <w:r w:rsidRPr="008048D0">
              <w:rPr>
                <w:noProof/>
              </w:rPr>
              <w:drawing>
                <wp:inline distT="0" distB="0" distL="0" distR="0" wp14:anchorId="078B0DD8" wp14:editId="0F6D0B2B">
                  <wp:extent cx="500870" cy="286211"/>
                  <wp:effectExtent l="0" t="0" r="0" b="0"/>
                  <wp:docPr id="185862919" name="Picture 18586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00870" cy="286211"/>
                          </a:xfrm>
                          <a:prstGeom prst="rect">
                            <a:avLst/>
                          </a:prstGeom>
                          <a:noFill/>
                          <a:ln>
                            <a:noFill/>
                          </a:ln>
                        </pic:spPr>
                      </pic:pic>
                    </a:graphicData>
                  </a:graphic>
                </wp:inline>
              </w:drawing>
            </w:r>
          </w:p>
        </w:tc>
        <w:tc>
          <w:tcPr>
            <w:tcW w:w="2703" w:type="pct"/>
            <w:tcBorders>
              <w:bottom w:val="single" w:sz="8" w:space="0" w:color="auto"/>
            </w:tcBorders>
            <w:vAlign w:val="bottom"/>
          </w:tcPr>
          <w:p w14:paraId="76424A5E" w14:textId="7D294AA4" w:rsidR="00C0126E" w:rsidRPr="008048D0" w:rsidRDefault="00C0126E" w:rsidP="00223F8F">
            <w:pPr>
              <w:pStyle w:val="ABSymbol"/>
              <w:rPr>
                <w:szCs w:val="22"/>
              </w:rPr>
            </w:pPr>
            <w:r w:rsidRPr="008048D0">
              <w:rPr>
                <w:sz w:val="40"/>
              </w:rPr>
              <w:t>CBD</w:t>
            </w:r>
            <w:r w:rsidRPr="008048D0">
              <w:t>/COP/DEC/16/34</w:t>
            </w:r>
          </w:p>
        </w:tc>
      </w:tr>
      <w:tr w:rsidR="00C0126E" w:rsidRPr="008048D0" w14:paraId="3FB2EA81" w14:textId="77777777">
        <w:tc>
          <w:tcPr>
            <w:tcW w:w="2297" w:type="pct"/>
            <w:gridSpan w:val="2"/>
            <w:tcBorders>
              <w:top w:val="single" w:sz="8" w:space="0" w:color="auto"/>
              <w:bottom w:val="single" w:sz="12" w:space="0" w:color="auto"/>
            </w:tcBorders>
          </w:tcPr>
          <w:p w14:paraId="7AF75A06" w14:textId="77777777" w:rsidR="00C0126E" w:rsidRPr="008048D0" w:rsidRDefault="00C0126E">
            <w:pPr>
              <w:pStyle w:val="Cornernotation"/>
              <w:suppressLineNumbers/>
              <w:suppressAutoHyphens/>
              <w:spacing w:before="120" w:after="120"/>
              <w:ind w:right="0"/>
            </w:pPr>
            <w:r w:rsidRPr="008048D0">
              <w:rPr>
                <w:b w:val="0"/>
                <w:noProof/>
              </w:rPr>
              <w:drawing>
                <wp:inline distT="0" distB="0" distL="0" distR="0" wp14:anchorId="75D35571" wp14:editId="29C635D3">
                  <wp:extent cx="2791383" cy="1026243"/>
                  <wp:effectExtent l="0" t="0" r="9525" b="2540"/>
                  <wp:docPr id="414008662" name="Picture 414008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791383" cy="1026243"/>
                          </a:xfrm>
                          <a:prstGeom prst="rect">
                            <a:avLst/>
                          </a:prstGeom>
                          <a:noFill/>
                        </pic:spPr>
                      </pic:pic>
                    </a:graphicData>
                  </a:graphic>
                </wp:inline>
              </w:drawing>
            </w:r>
          </w:p>
        </w:tc>
        <w:tc>
          <w:tcPr>
            <w:tcW w:w="2703" w:type="pct"/>
            <w:tcBorders>
              <w:top w:val="single" w:sz="8" w:space="0" w:color="auto"/>
              <w:bottom w:val="single" w:sz="12" w:space="0" w:color="auto"/>
            </w:tcBorders>
          </w:tcPr>
          <w:p w14:paraId="7E4592E9" w14:textId="2FD9615F" w:rsidR="00C0126E" w:rsidRPr="008048D0" w:rsidRDefault="00C0126E">
            <w:pPr>
              <w:ind w:left="2584"/>
              <w:rPr>
                <w:sz w:val="22"/>
                <w:szCs w:val="22"/>
              </w:rPr>
            </w:pPr>
            <w:r w:rsidRPr="008048D0">
              <w:t>Distr. general</w:t>
            </w:r>
          </w:p>
          <w:p w14:paraId="4E21E2DD" w14:textId="68240F72" w:rsidR="00C0126E" w:rsidRPr="008048D0" w:rsidRDefault="00C0126E">
            <w:pPr>
              <w:ind w:left="2584"/>
              <w:rPr>
                <w:sz w:val="22"/>
                <w:szCs w:val="22"/>
              </w:rPr>
            </w:pPr>
            <w:r w:rsidRPr="008048D0">
              <w:t>27 de febrero de 2025</w:t>
            </w:r>
          </w:p>
          <w:p w14:paraId="49289A5D" w14:textId="77777777" w:rsidR="00C0126E" w:rsidRPr="008048D0" w:rsidRDefault="00C0126E">
            <w:pPr>
              <w:ind w:left="2584"/>
              <w:rPr>
                <w:sz w:val="22"/>
                <w:szCs w:val="22"/>
              </w:rPr>
            </w:pPr>
            <w:r w:rsidRPr="008048D0">
              <w:t>Español</w:t>
            </w:r>
            <w:r w:rsidRPr="008048D0">
              <w:br/>
              <w:t>Original: inglés</w:t>
            </w:r>
          </w:p>
          <w:p w14:paraId="35B6C511" w14:textId="77777777" w:rsidR="00C0126E" w:rsidRPr="008048D0" w:rsidRDefault="00C0126E"/>
        </w:tc>
      </w:tr>
    </w:tbl>
    <w:p w14:paraId="4DDB1BB9" w14:textId="77777777" w:rsidR="00C0126E" w:rsidRPr="008048D0" w:rsidRDefault="00C0126E" w:rsidP="00223F8F">
      <w:pPr>
        <w:pStyle w:val="AFCorNot12Bold"/>
      </w:pPr>
      <w:r w:rsidRPr="008048D0">
        <w:t xml:space="preserve">Conferencia de las Partes en el </w:t>
      </w:r>
      <w:r w:rsidRPr="008048D0">
        <w:br/>
        <w:t>Convenio sobre la Diversidad Biológica</w:t>
      </w:r>
    </w:p>
    <w:p w14:paraId="69C35F45" w14:textId="77777777" w:rsidR="00C0126E" w:rsidRPr="008048D0" w:rsidRDefault="00C0126E" w:rsidP="00223F8F">
      <w:pPr>
        <w:pStyle w:val="AFCorNotBold"/>
      </w:pPr>
      <w:r w:rsidRPr="008048D0">
        <w:t xml:space="preserve">16ª reunión, segunda continuación </w:t>
      </w:r>
    </w:p>
    <w:p w14:paraId="175679D3" w14:textId="1CCAB3C0" w:rsidR="00345E66" w:rsidRPr="008048D0" w:rsidRDefault="00C0126E" w:rsidP="00223F8F">
      <w:pPr>
        <w:pStyle w:val="AFCorNotNormal"/>
      </w:pPr>
      <w:r w:rsidRPr="008048D0">
        <w:t>Roma, 25</w:t>
      </w:r>
      <w:r w:rsidR="009A7F6A">
        <w:t> </w:t>
      </w:r>
      <w:r w:rsidRPr="008048D0">
        <w:t>a 27</w:t>
      </w:r>
      <w:r w:rsidR="00A73AAE">
        <w:t> </w:t>
      </w:r>
      <w:r w:rsidRPr="008048D0">
        <w:t>de febrero de 2025</w:t>
      </w:r>
    </w:p>
    <w:p w14:paraId="6084915C" w14:textId="77777777" w:rsidR="00991B8B" w:rsidRPr="008048D0" w:rsidRDefault="00991B8B" w:rsidP="00223F8F">
      <w:pPr>
        <w:pStyle w:val="AFCorNotNormal"/>
      </w:pPr>
      <w:r w:rsidRPr="008048D0">
        <w:t xml:space="preserve">Tema 11 del programa </w:t>
      </w:r>
    </w:p>
    <w:p w14:paraId="7C65972D" w14:textId="52109081" w:rsidR="00C0126E" w:rsidRPr="008048D0" w:rsidRDefault="00991B8B" w:rsidP="00223F8F">
      <w:pPr>
        <w:pStyle w:val="AFCorNotBold"/>
      </w:pPr>
      <w:r w:rsidRPr="008048D0">
        <w:t>Movilización de recursos y el mecanismo financiero</w:t>
      </w:r>
    </w:p>
    <w:p w14:paraId="3BCBD3C0" w14:textId="1EAE4131" w:rsidR="00DC34E4" w:rsidRPr="008048D0" w:rsidRDefault="00DC34E4" w:rsidP="00DC34E4">
      <w:pPr>
        <w:pStyle w:val="CBDTitle"/>
        <w:rPr>
          <w:snapToGrid w:val="0"/>
        </w:rPr>
      </w:pPr>
      <w:r w:rsidRPr="008048D0">
        <w:rPr>
          <w:snapToGrid w:val="0"/>
        </w:rPr>
        <w:t>Decisión adoptada por la Conferencia de las Partes en el Convenio sobre la Diversidad Biológica el 27 de febrero de 2025</w:t>
      </w:r>
    </w:p>
    <w:p w14:paraId="7ECF7AD3" w14:textId="372BBA0C" w:rsidR="00A37DF7" w:rsidRPr="008048D0" w:rsidRDefault="007613BA" w:rsidP="00223F8F">
      <w:pPr>
        <w:pStyle w:val="CBDSubTitle"/>
        <w:rPr>
          <w:snapToGrid w:val="0"/>
        </w:rPr>
      </w:pPr>
      <w:r w:rsidRPr="008048D0">
        <w:rPr>
          <w:snapToGrid w:val="0"/>
        </w:rPr>
        <w:t>16/34.</w:t>
      </w:r>
      <w:r w:rsidRPr="008048D0">
        <w:rPr>
          <w:snapToGrid w:val="0"/>
        </w:rPr>
        <w:tab/>
      </w:r>
      <w:r w:rsidRPr="008048D0">
        <w:rPr>
          <w:snapToGrid w:val="0"/>
        </w:rPr>
        <w:tab/>
        <w:t>Movilización de recursos</w:t>
      </w:r>
    </w:p>
    <w:p w14:paraId="6E390994" w14:textId="69ED538D" w:rsidR="0006650E" w:rsidRPr="008048D0" w:rsidRDefault="0006650E" w:rsidP="00FD2C16">
      <w:pPr>
        <w:keepNext/>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asciiTheme="majorBidi" w:eastAsia="Times New Roman" w:hAnsiTheme="majorBidi" w:cstheme="majorBidi"/>
          <w:i/>
          <w:snapToGrid w:val="0"/>
          <w:kern w:val="22"/>
        </w:rPr>
      </w:pPr>
      <w:r w:rsidRPr="008048D0">
        <w:rPr>
          <w:rFonts w:asciiTheme="majorBidi" w:hAnsiTheme="majorBidi"/>
          <w:i/>
          <w:snapToGrid w:val="0"/>
        </w:rPr>
        <w:t>La Conferencia de las Partes</w:t>
      </w:r>
      <w:r w:rsidRPr="008048D0">
        <w:rPr>
          <w:rFonts w:asciiTheme="majorBidi" w:hAnsiTheme="majorBidi"/>
          <w:snapToGrid w:val="0"/>
        </w:rPr>
        <w:t>,</w:t>
      </w:r>
    </w:p>
    <w:p w14:paraId="6B079C78" w14:textId="7ECC92D4" w:rsidR="00EA22C0" w:rsidRPr="008048D0" w:rsidRDefault="00EA22C0" w:rsidP="00223F8F">
      <w:pPr>
        <w:pStyle w:val="CBDNormalNoNumber"/>
        <w:ind w:left="567" w:firstLine="567"/>
      </w:pPr>
      <w:r w:rsidRPr="008048D0">
        <w:rPr>
          <w:i/>
        </w:rPr>
        <w:t xml:space="preserve">Recordando </w:t>
      </w:r>
      <w:r w:rsidRPr="008048D0">
        <w:t>el artículo</w:t>
      </w:r>
      <w:r w:rsidR="00DA2F28">
        <w:t> </w:t>
      </w:r>
      <w:hyperlink r:id="rId14" w:history="1">
        <w:r w:rsidRPr="008048D0">
          <w:rPr>
            <w:rStyle w:val="Hyperlink"/>
            <w:snapToGrid w:val="0"/>
          </w:rPr>
          <w:t>20</w:t>
        </w:r>
      </w:hyperlink>
      <w:r w:rsidRPr="008048D0">
        <w:t xml:space="preserve"> del Convenio sobre la Diversidad Biológica</w:t>
      </w:r>
      <w:r w:rsidR="00274524" w:rsidRPr="008048D0">
        <w:rPr>
          <w:rStyle w:val="FootnoteReference"/>
          <w:snapToGrid w:val="0"/>
          <w:lang w:eastAsia="zh-CN"/>
        </w:rPr>
        <w:footnoteReference w:id="2"/>
      </w:r>
      <w:r w:rsidRPr="008048D0">
        <w:t xml:space="preserve"> que constituye la base para la provisión y movilización de recursos procedentes de todas las fuentes y la pertinencia de los artículos </w:t>
      </w:r>
      <w:hyperlink r:id="rId15" w:history="1">
        <w:r w:rsidRPr="008048D0">
          <w:rPr>
            <w:rStyle w:val="Hyperlink"/>
            <w:snapToGrid w:val="0"/>
          </w:rPr>
          <w:t>11</w:t>
        </w:r>
      </w:hyperlink>
      <w:r w:rsidRPr="008048D0">
        <w:t xml:space="preserve"> y </w:t>
      </w:r>
      <w:hyperlink r:id="rId16" w:history="1">
        <w:r w:rsidRPr="008048D0">
          <w:rPr>
            <w:rStyle w:val="Hyperlink"/>
            <w:snapToGrid w:val="0"/>
          </w:rPr>
          <w:t>21</w:t>
        </w:r>
      </w:hyperlink>
      <w:r w:rsidRPr="008048D0">
        <w:t xml:space="preserve"> a este respecto,</w:t>
      </w:r>
    </w:p>
    <w:p w14:paraId="3F080C3B" w14:textId="66C79513" w:rsidR="00EA22C0" w:rsidRPr="008048D0" w:rsidRDefault="00EA22C0" w:rsidP="00223F8F">
      <w:pPr>
        <w:pStyle w:val="CBDNormalNoNumber"/>
        <w:ind w:left="567" w:firstLine="567"/>
        <w:rPr>
          <w:rFonts w:ascii="Calibri" w:eastAsia="DengXian" w:hAnsi="Calibri" w:cs="Arial"/>
        </w:rPr>
      </w:pPr>
      <w:r w:rsidRPr="008048D0">
        <w:rPr>
          <w:i/>
          <w:iCs/>
        </w:rPr>
        <w:t>Recordando también</w:t>
      </w:r>
      <w:r w:rsidRPr="008048D0">
        <w:t xml:space="preserve"> el Marco Mundial de Biodiversidad de Kunming‑Montreal</w:t>
      </w:r>
      <w:r w:rsidR="00277762" w:rsidRPr="008048D0">
        <w:rPr>
          <w:rStyle w:val="FootnoteReference"/>
        </w:rPr>
        <w:footnoteReference w:id="3"/>
      </w:r>
      <w:r w:rsidRPr="008048D0">
        <w:t>, incluidos su sección C, el objetivo D y la meta 19, así como su objetivo C y las metas 13 a 16, 18 y 20, y poniendo de relieve la importancia que reviste la integración de la diversidad biológica para el fortalecimiento de la movilización de recursos y la utilización eficaz y eficiente de los recursos para apoyar la conservación y la utilización sostenible de la diversidad biológica,</w:t>
      </w:r>
    </w:p>
    <w:p w14:paraId="15E75592" w14:textId="11AEEECB" w:rsidR="00EA22C0" w:rsidRPr="008048D0" w:rsidRDefault="0006650E" w:rsidP="00223F8F">
      <w:pPr>
        <w:pStyle w:val="CBDNormalNoNumber"/>
        <w:ind w:left="567" w:firstLine="567"/>
        <w:rPr>
          <w:snapToGrid w:val="0"/>
        </w:rPr>
      </w:pPr>
      <w:r w:rsidRPr="008048D0">
        <w:rPr>
          <w:i/>
        </w:rPr>
        <w:t xml:space="preserve">Alarmada </w:t>
      </w:r>
      <w:r w:rsidRPr="008048D0">
        <w:t>por la continua pérdida de diversidad biológica y la amenaza que esa pérdida supone para la naturaleza y el bienestar humano, y poniendo de relieve la importancia de aumentar urgentemente la movilización de recursos financieros de todas las fuentes, nacionales e internacionales, y públicos y privados, con miras a subsanar el déficit de financiación de la biodiversidad y facilitar recursos suficientes y previsibles de manera oportuna para la implementación efectiva del Marco</w:t>
      </w:r>
      <w:r w:rsidRPr="008048D0">
        <w:rPr>
          <w:snapToGrid w:val="0"/>
        </w:rPr>
        <w:t>,</w:t>
      </w:r>
    </w:p>
    <w:p w14:paraId="69FF4C5B" w14:textId="7F0BA301" w:rsidR="009E4EB5" w:rsidRPr="008048D0" w:rsidRDefault="008C0EBD" w:rsidP="00223F8F">
      <w:pPr>
        <w:pStyle w:val="CBDNormalNoNumber"/>
        <w:ind w:left="567" w:firstLine="567"/>
        <w:rPr>
          <w:iCs/>
          <w:snapToGrid w:val="0"/>
        </w:rPr>
      </w:pPr>
      <w:r w:rsidRPr="008048D0">
        <w:rPr>
          <w:i/>
        </w:rPr>
        <w:t>Reconociendo</w:t>
      </w:r>
      <w:r w:rsidRPr="008048D0">
        <w:t xml:space="preserve"> que ha habido un aumento de la financiación para el desarrollo destinada a la biodiversidad, pero reconociendo también que persiste un déficit significativo para alcanzar la meta 19 a) del Marco,</w:t>
      </w:r>
    </w:p>
    <w:p w14:paraId="4CD59978" w14:textId="11EFB6A1" w:rsidR="0006650E" w:rsidRPr="008048D0" w:rsidRDefault="0006650E" w:rsidP="00223F8F">
      <w:pPr>
        <w:pStyle w:val="CBDNormalNoNumber"/>
        <w:ind w:left="567" w:firstLine="567"/>
        <w:rPr>
          <w:rFonts w:eastAsia="Times New Roman"/>
          <w:snapToGrid w:val="0"/>
        </w:rPr>
      </w:pPr>
      <w:r w:rsidRPr="008048D0">
        <w:rPr>
          <w:i/>
          <w:iCs/>
        </w:rPr>
        <w:t>Recordando</w:t>
      </w:r>
      <w:r w:rsidRPr="008048D0">
        <w:t xml:space="preserve"> su decisión </w:t>
      </w:r>
      <w:hyperlink r:id="rId17" w:history="1">
        <w:r w:rsidRPr="008048D0">
          <w:rPr>
            <w:rStyle w:val="Hyperlink"/>
            <w:snapToGrid w:val="0"/>
          </w:rPr>
          <w:t>15/7</w:t>
        </w:r>
      </w:hyperlink>
      <w:r w:rsidRPr="008048D0">
        <w:t>, de 19 de diciembre de 2022, y la adopción de una estrategia para la movilización de recursos para el período 2023-2024,</w:t>
      </w:r>
    </w:p>
    <w:p w14:paraId="408299F3" w14:textId="0771FEFD" w:rsidR="00A63B1D" w:rsidRPr="008048D0" w:rsidRDefault="00A63B1D" w:rsidP="00223F8F">
      <w:pPr>
        <w:pStyle w:val="CBDNormalNoNumber"/>
        <w:ind w:left="567" w:firstLine="567"/>
        <w:rPr>
          <w:rFonts w:eastAsia="Raleway" w:cs="Raleway"/>
          <w:color w:val="000000" w:themeColor="text1"/>
        </w:rPr>
      </w:pPr>
      <w:r w:rsidRPr="008048D0">
        <w:rPr>
          <w:rFonts w:asciiTheme="majorBidi" w:hAnsiTheme="majorBidi"/>
          <w:i/>
        </w:rPr>
        <w:t xml:space="preserve">Acogiendo con satisfacción </w:t>
      </w:r>
      <w:r w:rsidRPr="008048D0">
        <w:rPr>
          <w:rFonts w:asciiTheme="majorBidi" w:hAnsiTheme="majorBidi"/>
        </w:rPr>
        <w:t>el establecimiento del Fondo para el Marco Mundial de Biodiversidad por el Fondo para el Medio Ambiente Mundial y las contribuciones realizadas hasta la fecha al Fondo, al tiempo que reconoce la urgente necesidad de aumentarlas para contribuir a alcanzar la meta 19 a) del Marco</w:t>
      </w:r>
      <w:r w:rsidRPr="008048D0">
        <w:t>,</w:t>
      </w:r>
    </w:p>
    <w:p w14:paraId="48AE4032" w14:textId="0958B8D7" w:rsidR="00482BEC" w:rsidRPr="008048D0" w:rsidRDefault="00482BEC" w:rsidP="00223F8F">
      <w:pPr>
        <w:pStyle w:val="CBDNormalNoNumber"/>
        <w:ind w:left="567" w:firstLine="567"/>
        <w:rPr>
          <w:rFonts w:eastAsia="Times New Roman"/>
        </w:rPr>
      </w:pPr>
      <w:r w:rsidRPr="008048D0">
        <w:rPr>
          <w:i/>
        </w:rPr>
        <w:lastRenderedPageBreak/>
        <w:t>Considerando</w:t>
      </w:r>
      <w:r w:rsidRPr="008048D0">
        <w:t xml:space="preserve"> su decisión </w:t>
      </w:r>
      <w:hyperlink r:id="rId18" w:history="1">
        <w:r w:rsidRPr="008048D0">
          <w:rPr>
            <w:rStyle w:val="Hyperlink"/>
            <w:rFonts w:asciiTheme="majorBidi" w:hAnsiTheme="majorBidi"/>
          </w:rPr>
          <w:t>16/2</w:t>
        </w:r>
      </w:hyperlink>
      <w:r w:rsidRPr="008048D0">
        <w:t xml:space="preserve">, de 1 de noviembre de 2024, en la que puso en funcionamiento el Fondo de Cali para la Participación Justa y Equitativa en los Beneficios que se Deriven de la Utilización de Información Digital sobre Secuencias de Recursos Genéticos que servirá como el fondo mundial para la información digital sobre secuencias de recursos genéticos, de conformidad con la decisión </w:t>
      </w:r>
      <w:hyperlink r:id="rId19" w:history="1">
        <w:r w:rsidRPr="008048D0">
          <w:rPr>
            <w:rStyle w:val="Hyperlink"/>
            <w:rFonts w:asciiTheme="majorBidi" w:hAnsiTheme="majorBidi"/>
          </w:rPr>
          <w:t>15/9</w:t>
        </w:r>
      </w:hyperlink>
      <w:r w:rsidRPr="008048D0">
        <w:t>, de 19 de diciembre de 2022,</w:t>
      </w:r>
    </w:p>
    <w:p w14:paraId="11B839E5" w14:textId="58354F31" w:rsidR="00A63B1D" w:rsidRPr="008048D0" w:rsidRDefault="007C65C2" w:rsidP="00223F8F">
      <w:pPr>
        <w:pStyle w:val="CBDNormalNoNumber"/>
        <w:ind w:left="567" w:firstLine="567"/>
      </w:pPr>
      <w:r w:rsidRPr="008048D0">
        <w:rPr>
          <w:i/>
        </w:rPr>
        <w:t>Observando</w:t>
      </w:r>
      <w:r w:rsidRPr="008048D0">
        <w:t xml:space="preserve"> los esfuerzos en curso para acelerar la reforma de la arquitectura financiera internacional, y destacando la importancia de garantizar que la reforma contribuya a subsanar el déficit de financiación de la biodiversidad,</w:t>
      </w:r>
    </w:p>
    <w:p w14:paraId="6C23698A" w14:textId="5EB0320D" w:rsidR="00AC54AC" w:rsidRPr="008048D0" w:rsidRDefault="00AC54AC" w:rsidP="00223F8F">
      <w:pPr>
        <w:pStyle w:val="CBDNormalNoNumber"/>
        <w:ind w:left="567" w:firstLine="567"/>
      </w:pPr>
      <w:r w:rsidRPr="008048D0">
        <w:rPr>
          <w:i/>
        </w:rPr>
        <w:t xml:space="preserve">Destacando </w:t>
      </w:r>
      <w:r w:rsidRPr="008048D0">
        <w:t>la importancia de los diálogos basados en pruebas y la necesidad de evaluar las lecciones aprendidas y las experiencias de los mecanismos de financiación existentes para fundamentar las decisiones en materia de políticas relacionadas con la financiación de la biodiversidad,</w:t>
      </w:r>
    </w:p>
    <w:p w14:paraId="560DDF02" w14:textId="270C3991" w:rsidR="0006650E" w:rsidRPr="008048D0" w:rsidRDefault="00F24265" w:rsidP="00223F8F">
      <w:pPr>
        <w:pStyle w:val="CBDNormalNoNumber"/>
        <w:ind w:left="567" w:firstLine="567"/>
      </w:pPr>
      <w:r w:rsidRPr="008048D0">
        <w:rPr>
          <w:i/>
        </w:rPr>
        <w:t>Observando</w:t>
      </w:r>
      <w:r w:rsidRPr="008048D0">
        <w:t xml:space="preserve"> los beneficios que supone la optimización de los beneficios secundarios y las sinergias de la financiación dirigida a atender las crisis de la biodiversidad y del clima, reconociendo a la vez la necesidad de aumentar la transparencia, la presentación de informes y la rendición de cuentas al respecto, en consonancia con los mandatos de los respectivos acuerdos ambientales multilaterales,</w:t>
      </w:r>
    </w:p>
    <w:p w14:paraId="58060213" w14:textId="4B81BF37" w:rsidR="00AC54AC" w:rsidRPr="008048D0" w:rsidRDefault="00AC54AC" w:rsidP="00223F8F">
      <w:pPr>
        <w:pStyle w:val="CBDNormalNoNumber"/>
        <w:ind w:left="567" w:firstLine="567"/>
        <w:rPr>
          <w:rFonts w:asciiTheme="majorBidi" w:hAnsiTheme="majorBidi" w:cstheme="majorBidi"/>
        </w:rPr>
      </w:pPr>
      <w:r w:rsidRPr="008048D0">
        <w:rPr>
          <w:rFonts w:asciiTheme="majorBidi" w:hAnsiTheme="majorBidi"/>
          <w:i/>
        </w:rPr>
        <w:t xml:space="preserve">Reconociendo </w:t>
      </w:r>
      <w:r w:rsidRPr="008048D0">
        <w:rPr>
          <w:rFonts w:asciiTheme="majorBidi" w:hAnsiTheme="majorBidi"/>
        </w:rPr>
        <w:t>los beneficios de las deliberaciones oportunas para el diseño de soluciones eficaces, integrales y duraderas para subsanar el déficit de financiación de la biodiversidad,</w:t>
      </w:r>
    </w:p>
    <w:p w14:paraId="43DEC870" w14:textId="4B917D11" w:rsidR="00FA1771" w:rsidRPr="008048D0" w:rsidRDefault="00FA1771" w:rsidP="00223F8F">
      <w:pPr>
        <w:pStyle w:val="CBDNormalNoNumber"/>
        <w:ind w:left="567" w:firstLine="567"/>
        <w:rPr>
          <w:rFonts w:asciiTheme="majorBidi" w:hAnsiTheme="majorBidi" w:cstheme="majorBidi"/>
        </w:rPr>
      </w:pPr>
      <w:r w:rsidRPr="008048D0">
        <w:rPr>
          <w:rFonts w:asciiTheme="majorBidi" w:hAnsiTheme="majorBidi"/>
          <w:i/>
        </w:rPr>
        <w:t>Reconociendo además</w:t>
      </w:r>
      <w:r w:rsidRPr="008048D0">
        <w:rPr>
          <w:rFonts w:asciiTheme="majorBidi" w:hAnsiTheme="majorBidi"/>
        </w:rPr>
        <w:t xml:space="preserve"> que la complejidad y la fragmentación del panorama de la financiación de la biodiversidad requieren un enfoque integral para mejorar la complementariedad, la eficacia y la ampliación previsible de la financiación procedente de todas las fuentes,</w:t>
      </w:r>
    </w:p>
    <w:p w14:paraId="11FD7263" w14:textId="335B70A2" w:rsidR="0006650E" w:rsidRPr="008048D0" w:rsidRDefault="0006650E" w:rsidP="00223F8F">
      <w:pPr>
        <w:pStyle w:val="CBDNormalNoNumber"/>
        <w:ind w:left="567" w:firstLine="567"/>
      </w:pPr>
      <w:r w:rsidRPr="008048D0">
        <w:rPr>
          <w:i/>
        </w:rPr>
        <w:t>Reconociendo también</w:t>
      </w:r>
      <w:r w:rsidRPr="008048D0">
        <w:t xml:space="preserve"> que los pueblos indígenas y las comunidades locales, las mujeres y la juventud, a pesar del importante papel que desempeñan en la aplicación del Convenio y sus Protocolos y en el logro del Marco, suelen carecer de acceso adecuado a financiación para la biodiversidad,</w:t>
      </w:r>
    </w:p>
    <w:p w14:paraId="5BFAF6BA" w14:textId="0D50476C" w:rsidR="00ED4835" w:rsidRPr="008048D0" w:rsidRDefault="00652A36" w:rsidP="00223F8F">
      <w:pPr>
        <w:pStyle w:val="CBDNormalNoNumber"/>
        <w:ind w:left="567" w:firstLine="567"/>
      </w:pPr>
      <w:r w:rsidRPr="008048D0">
        <w:rPr>
          <w:i/>
        </w:rPr>
        <w:t xml:space="preserve">Reiterando </w:t>
      </w:r>
      <w:r w:rsidRPr="008048D0">
        <w:t>que el suministro y la movilización de recursos de todas las fuentes para la aplicación del Convenio y sus Protocolos, así como para el logro de los objetivos y las metas del Marco, deberían seguir un enfoque basado en los derechos humanos y con perspectiva de género,</w:t>
      </w:r>
    </w:p>
    <w:p w14:paraId="4319EDBF" w14:textId="34212A23" w:rsidR="0006650E" w:rsidRPr="008048D0" w:rsidRDefault="0006650E" w:rsidP="00223F8F">
      <w:pPr>
        <w:pStyle w:val="CBDNormalNoNumber"/>
        <w:ind w:left="567" w:firstLine="567"/>
        <w:rPr>
          <w:rFonts w:asciiTheme="majorBidi" w:hAnsiTheme="majorBidi" w:cstheme="majorBidi"/>
          <w:snapToGrid w:val="0"/>
          <w:kern w:val="22"/>
        </w:rPr>
      </w:pPr>
      <w:r w:rsidRPr="008048D0">
        <w:rPr>
          <w:i/>
        </w:rPr>
        <w:t>Recordando</w:t>
      </w:r>
      <w:r w:rsidRPr="008048D0">
        <w:t xml:space="preserve"> los párrafos 40 a 43 y el anexo II de la decisión </w:t>
      </w:r>
      <w:hyperlink r:id="rId20" w:history="1">
        <w:r w:rsidRPr="008048D0">
          <w:rPr>
            <w:rStyle w:val="Hyperlink"/>
            <w:rFonts w:asciiTheme="majorBidi" w:hAnsiTheme="majorBidi"/>
          </w:rPr>
          <w:t>15/7</w:t>
        </w:r>
      </w:hyperlink>
      <w:r w:rsidRPr="008048D0">
        <w:t xml:space="preserve">, observando con aprecio la labor del Comité Asesor sobre Movilización de Recursos, y </w:t>
      </w:r>
      <w:r w:rsidRPr="008048D0">
        <w:rPr>
          <w:snapToGrid w:val="0"/>
        </w:rPr>
        <w:t>observando que las medidas voluntarias señaladas en el anexo II de la recomendación </w:t>
      </w:r>
      <w:hyperlink r:id="rId21" w:history="1">
        <w:r w:rsidRPr="008048D0">
          <w:rPr>
            <w:rStyle w:val="Hyperlink"/>
            <w:rFonts w:asciiTheme="majorBidi" w:hAnsiTheme="majorBidi"/>
            <w:snapToGrid w:val="0"/>
          </w:rPr>
          <w:t>4/3</w:t>
        </w:r>
      </w:hyperlink>
      <w:r w:rsidRPr="008048D0">
        <w:rPr>
          <w:snapToGrid w:val="0"/>
        </w:rPr>
        <w:t xml:space="preserve"> del Órgano Subsidiario sobre la Aplicación, de 29 de mayo de 2024, y las observaciones finales que figuran en </w:t>
      </w:r>
      <w:r w:rsidRPr="008048D0">
        <w:t>el estudio sobre el panorama de la financiación de la biodiversidad</w:t>
      </w:r>
      <w:r w:rsidR="00ED4835" w:rsidRPr="008048D0">
        <w:rPr>
          <w:rFonts w:asciiTheme="majorBidi" w:hAnsiTheme="majorBidi" w:cstheme="majorBidi"/>
          <w:snapToGrid w:val="0"/>
          <w:kern w:val="22"/>
          <w:vertAlign w:val="superscript"/>
        </w:rPr>
        <w:footnoteReference w:id="4"/>
      </w:r>
      <w:r w:rsidRPr="008048D0">
        <w:t xml:space="preserve"> </w:t>
      </w:r>
      <w:r w:rsidRPr="008048D0">
        <w:rPr>
          <w:rFonts w:asciiTheme="majorBidi" w:hAnsiTheme="majorBidi"/>
        </w:rPr>
        <w:t>podrían mejorar ese panorama de financiación,</w:t>
      </w:r>
    </w:p>
    <w:p w14:paraId="54C2918D" w14:textId="2D7203A5" w:rsidR="0006650E" w:rsidRPr="008048D0" w:rsidRDefault="0006650E" w:rsidP="00223F8F">
      <w:pPr>
        <w:pStyle w:val="CBDNormalNoNumber"/>
        <w:ind w:left="567" w:firstLine="567"/>
        <w:rPr>
          <w:rFonts w:asciiTheme="majorBidi" w:hAnsiTheme="majorBidi"/>
        </w:rPr>
      </w:pPr>
      <w:r w:rsidRPr="008048D0">
        <w:rPr>
          <w:rFonts w:asciiTheme="majorBidi" w:hAnsiTheme="majorBidi"/>
          <w:i/>
          <w:iCs/>
          <w:snapToGrid w:val="0"/>
        </w:rPr>
        <w:t>Expresando</w:t>
      </w:r>
      <w:r w:rsidRPr="008048D0">
        <w:rPr>
          <w:rFonts w:asciiTheme="majorBidi" w:hAnsiTheme="majorBidi"/>
          <w:snapToGrid w:val="0"/>
        </w:rPr>
        <w:t xml:space="preserve"> su agradecimiento a los Gobiernos de la República Democrática del Congo y de Colombia por acoger las reuniones segunda y tercera del Comité Asesor, así como a la Unión Europea y al Gobierno del Reino Unido de Gran Bretaña e Irlanda del Norte por el apoyo financiero brindado,</w:t>
      </w:r>
    </w:p>
    <w:p w14:paraId="6FB6B3AA" w14:textId="197F38EE" w:rsidR="00B520AF" w:rsidRPr="008048D0" w:rsidRDefault="00E40EB7" w:rsidP="00223F8F">
      <w:pPr>
        <w:pStyle w:val="CBDNormalNoNumber"/>
        <w:ind w:left="567" w:firstLine="567"/>
      </w:pPr>
      <w:r w:rsidRPr="008048D0">
        <w:t>1.</w:t>
      </w:r>
      <w:r w:rsidRPr="008048D0">
        <w:tab/>
      </w:r>
      <w:r w:rsidRPr="008048D0">
        <w:rPr>
          <w:i/>
          <w:iCs/>
        </w:rPr>
        <w:t>Insta</w:t>
      </w:r>
      <w:r w:rsidRPr="008048D0">
        <w:t xml:space="preserve"> a las Partes a continuar e intensificar sus esfuerzos para aumentar sustancial y progresivamente el nivel de recursos financieros procedentes de todas las fuentes, de manera eficaz, oportuna y de fácil acceso, incluidos recursos nacionales e internacionales, y públicos y privados, de conformidad con el artículo </w:t>
      </w:r>
      <w:hyperlink r:id="rId22" w:history="1">
        <w:r w:rsidRPr="008048D0">
          <w:rPr>
            <w:rStyle w:val="Hyperlink"/>
          </w:rPr>
          <w:t>20</w:t>
        </w:r>
      </w:hyperlink>
      <w:r w:rsidRPr="008048D0">
        <w:t xml:space="preserve"> del Convenio sobre la Diversidad Biológica, a fin de alcanzar la meta</w:t>
      </w:r>
      <w:r w:rsidR="008048D0" w:rsidRPr="008048D0">
        <w:t> </w:t>
      </w:r>
      <w:r w:rsidRPr="008048D0">
        <w:t>19 del Marco Mundial de Biodiversidad de Kunming-Montreal de movilizar al menos 200.000 millones de dólares de los Estados Unidos al año para 2030;</w:t>
      </w:r>
    </w:p>
    <w:p w14:paraId="1C65D81D" w14:textId="2921E526" w:rsidR="00B9486B" w:rsidRPr="008048D0" w:rsidRDefault="00E40EB7" w:rsidP="00223F8F">
      <w:pPr>
        <w:pStyle w:val="CBDNormalNoNumber"/>
        <w:ind w:left="567" w:firstLine="567"/>
        <w:rPr>
          <w:snapToGrid w:val="0"/>
          <w:kern w:val="22"/>
        </w:rPr>
      </w:pPr>
      <w:r w:rsidRPr="008048D0">
        <w:rPr>
          <w:snapToGrid w:val="0"/>
        </w:rPr>
        <w:t>2.</w:t>
      </w:r>
      <w:r w:rsidRPr="008048D0">
        <w:rPr>
          <w:snapToGrid w:val="0"/>
        </w:rPr>
        <w:tab/>
      </w:r>
      <w:r w:rsidRPr="008048D0">
        <w:rPr>
          <w:i/>
          <w:iCs/>
        </w:rPr>
        <w:t>Insta</w:t>
      </w:r>
      <w:r w:rsidRPr="008048D0">
        <w:t xml:space="preserve"> a las Partes que son países desarrollados, y a las Partes que asuman voluntariamente las obligaciones de las Partes que son países desarrollados, a mantener e intensificar sus esfuerzos para aumentar el total de los recursos financieros internacionales relacionados con la </w:t>
      </w:r>
      <w:r w:rsidRPr="008048D0">
        <w:lastRenderedPageBreak/>
        <w:t>biodiversidad, incluida la asistencia oficial para el desarrollo, destinados a las Partes que son países en desarrollo, en particular los países menos adelantados y los pequeños Estados insulares en desarrollo, y las Partes con economías en transición, para alcanzar la meta 19 a) del Marco, movilizando al menos 20.000 millones de dólares al año para 2025 y al menos 30.000 millones de dólares al año para 2030;</w:t>
      </w:r>
    </w:p>
    <w:p w14:paraId="523FBFAF" w14:textId="39B40FDD" w:rsidR="003D5130" w:rsidRPr="008048D0" w:rsidRDefault="00E40EB7" w:rsidP="00223F8F">
      <w:pPr>
        <w:pStyle w:val="CBDNormalNoNumber"/>
        <w:ind w:left="567" w:firstLine="567"/>
        <w:rPr>
          <w:rFonts w:asciiTheme="majorBidi" w:hAnsiTheme="majorBidi" w:cstheme="majorBidi"/>
          <w:snapToGrid w:val="0"/>
          <w:kern w:val="22"/>
        </w:rPr>
      </w:pPr>
      <w:r w:rsidRPr="008048D0">
        <w:rPr>
          <w:rFonts w:asciiTheme="majorBidi" w:hAnsiTheme="majorBidi"/>
          <w:snapToGrid w:val="0"/>
        </w:rPr>
        <w:t>3.</w:t>
      </w:r>
      <w:r w:rsidRPr="008048D0">
        <w:rPr>
          <w:rFonts w:asciiTheme="majorBidi" w:hAnsiTheme="majorBidi"/>
          <w:snapToGrid w:val="0"/>
        </w:rPr>
        <w:tab/>
      </w:r>
      <w:r w:rsidRPr="008048D0">
        <w:rPr>
          <w:i/>
          <w:iCs/>
          <w:snapToGrid w:val="0"/>
        </w:rPr>
        <w:t>Insta</w:t>
      </w:r>
      <w:r w:rsidRPr="008048D0">
        <w:rPr>
          <w:snapToGrid w:val="0"/>
        </w:rPr>
        <w:t xml:space="preserve"> a las Partes a mantener e intensificar sus esfuerzos tendientes a alcanzar la meta</w:t>
      </w:r>
      <w:r w:rsidR="008048D0" w:rsidRPr="008048D0">
        <w:rPr>
          <w:snapToGrid w:val="0"/>
        </w:rPr>
        <w:t> </w:t>
      </w:r>
      <w:r w:rsidRPr="008048D0">
        <w:rPr>
          <w:snapToGrid w:val="0"/>
        </w:rPr>
        <w:t>18</w:t>
      </w:r>
      <w:r w:rsidR="008048D0">
        <w:rPr>
          <w:snapToGrid w:val="0"/>
        </w:rPr>
        <w:t> </w:t>
      </w:r>
      <w:r w:rsidRPr="008048D0">
        <w:rPr>
          <w:snapToGrid w:val="0"/>
        </w:rPr>
        <w:t>del Marco, eliminando, eliminando gradualmente o reformando los incentivos, incluidos los subsidios, que son perjudiciales para la diversidad biológica, de manera proporcionada, justa, eficaz y equitativa, reduciéndolos sustancial y progresivamente en al menos 500.000 millones de dólares al año para 2030, empezando por los incentivos más perjudiciales, y a aumentar los incentivos positivos para la conservación y la utilización sostenible de la diversidad biológica;</w:t>
      </w:r>
    </w:p>
    <w:p w14:paraId="5E75B6EA" w14:textId="58B4C61D" w:rsidR="00E611CD" w:rsidRPr="008048D0" w:rsidRDefault="00E40EB7" w:rsidP="00223F8F">
      <w:pPr>
        <w:pStyle w:val="CBDNormalNoNumber"/>
        <w:ind w:left="567" w:firstLine="567"/>
        <w:rPr>
          <w:rFonts w:asciiTheme="majorBidi" w:hAnsiTheme="majorBidi" w:cstheme="majorBidi"/>
          <w:snapToGrid w:val="0"/>
          <w:kern w:val="22"/>
        </w:rPr>
      </w:pPr>
      <w:r w:rsidRPr="008048D0">
        <w:rPr>
          <w:rFonts w:asciiTheme="majorBidi" w:hAnsiTheme="majorBidi"/>
          <w:snapToGrid w:val="0"/>
        </w:rPr>
        <w:t>4.</w:t>
      </w:r>
      <w:r w:rsidRPr="008048D0">
        <w:rPr>
          <w:rFonts w:asciiTheme="majorBidi" w:hAnsiTheme="majorBidi"/>
          <w:snapToGrid w:val="0"/>
        </w:rPr>
        <w:tab/>
      </w:r>
      <w:r w:rsidRPr="008048D0">
        <w:rPr>
          <w:i/>
          <w:snapToGrid w:val="0"/>
        </w:rPr>
        <w:t>Adopta</w:t>
      </w:r>
      <w:r w:rsidRPr="008048D0">
        <w:rPr>
          <w:snapToGrid w:val="0"/>
        </w:rPr>
        <w:t xml:space="preserve"> la estrategia para la movilización de recursos para el período 2025-2030, que figura en el anexo I de la presente decisión;</w:t>
      </w:r>
    </w:p>
    <w:p w14:paraId="513DE3D0" w14:textId="317C22A0" w:rsidR="00E171FD" w:rsidRPr="008048D0" w:rsidRDefault="00E40EB7" w:rsidP="00223F8F">
      <w:pPr>
        <w:pStyle w:val="CBDNormalNoNumber"/>
        <w:ind w:left="567" w:firstLine="567"/>
        <w:rPr>
          <w:rFonts w:asciiTheme="majorBidi" w:hAnsiTheme="majorBidi" w:cstheme="majorBidi"/>
          <w:snapToGrid w:val="0"/>
          <w:kern w:val="22"/>
        </w:rPr>
      </w:pPr>
      <w:r w:rsidRPr="008048D0">
        <w:rPr>
          <w:rFonts w:asciiTheme="majorBidi" w:hAnsiTheme="majorBidi"/>
          <w:snapToGrid w:val="0"/>
        </w:rPr>
        <w:t>5.</w:t>
      </w:r>
      <w:r w:rsidRPr="008048D0">
        <w:rPr>
          <w:rFonts w:asciiTheme="majorBidi" w:hAnsiTheme="majorBidi"/>
          <w:snapToGrid w:val="0"/>
        </w:rPr>
        <w:tab/>
      </w:r>
      <w:r w:rsidRPr="008048D0">
        <w:rPr>
          <w:i/>
          <w:iCs/>
          <w:snapToGrid w:val="0"/>
        </w:rPr>
        <w:t>Alienta</w:t>
      </w:r>
      <w:r w:rsidRPr="008048D0">
        <w:rPr>
          <w:snapToGrid w:val="0"/>
        </w:rPr>
        <w:t xml:space="preserve"> a todas las Partes, otros Gobiernos, organizaciones, bancos multilaterales de desarrollo, el sector privado y otros interesados a utilizar la estrategia para la movilización de recursos como orientación flexible en la movilización de recursos nuevos y adicionales de todas las fuentes y en la armonización de las corrientes financieras para la aplicación del Convenio y sus Protocolos, así como para el logro de los objetivos y metas del Marco, en forma acorde con su nivel de ambición;</w:t>
      </w:r>
    </w:p>
    <w:p w14:paraId="0262865A" w14:textId="54AC5DC6" w:rsidR="00E171FD" w:rsidRPr="008048D0" w:rsidRDefault="00E40EB7" w:rsidP="00223F8F">
      <w:pPr>
        <w:pStyle w:val="CBDNormalNoNumber"/>
        <w:ind w:left="567" w:firstLine="567"/>
        <w:rPr>
          <w:rFonts w:asciiTheme="majorBidi" w:hAnsiTheme="majorBidi" w:cstheme="majorBidi"/>
          <w:snapToGrid w:val="0"/>
          <w:kern w:val="22"/>
        </w:rPr>
      </w:pPr>
      <w:r w:rsidRPr="008048D0">
        <w:rPr>
          <w:rFonts w:asciiTheme="majorBidi" w:hAnsiTheme="majorBidi"/>
          <w:snapToGrid w:val="0"/>
        </w:rPr>
        <w:t>6.</w:t>
      </w:r>
      <w:r w:rsidRPr="008048D0">
        <w:rPr>
          <w:rFonts w:asciiTheme="majorBidi" w:hAnsiTheme="majorBidi"/>
          <w:snapToGrid w:val="0"/>
        </w:rPr>
        <w:tab/>
      </w:r>
      <w:r w:rsidRPr="008048D0">
        <w:rPr>
          <w:i/>
          <w:iCs/>
        </w:rPr>
        <w:t>Pone de relieve</w:t>
      </w:r>
      <w:r w:rsidRPr="008048D0">
        <w:t xml:space="preserve"> que la estrategia para la movilización de recursos ha de aplicarse en forma coherente con las consideraciones establecidas en la sección C del Marco, teniendo en cuenta las circunstancias y prioridades nacionales, aclarando a la vez que la finalidad de la estrategia es alentar la acción sin afectar las obligaciones y mandatos existentes;</w:t>
      </w:r>
    </w:p>
    <w:p w14:paraId="6FBD3D6E" w14:textId="48B3557B" w:rsidR="00EC5BD8" w:rsidRPr="008048D0" w:rsidRDefault="00E40EB7" w:rsidP="00223F8F">
      <w:pPr>
        <w:pStyle w:val="CBDNormalNoNumber"/>
        <w:ind w:left="567" w:firstLine="567"/>
        <w:rPr>
          <w:snapToGrid w:val="0"/>
          <w:kern w:val="22"/>
        </w:rPr>
      </w:pPr>
      <w:r w:rsidRPr="008048D0">
        <w:rPr>
          <w:snapToGrid w:val="0"/>
        </w:rPr>
        <w:t>7.</w:t>
      </w:r>
      <w:r w:rsidRPr="008048D0">
        <w:rPr>
          <w:snapToGrid w:val="0"/>
        </w:rPr>
        <w:tab/>
      </w:r>
      <w:r w:rsidRPr="008048D0">
        <w:rPr>
          <w:i/>
          <w:iCs/>
        </w:rPr>
        <w:t>Recuerda</w:t>
      </w:r>
      <w:r w:rsidRPr="008048D0">
        <w:t xml:space="preserve"> su decisión de mantener bajo revisión la aplicación de la estrategia para la movilización de recursos en cada una de sus reuniones, a partir de la 17ª reunión, mediante el balance mundial</w:t>
      </w:r>
      <w:r w:rsidR="0001477D" w:rsidRPr="008048D0">
        <w:rPr>
          <w:rStyle w:val="FootnoteReference"/>
          <w:snapToGrid w:val="0"/>
          <w:kern w:val="22"/>
        </w:rPr>
        <w:footnoteReference w:id="5"/>
      </w:r>
      <w:r w:rsidRPr="008048D0">
        <w:t>, estableciendo un proceso iterativo para facilitar cualquier adaptación posterior de la estrategia y los arreglos institucionales para permitir la movilización oportuna de recursos en apoyo de la implementación del Marco para 2030</w:t>
      </w:r>
      <w:r w:rsidR="00EB64C5" w:rsidRPr="008048D0">
        <w:rPr>
          <w:rStyle w:val="FootnoteReference"/>
          <w:snapToGrid w:val="0"/>
        </w:rPr>
        <w:footnoteReference w:id="6"/>
      </w:r>
      <w:r w:rsidRPr="008048D0">
        <w:t>;</w:t>
      </w:r>
    </w:p>
    <w:p w14:paraId="4186D456" w14:textId="7610BF2E" w:rsidR="00E55BF9" w:rsidRPr="008048D0" w:rsidRDefault="00E40EB7" w:rsidP="00223F8F">
      <w:pPr>
        <w:pStyle w:val="CBDNormalNoNumber"/>
        <w:ind w:left="567" w:firstLine="567"/>
        <w:rPr>
          <w:snapToGrid w:val="0"/>
          <w:kern w:val="22"/>
        </w:rPr>
      </w:pPr>
      <w:r w:rsidRPr="008048D0">
        <w:rPr>
          <w:snapToGrid w:val="0"/>
        </w:rPr>
        <w:t>8.</w:t>
      </w:r>
      <w:r w:rsidRPr="008048D0">
        <w:rPr>
          <w:snapToGrid w:val="0"/>
        </w:rPr>
        <w:tab/>
      </w:r>
      <w:r w:rsidRPr="008048D0">
        <w:rPr>
          <w:i/>
          <w:iCs/>
        </w:rPr>
        <w:t>Invita</w:t>
      </w:r>
      <w:r w:rsidRPr="008048D0">
        <w:t xml:space="preserve"> a las Partes, así como a los pueblos indígenas y las comunidades locales, los gobiernos subnacionales, ciudades y otras autoridades locales, organizaciones intergubernamentales, otros acuerdos ambientales multilaterales, organizaciones no gubernamentales, representantes de las mujeres y la juventud, organizaciones de investigación, la comunidad empresarial y financiera y representantes de sectores relacionados con la diversidad biológica o que dependen de ella, a proporcionar información pertinente, en particular sobre buenas prácticas, innovaciones, desafíos y lecciones aprendidas, en consonancia con la decisión </w:t>
      </w:r>
      <w:hyperlink r:id="rId23" w:history="1">
        <w:r w:rsidRPr="008048D0">
          <w:rPr>
            <w:rStyle w:val="Hyperlink"/>
          </w:rPr>
          <w:t>15/6</w:t>
        </w:r>
      </w:hyperlink>
      <w:r w:rsidRPr="008048D0">
        <w:t>, de 19 de diciembre de 2022, a fin apoyar la revisión antes mencionada;</w:t>
      </w:r>
    </w:p>
    <w:p w14:paraId="6D2EA770" w14:textId="740F741F" w:rsidR="00E55BF9" w:rsidRPr="008048D0" w:rsidRDefault="00E40EB7" w:rsidP="00223F8F">
      <w:pPr>
        <w:pStyle w:val="CBDNormalNoNumber"/>
        <w:ind w:left="567" w:firstLine="567"/>
      </w:pPr>
      <w:r w:rsidRPr="008048D0">
        <w:t>9.</w:t>
      </w:r>
      <w:r w:rsidRPr="008048D0">
        <w:tab/>
      </w:r>
      <w:r w:rsidRPr="008048D0">
        <w:rPr>
          <w:i/>
        </w:rPr>
        <w:t>Insta</w:t>
      </w:r>
      <w:r w:rsidRPr="008048D0">
        <w:t xml:space="preserve"> a las Partes, el sector privado, instituciones financieras y bancos multilaterales de desarrollo a establecer y hacer cumplir salvaguardias sociales y ambientales y a aplicar un enfoque basado en los derechos humanos en la elaboración o ampliación de instrumentos de biodiversidad y financiación, en particular para planes innovadores, en consonancia con las directrices voluntarias sobre salvaguardias en los mecanismos de financiación de la diversidad biológica que figuran en el anexo III de la decisión </w:t>
      </w:r>
      <w:hyperlink r:id="rId24" w:history="1">
        <w:r w:rsidRPr="008048D0">
          <w:rPr>
            <w:rStyle w:val="Hyperlink"/>
          </w:rPr>
          <w:t>XII/3</w:t>
        </w:r>
      </w:hyperlink>
      <w:r w:rsidRPr="008048D0">
        <w:t>, de 17 de octubre de 2014, y en la decisión </w:t>
      </w:r>
      <w:hyperlink r:id="rId25" w:history="1">
        <w:r w:rsidRPr="008048D0">
          <w:rPr>
            <w:rStyle w:val="Hyperlink"/>
          </w:rPr>
          <w:t>14/15</w:t>
        </w:r>
      </w:hyperlink>
      <w:r w:rsidRPr="008048D0">
        <w:t>, de 29 de noviembre de 2018;</w:t>
      </w:r>
    </w:p>
    <w:p w14:paraId="6EE82C7E" w14:textId="37ACCC26" w:rsidR="007F6D8D" w:rsidRPr="008048D0" w:rsidRDefault="00E40EB7" w:rsidP="00223F8F">
      <w:pPr>
        <w:pStyle w:val="CBDNormalNoNumber"/>
        <w:ind w:left="567" w:firstLine="567"/>
      </w:pPr>
      <w:r w:rsidRPr="008048D0">
        <w:t>10.</w:t>
      </w:r>
      <w:r w:rsidRPr="008048D0">
        <w:tab/>
      </w:r>
      <w:r w:rsidRPr="008048D0">
        <w:rPr>
          <w:i/>
        </w:rPr>
        <w:t>Alienta</w:t>
      </w:r>
      <w:r w:rsidRPr="008048D0">
        <w:t xml:space="preserve"> a las Partes a elaborar, actualizar e implementar planes nacionales de financiación de la biodiversidad o instrumentos similares, sobre la base de sus estrategias y planes de acción nacionales en materia de biodiversidad y de una evaluación de los gastos en biodiversidad </w:t>
      </w:r>
      <w:r w:rsidRPr="008048D0">
        <w:lastRenderedPageBreak/>
        <w:t>y las necesidades de financiación, a fin de apoyar la movilización suficiente y oportuna de recursos nacionales e internacionales, y públicos y privados, para la implementación eficaz del Marco;</w:t>
      </w:r>
    </w:p>
    <w:p w14:paraId="1079BF1E" w14:textId="2BF4F756" w:rsidR="00CD51D0" w:rsidRPr="008048D0" w:rsidRDefault="00E40EB7" w:rsidP="00223F8F">
      <w:pPr>
        <w:pStyle w:val="CBDNormalNoNumber"/>
        <w:ind w:left="567" w:firstLine="567"/>
      </w:pPr>
      <w:r w:rsidRPr="008048D0">
        <w:t>11.</w:t>
      </w:r>
      <w:r w:rsidRPr="008048D0">
        <w:tab/>
      </w:r>
      <w:r w:rsidRPr="008048D0">
        <w:rPr>
          <w:i/>
        </w:rPr>
        <w:t>Alienta</w:t>
      </w:r>
      <w:r w:rsidRPr="008048D0">
        <w:t xml:space="preserve"> a las Partes que son Países desarrollados a reflejar en sus planes nacionales de financiación o instrumentos similares su contribución financiera a la aplicación del Convenio en las Partes que son países en desarrollo;</w:t>
      </w:r>
    </w:p>
    <w:p w14:paraId="031771FD" w14:textId="60C2364D" w:rsidR="00CD51D0" w:rsidRPr="008048D0" w:rsidRDefault="00E40EB7" w:rsidP="00223F8F">
      <w:pPr>
        <w:pStyle w:val="CBDNormalNoNumber"/>
        <w:ind w:left="567" w:firstLine="567"/>
      </w:pPr>
      <w:r w:rsidRPr="008048D0">
        <w:t>12.</w:t>
      </w:r>
      <w:r w:rsidRPr="008048D0">
        <w:tab/>
      </w:r>
      <w:r w:rsidRPr="008048D0">
        <w:rPr>
          <w:i/>
        </w:rPr>
        <w:t>Alienta</w:t>
      </w:r>
      <w:r w:rsidRPr="008048D0">
        <w:t xml:space="preserve"> a las Partes que son países en desarrollo, según proceda, a que en sus planes nacionales de financiación de la biodiversidad proporcionen información sobre el apoyo financiero, de desarrollo y transferencia de tecnología y de creación de capacidad requerido, recibido y utilizado para la implementación de sus estrategias y planes de acción nacionales en materia de biodiversidad;</w:t>
      </w:r>
    </w:p>
    <w:p w14:paraId="3042904D" w14:textId="15AA1080" w:rsidR="0062763F" w:rsidRPr="008048D0" w:rsidRDefault="00E40EB7" w:rsidP="00223F8F">
      <w:pPr>
        <w:pStyle w:val="CBDNormalNoNumber"/>
        <w:ind w:left="567" w:firstLine="567"/>
      </w:pPr>
      <w:r w:rsidRPr="008048D0">
        <w:t>13.</w:t>
      </w:r>
      <w:r w:rsidRPr="008048D0">
        <w:tab/>
      </w:r>
      <w:r w:rsidRPr="008048D0">
        <w:rPr>
          <w:i/>
        </w:rPr>
        <w:t>Alienta</w:t>
      </w:r>
      <w:r w:rsidRPr="008048D0">
        <w:t xml:space="preserve"> a todas las Partes, e invita a otros Gobiernos, a tener en consideración la estrategia para la movilización de recursos cuando elaboren, actualicen o implementen sus estrategias y planes de acción nacionales en materia de biodiversidad y metas nacionales, así como sus planes nacionales de financiación de la biodiversidad o instrumentos similares;</w:t>
      </w:r>
      <w:r w:rsidRPr="008048D0">
        <w:rPr>
          <w:rFonts w:asciiTheme="majorBidi" w:hAnsiTheme="majorBidi"/>
          <w:snapToGrid w:val="0"/>
        </w:rPr>
        <w:t xml:space="preserve"> </w:t>
      </w:r>
    </w:p>
    <w:p w14:paraId="5E4409C9" w14:textId="4230FBF6" w:rsidR="00B91324" w:rsidRPr="008048D0" w:rsidRDefault="00E40EB7" w:rsidP="00223F8F">
      <w:pPr>
        <w:pStyle w:val="CBDNormalNoNumber"/>
        <w:ind w:left="567" w:firstLine="567"/>
        <w:rPr>
          <w:snapToGrid w:val="0"/>
          <w:kern w:val="22"/>
        </w:rPr>
      </w:pPr>
      <w:r w:rsidRPr="008048D0">
        <w:rPr>
          <w:snapToGrid w:val="0"/>
        </w:rPr>
        <w:t>14.</w:t>
      </w:r>
      <w:r w:rsidRPr="008048D0">
        <w:rPr>
          <w:snapToGrid w:val="0"/>
        </w:rPr>
        <w:tab/>
      </w:r>
      <w:r w:rsidRPr="008048D0">
        <w:rPr>
          <w:i/>
        </w:rPr>
        <w:t>Reconoce</w:t>
      </w:r>
      <w:r w:rsidRPr="008048D0">
        <w:t xml:space="preserve"> la labor en curso desarrollada por </w:t>
      </w:r>
      <w:r w:rsidRPr="008048D0">
        <w:rPr>
          <w:snapToGrid w:val="0"/>
        </w:rPr>
        <w:t>todos los actores</w:t>
      </w:r>
      <w:r w:rsidRPr="008048D0">
        <w:t xml:space="preserve"> para profundizar, simplificar, reformar y aprovechar sinergias entre instrumentos de financiación de la biodiversidad existentes, con miras a subsanar el déficit de financiación de la biodiversidad;</w:t>
      </w:r>
    </w:p>
    <w:p w14:paraId="337F21A2" w14:textId="4777A823" w:rsidR="00B91324" w:rsidRPr="008048D0" w:rsidRDefault="00E40EB7" w:rsidP="00223F8F">
      <w:pPr>
        <w:pStyle w:val="CBDNormalNoNumber"/>
        <w:ind w:left="567" w:firstLine="567"/>
        <w:rPr>
          <w:snapToGrid w:val="0"/>
          <w:kern w:val="22"/>
        </w:rPr>
      </w:pPr>
      <w:r w:rsidRPr="008048D0">
        <w:rPr>
          <w:snapToGrid w:val="0"/>
        </w:rPr>
        <w:t>15.</w:t>
      </w:r>
      <w:r w:rsidRPr="008048D0">
        <w:rPr>
          <w:snapToGrid w:val="0"/>
        </w:rPr>
        <w:tab/>
      </w:r>
      <w:r w:rsidRPr="008048D0">
        <w:rPr>
          <w:i/>
          <w:color w:val="000000" w:themeColor="text1"/>
        </w:rPr>
        <w:t>Reconoce</w:t>
      </w:r>
      <w:r w:rsidRPr="008048D0">
        <w:rPr>
          <w:color w:val="000000" w:themeColor="text1"/>
        </w:rPr>
        <w:t xml:space="preserve"> que también se han adoptado estrategias para la movilización de recursos en el marco de las otras convenciones de Río y de otros convenios y acuerdos multilaterales relacionados con la diversidad biológica, y alienta a profundizar la cooperación y las sinergias en su aplicación, convencida de la necesidad de aumentar significativamente la transparencia en la contabilidad y la presentación de informes de las contribuciones financieras como parte de los esfuerzos tendientes a optimizar los beneficios secundarios y las sinergias, en consonancia con los mandatos de los respectivos acuerdos ambientales multilaterales</w:t>
      </w:r>
      <w:r w:rsidRPr="008048D0">
        <w:rPr>
          <w:color w:val="000000" w:themeColor="text1"/>
          <w:shd w:val="clear" w:color="auto" w:fill="FFFFFF"/>
        </w:rPr>
        <w:t>;</w:t>
      </w:r>
    </w:p>
    <w:p w14:paraId="32D981E6" w14:textId="23E21620" w:rsidR="00A65F4F" w:rsidRPr="008048D0" w:rsidRDefault="00E40EB7" w:rsidP="00223F8F">
      <w:pPr>
        <w:pStyle w:val="CBDNormalNoNumber"/>
        <w:ind w:left="567" w:firstLine="567"/>
        <w:rPr>
          <w:rFonts w:asciiTheme="majorBidi" w:hAnsiTheme="majorBidi" w:cstheme="majorBidi"/>
          <w:color w:val="000000" w:themeColor="text1"/>
        </w:rPr>
      </w:pPr>
      <w:bookmarkStart w:id="0" w:name="_Hlk167653137"/>
      <w:r w:rsidRPr="008048D0">
        <w:rPr>
          <w:rFonts w:asciiTheme="majorBidi" w:hAnsiTheme="majorBidi"/>
          <w:color w:val="000000" w:themeColor="text1"/>
        </w:rPr>
        <w:t>16.</w:t>
      </w:r>
      <w:r w:rsidRPr="008048D0">
        <w:rPr>
          <w:rFonts w:asciiTheme="majorBidi" w:hAnsiTheme="majorBidi"/>
          <w:color w:val="000000" w:themeColor="text1"/>
        </w:rPr>
        <w:tab/>
      </w:r>
      <w:r w:rsidRPr="008048D0">
        <w:rPr>
          <w:i/>
        </w:rPr>
        <w:t>Exhorta</w:t>
      </w:r>
      <w:r w:rsidRPr="008048D0">
        <w:t xml:space="preserve"> a las Partes que son países desarrollados y a las Partes que asuman voluntariamente las obligaciones de las Partes que son países desarrollados, e invita a otros Gobiernos, así como a contribuyentes no soberanos, como el sector privado y organizaciones filantrópicas, a realizar contribuciones al Fondo para el Marco Mundial de Biodiversidad o a aumentarlas</w:t>
      </w:r>
      <w:r w:rsidRPr="008048D0">
        <w:rPr>
          <w:rFonts w:asciiTheme="majorBidi" w:hAnsiTheme="majorBidi"/>
        </w:rPr>
        <w:t>;</w:t>
      </w:r>
      <w:bookmarkEnd w:id="0"/>
    </w:p>
    <w:p w14:paraId="71EBDC64" w14:textId="1AF023BA" w:rsidR="00531710" w:rsidRPr="008048D0" w:rsidRDefault="00E40EB7" w:rsidP="00223F8F">
      <w:pPr>
        <w:pStyle w:val="CBDNormalNoNumber"/>
        <w:ind w:left="567" w:firstLine="567"/>
        <w:rPr>
          <w:snapToGrid w:val="0"/>
          <w:kern w:val="22"/>
        </w:rPr>
      </w:pPr>
      <w:r w:rsidRPr="008048D0">
        <w:rPr>
          <w:snapToGrid w:val="0"/>
        </w:rPr>
        <w:t>17.</w:t>
      </w:r>
      <w:r w:rsidRPr="008048D0">
        <w:rPr>
          <w:snapToGrid w:val="0"/>
        </w:rPr>
        <w:tab/>
      </w:r>
      <w:r w:rsidRPr="008048D0">
        <w:rPr>
          <w:i/>
        </w:rPr>
        <w:t>Exhorta</w:t>
      </w:r>
      <w:r w:rsidRPr="008048D0">
        <w:t xml:space="preserve"> a las Partes y a otros actores pertinentes a mejorar el acceso de los pueblos indígenas y las comunidades locales, las mujeres y la juventud a los recursos financieros, y a aumentar los recursos financieros que se destinan a ellos, para la implementación del Marco;</w:t>
      </w:r>
    </w:p>
    <w:p w14:paraId="20A992C2" w14:textId="1F7EBD70" w:rsidR="007A76E4" w:rsidRPr="008048D0" w:rsidRDefault="00E40EB7" w:rsidP="00223F8F">
      <w:pPr>
        <w:pStyle w:val="CBDNormalNoNumber"/>
        <w:ind w:left="567" w:firstLine="567"/>
        <w:rPr>
          <w:color w:val="000000" w:themeColor="text1"/>
          <w:kern w:val="22"/>
        </w:rPr>
      </w:pPr>
      <w:r w:rsidRPr="008048D0">
        <w:rPr>
          <w:color w:val="000000" w:themeColor="text1"/>
        </w:rPr>
        <w:t>18.</w:t>
      </w:r>
      <w:r w:rsidRPr="008048D0">
        <w:rPr>
          <w:color w:val="000000" w:themeColor="text1"/>
        </w:rPr>
        <w:tab/>
      </w:r>
      <w:r w:rsidRPr="008048D0">
        <w:rPr>
          <w:i/>
        </w:rPr>
        <w:t>Observa</w:t>
      </w:r>
      <w:r w:rsidRPr="008048D0">
        <w:t xml:space="preserve"> que ninguna Parte respondió a la notificación</w:t>
      </w:r>
      <w:r w:rsidR="006D1FB9" w:rsidRPr="008048D0">
        <w:rPr>
          <w:rStyle w:val="FootnoteReference"/>
          <w:snapToGrid w:val="0"/>
          <w:kern w:val="22"/>
        </w:rPr>
        <w:footnoteReference w:id="7"/>
      </w:r>
      <w:r w:rsidRPr="008048D0">
        <w:t xml:space="preserve"> emitida por la Secretaria Ejecutiva conforme al pedido formulado en el apartado 47 b) de la decisión </w:t>
      </w:r>
      <w:hyperlink r:id="rId26" w:history="1">
        <w:r w:rsidRPr="008048D0">
          <w:rPr>
            <w:rStyle w:val="Hyperlink"/>
            <w:snapToGrid w:val="0"/>
          </w:rPr>
          <w:t>15/7</w:t>
        </w:r>
      </w:hyperlink>
      <w:r w:rsidRPr="008048D0">
        <w:t>, con arreglo a lo dispuesto en el artículo 20, y, al respecto, pide a la Secretaria Ejecutiva que considere cuál sería la periodicidad más adecuada para emitir una nueva ronda de notificaciones, para que sea considerada por el Órgano Subsidiario sobre la Aplicación en su sexta reunión;</w:t>
      </w:r>
      <w:bookmarkStart w:id="1" w:name="_Hlk191470525"/>
      <w:r w:rsidRPr="008048D0">
        <w:rPr>
          <w:color w:val="000000" w:themeColor="text1"/>
        </w:rPr>
        <w:t xml:space="preserve"> </w:t>
      </w:r>
    </w:p>
    <w:p w14:paraId="728D8547" w14:textId="66DBC301" w:rsidR="00E53BD2" w:rsidRPr="008048D0" w:rsidRDefault="00E40EB7" w:rsidP="00223F8F">
      <w:pPr>
        <w:pStyle w:val="CBDNormalNoNumber"/>
        <w:ind w:left="567" w:firstLine="567"/>
        <w:rPr>
          <w:rFonts w:asciiTheme="majorBidi" w:hAnsiTheme="majorBidi" w:cstheme="majorBidi"/>
          <w:color w:val="000000" w:themeColor="text1"/>
        </w:rPr>
      </w:pPr>
      <w:bookmarkStart w:id="2" w:name="_Hlk191481427"/>
      <w:r w:rsidRPr="008048D0">
        <w:rPr>
          <w:rFonts w:asciiTheme="majorBidi" w:hAnsiTheme="majorBidi"/>
          <w:color w:val="000000" w:themeColor="text1"/>
        </w:rPr>
        <w:t>19.</w:t>
      </w:r>
      <w:r w:rsidRPr="008048D0">
        <w:rPr>
          <w:rFonts w:asciiTheme="majorBidi" w:hAnsiTheme="majorBidi"/>
          <w:color w:val="000000" w:themeColor="text1"/>
        </w:rPr>
        <w:tab/>
      </w:r>
      <w:r w:rsidRPr="008048D0">
        <w:rPr>
          <w:i/>
        </w:rPr>
        <w:t xml:space="preserve">Decide </w:t>
      </w:r>
      <w:r w:rsidRPr="008048D0">
        <w:t xml:space="preserve">aplicar los artículos </w:t>
      </w:r>
      <w:hyperlink r:id="rId27" w:history="1">
        <w:r w:rsidRPr="008048D0">
          <w:rPr>
            <w:rStyle w:val="Hyperlink"/>
            <w:rFonts w:asciiTheme="majorBidi" w:hAnsiTheme="majorBidi"/>
          </w:rPr>
          <w:t>21</w:t>
        </w:r>
      </w:hyperlink>
      <w:r w:rsidRPr="008048D0">
        <w:t xml:space="preserve"> y </w:t>
      </w:r>
      <w:hyperlink r:id="rId28" w:history="1">
        <w:r w:rsidRPr="008048D0">
          <w:rPr>
            <w:rStyle w:val="Hyperlink"/>
            <w:rFonts w:asciiTheme="majorBidi" w:hAnsiTheme="majorBidi"/>
          </w:rPr>
          <w:t>39</w:t>
        </w:r>
      </w:hyperlink>
      <w:r w:rsidRPr="008048D0">
        <w:t xml:space="preserve"> del Convenio y abordar el déficit de la financiación mundial de la biodiversidad para 2030, mediante lo siguiente:</w:t>
      </w:r>
      <w:bookmarkEnd w:id="2"/>
    </w:p>
    <w:p w14:paraId="3655BEF7" w14:textId="5E16B79E" w:rsidR="004643FD" w:rsidRPr="008048D0" w:rsidRDefault="00E40EB7" w:rsidP="00223F8F">
      <w:pPr>
        <w:pStyle w:val="CBDNormalNoNumber"/>
        <w:ind w:left="567" w:firstLine="567"/>
        <w:rPr>
          <w:rFonts w:asciiTheme="majorBidi" w:hAnsiTheme="majorBidi" w:cstheme="majorBidi"/>
          <w:color w:val="000000" w:themeColor="text1"/>
        </w:rPr>
      </w:pPr>
      <w:r w:rsidRPr="008048D0">
        <w:t>a)</w:t>
      </w:r>
      <w:r w:rsidRPr="008048D0">
        <w:tab/>
        <w:t xml:space="preserve">El establecimiento del acuerdo permanente para el mecanismo financiero previsto en el artículo </w:t>
      </w:r>
      <w:hyperlink r:id="rId29" w:history="1">
        <w:r w:rsidRPr="008048D0">
          <w:rPr>
            <w:rStyle w:val="Hyperlink"/>
            <w:rFonts w:asciiTheme="majorBidi" w:hAnsiTheme="majorBidi"/>
          </w:rPr>
          <w:t>21</w:t>
        </w:r>
      </w:hyperlink>
      <w:r w:rsidRPr="008048D0">
        <w:t xml:space="preserve"> del Convenio;</w:t>
      </w:r>
    </w:p>
    <w:p w14:paraId="2FEAC3B7" w14:textId="14D3498C" w:rsidR="00C5279C" w:rsidRPr="008048D0" w:rsidRDefault="00E40EB7" w:rsidP="00223F8F">
      <w:pPr>
        <w:pStyle w:val="CBDNormalNoNumber"/>
        <w:ind w:left="567" w:firstLine="567"/>
        <w:rPr>
          <w:rFonts w:asciiTheme="majorBidi" w:hAnsiTheme="majorBidi" w:cstheme="majorBidi"/>
          <w:color w:val="000000" w:themeColor="text1"/>
        </w:rPr>
      </w:pPr>
      <w:r w:rsidRPr="008048D0">
        <w:rPr>
          <w:color w:val="000000" w:themeColor="text1"/>
        </w:rPr>
        <w:t>b)</w:t>
      </w:r>
      <w:r w:rsidRPr="008048D0">
        <w:rPr>
          <w:color w:val="000000" w:themeColor="text1"/>
        </w:rPr>
        <w:tab/>
        <w:t>La evaluación y mejora de la movilización de financiación de todas las fuentes;</w:t>
      </w:r>
    </w:p>
    <w:p w14:paraId="422AF9DE" w14:textId="1778AA84" w:rsidR="00C3026A" w:rsidRPr="008048D0" w:rsidDel="00630F3B" w:rsidRDefault="00F04538" w:rsidP="008048D0">
      <w:pPr>
        <w:pStyle w:val="CBDNormalNoNumber"/>
        <w:keepNext/>
        <w:ind w:left="567" w:firstLine="567"/>
        <w:rPr>
          <w:rFonts w:asciiTheme="majorBidi" w:hAnsiTheme="majorBidi" w:cstheme="majorBidi"/>
          <w:color w:val="000000" w:themeColor="text1"/>
        </w:rPr>
      </w:pPr>
      <w:r w:rsidRPr="008048D0">
        <w:rPr>
          <w:rFonts w:asciiTheme="majorBidi" w:hAnsiTheme="majorBidi"/>
          <w:color w:val="000000" w:themeColor="text1"/>
        </w:rPr>
        <w:lastRenderedPageBreak/>
        <w:t>20.</w:t>
      </w:r>
      <w:r w:rsidRPr="008048D0">
        <w:tab/>
      </w:r>
      <w:r w:rsidRPr="008048D0">
        <w:rPr>
          <w:rFonts w:asciiTheme="majorBidi" w:hAnsiTheme="majorBidi"/>
          <w:i/>
          <w:color w:val="000000" w:themeColor="text1"/>
        </w:rPr>
        <w:t xml:space="preserve">Reconoce </w:t>
      </w:r>
      <w:r w:rsidRPr="008048D0">
        <w:rPr>
          <w:rFonts w:asciiTheme="majorBidi" w:hAnsiTheme="majorBidi"/>
          <w:color w:val="000000" w:themeColor="text1"/>
        </w:rPr>
        <w:t>que, además de una estrategia para la movilización de recursos y en apoyo de ella, las medidas que se describen a continuación pueden contribuir aún más a abordar el déficit mundial de financiación de la biodiversidad:</w:t>
      </w:r>
    </w:p>
    <w:p w14:paraId="47508D7E" w14:textId="0589DBE7" w:rsidR="00F04538" w:rsidRPr="008048D0" w:rsidRDefault="00F04538" w:rsidP="00223F8F">
      <w:pPr>
        <w:pStyle w:val="CBDNormalNoNumber"/>
        <w:ind w:left="567" w:firstLine="567"/>
        <w:rPr>
          <w:snapToGrid w:val="0"/>
          <w:color w:val="000000" w:themeColor="text1"/>
          <w:kern w:val="22"/>
        </w:rPr>
      </w:pPr>
      <w:r w:rsidRPr="008048D0">
        <w:t>a)</w:t>
      </w:r>
      <w:r w:rsidRPr="008048D0">
        <w:tab/>
        <w:t>Mejorar la coordinación y la complementariedad entre los instrumentos, así como las condiciones propicias para estos, en todo el panorama mundial de la financiación de la biodiversidad, de manera de aprovechar las sinergias, como por ejemplo con bancos multilaterales de desarrollo;</w:t>
      </w:r>
    </w:p>
    <w:p w14:paraId="00D58650" w14:textId="6942C3E3" w:rsidR="00630F3B" w:rsidRPr="008048D0" w:rsidRDefault="00C3026A" w:rsidP="00223F8F">
      <w:pPr>
        <w:pStyle w:val="CBDNormalNoNumber"/>
        <w:ind w:left="567" w:firstLine="567"/>
        <w:rPr>
          <w:snapToGrid w:val="0"/>
          <w:color w:val="000000" w:themeColor="text1"/>
          <w:kern w:val="22"/>
        </w:rPr>
      </w:pPr>
      <w:r w:rsidRPr="008048D0">
        <w:t>b)</w:t>
      </w:r>
      <w:r w:rsidRPr="008048D0">
        <w:tab/>
      </w:r>
      <w:r w:rsidRPr="008048D0">
        <w:rPr>
          <w:rFonts w:asciiTheme="majorBidi" w:hAnsiTheme="majorBidi"/>
          <w:color w:val="000000" w:themeColor="text1"/>
        </w:rPr>
        <w:t xml:space="preserve">Crear y mejorar las capacidades para movilizar recursos financieros de todas las fuentes, en consonancia con el </w:t>
      </w:r>
      <w:r w:rsidRPr="008048D0">
        <w:t>Marco;</w:t>
      </w:r>
    </w:p>
    <w:p w14:paraId="4257C2BC" w14:textId="5BD741AD" w:rsidR="00630F3B" w:rsidRPr="008048D0" w:rsidRDefault="00630F3B" w:rsidP="00223F8F">
      <w:pPr>
        <w:pStyle w:val="CBDNormalNoNumber"/>
        <w:ind w:left="567" w:firstLine="567"/>
        <w:rPr>
          <w:snapToGrid w:val="0"/>
          <w:color w:val="000000" w:themeColor="text1"/>
          <w:kern w:val="22"/>
        </w:rPr>
      </w:pPr>
      <w:r w:rsidRPr="008048D0">
        <w:t>c)</w:t>
      </w:r>
      <w:r w:rsidRPr="008048D0">
        <w:tab/>
        <w:t>Mejorar la eficacia, el seguimiento, la transparencia y la rendición de cuentas en relación con los recursos movilizados en el panorama mundial de la financiación de la biodiversidad;</w:t>
      </w:r>
    </w:p>
    <w:p w14:paraId="242C392D" w14:textId="5E5F23E8" w:rsidR="00630F3B" w:rsidRPr="008048D0" w:rsidRDefault="00630F3B" w:rsidP="00223F8F">
      <w:pPr>
        <w:pStyle w:val="CBDNormalNoNumber"/>
        <w:ind w:left="567" w:firstLine="567"/>
        <w:rPr>
          <w:snapToGrid w:val="0"/>
          <w:color w:val="000000" w:themeColor="text1"/>
          <w:kern w:val="22"/>
        </w:rPr>
      </w:pPr>
      <w:r w:rsidRPr="008048D0">
        <w:t>d)</w:t>
      </w:r>
      <w:r w:rsidRPr="008048D0">
        <w:tab/>
        <w:t>Mejorar el suministro de apoyo financiero oportuno y accesible a las Partes que son países en desarrollo, en particular los países menos adelantados y los pequeños Estados insulares en desarrollo, y las Partes con economías en transición, para la aplicación del Convenio y, según proceda, de sus Protocolos, de conformidad con las necesidades y prioridades que se hayan señalado;</w:t>
      </w:r>
    </w:p>
    <w:p w14:paraId="56C6AE0D" w14:textId="7FA8F470" w:rsidR="009B52CD" w:rsidRPr="008048D0" w:rsidRDefault="00630F3B" w:rsidP="00223F8F">
      <w:pPr>
        <w:pStyle w:val="CBDNormalNoNumber"/>
        <w:ind w:left="567" w:firstLine="567"/>
        <w:rPr>
          <w:rFonts w:asciiTheme="majorBidi" w:hAnsiTheme="majorBidi" w:cstheme="majorBidi"/>
          <w:color w:val="000000" w:themeColor="text1"/>
        </w:rPr>
      </w:pPr>
      <w:r w:rsidRPr="008048D0">
        <w:t>e)</w:t>
      </w:r>
      <w:r w:rsidRPr="008048D0">
        <w:tab/>
        <w:t>Mejorar el suministro de apoyo financiero oportuno y accesible a los pueblos indígenas y a las comunidades locales, en consonancia con la legislación y los marcos normativos nacionales, para la aplicación del Convenio y, según proceda, sus Protocolos;</w:t>
      </w:r>
    </w:p>
    <w:p w14:paraId="13D96911" w14:textId="13F371B4" w:rsidR="009B52CD" w:rsidRPr="008048D0" w:rsidRDefault="009B52CD" w:rsidP="00223F8F">
      <w:pPr>
        <w:pStyle w:val="CBDNormalNoNumber"/>
        <w:keepNext/>
        <w:ind w:left="562" w:firstLine="562"/>
        <w:rPr>
          <w:rFonts w:asciiTheme="majorBidi" w:hAnsiTheme="majorBidi" w:cstheme="majorBidi"/>
          <w:color w:val="000000" w:themeColor="text1"/>
        </w:rPr>
      </w:pPr>
      <w:r w:rsidRPr="008048D0">
        <w:rPr>
          <w:rFonts w:asciiTheme="majorBidi" w:hAnsiTheme="majorBidi"/>
          <w:color w:val="000000" w:themeColor="text1"/>
        </w:rPr>
        <w:t>21.</w:t>
      </w:r>
      <w:r w:rsidRPr="008048D0">
        <w:tab/>
      </w:r>
      <w:r w:rsidRPr="008048D0">
        <w:rPr>
          <w:i/>
        </w:rPr>
        <w:t xml:space="preserve">Reconoce también </w:t>
      </w:r>
      <w:r w:rsidRPr="008048D0">
        <w:t xml:space="preserve">que el funcionamiento del mecanismo financiero previsto en el artículo </w:t>
      </w:r>
      <w:hyperlink r:id="rId30" w:history="1">
        <w:r w:rsidRPr="008048D0">
          <w:rPr>
            <w:rStyle w:val="Hyperlink"/>
            <w:rFonts w:asciiTheme="majorBidi" w:hAnsiTheme="majorBidi"/>
          </w:rPr>
          <w:t>21</w:t>
        </w:r>
      </w:hyperlink>
      <w:r w:rsidRPr="008048D0">
        <w:t xml:space="preserve"> del Convenio puede confiarse a una o varias entidades, sean estas nuevas, reformadas o existentes, que formarían una estructura institucional que cumpliría al menos los siguientes criterios:</w:t>
      </w:r>
    </w:p>
    <w:p w14:paraId="20D51CC4" w14:textId="72665522" w:rsidR="009B52CD" w:rsidRPr="008048D0" w:rsidRDefault="00E40EB7" w:rsidP="00223F8F">
      <w:pPr>
        <w:pStyle w:val="CBDNormalNoNumber"/>
        <w:ind w:left="567" w:firstLine="567"/>
      </w:pPr>
      <w:r w:rsidRPr="008048D0">
        <w:t>a)</w:t>
      </w:r>
      <w:r w:rsidRPr="008048D0">
        <w:tab/>
        <w:t xml:space="preserve">Funciona a los efectos de la aplicación del Convenio y sus Protocolos; </w:t>
      </w:r>
    </w:p>
    <w:p w14:paraId="2ABD56E2" w14:textId="5ADCFB80" w:rsidR="009B52CD" w:rsidRPr="008048D0" w:rsidRDefault="009B52CD" w:rsidP="00223F8F">
      <w:pPr>
        <w:pStyle w:val="CBDNormalNoNumber"/>
        <w:ind w:left="567" w:firstLine="567"/>
      </w:pPr>
      <w:r w:rsidRPr="008048D0">
        <w:t>b)</w:t>
      </w:r>
      <w:r w:rsidRPr="008048D0">
        <w:tab/>
        <w:t>Está bajo la autoridad y orientación de la Conferencia de las Partes y es responsable ante esta;</w:t>
      </w:r>
    </w:p>
    <w:p w14:paraId="3CBAE11C" w14:textId="6AA94AF8" w:rsidR="009B52CD" w:rsidRPr="008048D0" w:rsidRDefault="009B52CD" w:rsidP="00223F8F">
      <w:pPr>
        <w:pStyle w:val="CBDNormalNoNumber"/>
        <w:ind w:left="567" w:firstLine="567"/>
        <w:rPr>
          <w:rFonts w:asciiTheme="majorBidi" w:hAnsiTheme="majorBidi" w:cstheme="majorBidi"/>
          <w:color w:val="000000" w:themeColor="text1"/>
        </w:rPr>
      </w:pPr>
      <w:r w:rsidRPr="008048D0">
        <w:t>c)</w:t>
      </w:r>
      <w:r w:rsidRPr="008048D0">
        <w:tab/>
        <w:t>Funciona dentro de un sistema de gobernanza democrático y transparente, garantizando una estructura que es justa, equitativa, inclusiva, eficiente y representativa;</w:t>
      </w:r>
      <w:r w:rsidRPr="008048D0">
        <w:rPr>
          <w:rFonts w:asciiTheme="majorBidi" w:hAnsiTheme="majorBidi"/>
          <w:color w:val="000000" w:themeColor="text1"/>
        </w:rPr>
        <w:t xml:space="preserve"> </w:t>
      </w:r>
    </w:p>
    <w:p w14:paraId="685AD42C" w14:textId="50BDC846" w:rsidR="009B52CD" w:rsidRPr="008048D0" w:rsidRDefault="009B52CD" w:rsidP="00223F8F">
      <w:pPr>
        <w:pStyle w:val="CBDNormalNoNumber"/>
        <w:ind w:left="567" w:firstLine="567"/>
        <w:rPr>
          <w:rFonts w:asciiTheme="majorBidi" w:hAnsiTheme="majorBidi" w:cstheme="majorBidi"/>
          <w:color w:val="000000" w:themeColor="text1"/>
        </w:rPr>
      </w:pPr>
      <w:r w:rsidRPr="008048D0">
        <w:t>d)</w:t>
      </w:r>
      <w:r w:rsidRPr="008048D0">
        <w:tab/>
        <w:t>Es accesible para todas las Partes en el Convenio que reúnan las condiciones de manera justa, oportuna, simplificada, equitativa, inclusiva y no discriminatoria;</w:t>
      </w:r>
    </w:p>
    <w:p w14:paraId="0DFFFA20" w14:textId="451161C4" w:rsidR="00BA290F" w:rsidRPr="008048D0" w:rsidRDefault="00BA290F" w:rsidP="00223F8F">
      <w:pPr>
        <w:pStyle w:val="CBDNormalNoNumber"/>
        <w:ind w:left="567" w:firstLine="567"/>
        <w:rPr>
          <w:rFonts w:asciiTheme="majorBidi" w:hAnsiTheme="majorBidi" w:cstheme="majorBidi"/>
          <w:color w:val="000000" w:themeColor="text1"/>
        </w:rPr>
      </w:pPr>
      <w:r w:rsidRPr="008048D0">
        <w:rPr>
          <w:rFonts w:asciiTheme="majorBidi" w:hAnsiTheme="majorBidi"/>
          <w:color w:val="000000" w:themeColor="text1"/>
        </w:rPr>
        <w:t>22.</w:t>
      </w:r>
      <w:r w:rsidRPr="008048D0">
        <w:tab/>
      </w:r>
      <w:r w:rsidRPr="008048D0">
        <w:rPr>
          <w:i/>
        </w:rPr>
        <w:t>Decide</w:t>
      </w:r>
      <w:r w:rsidRPr="008048D0">
        <w:t xml:space="preserve"> establecer un proceso para el período entre reuniones a fin de cumplir el mandato establecido en el apartado 19 a) sobre la base de la siguiente hoja de ruta inicial:</w:t>
      </w:r>
    </w:p>
    <w:p w14:paraId="7D859B30" w14:textId="080C56FA" w:rsidR="00792617" w:rsidRPr="008048D0" w:rsidRDefault="00BA290F" w:rsidP="00223F8F">
      <w:pPr>
        <w:pStyle w:val="CBDNormalNoNumber"/>
        <w:ind w:left="567" w:firstLine="567"/>
        <w:rPr>
          <w:rFonts w:asciiTheme="majorBidi" w:hAnsiTheme="majorBidi" w:cstheme="majorBidi"/>
          <w:color w:val="000000" w:themeColor="text1"/>
        </w:rPr>
      </w:pPr>
      <w:r w:rsidRPr="008048D0">
        <w:t>a)</w:t>
      </w:r>
      <w:r w:rsidRPr="008048D0">
        <w:tab/>
        <w:t>Para la 17ª reunión de la Conferencia de las Partes, se elaboran más detalladamente los criterios para la estructura institucional encargada del funcionamiento del mecanismo financiero, teniendo en consideración la recopilación de opiniones que figura en el anexo II de la presente decisión;</w:t>
      </w:r>
    </w:p>
    <w:p w14:paraId="40C3226A" w14:textId="5C716227" w:rsidR="00792617" w:rsidRPr="008048D0" w:rsidRDefault="00BA290F" w:rsidP="00223F8F">
      <w:pPr>
        <w:pStyle w:val="CBDNormalNoNumber"/>
        <w:ind w:left="567" w:firstLine="567"/>
      </w:pPr>
      <w:r w:rsidRPr="008048D0">
        <w:t>b)</w:t>
      </w:r>
      <w:r w:rsidRPr="008048D0">
        <w:tab/>
        <w:t xml:space="preserve">Para la 18ª reunión de la Conferencia de las Partes o en esa reunión: </w:t>
      </w:r>
    </w:p>
    <w:p w14:paraId="048E5C39" w14:textId="3611F475" w:rsidR="00792617" w:rsidRPr="008048D0" w:rsidRDefault="00051BE5" w:rsidP="00223F8F">
      <w:pPr>
        <w:pStyle w:val="CBDNormalNoNumber"/>
        <w:ind w:left="1701" w:hanging="567"/>
      </w:pPr>
      <w:r w:rsidRPr="008048D0">
        <w:t>i)</w:t>
      </w:r>
      <w:r w:rsidRPr="008048D0">
        <w:tab/>
        <w:t>Si procede, se lleva a cabo una revisión de los progresos realizados en la reforma de las entidades financieras existentes pertinentes para que se ajusten a los criterios señalados en el apartado a) anterior</w:t>
      </w:r>
      <w:r w:rsidR="00D74E96" w:rsidRPr="008048D0">
        <w:rPr>
          <w:rStyle w:val="FootnoteReference"/>
          <w:rFonts w:asciiTheme="majorBidi" w:hAnsiTheme="majorBidi" w:cstheme="majorBidi"/>
          <w:color w:val="000000" w:themeColor="text1"/>
        </w:rPr>
        <w:footnoteReference w:id="8"/>
      </w:r>
      <w:r w:rsidRPr="008048D0">
        <w:t xml:space="preserve">; </w:t>
      </w:r>
    </w:p>
    <w:p w14:paraId="132516CB" w14:textId="2A7A6B01" w:rsidR="00792617" w:rsidRPr="008048D0" w:rsidRDefault="00051BE5" w:rsidP="00223F8F">
      <w:pPr>
        <w:suppressLineNumbers/>
        <w:suppressAutoHyphens/>
        <w:kinsoku w:val="0"/>
        <w:overflowPunct w:val="0"/>
        <w:autoSpaceDE w:val="0"/>
        <w:autoSpaceDN w:val="0"/>
        <w:adjustRightInd w:val="0"/>
        <w:snapToGrid w:val="0"/>
        <w:spacing w:before="120" w:after="120"/>
        <w:ind w:left="1700" w:hanging="562"/>
      </w:pPr>
      <w:r w:rsidRPr="008048D0">
        <w:t>ii)</w:t>
      </w:r>
      <w:r w:rsidRPr="008048D0">
        <w:tab/>
        <w:t xml:space="preserve">Se toma una decisión acerca de si se crea una nueva entidad encargada del funcionamiento del mecanismo financiero, ya sea por sí misma o junto a una entidad o entidades existentes, o si se confirma a una entidad o entidades existentes en esa función; </w:t>
      </w:r>
    </w:p>
    <w:p w14:paraId="6C1F373F" w14:textId="356FD896" w:rsidR="00792617" w:rsidRPr="008048D0" w:rsidRDefault="00051BE5" w:rsidP="00223F8F">
      <w:pPr>
        <w:pStyle w:val="CBDNormalNoNumber"/>
        <w:ind w:left="1701" w:hanging="567"/>
      </w:pPr>
      <w:r w:rsidRPr="008048D0">
        <w:t>iii)</w:t>
      </w:r>
      <w:r w:rsidRPr="008048D0">
        <w:tab/>
        <w:t>Si procede, se establece un proceso para el período entre reuniones para elaborar el mandato y las modalidades de una nueva entidad sobre la base de los criterios elaborados en el apartado a) anterior;</w:t>
      </w:r>
    </w:p>
    <w:p w14:paraId="1D107BCC" w14:textId="56F1988C" w:rsidR="00BC7120" w:rsidRPr="008048D0" w:rsidRDefault="00051BE5" w:rsidP="00223F8F">
      <w:pPr>
        <w:pStyle w:val="CBDNormalNoNumber"/>
        <w:ind w:left="1701" w:hanging="567"/>
      </w:pPr>
      <w:r w:rsidRPr="008048D0">
        <w:lastRenderedPageBreak/>
        <w:t>iv)</w:t>
      </w:r>
      <w:r w:rsidRPr="008048D0">
        <w:tab/>
        <w:t xml:space="preserve">Se toman medidas en relación con la revisión de balance de las operaciones y el desempeño del Fondo para el Marco Mundial de Biodiversidad, como ya se dispuso en las decisiones </w:t>
      </w:r>
      <w:hyperlink r:id="rId31" w:history="1">
        <w:r w:rsidRPr="008048D0">
          <w:rPr>
            <w:rStyle w:val="Hyperlink"/>
            <w:rFonts w:asciiTheme="majorBidi" w:hAnsiTheme="majorBidi"/>
          </w:rPr>
          <w:t>15/7</w:t>
        </w:r>
      </w:hyperlink>
      <w:r w:rsidRPr="008048D0">
        <w:t xml:space="preserve"> y </w:t>
      </w:r>
      <w:hyperlink r:id="rId32" w:history="1">
        <w:r w:rsidRPr="008048D0">
          <w:rPr>
            <w:rStyle w:val="Hyperlink"/>
            <w:rFonts w:asciiTheme="majorBidi" w:hAnsiTheme="majorBidi"/>
          </w:rPr>
          <w:t>15/15</w:t>
        </w:r>
      </w:hyperlink>
      <w:r w:rsidRPr="008048D0">
        <w:t>, de 19 de diciembre de 2022;</w:t>
      </w:r>
    </w:p>
    <w:p w14:paraId="453E66F3" w14:textId="22CDD293" w:rsidR="00BA290F" w:rsidRPr="008048D0" w:rsidRDefault="00BA290F" w:rsidP="00223F8F">
      <w:pPr>
        <w:pStyle w:val="CBDNormalNoNumber"/>
        <w:ind w:left="567" w:firstLine="567"/>
      </w:pPr>
      <w:r w:rsidRPr="008048D0">
        <w:t>c)</w:t>
      </w:r>
      <w:r w:rsidRPr="008048D0">
        <w:tab/>
        <w:t>En el caso de que en la 18ª reunión de la Conferencia de las Partes se tome una decisión para establecer una nueva entidad, esta debería comenzar a funcionar para la 19ª reunión;</w:t>
      </w:r>
    </w:p>
    <w:p w14:paraId="715C600A" w14:textId="7EFDD933" w:rsidR="00FE59EC" w:rsidRPr="008048D0" w:rsidRDefault="00BC7120" w:rsidP="00223F8F">
      <w:pPr>
        <w:pStyle w:val="CBDNormalNoNumber"/>
        <w:ind w:left="567" w:firstLine="567"/>
      </w:pPr>
      <w:r w:rsidRPr="008048D0">
        <w:t>d)</w:t>
      </w:r>
      <w:r w:rsidRPr="008048D0">
        <w:tab/>
        <w:t>Considerando los apartados b) y c) anteriores, la Conferencia de las Partes determinará la estructura institucional que se encargará permanentemente del funcionamiento del mecanismo financiero a más tardar para su 19ª reunión;</w:t>
      </w:r>
    </w:p>
    <w:p w14:paraId="6F55780F" w14:textId="09C0D306" w:rsidR="004643FD" w:rsidRPr="008048D0" w:rsidRDefault="004643FD" w:rsidP="00223F8F">
      <w:pPr>
        <w:pStyle w:val="CBDNormalNoNumber"/>
        <w:ind w:left="567" w:firstLine="567"/>
      </w:pPr>
      <w:r w:rsidRPr="008048D0">
        <w:t>23.</w:t>
      </w:r>
      <w:r w:rsidRPr="008048D0">
        <w:tab/>
      </w:r>
      <w:r w:rsidRPr="008048D0">
        <w:rPr>
          <w:i/>
        </w:rPr>
        <w:t>Decide también</w:t>
      </w:r>
      <w:r w:rsidRPr="008048D0">
        <w:t xml:space="preserve"> establecer un proceso para el período entre reuniones a fin de cumplir el mandato establecido en el apartado 19 b) anterior, con resultados concretos en cada a etapa a fin de garantizar la aplicación oportuna, sobre la base de la siguiente hoja de ruta inicial:</w:t>
      </w:r>
    </w:p>
    <w:p w14:paraId="3CEBD7A7" w14:textId="352E976D" w:rsidR="004643FD" w:rsidRPr="008048D0" w:rsidRDefault="004643FD" w:rsidP="00223F8F">
      <w:pPr>
        <w:pStyle w:val="CBDNormalNoNumber"/>
        <w:ind w:left="567" w:firstLine="567"/>
      </w:pPr>
      <w:r w:rsidRPr="008048D0">
        <w:t>a)</w:t>
      </w:r>
      <w:r w:rsidRPr="008048D0">
        <w:tab/>
        <w:t>Para la 17ª reunión de la Conferencia de las Partes, se identifican los impedimentos para la eficacia de la financiación mundial de la biodiversidad y, sobre esa base, se recomiendan elementos para su ulterior mejora;</w:t>
      </w:r>
    </w:p>
    <w:p w14:paraId="20F06E6B" w14:textId="57740DA8" w:rsidR="00CA638F" w:rsidRPr="008048D0" w:rsidRDefault="004643FD">
      <w:pPr>
        <w:pStyle w:val="CBDNormalNoNumber"/>
        <w:ind w:left="567" w:firstLine="567"/>
      </w:pPr>
      <w:r w:rsidRPr="008048D0">
        <w:t>b)</w:t>
      </w:r>
      <w:r w:rsidRPr="008048D0">
        <w:tab/>
        <w:t>Para la 18ª reunión de la Conferencia de las Partes o en esa reunión:</w:t>
      </w:r>
    </w:p>
    <w:p w14:paraId="3EBCF36A" w14:textId="1BBA6882" w:rsidR="004643FD" w:rsidRPr="008048D0" w:rsidRDefault="00CA638F" w:rsidP="00223F8F">
      <w:pPr>
        <w:pStyle w:val="CBDNormalNoNumber"/>
        <w:ind w:left="1701" w:hanging="567"/>
      </w:pPr>
      <w:r w:rsidRPr="008048D0">
        <w:t>i)</w:t>
      </w:r>
      <w:r w:rsidRPr="008048D0">
        <w:tab/>
        <w:t>Se determinan y aplican medidas para mejorar la financiación mundial de la biodiversidad a fin de movilizar recursos nuevos y adicionales de todas las fuentes;</w:t>
      </w:r>
    </w:p>
    <w:p w14:paraId="71D309DD" w14:textId="4467DEAA" w:rsidR="004643FD" w:rsidRPr="008048D0" w:rsidRDefault="00872585" w:rsidP="00223F8F">
      <w:pPr>
        <w:pStyle w:val="CBDNormalNoNumber"/>
        <w:ind w:left="1701" w:hanging="567"/>
      </w:pPr>
      <w:r w:rsidRPr="008048D0">
        <w:t>ii)</w:t>
      </w:r>
      <w:r w:rsidRPr="008048D0">
        <w:tab/>
        <w:t>Se evalúan los resultados de los instrumentos financieros y entidades pertinentes existentes con respecto a la implementación del Marco, en particular la meta 19 a)</w:t>
      </w:r>
      <w:r w:rsidR="004643FD" w:rsidRPr="008048D0">
        <w:rPr>
          <w:rStyle w:val="FootnoteReference"/>
          <w:rFonts w:asciiTheme="majorBidi" w:hAnsiTheme="majorBidi" w:cstheme="majorBidi"/>
          <w:color w:val="000000" w:themeColor="text1"/>
        </w:rPr>
        <w:footnoteReference w:id="9"/>
      </w:r>
      <w:r w:rsidRPr="008048D0">
        <w:t>;</w:t>
      </w:r>
    </w:p>
    <w:p w14:paraId="482E53C1" w14:textId="64D140F0" w:rsidR="004643FD" w:rsidRPr="008048D0" w:rsidRDefault="004643FD" w:rsidP="00223F8F">
      <w:pPr>
        <w:pStyle w:val="CBDNormalNoNumber"/>
        <w:ind w:left="567" w:firstLine="567"/>
      </w:pPr>
      <w:r w:rsidRPr="008048D0">
        <w:t>c)</w:t>
      </w:r>
      <w:r w:rsidRPr="008048D0">
        <w:tab/>
        <w:t>En la 19ª reunión de la Conferencia de las Partes, se integra en la estrategia para la movilización de recursos el conjunto de medidas necesarias para mejorar la financiación mundial de la biodiversidad;</w:t>
      </w:r>
    </w:p>
    <w:p w14:paraId="6CF902CC" w14:textId="7FA692B1" w:rsidR="00732B2C" w:rsidRPr="008048D0" w:rsidRDefault="004643FD" w:rsidP="00223F8F">
      <w:pPr>
        <w:pStyle w:val="CBDNormalNoNumber"/>
        <w:ind w:left="567" w:firstLine="567"/>
        <w:rPr>
          <w:rFonts w:eastAsiaTheme="minorEastAsia"/>
        </w:rPr>
      </w:pPr>
      <w:r w:rsidRPr="008048D0">
        <w:t>24.</w:t>
      </w:r>
      <w:r w:rsidRPr="008048D0">
        <w:rPr>
          <w:i/>
        </w:rPr>
        <w:tab/>
        <w:t>Pide</w:t>
      </w:r>
      <w:r w:rsidRPr="008048D0">
        <w:t xml:space="preserve"> que, antes de la 17ª reunión de la Conferencia de las Partes, el Órgano Subsidiario sobre la Aplicación considere los elementos que se mencionan en los apartados 22 a) y 23 b) anteriores, siga deliberando acerca de oportunidades para ampliar la base de contribuyentes y elabore un proyecto de decisión, así como informe sobre los progresos realizados en la 17ª reunión;</w:t>
      </w:r>
    </w:p>
    <w:p w14:paraId="49D4912D" w14:textId="34569D8B" w:rsidR="00F027A4" w:rsidRPr="008048D0" w:rsidRDefault="7017E98E" w:rsidP="00223F8F">
      <w:pPr>
        <w:pStyle w:val="CBDNormalNoNumber"/>
        <w:ind w:left="567" w:firstLine="567"/>
        <w:rPr>
          <w:kern w:val="22"/>
        </w:rPr>
      </w:pPr>
      <w:bookmarkStart w:id="3" w:name="_Hlk181359419"/>
      <w:bookmarkEnd w:id="3"/>
      <w:r w:rsidRPr="008048D0">
        <w:t>25.</w:t>
      </w:r>
      <w:r w:rsidRPr="008048D0">
        <w:rPr>
          <w:i/>
        </w:rPr>
        <w:tab/>
        <w:t>Pide</w:t>
      </w:r>
      <w:r w:rsidRPr="008048D0">
        <w:t xml:space="preserve"> a la Secretaria Ejecutiva que preste apoyo a la labor del Órgano Subsidiario sobre la Aplicación, como se establece en el párrafo 24 anterior, y en particular que:</w:t>
      </w:r>
    </w:p>
    <w:p w14:paraId="6EDE9F10" w14:textId="1F991802" w:rsidR="00F027A4" w:rsidRPr="008048D0" w:rsidRDefault="00E40EB7" w:rsidP="00223F8F">
      <w:pPr>
        <w:pStyle w:val="CBDNormalNoNumber"/>
        <w:ind w:left="567" w:firstLine="567"/>
      </w:pPr>
      <w:r w:rsidRPr="008048D0">
        <w:t>a)</w:t>
      </w:r>
      <w:r w:rsidRPr="008048D0">
        <w:tab/>
        <w:t>Prepare documentación para facilitar la revisión de la aplicación de la estrategia para la movilización de recursos, incluidos los elementos de un proyecto de recomendación que aborde oportunidades para cualquier adaptación posterior de la estrategia y los arreglos institucionales conexos, en consonancia con el párrafo 7 anterior;</w:t>
      </w:r>
    </w:p>
    <w:p w14:paraId="0D344227" w14:textId="1587EBFC" w:rsidR="00E53BD2" w:rsidRPr="008048D0" w:rsidRDefault="00E40EB7" w:rsidP="00223F8F">
      <w:pPr>
        <w:pStyle w:val="CBDNormalNoNumber"/>
        <w:ind w:left="567" w:firstLine="567"/>
      </w:pPr>
      <w:r w:rsidRPr="008048D0">
        <w:t>b)</w:t>
      </w:r>
      <w:r w:rsidRPr="008048D0">
        <w:tab/>
        <w:t>Encargue estudio destinado a identificar oportunidades para reforzar el seguimiento de las distintas fuentes de financiación de la biodiversidad</w:t>
      </w:r>
      <w:r w:rsidR="00375165" w:rsidRPr="008048D0">
        <w:rPr>
          <w:rStyle w:val="FootnoteReference"/>
          <w:rFonts w:asciiTheme="majorBidi" w:hAnsiTheme="majorBidi" w:cstheme="majorBidi"/>
          <w:color w:val="000000" w:themeColor="text1"/>
        </w:rPr>
        <w:footnoteReference w:id="10"/>
      </w:r>
      <w:r w:rsidRPr="008048D0">
        <w:t>;</w:t>
      </w:r>
    </w:p>
    <w:bookmarkEnd w:id="1"/>
    <w:p w14:paraId="7C84A13A" w14:textId="29B9D478" w:rsidR="00A15B02" w:rsidRPr="008048D0" w:rsidRDefault="4B480D18" w:rsidP="00223F8F">
      <w:pPr>
        <w:pStyle w:val="CBDNormalNoNumber"/>
        <w:ind w:left="567" w:firstLine="567"/>
      </w:pPr>
      <w:r w:rsidRPr="008048D0">
        <w:t>26.</w:t>
      </w:r>
      <w:r w:rsidRPr="008048D0">
        <w:rPr>
          <w:i/>
        </w:rPr>
        <w:tab/>
        <w:t>Pide también</w:t>
      </w:r>
      <w:r w:rsidRPr="008048D0">
        <w:t xml:space="preserve"> a la Secretaria Ejecutiva que, en función de la disponibilidad de recursos:</w:t>
      </w:r>
    </w:p>
    <w:p w14:paraId="072A267C" w14:textId="1D13D790" w:rsidR="00A15B02" w:rsidRPr="008048D0" w:rsidRDefault="00E40EB7" w:rsidP="00223F8F">
      <w:pPr>
        <w:pStyle w:val="CBDNormalNoNumber"/>
        <w:ind w:left="567" w:firstLine="567"/>
      </w:pPr>
      <w:r w:rsidRPr="008048D0">
        <w:t>a)</w:t>
      </w:r>
      <w:r w:rsidRPr="008048D0">
        <w:tab/>
        <w:t>Facilite un diálogo internacional con ministros de medio ambiente y de finanzas de países desarrollados y en desarrollo para acelerar el logro de la meta 19 del Marco;</w:t>
      </w:r>
    </w:p>
    <w:p w14:paraId="771312A0" w14:textId="2288316E" w:rsidR="00A15B02" w:rsidRPr="008048D0" w:rsidRDefault="00E40EB7" w:rsidP="00223F8F">
      <w:pPr>
        <w:pStyle w:val="CBDNormalNoNumber"/>
        <w:ind w:left="567" w:firstLine="567"/>
      </w:pPr>
      <w:r w:rsidRPr="008048D0">
        <w:t>b)</w:t>
      </w:r>
      <w:r w:rsidRPr="008048D0">
        <w:tab/>
        <w:t>Encargue o realice, junto con instituciones internacionales pertinentes, estudios sobre lo siguiente:</w:t>
      </w:r>
    </w:p>
    <w:p w14:paraId="31BE6B14" w14:textId="025CDFE6" w:rsidR="00A15B02" w:rsidRPr="008048D0" w:rsidRDefault="00E40EB7" w:rsidP="00223F8F">
      <w:pPr>
        <w:pStyle w:val="CBDNormalNoNumber"/>
        <w:ind w:left="1701" w:hanging="567"/>
      </w:pPr>
      <w:r w:rsidRPr="008048D0">
        <w:t>i)</w:t>
      </w:r>
      <w:r w:rsidRPr="008048D0">
        <w:tab/>
        <w:t>La relación entre la sostenibilidad de la deuda y la aplicación del Convenio;</w:t>
      </w:r>
    </w:p>
    <w:p w14:paraId="711EA7EB" w14:textId="2C190224" w:rsidR="00A15B02" w:rsidRPr="008048D0" w:rsidRDefault="00E40EB7" w:rsidP="00223F8F">
      <w:pPr>
        <w:pStyle w:val="CBDNormalNoNumber"/>
        <w:ind w:left="1701" w:hanging="567"/>
      </w:pPr>
      <w:r w:rsidRPr="008048D0">
        <w:t>ii)</w:t>
      </w:r>
      <w:r w:rsidRPr="008048D0">
        <w:tab/>
        <w:t xml:space="preserve">Cómo se ha aplicado la orientación sobre salvaguardias en los mecanismos de financiación de la diversidad biológica adoptada en las decisiones </w:t>
      </w:r>
      <w:hyperlink r:id="rId33" w:history="1">
        <w:r w:rsidRPr="008048D0">
          <w:rPr>
            <w:rStyle w:val="Hyperlink"/>
            <w:rFonts w:asciiTheme="majorBidi" w:hAnsiTheme="majorBidi"/>
          </w:rPr>
          <w:t>XII/3</w:t>
        </w:r>
      </w:hyperlink>
      <w:r w:rsidRPr="008048D0">
        <w:t xml:space="preserve"> y </w:t>
      </w:r>
      <w:hyperlink r:id="rId34" w:history="1">
        <w:r w:rsidRPr="008048D0">
          <w:rPr>
            <w:rStyle w:val="Hyperlink"/>
            <w:rFonts w:asciiTheme="majorBidi" w:hAnsiTheme="majorBidi"/>
          </w:rPr>
          <w:t>14/15</w:t>
        </w:r>
      </w:hyperlink>
      <w:r w:rsidRPr="008048D0">
        <w:t xml:space="preserve">, </w:t>
      </w:r>
      <w:r w:rsidRPr="008048D0">
        <w:lastRenderedPageBreak/>
        <w:t>identificando buenas prácticas y lecciones aprendidas, así como oportunidades para mejorar la aplicación de la orientación;</w:t>
      </w:r>
    </w:p>
    <w:p w14:paraId="401CD16A" w14:textId="6E88F111" w:rsidR="00A15B02" w:rsidRPr="008048D0" w:rsidRDefault="00974484" w:rsidP="00223F8F">
      <w:pPr>
        <w:pStyle w:val="CBDNormalNoNumber"/>
        <w:ind w:left="1701" w:hanging="567"/>
      </w:pPr>
      <w:r w:rsidRPr="008048D0">
        <w:t>iii)</w:t>
      </w:r>
      <w:r w:rsidRPr="008048D0">
        <w:tab/>
        <w:t>La relación entre la financiación de la biodiversidad y financiación para el clima;</w:t>
      </w:r>
    </w:p>
    <w:p w14:paraId="2C9AB0D7" w14:textId="3CB99D97" w:rsidR="00A15B02" w:rsidRPr="008048D0" w:rsidRDefault="00E40EB7" w:rsidP="00223F8F">
      <w:pPr>
        <w:pStyle w:val="CBDNormalNoNumber"/>
        <w:ind w:left="567" w:firstLine="567"/>
      </w:pPr>
      <w:r w:rsidRPr="008048D0">
        <w:t>c)</w:t>
      </w:r>
      <w:r w:rsidRPr="008048D0">
        <w:tab/>
        <w:t>Incorpore una plataforma en el mecanismo de facilitación, en consonancia con la estrategia de gestión de conocimientos para apoyar la implementación del Marco</w:t>
      </w:r>
      <w:r w:rsidR="00334DC2" w:rsidRPr="008048D0">
        <w:rPr>
          <w:rStyle w:val="FootnoteReference"/>
          <w:rFonts w:asciiTheme="majorBidi" w:hAnsiTheme="majorBidi" w:cstheme="majorBidi"/>
        </w:rPr>
        <w:footnoteReference w:id="11"/>
      </w:r>
      <w:r w:rsidRPr="008048D0">
        <w:t>, con la finalidad de intercambiar información acerca de mejores prácticas y lecciones aprendidas en la implementación del Marco, en particular para el objetivo D y las metas 14, 15, 18 y 19, y la aplicación de la estrategia para la movilización de recursos.</w:t>
      </w:r>
    </w:p>
    <w:p w14:paraId="76B44603" w14:textId="33C0ED64" w:rsidR="00772A8A" w:rsidRPr="008048D0" w:rsidRDefault="00331698" w:rsidP="00223F8F">
      <w:pPr>
        <w:pStyle w:val="CBDDesicionAnnex"/>
      </w:pPr>
      <w:r w:rsidRPr="008048D0">
        <w:t>Anexo I</w:t>
      </w:r>
    </w:p>
    <w:p w14:paraId="13D79B89" w14:textId="0568A750" w:rsidR="00331698" w:rsidRPr="008048D0" w:rsidRDefault="00912E6B" w:rsidP="00223F8F">
      <w:pPr>
        <w:pStyle w:val="CBDDesicionAnnex"/>
        <w:rPr>
          <w:b/>
        </w:rPr>
      </w:pPr>
      <w:r w:rsidRPr="008048D0">
        <w:rPr>
          <w:rFonts w:asciiTheme="majorBidi" w:hAnsiTheme="majorBidi"/>
          <w:b/>
        </w:rPr>
        <w:t>Estrategia para la movilización de recursos para el período 2025-2030</w:t>
      </w:r>
    </w:p>
    <w:p w14:paraId="51768214" w14:textId="77777777" w:rsidR="00331698" w:rsidRPr="008048D0" w:rsidRDefault="00331698" w:rsidP="00223F8F">
      <w:pPr>
        <w:pStyle w:val="CBDH2"/>
        <w:rPr>
          <w:szCs w:val="24"/>
        </w:rPr>
      </w:pPr>
      <w:r w:rsidRPr="008048D0">
        <w:t>I.</w:t>
      </w:r>
      <w:r w:rsidRPr="008048D0">
        <w:tab/>
        <w:t>Finalidad</w:t>
      </w:r>
    </w:p>
    <w:p w14:paraId="4A6912A8" w14:textId="364FCD04" w:rsidR="00331698" w:rsidRPr="008048D0" w:rsidRDefault="00331698" w:rsidP="00223F8F">
      <w:pPr>
        <w:pStyle w:val="CBDDesicionText"/>
      </w:pPr>
      <w:r w:rsidRPr="008048D0">
        <w:t>1.</w:t>
      </w:r>
      <w:r w:rsidRPr="008048D0">
        <w:tab/>
        <w:t>La presente estrategia tiene por finalidad facilitar la movilización de recursos para la aplicación del Convenio sobre la Diversidad Biológica</w:t>
      </w:r>
      <w:r w:rsidRPr="008048D0">
        <w:rPr>
          <w:rStyle w:val="FootnoteReference"/>
        </w:rPr>
        <w:footnoteReference w:id="12"/>
      </w:r>
      <w:r w:rsidRPr="008048D0">
        <w:t xml:space="preserve"> y sus Protocolos, abordando sus tres objetivos de manera equilibrada, mediante un aumento sustancial y progresivo del nivel de recursos financieros de todas las fuentes, de manera eficaz, oportuna y de fácil acceso, incluidos recursos nacionales e internacionales, y públicos y privados, de conformidad con el artículo </w:t>
      </w:r>
      <w:hyperlink r:id="rId35" w:history="1">
        <w:r w:rsidRPr="008048D0">
          <w:rPr>
            <w:rStyle w:val="Hyperlink"/>
          </w:rPr>
          <w:t>20</w:t>
        </w:r>
      </w:hyperlink>
      <w:r w:rsidRPr="008048D0">
        <w:t xml:space="preserve"> del Convenio, a fin de implementar las estrategias y planes de acción nacionales en materia de biodiversidad, movilizando al menos 200.000 millones de dólares de los Estados Unidos al año para 2030. También tiene por finalidad facilitar la implementación del Marco Mundial de Biodiversidad de Kunming-Montreal</w:t>
      </w:r>
      <w:r w:rsidRPr="008048D0">
        <w:rPr>
          <w:rStyle w:val="FootnoteReference"/>
        </w:rPr>
        <w:footnoteReference w:id="13"/>
      </w:r>
      <w:r w:rsidRPr="008048D0">
        <w:t>, en particular mediante la armonización de las corrientes fiscales y financieras con sus objetivos y metas y alentando al sector privado a reducir sus impactos negativos y aumentar sus impactos positivos en la biodiversidad progresivamente.</w:t>
      </w:r>
    </w:p>
    <w:p w14:paraId="3BFD8542" w14:textId="6D3F2B3F" w:rsidR="00331698" w:rsidRPr="008048D0" w:rsidRDefault="00331698" w:rsidP="00223F8F">
      <w:pPr>
        <w:pStyle w:val="CBDDesicionText"/>
      </w:pPr>
      <w:r w:rsidRPr="008048D0">
        <w:t>2.</w:t>
      </w:r>
      <w:r w:rsidRPr="008048D0">
        <w:tab/>
        <w:t xml:space="preserve">De este modo, la presente estrategia proporcionará a las Partes y a otros actores, a todos los niveles, una base sólida para la movilización de recursos suficientes, de forma acorde con el nivel de ambición del Marco. Se basa en la primera fase de la estrategia (2023-2024), establecida en el anexo I de la decisión </w:t>
      </w:r>
      <w:hyperlink r:id="rId36" w:history="1">
        <w:r w:rsidRPr="008048D0">
          <w:rPr>
            <w:rStyle w:val="Hyperlink"/>
          </w:rPr>
          <w:t>15/7</w:t>
        </w:r>
      </w:hyperlink>
      <w:r w:rsidRPr="008048D0">
        <w:t>, de 19 de diciembre de 2022, que se elaboró para dar inicio rápido a la movilización de recursos y para aumentar y armonizar los recursos para la implementación del Marco. La estrategia proporciona un marco flexible que los países tal vez deseen adaptar en función de los diferentes niveles de desarrollo y las circunstancias nacionales específicas. Nada de lo dispuesto en la presente estrategia ha de interpretarse como una modificación de los derechos y obligaciones de una Parte en virtud del Convenio o sus Protocolos o de cualquier otro acuerdo internacional.</w:t>
      </w:r>
    </w:p>
    <w:p w14:paraId="07EE00BC" w14:textId="77777777" w:rsidR="00331698" w:rsidRPr="008048D0" w:rsidRDefault="00331698" w:rsidP="00223F8F">
      <w:pPr>
        <w:pStyle w:val="CBDDesicionText"/>
      </w:pPr>
      <w:r w:rsidRPr="008048D0">
        <w:t>3.</w:t>
      </w:r>
      <w:r w:rsidRPr="008048D0">
        <w:tab/>
        <w:t>La estrategia se guía por lo siguiente:</w:t>
      </w:r>
    </w:p>
    <w:p w14:paraId="509ED1E9" w14:textId="1138DDB9" w:rsidR="00331698" w:rsidRPr="008048D0" w:rsidRDefault="00331698" w:rsidP="00223F8F">
      <w:pPr>
        <w:pStyle w:val="CBDDesicionText"/>
        <w:ind w:firstLine="567"/>
        <w:rPr>
          <w:strike/>
        </w:rPr>
      </w:pPr>
      <w:r w:rsidRPr="008048D0">
        <w:t>a)</w:t>
      </w:r>
      <w:r w:rsidRPr="008048D0">
        <w:tab/>
        <w:t xml:space="preserve">Los artículos </w:t>
      </w:r>
      <w:hyperlink r:id="rId37" w:history="1">
        <w:r w:rsidRPr="008048D0">
          <w:rPr>
            <w:rStyle w:val="Hyperlink"/>
          </w:rPr>
          <w:t>20</w:t>
        </w:r>
      </w:hyperlink>
      <w:r w:rsidRPr="008048D0">
        <w:t>,</w:t>
      </w:r>
      <w:hyperlink r:id="rId38" w:history="1">
        <w:r w:rsidRPr="008048D0">
          <w:rPr>
            <w:rStyle w:val="Hyperlink"/>
          </w:rPr>
          <w:t xml:space="preserve"> 21</w:t>
        </w:r>
      </w:hyperlink>
      <w:r w:rsidRPr="008048D0">
        <w:t xml:space="preserve"> y 11 del Convenio;</w:t>
      </w:r>
    </w:p>
    <w:p w14:paraId="77E7B886" w14:textId="2064D48E" w:rsidR="00331698" w:rsidRPr="008048D0" w:rsidRDefault="00331698" w:rsidP="00223F8F">
      <w:pPr>
        <w:pStyle w:val="CBDDesicionText"/>
        <w:ind w:firstLine="567"/>
      </w:pPr>
      <w:r w:rsidRPr="008048D0">
        <w:t>b)</w:t>
      </w:r>
      <w:r w:rsidRPr="008048D0">
        <w:tab/>
        <w:t>El Marco Mundial de Biodiversidad de Kunming-Montreal, incluida su sección C, el objetivo D y la meta 19, así como su objetivo C y las metas 13 a 16, 18 y 20;</w:t>
      </w:r>
    </w:p>
    <w:p w14:paraId="0F9EE791" w14:textId="5C9B8D05" w:rsidR="00331698" w:rsidRPr="008048D0" w:rsidRDefault="00331698" w:rsidP="00223F8F">
      <w:pPr>
        <w:pStyle w:val="CBDDesicionText"/>
        <w:ind w:firstLine="567"/>
      </w:pPr>
      <w:r w:rsidRPr="008048D0">
        <w:t>c)</w:t>
      </w:r>
      <w:r w:rsidRPr="008048D0">
        <w:tab/>
        <w:t xml:space="preserve">La necesidad de aumentar sustancial y progresivamente el nivel de recursos financieros procedentes de todas las fuentes, de conformidad con el artículo </w:t>
      </w:r>
      <w:hyperlink r:id="rId39" w:history="1">
        <w:r w:rsidRPr="008048D0">
          <w:rPr>
            <w:rStyle w:val="Hyperlink"/>
          </w:rPr>
          <w:t>20</w:t>
        </w:r>
      </w:hyperlink>
      <w:r w:rsidRPr="008048D0">
        <w:t xml:space="preserve"> del Convenio, y de una amplia gama de instrumentos y mecanismos financieros;</w:t>
      </w:r>
    </w:p>
    <w:p w14:paraId="5E2654F4" w14:textId="45B932D3" w:rsidR="00331698" w:rsidRPr="008048D0" w:rsidRDefault="00331698" w:rsidP="00223F8F">
      <w:pPr>
        <w:pStyle w:val="CBDDesicionText"/>
        <w:ind w:firstLine="567"/>
      </w:pPr>
      <w:r w:rsidRPr="008048D0">
        <w:t>d)</w:t>
      </w:r>
      <w:r w:rsidRPr="008048D0">
        <w:tab/>
        <w:t>La necesidad de movilizar recursos de forma eficaz e inmediata, manteniendo al mismo tiempo una visión a largo plazo de las necesidades de recursos financieros;</w:t>
      </w:r>
    </w:p>
    <w:p w14:paraId="7F960614" w14:textId="6BA16EBB" w:rsidR="00331698" w:rsidRPr="008048D0" w:rsidRDefault="00331698" w:rsidP="00223F8F">
      <w:pPr>
        <w:pStyle w:val="CBDDesicionText"/>
        <w:ind w:firstLine="567"/>
        <w:rPr>
          <w:kern w:val="22"/>
        </w:rPr>
      </w:pPr>
      <w:r w:rsidRPr="008048D0">
        <w:t>e)</w:t>
      </w:r>
      <w:r w:rsidRPr="008048D0">
        <w:tab/>
        <w:t xml:space="preserve">La necesidad de un acceso amplio, justo, oportuno, inclusivo, simplificado y equitativo a todas las fuentes de financiación, incluido mediante enfoques no relacionados con el mercado, para </w:t>
      </w:r>
      <w:r w:rsidRPr="008048D0">
        <w:lastRenderedPageBreak/>
        <w:t>todas las Partes, así como para los pueblos indígenas y las comunidades locales, las mujeres, la juventud y otros interesados.</w:t>
      </w:r>
    </w:p>
    <w:p w14:paraId="39742D9E" w14:textId="77777777" w:rsidR="00331698" w:rsidRPr="008048D0" w:rsidRDefault="00331698" w:rsidP="00223F8F">
      <w:pPr>
        <w:pStyle w:val="CBDH2"/>
        <w:rPr>
          <w:szCs w:val="24"/>
        </w:rPr>
      </w:pPr>
      <w:r w:rsidRPr="008048D0">
        <w:t>II.</w:t>
      </w:r>
      <w:r w:rsidRPr="008048D0">
        <w:tab/>
        <w:t>Medidas de implementación</w:t>
      </w:r>
    </w:p>
    <w:p w14:paraId="3906E615" w14:textId="2B21F698" w:rsidR="00331698" w:rsidRPr="008048D0" w:rsidRDefault="00331698" w:rsidP="00223F8F">
      <w:pPr>
        <w:pStyle w:val="CBDDesicionText"/>
      </w:pPr>
      <w:r w:rsidRPr="008048D0">
        <w:t>4.</w:t>
      </w:r>
      <w:r w:rsidRPr="008048D0">
        <w:tab/>
        <w:t>La estrategia puede implementarse a través de las siguientes medidas, entre otras:</w:t>
      </w:r>
    </w:p>
    <w:p w14:paraId="58B58BBE" w14:textId="77777777" w:rsidR="00331698" w:rsidRPr="008048D0" w:rsidRDefault="00331698" w:rsidP="00223F8F">
      <w:pPr>
        <w:pStyle w:val="CBDNormalNoNumber"/>
        <w:ind w:left="567" w:firstLine="567"/>
      </w:pPr>
      <w:r w:rsidRPr="008048D0">
        <w:rPr>
          <w:rFonts w:asciiTheme="majorBidi" w:hAnsiTheme="majorBidi"/>
        </w:rPr>
        <w:t>a)</w:t>
      </w:r>
      <w:r w:rsidRPr="008048D0">
        <w:rPr>
          <w:rFonts w:asciiTheme="majorBidi" w:hAnsiTheme="majorBidi"/>
        </w:rPr>
        <w:tab/>
      </w:r>
      <w:r w:rsidRPr="008048D0">
        <w:t>Actualizando e implementando las estrategias y planes de acción nacionales en materia de biodiversidad (EPANB) y las metas nacionales, por ejemplo, a través de la Asociación Aceleradora de las EPANB e iniciativas similares;</w:t>
      </w:r>
    </w:p>
    <w:p w14:paraId="47BEE93D" w14:textId="77777777" w:rsidR="00331698" w:rsidRPr="008048D0" w:rsidRDefault="00331698" w:rsidP="00223F8F">
      <w:pPr>
        <w:pStyle w:val="CBDNormalNoNumber"/>
        <w:ind w:left="567" w:firstLine="567"/>
      </w:pPr>
      <w:r w:rsidRPr="008048D0">
        <w:rPr>
          <w:rFonts w:asciiTheme="majorBidi" w:hAnsiTheme="majorBidi"/>
        </w:rPr>
        <w:t>b)</w:t>
      </w:r>
      <w:r w:rsidRPr="008048D0">
        <w:rPr>
          <w:rFonts w:asciiTheme="majorBidi" w:hAnsiTheme="majorBidi"/>
        </w:rPr>
        <w:tab/>
      </w:r>
      <w:r w:rsidRPr="008048D0">
        <w:t>Elaborando, actualizando e implementando planes nacionales de financiación de la biodiversidad o instrumentos similares, en función de las necesidades, prioridades y circunstancias nacionales, con miras a facilitar un aumento significativo de la movilización de recursos procedentes de todas las fuentes y mejorar la base de información sobre necesidades, carencias y prioridades de financiación;</w:t>
      </w:r>
    </w:p>
    <w:p w14:paraId="0206B49D" w14:textId="2D3D18EB" w:rsidR="00331698" w:rsidRPr="008048D0" w:rsidRDefault="00331698" w:rsidP="00223F8F">
      <w:pPr>
        <w:pStyle w:val="CBDNormalNoNumber"/>
        <w:ind w:left="567" w:firstLine="567"/>
      </w:pPr>
      <w:r w:rsidRPr="008048D0">
        <w:rPr>
          <w:rFonts w:asciiTheme="majorBidi" w:hAnsiTheme="majorBidi"/>
        </w:rPr>
        <w:t>c)</w:t>
      </w:r>
      <w:r w:rsidRPr="008048D0">
        <w:rPr>
          <w:rFonts w:asciiTheme="majorBidi" w:hAnsiTheme="majorBidi"/>
        </w:rPr>
        <w:tab/>
      </w:r>
      <w:r w:rsidRPr="008048D0">
        <w:t>Profundizando la cooperación y las sinergias con las otras convenciones de Río y otros convenios mundiales relacionados con la diversidad biológica y acuerdos ambientales multilaterales, en consonancia con sus respectivos mandatos;</w:t>
      </w:r>
    </w:p>
    <w:p w14:paraId="564B8A47" w14:textId="376E9F51" w:rsidR="00331698" w:rsidRPr="008048D0" w:rsidRDefault="00331698" w:rsidP="00223F8F">
      <w:pPr>
        <w:pStyle w:val="CBDNormalNoNumber"/>
        <w:ind w:left="567" w:firstLine="567"/>
      </w:pPr>
      <w:r w:rsidRPr="008048D0">
        <w:rPr>
          <w:rFonts w:asciiTheme="majorBidi" w:hAnsiTheme="majorBidi"/>
        </w:rPr>
        <w:t>d)</w:t>
      </w:r>
      <w:r w:rsidRPr="008048D0">
        <w:rPr>
          <w:rFonts w:asciiTheme="majorBidi" w:hAnsiTheme="majorBidi"/>
        </w:rPr>
        <w:tab/>
      </w:r>
      <w:r w:rsidRPr="008048D0">
        <w:t>Aumentando el apoyo financiero a la Iniciativa para la Financiación de la Biodiversidad del Programa de las Naciones Unidas para el Desarrollo y otras iniciativas relacionadas, con el fin de facilitar la movilización de recursos, incluso mediante la implementación de planes nacionales de financiación de la biodiversidad;</w:t>
      </w:r>
    </w:p>
    <w:p w14:paraId="2B04BC2F" w14:textId="77777777" w:rsidR="00331698" w:rsidRPr="008048D0" w:rsidRDefault="00331698" w:rsidP="00223F8F">
      <w:pPr>
        <w:pStyle w:val="CBDNormalNoNumber"/>
        <w:ind w:left="567" w:firstLine="567"/>
      </w:pPr>
      <w:r w:rsidRPr="008048D0">
        <w:rPr>
          <w:rFonts w:asciiTheme="majorBidi" w:hAnsiTheme="majorBidi"/>
        </w:rPr>
        <w:t>e)</w:t>
      </w:r>
      <w:r w:rsidRPr="008048D0">
        <w:tab/>
        <w:t>Optimizando asociaciones inclusivas de múltiples interesados;</w:t>
      </w:r>
    </w:p>
    <w:p w14:paraId="6FB42140" w14:textId="29E2BB2C" w:rsidR="00331698" w:rsidRPr="008048D0" w:rsidRDefault="00331698" w:rsidP="00223F8F">
      <w:pPr>
        <w:pStyle w:val="CBDNormalNoNumber"/>
        <w:ind w:left="567" w:firstLine="567"/>
      </w:pPr>
      <w:r w:rsidRPr="008048D0">
        <w:rPr>
          <w:rFonts w:asciiTheme="majorBidi" w:hAnsiTheme="majorBidi"/>
        </w:rPr>
        <w:t>f)</w:t>
      </w:r>
      <w:r w:rsidRPr="008048D0">
        <w:rPr>
          <w:rFonts w:asciiTheme="majorBidi" w:hAnsiTheme="majorBidi"/>
        </w:rPr>
        <w:tab/>
      </w:r>
      <w:r w:rsidRPr="008048D0">
        <w:t>Emprendiendo actividades de creación y desarrollo de capacidad, cooperación científica y tecnológica y transferencia de tecnología, en consonancia con el artículo 16 del Convenio, para apoyar las prioridades determinadas por las Partes en sus estrategias y planes de acción nacionales en materia de biodiversidad para la implementación del Marco;</w:t>
      </w:r>
    </w:p>
    <w:p w14:paraId="6C6C8DB5" w14:textId="7A334B2A" w:rsidR="00331698" w:rsidRPr="008048D0" w:rsidRDefault="00331698" w:rsidP="00223F8F">
      <w:pPr>
        <w:pStyle w:val="CBDNormalNoNumber"/>
        <w:ind w:left="567" w:firstLine="567"/>
      </w:pPr>
      <w:r w:rsidRPr="008048D0">
        <w:rPr>
          <w:rFonts w:asciiTheme="majorBidi" w:hAnsiTheme="majorBidi"/>
        </w:rPr>
        <w:t>g)</w:t>
      </w:r>
      <w:r w:rsidRPr="008048D0">
        <w:tab/>
        <w:t>Garantizando un acceso equitativo, asequible y oportuno a recursos financieros y creación de capacidad para todas las Partes, en especial las Partes que son países en desarrollo, en particular los países menos adelantados y los pequeños Estados insulares en desarrollo, así como los países con economías en transición;</w:t>
      </w:r>
    </w:p>
    <w:p w14:paraId="1B854387" w14:textId="1596CF38" w:rsidR="00331698" w:rsidRPr="008048D0" w:rsidRDefault="00331698" w:rsidP="00223F8F">
      <w:pPr>
        <w:pStyle w:val="CBDNormalNoNumber"/>
        <w:ind w:left="567" w:firstLine="567"/>
        <w:rPr>
          <w:kern w:val="22"/>
        </w:rPr>
      </w:pPr>
      <w:r w:rsidRPr="008048D0">
        <w:t>h)</w:t>
      </w:r>
      <w:r w:rsidRPr="008048D0">
        <w:tab/>
        <w:t>Garantizando el acceso oportuno a recursos financieros y creación de capacidad para los pueblos indígenas y las comunidades locales, las mujeres, la juventud y otros interesados;</w:t>
      </w:r>
    </w:p>
    <w:p w14:paraId="627C65BC" w14:textId="4DA2E051" w:rsidR="00331698" w:rsidRPr="008048D0" w:rsidRDefault="00331698" w:rsidP="00223F8F">
      <w:pPr>
        <w:pStyle w:val="CBDNormalNoNumber"/>
        <w:ind w:left="567" w:firstLine="567"/>
      </w:pPr>
      <w:r w:rsidRPr="008048D0">
        <w:t>i)</w:t>
      </w:r>
      <w:r w:rsidRPr="008048D0">
        <w:tab/>
        <w:t>Alentando a los bancos multilaterales de desarrollo y, según proceda, otras instituciones financieras nacionales e internacionales que están trabajando en relación con salvaguardias ambientales y sociales y en la elaboración y el perfeccionamiento de metodologías, principios y directrices comunes para el seguimiento, la divulgación y la presentación de informes, de manera armonizada, sobre sus inversiones en biodiversidad y sus impactos en ella, a continuar e intensificar esa labor, en la medida de lo posible, en consonancia con sus respectivos mandatos y de una manera que apoye el logro del desarrollo sostenible y la erradicación de la pobreza;</w:t>
      </w:r>
    </w:p>
    <w:p w14:paraId="5957D960" w14:textId="6D3603AB" w:rsidR="00331698" w:rsidRPr="008048D0" w:rsidRDefault="00331698" w:rsidP="00223F8F">
      <w:pPr>
        <w:pStyle w:val="CBDNormalNoNumber"/>
        <w:ind w:left="567" w:firstLine="567"/>
      </w:pPr>
      <w:r w:rsidRPr="008048D0">
        <w:t>j)</w:t>
      </w:r>
      <w:r w:rsidRPr="008048D0">
        <w:tab/>
        <w:t>Alentando, según proceda, a las instituciones financieras nacionales e internacionales, incluidos los bancos centrales y otras autoridades reguladoras nacionales, a identificar y evaluar oportunidades, desafíos, riesgos financieros e impactos relacionados con la biodiversidad, en consonancia con sus respectivos mandatos y de una manera que apoye el logro del desarrollo sostenible y la erradicación de la pobreza;</w:t>
      </w:r>
    </w:p>
    <w:p w14:paraId="1A3B304A" w14:textId="77777777" w:rsidR="00331698" w:rsidRPr="008048D0" w:rsidRDefault="00331698" w:rsidP="00223F8F">
      <w:pPr>
        <w:pStyle w:val="CBDNormalNoNumber"/>
        <w:ind w:left="567" w:firstLine="567"/>
      </w:pPr>
      <w:r w:rsidRPr="008048D0">
        <w:t>k)</w:t>
      </w:r>
      <w:r w:rsidRPr="008048D0">
        <w:tab/>
        <w:t>Considerando, según proceda, desarrollando y aplicando taxonomías de la biodiversidad relacionadas con las finanzas;</w:t>
      </w:r>
    </w:p>
    <w:p w14:paraId="6BB83663" w14:textId="09EC13F3" w:rsidR="00331698" w:rsidRPr="008048D0" w:rsidRDefault="00331698" w:rsidP="00223F8F">
      <w:pPr>
        <w:pStyle w:val="CBDNormalNoNumber"/>
        <w:ind w:left="567" w:firstLine="567"/>
      </w:pPr>
      <w:r w:rsidRPr="008048D0">
        <w:lastRenderedPageBreak/>
        <w:t>l)</w:t>
      </w:r>
      <w:r w:rsidRPr="008048D0">
        <w:tab/>
        <w:t xml:space="preserve">Garantizando la participación y representación plena, equitativa, inclusiva, efectiva y con perspectiva de género de los pueblos indígenas y las comunidades locales, las mujeres y la juventud en la toma de decisiones. </w:t>
      </w:r>
    </w:p>
    <w:p w14:paraId="150B53F3" w14:textId="77777777" w:rsidR="00331698" w:rsidRPr="008048D0" w:rsidRDefault="00331698" w:rsidP="00223F8F">
      <w:pPr>
        <w:pStyle w:val="CBDH2"/>
        <w:rPr>
          <w:szCs w:val="24"/>
        </w:rPr>
      </w:pPr>
      <w:r w:rsidRPr="008048D0">
        <w:t>III.</w:t>
      </w:r>
      <w:r w:rsidRPr="008048D0">
        <w:tab/>
        <w:t xml:space="preserve">Objetivos y medidas </w:t>
      </w:r>
    </w:p>
    <w:p w14:paraId="6EA05EFA" w14:textId="7DF36AA4" w:rsidR="00331698" w:rsidRPr="008048D0" w:rsidRDefault="00331698" w:rsidP="00223F8F">
      <w:pPr>
        <w:pStyle w:val="CBDH3"/>
      </w:pPr>
      <w:r w:rsidRPr="008048D0">
        <w:t>A.</w:t>
      </w:r>
      <w:r w:rsidRPr="008048D0">
        <w:tab/>
        <w:t>Aumento de las corrientes financieras internacionales relacionadas con la biodiversidad y los recursos financieros procedentes de todas las fuentes</w:t>
      </w:r>
    </w:p>
    <w:p w14:paraId="19688486" w14:textId="1CBFAE46" w:rsidR="00331698" w:rsidRPr="008048D0" w:rsidRDefault="00DC0ED1" w:rsidP="00223F8F">
      <w:pPr>
        <w:pStyle w:val="CBDH3"/>
      </w:pPr>
      <w:r w:rsidRPr="008048D0">
        <w:t>1.</w:t>
      </w:r>
      <w:r w:rsidRPr="008048D0">
        <w:tab/>
        <w:t>Recursos nuevos y adicionales</w:t>
      </w:r>
    </w:p>
    <w:p w14:paraId="59B0CB24" w14:textId="35C332D6" w:rsidR="00331698" w:rsidRPr="008048D0" w:rsidRDefault="00331698" w:rsidP="00223F8F">
      <w:pPr>
        <w:pStyle w:val="CBDDesicionText"/>
      </w:pPr>
      <w:r w:rsidRPr="008048D0">
        <w:t>5.</w:t>
      </w:r>
      <w:r w:rsidRPr="008048D0">
        <w:tab/>
        <w:t>Se movilizan recursos nuevos y adicionales con miras a lograr la meta 19 a) del Marco, a través, entre otras cosas, de lo siguiente:</w:t>
      </w:r>
    </w:p>
    <w:p w14:paraId="6E6E0256" w14:textId="37AA9ECD" w:rsidR="00331698" w:rsidRPr="008048D0" w:rsidRDefault="00331698" w:rsidP="00223F8F">
      <w:pPr>
        <w:pStyle w:val="CBDNormalNoNumber"/>
        <w:ind w:left="567" w:firstLine="567"/>
      </w:pPr>
      <w:r w:rsidRPr="008048D0">
        <w:t>a)</w:t>
      </w:r>
      <w:r w:rsidRPr="008048D0">
        <w:tab/>
        <w:t>El cumplimiento por las Partes que son países desarrollados de sus obligaciones de proporcionar recursos financieros nuevos y adicionales, en consonancia con el artículo </w:t>
      </w:r>
      <w:hyperlink r:id="rId40" w:history="1">
        <w:r w:rsidRPr="008048D0">
          <w:rPr>
            <w:rStyle w:val="Hyperlink"/>
          </w:rPr>
          <w:t>20</w:t>
        </w:r>
      </w:hyperlink>
      <w:r w:rsidRPr="008048D0">
        <w:t xml:space="preserve"> del Convenio;</w:t>
      </w:r>
    </w:p>
    <w:p w14:paraId="0D5C8A6B" w14:textId="00431A95" w:rsidR="00331698" w:rsidRPr="008048D0" w:rsidRDefault="00331698" w:rsidP="00223F8F">
      <w:pPr>
        <w:pStyle w:val="CBDNormalNoNumber"/>
        <w:ind w:left="567" w:firstLine="567"/>
      </w:pPr>
      <w:r w:rsidRPr="008048D0">
        <w:t>b)</w:t>
      </w:r>
      <w:r w:rsidRPr="008048D0">
        <w:tab/>
        <w:t>La consideración, por otras Partes, de la posibilidad de asumir voluntariamente las obligaciones de las Partes que son países desarrollados, en consonancia con el artículo </w:t>
      </w:r>
      <w:hyperlink r:id="rId41" w:history="1">
        <w:r w:rsidRPr="008048D0">
          <w:rPr>
            <w:rStyle w:val="Hyperlink"/>
          </w:rPr>
          <w:t>20</w:t>
        </w:r>
      </w:hyperlink>
      <w:r w:rsidRPr="008048D0">
        <w:t xml:space="preserve"> del Convenio;</w:t>
      </w:r>
    </w:p>
    <w:p w14:paraId="3236D103" w14:textId="14F7C926" w:rsidR="00331698" w:rsidRPr="008048D0" w:rsidRDefault="00331698" w:rsidP="000F3FB6">
      <w:pPr>
        <w:spacing w:before="120"/>
        <w:ind w:left="567" w:firstLine="567"/>
      </w:pPr>
      <w:r w:rsidRPr="008048D0">
        <w:t>c)</w:t>
      </w:r>
      <w:r w:rsidRPr="008048D0">
        <w:tab/>
        <w:t>La consideración, por otros Gobiernos, de la posibilidad de aumentar su financiación internacional para la biodiversidad, incluido, según proceda, a través del Fondo para el Medio Ambiente Mundial;</w:t>
      </w:r>
    </w:p>
    <w:p w14:paraId="7BFD2505" w14:textId="083A8365" w:rsidR="00331698" w:rsidRPr="008048D0" w:rsidRDefault="00331698" w:rsidP="00223F8F">
      <w:pPr>
        <w:pStyle w:val="CBDNormalNoNumber"/>
        <w:ind w:left="567" w:firstLine="567"/>
      </w:pPr>
      <w:r w:rsidRPr="008048D0">
        <w:t>d)</w:t>
      </w:r>
      <w:r w:rsidRPr="008048D0">
        <w:tab/>
        <w:t>Un aumento de las inversiones de los bancos multilaterales de desarrollo y otras instituciones financieras internacionales pertinentes en sus carteras que contribuyen a la consecución de los objetivos del Convenio y sus Protocolos, así como al logro de los objetivos y las metas del Marco, en consonancia con sus respectivos mandatos y de una manera que apoye el logro del desarrollo sostenible y la erradicación de la pobreza;</w:t>
      </w:r>
    </w:p>
    <w:p w14:paraId="39823537" w14:textId="4E280839" w:rsidR="00331698" w:rsidRPr="008048D0" w:rsidRDefault="00331698" w:rsidP="00223F8F">
      <w:pPr>
        <w:pStyle w:val="CBDNormalNoNumber"/>
        <w:ind w:left="567" w:firstLine="567"/>
      </w:pPr>
      <w:r w:rsidRPr="008048D0">
        <w:t>e)</w:t>
      </w:r>
      <w:r w:rsidRPr="008048D0">
        <w:tab/>
        <w:t xml:space="preserve">La capitalización continua, rápida y sólida del Fondo para el Marco Mundial de Biodiversidad en el ámbito del Fondo para el Medio Ambiente Mundial, de conformidad con la decisión </w:t>
      </w:r>
      <w:hyperlink r:id="rId42" w:history="1">
        <w:r w:rsidRPr="008048D0">
          <w:rPr>
            <w:rStyle w:val="Hyperlink"/>
          </w:rPr>
          <w:t>15/7</w:t>
        </w:r>
      </w:hyperlink>
      <w:r w:rsidRPr="008048D0">
        <w:t>.</w:t>
      </w:r>
    </w:p>
    <w:p w14:paraId="53405752" w14:textId="2D965CDD" w:rsidR="00331698" w:rsidRPr="008048D0" w:rsidRDefault="00331698" w:rsidP="00223F8F">
      <w:pPr>
        <w:pStyle w:val="CBDDesicionText"/>
      </w:pPr>
      <w:r w:rsidRPr="008048D0">
        <w:t>6.</w:t>
      </w:r>
      <w:r w:rsidRPr="008048D0">
        <w:tab/>
        <w:t>Se siguen movilizando, además, recursos nuevos y adicionales de todas las fuentes con miras a lograr la meta 19, incluso a través de lo siguiente:</w:t>
      </w:r>
    </w:p>
    <w:p w14:paraId="6662C48C" w14:textId="5638A216" w:rsidR="00331698" w:rsidRPr="008048D0" w:rsidRDefault="00331698" w:rsidP="00223F8F">
      <w:pPr>
        <w:pStyle w:val="CBDNormalNoNumber"/>
        <w:ind w:left="567" w:firstLine="567"/>
      </w:pPr>
      <w:r w:rsidRPr="008048D0">
        <w:t>a)</w:t>
      </w:r>
      <w:r w:rsidRPr="008048D0">
        <w:tab/>
        <w:t>Continuar estimulando y aumentando los planes innovadores</w:t>
      </w:r>
      <w:r w:rsidRPr="008048D0">
        <w:rPr>
          <w:rStyle w:val="FootnoteReference"/>
        </w:rPr>
        <w:footnoteReference w:id="14"/>
      </w:r>
      <w:r w:rsidRPr="008048D0">
        <w:t>, con salvaguardias ambientales y sociales, entre otras cosas mediante la elaboración de directrices y el intercambio de buenas prácticas;</w:t>
      </w:r>
    </w:p>
    <w:p w14:paraId="761B0DF1" w14:textId="266026C2" w:rsidR="00331698" w:rsidRPr="008048D0" w:rsidRDefault="00CA4287" w:rsidP="00223F8F">
      <w:pPr>
        <w:pStyle w:val="CBDNormalNoNumber"/>
        <w:ind w:left="567" w:firstLine="567"/>
      </w:pPr>
      <w:r>
        <w:t>b</w:t>
      </w:r>
      <w:r w:rsidR="00331698" w:rsidRPr="008048D0">
        <w:t>)</w:t>
      </w:r>
      <w:r w:rsidR="00331698" w:rsidRPr="008048D0">
        <w:tab/>
        <w:t>Utilizar el mecanismo multilateral para la participación justa y equitativa en los beneficios que se deriven de la utilización de información digital sobre secuencias de recursos genéticos;</w:t>
      </w:r>
      <w:bookmarkStart w:id="4" w:name="_Ref164256783"/>
      <w:r w:rsidR="00331698" w:rsidRPr="008048D0">
        <w:rPr>
          <w:vertAlign w:val="superscript"/>
        </w:rPr>
        <w:footnoteReference w:id="15"/>
      </w:r>
      <w:bookmarkEnd w:id="4"/>
      <w:r w:rsidR="00331698" w:rsidRPr="008048D0">
        <w:t xml:space="preserve"> </w:t>
      </w:r>
    </w:p>
    <w:p w14:paraId="06F2C3A6" w14:textId="26E2436A" w:rsidR="00331698" w:rsidRPr="008048D0" w:rsidRDefault="00331698" w:rsidP="00223F8F">
      <w:pPr>
        <w:pStyle w:val="CBDNormalNoNumber"/>
        <w:ind w:left="567" w:firstLine="567"/>
      </w:pPr>
      <w:r w:rsidRPr="008048D0">
        <w:t>c)</w:t>
      </w:r>
      <w:r w:rsidRPr="008048D0">
        <w:tab/>
        <w:t>Aprovechar la financiación internacional privada, promover la financiación combinada, aplicar estrategias de obtención de recursos nuevos y adicionales y alentar al sector privado a invertir en biodiversidad, entre otras cosas, mediante fondos de impacto y otros instrumentos, en consonancia con la meta 19 c) del Marco, con salvaguardias ambientales y sociales;</w:t>
      </w:r>
    </w:p>
    <w:p w14:paraId="2A487CC4" w14:textId="77777777" w:rsidR="00331698" w:rsidRPr="008048D0" w:rsidRDefault="00331698" w:rsidP="00223F8F">
      <w:pPr>
        <w:pStyle w:val="CBDNormalNoNumber"/>
        <w:ind w:left="567" w:firstLine="567"/>
      </w:pPr>
      <w:r w:rsidRPr="008048D0">
        <w:t>d)</w:t>
      </w:r>
      <w:r w:rsidRPr="008048D0">
        <w:tab/>
        <w:t>Mejorar el acceso al mercado para actividades, productos y servicios sostenibles basados en la biodiversidad que mejoren la conservación y la utilización sostenible de la diversidad biológica;</w:t>
      </w:r>
    </w:p>
    <w:p w14:paraId="39E72D4A" w14:textId="278429ED" w:rsidR="00331698" w:rsidRPr="008048D0" w:rsidRDefault="00331698" w:rsidP="00223F8F">
      <w:pPr>
        <w:pStyle w:val="CBDNormalNoNumber"/>
        <w:ind w:left="567" w:firstLine="567"/>
      </w:pPr>
      <w:r w:rsidRPr="008048D0">
        <w:lastRenderedPageBreak/>
        <w:t>e)</w:t>
      </w:r>
      <w:r w:rsidRPr="008048D0">
        <w:tab/>
        <w:t>Potenciar el papel de las acciones colectivas, incluidas aquellas de los pueblos indígenas y las comunidades locales, las acciones centradas en la Madre Tierra</w:t>
      </w:r>
      <w:r w:rsidRPr="008048D0">
        <w:rPr>
          <w:vertAlign w:val="superscript"/>
        </w:rPr>
        <w:footnoteReference w:id="16"/>
      </w:r>
      <w:r w:rsidRPr="008048D0">
        <w:t xml:space="preserve"> y los enfoques no relacionados el mercado, incluida la gestión comunitaria de los recursos naturales y la cooperación y la solidaridad de la sociedad civil orientadas a la conservación y la utilización sostenible de la diversidad biológica, en consonancia con la meta 19 f) del Marco, considerando la provisión de apoyo financiero internacional para tales acciones y enfoques o la ampliación de ese apoyo;</w:t>
      </w:r>
    </w:p>
    <w:p w14:paraId="3766C22C" w14:textId="6B4653ED" w:rsidR="00331698" w:rsidRPr="008048D0" w:rsidRDefault="00893281" w:rsidP="00223F8F">
      <w:pPr>
        <w:pStyle w:val="CBDNormalNoNumber"/>
        <w:ind w:left="567" w:firstLine="567"/>
      </w:pPr>
      <w:r w:rsidRPr="008048D0">
        <w:t>f)</w:t>
      </w:r>
      <w:r w:rsidRPr="008048D0">
        <w:tab/>
        <w:t>Mejorar la aplicación de los acuerdos relacionados con el acceso a los recursos genéticos y la participación justa y equitativa en los beneficios que se deriven de su utilización, incluso, según proceda, a través de enfoques multilaterales, teniendo en cuenta sus distintos objetivos.</w:t>
      </w:r>
    </w:p>
    <w:p w14:paraId="7C33DC89" w14:textId="040E9799" w:rsidR="00331698" w:rsidRPr="008048D0" w:rsidRDefault="00331698" w:rsidP="00223F8F">
      <w:pPr>
        <w:pStyle w:val="CBDH3"/>
      </w:pPr>
      <w:r w:rsidRPr="008048D0">
        <w:t>2.</w:t>
      </w:r>
      <w:r w:rsidRPr="008048D0">
        <w:tab/>
        <w:t>Identificación y eliminación, eliminación gradual o reforma de corrientes de recursos financieros que ocasionan daños a la diversidad biológica y su armonización progresiva con los objetivos y las metas del Marco Mundial de Biodiversidad de Kunming-Montreal</w:t>
      </w:r>
    </w:p>
    <w:p w14:paraId="6CA069B4" w14:textId="1FB709F1" w:rsidR="00331698" w:rsidRPr="008048D0" w:rsidRDefault="00331698" w:rsidP="00223F8F">
      <w:pPr>
        <w:pStyle w:val="CBDDesicionText"/>
        <w:rPr>
          <w:i/>
          <w:iCs/>
        </w:rPr>
      </w:pPr>
      <w:r w:rsidRPr="008048D0">
        <w:t>8.</w:t>
      </w:r>
      <w:r w:rsidRPr="008048D0">
        <w:tab/>
        <w:t>Las corrientes de recursos financieros públicos y privados que ocasionan daños a la diversidad biológica se pueden identificar y eliminar, eliminar gradualmente o reformar y armonizar progresivamente con los objetivos y metas del Marco, mediante lo siguiente:</w:t>
      </w:r>
    </w:p>
    <w:p w14:paraId="61041AFF" w14:textId="4C0520BE" w:rsidR="00331698" w:rsidRPr="008048D0" w:rsidRDefault="00331698" w:rsidP="00223F8F">
      <w:pPr>
        <w:pStyle w:val="CBDNormalNoNumber"/>
        <w:ind w:left="567" w:firstLine="567"/>
      </w:pPr>
      <w:r w:rsidRPr="008048D0">
        <w:rPr>
          <w:rFonts w:asciiTheme="majorBidi" w:hAnsiTheme="majorBidi"/>
        </w:rPr>
        <w:t>a)</w:t>
      </w:r>
      <w:r w:rsidRPr="008048D0">
        <w:rPr>
          <w:rFonts w:asciiTheme="majorBidi" w:hAnsiTheme="majorBidi"/>
        </w:rPr>
        <w:tab/>
      </w:r>
      <w:r w:rsidRPr="008048D0">
        <w:t>Integrando la diversidad biológica en la cooperación para el desarrollo alentando, en la medida de lo posible, y en consonancia con sus respectivos mandatos, a los organismos y bancos de cooperación para el desarrollo, los bancos multilaterales de desarrollo, las instituciones financieras internacionales y las organizaciones filantrópicas a que ajusten sus carteras y prácticas, con miras a armonizar progresivamente sus corrientes financieras, en consonancia con la meta 14 del Marco, de una manera que apoye el logro del desarrollo sostenible, incluidos los esfuerzos de erradicación de la pobreza;</w:t>
      </w:r>
    </w:p>
    <w:p w14:paraId="758C852C" w14:textId="5C906941" w:rsidR="00331698" w:rsidRPr="008048D0" w:rsidRDefault="00331698" w:rsidP="00223F8F">
      <w:pPr>
        <w:pStyle w:val="CBDNormalNoNumber"/>
        <w:ind w:left="567" w:firstLine="567"/>
      </w:pPr>
      <w:r w:rsidRPr="008048D0">
        <w:t>b)</w:t>
      </w:r>
      <w:r w:rsidRPr="008048D0">
        <w:tab/>
        <w:t>Alentando y habilitando a las empresas internacionales, y en particular a las grandes empresas transnacionales y a las instituciones financieras, para que hagan periódicamente un seguimiento y una evaluación de sus riesgos, dependencias de la biodiversidad e impactos en ella y los den a conocer de manera transparente, de manera proporcional y flexible, en consonancia con la meta 15 del Marco, incluso a través de marcos de divulgación</w:t>
      </w:r>
      <w:r w:rsidRPr="008048D0">
        <w:rPr>
          <w:rStyle w:val="FootnoteReference"/>
        </w:rPr>
        <w:footnoteReference w:id="17"/>
      </w:r>
      <w:r w:rsidRPr="008048D0">
        <w:t xml:space="preserve"> y normas de presentación de informes relacionados con la naturaleza;</w:t>
      </w:r>
    </w:p>
    <w:p w14:paraId="2ADDCF57" w14:textId="2868B8FC" w:rsidR="00331698" w:rsidRPr="008048D0" w:rsidRDefault="00331698" w:rsidP="00223F8F">
      <w:pPr>
        <w:pStyle w:val="CBDNormalNoNumber"/>
        <w:ind w:left="567" w:firstLine="567"/>
      </w:pPr>
      <w:r w:rsidRPr="008048D0">
        <w:rPr>
          <w:rFonts w:asciiTheme="majorBidi" w:hAnsiTheme="majorBidi"/>
        </w:rPr>
        <w:t>c)</w:t>
      </w:r>
      <w:r w:rsidRPr="008048D0">
        <w:tab/>
        <w:t>Adoptando a nivel internacional medidas eficaces referidas a los incentivos, incluidos los subsidios, que sean perjudiciales para la diversidad biológica, en consonancia con la meta 18 del Marco.</w:t>
      </w:r>
    </w:p>
    <w:p w14:paraId="1A67F4E1" w14:textId="048FBAC5" w:rsidR="00331698" w:rsidRPr="008048D0" w:rsidRDefault="00331698" w:rsidP="00223F8F">
      <w:pPr>
        <w:pStyle w:val="CBDH3"/>
      </w:pPr>
      <w:r w:rsidRPr="008048D0">
        <w:t>3.</w:t>
      </w:r>
      <w:r w:rsidRPr="008048D0">
        <w:tab/>
        <w:t>Mejora de la adopción, accesibilidad, eficacia, eficiencia, transparencia y rendición de cuentas en la provisión y utilización de los recursos</w:t>
      </w:r>
    </w:p>
    <w:p w14:paraId="212A1F07" w14:textId="77777777" w:rsidR="00331698" w:rsidRPr="008048D0" w:rsidRDefault="00331698" w:rsidP="00223F8F">
      <w:pPr>
        <w:pStyle w:val="CBDDesicionText"/>
      </w:pPr>
      <w:r w:rsidRPr="008048D0">
        <w:t>9.</w:t>
      </w:r>
      <w:r w:rsidRPr="008048D0">
        <w:tab/>
        <w:t>La adopción, accesibilidad, eficacia, eficiencia, transparencia y rendición de cuentas en la provisión y utilización de los recursos pueden mejorarse mediante lo siguiente:</w:t>
      </w:r>
    </w:p>
    <w:p w14:paraId="67F5075D" w14:textId="77777777" w:rsidR="00331698" w:rsidRPr="008048D0" w:rsidRDefault="00331698" w:rsidP="00223F8F">
      <w:pPr>
        <w:pStyle w:val="CBDNormalNoNumber"/>
        <w:ind w:left="567" w:firstLine="567"/>
      </w:pPr>
      <w:r w:rsidRPr="008048D0">
        <w:rPr>
          <w:rFonts w:asciiTheme="majorBidi" w:hAnsiTheme="majorBidi"/>
        </w:rPr>
        <w:t>a)</w:t>
      </w:r>
      <w:r w:rsidRPr="008048D0">
        <w:rPr>
          <w:rFonts w:asciiTheme="majorBidi" w:hAnsiTheme="majorBidi"/>
        </w:rPr>
        <w:tab/>
      </w:r>
      <w:r w:rsidRPr="008048D0">
        <w:t>La adopción continua de medidas por parte del Fondo para el Medio Ambiente Mundial tendientes a mejorar sus operaciones y modalidades de acceso;</w:t>
      </w:r>
    </w:p>
    <w:p w14:paraId="3E2860FD" w14:textId="512AF0A7" w:rsidR="00331698" w:rsidRPr="008048D0" w:rsidRDefault="00331698" w:rsidP="00223F8F">
      <w:pPr>
        <w:pStyle w:val="CBDNormalNoNumber"/>
        <w:ind w:left="567" w:firstLine="567"/>
      </w:pPr>
      <w:r w:rsidRPr="008048D0">
        <w:rPr>
          <w:rFonts w:asciiTheme="majorBidi" w:hAnsiTheme="majorBidi"/>
        </w:rPr>
        <w:t>b)</w:t>
      </w:r>
      <w:r w:rsidRPr="008048D0">
        <w:rPr>
          <w:rFonts w:asciiTheme="majorBidi" w:hAnsiTheme="majorBidi"/>
        </w:rPr>
        <w:tab/>
      </w:r>
      <w:r w:rsidRPr="008048D0">
        <w:t>La simplificación de las modalidades de acceso a la financiación de la biodiversidad brindada por las instituciones financieras internacionales, incluidos bancos multilaterales de desarrollo, y organizaciones filantrópicas, en particular para los pueblos indígenas y las comunidades locales, las mujeres y la juventud;</w:t>
      </w:r>
    </w:p>
    <w:p w14:paraId="2E1D9A76" w14:textId="77777777" w:rsidR="00331698" w:rsidRPr="008048D0" w:rsidRDefault="00331698" w:rsidP="00223F8F">
      <w:pPr>
        <w:pStyle w:val="CBDNormalNoNumber"/>
        <w:ind w:left="567" w:firstLine="567"/>
        <w:rPr>
          <w:strike/>
        </w:rPr>
      </w:pPr>
      <w:r w:rsidRPr="008048D0">
        <w:rPr>
          <w:rFonts w:asciiTheme="majorBidi" w:hAnsiTheme="majorBidi"/>
        </w:rPr>
        <w:lastRenderedPageBreak/>
        <w:t>c)</w:t>
      </w:r>
      <w:r w:rsidRPr="008048D0">
        <w:rPr>
          <w:rFonts w:asciiTheme="majorBidi" w:hAnsiTheme="majorBidi"/>
        </w:rPr>
        <w:tab/>
      </w:r>
      <w:r w:rsidRPr="008048D0">
        <w:t>El aumento de la transparencia y la rendición de cuentas, así como el seguimiento, la evaluación y la divulgación transparente de la financiación internacional pública y privada relacionada con la biodiversidad en todos los niveles;</w:t>
      </w:r>
    </w:p>
    <w:p w14:paraId="40BB5E75" w14:textId="775F2961" w:rsidR="00331698" w:rsidRPr="008048D0" w:rsidRDefault="00331698" w:rsidP="00223F8F">
      <w:pPr>
        <w:pStyle w:val="CBDNormalNoNumber"/>
        <w:ind w:left="567" w:firstLine="567"/>
      </w:pPr>
      <w:r w:rsidRPr="008048D0">
        <w:rPr>
          <w:rFonts w:asciiTheme="majorBidi" w:hAnsiTheme="majorBidi"/>
        </w:rPr>
        <w:t>d)</w:t>
      </w:r>
      <w:r w:rsidRPr="008048D0">
        <w:rPr>
          <w:rFonts w:asciiTheme="majorBidi" w:hAnsiTheme="majorBidi"/>
        </w:rPr>
        <w:tab/>
      </w:r>
      <w:r w:rsidRPr="008048D0">
        <w:t>Aprovechando y ampliando las sinergias y las complementariedades en la elaboración y la financiación de proyectos, incluida la financiación destinada a los Objetivos de Desarrollo Sostenible y, en particular, las crisis de la biodiversidad y del clima, aumentando a la vez la transparencia en la presentación de informes, con miras a optimizar los beneficios secundarios para la biodiversidad y las sinergias entre las fuentes internacionales de financiación, en consonancia con la meta 19 e del Marco);</w:t>
      </w:r>
    </w:p>
    <w:p w14:paraId="6F23942E" w14:textId="77777777" w:rsidR="00331698" w:rsidRPr="008048D0" w:rsidRDefault="00331698" w:rsidP="00223F8F">
      <w:pPr>
        <w:pStyle w:val="CBDNormalNoNumber"/>
        <w:ind w:left="567" w:firstLine="567"/>
      </w:pPr>
      <w:r w:rsidRPr="008048D0">
        <w:rPr>
          <w:rFonts w:asciiTheme="majorBidi" w:hAnsiTheme="majorBidi"/>
        </w:rPr>
        <w:t>e)</w:t>
      </w:r>
      <w:r w:rsidRPr="008048D0">
        <w:tab/>
        <w:t>Dirigiendo recursos internacionales que estén accesibles más rápidamente hacia asociados clave en la implementación, en particular los pueblos indígenas y las comunidades locales, las mujeres y la juventud, a nivel regional, nacional y local, y facilitando las asociaciones para mejorar la sensibilidad del público y la receptividad a las cuestiones de género, garantizando la participación de la comunidad y la obtención de resultados sobre el terreno, entre otras cosas, según proceda, para las acciones colectivas, los enfoques centrados en la Madre Tierra y los enfoques no relacionados con el mercado;</w:t>
      </w:r>
    </w:p>
    <w:p w14:paraId="42F89535" w14:textId="18C371F7" w:rsidR="00331698" w:rsidRPr="008048D0" w:rsidRDefault="00331698" w:rsidP="00223F8F">
      <w:pPr>
        <w:pStyle w:val="CBDNormalNoNumber"/>
        <w:ind w:left="567" w:firstLine="567"/>
      </w:pPr>
      <w:r w:rsidRPr="008048D0">
        <w:rPr>
          <w:rFonts w:asciiTheme="majorBidi" w:hAnsiTheme="majorBidi"/>
        </w:rPr>
        <w:t>f)</w:t>
      </w:r>
      <w:r w:rsidRPr="008048D0">
        <w:tab/>
        <w:t>Fortaleciendo la implicación y la capacidad para obtener acceso a financiación de las Partes, así como de los pueblos indígenas y las comunidades locales, las mujeres, la juventud y otros interesados;</w:t>
      </w:r>
    </w:p>
    <w:p w14:paraId="5580ECB1" w14:textId="51D08FA9" w:rsidR="00331698" w:rsidRPr="008048D0" w:rsidRDefault="00331698" w:rsidP="00814B0C">
      <w:pPr>
        <w:tabs>
          <w:tab w:val="left" w:pos="1170"/>
        </w:tabs>
        <w:spacing w:before="120"/>
        <w:ind w:left="567" w:firstLine="561"/>
      </w:pPr>
      <w:r w:rsidRPr="008048D0">
        <w:t>g)</w:t>
      </w:r>
      <w:r w:rsidRPr="008048D0">
        <w:tab/>
        <w:t>Alentando al sistema de las Naciones Unidas para el desarrollo a seguir reforzando, según se requiera, la capacidad de los equipos de las Naciones Unidas en los países para brindar apoyo a los países donde se ejecutan programas, cuando lo soliciten, para integrar las prioridades que hayan definido en las estrategias y planes de acción nacionales en materia de biodiversidad y otros instrumentos nacionales de planificación de la biodiversidad en los marcos de cooperación de las Naciones Unidas para el desarrollo sostenible;</w:t>
      </w:r>
    </w:p>
    <w:p w14:paraId="4E05255B" w14:textId="49243450" w:rsidR="00331698" w:rsidRPr="008048D0" w:rsidRDefault="00331698" w:rsidP="00223F8F">
      <w:pPr>
        <w:pStyle w:val="CBDNormalNoNumber"/>
        <w:ind w:left="567" w:firstLine="567"/>
      </w:pPr>
      <w:r w:rsidRPr="008048D0">
        <w:rPr>
          <w:rFonts w:asciiTheme="majorBidi" w:hAnsiTheme="majorBidi"/>
        </w:rPr>
        <w:t>h)</w:t>
      </w:r>
      <w:r w:rsidRPr="008048D0">
        <w:rPr>
          <w:rFonts w:asciiTheme="majorBidi" w:hAnsiTheme="majorBidi"/>
        </w:rPr>
        <w:tab/>
      </w:r>
      <w:r w:rsidRPr="008048D0">
        <w:t>Utilizando, según proceda, financiación internacional para aprovechar la financiación nacional pública y privada de la biodiversidad, incluso para apoyar la implementación de planes nacionales de financiación de la biodiversidad.</w:t>
      </w:r>
    </w:p>
    <w:p w14:paraId="3676F2D8" w14:textId="77777777" w:rsidR="00331698" w:rsidRPr="008048D0" w:rsidRDefault="00331698" w:rsidP="00223F8F">
      <w:pPr>
        <w:pStyle w:val="CBDH3"/>
        <w:rPr>
          <w:rFonts w:eastAsia="DengXian Light"/>
          <w:bCs/>
          <w:sz w:val="24"/>
          <w:szCs w:val="26"/>
        </w:rPr>
      </w:pPr>
      <w:r w:rsidRPr="008048D0">
        <w:t>B.</w:t>
      </w:r>
      <w:r w:rsidRPr="008048D0">
        <w:tab/>
        <w:t>Aumento significativo de la movilización de recursos nacionales de todas las fuentes</w:t>
      </w:r>
    </w:p>
    <w:p w14:paraId="0C4F19B2" w14:textId="77777777" w:rsidR="00331698" w:rsidRPr="008048D0" w:rsidRDefault="00331698" w:rsidP="00223F8F">
      <w:pPr>
        <w:pStyle w:val="CBDH4"/>
        <w:rPr>
          <w:rFonts w:eastAsia="DengXian Light"/>
          <w:bCs/>
        </w:rPr>
      </w:pPr>
      <w:r w:rsidRPr="008048D0">
        <w:t>1.</w:t>
      </w:r>
      <w:r w:rsidRPr="008048D0">
        <w:tab/>
        <w:t>Recursos nuevos y adicionales</w:t>
      </w:r>
    </w:p>
    <w:p w14:paraId="5199713E" w14:textId="15AC3A93" w:rsidR="00331698" w:rsidRPr="008048D0" w:rsidRDefault="00331698" w:rsidP="00223F8F">
      <w:pPr>
        <w:pStyle w:val="CBDDesicionText"/>
      </w:pPr>
      <w:r w:rsidRPr="008048D0">
        <w:t>10.</w:t>
      </w:r>
      <w:r w:rsidRPr="008048D0">
        <w:tab/>
        <w:t>Se movilizan recursos nuevos y adicionales con miras a lograr un aumento significativo de la movilización de recursos nacionales, en consonancia con la meta 19 b) del Marco, mediante lo siguiente:</w:t>
      </w:r>
    </w:p>
    <w:p w14:paraId="069A3E7B" w14:textId="04430F72" w:rsidR="00331698" w:rsidRPr="008048D0" w:rsidRDefault="00331698" w:rsidP="00223F8F">
      <w:pPr>
        <w:pStyle w:val="CBDNormalNoNumber"/>
        <w:ind w:left="567" w:firstLine="567"/>
      </w:pPr>
      <w:r w:rsidRPr="008048D0">
        <w:t>a)</w:t>
      </w:r>
      <w:r w:rsidRPr="008048D0">
        <w:tab/>
        <w:t>El compromiso de cada Parte de proporcionar, con arreglo a sus capacidades, apoyo e incentivos financieros respecto de las actividades nacionales que tengan la finalidad de alcanzar los objetivos del Convenio, de conformidad con sus planes, prioridades y programas nacionales, en consonancia con el artículo </w:t>
      </w:r>
      <w:hyperlink r:id="rId43" w:history="1">
        <w:r w:rsidRPr="008048D0">
          <w:rPr>
            <w:rStyle w:val="Hyperlink"/>
          </w:rPr>
          <w:t>20</w:t>
        </w:r>
      </w:hyperlink>
      <w:r w:rsidRPr="008048D0">
        <w:t xml:space="preserve"> del Convenio;</w:t>
      </w:r>
    </w:p>
    <w:p w14:paraId="665B97D3" w14:textId="77F23690" w:rsidR="00331698" w:rsidRPr="008048D0" w:rsidRDefault="00331698" w:rsidP="00223F8F">
      <w:pPr>
        <w:pStyle w:val="CBDNormalNoNumber"/>
        <w:ind w:left="567" w:firstLine="567"/>
      </w:pPr>
      <w:r w:rsidRPr="008048D0">
        <w:t>b)</w:t>
      </w:r>
      <w:r w:rsidRPr="008048D0">
        <w:tab/>
        <w:t>La consideración, por otros Gobiernos, de la posibilidad de aumentar su financiación nacional para la biodiversidad;</w:t>
      </w:r>
    </w:p>
    <w:p w14:paraId="62DC5AC2" w14:textId="1EEBD71C" w:rsidR="00331698" w:rsidRPr="008048D0" w:rsidRDefault="00331698" w:rsidP="00223F8F">
      <w:pPr>
        <w:pStyle w:val="CBDNormalNoNumber"/>
        <w:ind w:left="567" w:firstLine="567"/>
      </w:pPr>
      <w:r w:rsidRPr="008048D0">
        <w:t>c)</w:t>
      </w:r>
      <w:r w:rsidRPr="008048D0">
        <w:tab/>
        <w:t>La consideración, por actores financieros privados, incluidas organizaciones filantrópicas, de la posibilidad de aumentar su financiación nacional para la biodiversidad.</w:t>
      </w:r>
    </w:p>
    <w:p w14:paraId="3A92ADE7" w14:textId="428956D1" w:rsidR="00331698" w:rsidRPr="008048D0" w:rsidRDefault="00331698" w:rsidP="00223F8F">
      <w:pPr>
        <w:pStyle w:val="CBDDesicionText"/>
      </w:pPr>
      <w:r w:rsidRPr="008048D0">
        <w:t>11.</w:t>
      </w:r>
      <w:r w:rsidRPr="008048D0">
        <w:tab/>
        <w:t>Se podrán movilizar además recursos nuevos y adicionales mediante lo siguiente:</w:t>
      </w:r>
    </w:p>
    <w:p w14:paraId="28264033" w14:textId="77E84BD0" w:rsidR="00331698" w:rsidRPr="008048D0" w:rsidRDefault="00331698" w:rsidP="00223F8F">
      <w:pPr>
        <w:pStyle w:val="CBDNormalNoNumber"/>
        <w:ind w:left="567" w:firstLine="567"/>
      </w:pPr>
      <w:r w:rsidRPr="008048D0">
        <w:t>a)</w:t>
      </w:r>
      <w:r w:rsidRPr="008048D0">
        <w:tab/>
        <w:t>Optimizando los beneficios secundarios y las sinergias de la financiación destinada a atender las crisis de la biodiversidad y del clima, en consonancia con la meta 19 e) del Marco;</w:t>
      </w:r>
    </w:p>
    <w:p w14:paraId="5E79B0BA" w14:textId="3287BD5F" w:rsidR="00331698" w:rsidRPr="008048D0" w:rsidRDefault="00331698" w:rsidP="00223F8F">
      <w:pPr>
        <w:pStyle w:val="CBDNormalNoNumber"/>
        <w:ind w:left="567" w:firstLine="567"/>
      </w:pPr>
      <w:r w:rsidRPr="008048D0">
        <w:t>b)</w:t>
      </w:r>
      <w:r w:rsidRPr="008048D0">
        <w:tab/>
        <w:t>Ampliando los incentivos positivos para la conservación y la utilización sostenible de la diversidad biológica, en consonancia con la meta 18 del Marco;</w:t>
      </w:r>
    </w:p>
    <w:p w14:paraId="7D7DC55B" w14:textId="01704BB7" w:rsidR="00331698" w:rsidRPr="008048D0" w:rsidRDefault="00331698" w:rsidP="00223F8F">
      <w:pPr>
        <w:pStyle w:val="CBDNormalNoNumber"/>
        <w:ind w:left="567" w:firstLine="567"/>
      </w:pPr>
      <w:r w:rsidRPr="008048D0">
        <w:lastRenderedPageBreak/>
        <w:t>c)</w:t>
      </w:r>
      <w:r w:rsidRPr="008048D0">
        <w:tab/>
        <w:t xml:space="preserve">Aumentando significativamente la financiación nacional privada para la diversidad biológica, incluida aquella de organizaciones filantrópicas, aprovechando la financiación privada, promoviendo la financiación combinada, aplicando estrategias de obtención de recursos nuevos y adicionales y alentando al sector privado, incluido el sector filantrópico, a invertir en biodiversidad, entre otras cosas, mediante fondos de impacto y otros instrumentos, en consonancia con la meta 19 c) del Marco, con salvaguardias ambientales y sociales, mediante asociaciones según proceda; </w:t>
      </w:r>
    </w:p>
    <w:p w14:paraId="5D092294" w14:textId="4BD6CE26" w:rsidR="00331698" w:rsidRPr="008048D0" w:rsidRDefault="00331698" w:rsidP="00223F8F">
      <w:pPr>
        <w:pStyle w:val="CBDNormalNoNumber"/>
        <w:ind w:left="567" w:firstLine="567"/>
      </w:pPr>
      <w:r w:rsidRPr="008048D0">
        <w:t>d)</w:t>
      </w:r>
      <w:r w:rsidRPr="008048D0">
        <w:tab/>
        <w:t>Estimulando planes innovadores, con salvaguardias ambientales y sociales, en consonancia con la meta 19 d) del Marco;</w:t>
      </w:r>
    </w:p>
    <w:p w14:paraId="42805E9C" w14:textId="73C75A56" w:rsidR="00331698" w:rsidRPr="008048D0" w:rsidRDefault="00331698" w:rsidP="00223F8F">
      <w:pPr>
        <w:pStyle w:val="CBDNormalNoNumber"/>
        <w:ind w:left="567" w:firstLine="567"/>
      </w:pPr>
      <w:r w:rsidRPr="008048D0">
        <w:t>e)</w:t>
      </w:r>
      <w:r w:rsidRPr="008048D0">
        <w:tab/>
        <w:t>Potenciando el papel de las acciones colectivas, incluidas aquellas de los pueblos indígenas y las comunidades locales, las mujeres y la juventud, así como las acciones centradas en la Madre Tierra y los enfoques no relacionados con el mercado, en consonancia con la meta 19 f) del Marco, considerando, según proceda y de conformidad con la legislación y las circunstancias nacionales, la realización de las actividades siguientes:</w:t>
      </w:r>
    </w:p>
    <w:p w14:paraId="51BA4E27" w14:textId="5F79D2FA" w:rsidR="00331698" w:rsidRPr="008048D0" w:rsidRDefault="00331698" w:rsidP="00223F8F">
      <w:pPr>
        <w:pStyle w:val="CBDNormalNoNumber"/>
        <w:ind w:left="1701" w:hanging="567"/>
      </w:pPr>
      <w:r w:rsidRPr="008048D0">
        <w:t>i)</w:t>
      </w:r>
      <w:r w:rsidRPr="008048D0">
        <w:tab/>
        <w:t>Elaborar y aplicar instrumentos de políticas para la conservación, la utilización sostenible y la restauración de la diversidad biológica que se basen en esas acciones y enfoques;</w:t>
      </w:r>
    </w:p>
    <w:p w14:paraId="735512F2" w14:textId="032E8AED" w:rsidR="00331698" w:rsidRPr="008048D0" w:rsidRDefault="00331698" w:rsidP="00223F8F">
      <w:pPr>
        <w:pStyle w:val="CBDNormalNoNumber"/>
        <w:ind w:left="1701" w:hanging="567"/>
      </w:pPr>
      <w:r w:rsidRPr="008048D0">
        <w:t>ii)</w:t>
      </w:r>
      <w:r w:rsidRPr="008048D0">
        <w:tab/>
        <w:t>Integrar esas acciones y enfoques en medidas y marcos para promover modalidades de producción y consumo sostenibles, contribuyendo así al Objetivo de Desarrollo Sostenible 12;</w:t>
      </w:r>
    </w:p>
    <w:p w14:paraId="21C4B385" w14:textId="2B944725" w:rsidR="00331698" w:rsidRPr="008048D0" w:rsidRDefault="00331698" w:rsidP="00223F8F">
      <w:pPr>
        <w:pStyle w:val="CBDNormalNoNumber"/>
        <w:ind w:left="1701" w:hanging="567"/>
      </w:pPr>
      <w:bookmarkStart w:id="5" w:name="_Hlk181277563"/>
      <w:r w:rsidRPr="008048D0">
        <w:t>iii)</w:t>
      </w:r>
      <w:r w:rsidRPr="008048D0">
        <w:tab/>
        <w:t>Reforzar sistemas de valores diferentes, incluido para vivir bien en equilibrio y armonía con la Madre Tierra;</w:t>
      </w:r>
    </w:p>
    <w:bookmarkEnd w:id="5"/>
    <w:p w14:paraId="1227B47C" w14:textId="7A2FC29E" w:rsidR="00331698" w:rsidRPr="008048D0" w:rsidRDefault="00331698" w:rsidP="00223F8F">
      <w:pPr>
        <w:pStyle w:val="CBDNormalNoNumber"/>
        <w:ind w:left="1701" w:hanging="567"/>
      </w:pPr>
      <w:r w:rsidRPr="008048D0">
        <w:t>iv)</w:t>
      </w:r>
      <w:r w:rsidRPr="008048D0">
        <w:tab/>
        <w:t>Reforzar los derechos de la naturaleza y los derechos de la Madre Tierra para aquellos países que los reconocen;</w:t>
      </w:r>
    </w:p>
    <w:p w14:paraId="77F37A33" w14:textId="154A2581" w:rsidR="00331698" w:rsidRPr="008048D0" w:rsidRDefault="00331698" w:rsidP="00223F8F">
      <w:pPr>
        <w:pStyle w:val="CBDNormalNoNumber"/>
        <w:ind w:left="567" w:firstLine="567"/>
      </w:pPr>
      <w:r w:rsidRPr="008048D0">
        <w:t>f)</w:t>
      </w:r>
      <w:r w:rsidRPr="008048D0">
        <w:tab/>
        <w:t>Aumentar significativamente el empleo de soluciones basadas en la naturaleza y/o enfoques basados en los ecosistemas a nivel nacional y subnacional, con sus salvaguardias ambientales y sociales</w:t>
      </w:r>
      <w:r w:rsidRPr="008048D0">
        <w:rPr>
          <w:rStyle w:val="FootnoteReference"/>
        </w:rPr>
        <w:footnoteReference w:id="18"/>
      </w:r>
      <w:r w:rsidRPr="008048D0">
        <w:t>.</w:t>
      </w:r>
    </w:p>
    <w:p w14:paraId="52A3FF32" w14:textId="1D6BF5D3" w:rsidR="00331698" w:rsidRPr="008048D0" w:rsidRDefault="00331698" w:rsidP="00223F8F">
      <w:pPr>
        <w:pStyle w:val="CBDH3"/>
      </w:pPr>
      <w:r w:rsidRPr="008048D0">
        <w:t>2.</w:t>
      </w:r>
      <w:r w:rsidRPr="008048D0">
        <w:tab/>
        <w:t xml:space="preserve">Identificación y eliminación, eliminación gradual o reforma de corrientes de recursos financieros que ocasionan daños a la diversidad biológica y su armonización progresiva con los objetivos y la meta del Marco Mundial de Biodiversidad de Kunming-Montreal </w:t>
      </w:r>
    </w:p>
    <w:p w14:paraId="788206FD" w14:textId="28353C91" w:rsidR="00331698" w:rsidRPr="008048D0" w:rsidRDefault="00331698" w:rsidP="00223F8F">
      <w:pPr>
        <w:pStyle w:val="CBDDesicionText"/>
      </w:pPr>
      <w:r w:rsidRPr="008048D0">
        <w:t>12.</w:t>
      </w:r>
      <w:r w:rsidRPr="008048D0">
        <w:tab/>
        <w:t>Las corrientes de recursos financieros que ocasionan daños a la diversidad biológica se pueden identificar y eliminar, eliminar gradualmente o reformar y armonizar progresivamente con los objetivos y metas del Marco mediante lo siguiente:</w:t>
      </w:r>
    </w:p>
    <w:p w14:paraId="2F531258" w14:textId="73C140D0" w:rsidR="00331698" w:rsidRPr="008048D0" w:rsidRDefault="00331698" w:rsidP="00223F8F">
      <w:pPr>
        <w:pStyle w:val="CBDNormalNoNumber"/>
        <w:ind w:left="567" w:firstLine="567"/>
      </w:pPr>
      <w:r w:rsidRPr="008048D0">
        <w:t>a)</w:t>
      </w:r>
      <w:r w:rsidRPr="008048D0">
        <w:tab/>
        <w:t>Integrando la diversidad biológica en los presupuestos públicos mediante la armonización progresiva con los objetivos del Convenio y los objetivos y las metas del Marco de todas las actividades y corrientes fiscales y financieras públicas pertinentes;</w:t>
      </w:r>
    </w:p>
    <w:p w14:paraId="20F38C51" w14:textId="77777777" w:rsidR="00331698" w:rsidRPr="008048D0" w:rsidRDefault="00331698" w:rsidP="00223F8F">
      <w:pPr>
        <w:pStyle w:val="CBDNormalNoNumber"/>
        <w:ind w:left="567" w:firstLine="567"/>
      </w:pPr>
      <w:r w:rsidRPr="008048D0">
        <w:t>b)</w:t>
      </w:r>
      <w:r w:rsidRPr="008048D0">
        <w:tab/>
        <w:t>Integrando la diversidad biológica en el sector privado mediante la armonización progresiva con los objetivos del Convenio y los objetivos y las metas del Marco de todas las actividades y corrientes fiscales y financieras privadas pertinentes;</w:t>
      </w:r>
    </w:p>
    <w:p w14:paraId="3A5ACACE" w14:textId="1D6144DE" w:rsidR="00331698" w:rsidRPr="008048D0" w:rsidRDefault="00331698" w:rsidP="00223F8F">
      <w:pPr>
        <w:pStyle w:val="CBDNormalNoNumber"/>
        <w:ind w:left="567" w:firstLine="567"/>
      </w:pPr>
      <w:r w:rsidRPr="008048D0">
        <w:t>c)</w:t>
      </w:r>
      <w:r w:rsidRPr="008048D0">
        <w:tab/>
        <w:t>Integrando la diversidad biológica, según proceda, en las políticas de los bancos centrales u otras autoridades reguladoras nacionales, teniendo en cuenta los mandatos específicos pertinentes;</w:t>
      </w:r>
    </w:p>
    <w:p w14:paraId="48231056" w14:textId="6D44E1AB" w:rsidR="00331698" w:rsidRPr="008048D0" w:rsidRDefault="00331698" w:rsidP="00223F8F">
      <w:pPr>
        <w:pStyle w:val="CBDNormalNoNumber"/>
        <w:ind w:left="567" w:firstLine="567"/>
      </w:pPr>
      <w:r w:rsidRPr="008048D0">
        <w:t>d)</w:t>
      </w:r>
      <w:r w:rsidRPr="008048D0">
        <w:tab/>
        <w:t xml:space="preserve">Adoptando medidas nacionales eficaces en materia de incentivos, incluidos los subsidios, perjudiciales para la diversidad biológica, en consonancia con la meta 18 del Marco, teniendo en cuenta las orientaciones adoptadas en la decisión </w:t>
      </w:r>
      <w:hyperlink r:id="rId44" w:history="1">
        <w:r w:rsidRPr="008048D0">
          <w:rPr>
            <w:rStyle w:val="Hyperlink"/>
          </w:rPr>
          <w:t>XII/3</w:t>
        </w:r>
      </w:hyperlink>
      <w:r w:rsidRPr="008048D0">
        <w:t>, de 17 de octubre de 2014;</w:t>
      </w:r>
    </w:p>
    <w:p w14:paraId="0436825F" w14:textId="7847A35B" w:rsidR="00331698" w:rsidRPr="008048D0" w:rsidRDefault="00331698" w:rsidP="00462D72">
      <w:pPr>
        <w:spacing w:before="120"/>
        <w:ind w:left="567" w:firstLine="556"/>
      </w:pPr>
      <w:r w:rsidRPr="008048D0">
        <w:lastRenderedPageBreak/>
        <w:t>e)</w:t>
      </w:r>
      <w:r w:rsidRPr="008048D0">
        <w:tab/>
        <w:t>Alentando y habilitando a las empresas nacionales para que hagan periódicamente, y en particular asegurándose de que las grandes empresas y las instituciones financieras hagan periódicamente, un seguimiento y una evaluación de sus riesgos, dependencias de la biodiversidad e impactos en ella y los den a conocer de manera transparente, en consonancia con la meta 15 del Marco, incluso a través de marcos de divulgación y normas de presentación de informes relacionados con la naturaleza</w:t>
      </w:r>
      <w:r w:rsidRPr="008048D0">
        <w:rPr>
          <w:rStyle w:val="FootnoteReference"/>
        </w:rPr>
        <w:footnoteReference w:id="19"/>
      </w:r>
      <w:r w:rsidRPr="008048D0">
        <w:t>.</w:t>
      </w:r>
    </w:p>
    <w:p w14:paraId="3A3422CC" w14:textId="6F52C760" w:rsidR="00331698" w:rsidRPr="008048D0" w:rsidRDefault="00331698" w:rsidP="00223F8F">
      <w:pPr>
        <w:pStyle w:val="CBDH4"/>
        <w:rPr>
          <w:rFonts w:eastAsia="DengXian Light"/>
          <w:bCs/>
        </w:rPr>
      </w:pPr>
      <w:r w:rsidRPr="008048D0">
        <w:t>3.</w:t>
      </w:r>
      <w:r w:rsidRPr="008048D0">
        <w:tab/>
        <w:t>Mejora de la adopción, accesibilidad, eficacia, eficiencia, transparencia y rendición de cuentas en la provisión y utilización de los recursos</w:t>
      </w:r>
    </w:p>
    <w:p w14:paraId="7D27ACFE" w14:textId="55B7AEAD" w:rsidR="00331698" w:rsidRPr="008048D0" w:rsidRDefault="00331698" w:rsidP="00223F8F">
      <w:pPr>
        <w:pStyle w:val="CBDDesicionText"/>
      </w:pPr>
      <w:r w:rsidRPr="008048D0">
        <w:t>13.</w:t>
      </w:r>
      <w:r w:rsidRPr="008048D0">
        <w:tab/>
        <w:t>La adopción, accesibilidad, eficacia, eficiencia, transparencia y rendición de cuentas en la provisión y utilización de los recursos pueden mejorarse mediante lo siguiente:</w:t>
      </w:r>
    </w:p>
    <w:p w14:paraId="76249803" w14:textId="41EF8F49" w:rsidR="00331698" w:rsidRPr="008048D0" w:rsidRDefault="00331698" w:rsidP="00223F8F">
      <w:pPr>
        <w:pStyle w:val="CBDNormalNoNumber"/>
        <w:ind w:left="567" w:firstLine="567"/>
      </w:pPr>
      <w:r w:rsidRPr="008048D0">
        <w:t>a)</w:t>
      </w:r>
      <w:r w:rsidRPr="008048D0">
        <w:tab/>
        <w:t>Implicación nacional y subnacional mediante la armonización de las políticas sobre biodiversidad con los planes nacionales de desarrollo;</w:t>
      </w:r>
    </w:p>
    <w:p w14:paraId="74E8A226" w14:textId="220C33C8" w:rsidR="00331698" w:rsidRPr="008048D0" w:rsidRDefault="00331698" w:rsidP="00223F8F">
      <w:pPr>
        <w:pStyle w:val="CBDNormalNoNumber"/>
        <w:ind w:left="567" w:firstLine="567"/>
      </w:pPr>
      <w:r w:rsidRPr="008048D0">
        <w:t>b)</w:t>
      </w:r>
      <w:r w:rsidRPr="008048D0">
        <w:tab/>
        <w:t>Creación y desarrollo de capacidad, asistencia técnica y cooperación tecnológica para la planificación financiera y la utilización y gestión eficaces de los recursos;</w:t>
      </w:r>
    </w:p>
    <w:p w14:paraId="1BA17DC6" w14:textId="75B32D92" w:rsidR="00331698" w:rsidRPr="008048D0" w:rsidRDefault="00331698" w:rsidP="00223F8F">
      <w:pPr>
        <w:pStyle w:val="CBDNormalNoNumber"/>
        <w:ind w:left="567" w:firstLine="567"/>
      </w:pPr>
      <w:r w:rsidRPr="008048D0">
        <w:t>c)</w:t>
      </w:r>
      <w:r w:rsidRPr="008048D0">
        <w:tab/>
        <w:t>Sistemas nacionales de seguimiento que mejoren la transparencia y la rendición de cuentas en la provisión y utilización de los recursos;</w:t>
      </w:r>
    </w:p>
    <w:p w14:paraId="04486ADB" w14:textId="67269B2E" w:rsidR="006D221A" w:rsidRPr="008048D0" w:rsidRDefault="00331698" w:rsidP="003C6A3D">
      <w:pPr>
        <w:pStyle w:val="CBDNormalNoNumber"/>
        <w:ind w:left="567" w:firstLine="567"/>
      </w:pPr>
      <w:r w:rsidRPr="008048D0">
        <w:t>d)</w:t>
      </w:r>
      <w:r w:rsidRPr="008048D0">
        <w:tab/>
        <w:t>Optimización de los beneficios secundarios y las sinergias entre las fuentes de financiación nacionales, incluida la financiación destinada a otros objetivos de desarrollo sostenible y, en particular, a las crisis de la biodiversidad y del clima.</w:t>
      </w:r>
    </w:p>
    <w:p w14:paraId="4F646AAD" w14:textId="3B537852" w:rsidR="008B3005" w:rsidRPr="008048D0" w:rsidRDefault="00A50B8D" w:rsidP="00223F8F">
      <w:pPr>
        <w:pStyle w:val="CBDDesicionAnnex"/>
        <w:spacing w:before="360"/>
        <w:rPr>
          <w:color w:val="000000" w:themeColor="text1"/>
        </w:rPr>
      </w:pPr>
      <w:r w:rsidRPr="008048D0">
        <w:t>Anexo II</w:t>
      </w:r>
    </w:p>
    <w:p w14:paraId="6DEE1A51" w14:textId="7E7DB988" w:rsidR="00B763CA" w:rsidRPr="008048D0" w:rsidRDefault="00AB1406" w:rsidP="00223F8F">
      <w:pPr>
        <w:pStyle w:val="CBDNormal"/>
        <w:ind w:left="567"/>
        <w:rPr>
          <w:i/>
          <w:iCs/>
        </w:rPr>
      </w:pPr>
      <w:r w:rsidRPr="008048D0">
        <w:rPr>
          <w:i/>
        </w:rPr>
        <w:t>Nota: Los puntos que figuran a continuación fueron compilados por el Comité Asesor sobre Movilización de Recursos y, posteriormente, por el grupo de contacto sobre movilización de recursos durante la 16.ª reunión de la Conferencia de las Partes, con miras a capturar el abanico completo de opiniones expresadas las Partes, a fin de fundamentar la labor a la que se hace referencia. No fueron negociados.</w:t>
      </w:r>
    </w:p>
    <w:p w14:paraId="6593383C" w14:textId="7B37403C" w:rsidR="004941FD" w:rsidRPr="00CE2032" w:rsidRDefault="00E96983" w:rsidP="00223F8F">
      <w:pPr>
        <w:pStyle w:val="CBDDesicionAnnex"/>
        <w:rPr>
          <w:b/>
          <w:bCs w:val="0"/>
        </w:rPr>
      </w:pPr>
      <w:r w:rsidRPr="00CE2032">
        <w:rPr>
          <w:b/>
          <w:bCs w:val="0"/>
        </w:rPr>
        <w:t xml:space="preserve">Trabajar con miras a mejorar la financiación mundial de la biodiversidad: posibles criterios para el </w:t>
      </w:r>
      <w:r w:rsidRPr="00CE2032">
        <w:rPr>
          <w:rFonts w:asciiTheme="majorBidi" w:hAnsiTheme="majorBidi"/>
          <w:b/>
          <w:bCs w:val="0"/>
        </w:rPr>
        <w:t>desarrollo</w:t>
      </w:r>
      <w:r w:rsidRPr="00CE2032">
        <w:rPr>
          <w:b/>
          <w:bCs w:val="0"/>
        </w:rPr>
        <w:t xml:space="preserve"> de un instrumento sobre financiación de la biodiversidad</w:t>
      </w:r>
    </w:p>
    <w:p w14:paraId="5BE154CD" w14:textId="60C453CF" w:rsidR="006D221A" w:rsidRPr="008048D0" w:rsidRDefault="00AB7C14" w:rsidP="00223F8F">
      <w:pPr>
        <w:pStyle w:val="CBDNormalNoNumber"/>
        <w:ind w:left="567"/>
      </w:pPr>
      <w:r w:rsidRPr="008048D0">
        <w:t>1.</w:t>
      </w:r>
      <w:r w:rsidRPr="008048D0">
        <w:tab/>
        <w:t>Valor añadido y complementariedad respecto al panorama actual de la financiación de la biodiversidad.</w:t>
      </w:r>
    </w:p>
    <w:p w14:paraId="6E7F11BD" w14:textId="607803F0" w:rsidR="006D221A" w:rsidRPr="008048D0" w:rsidRDefault="00AB7C14" w:rsidP="00223F8F">
      <w:pPr>
        <w:pStyle w:val="CBDNormalNoNumber"/>
        <w:ind w:left="567"/>
        <w:rPr>
          <w:rFonts w:asciiTheme="majorBidi" w:eastAsia="Times New Roman" w:hAnsiTheme="majorBidi"/>
        </w:rPr>
      </w:pPr>
      <w:r w:rsidRPr="008048D0">
        <w:t>2.</w:t>
      </w:r>
      <w:r w:rsidRPr="008048D0">
        <w:tab/>
        <w:t>Acceso a financiación nueva, adicional, previsible, suficiente y oportuna.</w:t>
      </w:r>
    </w:p>
    <w:p w14:paraId="1BD874A0" w14:textId="50C56044" w:rsidR="006D221A" w:rsidRPr="008048D0" w:rsidRDefault="00AB7C14" w:rsidP="00223F8F">
      <w:pPr>
        <w:pStyle w:val="CBDNormalNoNumber"/>
        <w:ind w:left="567"/>
        <w:rPr>
          <w:rFonts w:asciiTheme="majorBidi" w:eastAsia="Times New Roman" w:hAnsiTheme="majorBidi"/>
        </w:rPr>
      </w:pPr>
      <w:r w:rsidRPr="008048D0">
        <w:t>3.</w:t>
      </w:r>
      <w:r w:rsidRPr="008048D0">
        <w:tab/>
        <w:t>Base de contribuyentes destinada a la movilización de recursos de todas las fuentes.</w:t>
      </w:r>
    </w:p>
    <w:p w14:paraId="59FEE66E" w14:textId="3710568A" w:rsidR="006D221A" w:rsidRPr="008048D0" w:rsidRDefault="00AB7C14" w:rsidP="00223F8F">
      <w:pPr>
        <w:pStyle w:val="CBDNormalNoNumber"/>
        <w:ind w:left="567"/>
        <w:rPr>
          <w:rFonts w:asciiTheme="majorBidi" w:eastAsia="Times New Roman" w:hAnsiTheme="majorBidi"/>
        </w:rPr>
      </w:pPr>
      <w:r w:rsidRPr="008048D0">
        <w:t>4.</w:t>
      </w:r>
      <w:r w:rsidRPr="008048D0">
        <w:tab/>
        <w:t>Cualesquiera consideraciones derivadas de la decisión </w:t>
      </w:r>
      <w:hyperlink r:id="rId45" w:history="1">
        <w:r w:rsidRPr="008048D0">
          <w:rPr>
            <w:rStyle w:val="Hyperlink"/>
            <w:rFonts w:asciiTheme="majorBidi" w:hAnsiTheme="majorBidi"/>
          </w:rPr>
          <w:t>16/2</w:t>
        </w:r>
      </w:hyperlink>
      <w:r w:rsidRPr="008048D0">
        <w:t xml:space="preserve"> sobre información digital sobre secuencias de recursos genéticos, de 1 de noviembre de 2024.</w:t>
      </w:r>
    </w:p>
    <w:p w14:paraId="22DAEEAB" w14:textId="3C58ED2F" w:rsidR="006D221A" w:rsidRPr="008048D0" w:rsidRDefault="00AB7C14" w:rsidP="00223F8F">
      <w:pPr>
        <w:pStyle w:val="CBDNormalNoNumber"/>
        <w:ind w:left="567"/>
        <w:rPr>
          <w:rFonts w:asciiTheme="majorBidi" w:eastAsia="Times New Roman" w:hAnsiTheme="majorBidi"/>
        </w:rPr>
      </w:pPr>
      <w:r w:rsidRPr="008048D0">
        <w:t>5.</w:t>
      </w:r>
      <w:r w:rsidRPr="008048D0">
        <w:tab/>
        <w:t>Coherencia con los objetivos, principios y disposiciones del Convenio sobre la Diversidad Biológica</w:t>
      </w:r>
      <w:r w:rsidR="002235BB" w:rsidRPr="008048D0">
        <w:rPr>
          <w:rStyle w:val="FootnoteReference"/>
        </w:rPr>
        <w:footnoteReference w:id="20"/>
      </w:r>
      <w:r w:rsidRPr="008048D0">
        <w:t xml:space="preserve"> y sus Protocolos.</w:t>
      </w:r>
    </w:p>
    <w:p w14:paraId="4402CE64" w14:textId="3DC57171" w:rsidR="006D221A" w:rsidRPr="008048D0" w:rsidRDefault="00AB7C14" w:rsidP="00223F8F">
      <w:pPr>
        <w:pStyle w:val="CBDNormalNoNumber"/>
        <w:ind w:left="567"/>
        <w:rPr>
          <w:rFonts w:asciiTheme="majorBidi" w:eastAsia="Times New Roman" w:hAnsiTheme="majorBidi"/>
        </w:rPr>
      </w:pPr>
      <w:r w:rsidRPr="008048D0">
        <w:t>6.</w:t>
      </w:r>
      <w:r w:rsidRPr="008048D0">
        <w:tab/>
        <w:t xml:space="preserve">Coherencia con el Marco Mundial de Biodiversidad de </w:t>
      </w:r>
      <w:r w:rsidRPr="008048D0">
        <w:rPr>
          <w:rFonts w:asciiTheme="majorBidi" w:hAnsiTheme="majorBidi"/>
        </w:rPr>
        <w:t>Kunming-Montreal</w:t>
      </w:r>
      <w:r w:rsidR="002235BB" w:rsidRPr="008048D0">
        <w:rPr>
          <w:rStyle w:val="FootnoteReference"/>
          <w:rFonts w:asciiTheme="majorBidi" w:eastAsia="Times New Roman" w:hAnsiTheme="majorBidi"/>
        </w:rPr>
        <w:footnoteReference w:id="21"/>
      </w:r>
      <w:r w:rsidRPr="008048D0">
        <w:t>.</w:t>
      </w:r>
    </w:p>
    <w:p w14:paraId="3AB4BBFA" w14:textId="762E85F6" w:rsidR="006D221A" w:rsidRPr="008048D0" w:rsidRDefault="00AB7C14" w:rsidP="00223F8F">
      <w:pPr>
        <w:pStyle w:val="CBDNormalNoNumber"/>
        <w:ind w:left="567"/>
        <w:rPr>
          <w:rFonts w:asciiTheme="majorBidi" w:eastAsia="Times New Roman" w:hAnsiTheme="majorBidi"/>
        </w:rPr>
      </w:pPr>
      <w:r w:rsidRPr="008048D0">
        <w:t>7.</w:t>
      </w:r>
      <w:r w:rsidRPr="008048D0">
        <w:tab/>
        <w:t>Bajo la autoridad de la Conferencia de las Partes y responsable ante ella.</w:t>
      </w:r>
    </w:p>
    <w:p w14:paraId="429C4401" w14:textId="3D898E08" w:rsidR="006D221A" w:rsidRPr="008048D0" w:rsidRDefault="00AB7C14" w:rsidP="00223F8F">
      <w:pPr>
        <w:pStyle w:val="CBDNormalNoNumber"/>
        <w:ind w:left="567"/>
        <w:rPr>
          <w:rFonts w:asciiTheme="majorBidi" w:eastAsia="Times New Roman" w:hAnsiTheme="majorBidi"/>
        </w:rPr>
      </w:pPr>
      <w:r w:rsidRPr="008048D0">
        <w:t>8.</w:t>
      </w:r>
      <w:r w:rsidRPr="008048D0">
        <w:tab/>
        <w:t>Equidad, transparencia, inclusión y enfoque participativo.</w:t>
      </w:r>
    </w:p>
    <w:p w14:paraId="7FE9C090" w14:textId="04CD81B8" w:rsidR="006D221A" w:rsidRPr="008048D0" w:rsidRDefault="00AB7C14" w:rsidP="00223F8F">
      <w:pPr>
        <w:pStyle w:val="CBDNormalNoNumber"/>
        <w:ind w:left="567"/>
        <w:rPr>
          <w:rFonts w:asciiTheme="majorBidi" w:eastAsia="Times New Roman" w:hAnsiTheme="majorBidi"/>
        </w:rPr>
      </w:pPr>
      <w:r w:rsidRPr="008048D0">
        <w:lastRenderedPageBreak/>
        <w:t>9.</w:t>
      </w:r>
      <w:r w:rsidRPr="008048D0">
        <w:tab/>
        <w:t>Una estructura de gobernanza equitativa, eficiente y representativa, que garantice en particular la participación plena y efectiva de los pueblos indígenas y las comunidades locales.</w:t>
      </w:r>
    </w:p>
    <w:p w14:paraId="458D4B39" w14:textId="45B98697" w:rsidR="006D221A" w:rsidRPr="008048D0" w:rsidRDefault="00E40EB7" w:rsidP="00223F8F">
      <w:pPr>
        <w:pStyle w:val="CBDNormalNoNumber"/>
        <w:ind w:left="567"/>
        <w:rPr>
          <w:rFonts w:asciiTheme="majorBidi" w:eastAsia="Times New Roman" w:hAnsiTheme="majorBidi"/>
        </w:rPr>
      </w:pPr>
      <w:r w:rsidRPr="008048D0">
        <w:t>10.</w:t>
      </w:r>
      <w:r w:rsidRPr="008048D0">
        <w:tab/>
      </w:r>
      <w:r w:rsidRPr="008048D0">
        <w:rPr>
          <w:rFonts w:asciiTheme="majorBidi" w:hAnsiTheme="majorBidi"/>
        </w:rPr>
        <w:t xml:space="preserve">Suministro de recursos financieros a las Partes que son países en desarrollo, en </w:t>
      </w:r>
      <w:r w:rsidRPr="008048D0">
        <w:t>particular los países menos adelantados y los pequeños Estados insulares en desarrollo, así como los países con economías en transición, en respuesta a sus necesidades y prioridades.</w:t>
      </w:r>
    </w:p>
    <w:p w14:paraId="588BADBC" w14:textId="6B464BC4" w:rsidR="006D221A" w:rsidRPr="008048D0" w:rsidRDefault="00E40EB7" w:rsidP="00223F8F">
      <w:pPr>
        <w:pStyle w:val="CBDNormalNoNumber"/>
        <w:ind w:left="567"/>
        <w:rPr>
          <w:rFonts w:asciiTheme="majorBidi" w:eastAsia="Times New Roman" w:hAnsiTheme="majorBidi"/>
        </w:rPr>
      </w:pPr>
      <w:r w:rsidRPr="008048D0">
        <w:t>11.</w:t>
      </w:r>
      <w:r w:rsidRPr="008048D0">
        <w:tab/>
        <w:t>Asignación directa y/o desembolso basado en proyectos.</w:t>
      </w:r>
    </w:p>
    <w:p w14:paraId="0194F1F2" w14:textId="36B1B065" w:rsidR="006D221A" w:rsidRPr="008048D0" w:rsidRDefault="00E40EB7" w:rsidP="00223F8F">
      <w:pPr>
        <w:pStyle w:val="CBDNormalNoNumber"/>
        <w:ind w:left="567"/>
        <w:rPr>
          <w:rFonts w:asciiTheme="majorBidi" w:eastAsia="Times New Roman" w:hAnsiTheme="majorBidi"/>
        </w:rPr>
      </w:pPr>
      <w:r w:rsidRPr="008048D0">
        <w:t>12.</w:t>
      </w:r>
      <w:r w:rsidRPr="008048D0">
        <w:tab/>
        <w:t>Dependencia de organismos nacionales de ejecución.</w:t>
      </w:r>
    </w:p>
    <w:p w14:paraId="4A1292ED" w14:textId="4EF2E70A" w:rsidR="006D221A" w:rsidRPr="008048D0" w:rsidRDefault="00E40EB7" w:rsidP="00223F8F">
      <w:pPr>
        <w:pStyle w:val="CBDNormalNoNumber"/>
        <w:ind w:left="567"/>
        <w:rPr>
          <w:rFonts w:asciiTheme="majorBidi" w:eastAsia="Times New Roman" w:hAnsiTheme="majorBidi"/>
        </w:rPr>
      </w:pPr>
      <w:r w:rsidRPr="008048D0">
        <w:t>13.</w:t>
      </w:r>
      <w:r w:rsidRPr="008048D0">
        <w:tab/>
        <w:t>Participación e implicación de las autoridades competentes del país receptor en todas las fases del proceso de asignación de fondos, incluidos el desarrollo y la ejecución de los proyectos.</w:t>
      </w:r>
    </w:p>
    <w:p w14:paraId="459B68E9" w14:textId="3BA25E0F" w:rsidR="006D221A" w:rsidRPr="008048D0" w:rsidRDefault="00E40EB7" w:rsidP="00223F8F">
      <w:pPr>
        <w:pStyle w:val="CBDNormalNoNumber"/>
        <w:ind w:left="567"/>
        <w:rPr>
          <w:rFonts w:asciiTheme="majorBidi" w:eastAsia="Times New Roman" w:hAnsiTheme="majorBidi"/>
        </w:rPr>
      </w:pPr>
      <w:r w:rsidRPr="008048D0">
        <w:t>14.</w:t>
      </w:r>
      <w:r w:rsidRPr="008048D0">
        <w:tab/>
        <w:t>Reconocimiento del valor del papel de los pueblos indígenas y las comunidades locales, las mujeres y la juventud, incluso proporcionando acceso directo la financiación.</w:t>
      </w:r>
    </w:p>
    <w:p w14:paraId="76149DA4" w14:textId="016548F9" w:rsidR="006D221A" w:rsidRPr="008048D0" w:rsidRDefault="00E40EB7" w:rsidP="00223F8F">
      <w:pPr>
        <w:pStyle w:val="CBDNormalNoNumber"/>
        <w:ind w:left="567"/>
        <w:rPr>
          <w:rFonts w:asciiTheme="majorBidi" w:eastAsia="Times New Roman" w:hAnsiTheme="majorBidi"/>
        </w:rPr>
      </w:pPr>
      <w:r w:rsidRPr="008048D0">
        <w:t>15.</w:t>
      </w:r>
      <w:r w:rsidRPr="008048D0">
        <w:tab/>
      </w:r>
      <w:r w:rsidRPr="008048D0">
        <w:rPr>
          <w:rFonts w:asciiTheme="majorBidi" w:hAnsiTheme="majorBidi"/>
        </w:rPr>
        <w:t>Existencia de un mecanismo de reclamación y reparación.</w:t>
      </w:r>
    </w:p>
    <w:p w14:paraId="0FF0851B" w14:textId="3A265AE7" w:rsidR="006D221A" w:rsidRPr="008048D0" w:rsidRDefault="00AB7C14" w:rsidP="00223F8F">
      <w:pPr>
        <w:pStyle w:val="CBDNormalNoNumber"/>
        <w:ind w:left="567"/>
        <w:rPr>
          <w:rFonts w:asciiTheme="majorBidi" w:eastAsia="Times New Roman" w:hAnsiTheme="majorBidi"/>
        </w:rPr>
      </w:pPr>
      <w:r w:rsidRPr="008048D0">
        <w:t>16.</w:t>
      </w:r>
      <w:r w:rsidRPr="008048D0">
        <w:tab/>
      </w:r>
      <w:r w:rsidRPr="008048D0">
        <w:rPr>
          <w:rFonts w:asciiTheme="majorBidi" w:hAnsiTheme="majorBidi"/>
        </w:rPr>
        <w:t>Relación con el Fondo para el Marco Mundial de Biodiversidad respecto a su cláusula de extinción.</w:t>
      </w:r>
    </w:p>
    <w:p w14:paraId="192F1F46" w14:textId="64BFCF14" w:rsidR="006D221A" w:rsidRPr="008048D0" w:rsidRDefault="00AB7C14" w:rsidP="00223F8F">
      <w:pPr>
        <w:pStyle w:val="CBDNormalNoNumber"/>
        <w:ind w:left="567"/>
        <w:rPr>
          <w:rFonts w:asciiTheme="majorBidi" w:eastAsia="Times New Roman" w:hAnsiTheme="majorBidi"/>
        </w:rPr>
      </w:pPr>
      <w:r w:rsidRPr="008048D0">
        <w:t>17.</w:t>
      </w:r>
      <w:r w:rsidRPr="008048D0">
        <w:tab/>
        <w:t>Responsabilidad del administrador fiduciario y cumplimiento de las decisiones del órgano rector.</w:t>
      </w:r>
    </w:p>
    <w:p w14:paraId="3FCF7854" w14:textId="7469B24D" w:rsidR="006D221A" w:rsidRPr="008048D0" w:rsidRDefault="00AB7C14" w:rsidP="00223F8F">
      <w:pPr>
        <w:pStyle w:val="CBDNormalNoNumber"/>
        <w:ind w:left="567"/>
        <w:rPr>
          <w:rFonts w:asciiTheme="majorBidi" w:eastAsia="Times New Roman" w:hAnsiTheme="majorBidi"/>
        </w:rPr>
      </w:pPr>
      <w:r w:rsidRPr="008048D0">
        <w:t>18.</w:t>
      </w:r>
      <w:r w:rsidRPr="008048D0">
        <w:tab/>
        <w:t>Capacidad para capitalizar las sinergias entre el apoyo a la acción en favor de la biodiversidad y el apoyo a la acción destinada a abordar otros desafíos ambientales conexos.</w:t>
      </w:r>
    </w:p>
    <w:p w14:paraId="1547F553" w14:textId="66799F13" w:rsidR="006D221A" w:rsidRPr="008048D0" w:rsidRDefault="00AB7C14" w:rsidP="00223F8F">
      <w:pPr>
        <w:pStyle w:val="CBDNormalNoNumber"/>
        <w:ind w:left="567"/>
        <w:rPr>
          <w:rFonts w:asciiTheme="majorBidi" w:eastAsia="Times New Roman" w:hAnsiTheme="majorBidi"/>
        </w:rPr>
      </w:pPr>
      <w:r w:rsidRPr="008048D0">
        <w:t>19.</w:t>
      </w:r>
      <w:r w:rsidRPr="008048D0">
        <w:tab/>
      </w:r>
      <w:r w:rsidRPr="008048D0">
        <w:rPr>
          <w:rFonts w:asciiTheme="majorBidi" w:hAnsiTheme="majorBidi"/>
        </w:rPr>
        <w:t>Suministro de recursos financieros para la acción colectiva, incluida aquella de los pueblos indígenas y las comunidades locales, las acciones centradas en la Madre Tierra y los enfoques no relacionados con el mercado.</w:t>
      </w:r>
    </w:p>
    <w:p w14:paraId="612EB838" w14:textId="6F328EFC" w:rsidR="00845A9E" w:rsidRPr="008048D0" w:rsidRDefault="00845A9E" w:rsidP="00845A9E">
      <w:pPr>
        <w:spacing w:before="120"/>
        <w:ind w:left="567" w:firstLine="567"/>
        <w:jc w:val="center"/>
        <w:rPr>
          <w:snapToGrid w:val="0"/>
          <w:kern w:val="22"/>
        </w:rPr>
      </w:pPr>
      <w:r w:rsidRPr="008048D0">
        <w:t>__________</w:t>
      </w:r>
    </w:p>
    <w:sectPr w:rsidR="00845A9E" w:rsidRPr="008048D0" w:rsidSect="00223F8F">
      <w:headerReference w:type="even" r:id="rId46"/>
      <w:headerReference w:type="default" r:id="rId47"/>
      <w:footerReference w:type="even" r:id="rId48"/>
      <w:footerReference w:type="default" r:id="rId49"/>
      <w:headerReference w:type="first" r:id="rId50"/>
      <w:pgSz w:w="12240" w:h="15840"/>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7601B" w14:textId="77777777" w:rsidR="00D21BED" w:rsidRDefault="00D21BED" w:rsidP="00A96B21">
      <w:r>
        <w:separator/>
      </w:r>
    </w:p>
  </w:endnote>
  <w:endnote w:type="continuationSeparator" w:id="0">
    <w:p w14:paraId="1C66506E" w14:textId="77777777" w:rsidR="00D21BED" w:rsidRDefault="00D21BED" w:rsidP="00A96B21">
      <w:r>
        <w:continuationSeparator/>
      </w:r>
    </w:p>
  </w:endnote>
  <w:endnote w:type="continuationNotice" w:id="1">
    <w:p w14:paraId="500232C1" w14:textId="77777777" w:rsidR="00D21BED" w:rsidRDefault="00D21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672729"/>
      <w:docPartObj>
        <w:docPartGallery w:val="Page Numbers (Top of Page)"/>
        <w:docPartUnique/>
      </w:docPartObj>
    </w:sdtPr>
    <w:sdtEndPr/>
    <w:sdtContent>
      <w:p w14:paraId="241B5DAC" w14:textId="7F9885A9" w:rsidR="00F83A05" w:rsidRPr="00223F8F" w:rsidRDefault="00365FD8" w:rsidP="00223F8F">
        <w:pPr>
          <w:pStyle w:val="Footer"/>
          <w:tabs>
            <w:tab w:val="clear" w:pos="567"/>
            <w:tab w:val="clear" w:pos="1134"/>
            <w:tab w:val="clear" w:pos="1701"/>
            <w:tab w:val="clear" w:pos="2268"/>
          </w:tabs>
          <w:jc w:val="left"/>
          <w:rPr>
            <w:sz w:val="22"/>
          </w:rPr>
        </w:pPr>
        <w:r w:rsidRPr="002B559C">
          <w:fldChar w:fldCharType="begin"/>
        </w:r>
        <w:r w:rsidRPr="002B559C">
          <w:instrText xml:space="preserve"> PAGE </w:instrText>
        </w:r>
        <w:r w:rsidRPr="002B559C">
          <w:fldChar w:fldCharType="separate"/>
        </w:r>
        <w:r>
          <w:t>9</w:t>
        </w:r>
        <w:r w:rsidRPr="002B559C">
          <w:fldChar w:fldCharType="end"/>
        </w:r>
        <w:r>
          <w:t>/</w:t>
        </w:r>
        <w:fldSimple w:instr=" NUMPAGES  ">
          <w:r>
            <w:t>13</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903249"/>
      <w:docPartObj>
        <w:docPartGallery w:val="Page Numbers (Top of Page)"/>
        <w:docPartUnique/>
      </w:docPartObj>
    </w:sdtPr>
    <w:sdtEndPr/>
    <w:sdtContent>
      <w:p w14:paraId="16DB0152" w14:textId="46F3E9F4" w:rsidR="00867016" w:rsidRPr="00223F8F" w:rsidRDefault="00F822ED" w:rsidP="00223F8F">
        <w:pPr>
          <w:pStyle w:val="Footer"/>
          <w:tabs>
            <w:tab w:val="clear" w:pos="567"/>
            <w:tab w:val="clear" w:pos="1134"/>
            <w:tab w:val="clear" w:pos="1701"/>
            <w:tab w:val="clear" w:pos="2268"/>
          </w:tabs>
          <w:jc w:val="right"/>
          <w:rPr>
            <w:sz w:val="22"/>
          </w:rPr>
        </w:pPr>
        <w:r w:rsidRPr="002B559C">
          <w:fldChar w:fldCharType="begin"/>
        </w:r>
        <w:r w:rsidRPr="002B559C">
          <w:instrText xml:space="preserve"> PAGE </w:instrText>
        </w:r>
        <w:r w:rsidRPr="002B559C">
          <w:fldChar w:fldCharType="separate"/>
        </w:r>
        <w:r>
          <w:t>2</w:t>
        </w:r>
        <w:r w:rsidRPr="002B559C">
          <w:fldChar w:fldCharType="end"/>
        </w:r>
        <w:r>
          <w:t>/</w:t>
        </w:r>
        <w:fldSimple w:instr=" NUMPAGES  ">
          <w:r>
            <w:t>13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86734" w14:textId="77777777" w:rsidR="00D21BED" w:rsidRDefault="00D21BED" w:rsidP="00A96B21">
      <w:r>
        <w:separator/>
      </w:r>
    </w:p>
  </w:footnote>
  <w:footnote w:type="continuationSeparator" w:id="0">
    <w:p w14:paraId="0F494341" w14:textId="77777777" w:rsidR="00D21BED" w:rsidRDefault="00D21BED" w:rsidP="00A96B21">
      <w:r>
        <w:continuationSeparator/>
      </w:r>
    </w:p>
  </w:footnote>
  <w:footnote w:type="continuationNotice" w:id="1">
    <w:p w14:paraId="5B336971" w14:textId="77777777" w:rsidR="00D21BED" w:rsidRDefault="00D21BED"/>
  </w:footnote>
  <w:footnote w:id="2">
    <w:p w14:paraId="7E45B153" w14:textId="77777777" w:rsidR="00274524" w:rsidRPr="00C31BC4" w:rsidRDefault="00274524" w:rsidP="002235BB">
      <w:pPr>
        <w:pStyle w:val="CBDFootnoteText"/>
      </w:pPr>
      <w:r>
        <w:rPr>
          <w:rStyle w:val="FootnoteReference"/>
        </w:rPr>
        <w:footnoteRef/>
      </w:r>
      <w:r>
        <w:t xml:space="preserve"> Naciones Unidas, </w:t>
      </w:r>
      <w:r>
        <w:rPr>
          <w:i/>
        </w:rPr>
        <w:t>Treaty Series</w:t>
      </w:r>
      <w:r>
        <w:t>, vol. 1760, núm. 30619.</w:t>
      </w:r>
    </w:p>
  </w:footnote>
  <w:footnote w:id="3">
    <w:p w14:paraId="555E6D3E" w14:textId="64CD1DDC" w:rsidR="00277762" w:rsidRPr="00C31BC4" w:rsidRDefault="00277762" w:rsidP="002235BB">
      <w:pPr>
        <w:pStyle w:val="CBDFootnoteText"/>
      </w:pPr>
      <w:r>
        <w:rPr>
          <w:rStyle w:val="FootnoteReference"/>
        </w:rPr>
        <w:footnoteRef/>
      </w:r>
      <w:r>
        <w:t xml:space="preserve"> Decisión </w:t>
      </w:r>
      <w:hyperlink r:id="rId1" w:history="1">
        <w:r>
          <w:rPr>
            <w:rStyle w:val="Hyperlink"/>
          </w:rPr>
          <w:t>15/4</w:t>
        </w:r>
      </w:hyperlink>
      <w:r>
        <w:t>, anexo.</w:t>
      </w:r>
    </w:p>
  </w:footnote>
  <w:footnote w:id="4">
    <w:p w14:paraId="05FA1C32" w14:textId="037CA0A3" w:rsidR="00ED4835" w:rsidRPr="002F4F8C" w:rsidRDefault="00ED4835" w:rsidP="00ED4835">
      <w:pPr>
        <w:pStyle w:val="FootnoteText"/>
        <w:rPr>
          <w:szCs w:val="18"/>
        </w:rPr>
      </w:pPr>
      <w:r>
        <w:rPr>
          <w:rStyle w:val="FootnoteReference"/>
          <w:szCs w:val="18"/>
        </w:rPr>
        <w:footnoteRef/>
      </w:r>
      <w:r>
        <w:t xml:space="preserve"> </w:t>
      </w:r>
      <w:hyperlink r:id="rId2" w:history="1">
        <w:r>
          <w:rPr>
            <w:rStyle w:val="Hyperlink"/>
          </w:rPr>
          <w:t>CBD/SBI/4/INF/10</w:t>
        </w:r>
      </w:hyperlink>
      <w:r>
        <w:t>, secc. 8.</w:t>
      </w:r>
    </w:p>
  </w:footnote>
  <w:footnote w:id="5">
    <w:p w14:paraId="59EC5C50" w14:textId="1AD0674B" w:rsidR="0001477D" w:rsidRDefault="0001477D">
      <w:pPr>
        <w:pStyle w:val="FootnoteText"/>
      </w:pPr>
      <w:r>
        <w:rPr>
          <w:rStyle w:val="FootnoteReference"/>
        </w:rPr>
        <w:footnoteRef/>
      </w:r>
      <w:r>
        <w:t xml:space="preserve"> Véase la decisión </w:t>
      </w:r>
      <w:hyperlink r:id="rId3" w:history="1">
        <w:r>
          <w:rPr>
            <w:rStyle w:val="Hyperlink"/>
          </w:rPr>
          <w:t>16/32</w:t>
        </w:r>
      </w:hyperlink>
      <w:r>
        <w:t>.</w:t>
      </w:r>
    </w:p>
  </w:footnote>
  <w:footnote w:id="6">
    <w:p w14:paraId="17607ACE" w14:textId="43E73137" w:rsidR="00EB64C5" w:rsidRPr="00854289" w:rsidRDefault="00EB64C5" w:rsidP="00EB64C5">
      <w:pPr>
        <w:pStyle w:val="FootnoteText"/>
      </w:pPr>
      <w:r>
        <w:rPr>
          <w:rStyle w:val="FootnoteReference"/>
        </w:rPr>
        <w:footnoteRef/>
      </w:r>
      <w:r>
        <w:t xml:space="preserve"> Decisión </w:t>
      </w:r>
      <w:hyperlink r:id="rId4" w:history="1">
        <w:r>
          <w:rPr>
            <w:rStyle w:val="Hyperlink"/>
          </w:rPr>
          <w:t>15/7</w:t>
        </w:r>
      </w:hyperlink>
      <w:r>
        <w:t>, párr. 46.</w:t>
      </w:r>
    </w:p>
  </w:footnote>
  <w:footnote w:id="7">
    <w:p w14:paraId="1917942A" w14:textId="05D93E02" w:rsidR="006D1FB9" w:rsidRDefault="006D1FB9">
      <w:pPr>
        <w:pStyle w:val="FootnoteText"/>
      </w:pPr>
      <w:r>
        <w:rPr>
          <w:rStyle w:val="FootnoteReference"/>
        </w:rPr>
        <w:footnoteRef/>
      </w:r>
      <w:r>
        <w:t xml:space="preserve"> Notificaciones </w:t>
      </w:r>
      <w:r>
        <w:rPr>
          <w:snapToGrid w:val="0"/>
        </w:rPr>
        <w:t xml:space="preserve">núms. </w:t>
      </w:r>
      <w:hyperlink r:id="rId5" w:history="1">
        <w:r>
          <w:rPr>
            <w:rStyle w:val="Hyperlink"/>
            <w:snapToGrid w:val="0"/>
          </w:rPr>
          <w:t>2023/063</w:t>
        </w:r>
      </w:hyperlink>
      <w:r>
        <w:rPr>
          <w:snapToGrid w:val="0"/>
        </w:rPr>
        <w:t xml:space="preserve"> y </w:t>
      </w:r>
      <w:hyperlink r:id="rId6" w:history="1">
        <w:r>
          <w:rPr>
            <w:rStyle w:val="Hyperlink"/>
            <w:snapToGrid w:val="0"/>
          </w:rPr>
          <w:t>2023/132</w:t>
        </w:r>
      </w:hyperlink>
      <w:r>
        <w:rPr>
          <w:snapToGrid w:val="0"/>
        </w:rPr>
        <w:t>.</w:t>
      </w:r>
    </w:p>
  </w:footnote>
  <w:footnote w:id="8">
    <w:p w14:paraId="5ED6A751" w14:textId="138F5C0B" w:rsidR="00D74E96" w:rsidRPr="00CE7D80" w:rsidRDefault="00D74E96">
      <w:pPr>
        <w:pStyle w:val="FootnoteText"/>
      </w:pPr>
      <w:r>
        <w:rPr>
          <w:rStyle w:val="FootnoteReference"/>
        </w:rPr>
        <w:footnoteRef/>
      </w:r>
      <w:r>
        <w:t xml:space="preserve"> Tras el examen de la eficacia dispuesto en la decisión 16/33, párr. 40.</w:t>
      </w:r>
    </w:p>
  </w:footnote>
  <w:footnote w:id="9">
    <w:p w14:paraId="344FDF51" w14:textId="7ED9988C" w:rsidR="004643FD" w:rsidRPr="005453D5" w:rsidRDefault="004643FD" w:rsidP="00875546">
      <w:pPr>
        <w:pStyle w:val="FootnoteText"/>
      </w:pPr>
      <w:r>
        <w:rPr>
          <w:rStyle w:val="FootnoteReference"/>
        </w:rPr>
        <w:footnoteRef/>
      </w:r>
      <w:r>
        <w:t xml:space="preserve"> Tras la revisión y el examen que se mencionan en las decisiones </w:t>
      </w:r>
      <w:hyperlink r:id="rId7" w:history="1">
        <w:r>
          <w:rPr>
            <w:rStyle w:val="Hyperlink"/>
          </w:rPr>
          <w:t>16/2</w:t>
        </w:r>
      </w:hyperlink>
      <w:r>
        <w:t xml:space="preserve"> y </w:t>
      </w:r>
      <w:hyperlink r:id="rId8" w:history="1">
        <w:r>
          <w:rPr>
            <w:rStyle w:val="Hyperlink"/>
          </w:rPr>
          <w:t>16/33</w:t>
        </w:r>
      </w:hyperlink>
      <w:r>
        <w:t xml:space="preserve"> y la revisión mundial que se menciona en la decisión </w:t>
      </w:r>
      <w:hyperlink r:id="rId9" w:history="1">
        <w:r>
          <w:rPr>
            <w:rStyle w:val="Hyperlink"/>
          </w:rPr>
          <w:t>16/32</w:t>
        </w:r>
      </w:hyperlink>
      <w:r>
        <w:t>.</w:t>
      </w:r>
    </w:p>
  </w:footnote>
  <w:footnote w:id="10">
    <w:p w14:paraId="5DFF0374" w14:textId="24ABE1BD" w:rsidR="00375165" w:rsidRDefault="00375165" w:rsidP="00375165">
      <w:pPr>
        <w:pStyle w:val="FootnoteText"/>
      </w:pPr>
      <w:r>
        <w:rPr>
          <w:rStyle w:val="FootnoteReference"/>
        </w:rPr>
        <w:footnoteRef/>
      </w:r>
      <w:r>
        <w:t xml:space="preserve"> Véase la decisión </w:t>
      </w:r>
      <w:hyperlink r:id="rId10" w:history="1">
        <w:r>
          <w:rPr>
            <w:rStyle w:val="Hyperlink"/>
          </w:rPr>
          <w:t>16/31</w:t>
        </w:r>
      </w:hyperlink>
      <w:r>
        <w:t>.</w:t>
      </w:r>
    </w:p>
  </w:footnote>
  <w:footnote w:id="11">
    <w:p w14:paraId="7902A636" w14:textId="212CCD86" w:rsidR="00334DC2" w:rsidRDefault="00334DC2">
      <w:pPr>
        <w:pStyle w:val="FootnoteText"/>
      </w:pPr>
      <w:r>
        <w:rPr>
          <w:rStyle w:val="FootnoteReference"/>
        </w:rPr>
        <w:footnoteRef/>
      </w:r>
      <w:r>
        <w:t xml:space="preserve"> Decisión </w:t>
      </w:r>
      <w:hyperlink r:id="rId11" w:history="1">
        <w:r>
          <w:rPr>
            <w:rStyle w:val="Hyperlink"/>
          </w:rPr>
          <w:t>16/9 B</w:t>
        </w:r>
      </w:hyperlink>
      <w:r>
        <w:t>, anexo.</w:t>
      </w:r>
    </w:p>
  </w:footnote>
  <w:footnote w:id="12">
    <w:p w14:paraId="0AD619E0" w14:textId="77777777" w:rsidR="00331698" w:rsidRPr="00162748" w:rsidRDefault="00331698" w:rsidP="00331698">
      <w:pPr>
        <w:pStyle w:val="FootnoteText"/>
        <w:rPr>
          <w:szCs w:val="18"/>
        </w:rPr>
      </w:pPr>
      <w:r>
        <w:rPr>
          <w:rStyle w:val="FootnoteReference"/>
          <w:szCs w:val="18"/>
        </w:rPr>
        <w:footnoteRef/>
      </w:r>
      <w:r>
        <w:t xml:space="preserve"> Naciones Unidas, </w:t>
      </w:r>
      <w:r>
        <w:rPr>
          <w:i/>
        </w:rPr>
        <w:t>Treaty Series</w:t>
      </w:r>
      <w:r>
        <w:t>, vol. 1760, núm. 30619.</w:t>
      </w:r>
    </w:p>
  </w:footnote>
  <w:footnote w:id="13">
    <w:p w14:paraId="52AB640A" w14:textId="691CCB94" w:rsidR="00331698" w:rsidRPr="00162748" w:rsidRDefault="00331698" w:rsidP="00331698">
      <w:pPr>
        <w:pStyle w:val="FootnoteText"/>
        <w:rPr>
          <w:szCs w:val="18"/>
        </w:rPr>
      </w:pPr>
      <w:r>
        <w:rPr>
          <w:rStyle w:val="FootnoteReference"/>
          <w:szCs w:val="18"/>
        </w:rPr>
        <w:footnoteRef/>
      </w:r>
      <w:r>
        <w:t xml:space="preserve"> Decisión </w:t>
      </w:r>
      <w:hyperlink r:id="rId12" w:history="1">
        <w:r>
          <w:rPr>
            <w:rStyle w:val="Hyperlink"/>
          </w:rPr>
          <w:t>15/4</w:t>
        </w:r>
      </w:hyperlink>
      <w:r>
        <w:t>, anexo.</w:t>
      </w:r>
    </w:p>
  </w:footnote>
  <w:footnote w:id="14">
    <w:p w14:paraId="58F0E86F" w14:textId="68B83619" w:rsidR="00331698" w:rsidRPr="00CC4AF8" w:rsidRDefault="00331698" w:rsidP="00331698">
      <w:pPr>
        <w:pStyle w:val="FootnoteText"/>
      </w:pPr>
      <w:r>
        <w:rPr>
          <w:rStyle w:val="FootnoteReference"/>
        </w:rPr>
        <w:footnoteRef/>
      </w:r>
      <w:r>
        <w:t xml:space="preserve"> </w:t>
      </w:r>
      <w:r>
        <w:rPr>
          <w:rFonts w:asciiTheme="majorBidi" w:hAnsiTheme="majorBidi"/>
        </w:rPr>
        <w:t xml:space="preserve">Por ejemplo, aquellos incluidos en los planes nacionales de financiación de la biodiversidad o disponibles en el </w:t>
      </w:r>
      <w:r>
        <w:t xml:space="preserve">catálogo de soluciones financieras </w:t>
      </w:r>
      <w:r>
        <w:rPr>
          <w:rStyle w:val="Hyperlink"/>
          <w:rFonts w:asciiTheme="majorBidi" w:hAnsiTheme="majorBidi"/>
          <w:color w:val="auto"/>
          <w:u w:val="none"/>
        </w:rPr>
        <w:t xml:space="preserve"> </w:t>
      </w:r>
      <w:r>
        <w:rPr>
          <w:rFonts w:asciiTheme="majorBidi" w:hAnsiTheme="majorBidi"/>
        </w:rPr>
        <w:t xml:space="preserve"> de la </w:t>
      </w:r>
      <w:r>
        <w:t xml:space="preserve">Iniciativa para la Financiación de la Biodiversidad (disponible en </w:t>
      </w:r>
      <w:hyperlink r:id="rId13" w:history="1">
        <w:r>
          <w:rPr>
            <w:rStyle w:val="Hyperlink"/>
          </w:rPr>
          <w:t>www.biofin.org/finance-solutions</w:t>
        </w:r>
      </w:hyperlink>
      <w:r>
        <w:t>)</w:t>
      </w:r>
      <w:r>
        <w:rPr>
          <w:rFonts w:asciiTheme="majorBidi" w:hAnsiTheme="majorBidi"/>
        </w:rPr>
        <w:t>.</w:t>
      </w:r>
    </w:p>
  </w:footnote>
  <w:footnote w:id="15">
    <w:p w14:paraId="2D11C9DC" w14:textId="587B3D82" w:rsidR="00331698" w:rsidRPr="00F03C60" w:rsidRDefault="00331698" w:rsidP="00331698">
      <w:pPr>
        <w:pStyle w:val="FootnoteText"/>
        <w:rPr>
          <w:szCs w:val="18"/>
          <w:highlight w:val="yellow"/>
        </w:rPr>
      </w:pPr>
      <w:r>
        <w:rPr>
          <w:rStyle w:val="FootnoteReference"/>
          <w:szCs w:val="18"/>
        </w:rPr>
        <w:footnoteRef/>
      </w:r>
      <w:r>
        <w:t xml:space="preserve"> Véanse las </w:t>
      </w:r>
      <w:r>
        <w:rPr>
          <w:rFonts w:asciiTheme="majorBidi" w:hAnsiTheme="majorBidi"/>
        </w:rPr>
        <w:t xml:space="preserve">decisiones </w:t>
      </w:r>
      <w:hyperlink r:id="rId14" w:history="1">
        <w:r>
          <w:rPr>
            <w:rStyle w:val="Hyperlink"/>
            <w:rFonts w:asciiTheme="majorBidi" w:hAnsiTheme="majorBidi"/>
          </w:rPr>
          <w:t>15/9</w:t>
        </w:r>
      </w:hyperlink>
      <w:r>
        <w:rPr>
          <w:rFonts w:asciiTheme="majorBidi" w:hAnsiTheme="majorBidi"/>
        </w:rPr>
        <w:t xml:space="preserve"> y </w:t>
      </w:r>
      <w:hyperlink r:id="rId15" w:history="1">
        <w:r>
          <w:rPr>
            <w:rStyle w:val="Hyperlink"/>
            <w:rFonts w:asciiTheme="majorBidi" w:hAnsiTheme="majorBidi"/>
          </w:rPr>
          <w:t>16/2</w:t>
        </w:r>
      </w:hyperlink>
      <w:r>
        <w:t>.</w:t>
      </w:r>
    </w:p>
  </w:footnote>
  <w:footnote w:id="16">
    <w:p w14:paraId="1E79C71A" w14:textId="77777777" w:rsidR="00331698" w:rsidRPr="00162748" w:rsidRDefault="00331698" w:rsidP="00331698">
      <w:pPr>
        <w:pStyle w:val="FootnoteText"/>
        <w:rPr>
          <w:szCs w:val="18"/>
        </w:rPr>
      </w:pPr>
      <w:r>
        <w:rPr>
          <w:rStyle w:val="FootnoteReference"/>
          <w:szCs w:val="18"/>
        </w:rPr>
        <w:footnoteRef/>
      </w:r>
      <w:r>
        <w:t xml:space="preserve"> Enfoque ecocéntrico y basado en derechos que posibilita la implementación de acciones tendientes a lograr relaciones armónicas y complementarias entre los pueblos y la naturaleza, promoviendo la continuidad de todos los seres vivos y sus comunidades y garantizando la no mercantilización de las funciones ambientales de la Madre Tierra.</w:t>
      </w:r>
    </w:p>
  </w:footnote>
  <w:footnote w:id="17">
    <w:p w14:paraId="40D8038B" w14:textId="767F179E" w:rsidR="00331698" w:rsidRPr="002839CC" w:rsidRDefault="00331698" w:rsidP="00331698">
      <w:pPr>
        <w:pStyle w:val="FootnoteText"/>
      </w:pPr>
      <w:r>
        <w:rPr>
          <w:rStyle w:val="FootnoteReference"/>
        </w:rPr>
        <w:footnoteRef/>
      </w:r>
      <w:r>
        <w:t xml:space="preserve"> Por ejemplo, considerando marcos como aquel desarrollado por el Grupo de Trabajo sobre Divulgaciones Financieras relacionadas con la Naturaleza, y alentando iniciativas de cooperación como aquella establecida entre ese Grupo de Trabajo y el Consejo de Normas Internacionales de Sostenibilidad.</w:t>
      </w:r>
    </w:p>
  </w:footnote>
  <w:footnote w:id="18">
    <w:p w14:paraId="13C24B09" w14:textId="04B9F57F" w:rsidR="00331698" w:rsidRPr="00281CF2" w:rsidRDefault="00331698" w:rsidP="00331698">
      <w:pPr>
        <w:pStyle w:val="FootnoteText"/>
      </w:pPr>
      <w:r>
        <w:rPr>
          <w:rStyle w:val="FootnoteReference"/>
        </w:rPr>
        <w:footnoteRef/>
      </w:r>
      <w:r>
        <w:t xml:space="preserve"> Véase la resolución 5/5 de la Asamblea de las Naciones Unidas sobre el Medio Ambiente.</w:t>
      </w:r>
    </w:p>
  </w:footnote>
  <w:footnote w:id="19">
    <w:p w14:paraId="1FC544C7" w14:textId="728C64DF" w:rsidR="00331698" w:rsidRPr="007C0128" w:rsidRDefault="00331698" w:rsidP="00331698">
      <w:pPr>
        <w:pStyle w:val="FootnoteText"/>
      </w:pPr>
      <w:r>
        <w:rPr>
          <w:rStyle w:val="FootnoteReference"/>
        </w:rPr>
        <w:footnoteRef/>
      </w:r>
      <w:r>
        <w:t xml:space="preserve"> Por ejemplo, considerando marcos como aquel desarrollado por el Grupo de Trabajo sobre Divulgaciones Financieras relacionadas con la Naturaleza, y alentando iniciativas de cooperación como aquella establecida entre ese Grupo de Trabajo y el Consejo de Normas Internacionales de Sostenibilidad.</w:t>
      </w:r>
    </w:p>
  </w:footnote>
  <w:footnote w:id="20">
    <w:p w14:paraId="0714F986" w14:textId="77777777" w:rsidR="002235BB" w:rsidRPr="00EE0421" w:rsidRDefault="002235BB" w:rsidP="00223F8F">
      <w:pPr>
        <w:pStyle w:val="CBDFootnoteText"/>
      </w:pPr>
      <w:r>
        <w:rPr>
          <w:rStyle w:val="FootnoteReference"/>
          <w:szCs w:val="18"/>
        </w:rPr>
        <w:footnoteRef/>
      </w:r>
      <w:r>
        <w:t xml:space="preserve"> Naciones Unidas, </w:t>
      </w:r>
      <w:r>
        <w:rPr>
          <w:i/>
        </w:rPr>
        <w:t>Treaty Series</w:t>
      </w:r>
      <w:r>
        <w:t>, vol. 1760, núm. 30619.</w:t>
      </w:r>
    </w:p>
  </w:footnote>
  <w:footnote w:id="21">
    <w:p w14:paraId="73F3A4CD" w14:textId="3DC19B1C" w:rsidR="002235BB" w:rsidRDefault="002235BB">
      <w:pPr>
        <w:pStyle w:val="FootnoteText"/>
      </w:pPr>
      <w:r>
        <w:rPr>
          <w:rStyle w:val="FootnoteReference"/>
        </w:rPr>
        <w:footnoteRef/>
      </w:r>
      <w:r>
        <w:t xml:space="preserve"> Decisión </w:t>
      </w:r>
      <w:hyperlink r:id="rId16" w:history="1">
        <w:r>
          <w:rPr>
            <w:rStyle w:val="Hyperlink"/>
          </w:rPr>
          <w:t>15/4</w:t>
        </w:r>
      </w:hyperlink>
      <w:r>
        <w:t>,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F4B2" w14:textId="6D92F28C" w:rsidR="00867016" w:rsidRDefault="00F822ED">
    <w:pPr>
      <w:pStyle w:val="Header"/>
    </w:pPr>
    <w:r>
      <w:t>CBD/COP/DEC/16/34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0A1B" w14:textId="4DF92A51" w:rsidR="00867016" w:rsidRDefault="00F822ED" w:rsidP="00223F8F">
    <w:pPr>
      <w:pStyle w:val="Header"/>
      <w:jc w:val="right"/>
    </w:pPr>
    <w:r>
      <w:t>CBD/COP/DEC/16/34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5EC5" w14:textId="77777777" w:rsidR="00F822ED" w:rsidRDefault="00F822ED" w:rsidP="00223F8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E3A"/>
    <w:multiLevelType w:val="hybridMultilevel"/>
    <w:tmpl w:val="8DE05D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370A0"/>
    <w:multiLevelType w:val="hybridMultilevel"/>
    <w:tmpl w:val="CE1C82CE"/>
    <w:lvl w:ilvl="0" w:tplc="7660B3F0">
      <w:start w:val="1"/>
      <w:numFmt w:val="lowerLetter"/>
      <w:lvlText w:val="%1)"/>
      <w:lvlJc w:val="left"/>
      <w:pPr>
        <w:ind w:left="720" w:hanging="360"/>
      </w:pPr>
    </w:lvl>
    <w:lvl w:ilvl="1" w:tplc="AA96D344">
      <w:start w:val="1"/>
      <w:numFmt w:val="lowerLetter"/>
      <w:lvlText w:val="%2)"/>
      <w:lvlJc w:val="left"/>
      <w:pPr>
        <w:ind w:left="720" w:hanging="360"/>
      </w:pPr>
    </w:lvl>
    <w:lvl w:ilvl="2" w:tplc="70EC8A30">
      <w:start w:val="1"/>
      <w:numFmt w:val="lowerLetter"/>
      <w:lvlText w:val="%3)"/>
      <w:lvlJc w:val="left"/>
      <w:pPr>
        <w:ind w:left="720" w:hanging="360"/>
      </w:pPr>
    </w:lvl>
    <w:lvl w:ilvl="3" w:tplc="D29E8444">
      <w:start w:val="1"/>
      <w:numFmt w:val="lowerLetter"/>
      <w:lvlText w:val="%4)"/>
      <w:lvlJc w:val="left"/>
      <w:pPr>
        <w:ind w:left="720" w:hanging="360"/>
      </w:pPr>
    </w:lvl>
    <w:lvl w:ilvl="4" w:tplc="AD540D5E">
      <w:start w:val="1"/>
      <w:numFmt w:val="lowerLetter"/>
      <w:lvlText w:val="%5)"/>
      <w:lvlJc w:val="left"/>
      <w:pPr>
        <w:ind w:left="720" w:hanging="360"/>
      </w:pPr>
    </w:lvl>
    <w:lvl w:ilvl="5" w:tplc="3C2239F0">
      <w:start w:val="1"/>
      <w:numFmt w:val="lowerLetter"/>
      <w:lvlText w:val="%6)"/>
      <w:lvlJc w:val="left"/>
      <w:pPr>
        <w:ind w:left="720" w:hanging="360"/>
      </w:pPr>
    </w:lvl>
    <w:lvl w:ilvl="6" w:tplc="151C3FA0">
      <w:start w:val="1"/>
      <w:numFmt w:val="lowerLetter"/>
      <w:lvlText w:val="%7)"/>
      <w:lvlJc w:val="left"/>
      <w:pPr>
        <w:ind w:left="720" w:hanging="360"/>
      </w:pPr>
    </w:lvl>
    <w:lvl w:ilvl="7" w:tplc="331C3406">
      <w:start w:val="1"/>
      <w:numFmt w:val="lowerLetter"/>
      <w:lvlText w:val="%8)"/>
      <w:lvlJc w:val="left"/>
      <w:pPr>
        <w:ind w:left="720" w:hanging="360"/>
      </w:pPr>
    </w:lvl>
    <w:lvl w:ilvl="8" w:tplc="327C0664">
      <w:start w:val="1"/>
      <w:numFmt w:val="lowerLetter"/>
      <w:lvlText w:val="%9)"/>
      <w:lvlJc w:val="left"/>
      <w:pPr>
        <w:ind w:left="720" w:hanging="360"/>
      </w:pPr>
    </w:lvl>
  </w:abstractNum>
  <w:abstractNum w:abstractNumId="2" w15:restartNumberingAfterBreak="0">
    <w:nsid w:val="0AED5F97"/>
    <w:multiLevelType w:val="hybridMultilevel"/>
    <w:tmpl w:val="CC4615D4"/>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 w15:restartNumberingAfterBreak="0">
    <w:nsid w:val="0B18576D"/>
    <w:multiLevelType w:val="hybridMultilevel"/>
    <w:tmpl w:val="6C2C509E"/>
    <w:lvl w:ilvl="0" w:tplc="D79E74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00227"/>
    <w:multiLevelType w:val="hybridMultilevel"/>
    <w:tmpl w:val="77F0B6CE"/>
    <w:lvl w:ilvl="0" w:tplc="9B84A13A">
      <w:start w:val="1"/>
      <w:numFmt w:val="lowerLetter"/>
      <w:lvlText w:val="%1)"/>
      <w:lvlJc w:val="left"/>
      <w:pPr>
        <w:ind w:left="1020" w:hanging="360"/>
      </w:pPr>
    </w:lvl>
    <w:lvl w:ilvl="1" w:tplc="A13C1014">
      <w:start w:val="1"/>
      <w:numFmt w:val="lowerLetter"/>
      <w:lvlText w:val="%2)"/>
      <w:lvlJc w:val="left"/>
      <w:pPr>
        <w:ind w:left="1020" w:hanging="360"/>
      </w:pPr>
    </w:lvl>
    <w:lvl w:ilvl="2" w:tplc="0C740988">
      <w:start w:val="1"/>
      <w:numFmt w:val="lowerLetter"/>
      <w:lvlText w:val="%3)"/>
      <w:lvlJc w:val="left"/>
      <w:pPr>
        <w:ind w:left="1020" w:hanging="360"/>
      </w:pPr>
    </w:lvl>
    <w:lvl w:ilvl="3" w:tplc="FBA827B8">
      <w:start w:val="1"/>
      <w:numFmt w:val="lowerLetter"/>
      <w:lvlText w:val="%4)"/>
      <w:lvlJc w:val="left"/>
      <w:pPr>
        <w:ind w:left="1020" w:hanging="360"/>
      </w:pPr>
    </w:lvl>
    <w:lvl w:ilvl="4" w:tplc="03A2CDBA">
      <w:start w:val="1"/>
      <w:numFmt w:val="lowerLetter"/>
      <w:lvlText w:val="%5)"/>
      <w:lvlJc w:val="left"/>
      <w:pPr>
        <w:ind w:left="1020" w:hanging="360"/>
      </w:pPr>
    </w:lvl>
    <w:lvl w:ilvl="5" w:tplc="02DC2C34">
      <w:start w:val="1"/>
      <w:numFmt w:val="lowerLetter"/>
      <w:lvlText w:val="%6)"/>
      <w:lvlJc w:val="left"/>
      <w:pPr>
        <w:ind w:left="1020" w:hanging="360"/>
      </w:pPr>
    </w:lvl>
    <w:lvl w:ilvl="6" w:tplc="43509EDC">
      <w:start w:val="1"/>
      <w:numFmt w:val="lowerLetter"/>
      <w:lvlText w:val="%7)"/>
      <w:lvlJc w:val="left"/>
      <w:pPr>
        <w:ind w:left="1020" w:hanging="360"/>
      </w:pPr>
    </w:lvl>
    <w:lvl w:ilvl="7" w:tplc="EAF68CFC">
      <w:start w:val="1"/>
      <w:numFmt w:val="lowerLetter"/>
      <w:lvlText w:val="%8)"/>
      <w:lvlJc w:val="left"/>
      <w:pPr>
        <w:ind w:left="1020" w:hanging="360"/>
      </w:pPr>
    </w:lvl>
    <w:lvl w:ilvl="8" w:tplc="47A02CE6">
      <w:start w:val="1"/>
      <w:numFmt w:val="lowerLetter"/>
      <w:lvlText w:val="%9)"/>
      <w:lvlJc w:val="left"/>
      <w:pPr>
        <w:ind w:left="1020" w:hanging="360"/>
      </w:pPr>
    </w:lvl>
  </w:abstractNum>
  <w:abstractNum w:abstractNumId="5" w15:restartNumberingAfterBreak="0">
    <w:nsid w:val="12CF49C6"/>
    <w:multiLevelType w:val="hybridMultilevel"/>
    <w:tmpl w:val="B972E082"/>
    <w:lvl w:ilvl="0" w:tplc="FFFFFFFF">
      <w:start w:val="1"/>
      <w:numFmt w:val="decimal"/>
      <w:lvlText w:val="%1."/>
      <w:lvlJc w:val="left"/>
      <w:pPr>
        <w:ind w:left="360" w:hanging="360"/>
      </w:pPr>
      <w:rPr>
        <w:rFonts w:hint="default"/>
      </w:rPr>
    </w:lvl>
    <w:lvl w:ilvl="1" w:tplc="4E462426">
      <w:start w:val="1"/>
      <w:numFmt w:val="lowerLetter"/>
      <w:lvlText w:val="(%2)"/>
      <w:lvlJc w:val="left"/>
      <w:pPr>
        <w:ind w:left="2214" w:hanging="360"/>
      </w:pPr>
      <w:rPr>
        <w:rFonts w:hint="default"/>
      </w:rPr>
    </w:lvl>
    <w:lvl w:ilvl="2" w:tplc="FFFFFFFF">
      <w:start w:val="1"/>
      <w:numFmt w:val="lowerRoman"/>
      <w:lvlText w:val="%3"/>
      <w:lvlJc w:val="right"/>
      <w:pPr>
        <w:ind w:left="2934" w:hanging="180"/>
      </w:pPr>
      <w:rPr>
        <w:rFonts w:hint="default"/>
      </w:r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DC0A0A"/>
    <w:multiLevelType w:val="hybridMultilevel"/>
    <w:tmpl w:val="D8605AE0"/>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FA0E58"/>
    <w:multiLevelType w:val="hybridMultilevel"/>
    <w:tmpl w:val="B17EAC76"/>
    <w:lvl w:ilvl="0" w:tplc="C00287EE">
      <w:start w:val="1"/>
      <w:numFmt w:val="lowerRoman"/>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325ADD"/>
    <w:multiLevelType w:val="hybridMultilevel"/>
    <w:tmpl w:val="2A044AD2"/>
    <w:lvl w:ilvl="0" w:tplc="C5BE8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70F6D"/>
    <w:multiLevelType w:val="multilevel"/>
    <w:tmpl w:val="BA82B472"/>
    <w:lvl w:ilvl="0">
      <w:start w:val="1"/>
      <w:numFmt w:val="decimal"/>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C2E360A"/>
    <w:multiLevelType w:val="hybridMultilevel"/>
    <w:tmpl w:val="900A33D8"/>
    <w:lvl w:ilvl="0" w:tplc="FFFFFFFF">
      <w:start w:val="1"/>
      <w:numFmt w:val="decimal"/>
      <w:lvlText w:val="%1."/>
      <w:lvlJc w:val="left"/>
      <w:pPr>
        <w:ind w:left="360" w:hanging="360"/>
      </w:pPr>
      <w:rPr>
        <w:rFonts w:hint="default"/>
      </w:rPr>
    </w:lvl>
    <w:lvl w:ilvl="1" w:tplc="4E462426">
      <w:start w:val="1"/>
      <w:numFmt w:val="lowerLetter"/>
      <w:lvlText w:val="(%2)"/>
      <w:lvlJc w:val="left"/>
      <w:pPr>
        <w:ind w:left="2214" w:hanging="360"/>
      </w:pPr>
      <w:rPr>
        <w:rFonts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 w15:restartNumberingAfterBreak="0">
    <w:nsid w:val="1D3A72EF"/>
    <w:multiLevelType w:val="hybridMultilevel"/>
    <w:tmpl w:val="9EBC270A"/>
    <w:lvl w:ilvl="0" w:tplc="AB70807C">
      <w:start w:val="1"/>
      <w:numFmt w:val="low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219501EC"/>
    <w:multiLevelType w:val="hybridMultilevel"/>
    <w:tmpl w:val="C7689AF6"/>
    <w:lvl w:ilvl="0" w:tplc="38E6185E">
      <w:start w:val="1"/>
      <w:numFmt w:val="lowerLetter"/>
      <w:lvlText w:val="%1)"/>
      <w:lvlJc w:val="left"/>
      <w:pPr>
        <w:ind w:left="1020" w:hanging="360"/>
      </w:pPr>
    </w:lvl>
    <w:lvl w:ilvl="1" w:tplc="57D88D6E">
      <w:start w:val="1"/>
      <w:numFmt w:val="lowerLetter"/>
      <w:lvlText w:val="%2)"/>
      <w:lvlJc w:val="left"/>
      <w:pPr>
        <w:ind w:left="1020" w:hanging="360"/>
      </w:pPr>
    </w:lvl>
    <w:lvl w:ilvl="2" w:tplc="4928D76C">
      <w:start w:val="1"/>
      <w:numFmt w:val="lowerLetter"/>
      <w:lvlText w:val="%3)"/>
      <w:lvlJc w:val="left"/>
      <w:pPr>
        <w:ind w:left="1020" w:hanging="360"/>
      </w:pPr>
    </w:lvl>
    <w:lvl w:ilvl="3" w:tplc="013A56D4">
      <w:start w:val="1"/>
      <w:numFmt w:val="lowerLetter"/>
      <w:lvlText w:val="%4)"/>
      <w:lvlJc w:val="left"/>
      <w:pPr>
        <w:ind w:left="1020" w:hanging="360"/>
      </w:pPr>
    </w:lvl>
    <w:lvl w:ilvl="4" w:tplc="8D4C4908">
      <w:start w:val="1"/>
      <w:numFmt w:val="lowerLetter"/>
      <w:lvlText w:val="%5)"/>
      <w:lvlJc w:val="left"/>
      <w:pPr>
        <w:ind w:left="1020" w:hanging="360"/>
      </w:pPr>
    </w:lvl>
    <w:lvl w:ilvl="5" w:tplc="16042022">
      <w:start w:val="1"/>
      <w:numFmt w:val="lowerLetter"/>
      <w:lvlText w:val="%6)"/>
      <w:lvlJc w:val="left"/>
      <w:pPr>
        <w:ind w:left="1020" w:hanging="360"/>
      </w:pPr>
    </w:lvl>
    <w:lvl w:ilvl="6" w:tplc="06183B00">
      <w:start w:val="1"/>
      <w:numFmt w:val="lowerLetter"/>
      <w:lvlText w:val="%7)"/>
      <w:lvlJc w:val="left"/>
      <w:pPr>
        <w:ind w:left="1020" w:hanging="360"/>
      </w:pPr>
    </w:lvl>
    <w:lvl w:ilvl="7" w:tplc="C9B6C1DA">
      <w:start w:val="1"/>
      <w:numFmt w:val="lowerLetter"/>
      <w:lvlText w:val="%8)"/>
      <w:lvlJc w:val="left"/>
      <w:pPr>
        <w:ind w:left="1020" w:hanging="360"/>
      </w:pPr>
    </w:lvl>
    <w:lvl w:ilvl="8" w:tplc="536CE59A">
      <w:start w:val="1"/>
      <w:numFmt w:val="lowerLetter"/>
      <w:lvlText w:val="%9)"/>
      <w:lvlJc w:val="left"/>
      <w:pPr>
        <w:ind w:left="1020" w:hanging="360"/>
      </w:pPr>
    </w:lvl>
  </w:abstractNum>
  <w:abstractNum w:abstractNumId="15"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63F09A0"/>
    <w:multiLevelType w:val="hybridMultilevel"/>
    <w:tmpl w:val="2CAC42C8"/>
    <w:lvl w:ilvl="0" w:tplc="FFFFFFFF">
      <w:start w:val="1"/>
      <w:numFmt w:val="lowerLetter"/>
      <w:lvlText w:val="(%1)"/>
      <w:lvlJc w:val="left"/>
      <w:pPr>
        <w:ind w:left="2150" w:hanging="720"/>
      </w:pPr>
      <w:rPr>
        <w:rFonts w:ascii="Times New Roman" w:hAnsi="Times New Roman" w:cs="Times New Roman" w:hint="default"/>
        <w:lang w:val="en-US"/>
      </w:rPr>
    </w:lvl>
    <w:lvl w:ilvl="1" w:tplc="FFFFFFFF">
      <w:start w:val="1"/>
      <w:numFmt w:val="lowerLetter"/>
      <w:lvlText w:val="%2."/>
      <w:lvlJc w:val="left"/>
      <w:pPr>
        <w:ind w:left="2510" w:hanging="360"/>
      </w:pPr>
    </w:lvl>
    <w:lvl w:ilvl="2" w:tplc="FFFFFFFF" w:tentative="1">
      <w:start w:val="1"/>
      <w:numFmt w:val="lowerRoman"/>
      <w:lvlText w:val="%3."/>
      <w:lvlJc w:val="right"/>
      <w:pPr>
        <w:ind w:left="3230" w:hanging="180"/>
      </w:pPr>
    </w:lvl>
    <w:lvl w:ilvl="3" w:tplc="FFFFFFFF" w:tentative="1">
      <w:start w:val="1"/>
      <w:numFmt w:val="decimal"/>
      <w:lvlText w:val="%4."/>
      <w:lvlJc w:val="left"/>
      <w:pPr>
        <w:ind w:left="3950" w:hanging="360"/>
      </w:pPr>
    </w:lvl>
    <w:lvl w:ilvl="4" w:tplc="FFFFFFFF" w:tentative="1">
      <w:start w:val="1"/>
      <w:numFmt w:val="lowerLetter"/>
      <w:lvlText w:val="%5."/>
      <w:lvlJc w:val="left"/>
      <w:pPr>
        <w:ind w:left="4670" w:hanging="360"/>
      </w:pPr>
    </w:lvl>
    <w:lvl w:ilvl="5" w:tplc="FFFFFFFF" w:tentative="1">
      <w:start w:val="1"/>
      <w:numFmt w:val="lowerRoman"/>
      <w:lvlText w:val="%6."/>
      <w:lvlJc w:val="right"/>
      <w:pPr>
        <w:ind w:left="5390" w:hanging="180"/>
      </w:pPr>
    </w:lvl>
    <w:lvl w:ilvl="6" w:tplc="FFFFFFFF" w:tentative="1">
      <w:start w:val="1"/>
      <w:numFmt w:val="decimal"/>
      <w:lvlText w:val="%7."/>
      <w:lvlJc w:val="left"/>
      <w:pPr>
        <w:ind w:left="6110" w:hanging="360"/>
      </w:pPr>
    </w:lvl>
    <w:lvl w:ilvl="7" w:tplc="FFFFFFFF" w:tentative="1">
      <w:start w:val="1"/>
      <w:numFmt w:val="lowerLetter"/>
      <w:lvlText w:val="%8."/>
      <w:lvlJc w:val="left"/>
      <w:pPr>
        <w:ind w:left="6830" w:hanging="360"/>
      </w:pPr>
    </w:lvl>
    <w:lvl w:ilvl="8" w:tplc="FFFFFFFF" w:tentative="1">
      <w:start w:val="1"/>
      <w:numFmt w:val="lowerRoman"/>
      <w:lvlText w:val="%9."/>
      <w:lvlJc w:val="right"/>
      <w:pPr>
        <w:ind w:left="7550" w:hanging="180"/>
      </w:pPr>
    </w:lvl>
  </w:abstractNum>
  <w:abstractNum w:abstractNumId="17"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3E726F3E"/>
    <w:multiLevelType w:val="hybridMultilevel"/>
    <w:tmpl w:val="2D56A060"/>
    <w:lvl w:ilvl="0" w:tplc="FFFFFFFF">
      <w:start w:val="1"/>
      <w:numFmt w:val="decimal"/>
      <w:lvlText w:val="%1."/>
      <w:lvlJc w:val="left"/>
      <w:pPr>
        <w:ind w:left="360" w:hanging="360"/>
      </w:pPr>
      <w:rPr>
        <w:rFonts w:hint="default"/>
      </w:rPr>
    </w:lvl>
    <w:lvl w:ilvl="1" w:tplc="4E462426">
      <w:start w:val="1"/>
      <w:numFmt w:val="lowerLetter"/>
      <w:lvlText w:val="(%2)"/>
      <w:lvlJc w:val="left"/>
      <w:pPr>
        <w:ind w:left="2214" w:hanging="360"/>
      </w:pPr>
      <w:rPr>
        <w:rFonts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F8D51ED"/>
    <w:multiLevelType w:val="hybridMultilevel"/>
    <w:tmpl w:val="4FE474F4"/>
    <w:lvl w:ilvl="0" w:tplc="51EEA3FC">
      <w:start w:val="1"/>
      <w:numFmt w:val="decimal"/>
      <w:lvlText w:val="%1."/>
      <w:lvlJc w:val="left"/>
      <w:pPr>
        <w:ind w:left="360" w:hanging="360"/>
      </w:pPr>
      <w:rPr>
        <w:rFonts w:hint="default"/>
      </w:rPr>
    </w:lvl>
    <w:lvl w:ilvl="1" w:tplc="10090019">
      <w:start w:val="1"/>
      <w:numFmt w:val="lowerLetter"/>
      <w:lvlText w:val="%2."/>
      <w:lvlJc w:val="left"/>
      <w:pPr>
        <w:ind w:left="2214" w:hanging="360"/>
      </w:pPr>
    </w:lvl>
    <w:lvl w:ilvl="2" w:tplc="5966353E">
      <w:start w:val="1"/>
      <w:numFmt w:val="lowerRoman"/>
      <w:lvlText w:val="%3"/>
      <w:lvlJc w:val="right"/>
      <w:pPr>
        <w:ind w:left="2934" w:hanging="180"/>
      </w:pPr>
      <w:rPr>
        <w:rFonts w:hint="default"/>
      </w:r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22"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6"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E6F45BB"/>
    <w:multiLevelType w:val="hybridMultilevel"/>
    <w:tmpl w:val="B722114A"/>
    <w:lvl w:ilvl="0" w:tplc="1009000F">
      <w:start w:val="1"/>
      <w:numFmt w:val="decimal"/>
      <w:lvlText w:val="%1."/>
      <w:lvlJc w:val="left"/>
      <w:pPr>
        <w:ind w:left="1854" w:hanging="360"/>
      </w:p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28"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6B46CD3"/>
    <w:multiLevelType w:val="hybridMultilevel"/>
    <w:tmpl w:val="3A565898"/>
    <w:lvl w:ilvl="0" w:tplc="10090019">
      <w:start w:val="1"/>
      <w:numFmt w:val="lowerLetter"/>
      <w:lvlText w:val="%1."/>
      <w:lvlJc w:val="left"/>
      <w:pPr>
        <w:ind w:left="221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6323D3"/>
    <w:multiLevelType w:val="hybridMultilevel"/>
    <w:tmpl w:val="2CAC42C8"/>
    <w:lvl w:ilvl="0" w:tplc="54803380">
      <w:start w:val="1"/>
      <w:numFmt w:val="lowerLetter"/>
      <w:lvlText w:val="(%1)"/>
      <w:lvlJc w:val="left"/>
      <w:pPr>
        <w:ind w:left="2150" w:hanging="720"/>
      </w:pPr>
      <w:rPr>
        <w:rFonts w:ascii="Times New Roman" w:hAnsi="Times New Roman" w:cs="Times New Roman" w:hint="default"/>
        <w:lang w:val="en-US"/>
      </w:rPr>
    </w:lvl>
    <w:lvl w:ilvl="1" w:tplc="04090019">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31"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61570C83"/>
    <w:multiLevelType w:val="multilevel"/>
    <w:tmpl w:val="863E9E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19F58E9"/>
    <w:multiLevelType w:val="hybridMultilevel"/>
    <w:tmpl w:val="2D70B058"/>
    <w:lvl w:ilvl="0" w:tplc="873C8F4E">
      <w:start w:val="26"/>
      <w:numFmt w:val="decimal"/>
      <w:lvlText w:val="%1."/>
      <w:lvlJc w:val="left"/>
      <w:pPr>
        <w:ind w:left="1530" w:hanging="360"/>
      </w:pPr>
      <w:rPr>
        <w:rFonts w:hint="default"/>
        <w:i/>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7"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3C3F80"/>
    <w:multiLevelType w:val="hybridMultilevel"/>
    <w:tmpl w:val="DF0A40C4"/>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68B70991"/>
    <w:multiLevelType w:val="hybridMultilevel"/>
    <w:tmpl w:val="4ADA0F28"/>
    <w:lvl w:ilvl="0" w:tplc="A52867AE">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0"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2" w15:restartNumberingAfterBreak="0">
    <w:nsid w:val="707A4EFF"/>
    <w:multiLevelType w:val="hybridMultilevel"/>
    <w:tmpl w:val="54BE813A"/>
    <w:lvl w:ilvl="0" w:tplc="C8FE4ED2">
      <w:start w:val="21"/>
      <w:numFmt w:val="decimal"/>
      <w:lvlText w:val="%1."/>
      <w:lvlJc w:val="left"/>
      <w:pPr>
        <w:ind w:left="1440" w:hanging="360"/>
      </w:pPr>
      <w:rPr>
        <w:rFonts w:hint="default"/>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15:restartNumberingAfterBreak="0">
    <w:nsid w:val="711F12CC"/>
    <w:multiLevelType w:val="hybridMultilevel"/>
    <w:tmpl w:val="0CD813FC"/>
    <w:lvl w:ilvl="0" w:tplc="2682A0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B34FBE"/>
    <w:multiLevelType w:val="multilevel"/>
    <w:tmpl w:val="B6C2D102"/>
    <w:lvl w:ilvl="0">
      <w:start w:val="1"/>
      <w:numFmt w:val="lowerRoman"/>
      <w:lvlText w:val="%1."/>
      <w:lvlJc w:val="right"/>
      <w:pPr>
        <w:tabs>
          <w:tab w:val="num" w:pos="720"/>
        </w:tabs>
        <w:ind w:left="720" w:hanging="360"/>
      </w:pPr>
      <w:rPr>
        <w:rFonts w:ascii="Times New Roman" w:eastAsiaTheme="minorHAnsi" w:hAnsi="Times New Roman" w:cs="Times New Roman"/>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77B5326A"/>
    <w:multiLevelType w:val="hybridMultilevel"/>
    <w:tmpl w:val="ABE866C4"/>
    <w:lvl w:ilvl="0" w:tplc="FFFFFFFF">
      <w:start w:val="1"/>
      <w:numFmt w:val="decimal"/>
      <w:lvlText w:val="%1."/>
      <w:lvlJc w:val="left"/>
      <w:pPr>
        <w:ind w:left="1494" w:hanging="360"/>
      </w:pPr>
      <w:rPr>
        <w:rFonts w:hint="default"/>
      </w:rPr>
    </w:lvl>
    <w:lvl w:ilvl="1" w:tplc="4E462426">
      <w:start w:val="1"/>
      <w:numFmt w:val="lowerLetter"/>
      <w:lvlText w:val="(%2)"/>
      <w:lvlJc w:val="left"/>
      <w:pPr>
        <w:ind w:left="2214" w:hanging="360"/>
      </w:pPr>
      <w:rPr>
        <w:rFonts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6" w15:restartNumberingAfterBreak="0">
    <w:nsid w:val="78937750"/>
    <w:multiLevelType w:val="hybridMultilevel"/>
    <w:tmpl w:val="F522D24E"/>
    <w:lvl w:ilvl="0" w:tplc="861C889A">
      <w:start w:val="1"/>
      <w:numFmt w:val="lowerLetter"/>
      <w:lvlText w:val="%1)"/>
      <w:lvlJc w:val="left"/>
      <w:pPr>
        <w:ind w:left="720" w:hanging="360"/>
      </w:pPr>
    </w:lvl>
    <w:lvl w:ilvl="1" w:tplc="ED98976A">
      <w:start w:val="1"/>
      <w:numFmt w:val="lowerLetter"/>
      <w:lvlText w:val="%2)"/>
      <w:lvlJc w:val="left"/>
      <w:pPr>
        <w:ind w:left="720" w:hanging="360"/>
      </w:pPr>
    </w:lvl>
    <w:lvl w:ilvl="2" w:tplc="3A60FB78">
      <w:start w:val="1"/>
      <w:numFmt w:val="lowerLetter"/>
      <w:lvlText w:val="%3)"/>
      <w:lvlJc w:val="left"/>
      <w:pPr>
        <w:ind w:left="720" w:hanging="360"/>
      </w:pPr>
    </w:lvl>
    <w:lvl w:ilvl="3" w:tplc="BF8C1468">
      <w:start w:val="1"/>
      <w:numFmt w:val="lowerLetter"/>
      <w:lvlText w:val="%4)"/>
      <w:lvlJc w:val="left"/>
      <w:pPr>
        <w:ind w:left="720" w:hanging="360"/>
      </w:pPr>
    </w:lvl>
    <w:lvl w:ilvl="4" w:tplc="42DC7E7C">
      <w:start w:val="1"/>
      <w:numFmt w:val="lowerLetter"/>
      <w:lvlText w:val="%5)"/>
      <w:lvlJc w:val="left"/>
      <w:pPr>
        <w:ind w:left="720" w:hanging="360"/>
      </w:pPr>
    </w:lvl>
    <w:lvl w:ilvl="5" w:tplc="D7FC5BEE">
      <w:start w:val="1"/>
      <w:numFmt w:val="lowerLetter"/>
      <w:lvlText w:val="%6)"/>
      <w:lvlJc w:val="left"/>
      <w:pPr>
        <w:ind w:left="720" w:hanging="360"/>
      </w:pPr>
    </w:lvl>
    <w:lvl w:ilvl="6" w:tplc="1896B228">
      <w:start w:val="1"/>
      <w:numFmt w:val="lowerLetter"/>
      <w:lvlText w:val="%7)"/>
      <w:lvlJc w:val="left"/>
      <w:pPr>
        <w:ind w:left="720" w:hanging="360"/>
      </w:pPr>
    </w:lvl>
    <w:lvl w:ilvl="7" w:tplc="523637A0">
      <w:start w:val="1"/>
      <w:numFmt w:val="lowerLetter"/>
      <w:lvlText w:val="%8)"/>
      <w:lvlJc w:val="left"/>
      <w:pPr>
        <w:ind w:left="720" w:hanging="360"/>
      </w:pPr>
    </w:lvl>
    <w:lvl w:ilvl="8" w:tplc="7980A73E">
      <w:start w:val="1"/>
      <w:numFmt w:val="lowerLetter"/>
      <w:lvlText w:val="%9)"/>
      <w:lvlJc w:val="left"/>
      <w:pPr>
        <w:ind w:left="720" w:hanging="360"/>
      </w:pPr>
    </w:lvl>
  </w:abstractNum>
  <w:abstractNum w:abstractNumId="47" w15:restartNumberingAfterBreak="0">
    <w:nsid w:val="78A17B7D"/>
    <w:multiLevelType w:val="hybridMultilevel"/>
    <w:tmpl w:val="F8FEE824"/>
    <w:lvl w:ilvl="0" w:tplc="D6F63B8C">
      <w:start w:val="9"/>
      <w:numFmt w:val="lowerLetter"/>
      <w:lvlText w:val="%1."/>
      <w:lvlJc w:val="left"/>
      <w:pPr>
        <w:ind w:left="2510" w:hanging="360"/>
      </w:pPr>
      <w:rPr>
        <w:rFonts w:hint="default"/>
      </w:rPr>
    </w:lvl>
    <w:lvl w:ilvl="1" w:tplc="04090019" w:tentative="1">
      <w:start w:val="1"/>
      <w:numFmt w:val="lowerLetter"/>
      <w:lvlText w:val="%2."/>
      <w:lvlJc w:val="left"/>
      <w:pPr>
        <w:ind w:left="3230" w:hanging="360"/>
      </w:pPr>
    </w:lvl>
    <w:lvl w:ilvl="2" w:tplc="0409001B" w:tentative="1">
      <w:start w:val="1"/>
      <w:numFmt w:val="lowerRoman"/>
      <w:lvlText w:val="%3."/>
      <w:lvlJc w:val="right"/>
      <w:pPr>
        <w:ind w:left="3950" w:hanging="180"/>
      </w:pPr>
    </w:lvl>
    <w:lvl w:ilvl="3" w:tplc="0409000F" w:tentative="1">
      <w:start w:val="1"/>
      <w:numFmt w:val="decimal"/>
      <w:lvlText w:val="%4."/>
      <w:lvlJc w:val="left"/>
      <w:pPr>
        <w:ind w:left="4670" w:hanging="360"/>
      </w:pPr>
    </w:lvl>
    <w:lvl w:ilvl="4" w:tplc="04090019" w:tentative="1">
      <w:start w:val="1"/>
      <w:numFmt w:val="lowerLetter"/>
      <w:lvlText w:val="%5."/>
      <w:lvlJc w:val="left"/>
      <w:pPr>
        <w:ind w:left="5390" w:hanging="360"/>
      </w:pPr>
    </w:lvl>
    <w:lvl w:ilvl="5" w:tplc="0409001B" w:tentative="1">
      <w:start w:val="1"/>
      <w:numFmt w:val="lowerRoman"/>
      <w:lvlText w:val="%6."/>
      <w:lvlJc w:val="right"/>
      <w:pPr>
        <w:ind w:left="6110" w:hanging="180"/>
      </w:pPr>
    </w:lvl>
    <w:lvl w:ilvl="6" w:tplc="0409000F" w:tentative="1">
      <w:start w:val="1"/>
      <w:numFmt w:val="decimal"/>
      <w:lvlText w:val="%7."/>
      <w:lvlJc w:val="left"/>
      <w:pPr>
        <w:ind w:left="6830" w:hanging="360"/>
      </w:pPr>
    </w:lvl>
    <w:lvl w:ilvl="7" w:tplc="04090019" w:tentative="1">
      <w:start w:val="1"/>
      <w:numFmt w:val="lowerLetter"/>
      <w:lvlText w:val="%8."/>
      <w:lvlJc w:val="left"/>
      <w:pPr>
        <w:ind w:left="7550" w:hanging="360"/>
      </w:pPr>
    </w:lvl>
    <w:lvl w:ilvl="8" w:tplc="0409001B" w:tentative="1">
      <w:start w:val="1"/>
      <w:numFmt w:val="lowerRoman"/>
      <w:lvlText w:val="%9."/>
      <w:lvlJc w:val="right"/>
      <w:pPr>
        <w:ind w:left="8270" w:hanging="180"/>
      </w:pPr>
    </w:lvl>
  </w:abstractNum>
  <w:abstractNum w:abstractNumId="48" w15:restartNumberingAfterBreak="0">
    <w:nsid w:val="78C1625F"/>
    <w:multiLevelType w:val="hybridMultilevel"/>
    <w:tmpl w:val="7D2C601E"/>
    <w:lvl w:ilvl="0" w:tplc="6F603298">
      <w:start w:val="22"/>
      <w:numFmt w:val="decimal"/>
      <w:lvlText w:val="%1."/>
      <w:lvlJc w:val="left"/>
      <w:pPr>
        <w:ind w:left="1440" w:hanging="360"/>
      </w:pPr>
      <w:rPr>
        <w:rFonts w:hint="default"/>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9" w15:restartNumberingAfterBreak="0">
    <w:nsid w:val="7950332A"/>
    <w:multiLevelType w:val="hybridMultilevel"/>
    <w:tmpl w:val="E57C625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7C7B550C"/>
    <w:multiLevelType w:val="hybridMultilevel"/>
    <w:tmpl w:val="EA60F474"/>
    <w:lvl w:ilvl="0" w:tplc="B0842B4E">
      <w:start w:val="1"/>
      <w:numFmt w:val="lowerLetter"/>
      <w:lvlText w:val="%1)"/>
      <w:lvlJc w:val="left"/>
      <w:pPr>
        <w:ind w:left="1020" w:hanging="360"/>
      </w:pPr>
    </w:lvl>
    <w:lvl w:ilvl="1" w:tplc="BEBCDD0C">
      <w:start w:val="1"/>
      <w:numFmt w:val="lowerLetter"/>
      <w:lvlText w:val="%2)"/>
      <w:lvlJc w:val="left"/>
      <w:pPr>
        <w:ind w:left="1020" w:hanging="360"/>
      </w:pPr>
    </w:lvl>
    <w:lvl w:ilvl="2" w:tplc="A4C25106">
      <w:start w:val="1"/>
      <w:numFmt w:val="lowerLetter"/>
      <w:lvlText w:val="%3)"/>
      <w:lvlJc w:val="left"/>
      <w:pPr>
        <w:ind w:left="1020" w:hanging="360"/>
      </w:pPr>
    </w:lvl>
    <w:lvl w:ilvl="3" w:tplc="E88CC668">
      <w:start w:val="1"/>
      <w:numFmt w:val="lowerLetter"/>
      <w:lvlText w:val="%4)"/>
      <w:lvlJc w:val="left"/>
      <w:pPr>
        <w:ind w:left="1020" w:hanging="360"/>
      </w:pPr>
    </w:lvl>
    <w:lvl w:ilvl="4" w:tplc="169CE060">
      <w:start w:val="1"/>
      <w:numFmt w:val="lowerLetter"/>
      <w:lvlText w:val="%5)"/>
      <w:lvlJc w:val="left"/>
      <w:pPr>
        <w:ind w:left="1020" w:hanging="360"/>
      </w:pPr>
    </w:lvl>
    <w:lvl w:ilvl="5" w:tplc="84E025A8">
      <w:start w:val="1"/>
      <w:numFmt w:val="lowerLetter"/>
      <w:lvlText w:val="%6)"/>
      <w:lvlJc w:val="left"/>
      <w:pPr>
        <w:ind w:left="1020" w:hanging="360"/>
      </w:pPr>
    </w:lvl>
    <w:lvl w:ilvl="6" w:tplc="ED2C376C">
      <w:start w:val="1"/>
      <w:numFmt w:val="lowerLetter"/>
      <w:lvlText w:val="%7)"/>
      <w:lvlJc w:val="left"/>
      <w:pPr>
        <w:ind w:left="1020" w:hanging="360"/>
      </w:pPr>
    </w:lvl>
    <w:lvl w:ilvl="7" w:tplc="8F9001C2">
      <w:start w:val="1"/>
      <w:numFmt w:val="lowerLetter"/>
      <w:lvlText w:val="%8)"/>
      <w:lvlJc w:val="left"/>
      <w:pPr>
        <w:ind w:left="1020" w:hanging="360"/>
      </w:pPr>
    </w:lvl>
    <w:lvl w:ilvl="8" w:tplc="DA06B216">
      <w:start w:val="1"/>
      <w:numFmt w:val="lowerLetter"/>
      <w:lvlText w:val="%9)"/>
      <w:lvlJc w:val="left"/>
      <w:pPr>
        <w:ind w:left="1020" w:hanging="360"/>
      </w:pPr>
    </w:lvl>
  </w:abstractNum>
  <w:abstractNum w:abstractNumId="52"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53" w15:restartNumberingAfterBreak="0">
    <w:nsid w:val="7FE26381"/>
    <w:multiLevelType w:val="hybridMultilevel"/>
    <w:tmpl w:val="405429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83056410">
    <w:abstractNumId w:val="39"/>
  </w:num>
  <w:num w:numId="2" w16cid:durableId="1595437956">
    <w:abstractNumId w:val="31"/>
  </w:num>
  <w:num w:numId="3" w16cid:durableId="495995297">
    <w:abstractNumId w:val="50"/>
  </w:num>
  <w:num w:numId="4" w16cid:durableId="387650124">
    <w:abstractNumId w:val="17"/>
  </w:num>
  <w:num w:numId="5" w16cid:durableId="1474984872">
    <w:abstractNumId w:val="26"/>
  </w:num>
  <w:num w:numId="6" w16cid:durableId="767388929">
    <w:abstractNumId w:val="18"/>
  </w:num>
  <w:num w:numId="7" w16cid:durableId="1671909441">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801001244">
    <w:abstractNumId w:val="40"/>
  </w:num>
  <w:num w:numId="9" w16cid:durableId="1847012668">
    <w:abstractNumId w:val="40"/>
  </w:num>
  <w:num w:numId="10" w16cid:durableId="849563837">
    <w:abstractNumId w:val="41"/>
  </w:num>
  <w:num w:numId="11" w16cid:durableId="1580017393">
    <w:abstractNumId w:val="25"/>
  </w:num>
  <w:num w:numId="12" w16cid:durableId="790829203">
    <w:abstractNumId w:val="19"/>
    <w:lvlOverride w:ilvl="0">
      <w:startOverride w:val="1"/>
    </w:lvlOverride>
  </w:num>
  <w:num w:numId="13" w16cid:durableId="1624000923">
    <w:abstractNumId w:val="23"/>
  </w:num>
  <w:num w:numId="14" w16cid:durableId="741026314">
    <w:abstractNumId w:val="22"/>
  </w:num>
  <w:num w:numId="15" w16cid:durableId="1125122690">
    <w:abstractNumId w:val="37"/>
  </w:num>
  <w:num w:numId="16" w16cid:durableId="494077759">
    <w:abstractNumId w:val="6"/>
  </w:num>
  <w:num w:numId="17" w16cid:durableId="53507491">
    <w:abstractNumId w:val="15"/>
  </w:num>
  <w:num w:numId="18" w16cid:durableId="1701008211">
    <w:abstractNumId w:val="28"/>
  </w:num>
  <w:num w:numId="19" w16cid:durableId="1645163949">
    <w:abstractNumId w:val="32"/>
  </w:num>
  <w:num w:numId="20" w16cid:durableId="1454788445">
    <w:abstractNumId w:val="24"/>
  </w:num>
  <w:num w:numId="21" w16cid:durableId="770323406">
    <w:abstractNumId w:val="52"/>
  </w:num>
  <w:num w:numId="22" w16cid:durableId="1148939127">
    <w:abstractNumId w:val="33"/>
  </w:num>
  <w:num w:numId="23" w16cid:durableId="676158013">
    <w:abstractNumId w:val="13"/>
  </w:num>
  <w:num w:numId="24" w16cid:durableId="1119841016">
    <w:abstractNumId w:val="2"/>
  </w:num>
  <w:num w:numId="25" w16cid:durableId="317804560">
    <w:abstractNumId w:val="27"/>
  </w:num>
  <w:num w:numId="26" w16cid:durableId="1538856104">
    <w:abstractNumId w:val="21"/>
  </w:num>
  <w:num w:numId="27" w16cid:durableId="461770139">
    <w:abstractNumId w:val="36"/>
  </w:num>
  <w:num w:numId="28" w16cid:durableId="1056271436">
    <w:abstractNumId w:val="3"/>
  </w:num>
  <w:num w:numId="29" w16cid:durableId="1298490557">
    <w:abstractNumId w:val="9"/>
  </w:num>
  <w:num w:numId="30" w16cid:durableId="905384150">
    <w:abstractNumId w:val="43"/>
  </w:num>
  <w:num w:numId="31" w16cid:durableId="432360675">
    <w:abstractNumId w:val="8"/>
  </w:num>
  <w:num w:numId="32" w16cid:durableId="1481774491">
    <w:abstractNumId w:val="44"/>
  </w:num>
  <w:num w:numId="33" w16cid:durableId="669527458">
    <w:abstractNumId w:val="53"/>
  </w:num>
  <w:num w:numId="34" w16cid:durableId="827209546">
    <w:abstractNumId w:val="0"/>
  </w:num>
  <w:num w:numId="35" w16cid:durableId="13767803">
    <w:abstractNumId w:val="49"/>
  </w:num>
  <w:num w:numId="36" w16cid:durableId="2055539153">
    <w:abstractNumId w:val="48"/>
  </w:num>
  <w:num w:numId="37" w16cid:durableId="1531990547">
    <w:abstractNumId w:val="42"/>
  </w:num>
  <w:num w:numId="38" w16cid:durableId="852307725">
    <w:abstractNumId w:val="34"/>
  </w:num>
  <w:num w:numId="39" w16cid:durableId="2031758384">
    <w:abstractNumId w:val="29"/>
  </w:num>
  <w:num w:numId="40" w16cid:durableId="11022601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6414767">
    <w:abstractNumId w:val="45"/>
  </w:num>
  <w:num w:numId="42" w16cid:durableId="1340350023">
    <w:abstractNumId w:val="11"/>
  </w:num>
  <w:num w:numId="43" w16cid:durableId="1721589272">
    <w:abstractNumId w:val="20"/>
  </w:num>
  <w:num w:numId="44" w16cid:durableId="196160253">
    <w:abstractNumId w:val="10"/>
  </w:num>
  <w:num w:numId="45" w16cid:durableId="1255943316">
    <w:abstractNumId w:val="38"/>
  </w:num>
  <w:num w:numId="46" w16cid:durableId="1684168425">
    <w:abstractNumId w:val="7"/>
  </w:num>
  <w:num w:numId="47" w16cid:durableId="1772386774">
    <w:abstractNumId w:val="5"/>
  </w:num>
  <w:num w:numId="48" w16cid:durableId="400833060">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49" w16cid:durableId="810515543">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0" w16cid:durableId="1958752758">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1" w16cid:durableId="364259952">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2" w16cid:durableId="1063724625">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3" w16cid:durableId="685375685">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4" w16cid:durableId="1413043569">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5" w16cid:durableId="835608046">
    <w:abstractNumId w:val="25"/>
    <w:lvlOverride w:ilvl="0">
      <w:startOverride w:val="1"/>
      <w:lvl w:ilvl="0">
        <w:start w:val="1"/>
        <w:numFmt w:val="decimal"/>
        <w:pStyle w:val="CBDNormalNumber"/>
        <w:lvlText w:val="%1."/>
        <w:lvlJc w:val="left"/>
        <w:pPr>
          <w:ind w:left="720"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720" w:firstLine="567"/>
        </w:pPr>
        <w:rPr>
          <w:rFonts w:ascii="Times New Roman" w:hAnsi="Times New Roman" w:hint="default"/>
          <w:b w:val="0"/>
          <w:i w:val="0"/>
          <w:sz w:val="22"/>
        </w:rPr>
      </w:lvl>
    </w:lvlOverride>
    <w:lvlOverride w:ilvl="2">
      <w:startOverride w:val="1"/>
      <w:lvl w:ilvl="2">
        <w:start w:val="1"/>
        <w:numFmt w:val="lowerRoman"/>
        <w:lvlText w:val="(%3)"/>
        <w:lvlJc w:val="left"/>
        <w:pPr>
          <w:ind w:left="2421" w:hanging="567"/>
        </w:pPr>
        <w:rPr>
          <w:rFonts w:ascii="Times New Roman" w:hAnsi="Times New Roman" w:hint="default"/>
          <w:sz w:val="22"/>
        </w:rPr>
      </w:lvl>
    </w:lvlOverride>
    <w:lvlOverride w:ilvl="3">
      <w:startOverride w:val="1"/>
      <w:lvl w:ilvl="3">
        <w:start w:val="1"/>
        <w:numFmt w:val="decimal"/>
        <w:lvlText w:val="(%4)"/>
        <w:lvlJc w:val="left"/>
        <w:pPr>
          <w:ind w:left="2988" w:hanging="567"/>
        </w:pPr>
        <w:rPr>
          <w:rFonts w:ascii="Times New Roman" w:hAnsi="Times New Roman" w:hint="default"/>
          <w:sz w:val="22"/>
        </w:rPr>
      </w:lvl>
    </w:lvlOverride>
    <w:lvlOverride w:ilvl="4">
      <w:startOverride w:val="1"/>
      <w:lvl w:ilvl="4">
        <w:start w:val="1"/>
        <w:numFmt w:val="lowerLetter"/>
        <w:lvlText w:val="(%5)"/>
        <w:lvlJc w:val="left"/>
        <w:pPr>
          <w:ind w:left="3555" w:hanging="567"/>
        </w:pPr>
        <w:rPr>
          <w:rFonts w:hint="default"/>
        </w:rPr>
      </w:lvl>
    </w:lvlOverride>
    <w:lvlOverride w:ilvl="5">
      <w:startOverride w:val="1"/>
      <w:lvl w:ilvl="5">
        <w:start w:val="1"/>
        <w:numFmt w:val="lowerRoman"/>
        <w:lvlText w:val="(%6)"/>
        <w:lvlJc w:val="left"/>
        <w:pPr>
          <w:ind w:left="2979" w:hanging="360"/>
        </w:pPr>
        <w:rPr>
          <w:rFonts w:hint="default"/>
        </w:rPr>
      </w:lvl>
    </w:lvlOverride>
    <w:lvlOverride w:ilvl="6">
      <w:startOverride w:val="1"/>
      <w:lvl w:ilvl="6">
        <w:start w:val="1"/>
        <w:numFmt w:val="decimal"/>
        <w:lvlText w:val="%7."/>
        <w:lvlJc w:val="left"/>
        <w:pPr>
          <w:ind w:left="3339" w:hanging="360"/>
        </w:pPr>
        <w:rPr>
          <w:rFonts w:hint="default"/>
        </w:rPr>
      </w:lvl>
    </w:lvlOverride>
    <w:lvlOverride w:ilvl="7">
      <w:startOverride w:val="1"/>
      <w:lvl w:ilvl="7">
        <w:start w:val="1"/>
        <w:numFmt w:val="lowerLetter"/>
        <w:lvlText w:val="%8."/>
        <w:lvlJc w:val="left"/>
        <w:pPr>
          <w:ind w:left="3699" w:hanging="360"/>
        </w:pPr>
        <w:rPr>
          <w:rFonts w:hint="default"/>
        </w:rPr>
      </w:lvl>
    </w:lvlOverride>
    <w:lvlOverride w:ilvl="8">
      <w:startOverride w:val="1"/>
      <w:lvl w:ilvl="8">
        <w:start w:val="1"/>
        <w:numFmt w:val="lowerRoman"/>
        <w:lvlText w:val="%9."/>
        <w:lvlJc w:val="left"/>
        <w:pPr>
          <w:ind w:left="4059" w:hanging="360"/>
        </w:pPr>
        <w:rPr>
          <w:rFonts w:hint="default"/>
        </w:rPr>
      </w:lvl>
    </w:lvlOverride>
  </w:num>
  <w:num w:numId="56" w16cid:durableId="1469014181">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7" w16cid:durableId="1284993584">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8" w16cid:durableId="2019648361">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9" w16cid:durableId="759251424">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0" w16cid:durableId="1274632900">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1" w16cid:durableId="151682637">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2" w16cid:durableId="2112242698">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3" w16cid:durableId="1703361493">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4" w16cid:durableId="980815863">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5" w16cid:durableId="341711986">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6" w16cid:durableId="192309143">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7" w16cid:durableId="2022655571">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8" w16cid:durableId="640235863">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69" w16cid:durableId="798500227">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0" w16cid:durableId="861358295">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1" w16cid:durableId="473136198">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2" w16cid:durableId="321197182">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3" w16cid:durableId="1075320556">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4" w16cid:durableId="1215698893">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5" w16cid:durableId="1205099815">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6" w16cid:durableId="1859344570">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7" w16cid:durableId="1268344003">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8" w16cid:durableId="419764846">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79" w16cid:durableId="1071463244">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0" w16cid:durableId="91051628">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1" w16cid:durableId="1547140885">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2" w16cid:durableId="1163468006">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3" w16cid:durableId="668169767">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4" w16cid:durableId="949779091">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5" w16cid:durableId="117072589">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6" w16cid:durableId="1688560057">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7" w16cid:durableId="551894113">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8" w16cid:durableId="101843852">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9" w16cid:durableId="1942759991">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0" w16cid:durableId="1761872257">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1" w16cid:durableId="1450709478">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2" w16cid:durableId="521435907">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3" w16cid:durableId="428474474">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4" w16cid:durableId="1109353401">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5" w16cid:durableId="657265896">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6" w16cid:durableId="1089228119">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7" w16cid:durableId="748697108">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8" w16cid:durableId="1294366618">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99" w16cid:durableId="1357348440">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0" w16cid:durableId="1105689154">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1" w16cid:durableId="1964725652">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2" w16cid:durableId="1544361516">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3" w16cid:durableId="919405157">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4" w16cid:durableId="909122800">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5" w16cid:durableId="1872376985">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6" w16cid:durableId="21245219">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7" w16cid:durableId="1304196278">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8" w16cid:durableId="1340736409">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09" w16cid:durableId="1990212576">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0" w16cid:durableId="1045981651">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1" w16cid:durableId="632563598">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2" w16cid:durableId="78255864">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3" w16cid:durableId="419956877">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4" w16cid:durableId="1885752471">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5" w16cid:durableId="566187839">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6" w16cid:durableId="1731878607">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7" w16cid:durableId="1290625400">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8" w16cid:durableId="1991203227">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9" w16cid:durableId="1502500625">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20" w16cid:durableId="1550335946">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21" w16cid:durableId="1725719666">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22" w16cid:durableId="1807313976">
    <w:abstractNumId w:val="2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23" w16cid:durableId="97146503">
    <w:abstractNumId w:val="35"/>
  </w:num>
  <w:num w:numId="124" w16cid:durableId="1131634182">
    <w:abstractNumId w:val="30"/>
  </w:num>
  <w:num w:numId="125" w16cid:durableId="970089988">
    <w:abstractNumId w:val="47"/>
  </w:num>
  <w:num w:numId="126" w16cid:durableId="2028171830">
    <w:abstractNumId w:val="16"/>
  </w:num>
  <w:num w:numId="127" w16cid:durableId="320735587">
    <w:abstractNumId w:val="12"/>
  </w:num>
  <w:num w:numId="128" w16cid:durableId="2034306987">
    <w:abstractNumId w:val="4"/>
  </w:num>
  <w:num w:numId="129" w16cid:durableId="875888663">
    <w:abstractNumId w:val="1"/>
  </w:num>
  <w:num w:numId="130" w16cid:durableId="859667230">
    <w:abstractNumId w:val="51"/>
  </w:num>
  <w:num w:numId="131" w16cid:durableId="1247035639">
    <w:abstractNumId w:val="46"/>
  </w:num>
  <w:num w:numId="132" w16cid:durableId="1617637830">
    <w:abstractNumId w:val="14"/>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353"/>
    <w:rsid w:val="00000549"/>
    <w:rsid w:val="000008AD"/>
    <w:rsid w:val="00000B1F"/>
    <w:rsid w:val="00000FDC"/>
    <w:rsid w:val="00001250"/>
    <w:rsid w:val="0000143C"/>
    <w:rsid w:val="000016B8"/>
    <w:rsid w:val="00002B05"/>
    <w:rsid w:val="00004189"/>
    <w:rsid w:val="00004431"/>
    <w:rsid w:val="00004D3C"/>
    <w:rsid w:val="00004DAA"/>
    <w:rsid w:val="00004E0C"/>
    <w:rsid w:val="00004F49"/>
    <w:rsid w:val="00005D29"/>
    <w:rsid w:val="00005E7E"/>
    <w:rsid w:val="00005ECD"/>
    <w:rsid w:val="00006327"/>
    <w:rsid w:val="00006E28"/>
    <w:rsid w:val="000071F5"/>
    <w:rsid w:val="00007BBC"/>
    <w:rsid w:val="00007C78"/>
    <w:rsid w:val="00007D5C"/>
    <w:rsid w:val="00007DBF"/>
    <w:rsid w:val="000103FC"/>
    <w:rsid w:val="00010881"/>
    <w:rsid w:val="00011011"/>
    <w:rsid w:val="00011281"/>
    <w:rsid w:val="00011299"/>
    <w:rsid w:val="00011C70"/>
    <w:rsid w:val="00011CEF"/>
    <w:rsid w:val="00012457"/>
    <w:rsid w:val="00012792"/>
    <w:rsid w:val="00012C0B"/>
    <w:rsid w:val="00012DE3"/>
    <w:rsid w:val="0001373C"/>
    <w:rsid w:val="00013C03"/>
    <w:rsid w:val="00013EF2"/>
    <w:rsid w:val="0001477D"/>
    <w:rsid w:val="0001508A"/>
    <w:rsid w:val="0001543F"/>
    <w:rsid w:val="00015783"/>
    <w:rsid w:val="00016051"/>
    <w:rsid w:val="00016868"/>
    <w:rsid w:val="00016C43"/>
    <w:rsid w:val="00016CD8"/>
    <w:rsid w:val="00017092"/>
    <w:rsid w:val="000171D3"/>
    <w:rsid w:val="000173E6"/>
    <w:rsid w:val="000174F9"/>
    <w:rsid w:val="000177A1"/>
    <w:rsid w:val="00017B5D"/>
    <w:rsid w:val="00020896"/>
    <w:rsid w:val="00020D60"/>
    <w:rsid w:val="00020DEC"/>
    <w:rsid w:val="00020EB8"/>
    <w:rsid w:val="000216C6"/>
    <w:rsid w:val="0002190F"/>
    <w:rsid w:val="0002373F"/>
    <w:rsid w:val="000237AB"/>
    <w:rsid w:val="00023F6F"/>
    <w:rsid w:val="000248C0"/>
    <w:rsid w:val="0002491C"/>
    <w:rsid w:val="00024E06"/>
    <w:rsid w:val="0002552B"/>
    <w:rsid w:val="00025758"/>
    <w:rsid w:val="00025B4C"/>
    <w:rsid w:val="00025B6A"/>
    <w:rsid w:val="00026F38"/>
    <w:rsid w:val="0002788C"/>
    <w:rsid w:val="00027F00"/>
    <w:rsid w:val="000301D9"/>
    <w:rsid w:val="00030209"/>
    <w:rsid w:val="00031DCE"/>
    <w:rsid w:val="000321C9"/>
    <w:rsid w:val="0003307B"/>
    <w:rsid w:val="000336C0"/>
    <w:rsid w:val="00033DB3"/>
    <w:rsid w:val="000342D0"/>
    <w:rsid w:val="000348F8"/>
    <w:rsid w:val="00034A4C"/>
    <w:rsid w:val="00034AE0"/>
    <w:rsid w:val="00034F55"/>
    <w:rsid w:val="000351D0"/>
    <w:rsid w:val="00035773"/>
    <w:rsid w:val="00035B67"/>
    <w:rsid w:val="00035E03"/>
    <w:rsid w:val="00036DF7"/>
    <w:rsid w:val="00036F82"/>
    <w:rsid w:val="00036FB2"/>
    <w:rsid w:val="00037406"/>
    <w:rsid w:val="000374FA"/>
    <w:rsid w:val="00037914"/>
    <w:rsid w:val="00040598"/>
    <w:rsid w:val="0004115E"/>
    <w:rsid w:val="00041791"/>
    <w:rsid w:val="0004182F"/>
    <w:rsid w:val="000426BD"/>
    <w:rsid w:val="0004334E"/>
    <w:rsid w:val="00043E83"/>
    <w:rsid w:val="0004561D"/>
    <w:rsid w:val="00046936"/>
    <w:rsid w:val="00047BC3"/>
    <w:rsid w:val="00047D4D"/>
    <w:rsid w:val="0005007A"/>
    <w:rsid w:val="00050616"/>
    <w:rsid w:val="000507F1"/>
    <w:rsid w:val="00050CC3"/>
    <w:rsid w:val="00050DD3"/>
    <w:rsid w:val="000517CB"/>
    <w:rsid w:val="00051B37"/>
    <w:rsid w:val="00051B65"/>
    <w:rsid w:val="00051BE5"/>
    <w:rsid w:val="00052A50"/>
    <w:rsid w:val="00052AA4"/>
    <w:rsid w:val="00054A7E"/>
    <w:rsid w:val="00054C8D"/>
    <w:rsid w:val="0005674A"/>
    <w:rsid w:val="00056936"/>
    <w:rsid w:val="000602FC"/>
    <w:rsid w:val="000603DC"/>
    <w:rsid w:val="00060BCD"/>
    <w:rsid w:val="00061983"/>
    <w:rsid w:val="00061DEE"/>
    <w:rsid w:val="0006271D"/>
    <w:rsid w:val="00062A88"/>
    <w:rsid w:val="00063408"/>
    <w:rsid w:val="000637DC"/>
    <w:rsid w:val="00064189"/>
    <w:rsid w:val="00064F64"/>
    <w:rsid w:val="00065048"/>
    <w:rsid w:val="00065326"/>
    <w:rsid w:val="00065A12"/>
    <w:rsid w:val="0006650E"/>
    <w:rsid w:val="000666A8"/>
    <w:rsid w:val="00066860"/>
    <w:rsid w:val="00067CD0"/>
    <w:rsid w:val="00070EB4"/>
    <w:rsid w:val="0007103F"/>
    <w:rsid w:val="0007276D"/>
    <w:rsid w:val="000728B5"/>
    <w:rsid w:val="00072F36"/>
    <w:rsid w:val="0007310B"/>
    <w:rsid w:val="00073550"/>
    <w:rsid w:val="00073740"/>
    <w:rsid w:val="000744D5"/>
    <w:rsid w:val="0007466F"/>
    <w:rsid w:val="00074A47"/>
    <w:rsid w:val="00074C6C"/>
    <w:rsid w:val="0007549C"/>
    <w:rsid w:val="000754D1"/>
    <w:rsid w:val="00075B94"/>
    <w:rsid w:val="00075C12"/>
    <w:rsid w:val="000766D3"/>
    <w:rsid w:val="00080E6B"/>
    <w:rsid w:val="000822C3"/>
    <w:rsid w:val="000823CA"/>
    <w:rsid w:val="00082502"/>
    <w:rsid w:val="00082A30"/>
    <w:rsid w:val="000830B2"/>
    <w:rsid w:val="000830F6"/>
    <w:rsid w:val="00083140"/>
    <w:rsid w:val="0008332E"/>
    <w:rsid w:val="000834E2"/>
    <w:rsid w:val="00083595"/>
    <w:rsid w:val="00083A6D"/>
    <w:rsid w:val="00083D0D"/>
    <w:rsid w:val="00083ED3"/>
    <w:rsid w:val="00083FD2"/>
    <w:rsid w:val="000840D8"/>
    <w:rsid w:val="00085762"/>
    <w:rsid w:val="000859E7"/>
    <w:rsid w:val="00086066"/>
    <w:rsid w:val="00087250"/>
    <w:rsid w:val="00087AF6"/>
    <w:rsid w:val="00091134"/>
    <w:rsid w:val="00092023"/>
    <w:rsid w:val="000921F5"/>
    <w:rsid w:val="00092223"/>
    <w:rsid w:val="0009327C"/>
    <w:rsid w:val="00093798"/>
    <w:rsid w:val="00093ADA"/>
    <w:rsid w:val="00093AF1"/>
    <w:rsid w:val="00094A5D"/>
    <w:rsid w:val="00095537"/>
    <w:rsid w:val="0009559D"/>
    <w:rsid w:val="00096018"/>
    <w:rsid w:val="00096D69"/>
    <w:rsid w:val="000976E3"/>
    <w:rsid w:val="000A0326"/>
    <w:rsid w:val="000A03B7"/>
    <w:rsid w:val="000A0614"/>
    <w:rsid w:val="000A0C7F"/>
    <w:rsid w:val="000A0ECB"/>
    <w:rsid w:val="000A128D"/>
    <w:rsid w:val="000A13A2"/>
    <w:rsid w:val="000A1717"/>
    <w:rsid w:val="000A1984"/>
    <w:rsid w:val="000A1989"/>
    <w:rsid w:val="000A1AAC"/>
    <w:rsid w:val="000A1BC6"/>
    <w:rsid w:val="000A2D7F"/>
    <w:rsid w:val="000A31B0"/>
    <w:rsid w:val="000A3913"/>
    <w:rsid w:val="000A3BC5"/>
    <w:rsid w:val="000A3C84"/>
    <w:rsid w:val="000A422E"/>
    <w:rsid w:val="000A4367"/>
    <w:rsid w:val="000A4D1E"/>
    <w:rsid w:val="000A4DB1"/>
    <w:rsid w:val="000A4F92"/>
    <w:rsid w:val="000A5A1E"/>
    <w:rsid w:val="000A5DC5"/>
    <w:rsid w:val="000A6274"/>
    <w:rsid w:val="000A65F3"/>
    <w:rsid w:val="000A66C2"/>
    <w:rsid w:val="000A6D8D"/>
    <w:rsid w:val="000A73B7"/>
    <w:rsid w:val="000A7413"/>
    <w:rsid w:val="000A7C3C"/>
    <w:rsid w:val="000B0762"/>
    <w:rsid w:val="000B0E31"/>
    <w:rsid w:val="000B15A2"/>
    <w:rsid w:val="000B1B49"/>
    <w:rsid w:val="000B2BE2"/>
    <w:rsid w:val="000B3052"/>
    <w:rsid w:val="000B33F5"/>
    <w:rsid w:val="000B35A8"/>
    <w:rsid w:val="000B3B8D"/>
    <w:rsid w:val="000B3D75"/>
    <w:rsid w:val="000B3EFE"/>
    <w:rsid w:val="000B694B"/>
    <w:rsid w:val="000B69D1"/>
    <w:rsid w:val="000B70BA"/>
    <w:rsid w:val="000B7224"/>
    <w:rsid w:val="000B734B"/>
    <w:rsid w:val="000B75DC"/>
    <w:rsid w:val="000B7D0D"/>
    <w:rsid w:val="000B7F1D"/>
    <w:rsid w:val="000C06AA"/>
    <w:rsid w:val="000C0742"/>
    <w:rsid w:val="000C0C48"/>
    <w:rsid w:val="000C12B4"/>
    <w:rsid w:val="000C1360"/>
    <w:rsid w:val="000C25A0"/>
    <w:rsid w:val="000C25DE"/>
    <w:rsid w:val="000C291E"/>
    <w:rsid w:val="000C314E"/>
    <w:rsid w:val="000C331F"/>
    <w:rsid w:val="000C38C8"/>
    <w:rsid w:val="000C3A45"/>
    <w:rsid w:val="000C4171"/>
    <w:rsid w:val="000C4D0A"/>
    <w:rsid w:val="000C5389"/>
    <w:rsid w:val="000C558F"/>
    <w:rsid w:val="000C62E2"/>
    <w:rsid w:val="000C6BDC"/>
    <w:rsid w:val="000D16AC"/>
    <w:rsid w:val="000D234E"/>
    <w:rsid w:val="000D2982"/>
    <w:rsid w:val="000D2E1A"/>
    <w:rsid w:val="000D30F3"/>
    <w:rsid w:val="000D324B"/>
    <w:rsid w:val="000D3393"/>
    <w:rsid w:val="000D3E61"/>
    <w:rsid w:val="000D457C"/>
    <w:rsid w:val="000D47A5"/>
    <w:rsid w:val="000D50FF"/>
    <w:rsid w:val="000D53EC"/>
    <w:rsid w:val="000D5C27"/>
    <w:rsid w:val="000D5F68"/>
    <w:rsid w:val="000D60E5"/>
    <w:rsid w:val="000D65AC"/>
    <w:rsid w:val="000D7208"/>
    <w:rsid w:val="000D73B8"/>
    <w:rsid w:val="000D789F"/>
    <w:rsid w:val="000D7C6A"/>
    <w:rsid w:val="000E1404"/>
    <w:rsid w:val="000E187A"/>
    <w:rsid w:val="000E2739"/>
    <w:rsid w:val="000E28F6"/>
    <w:rsid w:val="000E30FB"/>
    <w:rsid w:val="000E33C4"/>
    <w:rsid w:val="000E3A50"/>
    <w:rsid w:val="000E4453"/>
    <w:rsid w:val="000E4CCD"/>
    <w:rsid w:val="000E5694"/>
    <w:rsid w:val="000E5994"/>
    <w:rsid w:val="000E6317"/>
    <w:rsid w:val="000E6D35"/>
    <w:rsid w:val="000E7036"/>
    <w:rsid w:val="000E7A91"/>
    <w:rsid w:val="000E7F7E"/>
    <w:rsid w:val="000F054D"/>
    <w:rsid w:val="000F0952"/>
    <w:rsid w:val="000F0F8D"/>
    <w:rsid w:val="000F225A"/>
    <w:rsid w:val="000F3FB6"/>
    <w:rsid w:val="000F5346"/>
    <w:rsid w:val="000F5683"/>
    <w:rsid w:val="000F5F02"/>
    <w:rsid w:val="000F6361"/>
    <w:rsid w:val="000F6550"/>
    <w:rsid w:val="000F6FBB"/>
    <w:rsid w:val="000F73CE"/>
    <w:rsid w:val="000F7C92"/>
    <w:rsid w:val="000F7DDE"/>
    <w:rsid w:val="001003EB"/>
    <w:rsid w:val="001008F2"/>
    <w:rsid w:val="001009AB"/>
    <w:rsid w:val="00100AFE"/>
    <w:rsid w:val="00101888"/>
    <w:rsid w:val="00102749"/>
    <w:rsid w:val="001029A8"/>
    <w:rsid w:val="00102AEE"/>
    <w:rsid w:val="00102B97"/>
    <w:rsid w:val="00102F79"/>
    <w:rsid w:val="00103F61"/>
    <w:rsid w:val="001044C9"/>
    <w:rsid w:val="00105BC2"/>
    <w:rsid w:val="001061F9"/>
    <w:rsid w:val="001068DA"/>
    <w:rsid w:val="00106D17"/>
    <w:rsid w:val="001078CA"/>
    <w:rsid w:val="00110935"/>
    <w:rsid w:val="00110C20"/>
    <w:rsid w:val="00110C3B"/>
    <w:rsid w:val="00110C6A"/>
    <w:rsid w:val="00110D4B"/>
    <w:rsid w:val="001113DD"/>
    <w:rsid w:val="00111495"/>
    <w:rsid w:val="00111580"/>
    <w:rsid w:val="001118D1"/>
    <w:rsid w:val="00112162"/>
    <w:rsid w:val="00113A7C"/>
    <w:rsid w:val="00113BD7"/>
    <w:rsid w:val="00114647"/>
    <w:rsid w:val="00114A14"/>
    <w:rsid w:val="001157B3"/>
    <w:rsid w:val="001159D4"/>
    <w:rsid w:val="0011650A"/>
    <w:rsid w:val="00116FBD"/>
    <w:rsid w:val="0011702E"/>
    <w:rsid w:val="00117596"/>
    <w:rsid w:val="001179B7"/>
    <w:rsid w:val="0012042C"/>
    <w:rsid w:val="0012068A"/>
    <w:rsid w:val="00120704"/>
    <w:rsid w:val="00122024"/>
    <w:rsid w:val="001223BB"/>
    <w:rsid w:val="001223D7"/>
    <w:rsid w:val="001229BD"/>
    <w:rsid w:val="00123376"/>
    <w:rsid w:val="001238F4"/>
    <w:rsid w:val="00123B63"/>
    <w:rsid w:val="001244A2"/>
    <w:rsid w:val="00126B99"/>
    <w:rsid w:val="001274B6"/>
    <w:rsid w:val="00127EE6"/>
    <w:rsid w:val="00127FA0"/>
    <w:rsid w:val="00130F3E"/>
    <w:rsid w:val="00131819"/>
    <w:rsid w:val="00131827"/>
    <w:rsid w:val="00132581"/>
    <w:rsid w:val="0013272B"/>
    <w:rsid w:val="001329F5"/>
    <w:rsid w:val="00132FAD"/>
    <w:rsid w:val="00133D33"/>
    <w:rsid w:val="00135AE1"/>
    <w:rsid w:val="00135F7E"/>
    <w:rsid w:val="00137220"/>
    <w:rsid w:val="00137B0C"/>
    <w:rsid w:val="00140407"/>
    <w:rsid w:val="00140670"/>
    <w:rsid w:val="0014075A"/>
    <w:rsid w:val="0014252C"/>
    <w:rsid w:val="001428CA"/>
    <w:rsid w:val="00142A46"/>
    <w:rsid w:val="00142B22"/>
    <w:rsid w:val="00143419"/>
    <w:rsid w:val="00143A61"/>
    <w:rsid w:val="00144A64"/>
    <w:rsid w:val="00144B75"/>
    <w:rsid w:val="00144CE4"/>
    <w:rsid w:val="001451FD"/>
    <w:rsid w:val="00145743"/>
    <w:rsid w:val="001457B9"/>
    <w:rsid w:val="00146577"/>
    <w:rsid w:val="00146676"/>
    <w:rsid w:val="00146D8E"/>
    <w:rsid w:val="00146DCD"/>
    <w:rsid w:val="001472B6"/>
    <w:rsid w:val="0014784B"/>
    <w:rsid w:val="00147DF8"/>
    <w:rsid w:val="00150000"/>
    <w:rsid w:val="001500FA"/>
    <w:rsid w:val="00150232"/>
    <w:rsid w:val="001503B9"/>
    <w:rsid w:val="00150935"/>
    <w:rsid w:val="00150A84"/>
    <w:rsid w:val="00151C26"/>
    <w:rsid w:val="001525FE"/>
    <w:rsid w:val="001529B9"/>
    <w:rsid w:val="00152EFC"/>
    <w:rsid w:val="0015304D"/>
    <w:rsid w:val="0015372C"/>
    <w:rsid w:val="00153897"/>
    <w:rsid w:val="00153A47"/>
    <w:rsid w:val="00153D33"/>
    <w:rsid w:val="00153EAE"/>
    <w:rsid w:val="0015441A"/>
    <w:rsid w:val="0015444C"/>
    <w:rsid w:val="00154D76"/>
    <w:rsid w:val="00154F87"/>
    <w:rsid w:val="001558EC"/>
    <w:rsid w:val="00155DD1"/>
    <w:rsid w:val="001562D1"/>
    <w:rsid w:val="00156A6D"/>
    <w:rsid w:val="00157437"/>
    <w:rsid w:val="00160D04"/>
    <w:rsid w:val="0016107B"/>
    <w:rsid w:val="0016198D"/>
    <w:rsid w:val="00161EFC"/>
    <w:rsid w:val="001623CE"/>
    <w:rsid w:val="00163131"/>
    <w:rsid w:val="00163993"/>
    <w:rsid w:val="00163D1D"/>
    <w:rsid w:val="0016535A"/>
    <w:rsid w:val="001653AF"/>
    <w:rsid w:val="00165E41"/>
    <w:rsid w:val="001661D0"/>
    <w:rsid w:val="00166657"/>
    <w:rsid w:val="00166DCE"/>
    <w:rsid w:val="00167529"/>
    <w:rsid w:val="00170939"/>
    <w:rsid w:val="00170A0D"/>
    <w:rsid w:val="00170BE9"/>
    <w:rsid w:val="00170DF9"/>
    <w:rsid w:val="00171372"/>
    <w:rsid w:val="001714C6"/>
    <w:rsid w:val="00171691"/>
    <w:rsid w:val="0017180F"/>
    <w:rsid w:val="00171967"/>
    <w:rsid w:val="001723F2"/>
    <w:rsid w:val="001724DC"/>
    <w:rsid w:val="001735CB"/>
    <w:rsid w:val="001736CA"/>
    <w:rsid w:val="00174384"/>
    <w:rsid w:val="00174920"/>
    <w:rsid w:val="00174C70"/>
    <w:rsid w:val="00175275"/>
    <w:rsid w:val="001755B1"/>
    <w:rsid w:val="00175744"/>
    <w:rsid w:val="00175C30"/>
    <w:rsid w:val="0017633A"/>
    <w:rsid w:val="0017694B"/>
    <w:rsid w:val="00176BEB"/>
    <w:rsid w:val="00176EF3"/>
    <w:rsid w:val="0017742C"/>
    <w:rsid w:val="00177AE0"/>
    <w:rsid w:val="001814C7"/>
    <w:rsid w:val="00182AAB"/>
    <w:rsid w:val="001839C9"/>
    <w:rsid w:val="00184909"/>
    <w:rsid w:val="00184BCB"/>
    <w:rsid w:val="00185D1B"/>
    <w:rsid w:val="001862EE"/>
    <w:rsid w:val="00186A48"/>
    <w:rsid w:val="00186AC4"/>
    <w:rsid w:val="00186CA7"/>
    <w:rsid w:val="001871A5"/>
    <w:rsid w:val="00187316"/>
    <w:rsid w:val="00187A8D"/>
    <w:rsid w:val="00187B9D"/>
    <w:rsid w:val="00187DB2"/>
    <w:rsid w:val="00191171"/>
    <w:rsid w:val="0019151D"/>
    <w:rsid w:val="00191B8B"/>
    <w:rsid w:val="00191C16"/>
    <w:rsid w:val="00191F99"/>
    <w:rsid w:val="00192919"/>
    <w:rsid w:val="00192F05"/>
    <w:rsid w:val="00192F24"/>
    <w:rsid w:val="00193052"/>
    <w:rsid w:val="00193CB8"/>
    <w:rsid w:val="00194FC3"/>
    <w:rsid w:val="0019565B"/>
    <w:rsid w:val="001958B9"/>
    <w:rsid w:val="001958DC"/>
    <w:rsid w:val="001959C9"/>
    <w:rsid w:val="00195B93"/>
    <w:rsid w:val="00195DB8"/>
    <w:rsid w:val="00195ED1"/>
    <w:rsid w:val="00196A0F"/>
    <w:rsid w:val="00196D97"/>
    <w:rsid w:val="0019758E"/>
    <w:rsid w:val="00197758"/>
    <w:rsid w:val="00197F14"/>
    <w:rsid w:val="001A0034"/>
    <w:rsid w:val="001A04BF"/>
    <w:rsid w:val="001A0D90"/>
    <w:rsid w:val="001A11CB"/>
    <w:rsid w:val="001A1719"/>
    <w:rsid w:val="001A1A04"/>
    <w:rsid w:val="001A1A2E"/>
    <w:rsid w:val="001A26A9"/>
    <w:rsid w:val="001A3875"/>
    <w:rsid w:val="001A38AD"/>
    <w:rsid w:val="001A3CD3"/>
    <w:rsid w:val="001A4075"/>
    <w:rsid w:val="001A48CA"/>
    <w:rsid w:val="001A4AC1"/>
    <w:rsid w:val="001A5032"/>
    <w:rsid w:val="001A649A"/>
    <w:rsid w:val="001A6665"/>
    <w:rsid w:val="001A6C8E"/>
    <w:rsid w:val="001A6F25"/>
    <w:rsid w:val="001A70AD"/>
    <w:rsid w:val="001A7368"/>
    <w:rsid w:val="001A7813"/>
    <w:rsid w:val="001A7DDF"/>
    <w:rsid w:val="001B0530"/>
    <w:rsid w:val="001B09C1"/>
    <w:rsid w:val="001B153E"/>
    <w:rsid w:val="001B16F7"/>
    <w:rsid w:val="001B181F"/>
    <w:rsid w:val="001B19A3"/>
    <w:rsid w:val="001B1F4A"/>
    <w:rsid w:val="001B20F0"/>
    <w:rsid w:val="001B24D5"/>
    <w:rsid w:val="001B2615"/>
    <w:rsid w:val="001B2C75"/>
    <w:rsid w:val="001B30A8"/>
    <w:rsid w:val="001B3E6C"/>
    <w:rsid w:val="001B4A6A"/>
    <w:rsid w:val="001B5BFB"/>
    <w:rsid w:val="001B68AD"/>
    <w:rsid w:val="001B6A03"/>
    <w:rsid w:val="001B6E6C"/>
    <w:rsid w:val="001B78BD"/>
    <w:rsid w:val="001B7AF6"/>
    <w:rsid w:val="001B7F20"/>
    <w:rsid w:val="001C0746"/>
    <w:rsid w:val="001C15C2"/>
    <w:rsid w:val="001C1C96"/>
    <w:rsid w:val="001C1EF4"/>
    <w:rsid w:val="001C2037"/>
    <w:rsid w:val="001C22F1"/>
    <w:rsid w:val="001C2567"/>
    <w:rsid w:val="001C2D39"/>
    <w:rsid w:val="001C2D81"/>
    <w:rsid w:val="001C3408"/>
    <w:rsid w:val="001C40F9"/>
    <w:rsid w:val="001C4242"/>
    <w:rsid w:val="001C4CDE"/>
    <w:rsid w:val="001C4D70"/>
    <w:rsid w:val="001C5025"/>
    <w:rsid w:val="001C51BC"/>
    <w:rsid w:val="001C590C"/>
    <w:rsid w:val="001C5DC6"/>
    <w:rsid w:val="001C5E3D"/>
    <w:rsid w:val="001C6412"/>
    <w:rsid w:val="001C6B05"/>
    <w:rsid w:val="001C6C6D"/>
    <w:rsid w:val="001C6DAA"/>
    <w:rsid w:val="001C731C"/>
    <w:rsid w:val="001C732A"/>
    <w:rsid w:val="001C7F6C"/>
    <w:rsid w:val="001D0B40"/>
    <w:rsid w:val="001D0EE9"/>
    <w:rsid w:val="001D15A1"/>
    <w:rsid w:val="001D1723"/>
    <w:rsid w:val="001D17D1"/>
    <w:rsid w:val="001D1B7E"/>
    <w:rsid w:val="001D1DB0"/>
    <w:rsid w:val="001D2AF1"/>
    <w:rsid w:val="001D3367"/>
    <w:rsid w:val="001D3909"/>
    <w:rsid w:val="001D395C"/>
    <w:rsid w:val="001D399F"/>
    <w:rsid w:val="001D48EC"/>
    <w:rsid w:val="001D4DFD"/>
    <w:rsid w:val="001D50FC"/>
    <w:rsid w:val="001D5860"/>
    <w:rsid w:val="001D5CBA"/>
    <w:rsid w:val="001D6EBE"/>
    <w:rsid w:val="001D7237"/>
    <w:rsid w:val="001D7BB9"/>
    <w:rsid w:val="001D7F09"/>
    <w:rsid w:val="001E073A"/>
    <w:rsid w:val="001E0EC2"/>
    <w:rsid w:val="001E1583"/>
    <w:rsid w:val="001E1606"/>
    <w:rsid w:val="001E16EF"/>
    <w:rsid w:val="001E17B9"/>
    <w:rsid w:val="001E1B41"/>
    <w:rsid w:val="001E1D93"/>
    <w:rsid w:val="001E389B"/>
    <w:rsid w:val="001E3CBC"/>
    <w:rsid w:val="001E571C"/>
    <w:rsid w:val="001E57F1"/>
    <w:rsid w:val="001E5F61"/>
    <w:rsid w:val="001E6DED"/>
    <w:rsid w:val="001E7464"/>
    <w:rsid w:val="001E7640"/>
    <w:rsid w:val="001E766F"/>
    <w:rsid w:val="001E77D6"/>
    <w:rsid w:val="001E7A1D"/>
    <w:rsid w:val="001E7ADF"/>
    <w:rsid w:val="001E7F8C"/>
    <w:rsid w:val="001F0035"/>
    <w:rsid w:val="001F068E"/>
    <w:rsid w:val="001F091B"/>
    <w:rsid w:val="001F0BC5"/>
    <w:rsid w:val="001F1331"/>
    <w:rsid w:val="001F14BE"/>
    <w:rsid w:val="001F209D"/>
    <w:rsid w:val="001F2C3A"/>
    <w:rsid w:val="001F3EE1"/>
    <w:rsid w:val="001F4125"/>
    <w:rsid w:val="001F481B"/>
    <w:rsid w:val="001F4CBC"/>
    <w:rsid w:val="001F520D"/>
    <w:rsid w:val="001F5E90"/>
    <w:rsid w:val="001F61AD"/>
    <w:rsid w:val="001F7481"/>
    <w:rsid w:val="001F762D"/>
    <w:rsid w:val="001F7A41"/>
    <w:rsid w:val="0020020A"/>
    <w:rsid w:val="00200345"/>
    <w:rsid w:val="00200389"/>
    <w:rsid w:val="00200531"/>
    <w:rsid w:val="00201517"/>
    <w:rsid w:val="0020185A"/>
    <w:rsid w:val="0020185E"/>
    <w:rsid w:val="00201C07"/>
    <w:rsid w:val="00202BFD"/>
    <w:rsid w:val="0020331A"/>
    <w:rsid w:val="00203335"/>
    <w:rsid w:val="002039C1"/>
    <w:rsid w:val="00204617"/>
    <w:rsid w:val="00204622"/>
    <w:rsid w:val="00204E8B"/>
    <w:rsid w:val="0020586A"/>
    <w:rsid w:val="00205DAD"/>
    <w:rsid w:val="00205DF2"/>
    <w:rsid w:val="00205E45"/>
    <w:rsid w:val="0020713C"/>
    <w:rsid w:val="002072E2"/>
    <w:rsid w:val="00207617"/>
    <w:rsid w:val="00207899"/>
    <w:rsid w:val="00207BF9"/>
    <w:rsid w:val="00210AC8"/>
    <w:rsid w:val="0021134D"/>
    <w:rsid w:val="00211620"/>
    <w:rsid w:val="00211A02"/>
    <w:rsid w:val="0021219F"/>
    <w:rsid w:val="0021241E"/>
    <w:rsid w:val="0021313D"/>
    <w:rsid w:val="0021344F"/>
    <w:rsid w:val="0021396B"/>
    <w:rsid w:val="00213A01"/>
    <w:rsid w:val="0021408A"/>
    <w:rsid w:val="00214238"/>
    <w:rsid w:val="0021488E"/>
    <w:rsid w:val="00214AEB"/>
    <w:rsid w:val="00214B5F"/>
    <w:rsid w:val="00214BD7"/>
    <w:rsid w:val="00214D12"/>
    <w:rsid w:val="0021564F"/>
    <w:rsid w:val="0021597C"/>
    <w:rsid w:val="00215B99"/>
    <w:rsid w:val="00215FC5"/>
    <w:rsid w:val="002168BD"/>
    <w:rsid w:val="00216E17"/>
    <w:rsid w:val="00216F1D"/>
    <w:rsid w:val="00217965"/>
    <w:rsid w:val="0022021C"/>
    <w:rsid w:val="00220617"/>
    <w:rsid w:val="002211A2"/>
    <w:rsid w:val="002211BA"/>
    <w:rsid w:val="0022264F"/>
    <w:rsid w:val="002226C6"/>
    <w:rsid w:val="00223292"/>
    <w:rsid w:val="002235BB"/>
    <w:rsid w:val="00223C23"/>
    <w:rsid w:val="00223F8F"/>
    <w:rsid w:val="00224FCA"/>
    <w:rsid w:val="0022563B"/>
    <w:rsid w:val="00225B79"/>
    <w:rsid w:val="00225DEB"/>
    <w:rsid w:val="00225E1E"/>
    <w:rsid w:val="0022744F"/>
    <w:rsid w:val="0023094B"/>
    <w:rsid w:val="00230C9C"/>
    <w:rsid w:val="00231276"/>
    <w:rsid w:val="00231622"/>
    <w:rsid w:val="0023216D"/>
    <w:rsid w:val="00233275"/>
    <w:rsid w:val="0023327A"/>
    <w:rsid w:val="002333AE"/>
    <w:rsid w:val="00233DBE"/>
    <w:rsid w:val="00234213"/>
    <w:rsid w:val="0023543A"/>
    <w:rsid w:val="002355ED"/>
    <w:rsid w:val="002355F1"/>
    <w:rsid w:val="00235758"/>
    <w:rsid w:val="00235A6A"/>
    <w:rsid w:val="00236944"/>
    <w:rsid w:val="002369BF"/>
    <w:rsid w:val="00237232"/>
    <w:rsid w:val="002373CB"/>
    <w:rsid w:val="00240392"/>
    <w:rsid w:val="00240824"/>
    <w:rsid w:val="00240C5C"/>
    <w:rsid w:val="002425D6"/>
    <w:rsid w:val="002440BB"/>
    <w:rsid w:val="00244C04"/>
    <w:rsid w:val="00244F30"/>
    <w:rsid w:val="0024519A"/>
    <w:rsid w:val="00245B6B"/>
    <w:rsid w:val="00246813"/>
    <w:rsid w:val="00246BEA"/>
    <w:rsid w:val="00246DFB"/>
    <w:rsid w:val="002472F9"/>
    <w:rsid w:val="0024751C"/>
    <w:rsid w:val="00247DC6"/>
    <w:rsid w:val="0025004F"/>
    <w:rsid w:val="0025014F"/>
    <w:rsid w:val="00251463"/>
    <w:rsid w:val="0025153B"/>
    <w:rsid w:val="00251921"/>
    <w:rsid w:val="002521F6"/>
    <w:rsid w:val="0025369D"/>
    <w:rsid w:val="002539B7"/>
    <w:rsid w:val="00253BF6"/>
    <w:rsid w:val="0025434F"/>
    <w:rsid w:val="00254FBD"/>
    <w:rsid w:val="002550E5"/>
    <w:rsid w:val="0025515F"/>
    <w:rsid w:val="00255A5B"/>
    <w:rsid w:val="00256412"/>
    <w:rsid w:val="00256581"/>
    <w:rsid w:val="00256861"/>
    <w:rsid w:val="002572A4"/>
    <w:rsid w:val="00257F13"/>
    <w:rsid w:val="00260381"/>
    <w:rsid w:val="00261702"/>
    <w:rsid w:val="002628A9"/>
    <w:rsid w:val="00262BA1"/>
    <w:rsid w:val="00263085"/>
    <w:rsid w:val="002641C1"/>
    <w:rsid w:val="00264248"/>
    <w:rsid w:val="002646FB"/>
    <w:rsid w:val="00265995"/>
    <w:rsid w:val="002659D5"/>
    <w:rsid w:val="002659EE"/>
    <w:rsid w:val="00265D46"/>
    <w:rsid w:val="002667D4"/>
    <w:rsid w:val="002667D7"/>
    <w:rsid w:val="00266F21"/>
    <w:rsid w:val="00267FC2"/>
    <w:rsid w:val="002700BA"/>
    <w:rsid w:val="002709AF"/>
    <w:rsid w:val="002717E9"/>
    <w:rsid w:val="00271841"/>
    <w:rsid w:val="00271B6B"/>
    <w:rsid w:val="0027218A"/>
    <w:rsid w:val="00272934"/>
    <w:rsid w:val="00272C63"/>
    <w:rsid w:val="00273D11"/>
    <w:rsid w:val="00274524"/>
    <w:rsid w:val="00274A69"/>
    <w:rsid w:val="002751B4"/>
    <w:rsid w:val="002754D5"/>
    <w:rsid w:val="0027596B"/>
    <w:rsid w:val="00275C34"/>
    <w:rsid w:val="00276D87"/>
    <w:rsid w:val="00277762"/>
    <w:rsid w:val="0027782B"/>
    <w:rsid w:val="00277A26"/>
    <w:rsid w:val="00277FF8"/>
    <w:rsid w:val="002803C7"/>
    <w:rsid w:val="0028086E"/>
    <w:rsid w:val="002808B9"/>
    <w:rsid w:val="00280A5C"/>
    <w:rsid w:val="002813B7"/>
    <w:rsid w:val="00281762"/>
    <w:rsid w:val="002817E8"/>
    <w:rsid w:val="00281878"/>
    <w:rsid w:val="00281C7D"/>
    <w:rsid w:val="00281CA1"/>
    <w:rsid w:val="00282024"/>
    <w:rsid w:val="00282218"/>
    <w:rsid w:val="00283009"/>
    <w:rsid w:val="00283315"/>
    <w:rsid w:val="0028356E"/>
    <w:rsid w:val="00283DAB"/>
    <w:rsid w:val="002854BF"/>
    <w:rsid w:val="00285780"/>
    <w:rsid w:val="002858FA"/>
    <w:rsid w:val="00285BE4"/>
    <w:rsid w:val="0028646E"/>
    <w:rsid w:val="00286951"/>
    <w:rsid w:val="002877AC"/>
    <w:rsid w:val="0029008A"/>
    <w:rsid w:val="00290124"/>
    <w:rsid w:val="0029043E"/>
    <w:rsid w:val="0029056A"/>
    <w:rsid w:val="00291D23"/>
    <w:rsid w:val="00292240"/>
    <w:rsid w:val="002923AF"/>
    <w:rsid w:val="00292CC4"/>
    <w:rsid w:val="00293CC8"/>
    <w:rsid w:val="00294307"/>
    <w:rsid w:val="002943EA"/>
    <w:rsid w:val="002955F5"/>
    <w:rsid w:val="002958CC"/>
    <w:rsid w:val="00295C24"/>
    <w:rsid w:val="00296D99"/>
    <w:rsid w:val="00296E69"/>
    <w:rsid w:val="00296FF0"/>
    <w:rsid w:val="0029718A"/>
    <w:rsid w:val="00297556"/>
    <w:rsid w:val="002977B6"/>
    <w:rsid w:val="00297C86"/>
    <w:rsid w:val="00297D5D"/>
    <w:rsid w:val="002A02FE"/>
    <w:rsid w:val="002A053C"/>
    <w:rsid w:val="002A11CF"/>
    <w:rsid w:val="002A147A"/>
    <w:rsid w:val="002A1F7B"/>
    <w:rsid w:val="002A20E8"/>
    <w:rsid w:val="002A2A23"/>
    <w:rsid w:val="002A3122"/>
    <w:rsid w:val="002A31B5"/>
    <w:rsid w:val="002A3A53"/>
    <w:rsid w:val="002A3AEE"/>
    <w:rsid w:val="002A3FBD"/>
    <w:rsid w:val="002A4234"/>
    <w:rsid w:val="002A4438"/>
    <w:rsid w:val="002A458C"/>
    <w:rsid w:val="002A47F8"/>
    <w:rsid w:val="002A4C96"/>
    <w:rsid w:val="002A4D59"/>
    <w:rsid w:val="002A4FE6"/>
    <w:rsid w:val="002A532A"/>
    <w:rsid w:val="002A546E"/>
    <w:rsid w:val="002A54F4"/>
    <w:rsid w:val="002A5F62"/>
    <w:rsid w:val="002A6A82"/>
    <w:rsid w:val="002A71D6"/>
    <w:rsid w:val="002A72A6"/>
    <w:rsid w:val="002A7E1F"/>
    <w:rsid w:val="002B00CA"/>
    <w:rsid w:val="002B013E"/>
    <w:rsid w:val="002B0B1C"/>
    <w:rsid w:val="002B1392"/>
    <w:rsid w:val="002B15CF"/>
    <w:rsid w:val="002B161A"/>
    <w:rsid w:val="002B17D0"/>
    <w:rsid w:val="002B1D2E"/>
    <w:rsid w:val="002B2047"/>
    <w:rsid w:val="002B24BE"/>
    <w:rsid w:val="002B2996"/>
    <w:rsid w:val="002B2AD0"/>
    <w:rsid w:val="002B2CC9"/>
    <w:rsid w:val="002B2DDE"/>
    <w:rsid w:val="002B30CC"/>
    <w:rsid w:val="002B39AF"/>
    <w:rsid w:val="002B3A26"/>
    <w:rsid w:val="002B3E2F"/>
    <w:rsid w:val="002B427D"/>
    <w:rsid w:val="002B44CB"/>
    <w:rsid w:val="002B4709"/>
    <w:rsid w:val="002B51A0"/>
    <w:rsid w:val="002B542C"/>
    <w:rsid w:val="002B54E6"/>
    <w:rsid w:val="002B559C"/>
    <w:rsid w:val="002B5B20"/>
    <w:rsid w:val="002B6740"/>
    <w:rsid w:val="002B6ED1"/>
    <w:rsid w:val="002B7C25"/>
    <w:rsid w:val="002C00BF"/>
    <w:rsid w:val="002C0689"/>
    <w:rsid w:val="002C1327"/>
    <w:rsid w:val="002C1A23"/>
    <w:rsid w:val="002C1C85"/>
    <w:rsid w:val="002C32CD"/>
    <w:rsid w:val="002C3556"/>
    <w:rsid w:val="002C3AA1"/>
    <w:rsid w:val="002C3C56"/>
    <w:rsid w:val="002C4809"/>
    <w:rsid w:val="002C4EF1"/>
    <w:rsid w:val="002C50A0"/>
    <w:rsid w:val="002C5A3F"/>
    <w:rsid w:val="002C7190"/>
    <w:rsid w:val="002C72EB"/>
    <w:rsid w:val="002C744E"/>
    <w:rsid w:val="002D0128"/>
    <w:rsid w:val="002D06AF"/>
    <w:rsid w:val="002D07B3"/>
    <w:rsid w:val="002D1876"/>
    <w:rsid w:val="002D2790"/>
    <w:rsid w:val="002D3DF3"/>
    <w:rsid w:val="002D42D0"/>
    <w:rsid w:val="002D4E84"/>
    <w:rsid w:val="002D4FAC"/>
    <w:rsid w:val="002D53CF"/>
    <w:rsid w:val="002D561A"/>
    <w:rsid w:val="002D6803"/>
    <w:rsid w:val="002D69D6"/>
    <w:rsid w:val="002D7745"/>
    <w:rsid w:val="002E01EA"/>
    <w:rsid w:val="002E113D"/>
    <w:rsid w:val="002E116C"/>
    <w:rsid w:val="002E1205"/>
    <w:rsid w:val="002E171F"/>
    <w:rsid w:val="002E1B02"/>
    <w:rsid w:val="002E29A0"/>
    <w:rsid w:val="002E3352"/>
    <w:rsid w:val="002E362C"/>
    <w:rsid w:val="002E3D0C"/>
    <w:rsid w:val="002E4318"/>
    <w:rsid w:val="002E52A8"/>
    <w:rsid w:val="002E583C"/>
    <w:rsid w:val="002E5BC4"/>
    <w:rsid w:val="002E5D0B"/>
    <w:rsid w:val="002E5D5B"/>
    <w:rsid w:val="002E75AB"/>
    <w:rsid w:val="002E7CC6"/>
    <w:rsid w:val="002F07A7"/>
    <w:rsid w:val="002F0B94"/>
    <w:rsid w:val="002F0C90"/>
    <w:rsid w:val="002F113F"/>
    <w:rsid w:val="002F155F"/>
    <w:rsid w:val="002F20CC"/>
    <w:rsid w:val="002F3486"/>
    <w:rsid w:val="002F47FF"/>
    <w:rsid w:val="002F4B80"/>
    <w:rsid w:val="002F5386"/>
    <w:rsid w:val="002F54A5"/>
    <w:rsid w:val="002F5A9B"/>
    <w:rsid w:val="002F5D5D"/>
    <w:rsid w:val="002F60C1"/>
    <w:rsid w:val="002F63E5"/>
    <w:rsid w:val="002F7EB8"/>
    <w:rsid w:val="0030044E"/>
    <w:rsid w:val="003004B1"/>
    <w:rsid w:val="00300CC1"/>
    <w:rsid w:val="00300D2F"/>
    <w:rsid w:val="00301AE2"/>
    <w:rsid w:val="00301B4E"/>
    <w:rsid w:val="003023E0"/>
    <w:rsid w:val="00302775"/>
    <w:rsid w:val="00302926"/>
    <w:rsid w:val="003029DA"/>
    <w:rsid w:val="00302C3C"/>
    <w:rsid w:val="00303056"/>
    <w:rsid w:val="00303B84"/>
    <w:rsid w:val="00305215"/>
    <w:rsid w:val="003057A1"/>
    <w:rsid w:val="00306022"/>
    <w:rsid w:val="0030610B"/>
    <w:rsid w:val="003066AA"/>
    <w:rsid w:val="00307283"/>
    <w:rsid w:val="003075E4"/>
    <w:rsid w:val="00310608"/>
    <w:rsid w:val="00310D6E"/>
    <w:rsid w:val="003116DB"/>
    <w:rsid w:val="003121FA"/>
    <w:rsid w:val="003134EB"/>
    <w:rsid w:val="00313B51"/>
    <w:rsid w:val="003152D2"/>
    <w:rsid w:val="003152EB"/>
    <w:rsid w:val="00315A4F"/>
    <w:rsid w:val="00315BD0"/>
    <w:rsid w:val="00315DE6"/>
    <w:rsid w:val="00316045"/>
    <w:rsid w:val="00316637"/>
    <w:rsid w:val="00316C1D"/>
    <w:rsid w:val="00316C8B"/>
    <w:rsid w:val="0031727D"/>
    <w:rsid w:val="00317CF1"/>
    <w:rsid w:val="003208FE"/>
    <w:rsid w:val="00320A08"/>
    <w:rsid w:val="00320A70"/>
    <w:rsid w:val="0032151E"/>
    <w:rsid w:val="003217FF"/>
    <w:rsid w:val="00321E55"/>
    <w:rsid w:val="003222B1"/>
    <w:rsid w:val="00323702"/>
    <w:rsid w:val="00323F22"/>
    <w:rsid w:val="003242BD"/>
    <w:rsid w:val="003242ED"/>
    <w:rsid w:val="003245C4"/>
    <w:rsid w:val="00324EDD"/>
    <w:rsid w:val="00325226"/>
    <w:rsid w:val="00325671"/>
    <w:rsid w:val="0032571A"/>
    <w:rsid w:val="003259AF"/>
    <w:rsid w:val="003263D5"/>
    <w:rsid w:val="00327129"/>
    <w:rsid w:val="003273A8"/>
    <w:rsid w:val="0032775F"/>
    <w:rsid w:val="00327B05"/>
    <w:rsid w:val="00327C1B"/>
    <w:rsid w:val="00330650"/>
    <w:rsid w:val="003309F4"/>
    <w:rsid w:val="0033167D"/>
    <w:rsid w:val="00331698"/>
    <w:rsid w:val="00331B4F"/>
    <w:rsid w:val="003320BD"/>
    <w:rsid w:val="00332770"/>
    <w:rsid w:val="00332979"/>
    <w:rsid w:val="00332A39"/>
    <w:rsid w:val="003332A1"/>
    <w:rsid w:val="00334413"/>
    <w:rsid w:val="003344A0"/>
    <w:rsid w:val="003347A9"/>
    <w:rsid w:val="003349E4"/>
    <w:rsid w:val="00334DC2"/>
    <w:rsid w:val="00335144"/>
    <w:rsid w:val="003354A5"/>
    <w:rsid w:val="003357CB"/>
    <w:rsid w:val="003367C3"/>
    <w:rsid w:val="00336C3F"/>
    <w:rsid w:val="00336DE0"/>
    <w:rsid w:val="00336E6E"/>
    <w:rsid w:val="003370AC"/>
    <w:rsid w:val="0033724A"/>
    <w:rsid w:val="003376A4"/>
    <w:rsid w:val="00337942"/>
    <w:rsid w:val="00337D30"/>
    <w:rsid w:val="00337F07"/>
    <w:rsid w:val="00341521"/>
    <w:rsid w:val="0034154D"/>
    <w:rsid w:val="00341D5D"/>
    <w:rsid w:val="0034237E"/>
    <w:rsid w:val="00342651"/>
    <w:rsid w:val="00342873"/>
    <w:rsid w:val="00342AFE"/>
    <w:rsid w:val="00342CBB"/>
    <w:rsid w:val="0034308B"/>
    <w:rsid w:val="0034320A"/>
    <w:rsid w:val="0034322D"/>
    <w:rsid w:val="00344A6A"/>
    <w:rsid w:val="00344E9F"/>
    <w:rsid w:val="00345932"/>
    <w:rsid w:val="00345CF2"/>
    <w:rsid w:val="00345E66"/>
    <w:rsid w:val="00345E80"/>
    <w:rsid w:val="003469A9"/>
    <w:rsid w:val="00347364"/>
    <w:rsid w:val="003476A9"/>
    <w:rsid w:val="00347890"/>
    <w:rsid w:val="00351372"/>
    <w:rsid w:val="00351D3B"/>
    <w:rsid w:val="00351D91"/>
    <w:rsid w:val="003521CD"/>
    <w:rsid w:val="0035246D"/>
    <w:rsid w:val="00352B64"/>
    <w:rsid w:val="00352E75"/>
    <w:rsid w:val="0035318C"/>
    <w:rsid w:val="003532C4"/>
    <w:rsid w:val="0035381A"/>
    <w:rsid w:val="00353840"/>
    <w:rsid w:val="00353C97"/>
    <w:rsid w:val="0035410D"/>
    <w:rsid w:val="00354FA1"/>
    <w:rsid w:val="00355016"/>
    <w:rsid w:val="003551CA"/>
    <w:rsid w:val="003552A9"/>
    <w:rsid w:val="00355746"/>
    <w:rsid w:val="00356924"/>
    <w:rsid w:val="00356A53"/>
    <w:rsid w:val="00356A81"/>
    <w:rsid w:val="00356D32"/>
    <w:rsid w:val="00357198"/>
    <w:rsid w:val="00357227"/>
    <w:rsid w:val="003603AB"/>
    <w:rsid w:val="0036058C"/>
    <w:rsid w:val="00360DA8"/>
    <w:rsid w:val="00360EAD"/>
    <w:rsid w:val="00361661"/>
    <w:rsid w:val="00361D90"/>
    <w:rsid w:val="00361F80"/>
    <w:rsid w:val="00362129"/>
    <w:rsid w:val="00362841"/>
    <w:rsid w:val="0036333C"/>
    <w:rsid w:val="003634F7"/>
    <w:rsid w:val="00363AC7"/>
    <w:rsid w:val="00363BA4"/>
    <w:rsid w:val="0036488F"/>
    <w:rsid w:val="00364AA7"/>
    <w:rsid w:val="003653AA"/>
    <w:rsid w:val="003659B5"/>
    <w:rsid w:val="00365FD8"/>
    <w:rsid w:val="003660FA"/>
    <w:rsid w:val="00367D4D"/>
    <w:rsid w:val="00367F2E"/>
    <w:rsid w:val="00367F3C"/>
    <w:rsid w:val="00370209"/>
    <w:rsid w:val="00371C42"/>
    <w:rsid w:val="00372151"/>
    <w:rsid w:val="003730B8"/>
    <w:rsid w:val="00373CBF"/>
    <w:rsid w:val="00373FA5"/>
    <w:rsid w:val="00373FAF"/>
    <w:rsid w:val="00374D55"/>
    <w:rsid w:val="00374E4C"/>
    <w:rsid w:val="00375165"/>
    <w:rsid w:val="00375343"/>
    <w:rsid w:val="0037543C"/>
    <w:rsid w:val="0037576C"/>
    <w:rsid w:val="003758E8"/>
    <w:rsid w:val="00375AD5"/>
    <w:rsid w:val="00376A20"/>
    <w:rsid w:val="00376B7E"/>
    <w:rsid w:val="00376C86"/>
    <w:rsid w:val="00380251"/>
    <w:rsid w:val="00380FDB"/>
    <w:rsid w:val="003815ED"/>
    <w:rsid w:val="00381AFD"/>
    <w:rsid w:val="00381D18"/>
    <w:rsid w:val="00383C3A"/>
    <w:rsid w:val="00383F07"/>
    <w:rsid w:val="00384055"/>
    <w:rsid w:val="00384117"/>
    <w:rsid w:val="0038414A"/>
    <w:rsid w:val="00384629"/>
    <w:rsid w:val="003848F8"/>
    <w:rsid w:val="0038578C"/>
    <w:rsid w:val="00385C40"/>
    <w:rsid w:val="00386009"/>
    <w:rsid w:val="00386142"/>
    <w:rsid w:val="00386EC3"/>
    <w:rsid w:val="003872AA"/>
    <w:rsid w:val="003907C7"/>
    <w:rsid w:val="0039118D"/>
    <w:rsid w:val="00391329"/>
    <w:rsid w:val="0039181E"/>
    <w:rsid w:val="003918ED"/>
    <w:rsid w:val="00391941"/>
    <w:rsid w:val="00391E86"/>
    <w:rsid w:val="003922FC"/>
    <w:rsid w:val="003926F4"/>
    <w:rsid w:val="0039270C"/>
    <w:rsid w:val="00392785"/>
    <w:rsid w:val="0039293E"/>
    <w:rsid w:val="00392FF8"/>
    <w:rsid w:val="003931E4"/>
    <w:rsid w:val="003932C1"/>
    <w:rsid w:val="003939C9"/>
    <w:rsid w:val="00394DE1"/>
    <w:rsid w:val="00395884"/>
    <w:rsid w:val="00396327"/>
    <w:rsid w:val="0039772C"/>
    <w:rsid w:val="00397910"/>
    <w:rsid w:val="003A01F5"/>
    <w:rsid w:val="003A04D3"/>
    <w:rsid w:val="003A07DC"/>
    <w:rsid w:val="003A1390"/>
    <w:rsid w:val="003A16D9"/>
    <w:rsid w:val="003A19EA"/>
    <w:rsid w:val="003A1D18"/>
    <w:rsid w:val="003A1DDF"/>
    <w:rsid w:val="003A2045"/>
    <w:rsid w:val="003A2AA4"/>
    <w:rsid w:val="003A30AC"/>
    <w:rsid w:val="003A3638"/>
    <w:rsid w:val="003A3647"/>
    <w:rsid w:val="003A3809"/>
    <w:rsid w:val="003A3F26"/>
    <w:rsid w:val="003A47E2"/>
    <w:rsid w:val="003A4ED9"/>
    <w:rsid w:val="003A5131"/>
    <w:rsid w:val="003A53C3"/>
    <w:rsid w:val="003A5405"/>
    <w:rsid w:val="003A61B4"/>
    <w:rsid w:val="003A668C"/>
    <w:rsid w:val="003A6A25"/>
    <w:rsid w:val="003A7D69"/>
    <w:rsid w:val="003B10AB"/>
    <w:rsid w:val="003B1A83"/>
    <w:rsid w:val="003B1B10"/>
    <w:rsid w:val="003B1B4E"/>
    <w:rsid w:val="003B1DF0"/>
    <w:rsid w:val="003B1E06"/>
    <w:rsid w:val="003B2307"/>
    <w:rsid w:val="003B242B"/>
    <w:rsid w:val="003B2535"/>
    <w:rsid w:val="003B26FD"/>
    <w:rsid w:val="003B382E"/>
    <w:rsid w:val="003B3E2A"/>
    <w:rsid w:val="003B61A7"/>
    <w:rsid w:val="003B6212"/>
    <w:rsid w:val="003B62CE"/>
    <w:rsid w:val="003B6BF3"/>
    <w:rsid w:val="003B7875"/>
    <w:rsid w:val="003B7DF1"/>
    <w:rsid w:val="003C002D"/>
    <w:rsid w:val="003C072E"/>
    <w:rsid w:val="003C09B4"/>
    <w:rsid w:val="003C0F0A"/>
    <w:rsid w:val="003C0F44"/>
    <w:rsid w:val="003C1424"/>
    <w:rsid w:val="003C15A2"/>
    <w:rsid w:val="003C1945"/>
    <w:rsid w:val="003C257B"/>
    <w:rsid w:val="003C2B49"/>
    <w:rsid w:val="003C35FF"/>
    <w:rsid w:val="003C41C0"/>
    <w:rsid w:val="003C4378"/>
    <w:rsid w:val="003C4451"/>
    <w:rsid w:val="003C4D97"/>
    <w:rsid w:val="003C52CD"/>
    <w:rsid w:val="003C6121"/>
    <w:rsid w:val="003C6A3D"/>
    <w:rsid w:val="003C6E63"/>
    <w:rsid w:val="003C6F10"/>
    <w:rsid w:val="003C74A8"/>
    <w:rsid w:val="003C7A64"/>
    <w:rsid w:val="003C7E2A"/>
    <w:rsid w:val="003D03B9"/>
    <w:rsid w:val="003D069E"/>
    <w:rsid w:val="003D1630"/>
    <w:rsid w:val="003D1870"/>
    <w:rsid w:val="003D1E81"/>
    <w:rsid w:val="003D2109"/>
    <w:rsid w:val="003D261E"/>
    <w:rsid w:val="003D31DE"/>
    <w:rsid w:val="003D3384"/>
    <w:rsid w:val="003D3557"/>
    <w:rsid w:val="003D4AAB"/>
    <w:rsid w:val="003D4CAE"/>
    <w:rsid w:val="003D50BB"/>
    <w:rsid w:val="003D5130"/>
    <w:rsid w:val="003D528E"/>
    <w:rsid w:val="003D543B"/>
    <w:rsid w:val="003D59C0"/>
    <w:rsid w:val="003D64F0"/>
    <w:rsid w:val="003D667C"/>
    <w:rsid w:val="003D6FE8"/>
    <w:rsid w:val="003D7292"/>
    <w:rsid w:val="003D7A1E"/>
    <w:rsid w:val="003D7DB4"/>
    <w:rsid w:val="003E1CB6"/>
    <w:rsid w:val="003E3210"/>
    <w:rsid w:val="003E32AE"/>
    <w:rsid w:val="003E3970"/>
    <w:rsid w:val="003E3E39"/>
    <w:rsid w:val="003E4D97"/>
    <w:rsid w:val="003E5517"/>
    <w:rsid w:val="003E55DD"/>
    <w:rsid w:val="003E5AAD"/>
    <w:rsid w:val="003E6573"/>
    <w:rsid w:val="003E65C9"/>
    <w:rsid w:val="003E6710"/>
    <w:rsid w:val="003E6E38"/>
    <w:rsid w:val="003E6FDD"/>
    <w:rsid w:val="003E744C"/>
    <w:rsid w:val="003E79B8"/>
    <w:rsid w:val="003E7A37"/>
    <w:rsid w:val="003F02D4"/>
    <w:rsid w:val="003F02EB"/>
    <w:rsid w:val="003F0673"/>
    <w:rsid w:val="003F0D6B"/>
    <w:rsid w:val="003F0D91"/>
    <w:rsid w:val="003F0E1F"/>
    <w:rsid w:val="003F14F5"/>
    <w:rsid w:val="003F17E2"/>
    <w:rsid w:val="003F1E3E"/>
    <w:rsid w:val="003F20DC"/>
    <w:rsid w:val="003F30EF"/>
    <w:rsid w:val="003F3FC1"/>
    <w:rsid w:val="003F428E"/>
    <w:rsid w:val="003F4A35"/>
    <w:rsid w:val="003F4B2D"/>
    <w:rsid w:val="003F546C"/>
    <w:rsid w:val="003F605A"/>
    <w:rsid w:val="003F63B3"/>
    <w:rsid w:val="003F692A"/>
    <w:rsid w:val="003F6F72"/>
    <w:rsid w:val="003F713B"/>
    <w:rsid w:val="003F77F3"/>
    <w:rsid w:val="0040081F"/>
    <w:rsid w:val="00400862"/>
    <w:rsid w:val="00401396"/>
    <w:rsid w:val="00402D8C"/>
    <w:rsid w:val="00402FF1"/>
    <w:rsid w:val="004032AE"/>
    <w:rsid w:val="00403865"/>
    <w:rsid w:val="004047E9"/>
    <w:rsid w:val="004049D5"/>
    <w:rsid w:val="00404B5C"/>
    <w:rsid w:val="00404ED7"/>
    <w:rsid w:val="004063FA"/>
    <w:rsid w:val="00407862"/>
    <w:rsid w:val="00407B78"/>
    <w:rsid w:val="00410154"/>
    <w:rsid w:val="00411546"/>
    <w:rsid w:val="00411E29"/>
    <w:rsid w:val="004126D8"/>
    <w:rsid w:val="00412D45"/>
    <w:rsid w:val="00412D6A"/>
    <w:rsid w:val="0041308C"/>
    <w:rsid w:val="00413BCC"/>
    <w:rsid w:val="004145EE"/>
    <w:rsid w:val="00414B81"/>
    <w:rsid w:val="00414DAE"/>
    <w:rsid w:val="00414F8C"/>
    <w:rsid w:val="00415101"/>
    <w:rsid w:val="0041615F"/>
    <w:rsid w:val="0041652C"/>
    <w:rsid w:val="00416906"/>
    <w:rsid w:val="004170CD"/>
    <w:rsid w:val="00417F67"/>
    <w:rsid w:val="00420556"/>
    <w:rsid w:val="00420625"/>
    <w:rsid w:val="00420F3F"/>
    <w:rsid w:val="00421444"/>
    <w:rsid w:val="00421456"/>
    <w:rsid w:val="004216D6"/>
    <w:rsid w:val="00421DFF"/>
    <w:rsid w:val="004229AA"/>
    <w:rsid w:val="00423403"/>
    <w:rsid w:val="00423B16"/>
    <w:rsid w:val="00423FA0"/>
    <w:rsid w:val="004242E1"/>
    <w:rsid w:val="004247FA"/>
    <w:rsid w:val="00424937"/>
    <w:rsid w:val="00424D10"/>
    <w:rsid w:val="00425916"/>
    <w:rsid w:val="00425F19"/>
    <w:rsid w:val="00426526"/>
    <w:rsid w:val="00426707"/>
    <w:rsid w:val="004267A0"/>
    <w:rsid w:val="00426C8A"/>
    <w:rsid w:val="00426D1E"/>
    <w:rsid w:val="0042712B"/>
    <w:rsid w:val="004278B1"/>
    <w:rsid w:val="00427E70"/>
    <w:rsid w:val="0043009D"/>
    <w:rsid w:val="00430203"/>
    <w:rsid w:val="00430A2B"/>
    <w:rsid w:val="0043133E"/>
    <w:rsid w:val="0043140D"/>
    <w:rsid w:val="00431834"/>
    <w:rsid w:val="00432050"/>
    <w:rsid w:val="00433114"/>
    <w:rsid w:val="004335E2"/>
    <w:rsid w:val="004338C7"/>
    <w:rsid w:val="00433C07"/>
    <w:rsid w:val="00433C65"/>
    <w:rsid w:val="00433E3F"/>
    <w:rsid w:val="00434B2E"/>
    <w:rsid w:val="00435410"/>
    <w:rsid w:val="00435A96"/>
    <w:rsid w:val="00435B92"/>
    <w:rsid w:val="00435C91"/>
    <w:rsid w:val="00435E81"/>
    <w:rsid w:val="00436385"/>
    <w:rsid w:val="00436D50"/>
    <w:rsid w:val="0043718E"/>
    <w:rsid w:val="004372B3"/>
    <w:rsid w:val="004379DA"/>
    <w:rsid w:val="00437DD9"/>
    <w:rsid w:val="004400A2"/>
    <w:rsid w:val="004403ED"/>
    <w:rsid w:val="00442062"/>
    <w:rsid w:val="0044208B"/>
    <w:rsid w:val="0044264A"/>
    <w:rsid w:val="00442AFD"/>
    <w:rsid w:val="00442C4B"/>
    <w:rsid w:val="00442F16"/>
    <w:rsid w:val="00443101"/>
    <w:rsid w:val="0044451D"/>
    <w:rsid w:val="004446EC"/>
    <w:rsid w:val="00444DED"/>
    <w:rsid w:val="00445062"/>
    <w:rsid w:val="004462F2"/>
    <w:rsid w:val="00446CD9"/>
    <w:rsid w:val="004476FB"/>
    <w:rsid w:val="0044785E"/>
    <w:rsid w:val="00447CB8"/>
    <w:rsid w:val="00450CCF"/>
    <w:rsid w:val="00451DFE"/>
    <w:rsid w:val="00452162"/>
    <w:rsid w:val="004521A0"/>
    <w:rsid w:val="0045229E"/>
    <w:rsid w:val="004535AB"/>
    <w:rsid w:val="0045405A"/>
    <w:rsid w:val="00455688"/>
    <w:rsid w:val="00455746"/>
    <w:rsid w:val="00455C46"/>
    <w:rsid w:val="0045640E"/>
    <w:rsid w:val="004567D1"/>
    <w:rsid w:val="004576EB"/>
    <w:rsid w:val="00457780"/>
    <w:rsid w:val="00457803"/>
    <w:rsid w:val="00457852"/>
    <w:rsid w:val="00460777"/>
    <w:rsid w:val="00460EB7"/>
    <w:rsid w:val="00461CDC"/>
    <w:rsid w:val="004629CE"/>
    <w:rsid w:val="00462D72"/>
    <w:rsid w:val="00462D83"/>
    <w:rsid w:val="0046319F"/>
    <w:rsid w:val="004631A6"/>
    <w:rsid w:val="00463B42"/>
    <w:rsid w:val="00463BFB"/>
    <w:rsid w:val="00464200"/>
    <w:rsid w:val="004643FD"/>
    <w:rsid w:val="00464BB1"/>
    <w:rsid w:val="00465A02"/>
    <w:rsid w:val="00465AC9"/>
    <w:rsid w:val="00465EA3"/>
    <w:rsid w:val="004665E4"/>
    <w:rsid w:val="00466941"/>
    <w:rsid w:val="00466C4C"/>
    <w:rsid w:val="0046781A"/>
    <w:rsid w:val="00467A96"/>
    <w:rsid w:val="004701EE"/>
    <w:rsid w:val="0047032F"/>
    <w:rsid w:val="00470AE0"/>
    <w:rsid w:val="00470F6C"/>
    <w:rsid w:val="004719A2"/>
    <w:rsid w:val="00473709"/>
    <w:rsid w:val="00473A27"/>
    <w:rsid w:val="004747BE"/>
    <w:rsid w:val="00474CCD"/>
    <w:rsid w:val="00474EF6"/>
    <w:rsid w:val="00475814"/>
    <w:rsid w:val="0047594E"/>
    <w:rsid w:val="00475FE6"/>
    <w:rsid w:val="004760A9"/>
    <w:rsid w:val="00477B51"/>
    <w:rsid w:val="00477F95"/>
    <w:rsid w:val="00480DEF"/>
    <w:rsid w:val="00480F45"/>
    <w:rsid w:val="004816EC"/>
    <w:rsid w:val="0048219F"/>
    <w:rsid w:val="0048229E"/>
    <w:rsid w:val="004823D3"/>
    <w:rsid w:val="00482BEC"/>
    <w:rsid w:val="00483137"/>
    <w:rsid w:val="00483781"/>
    <w:rsid w:val="00483F37"/>
    <w:rsid w:val="00483F90"/>
    <w:rsid w:val="00484127"/>
    <w:rsid w:val="0048416E"/>
    <w:rsid w:val="00484611"/>
    <w:rsid w:val="00484672"/>
    <w:rsid w:val="0048497B"/>
    <w:rsid w:val="00484CBD"/>
    <w:rsid w:val="00485887"/>
    <w:rsid w:val="00485B35"/>
    <w:rsid w:val="00485CBC"/>
    <w:rsid w:val="00486271"/>
    <w:rsid w:val="004875E9"/>
    <w:rsid w:val="004877BB"/>
    <w:rsid w:val="00490375"/>
    <w:rsid w:val="00490BA0"/>
    <w:rsid w:val="004910F4"/>
    <w:rsid w:val="004916F4"/>
    <w:rsid w:val="0049226F"/>
    <w:rsid w:val="00492CC0"/>
    <w:rsid w:val="00493659"/>
    <w:rsid w:val="00493871"/>
    <w:rsid w:val="00493BFA"/>
    <w:rsid w:val="004941FD"/>
    <w:rsid w:val="00494F66"/>
    <w:rsid w:val="004956FD"/>
    <w:rsid w:val="004961E7"/>
    <w:rsid w:val="00496224"/>
    <w:rsid w:val="00496332"/>
    <w:rsid w:val="0049635D"/>
    <w:rsid w:val="004963B1"/>
    <w:rsid w:val="00496C71"/>
    <w:rsid w:val="00497538"/>
    <w:rsid w:val="0049771C"/>
    <w:rsid w:val="00497ADC"/>
    <w:rsid w:val="00497B9C"/>
    <w:rsid w:val="00497F38"/>
    <w:rsid w:val="004A0128"/>
    <w:rsid w:val="004A0364"/>
    <w:rsid w:val="004A10D1"/>
    <w:rsid w:val="004A1173"/>
    <w:rsid w:val="004A14D7"/>
    <w:rsid w:val="004A20E3"/>
    <w:rsid w:val="004A215A"/>
    <w:rsid w:val="004A2A2D"/>
    <w:rsid w:val="004A2F20"/>
    <w:rsid w:val="004A35FB"/>
    <w:rsid w:val="004A3977"/>
    <w:rsid w:val="004A3BFF"/>
    <w:rsid w:val="004A4653"/>
    <w:rsid w:val="004A4974"/>
    <w:rsid w:val="004A5E02"/>
    <w:rsid w:val="004A67B3"/>
    <w:rsid w:val="004A69A1"/>
    <w:rsid w:val="004B044D"/>
    <w:rsid w:val="004B05E9"/>
    <w:rsid w:val="004B23A6"/>
    <w:rsid w:val="004B25E9"/>
    <w:rsid w:val="004B2D5F"/>
    <w:rsid w:val="004B2F3C"/>
    <w:rsid w:val="004B3157"/>
    <w:rsid w:val="004B37A7"/>
    <w:rsid w:val="004B3801"/>
    <w:rsid w:val="004B3EB4"/>
    <w:rsid w:val="004B4056"/>
    <w:rsid w:val="004B4146"/>
    <w:rsid w:val="004B4273"/>
    <w:rsid w:val="004B45B4"/>
    <w:rsid w:val="004B48C4"/>
    <w:rsid w:val="004B4B1F"/>
    <w:rsid w:val="004B4EE2"/>
    <w:rsid w:val="004B4F74"/>
    <w:rsid w:val="004B55DB"/>
    <w:rsid w:val="004B58D8"/>
    <w:rsid w:val="004B59E1"/>
    <w:rsid w:val="004B6CE1"/>
    <w:rsid w:val="004B6EA5"/>
    <w:rsid w:val="004B7C06"/>
    <w:rsid w:val="004C0093"/>
    <w:rsid w:val="004C01E0"/>
    <w:rsid w:val="004C15F6"/>
    <w:rsid w:val="004C1AA1"/>
    <w:rsid w:val="004C204E"/>
    <w:rsid w:val="004C2202"/>
    <w:rsid w:val="004C28CE"/>
    <w:rsid w:val="004C2B41"/>
    <w:rsid w:val="004C2B98"/>
    <w:rsid w:val="004C2CCB"/>
    <w:rsid w:val="004C4550"/>
    <w:rsid w:val="004C460B"/>
    <w:rsid w:val="004C4AB6"/>
    <w:rsid w:val="004C4D8F"/>
    <w:rsid w:val="004C5827"/>
    <w:rsid w:val="004C6E63"/>
    <w:rsid w:val="004C7A01"/>
    <w:rsid w:val="004C7D58"/>
    <w:rsid w:val="004D004C"/>
    <w:rsid w:val="004D05E7"/>
    <w:rsid w:val="004D0605"/>
    <w:rsid w:val="004D079D"/>
    <w:rsid w:val="004D0C33"/>
    <w:rsid w:val="004D0FDF"/>
    <w:rsid w:val="004D4A1E"/>
    <w:rsid w:val="004D4AA4"/>
    <w:rsid w:val="004D4DC4"/>
    <w:rsid w:val="004D4E42"/>
    <w:rsid w:val="004D5000"/>
    <w:rsid w:val="004D52EA"/>
    <w:rsid w:val="004D5B83"/>
    <w:rsid w:val="004D5BAF"/>
    <w:rsid w:val="004D5C34"/>
    <w:rsid w:val="004D6AD8"/>
    <w:rsid w:val="004D6D9D"/>
    <w:rsid w:val="004D6E98"/>
    <w:rsid w:val="004D77B6"/>
    <w:rsid w:val="004D77BE"/>
    <w:rsid w:val="004E0607"/>
    <w:rsid w:val="004E06DF"/>
    <w:rsid w:val="004E08A2"/>
    <w:rsid w:val="004E0C4F"/>
    <w:rsid w:val="004E0F56"/>
    <w:rsid w:val="004E0FED"/>
    <w:rsid w:val="004E10BF"/>
    <w:rsid w:val="004E131F"/>
    <w:rsid w:val="004E19FC"/>
    <w:rsid w:val="004E1BBC"/>
    <w:rsid w:val="004E1F47"/>
    <w:rsid w:val="004E1F64"/>
    <w:rsid w:val="004E2412"/>
    <w:rsid w:val="004E26AC"/>
    <w:rsid w:val="004E36C9"/>
    <w:rsid w:val="004E39C4"/>
    <w:rsid w:val="004E4558"/>
    <w:rsid w:val="004E49DC"/>
    <w:rsid w:val="004E5632"/>
    <w:rsid w:val="004E5768"/>
    <w:rsid w:val="004E5A72"/>
    <w:rsid w:val="004E5BAF"/>
    <w:rsid w:val="004E7258"/>
    <w:rsid w:val="004F05F5"/>
    <w:rsid w:val="004F0BD7"/>
    <w:rsid w:val="004F1455"/>
    <w:rsid w:val="004F15BE"/>
    <w:rsid w:val="004F20FB"/>
    <w:rsid w:val="004F2FB6"/>
    <w:rsid w:val="004F3612"/>
    <w:rsid w:val="004F37F0"/>
    <w:rsid w:val="004F4F3D"/>
    <w:rsid w:val="004F5233"/>
    <w:rsid w:val="004F67D2"/>
    <w:rsid w:val="004F7087"/>
    <w:rsid w:val="004F7EC4"/>
    <w:rsid w:val="0050034E"/>
    <w:rsid w:val="00500835"/>
    <w:rsid w:val="00500D6E"/>
    <w:rsid w:val="00500E2D"/>
    <w:rsid w:val="005019BA"/>
    <w:rsid w:val="00501B3E"/>
    <w:rsid w:val="00502B66"/>
    <w:rsid w:val="0050339A"/>
    <w:rsid w:val="005035CC"/>
    <w:rsid w:val="00503A5A"/>
    <w:rsid w:val="00503F74"/>
    <w:rsid w:val="0050426B"/>
    <w:rsid w:val="00504553"/>
    <w:rsid w:val="0050474C"/>
    <w:rsid w:val="00504D2A"/>
    <w:rsid w:val="00504ECD"/>
    <w:rsid w:val="005052D7"/>
    <w:rsid w:val="00505E79"/>
    <w:rsid w:val="00505EC7"/>
    <w:rsid w:val="005061A3"/>
    <w:rsid w:val="005068CC"/>
    <w:rsid w:val="00506914"/>
    <w:rsid w:val="00506A8B"/>
    <w:rsid w:val="00506CBD"/>
    <w:rsid w:val="00507171"/>
    <w:rsid w:val="00507DDD"/>
    <w:rsid w:val="005103A4"/>
    <w:rsid w:val="00510BE9"/>
    <w:rsid w:val="00511150"/>
    <w:rsid w:val="00511933"/>
    <w:rsid w:val="00511EF9"/>
    <w:rsid w:val="00512A0E"/>
    <w:rsid w:val="00512CE8"/>
    <w:rsid w:val="00512D1F"/>
    <w:rsid w:val="00512D53"/>
    <w:rsid w:val="00512DFF"/>
    <w:rsid w:val="00512EE5"/>
    <w:rsid w:val="005133BB"/>
    <w:rsid w:val="00513A27"/>
    <w:rsid w:val="00513C8F"/>
    <w:rsid w:val="00513CDA"/>
    <w:rsid w:val="00513FFF"/>
    <w:rsid w:val="0051409A"/>
    <w:rsid w:val="005141B9"/>
    <w:rsid w:val="00514A47"/>
    <w:rsid w:val="00514DE8"/>
    <w:rsid w:val="00515095"/>
    <w:rsid w:val="0051542B"/>
    <w:rsid w:val="005156B1"/>
    <w:rsid w:val="00515745"/>
    <w:rsid w:val="005170B9"/>
    <w:rsid w:val="00517140"/>
    <w:rsid w:val="00517431"/>
    <w:rsid w:val="00517A49"/>
    <w:rsid w:val="00517B1A"/>
    <w:rsid w:val="00517DE1"/>
    <w:rsid w:val="00520598"/>
    <w:rsid w:val="0052089A"/>
    <w:rsid w:val="00521009"/>
    <w:rsid w:val="00521917"/>
    <w:rsid w:val="00522316"/>
    <w:rsid w:val="00522669"/>
    <w:rsid w:val="00524031"/>
    <w:rsid w:val="0052440F"/>
    <w:rsid w:val="005246CE"/>
    <w:rsid w:val="0052473B"/>
    <w:rsid w:val="005249D4"/>
    <w:rsid w:val="00525736"/>
    <w:rsid w:val="00525ACA"/>
    <w:rsid w:val="00526997"/>
    <w:rsid w:val="00527671"/>
    <w:rsid w:val="005277FD"/>
    <w:rsid w:val="005304C9"/>
    <w:rsid w:val="005307FD"/>
    <w:rsid w:val="005315AA"/>
    <w:rsid w:val="00531710"/>
    <w:rsid w:val="00531721"/>
    <w:rsid w:val="00532A1E"/>
    <w:rsid w:val="00532A76"/>
    <w:rsid w:val="00532F52"/>
    <w:rsid w:val="00533232"/>
    <w:rsid w:val="0053328B"/>
    <w:rsid w:val="00533480"/>
    <w:rsid w:val="005338D1"/>
    <w:rsid w:val="005339E8"/>
    <w:rsid w:val="00534436"/>
    <w:rsid w:val="005352C0"/>
    <w:rsid w:val="00535E0F"/>
    <w:rsid w:val="00536B88"/>
    <w:rsid w:val="00536F76"/>
    <w:rsid w:val="00537248"/>
    <w:rsid w:val="005373A9"/>
    <w:rsid w:val="00537419"/>
    <w:rsid w:val="00537478"/>
    <w:rsid w:val="00537896"/>
    <w:rsid w:val="00537D73"/>
    <w:rsid w:val="00540377"/>
    <w:rsid w:val="005404EB"/>
    <w:rsid w:val="00540DFF"/>
    <w:rsid w:val="00542BFD"/>
    <w:rsid w:val="005434E3"/>
    <w:rsid w:val="00543535"/>
    <w:rsid w:val="005437F6"/>
    <w:rsid w:val="0054424D"/>
    <w:rsid w:val="00544E7C"/>
    <w:rsid w:val="005453B8"/>
    <w:rsid w:val="005453D5"/>
    <w:rsid w:val="00546BD3"/>
    <w:rsid w:val="00546CC8"/>
    <w:rsid w:val="00546FD3"/>
    <w:rsid w:val="0054746D"/>
    <w:rsid w:val="005506BB"/>
    <w:rsid w:val="00550F85"/>
    <w:rsid w:val="00551095"/>
    <w:rsid w:val="00551650"/>
    <w:rsid w:val="00551660"/>
    <w:rsid w:val="00552635"/>
    <w:rsid w:val="00552C55"/>
    <w:rsid w:val="00552D08"/>
    <w:rsid w:val="00552DEC"/>
    <w:rsid w:val="00553DC5"/>
    <w:rsid w:val="005549B9"/>
    <w:rsid w:val="00554B67"/>
    <w:rsid w:val="005558B1"/>
    <w:rsid w:val="00557370"/>
    <w:rsid w:val="005576CF"/>
    <w:rsid w:val="00561A81"/>
    <w:rsid w:val="00561BE8"/>
    <w:rsid w:val="00561F0C"/>
    <w:rsid w:val="00562116"/>
    <w:rsid w:val="00562453"/>
    <w:rsid w:val="005624BD"/>
    <w:rsid w:val="00563324"/>
    <w:rsid w:val="00563711"/>
    <w:rsid w:val="005649E8"/>
    <w:rsid w:val="00564A7B"/>
    <w:rsid w:val="00564DB2"/>
    <w:rsid w:val="00564FEE"/>
    <w:rsid w:val="00565E2D"/>
    <w:rsid w:val="00565E6E"/>
    <w:rsid w:val="00566453"/>
    <w:rsid w:val="005667A9"/>
    <w:rsid w:val="00566F60"/>
    <w:rsid w:val="0056750E"/>
    <w:rsid w:val="00567941"/>
    <w:rsid w:val="005705D6"/>
    <w:rsid w:val="0057078F"/>
    <w:rsid w:val="00570913"/>
    <w:rsid w:val="00570A99"/>
    <w:rsid w:val="00571EFF"/>
    <w:rsid w:val="00571F90"/>
    <w:rsid w:val="00572122"/>
    <w:rsid w:val="005725FA"/>
    <w:rsid w:val="00572686"/>
    <w:rsid w:val="0057279F"/>
    <w:rsid w:val="00572B5F"/>
    <w:rsid w:val="00572D46"/>
    <w:rsid w:val="00572E1A"/>
    <w:rsid w:val="00573FB5"/>
    <w:rsid w:val="0057597C"/>
    <w:rsid w:val="00575BB5"/>
    <w:rsid w:val="00575C6A"/>
    <w:rsid w:val="00575DFB"/>
    <w:rsid w:val="00576164"/>
    <w:rsid w:val="0057629D"/>
    <w:rsid w:val="005769CE"/>
    <w:rsid w:val="00576A35"/>
    <w:rsid w:val="00577A84"/>
    <w:rsid w:val="005800C7"/>
    <w:rsid w:val="00580103"/>
    <w:rsid w:val="0058067D"/>
    <w:rsid w:val="005806C4"/>
    <w:rsid w:val="00580CC6"/>
    <w:rsid w:val="0058122A"/>
    <w:rsid w:val="00581274"/>
    <w:rsid w:val="00582296"/>
    <w:rsid w:val="00582583"/>
    <w:rsid w:val="00582AEA"/>
    <w:rsid w:val="00583BDE"/>
    <w:rsid w:val="0058409C"/>
    <w:rsid w:val="005842A3"/>
    <w:rsid w:val="005842E8"/>
    <w:rsid w:val="00584D08"/>
    <w:rsid w:val="00584E4F"/>
    <w:rsid w:val="0058540B"/>
    <w:rsid w:val="0058543A"/>
    <w:rsid w:val="00585F93"/>
    <w:rsid w:val="00586D77"/>
    <w:rsid w:val="00587309"/>
    <w:rsid w:val="005903EE"/>
    <w:rsid w:val="0059062D"/>
    <w:rsid w:val="00590C44"/>
    <w:rsid w:val="005919C8"/>
    <w:rsid w:val="00592D6E"/>
    <w:rsid w:val="0059386F"/>
    <w:rsid w:val="005940BF"/>
    <w:rsid w:val="005946E9"/>
    <w:rsid w:val="00594730"/>
    <w:rsid w:val="00594AE2"/>
    <w:rsid w:val="005952F8"/>
    <w:rsid w:val="00596064"/>
    <w:rsid w:val="005962D7"/>
    <w:rsid w:val="00596EBE"/>
    <w:rsid w:val="00597A44"/>
    <w:rsid w:val="00597C0A"/>
    <w:rsid w:val="00597D8D"/>
    <w:rsid w:val="005A00F8"/>
    <w:rsid w:val="005A0118"/>
    <w:rsid w:val="005A0177"/>
    <w:rsid w:val="005A0B25"/>
    <w:rsid w:val="005A0F86"/>
    <w:rsid w:val="005A0FDB"/>
    <w:rsid w:val="005A15A1"/>
    <w:rsid w:val="005A206E"/>
    <w:rsid w:val="005A209C"/>
    <w:rsid w:val="005A2621"/>
    <w:rsid w:val="005A2C22"/>
    <w:rsid w:val="005A2DE4"/>
    <w:rsid w:val="005A3012"/>
    <w:rsid w:val="005A3209"/>
    <w:rsid w:val="005A354B"/>
    <w:rsid w:val="005A3C41"/>
    <w:rsid w:val="005A4168"/>
    <w:rsid w:val="005A4184"/>
    <w:rsid w:val="005A4603"/>
    <w:rsid w:val="005A4F01"/>
    <w:rsid w:val="005A56EB"/>
    <w:rsid w:val="005A62B6"/>
    <w:rsid w:val="005A759E"/>
    <w:rsid w:val="005A7D15"/>
    <w:rsid w:val="005B0F62"/>
    <w:rsid w:val="005B10B6"/>
    <w:rsid w:val="005B1A5C"/>
    <w:rsid w:val="005B2153"/>
    <w:rsid w:val="005B22F5"/>
    <w:rsid w:val="005B2B24"/>
    <w:rsid w:val="005B3137"/>
    <w:rsid w:val="005B317B"/>
    <w:rsid w:val="005B3296"/>
    <w:rsid w:val="005B341D"/>
    <w:rsid w:val="005B3B6F"/>
    <w:rsid w:val="005B3D0D"/>
    <w:rsid w:val="005B444F"/>
    <w:rsid w:val="005B4E4B"/>
    <w:rsid w:val="005B54E4"/>
    <w:rsid w:val="005B6445"/>
    <w:rsid w:val="005B6752"/>
    <w:rsid w:val="005B6E12"/>
    <w:rsid w:val="005B72EB"/>
    <w:rsid w:val="005B7526"/>
    <w:rsid w:val="005B7691"/>
    <w:rsid w:val="005C02B8"/>
    <w:rsid w:val="005C091D"/>
    <w:rsid w:val="005C1424"/>
    <w:rsid w:val="005C147F"/>
    <w:rsid w:val="005C2239"/>
    <w:rsid w:val="005C2343"/>
    <w:rsid w:val="005C25FC"/>
    <w:rsid w:val="005C291A"/>
    <w:rsid w:val="005C2F2F"/>
    <w:rsid w:val="005C36A5"/>
    <w:rsid w:val="005C4A83"/>
    <w:rsid w:val="005C4E89"/>
    <w:rsid w:val="005C57DF"/>
    <w:rsid w:val="005C5942"/>
    <w:rsid w:val="005C5C95"/>
    <w:rsid w:val="005C5FA1"/>
    <w:rsid w:val="005C5FD7"/>
    <w:rsid w:val="005C6592"/>
    <w:rsid w:val="005C694D"/>
    <w:rsid w:val="005C6AD6"/>
    <w:rsid w:val="005C6CF4"/>
    <w:rsid w:val="005C6F0C"/>
    <w:rsid w:val="005C7073"/>
    <w:rsid w:val="005D07E0"/>
    <w:rsid w:val="005D0F13"/>
    <w:rsid w:val="005D14D4"/>
    <w:rsid w:val="005D2701"/>
    <w:rsid w:val="005D2FAA"/>
    <w:rsid w:val="005D465C"/>
    <w:rsid w:val="005D49BD"/>
    <w:rsid w:val="005D49E9"/>
    <w:rsid w:val="005D4CDC"/>
    <w:rsid w:val="005D5039"/>
    <w:rsid w:val="005D5142"/>
    <w:rsid w:val="005D5228"/>
    <w:rsid w:val="005D551F"/>
    <w:rsid w:val="005D5673"/>
    <w:rsid w:val="005D5CA9"/>
    <w:rsid w:val="005D5F70"/>
    <w:rsid w:val="005D72D3"/>
    <w:rsid w:val="005E0329"/>
    <w:rsid w:val="005E07B8"/>
    <w:rsid w:val="005E0CA1"/>
    <w:rsid w:val="005E0E02"/>
    <w:rsid w:val="005E1591"/>
    <w:rsid w:val="005E230A"/>
    <w:rsid w:val="005E2358"/>
    <w:rsid w:val="005E254F"/>
    <w:rsid w:val="005E2605"/>
    <w:rsid w:val="005E2BD8"/>
    <w:rsid w:val="005E2FCF"/>
    <w:rsid w:val="005E3308"/>
    <w:rsid w:val="005E4012"/>
    <w:rsid w:val="005E40BF"/>
    <w:rsid w:val="005E500C"/>
    <w:rsid w:val="005E5184"/>
    <w:rsid w:val="005E52E6"/>
    <w:rsid w:val="005E5F4A"/>
    <w:rsid w:val="005E6703"/>
    <w:rsid w:val="005E6857"/>
    <w:rsid w:val="005E6D1D"/>
    <w:rsid w:val="005E746A"/>
    <w:rsid w:val="005F0482"/>
    <w:rsid w:val="005F1066"/>
    <w:rsid w:val="005F18DD"/>
    <w:rsid w:val="005F26EF"/>
    <w:rsid w:val="005F3251"/>
    <w:rsid w:val="005F36EE"/>
    <w:rsid w:val="005F3F7C"/>
    <w:rsid w:val="005F4189"/>
    <w:rsid w:val="005F4BD3"/>
    <w:rsid w:val="005F4C86"/>
    <w:rsid w:val="005F5E36"/>
    <w:rsid w:val="005F6573"/>
    <w:rsid w:val="005F738F"/>
    <w:rsid w:val="005F73BA"/>
    <w:rsid w:val="005F76CC"/>
    <w:rsid w:val="005F7C41"/>
    <w:rsid w:val="006006A5"/>
    <w:rsid w:val="00601121"/>
    <w:rsid w:val="00601E5C"/>
    <w:rsid w:val="00602AAA"/>
    <w:rsid w:val="00602B71"/>
    <w:rsid w:val="006031EF"/>
    <w:rsid w:val="0060394C"/>
    <w:rsid w:val="00603D81"/>
    <w:rsid w:val="0060411A"/>
    <w:rsid w:val="0060426B"/>
    <w:rsid w:val="00604921"/>
    <w:rsid w:val="00604A07"/>
    <w:rsid w:val="00604DFC"/>
    <w:rsid w:val="006051DC"/>
    <w:rsid w:val="00605426"/>
    <w:rsid w:val="006058C8"/>
    <w:rsid w:val="00606204"/>
    <w:rsid w:val="00606333"/>
    <w:rsid w:val="00606A98"/>
    <w:rsid w:val="00606B55"/>
    <w:rsid w:val="00607610"/>
    <w:rsid w:val="00607BBF"/>
    <w:rsid w:val="0061141A"/>
    <w:rsid w:val="00611A15"/>
    <w:rsid w:val="00611ACC"/>
    <w:rsid w:val="00612B90"/>
    <w:rsid w:val="00614754"/>
    <w:rsid w:val="006160CE"/>
    <w:rsid w:val="006173FF"/>
    <w:rsid w:val="00617C1B"/>
    <w:rsid w:val="006202C1"/>
    <w:rsid w:val="00621709"/>
    <w:rsid w:val="00621920"/>
    <w:rsid w:val="00621F15"/>
    <w:rsid w:val="00622AAE"/>
    <w:rsid w:val="00622DAC"/>
    <w:rsid w:val="00623195"/>
    <w:rsid w:val="006236F9"/>
    <w:rsid w:val="00623CFC"/>
    <w:rsid w:val="006240F3"/>
    <w:rsid w:val="0062443B"/>
    <w:rsid w:val="006244F3"/>
    <w:rsid w:val="006246B5"/>
    <w:rsid w:val="00624F6E"/>
    <w:rsid w:val="006251D2"/>
    <w:rsid w:val="006258D0"/>
    <w:rsid w:val="006262E1"/>
    <w:rsid w:val="006265D3"/>
    <w:rsid w:val="006269F2"/>
    <w:rsid w:val="00626C62"/>
    <w:rsid w:val="00626E9E"/>
    <w:rsid w:val="00627404"/>
    <w:rsid w:val="00627412"/>
    <w:rsid w:val="0062763F"/>
    <w:rsid w:val="0062786F"/>
    <w:rsid w:val="00627D19"/>
    <w:rsid w:val="006304D0"/>
    <w:rsid w:val="00630545"/>
    <w:rsid w:val="006305AE"/>
    <w:rsid w:val="00630690"/>
    <w:rsid w:val="0063078B"/>
    <w:rsid w:val="0063080D"/>
    <w:rsid w:val="00630F2F"/>
    <w:rsid w:val="00630F3B"/>
    <w:rsid w:val="006314DB"/>
    <w:rsid w:val="00631A89"/>
    <w:rsid w:val="00631EE7"/>
    <w:rsid w:val="006322FC"/>
    <w:rsid w:val="00633844"/>
    <w:rsid w:val="006339DB"/>
    <w:rsid w:val="0063499E"/>
    <w:rsid w:val="006350C1"/>
    <w:rsid w:val="0063561E"/>
    <w:rsid w:val="0063589F"/>
    <w:rsid w:val="00636143"/>
    <w:rsid w:val="00636379"/>
    <w:rsid w:val="00636B8B"/>
    <w:rsid w:val="00636EAA"/>
    <w:rsid w:val="00636EE2"/>
    <w:rsid w:val="00636FAB"/>
    <w:rsid w:val="00637608"/>
    <w:rsid w:val="00637D85"/>
    <w:rsid w:val="006404DF"/>
    <w:rsid w:val="006419E5"/>
    <w:rsid w:val="00641A54"/>
    <w:rsid w:val="00642413"/>
    <w:rsid w:val="006426DB"/>
    <w:rsid w:val="00643B41"/>
    <w:rsid w:val="00643E3D"/>
    <w:rsid w:val="0064410E"/>
    <w:rsid w:val="0064438D"/>
    <w:rsid w:val="00644D5F"/>
    <w:rsid w:val="0064552E"/>
    <w:rsid w:val="006456E3"/>
    <w:rsid w:val="006460A1"/>
    <w:rsid w:val="00646D4C"/>
    <w:rsid w:val="006471A7"/>
    <w:rsid w:val="00647350"/>
    <w:rsid w:val="006476BD"/>
    <w:rsid w:val="00647785"/>
    <w:rsid w:val="0064787A"/>
    <w:rsid w:val="00647D68"/>
    <w:rsid w:val="00647E81"/>
    <w:rsid w:val="00650039"/>
    <w:rsid w:val="006500B1"/>
    <w:rsid w:val="00651634"/>
    <w:rsid w:val="0065177E"/>
    <w:rsid w:val="00651BED"/>
    <w:rsid w:val="006523B3"/>
    <w:rsid w:val="00652A36"/>
    <w:rsid w:val="0065364F"/>
    <w:rsid w:val="0065377D"/>
    <w:rsid w:val="00653AD7"/>
    <w:rsid w:val="00653C21"/>
    <w:rsid w:val="00653E45"/>
    <w:rsid w:val="00654118"/>
    <w:rsid w:val="0065589F"/>
    <w:rsid w:val="0065767F"/>
    <w:rsid w:val="006576BF"/>
    <w:rsid w:val="00657BF1"/>
    <w:rsid w:val="00657DF0"/>
    <w:rsid w:val="00657ED6"/>
    <w:rsid w:val="00660032"/>
    <w:rsid w:val="00660AED"/>
    <w:rsid w:val="00660DF4"/>
    <w:rsid w:val="0066162C"/>
    <w:rsid w:val="0066179A"/>
    <w:rsid w:val="00661AD3"/>
    <w:rsid w:val="00661C36"/>
    <w:rsid w:val="00662096"/>
    <w:rsid w:val="00662C83"/>
    <w:rsid w:val="00662F5F"/>
    <w:rsid w:val="00663A66"/>
    <w:rsid w:val="00663C81"/>
    <w:rsid w:val="00663D2C"/>
    <w:rsid w:val="00663DA2"/>
    <w:rsid w:val="0066402B"/>
    <w:rsid w:val="0066406B"/>
    <w:rsid w:val="0066419D"/>
    <w:rsid w:val="00664A40"/>
    <w:rsid w:val="00665735"/>
    <w:rsid w:val="0066581F"/>
    <w:rsid w:val="00665AA4"/>
    <w:rsid w:val="00666782"/>
    <w:rsid w:val="00666E24"/>
    <w:rsid w:val="00666EEA"/>
    <w:rsid w:val="00667B9C"/>
    <w:rsid w:val="00670965"/>
    <w:rsid w:val="006709B5"/>
    <w:rsid w:val="00670C74"/>
    <w:rsid w:val="006720BE"/>
    <w:rsid w:val="00672939"/>
    <w:rsid w:val="00672AE8"/>
    <w:rsid w:val="00672D99"/>
    <w:rsid w:val="00673416"/>
    <w:rsid w:val="0067370F"/>
    <w:rsid w:val="006742BA"/>
    <w:rsid w:val="00674412"/>
    <w:rsid w:val="00674AC8"/>
    <w:rsid w:val="006752C2"/>
    <w:rsid w:val="006755AF"/>
    <w:rsid w:val="00675ADF"/>
    <w:rsid w:val="00675EAC"/>
    <w:rsid w:val="00676367"/>
    <w:rsid w:val="006778FC"/>
    <w:rsid w:val="006806A8"/>
    <w:rsid w:val="006808E8"/>
    <w:rsid w:val="00680FB6"/>
    <w:rsid w:val="0068175F"/>
    <w:rsid w:val="00681D8F"/>
    <w:rsid w:val="0068289B"/>
    <w:rsid w:val="00682B0B"/>
    <w:rsid w:val="00682CA4"/>
    <w:rsid w:val="00682E81"/>
    <w:rsid w:val="00682F34"/>
    <w:rsid w:val="00683D27"/>
    <w:rsid w:val="00684117"/>
    <w:rsid w:val="006842DE"/>
    <w:rsid w:val="00684AAF"/>
    <w:rsid w:val="00684C57"/>
    <w:rsid w:val="00684C6E"/>
    <w:rsid w:val="00684E3A"/>
    <w:rsid w:val="00684E8E"/>
    <w:rsid w:val="00685642"/>
    <w:rsid w:val="006858DA"/>
    <w:rsid w:val="00685F7C"/>
    <w:rsid w:val="0068619D"/>
    <w:rsid w:val="0068639E"/>
    <w:rsid w:val="00686725"/>
    <w:rsid w:val="0068687A"/>
    <w:rsid w:val="006873DC"/>
    <w:rsid w:val="00690139"/>
    <w:rsid w:val="006904E8"/>
    <w:rsid w:val="0069082E"/>
    <w:rsid w:val="00690A39"/>
    <w:rsid w:val="006913D8"/>
    <w:rsid w:val="00691CFA"/>
    <w:rsid w:val="00693257"/>
    <w:rsid w:val="0069362B"/>
    <w:rsid w:val="00693CA4"/>
    <w:rsid w:val="0069433C"/>
    <w:rsid w:val="00694357"/>
    <w:rsid w:val="006951E2"/>
    <w:rsid w:val="006956C3"/>
    <w:rsid w:val="006957AC"/>
    <w:rsid w:val="006964BC"/>
    <w:rsid w:val="006966D7"/>
    <w:rsid w:val="00696866"/>
    <w:rsid w:val="00696A42"/>
    <w:rsid w:val="00697225"/>
    <w:rsid w:val="00697629"/>
    <w:rsid w:val="006977C1"/>
    <w:rsid w:val="006A0291"/>
    <w:rsid w:val="006A0BE7"/>
    <w:rsid w:val="006A0CE1"/>
    <w:rsid w:val="006A1264"/>
    <w:rsid w:val="006A12D3"/>
    <w:rsid w:val="006A19DE"/>
    <w:rsid w:val="006A208B"/>
    <w:rsid w:val="006A2507"/>
    <w:rsid w:val="006A3377"/>
    <w:rsid w:val="006A4402"/>
    <w:rsid w:val="006A48B7"/>
    <w:rsid w:val="006A50DB"/>
    <w:rsid w:val="006A62B0"/>
    <w:rsid w:val="006A6489"/>
    <w:rsid w:val="006A68F5"/>
    <w:rsid w:val="006A7D9C"/>
    <w:rsid w:val="006B040D"/>
    <w:rsid w:val="006B08C2"/>
    <w:rsid w:val="006B0CB2"/>
    <w:rsid w:val="006B0F6D"/>
    <w:rsid w:val="006B12B2"/>
    <w:rsid w:val="006B1718"/>
    <w:rsid w:val="006B1EE7"/>
    <w:rsid w:val="006B2108"/>
    <w:rsid w:val="006B2821"/>
    <w:rsid w:val="006B293D"/>
    <w:rsid w:val="006B2C28"/>
    <w:rsid w:val="006B2FB6"/>
    <w:rsid w:val="006B30B9"/>
    <w:rsid w:val="006B38EA"/>
    <w:rsid w:val="006B3CEE"/>
    <w:rsid w:val="006B452B"/>
    <w:rsid w:val="006B47D3"/>
    <w:rsid w:val="006B4C99"/>
    <w:rsid w:val="006B502E"/>
    <w:rsid w:val="006B5368"/>
    <w:rsid w:val="006B55C8"/>
    <w:rsid w:val="006B56A8"/>
    <w:rsid w:val="006B5BB3"/>
    <w:rsid w:val="006B635C"/>
    <w:rsid w:val="006B6ACA"/>
    <w:rsid w:val="006B6BD4"/>
    <w:rsid w:val="006B723A"/>
    <w:rsid w:val="006B78E3"/>
    <w:rsid w:val="006C0243"/>
    <w:rsid w:val="006C0D76"/>
    <w:rsid w:val="006C0E7F"/>
    <w:rsid w:val="006C13BA"/>
    <w:rsid w:val="006C1AFF"/>
    <w:rsid w:val="006C26D2"/>
    <w:rsid w:val="006C2C7D"/>
    <w:rsid w:val="006C3927"/>
    <w:rsid w:val="006C3EA8"/>
    <w:rsid w:val="006C41E6"/>
    <w:rsid w:val="006C4869"/>
    <w:rsid w:val="006C5720"/>
    <w:rsid w:val="006C5976"/>
    <w:rsid w:val="006C5B8F"/>
    <w:rsid w:val="006C69A7"/>
    <w:rsid w:val="006C727C"/>
    <w:rsid w:val="006D0267"/>
    <w:rsid w:val="006D05A6"/>
    <w:rsid w:val="006D06D5"/>
    <w:rsid w:val="006D0BB9"/>
    <w:rsid w:val="006D0D01"/>
    <w:rsid w:val="006D0D3F"/>
    <w:rsid w:val="006D18C0"/>
    <w:rsid w:val="006D1FB9"/>
    <w:rsid w:val="006D2052"/>
    <w:rsid w:val="006D221A"/>
    <w:rsid w:val="006D253B"/>
    <w:rsid w:val="006D29BB"/>
    <w:rsid w:val="006D2BA8"/>
    <w:rsid w:val="006D2F70"/>
    <w:rsid w:val="006D3402"/>
    <w:rsid w:val="006D34DA"/>
    <w:rsid w:val="006D3B0D"/>
    <w:rsid w:val="006D45E0"/>
    <w:rsid w:val="006D497C"/>
    <w:rsid w:val="006D4E67"/>
    <w:rsid w:val="006D51C7"/>
    <w:rsid w:val="006D5BEA"/>
    <w:rsid w:val="006D5FFE"/>
    <w:rsid w:val="006D612E"/>
    <w:rsid w:val="006D6268"/>
    <w:rsid w:val="006D7715"/>
    <w:rsid w:val="006E02DD"/>
    <w:rsid w:val="006E04BC"/>
    <w:rsid w:val="006E0C6D"/>
    <w:rsid w:val="006E0F73"/>
    <w:rsid w:val="006E13CC"/>
    <w:rsid w:val="006E1986"/>
    <w:rsid w:val="006E1AD1"/>
    <w:rsid w:val="006E2104"/>
    <w:rsid w:val="006E21A0"/>
    <w:rsid w:val="006E2847"/>
    <w:rsid w:val="006E2998"/>
    <w:rsid w:val="006E2B7A"/>
    <w:rsid w:val="006E2C57"/>
    <w:rsid w:val="006E32DA"/>
    <w:rsid w:val="006E451C"/>
    <w:rsid w:val="006E5001"/>
    <w:rsid w:val="006E5648"/>
    <w:rsid w:val="006E6758"/>
    <w:rsid w:val="006E697F"/>
    <w:rsid w:val="006E71FA"/>
    <w:rsid w:val="006E760D"/>
    <w:rsid w:val="006E7820"/>
    <w:rsid w:val="006E7F3E"/>
    <w:rsid w:val="006F0504"/>
    <w:rsid w:val="006F0E99"/>
    <w:rsid w:val="006F1A7E"/>
    <w:rsid w:val="006F1F34"/>
    <w:rsid w:val="006F2242"/>
    <w:rsid w:val="006F27E6"/>
    <w:rsid w:val="006F2EA6"/>
    <w:rsid w:val="006F3BF6"/>
    <w:rsid w:val="006F3CCE"/>
    <w:rsid w:val="006F40D4"/>
    <w:rsid w:val="006F470E"/>
    <w:rsid w:val="006F4BD5"/>
    <w:rsid w:val="006F4CF2"/>
    <w:rsid w:val="006F4DBB"/>
    <w:rsid w:val="006F6442"/>
    <w:rsid w:val="006F685A"/>
    <w:rsid w:val="006F69FA"/>
    <w:rsid w:val="006F6C96"/>
    <w:rsid w:val="006F6E46"/>
    <w:rsid w:val="006F7734"/>
    <w:rsid w:val="006F7F9D"/>
    <w:rsid w:val="0070000E"/>
    <w:rsid w:val="007008FC"/>
    <w:rsid w:val="00700A64"/>
    <w:rsid w:val="00700B1D"/>
    <w:rsid w:val="00700CBB"/>
    <w:rsid w:val="00700FE4"/>
    <w:rsid w:val="007010C3"/>
    <w:rsid w:val="007010FC"/>
    <w:rsid w:val="007012E8"/>
    <w:rsid w:val="00701AA4"/>
    <w:rsid w:val="00701B08"/>
    <w:rsid w:val="007020E7"/>
    <w:rsid w:val="007029BB"/>
    <w:rsid w:val="007035DE"/>
    <w:rsid w:val="00704D36"/>
    <w:rsid w:val="00704E69"/>
    <w:rsid w:val="00705B1B"/>
    <w:rsid w:val="00705BB7"/>
    <w:rsid w:val="00705BE1"/>
    <w:rsid w:val="0070600D"/>
    <w:rsid w:val="007067B9"/>
    <w:rsid w:val="00707051"/>
    <w:rsid w:val="00707FE7"/>
    <w:rsid w:val="00710215"/>
    <w:rsid w:val="00710241"/>
    <w:rsid w:val="00710586"/>
    <w:rsid w:val="00710C50"/>
    <w:rsid w:val="0071105B"/>
    <w:rsid w:val="007119DC"/>
    <w:rsid w:val="00711E0B"/>
    <w:rsid w:val="0071236A"/>
    <w:rsid w:val="0071293A"/>
    <w:rsid w:val="0071333C"/>
    <w:rsid w:val="007140A9"/>
    <w:rsid w:val="007140F4"/>
    <w:rsid w:val="00714261"/>
    <w:rsid w:val="00714424"/>
    <w:rsid w:val="00714C68"/>
    <w:rsid w:val="00714EDB"/>
    <w:rsid w:val="00715726"/>
    <w:rsid w:val="00715BD2"/>
    <w:rsid w:val="00716148"/>
    <w:rsid w:val="00716232"/>
    <w:rsid w:val="007162E6"/>
    <w:rsid w:val="00716EED"/>
    <w:rsid w:val="00717823"/>
    <w:rsid w:val="00717C65"/>
    <w:rsid w:val="00717EEF"/>
    <w:rsid w:val="00720B14"/>
    <w:rsid w:val="00721538"/>
    <w:rsid w:val="00721649"/>
    <w:rsid w:val="00721A19"/>
    <w:rsid w:val="00721C5A"/>
    <w:rsid w:val="00721D98"/>
    <w:rsid w:val="00721F9B"/>
    <w:rsid w:val="00722190"/>
    <w:rsid w:val="00722B78"/>
    <w:rsid w:val="00722E81"/>
    <w:rsid w:val="00723113"/>
    <w:rsid w:val="00723A1F"/>
    <w:rsid w:val="00724708"/>
    <w:rsid w:val="00724A82"/>
    <w:rsid w:val="00726279"/>
    <w:rsid w:val="00726518"/>
    <w:rsid w:val="0072663E"/>
    <w:rsid w:val="00726736"/>
    <w:rsid w:val="0072773B"/>
    <w:rsid w:val="00727FE0"/>
    <w:rsid w:val="007300CB"/>
    <w:rsid w:val="00730719"/>
    <w:rsid w:val="00730751"/>
    <w:rsid w:val="00731DEA"/>
    <w:rsid w:val="007327E9"/>
    <w:rsid w:val="00732B2C"/>
    <w:rsid w:val="0073355E"/>
    <w:rsid w:val="00733812"/>
    <w:rsid w:val="00733940"/>
    <w:rsid w:val="00733EBE"/>
    <w:rsid w:val="00734414"/>
    <w:rsid w:val="00734444"/>
    <w:rsid w:val="007347B1"/>
    <w:rsid w:val="00734D9D"/>
    <w:rsid w:val="00735005"/>
    <w:rsid w:val="007369DC"/>
    <w:rsid w:val="00736DCA"/>
    <w:rsid w:val="0073710B"/>
    <w:rsid w:val="007372E2"/>
    <w:rsid w:val="00740534"/>
    <w:rsid w:val="00740553"/>
    <w:rsid w:val="00740B8D"/>
    <w:rsid w:val="00740E50"/>
    <w:rsid w:val="00740F30"/>
    <w:rsid w:val="00741012"/>
    <w:rsid w:val="007411E0"/>
    <w:rsid w:val="007411E7"/>
    <w:rsid w:val="00741532"/>
    <w:rsid w:val="0074184C"/>
    <w:rsid w:val="00741AB4"/>
    <w:rsid w:val="0074200E"/>
    <w:rsid w:val="00742F16"/>
    <w:rsid w:val="00743ABA"/>
    <w:rsid w:val="00743B37"/>
    <w:rsid w:val="0074412F"/>
    <w:rsid w:val="00744813"/>
    <w:rsid w:val="007456A3"/>
    <w:rsid w:val="00746721"/>
    <w:rsid w:val="00746C94"/>
    <w:rsid w:val="00746E4F"/>
    <w:rsid w:val="007478AC"/>
    <w:rsid w:val="00747AA2"/>
    <w:rsid w:val="00747C3D"/>
    <w:rsid w:val="00750664"/>
    <w:rsid w:val="007506F9"/>
    <w:rsid w:val="007518B4"/>
    <w:rsid w:val="007518ED"/>
    <w:rsid w:val="00751A74"/>
    <w:rsid w:val="00751D19"/>
    <w:rsid w:val="007525F7"/>
    <w:rsid w:val="00753BAC"/>
    <w:rsid w:val="00753BEB"/>
    <w:rsid w:val="00754998"/>
    <w:rsid w:val="007553C1"/>
    <w:rsid w:val="0075577B"/>
    <w:rsid w:val="00755C10"/>
    <w:rsid w:val="007564F1"/>
    <w:rsid w:val="0075659B"/>
    <w:rsid w:val="0075747F"/>
    <w:rsid w:val="00757F53"/>
    <w:rsid w:val="00757FA4"/>
    <w:rsid w:val="00760CEA"/>
    <w:rsid w:val="007613BA"/>
    <w:rsid w:val="00761CBA"/>
    <w:rsid w:val="00762747"/>
    <w:rsid w:val="00762826"/>
    <w:rsid w:val="0076422A"/>
    <w:rsid w:val="00764EAD"/>
    <w:rsid w:val="007654EA"/>
    <w:rsid w:val="00765A58"/>
    <w:rsid w:val="00765E1D"/>
    <w:rsid w:val="00765E79"/>
    <w:rsid w:val="00765F74"/>
    <w:rsid w:val="0076631A"/>
    <w:rsid w:val="00766756"/>
    <w:rsid w:val="007668D6"/>
    <w:rsid w:val="007671BA"/>
    <w:rsid w:val="0076734A"/>
    <w:rsid w:val="00767A24"/>
    <w:rsid w:val="00770057"/>
    <w:rsid w:val="0077051B"/>
    <w:rsid w:val="00770D9B"/>
    <w:rsid w:val="007712A9"/>
    <w:rsid w:val="0077157C"/>
    <w:rsid w:val="00771AE3"/>
    <w:rsid w:val="00772265"/>
    <w:rsid w:val="007724D6"/>
    <w:rsid w:val="00772975"/>
    <w:rsid w:val="00772A8A"/>
    <w:rsid w:val="00772AEF"/>
    <w:rsid w:val="00774DE9"/>
    <w:rsid w:val="00775593"/>
    <w:rsid w:val="00775B6F"/>
    <w:rsid w:val="00775E15"/>
    <w:rsid w:val="0077617B"/>
    <w:rsid w:val="00776784"/>
    <w:rsid w:val="00776848"/>
    <w:rsid w:val="007768E8"/>
    <w:rsid w:val="0078079F"/>
    <w:rsid w:val="00780D75"/>
    <w:rsid w:val="0078196D"/>
    <w:rsid w:val="007822CE"/>
    <w:rsid w:val="00782D05"/>
    <w:rsid w:val="00783408"/>
    <w:rsid w:val="00783475"/>
    <w:rsid w:val="00783751"/>
    <w:rsid w:val="00783A09"/>
    <w:rsid w:val="00783E20"/>
    <w:rsid w:val="00784039"/>
    <w:rsid w:val="00784F7C"/>
    <w:rsid w:val="0078500E"/>
    <w:rsid w:val="00785647"/>
    <w:rsid w:val="00785A84"/>
    <w:rsid w:val="0078611D"/>
    <w:rsid w:val="007864BE"/>
    <w:rsid w:val="00786A79"/>
    <w:rsid w:val="00786C61"/>
    <w:rsid w:val="00786CC3"/>
    <w:rsid w:val="00787B45"/>
    <w:rsid w:val="007902FD"/>
    <w:rsid w:val="0079055A"/>
    <w:rsid w:val="00790985"/>
    <w:rsid w:val="00790F55"/>
    <w:rsid w:val="0079113B"/>
    <w:rsid w:val="00791142"/>
    <w:rsid w:val="00791804"/>
    <w:rsid w:val="00791DDA"/>
    <w:rsid w:val="00792043"/>
    <w:rsid w:val="00792258"/>
    <w:rsid w:val="00792335"/>
    <w:rsid w:val="00792617"/>
    <w:rsid w:val="00792B96"/>
    <w:rsid w:val="00792C4F"/>
    <w:rsid w:val="00793D4A"/>
    <w:rsid w:val="00793F47"/>
    <w:rsid w:val="0079426B"/>
    <w:rsid w:val="0079428F"/>
    <w:rsid w:val="007943B4"/>
    <w:rsid w:val="00794909"/>
    <w:rsid w:val="00796045"/>
    <w:rsid w:val="007965EA"/>
    <w:rsid w:val="00796E8A"/>
    <w:rsid w:val="00796EFF"/>
    <w:rsid w:val="00797054"/>
    <w:rsid w:val="00797EDA"/>
    <w:rsid w:val="007A004B"/>
    <w:rsid w:val="007A049B"/>
    <w:rsid w:val="007A04DA"/>
    <w:rsid w:val="007A0FC7"/>
    <w:rsid w:val="007A11DE"/>
    <w:rsid w:val="007A1310"/>
    <w:rsid w:val="007A1510"/>
    <w:rsid w:val="007A1E6C"/>
    <w:rsid w:val="007A210B"/>
    <w:rsid w:val="007A2787"/>
    <w:rsid w:val="007A2E56"/>
    <w:rsid w:val="007A43B5"/>
    <w:rsid w:val="007A4438"/>
    <w:rsid w:val="007A49EF"/>
    <w:rsid w:val="007A4C9A"/>
    <w:rsid w:val="007A4E60"/>
    <w:rsid w:val="007A5392"/>
    <w:rsid w:val="007A550D"/>
    <w:rsid w:val="007A5E8B"/>
    <w:rsid w:val="007A693E"/>
    <w:rsid w:val="007A6BE1"/>
    <w:rsid w:val="007A7247"/>
    <w:rsid w:val="007A76E4"/>
    <w:rsid w:val="007A7EBD"/>
    <w:rsid w:val="007B09E6"/>
    <w:rsid w:val="007B138F"/>
    <w:rsid w:val="007B2860"/>
    <w:rsid w:val="007B2D5F"/>
    <w:rsid w:val="007B3973"/>
    <w:rsid w:val="007B4160"/>
    <w:rsid w:val="007B5061"/>
    <w:rsid w:val="007B50DC"/>
    <w:rsid w:val="007B58CE"/>
    <w:rsid w:val="007B5B02"/>
    <w:rsid w:val="007B5F25"/>
    <w:rsid w:val="007B60F1"/>
    <w:rsid w:val="007B6395"/>
    <w:rsid w:val="007B6CF2"/>
    <w:rsid w:val="007B6E57"/>
    <w:rsid w:val="007B74BA"/>
    <w:rsid w:val="007B7DAB"/>
    <w:rsid w:val="007B7F66"/>
    <w:rsid w:val="007C02B2"/>
    <w:rsid w:val="007C0931"/>
    <w:rsid w:val="007C0D5E"/>
    <w:rsid w:val="007C0E9E"/>
    <w:rsid w:val="007C1671"/>
    <w:rsid w:val="007C19D5"/>
    <w:rsid w:val="007C25EA"/>
    <w:rsid w:val="007C2D6A"/>
    <w:rsid w:val="007C3698"/>
    <w:rsid w:val="007C3BA3"/>
    <w:rsid w:val="007C4BD9"/>
    <w:rsid w:val="007C512E"/>
    <w:rsid w:val="007C54A4"/>
    <w:rsid w:val="007C5918"/>
    <w:rsid w:val="007C5ACA"/>
    <w:rsid w:val="007C5C14"/>
    <w:rsid w:val="007C5E34"/>
    <w:rsid w:val="007C5F46"/>
    <w:rsid w:val="007C65C2"/>
    <w:rsid w:val="007C65DA"/>
    <w:rsid w:val="007C66FE"/>
    <w:rsid w:val="007C6A51"/>
    <w:rsid w:val="007C6C79"/>
    <w:rsid w:val="007C77BC"/>
    <w:rsid w:val="007C7DFC"/>
    <w:rsid w:val="007D08A0"/>
    <w:rsid w:val="007D096A"/>
    <w:rsid w:val="007D1B24"/>
    <w:rsid w:val="007D2021"/>
    <w:rsid w:val="007D22B3"/>
    <w:rsid w:val="007D2660"/>
    <w:rsid w:val="007D2B41"/>
    <w:rsid w:val="007D3F68"/>
    <w:rsid w:val="007D4055"/>
    <w:rsid w:val="007D4CEE"/>
    <w:rsid w:val="007D4E7F"/>
    <w:rsid w:val="007D5A28"/>
    <w:rsid w:val="007D6B00"/>
    <w:rsid w:val="007D7361"/>
    <w:rsid w:val="007D7A7D"/>
    <w:rsid w:val="007D7DA4"/>
    <w:rsid w:val="007D7FE7"/>
    <w:rsid w:val="007E02A4"/>
    <w:rsid w:val="007E0BED"/>
    <w:rsid w:val="007E1020"/>
    <w:rsid w:val="007E1225"/>
    <w:rsid w:val="007E20D5"/>
    <w:rsid w:val="007E21F2"/>
    <w:rsid w:val="007E23DE"/>
    <w:rsid w:val="007E261A"/>
    <w:rsid w:val="007E2BDE"/>
    <w:rsid w:val="007E30DD"/>
    <w:rsid w:val="007E32C8"/>
    <w:rsid w:val="007E3A19"/>
    <w:rsid w:val="007E3B87"/>
    <w:rsid w:val="007E414E"/>
    <w:rsid w:val="007E44E2"/>
    <w:rsid w:val="007E47C1"/>
    <w:rsid w:val="007E4D50"/>
    <w:rsid w:val="007E518E"/>
    <w:rsid w:val="007E5DD9"/>
    <w:rsid w:val="007E5ED3"/>
    <w:rsid w:val="007E5F0F"/>
    <w:rsid w:val="007E642D"/>
    <w:rsid w:val="007E64CF"/>
    <w:rsid w:val="007E6C37"/>
    <w:rsid w:val="007E7032"/>
    <w:rsid w:val="007E7852"/>
    <w:rsid w:val="007E7D90"/>
    <w:rsid w:val="007F0378"/>
    <w:rsid w:val="007F0D78"/>
    <w:rsid w:val="007F0EE1"/>
    <w:rsid w:val="007F1884"/>
    <w:rsid w:val="007F1D6D"/>
    <w:rsid w:val="007F1F68"/>
    <w:rsid w:val="007F2349"/>
    <w:rsid w:val="007F2535"/>
    <w:rsid w:val="007F2C17"/>
    <w:rsid w:val="007F339F"/>
    <w:rsid w:val="007F403B"/>
    <w:rsid w:val="007F4F3B"/>
    <w:rsid w:val="007F51A6"/>
    <w:rsid w:val="007F51C6"/>
    <w:rsid w:val="007F52F1"/>
    <w:rsid w:val="007F54CF"/>
    <w:rsid w:val="007F59FB"/>
    <w:rsid w:val="007F5E79"/>
    <w:rsid w:val="007F6D67"/>
    <w:rsid w:val="007F6D8D"/>
    <w:rsid w:val="007F6EF8"/>
    <w:rsid w:val="007F7A2B"/>
    <w:rsid w:val="0080009F"/>
    <w:rsid w:val="008004D3"/>
    <w:rsid w:val="008005E3"/>
    <w:rsid w:val="00800A4D"/>
    <w:rsid w:val="00800AC0"/>
    <w:rsid w:val="00801093"/>
    <w:rsid w:val="008010F2"/>
    <w:rsid w:val="00801126"/>
    <w:rsid w:val="00801EC9"/>
    <w:rsid w:val="0080267B"/>
    <w:rsid w:val="008029C6"/>
    <w:rsid w:val="00802D17"/>
    <w:rsid w:val="00802D1A"/>
    <w:rsid w:val="00803510"/>
    <w:rsid w:val="008040C8"/>
    <w:rsid w:val="008040E7"/>
    <w:rsid w:val="00804228"/>
    <w:rsid w:val="008048D0"/>
    <w:rsid w:val="008057E1"/>
    <w:rsid w:val="00805E88"/>
    <w:rsid w:val="008060B6"/>
    <w:rsid w:val="0080623A"/>
    <w:rsid w:val="00806BDD"/>
    <w:rsid w:val="00807426"/>
    <w:rsid w:val="00807D55"/>
    <w:rsid w:val="00807FDC"/>
    <w:rsid w:val="00810081"/>
    <w:rsid w:val="00810C39"/>
    <w:rsid w:val="00810EC3"/>
    <w:rsid w:val="00810EE4"/>
    <w:rsid w:val="008110B3"/>
    <w:rsid w:val="00811139"/>
    <w:rsid w:val="00811475"/>
    <w:rsid w:val="00811AE7"/>
    <w:rsid w:val="00811BAA"/>
    <w:rsid w:val="00811DA9"/>
    <w:rsid w:val="00812EE8"/>
    <w:rsid w:val="00812F97"/>
    <w:rsid w:val="00813167"/>
    <w:rsid w:val="008134A0"/>
    <w:rsid w:val="00813902"/>
    <w:rsid w:val="00813999"/>
    <w:rsid w:val="00813BF0"/>
    <w:rsid w:val="008140DF"/>
    <w:rsid w:val="008147F7"/>
    <w:rsid w:val="0081493B"/>
    <w:rsid w:val="00814B0C"/>
    <w:rsid w:val="0081553B"/>
    <w:rsid w:val="0081614D"/>
    <w:rsid w:val="00816C3F"/>
    <w:rsid w:val="00816FD4"/>
    <w:rsid w:val="00817502"/>
    <w:rsid w:val="00817A1B"/>
    <w:rsid w:val="00820162"/>
    <w:rsid w:val="008204A3"/>
    <w:rsid w:val="0082092A"/>
    <w:rsid w:val="00820F6A"/>
    <w:rsid w:val="00822329"/>
    <w:rsid w:val="00822877"/>
    <w:rsid w:val="00822FD2"/>
    <w:rsid w:val="00823356"/>
    <w:rsid w:val="00823B4F"/>
    <w:rsid w:val="00823B7B"/>
    <w:rsid w:val="0082433B"/>
    <w:rsid w:val="00824656"/>
    <w:rsid w:val="00824AE9"/>
    <w:rsid w:val="00824D08"/>
    <w:rsid w:val="00825256"/>
    <w:rsid w:val="008261E1"/>
    <w:rsid w:val="008263F4"/>
    <w:rsid w:val="00826693"/>
    <w:rsid w:val="00827AC0"/>
    <w:rsid w:val="00827ACE"/>
    <w:rsid w:val="00827DAB"/>
    <w:rsid w:val="008300FF"/>
    <w:rsid w:val="008301F5"/>
    <w:rsid w:val="00830429"/>
    <w:rsid w:val="00832623"/>
    <w:rsid w:val="00833623"/>
    <w:rsid w:val="00833B56"/>
    <w:rsid w:val="00833D6F"/>
    <w:rsid w:val="00835083"/>
    <w:rsid w:val="00835392"/>
    <w:rsid w:val="008355BE"/>
    <w:rsid w:val="00835BEF"/>
    <w:rsid w:val="00836ECA"/>
    <w:rsid w:val="00837884"/>
    <w:rsid w:val="00837F2B"/>
    <w:rsid w:val="008401E5"/>
    <w:rsid w:val="008405E6"/>
    <w:rsid w:val="00840662"/>
    <w:rsid w:val="00840742"/>
    <w:rsid w:val="008409B3"/>
    <w:rsid w:val="00840B1B"/>
    <w:rsid w:val="00840F0B"/>
    <w:rsid w:val="008416DF"/>
    <w:rsid w:val="00841BED"/>
    <w:rsid w:val="00841D0E"/>
    <w:rsid w:val="00842653"/>
    <w:rsid w:val="00842890"/>
    <w:rsid w:val="008428B3"/>
    <w:rsid w:val="00843677"/>
    <w:rsid w:val="00843C83"/>
    <w:rsid w:val="00843FC8"/>
    <w:rsid w:val="00844CA6"/>
    <w:rsid w:val="00845A9E"/>
    <w:rsid w:val="0084682E"/>
    <w:rsid w:val="00846FDA"/>
    <w:rsid w:val="008479B9"/>
    <w:rsid w:val="00850045"/>
    <w:rsid w:val="008500E7"/>
    <w:rsid w:val="0085041A"/>
    <w:rsid w:val="00850911"/>
    <w:rsid w:val="00850BB6"/>
    <w:rsid w:val="00850EE5"/>
    <w:rsid w:val="008517F7"/>
    <w:rsid w:val="00852BF9"/>
    <w:rsid w:val="00852F70"/>
    <w:rsid w:val="008530BF"/>
    <w:rsid w:val="0085345A"/>
    <w:rsid w:val="0085453A"/>
    <w:rsid w:val="00854A1B"/>
    <w:rsid w:val="00854D27"/>
    <w:rsid w:val="008554BE"/>
    <w:rsid w:val="00855CFE"/>
    <w:rsid w:val="00856078"/>
    <w:rsid w:val="00856221"/>
    <w:rsid w:val="0085638E"/>
    <w:rsid w:val="00856BEB"/>
    <w:rsid w:val="00856C81"/>
    <w:rsid w:val="00856FD4"/>
    <w:rsid w:val="0085745C"/>
    <w:rsid w:val="00857873"/>
    <w:rsid w:val="008613D9"/>
    <w:rsid w:val="00861703"/>
    <w:rsid w:val="0086180E"/>
    <w:rsid w:val="0086247D"/>
    <w:rsid w:val="008624FA"/>
    <w:rsid w:val="008627A9"/>
    <w:rsid w:val="00863A06"/>
    <w:rsid w:val="00863B45"/>
    <w:rsid w:val="00863B92"/>
    <w:rsid w:val="008640B3"/>
    <w:rsid w:val="008648F2"/>
    <w:rsid w:val="00864D3B"/>
    <w:rsid w:val="0086560A"/>
    <w:rsid w:val="00866881"/>
    <w:rsid w:val="00867016"/>
    <w:rsid w:val="0086725D"/>
    <w:rsid w:val="00870135"/>
    <w:rsid w:val="00870B52"/>
    <w:rsid w:val="00871747"/>
    <w:rsid w:val="00872247"/>
    <w:rsid w:val="00872585"/>
    <w:rsid w:val="00872AA9"/>
    <w:rsid w:val="00872BD5"/>
    <w:rsid w:val="00872E2F"/>
    <w:rsid w:val="00873026"/>
    <w:rsid w:val="00873C64"/>
    <w:rsid w:val="00874541"/>
    <w:rsid w:val="00874738"/>
    <w:rsid w:val="008748CB"/>
    <w:rsid w:val="00875546"/>
    <w:rsid w:val="0087557E"/>
    <w:rsid w:val="00875714"/>
    <w:rsid w:val="0087660A"/>
    <w:rsid w:val="008766BE"/>
    <w:rsid w:val="00876A54"/>
    <w:rsid w:val="0087759B"/>
    <w:rsid w:val="00877D06"/>
    <w:rsid w:val="0088002C"/>
    <w:rsid w:val="0088027A"/>
    <w:rsid w:val="00880330"/>
    <w:rsid w:val="008808E6"/>
    <w:rsid w:val="00880F97"/>
    <w:rsid w:val="008814BD"/>
    <w:rsid w:val="0088152F"/>
    <w:rsid w:val="00881A25"/>
    <w:rsid w:val="00882967"/>
    <w:rsid w:val="00882C3C"/>
    <w:rsid w:val="00882C67"/>
    <w:rsid w:val="008834E7"/>
    <w:rsid w:val="0088363B"/>
    <w:rsid w:val="00884473"/>
    <w:rsid w:val="00884E1F"/>
    <w:rsid w:val="00885FC1"/>
    <w:rsid w:val="008873DB"/>
    <w:rsid w:val="008875DE"/>
    <w:rsid w:val="00887BC2"/>
    <w:rsid w:val="00887BF7"/>
    <w:rsid w:val="008905D5"/>
    <w:rsid w:val="00890E78"/>
    <w:rsid w:val="008914EF"/>
    <w:rsid w:val="00891514"/>
    <w:rsid w:val="00892099"/>
    <w:rsid w:val="008927EA"/>
    <w:rsid w:val="00892F93"/>
    <w:rsid w:val="00893281"/>
    <w:rsid w:val="00893431"/>
    <w:rsid w:val="0089533B"/>
    <w:rsid w:val="00895A84"/>
    <w:rsid w:val="00895BA1"/>
    <w:rsid w:val="008964A7"/>
    <w:rsid w:val="008964D2"/>
    <w:rsid w:val="00896855"/>
    <w:rsid w:val="00896A7D"/>
    <w:rsid w:val="008A00D8"/>
    <w:rsid w:val="008A02FD"/>
    <w:rsid w:val="008A0467"/>
    <w:rsid w:val="008A0E29"/>
    <w:rsid w:val="008A0FA7"/>
    <w:rsid w:val="008A15E3"/>
    <w:rsid w:val="008A20C8"/>
    <w:rsid w:val="008A258B"/>
    <w:rsid w:val="008A2B99"/>
    <w:rsid w:val="008A3C2A"/>
    <w:rsid w:val="008A4385"/>
    <w:rsid w:val="008A442E"/>
    <w:rsid w:val="008A4472"/>
    <w:rsid w:val="008A4992"/>
    <w:rsid w:val="008A507C"/>
    <w:rsid w:val="008A5941"/>
    <w:rsid w:val="008A5EED"/>
    <w:rsid w:val="008A64E4"/>
    <w:rsid w:val="008A6614"/>
    <w:rsid w:val="008A67E1"/>
    <w:rsid w:val="008A7676"/>
    <w:rsid w:val="008A7AD3"/>
    <w:rsid w:val="008A7EF7"/>
    <w:rsid w:val="008B07BA"/>
    <w:rsid w:val="008B0B08"/>
    <w:rsid w:val="008B0CA5"/>
    <w:rsid w:val="008B129B"/>
    <w:rsid w:val="008B3005"/>
    <w:rsid w:val="008B3686"/>
    <w:rsid w:val="008B3F2E"/>
    <w:rsid w:val="008B44C1"/>
    <w:rsid w:val="008B4CFD"/>
    <w:rsid w:val="008B5BA4"/>
    <w:rsid w:val="008B5BE9"/>
    <w:rsid w:val="008B6068"/>
    <w:rsid w:val="008B6AF6"/>
    <w:rsid w:val="008B6F21"/>
    <w:rsid w:val="008B7E0F"/>
    <w:rsid w:val="008C0D80"/>
    <w:rsid w:val="008C0E34"/>
    <w:rsid w:val="008C0EBD"/>
    <w:rsid w:val="008C142D"/>
    <w:rsid w:val="008C2384"/>
    <w:rsid w:val="008C2603"/>
    <w:rsid w:val="008C346E"/>
    <w:rsid w:val="008C39FA"/>
    <w:rsid w:val="008C4AA8"/>
    <w:rsid w:val="008C4FA8"/>
    <w:rsid w:val="008C50E3"/>
    <w:rsid w:val="008C519D"/>
    <w:rsid w:val="008C51DA"/>
    <w:rsid w:val="008C5978"/>
    <w:rsid w:val="008C6080"/>
    <w:rsid w:val="008C6745"/>
    <w:rsid w:val="008C690D"/>
    <w:rsid w:val="008C6C92"/>
    <w:rsid w:val="008C7371"/>
    <w:rsid w:val="008C78C5"/>
    <w:rsid w:val="008C7EAE"/>
    <w:rsid w:val="008C7ECC"/>
    <w:rsid w:val="008D0427"/>
    <w:rsid w:val="008D0C50"/>
    <w:rsid w:val="008D0D25"/>
    <w:rsid w:val="008D183E"/>
    <w:rsid w:val="008D26EA"/>
    <w:rsid w:val="008D2877"/>
    <w:rsid w:val="008D2EBD"/>
    <w:rsid w:val="008D3219"/>
    <w:rsid w:val="008D3B8D"/>
    <w:rsid w:val="008D4B8E"/>
    <w:rsid w:val="008D4B93"/>
    <w:rsid w:val="008D50F5"/>
    <w:rsid w:val="008D651F"/>
    <w:rsid w:val="008D654A"/>
    <w:rsid w:val="008D6FEC"/>
    <w:rsid w:val="008D7F3C"/>
    <w:rsid w:val="008E0581"/>
    <w:rsid w:val="008E06AC"/>
    <w:rsid w:val="008E09B0"/>
    <w:rsid w:val="008E09B2"/>
    <w:rsid w:val="008E183D"/>
    <w:rsid w:val="008E18D3"/>
    <w:rsid w:val="008E1F4C"/>
    <w:rsid w:val="008E2355"/>
    <w:rsid w:val="008E2B4A"/>
    <w:rsid w:val="008E35DE"/>
    <w:rsid w:val="008E3EDB"/>
    <w:rsid w:val="008E4A79"/>
    <w:rsid w:val="008E4B59"/>
    <w:rsid w:val="008E530C"/>
    <w:rsid w:val="008E532A"/>
    <w:rsid w:val="008E5654"/>
    <w:rsid w:val="008E5C2C"/>
    <w:rsid w:val="008E6255"/>
    <w:rsid w:val="008E662F"/>
    <w:rsid w:val="008E6760"/>
    <w:rsid w:val="008E72FC"/>
    <w:rsid w:val="008F005E"/>
    <w:rsid w:val="008F0935"/>
    <w:rsid w:val="008F0AFB"/>
    <w:rsid w:val="008F0BFB"/>
    <w:rsid w:val="008F0D70"/>
    <w:rsid w:val="008F1E40"/>
    <w:rsid w:val="008F2B60"/>
    <w:rsid w:val="008F2FCE"/>
    <w:rsid w:val="008F38A2"/>
    <w:rsid w:val="008F42EB"/>
    <w:rsid w:val="008F463A"/>
    <w:rsid w:val="008F4ECB"/>
    <w:rsid w:val="008F548F"/>
    <w:rsid w:val="008F5788"/>
    <w:rsid w:val="008F69AD"/>
    <w:rsid w:val="008F700B"/>
    <w:rsid w:val="008F7427"/>
    <w:rsid w:val="008F765D"/>
    <w:rsid w:val="008F7EF3"/>
    <w:rsid w:val="00900ECB"/>
    <w:rsid w:val="00901606"/>
    <w:rsid w:val="0090197B"/>
    <w:rsid w:val="00901C0F"/>
    <w:rsid w:val="00902040"/>
    <w:rsid w:val="00902692"/>
    <w:rsid w:val="009037F9"/>
    <w:rsid w:val="0090392B"/>
    <w:rsid w:val="009039EE"/>
    <w:rsid w:val="00903B16"/>
    <w:rsid w:val="0090577F"/>
    <w:rsid w:val="00905C47"/>
    <w:rsid w:val="00906186"/>
    <w:rsid w:val="009061FD"/>
    <w:rsid w:val="00906294"/>
    <w:rsid w:val="009063E5"/>
    <w:rsid w:val="00906766"/>
    <w:rsid w:val="00907398"/>
    <w:rsid w:val="00910001"/>
    <w:rsid w:val="00910241"/>
    <w:rsid w:val="00910B00"/>
    <w:rsid w:val="00910EC0"/>
    <w:rsid w:val="009119C2"/>
    <w:rsid w:val="009125A7"/>
    <w:rsid w:val="009128C8"/>
    <w:rsid w:val="00912E6B"/>
    <w:rsid w:val="00913247"/>
    <w:rsid w:val="00914A98"/>
    <w:rsid w:val="00914F4A"/>
    <w:rsid w:val="00914FFF"/>
    <w:rsid w:val="009151FD"/>
    <w:rsid w:val="009158F3"/>
    <w:rsid w:val="00916F47"/>
    <w:rsid w:val="00920F1E"/>
    <w:rsid w:val="0092116B"/>
    <w:rsid w:val="00921203"/>
    <w:rsid w:val="00921320"/>
    <w:rsid w:val="00921D04"/>
    <w:rsid w:val="00922114"/>
    <w:rsid w:val="00922439"/>
    <w:rsid w:val="00922554"/>
    <w:rsid w:val="00922A92"/>
    <w:rsid w:val="00922D82"/>
    <w:rsid w:val="009231A5"/>
    <w:rsid w:val="0092337F"/>
    <w:rsid w:val="009233BB"/>
    <w:rsid w:val="009234B8"/>
    <w:rsid w:val="00923D4E"/>
    <w:rsid w:val="00923E7D"/>
    <w:rsid w:val="009245AB"/>
    <w:rsid w:val="009246BD"/>
    <w:rsid w:val="00925D79"/>
    <w:rsid w:val="009267EA"/>
    <w:rsid w:val="00926AFB"/>
    <w:rsid w:val="00927741"/>
    <w:rsid w:val="00927D3E"/>
    <w:rsid w:val="00927E78"/>
    <w:rsid w:val="00930281"/>
    <w:rsid w:val="0093029F"/>
    <w:rsid w:val="009304E5"/>
    <w:rsid w:val="009314D5"/>
    <w:rsid w:val="0093269F"/>
    <w:rsid w:val="0093349D"/>
    <w:rsid w:val="0093367F"/>
    <w:rsid w:val="00933A30"/>
    <w:rsid w:val="00933B3C"/>
    <w:rsid w:val="00933E66"/>
    <w:rsid w:val="00934DE7"/>
    <w:rsid w:val="00934F2A"/>
    <w:rsid w:val="00934F74"/>
    <w:rsid w:val="009351FA"/>
    <w:rsid w:val="0093524A"/>
    <w:rsid w:val="00935461"/>
    <w:rsid w:val="009355B4"/>
    <w:rsid w:val="00935878"/>
    <w:rsid w:val="00935C08"/>
    <w:rsid w:val="00936054"/>
    <w:rsid w:val="0093617F"/>
    <w:rsid w:val="00937FFD"/>
    <w:rsid w:val="00940B92"/>
    <w:rsid w:val="00940FFB"/>
    <w:rsid w:val="00941AF9"/>
    <w:rsid w:val="0094259F"/>
    <w:rsid w:val="00942611"/>
    <w:rsid w:val="00942771"/>
    <w:rsid w:val="009434DE"/>
    <w:rsid w:val="00943A7B"/>
    <w:rsid w:val="00944BCA"/>
    <w:rsid w:val="0094528A"/>
    <w:rsid w:val="00945AD5"/>
    <w:rsid w:val="00946276"/>
    <w:rsid w:val="00946315"/>
    <w:rsid w:val="00946D00"/>
    <w:rsid w:val="00947324"/>
    <w:rsid w:val="009474D0"/>
    <w:rsid w:val="009477EA"/>
    <w:rsid w:val="0095089E"/>
    <w:rsid w:val="00950D5C"/>
    <w:rsid w:val="009515B8"/>
    <w:rsid w:val="009519A7"/>
    <w:rsid w:val="009519BF"/>
    <w:rsid w:val="00951FE3"/>
    <w:rsid w:val="0095329F"/>
    <w:rsid w:val="00953717"/>
    <w:rsid w:val="0095460B"/>
    <w:rsid w:val="009546F7"/>
    <w:rsid w:val="00955A2F"/>
    <w:rsid w:val="00955EF1"/>
    <w:rsid w:val="00956177"/>
    <w:rsid w:val="00957AA6"/>
    <w:rsid w:val="00957ED8"/>
    <w:rsid w:val="00960B8D"/>
    <w:rsid w:val="00961144"/>
    <w:rsid w:val="00961160"/>
    <w:rsid w:val="00961919"/>
    <w:rsid w:val="00961F4E"/>
    <w:rsid w:val="00961F5C"/>
    <w:rsid w:val="00961FB3"/>
    <w:rsid w:val="0096202A"/>
    <w:rsid w:val="0096246A"/>
    <w:rsid w:val="0096314F"/>
    <w:rsid w:val="00963713"/>
    <w:rsid w:val="0096398F"/>
    <w:rsid w:val="00963DFF"/>
    <w:rsid w:val="0096419C"/>
    <w:rsid w:val="009643CE"/>
    <w:rsid w:val="00964897"/>
    <w:rsid w:val="00964CBC"/>
    <w:rsid w:val="00964D39"/>
    <w:rsid w:val="009650C9"/>
    <w:rsid w:val="009652ED"/>
    <w:rsid w:val="00965718"/>
    <w:rsid w:val="009657E7"/>
    <w:rsid w:val="00966079"/>
    <w:rsid w:val="00966AAD"/>
    <w:rsid w:val="00966D46"/>
    <w:rsid w:val="00967AE4"/>
    <w:rsid w:val="00967B14"/>
    <w:rsid w:val="00970731"/>
    <w:rsid w:val="0097241C"/>
    <w:rsid w:val="00973457"/>
    <w:rsid w:val="009734C0"/>
    <w:rsid w:val="00973D94"/>
    <w:rsid w:val="00974484"/>
    <w:rsid w:val="00975973"/>
    <w:rsid w:val="00975F30"/>
    <w:rsid w:val="00976319"/>
    <w:rsid w:val="0097644A"/>
    <w:rsid w:val="00976878"/>
    <w:rsid w:val="00976C8A"/>
    <w:rsid w:val="009803DD"/>
    <w:rsid w:val="00980D10"/>
    <w:rsid w:val="00980DBF"/>
    <w:rsid w:val="00981307"/>
    <w:rsid w:val="009817C7"/>
    <w:rsid w:val="00981C20"/>
    <w:rsid w:val="00981CCF"/>
    <w:rsid w:val="00981F1C"/>
    <w:rsid w:val="009820E7"/>
    <w:rsid w:val="009825F1"/>
    <w:rsid w:val="009832A3"/>
    <w:rsid w:val="00983C77"/>
    <w:rsid w:val="00983C93"/>
    <w:rsid w:val="0098517B"/>
    <w:rsid w:val="009851C0"/>
    <w:rsid w:val="00985279"/>
    <w:rsid w:val="009858AF"/>
    <w:rsid w:val="00985971"/>
    <w:rsid w:val="009863D2"/>
    <w:rsid w:val="00986417"/>
    <w:rsid w:val="009866AF"/>
    <w:rsid w:val="00986A4D"/>
    <w:rsid w:val="00986C7A"/>
    <w:rsid w:val="009874DC"/>
    <w:rsid w:val="00987C33"/>
    <w:rsid w:val="00987D6A"/>
    <w:rsid w:val="00990641"/>
    <w:rsid w:val="00990E33"/>
    <w:rsid w:val="00990E68"/>
    <w:rsid w:val="00991A57"/>
    <w:rsid w:val="00991B8B"/>
    <w:rsid w:val="0099219E"/>
    <w:rsid w:val="0099220A"/>
    <w:rsid w:val="00992428"/>
    <w:rsid w:val="0099249F"/>
    <w:rsid w:val="00992F32"/>
    <w:rsid w:val="009934DF"/>
    <w:rsid w:val="00993706"/>
    <w:rsid w:val="009940F0"/>
    <w:rsid w:val="0099553A"/>
    <w:rsid w:val="009955CD"/>
    <w:rsid w:val="00995DDC"/>
    <w:rsid w:val="00996675"/>
    <w:rsid w:val="00996709"/>
    <w:rsid w:val="0099685D"/>
    <w:rsid w:val="00996A46"/>
    <w:rsid w:val="00996D39"/>
    <w:rsid w:val="00997CF1"/>
    <w:rsid w:val="00997DD3"/>
    <w:rsid w:val="009A124E"/>
    <w:rsid w:val="009A1538"/>
    <w:rsid w:val="009A445D"/>
    <w:rsid w:val="009A46A5"/>
    <w:rsid w:val="009A49EB"/>
    <w:rsid w:val="009A4A6E"/>
    <w:rsid w:val="009A4EBE"/>
    <w:rsid w:val="009A4ECD"/>
    <w:rsid w:val="009A6AC4"/>
    <w:rsid w:val="009A6B1B"/>
    <w:rsid w:val="009A73DC"/>
    <w:rsid w:val="009A745E"/>
    <w:rsid w:val="009A7D1D"/>
    <w:rsid w:val="009A7F6A"/>
    <w:rsid w:val="009B028F"/>
    <w:rsid w:val="009B03C9"/>
    <w:rsid w:val="009B17D0"/>
    <w:rsid w:val="009B1BC9"/>
    <w:rsid w:val="009B249D"/>
    <w:rsid w:val="009B2583"/>
    <w:rsid w:val="009B2A40"/>
    <w:rsid w:val="009B2D88"/>
    <w:rsid w:val="009B3D93"/>
    <w:rsid w:val="009B3F3B"/>
    <w:rsid w:val="009B3FFD"/>
    <w:rsid w:val="009B492E"/>
    <w:rsid w:val="009B4EF7"/>
    <w:rsid w:val="009B52A5"/>
    <w:rsid w:val="009B52CD"/>
    <w:rsid w:val="009B6109"/>
    <w:rsid w:val="009B6455"/>
    <w:rsid w:val="009B7A55"/>
    <w:rsid w:val="009C0727"/>
    <w:rsid w:val="009C0D53"/>
    <w:rsid w:val="009C1114"/>
    <w:rsid w:val="009C13B3"/>
    <w:rsid w:val="009C15E4"/>
    <w:rsid w:val="009C1D0C"/>
    <w:rsid w:val="009C1EFA"/>
    <w:rsid w:val="009C27B6"/>
    <w:rsid w:val="009C3B3C"/>
    <w:rsid w:val="009C3DFA"/>
    <w:rsid w:val="009C3E99"/>
    <w:rsid w:val="009C3F37"/>
    <w:rsid w:val="009C5195"/>
    <w:rsid w:val="009C67A4"/>
    <w:rsid w:val="009C6FDE"/>
    <w:rsid w:val="009D0329"/>
    <w:rsid w:val="009D0AB3"/>
    <w:rsid w:val="009D111D"/>
    <w:rsid w:val="009D1350"/>
    <w:rsid w:val="009D1593"/>
    <w:rsid w:val="009D1F8A"/>
    <w:rsid w:val="009D217B"/>
    <w:rsid w:val="009D2B6D"/>
    <w:rsid w:val="009D2D3C"/>
    <w:rsid w:val="009D348D"/>
    <w:rsid w:val="009D3C50"/>
    <w:rsid w:val="009D3F53"/>
    <w:rsid w:val="009D4935"/>
    <w:rsid w:val="009D4A93"/>
    <w:rsid w:val="009D5207"/>
    <w:rsid w:val="009D5D77"/>
    <w:rsid w:val="009D6407"/>
    <w:rsid w:val="009D6547"/>
    <w:rsid w:val="009D66E9"/>
    <w:rsid w:val="009D7032"/>
    <w:rsid w:val="009D7411"/>
    <w:rsid w:val="009D7597"/>
    <w:rsid w:val="009D7B3B"/>
    <w:rsid w:val="009E04B1"/>
    <w:rsid w:val="009E0609"/>
    <w:rsid w:val="009E106F"/>
    <w:rsid w:val="009E10A7"/>
    <w:rsid w:val="009E1925"/>
    <w:rsid w:val="009E1E90"/>
    <w:rsid w:val="009E227B"/>
    <w:rsid w:val="009E23FB"/>
    <w:rsid w:val="009E252F"/>
    <w:rsid w:val="009E2BF2"/>
    <w:rsid w:val="009E343A"/>
    <w:rsid w:val="009E3565"/>
    <w:rsid w:val="009E39C4"/>
    <w:rsid w:val="009E444F"/>
    <w:rsid w:val="009E4750"/>
    <w:rsid w:val="009E4AAC"/>
    <w:rsid w:val="009E4E1B"/>
    <w:rsid w:val="009E4EB5"/>
    <w:rsid w:val="009E5001"/>
    <w:rsid w:val="009E584A"/>
    <w:rsid w:val="009E5B4B"/>
    <w:rsid w:val="009E5B99"/>
    <w:rsid w:val="009E615B"/>
    <w:rsid w:val="009E649F"/>
    <w:rsid w:val="009E680A"/>
    <w:rsid w:val="009E68BF"/>
    <w:rsid w:val="009E75DD"/>
    <w:rsid w:val="009E7621"/>
    <w:rsid w:val="009E77C6"/>
    <w:rsid w:val="009E7ADA"/>
    <w:rsid w:val="009E7E16"/>
    <w:rsid w:val="009E7EFF"/>
    <w:rsid w:val="009F0072"/>
    <w:rsid w:val="009F01DB"/>
    <w:rsid w:val="009F08DB"/>
    <w:rsid w:val="009F0C16"/>
    <w:rsid w:val="009F1C15"/>
    <w:rsid w:val="009F1F69"/>
    <w:rsid w:val="009F267C"/>
    <w:rsid w:val="009F2891"/>
    <w:rsid w:val="009F34FA"/>
    <w:rsid w:val="009F3BE0"/>
    <w:rsid w:val="009F3EC6"/>
    <w:rsid w:val="009F4255"/>
    <w:rsid w:val="009F4274"/>
    <w:rsid w:val="009F450D"/>
    <w:rsid w:val="009F4AF9"/>
    <w:rsid w:val="009F50F6"/>
    <w:rsid w:val="009F5157"/>
    <w:rsid w:val="009F52CF"/>
    <w:rsid w:val="009F56A8"/>
    <w:rsid w:val="009F5A54"/>
    <w:rsid w:val="009F5FC0"/>
    <w:rsid w:val="009F6003"/>
    <w:rsid w:val="009F6DB7"/>
    <w:rsid w:val="009F7202"/>
    <w:rsid w:val="009F7C58"/>
    <w:rsid w:val="009F7F77"/>
    <w:rsid w:val="00A00C06"/>
    <w:rsid w:val="00A0163E"/>
    <w:rsid w:val="00A020FC"/>
    <w:rsid w:val="00A02451"/>
    <w:rsid w:val="00A02663"/>
    <w:rsid w:val="00A026BF"/>
    <w:rsid w:val="00A033F0"/>
    <w:rsid w:val="00A034E6"/>
    <w:rsid w:val="00A03F90"/>
    <w:rsid w:val="00A05A4F"/>
    <w:rsid w:val="00A05AF5"/>
    <w:rsid w:val="00A05B9B"/>
    <w:rsid w:val="00A05E10"/>
    <w:rsid w:val="00A05E27"/>
    <w:rsid w:val="00A05E43"/>
    <w:rsid w:val="00A05F16"/>
    <w:rsid w:val="00A06070"/>
    <w:rsid w:val="00A0655E"/>
    <w:rsid w:val="00A06B99"/>
    <w:rsid w:val="00A06BE5"/>
    <w:rsid w:val="00A07618"/>
    <w:rsid w:val="00A07A59"/>
    <w:rsid w:val="00A07FB9"/>
    <w:rsid w:val="00A1005E"/>
    <w:rsid w:val="00A10099"/>
    <w:rsid w:val="00A100B5"/>
    <w:rsid w:val="00A100C0"/>
    <w:rsid w:val="00A104DF"/>
    <w:rsid w:val="00A10558"/>
    <w:rsid w:val="00A108BE"/>
    <w:rsid w:val="00A10913"/>
    <w:rsid w:val="00A109EC"/>
    <w:rsid w:val="00A10B75"/>
    <w:rsid w:val="00A10F1E"/>
    <w:rsid w:val="00A115A9"/>
    <w:rsid w:val="00A11699"/>
    <w:rsid w:val="00A117C5"/>
    <w:rsid w:val="00A11B98"/>
    <w:rsid w:val="00A1377C"/>
    <w:rsid w:val="00A1421C"/>
    <w:rsid w:val="00A14B1E"/>
    <w:rsid w:val="00A15B02"/>
    <w:rsid w:val="00A15CE1"/>
    <w:rsid w:val="00A15FB4"/>
    <w:rsid w:val="00A16260"/>
    <w:rsid w:val="00A16EF0"/>
    <w:rsid w:val="00A17318"/>
    <w:rsid w:val="00A1739F"/>
    <w:rsid w:val="00A1761E"/>
    <w:rsid w:val="00A17668"/>
    <w:rsid w:val="00A176CF"/>
    <w:rsid w:val="00A1781B"/>
    <w:rsid w:val="00A17AF2"/>
    <w:rsid w:val="00A17E40"/>
    <w:rsid w:val="00A202E1"/>
    <w:rsid w:val="00A20466"/>
    <w:rsid w:val="00A20C5B"/>
    <w:rsid w:val="00A211D4"/>
    <w:rsid w:val="00A214E1"/>
    <w:rsid w:val="00A21801"/>
    <w:rsid w:val="00A23274"/>
    <w:rsid w:val="00A243B4"/>
    <w:rsid w:val="00A247CD"/>
    <w:rsid w:val="00A24D38"/>
    <w:rsid w:val="00A25915"/>
    <w:rsid w:val="00A259B1"/>
    <w:rsid w:val="00A26550"/>
    <w:rsid w:val="00A265FB"/>
    <w:rsid w:val="00A2675F"/>
    <w:rsid w:val="00A269EE"/>
    <w:rsid w:val="00A279DB"/>
    <w:rsid w:val="00A27A05"/>
    <w:rsid w:val="00A27B2A"/>
    <w:rsid w:val="00A30DA7"/>
    <w:rsid w:val="00A31EE8"/>
    <w:rsid w:val="00A32D9C"/>
    <w:rsid w:val="00A33444"/>
    <w:rsid w:val="00A33A41"/>
    <w:rsid w:val="00A33BB0"/>
    <w:rsid w:val="00A33FEF"/>
    <w:rsid w:val="00A35248"/>
    <w:rsid w:val="00A352F6"/>
    <w:rsid w:val="00A35A78"/>
    <w:rsid w:val="00A35B3A"/>
    <w:rsid w:val="00A36DEC"/>
    <w:rsid w:val="00A37265"/>
    <w:rsid w:val="00A3770E"/>
    <w:rsid w:val="00A37BC0"/>
    <w:rsid w:val="00A37DF7"/>
    <w:rsid w:val="00A40590"/>
    <w:rsid w:val="00A40A79"/>
    <w:rsid w:val="00A40DD4"/>
    <w:rsid w:val="00A42009"/>
    <w:rsid w:val="00A42048"/>
    <w:rsid w:val="00A422A1"/>
    <w:rsid w:val="00A4235B"/>
    <w:rsid w:val="00A424C2"/>
    <w:rsid w:val="00A42C22"/>
    <w:rsid w:val="00A4393B"/>
    <w:rsid w:val="00A43FF2"/>
    <w:rsid w:val="00A44640"/>
    <w:rsid w:val="00A4539E"/>
    <w:rsid w:val="00A45589"/>
    <w:rsid w:val="00A45631"/>
    <w:rsid w:val="00A46726"/>
    <w:rsid w:val="00A472B4"/>
    <w:rsid w:val="00A476BB"/>
    <w:rsid w:val="00A479BF"/>
    <w:rsid w:val="00A47F5D"/>
    <w:rsid w:val="00A50B8D"/>
    <w:rsid w:val="00A50D2F"/>
    <w:rsid w:val="00A5239D"/>
    <w:rsid w:val="00A528C1"/>
    <w:rsid w:val="00A52A46"/>
    <w:rsid w:val="00A52AA9"/>
    <w:rsid w:val="00A52AF0"/>
    <w:rsid w:val="00A53330"/>
    <w:rsid w:val="00A53398"/>
    <w:rsid w:val="00A53693"/>
    <w:rsid w:val="00A53739"/>
    <w:rsid w:val="00A540A5"/>
    <w:rsid w:val="00A5443C"/>
    <w:rsid w:val="00A54470"/>
    <w:rsid w:val="00A54C09"/>
    <w:rsid w:val="00A54FA0"/>
    <w:rsid w:val="00A55384"/>
    <w:rsid w:val="00A55BEB"/>
    <w:rsid w:val="00A56286"/>
    <w:rsid w:val="00A568B6"/>
    <w:rsid w:val="00A56F6C"/>
    <w:rsid w:val="00A5708F"/>
    <w:rsid w:val="00A571B0"/>
    <w:rsid w:val="00A575DD"/>
    <w:rsid w:val="00A606D5"/>
    <w:rsid w:val="00A607DA"/>
    <w:rsid w:val="00A614E0"/>
    <w:rsid w:val="00A629DB"/>
    <w:rsid w:val="00A62AD6"/>
    <w:rsid w:val="00A635DA"/>
    <w:rsid w:val="00A63AD7"/>
    <w:rsid w:val="00A63B1D"/>
    <w:rsid w:val="00A63E47"/>
    <w:rsid w:val="00A644E0"/>
    <w:rsid w:val="00A64A14"/>
    <w:rsid w:val="00A65F4F"/>
    <w:rsid w:val="00A679E0"/>
    <w:rsid w:val="00A67ABE"/>
    <w:rsid w:val="00A7056C"/>
    <w:rsid w:val="00A70839"/>
    <w:rsid w:val="00A70BF3"/>
    <w:rsid w:val="00A712C7"/>
    <w:rsid w:val="00A71471"/>
    <w:rsid w:val="00A726F7"/>
    <w:rsid w:val="00A7282C"/>
    <w:rsid w:val="00A72A3E"/>
    <w:rsid w:val="00A72EBD"/>
    <w:rsid w:val="00A7361D"/>
    <w:rsid w:val="00A73AAE"/>
    <w:rsid w:val="00A73F0C"/>
    <w:rsid w:val="00A747CE"/>
    <w:rsid w:val="00A75147"/>
    <w:rsid w:val="00A75575"/>
    <w:rsid w:val="00A75831"/>
    <w:rsid w:val="00A76191"/>
    <w:rsid w:val="00A76626"/>
    <w:rsid w:val="00A76B2C"/>
    <w:rsid w:val="00A77008"/>
    <w:rsid w:val="00A7729C"/>
    <w:rsid w:val="00A77A80"/>
    <w:rsid w:val="00A77CAD"/>
    <w:rsid w:val="00A80611"/>
    <w:rsid w:val="00A80D47"/>
    <w:rsid w:val="00A80E43"/>
    <w:rsid w:val="00A817EB"/>
    <w:rsid w:val="00A81BC4"/>
    <w:rsid w:val="00A81D35"/>
    <w:rsid w:val="00A81D8E"/>
    <w:rsid w:val="00A81E08"/>
    <w:rsid w:val="00A8203F"/>
    <w:rsid w:val="00A8271A"/>
    <w:rsid w:val="00A8374F"/>
    <w:rsid w:val="00A83C37"/>
    <w:rsid w:val="00A84065"/>
    <w:rsid w:val="00A84522"/>
    <w:rsid w:val="00A845F4"/>
    <w:rsid w:val="00A84864"/>
    <w:rsid w:val="00A84A1A"/>
    <w:rsid w:val="00A8527E"/>
    <w:rsid w:val="00A85326"/>
    <w:rsid w:val="00A8594E"/>
    <w:rsid w:val="00A85B6A"/>
    <w:rsid w:val="00A85DA8"/>
    <w:rsid w:val="00A873DE"/>
    <w:rsid w:val="00A87E55"/>
    <w:rsid w:val="00A90A9C"/>
    <w:rsid w:val="00A90D39"/>
    <w:rsid w:val="00A91132"/>
    <w:rsid w:val="00A914A1"/>
    <w:rsid w:val="00A915F6"/>
    <w:rsid w:val="00A92277"/>
    <w:rsid w:val="00A92697"/>
    <w:rsid w:val="00A9377B"/>
    <w:rsid w:val="00A94360"/>
    <w:rsid w:val="00A94535"/>
    <w:rsid w:val="00A94E77"/>
    <w:rsid w:val="00A94FB2"/>
    <w:rsid w:val="00A952B4"/>
    <w:rsid w:val="00A96700"/>
    <w:rsid w:val="00A968F7"/>
    <w:rsid w:val="00A96B21"/>
    <w:rsid w:val="00A96E43"/>
    <w:rsid w:val="00A974C3"/>
    <w:rsid w:val="00A9795A"/>
    <w:rsid w:val="00A97C14"/>
    <w:rsid w:val="00A97D57"/>
    <w:rsid w:val="00AA0619"/>
    <w:rsid w:val="00AA0784"/>
    <w:rsid w:val="00AA0D01"/>
    <w:rsid w:val="00AA14C6"/>
    <w:rsid w:val="00AA1605"/>
    <w:rsid w:val="00AA1D92"/>
    <w:rsid w:val="00AA3079"/>
    <w:rsid w:val="00AA3525"/>
    <w:rsid w:val="00AA35A5"/>
    <w:rsid w:val="00AA387F"/>
    <w:rsid w:val="00AA4288"/>
    <w:rsid w:val="00AA492B"/>
    <w:rsid w:val="00AA49E7"/>
    <w:rsid w:val="00AA59A0"/>
    <w:rsid w:val="00AA5CB3"/>
    <w:rsid w:val="00AA5D5D"/>
    <w:rsid w:val="00AA5F2B"/>
    <w:rsid w:val="00AA5FCA"/>
    <w:rsid w:val="00AA6067"/>
    <w:rsid w:val="00AA66C2"/>
    <w:rsid w:val="00AA7B95"/>
    <w:rsid w:val="00AA7C72"/>
    <w:rsid w:val="00AA7EC8"/>
    <w:rsid w:val="00AB0069"/>
    <w:rsid w:val="00AB014C"/>
    <w:rsid w:val="00AB01AD"/>
    <w:rsid w:val="00AB03A4"/>
    <w:rsid w:val="00AB1332"/>
    <w:rsid w:val="00AB1406"/>
    <w:rsid w:val="00AB177E"/>
    <w:rsid w:val="00AB1B3E"/>
    <w:rsid w:val="00AB1EB0"/>
    <w:rsid w:val="00AB1FFB"/>
    <w:rsid w:val="00AB2454"/>
    <w:rsid w:val="00AB24E2"/>
    <w:rsid w:val="00AB2A63"/>
    <w:rsid w:val="00AB2A96"/>
    <w:rsid w:val="00AB2D82"/>
    <w:rsid w:val="00AB3055"/>
    <w:rsid w:val="00AB358B"/>
    <w:rsid w:val="00AB3D6C"/>
    <w:rsid w:val="00AB42C8"/>
    <w:rsid w:val="00AB476B"/>
    <w:rsid w:val="00AB4895"/>
    <w:rsid w:val="00AB49C0"/>
    <w:rsid w:val="00AB4F8E"/>
    <w:rsid w:val="00AB569D"/>
    <w:rsid w:val="00AB5EEC"/>
    <w:rsid w:val="00AB6B94"/>
    <w:rsid w:val="00AB759F"/>
    <w:rsid w:val="00AB7967"/>
    <w:rsid w:val="00AB7AE4"/>
    <w:rsid w:val="00AB7C14"/>
    <w:rsid w:val="00AC0013"/>
    <w:rsid w:val="00AC03CF"/>
    <w:rsid w:val="00AC08B5"/>
    <w:rsid w:val="00AC1531"/>
    <w:rsid w:val="00AC2857"/>
    <w:rsid w:val="00AC2F7B"/>
    <w:rsid w:val="00AC3431"/>
    <w:rsid w:val="00AC3651"/>
    <w:rsid w:val="00AC4470"/>
    <w:rsid w:val="00AC482D"/>
    <w:rsid w:val="00AC50D8"/>
    <w:rsid w:val="00AC54AC"/>
    <w:rsid w:val="00AC6177"/>
    <w:rsid w:val="00AC6E09"/>
    <w:rsid w:val="00AC704A"/>
    <w:rsid w:val="00AC7060"/>
    <w:rsid w:val="00AC75DC"/>
    <w:rsid w:val="00AC79F7"/>
    <w:rsid w:val="00AC7DDE"/>
    <w:rsid w:val="00AD00B0"/>
    <w:rsid w:val="00AD0223"/>
    <w:rsid w:val="00AD097E"/>
    <w:rsid w:val="00AD0FAA"/>
    <w:rsid w:val="00AD206A"/>
    <w:rsid w:val="00AD24DA"/>
    <w:rsid w:val="00AD263F"/>
    <w:rsid w:val="00AD2AA1"/>
    <w:rsid w:val="00AD2B2E"/>
    <w:rsid w:val="00AD33A7"/>
    <w:rsid w:val="00AD3423"/>
    <w:rsid w:val="00AD3725"/>
    <w:rsid w:val="00AD3BEA"/>
    <w:rsid w:val="00AD4023"/>
    <w:rsid w:val="00AD441E"/>
    <w:rsid w:val="00AD4C0F"/>
    <w:rsid w:val="00AD4CF0"/>
    <w:rsid w:val="00AD4EB5"/>
    <w:rsid w:val="00AD51F7"/>
    <w:rsid w:val="00AD5614"/>
    <w:rsid w:val="00AD5BC1"/>
    <w:rsid w:val="00AD5FAD"/>
    <w:rsid w:val="00AD644D"/>
    <w:rsid w:val="00AD694B"/>
    <w:rsid w:val="00AD69E8"/>
    <w:rsid w:val="00AD6A71"/>
    <w:rsid w:val="00AD707A"/>
    <w:rsid w:val="00AD7752"/>
    <w:rsid w:val="00AD77F2"/>
    <w:rsid w:val="00AD78B4"/>
    <w:rsid w:val="00AD7B11"/>
    <w:rsid w:val="00AD7E12"/>
    <w:rsid w:val="00AE0535"/>
    <w:rsid w:val="00AE0E54"/>
    <w:rsid w:val="00AE1178"/>
    <w:rsid w:val="00AE196C"/>
    <w:rsid w:val="00AE1A08"/>
    <w:rsid w:val="00AE1A95"/>
    <w:rsid w:val="00AE1BD5"/>
    <w:rsid w:val="00AE1E49"/>
    <w:rsid w:val="00AE20BE"/>
    <w:rsid w:val="00AE28B7"/>
    <w:rsid w:val="00AE348B"/>
    <w:rsid w:val="00AE3870"/>
    <w:rsid w:val="00AE3C98"/>
    <w:rsid w:val="00AE4938"/>
    <w:rsid w:val="00AE4C99"/>
    <w:rsid w:val="00AE5682"/>
    <w:rsid w:val="00AE590B"/>
    <w:rsid w:val="00AE6286"/>
    <w:rsid w:val="00AE65ED"/>
    <w:rsid w:val="00AE6ED5"/>
    <w:rsid w:val="00AE6F9D"/>
    <w:rsid w:val="00AE6FAD"/>
    <w:rsid w:val="00AE709D"/>
    <w:rsid w:val="00AE7797"/>
    <w:rsid w:val="00AE787D"/>
    <w:rsid w:val="00AE7CD6"/>
    <w:rsid w:val="00AF0E1F"/>
    <w:rsid w:val="00AF1638"/>
    <w:rsid w:val="00AF165A"/>
    <w:rsid w:val="00AF175C"/>
    <w:rsid w:val="00AF2688"/>
    <w:rsid w:val="00AF27C7"/>
    <w:rsid w:val="00AF28AC"/>
    <w:rsid w:val="00AF290A"/>
    <w:rsid w:val="00AF2A39"/>
    <w:rsid w:val="00AF31B4"/>
    <w:rsid w:val="00AF3B7A"/>
    <w:rsid w:val="00AF3BDB"/>
    <w:rsid w:val="00AF4DA8"/>
    <w:rsid w:val="00AF55C9"/>
    <w:rsid w:val="00AF5A2B"/>
    <w:rsid w:val="00AF5BCC"/>
    <w:rsid w:val="00AF6972"/>
    <w:rsid w:val="00AF707B"/>
    <w:rsid w:val="00AF74AB"/>
    <w:rsid w:val="00AF76F1"/>
    <w:rsid w:val="00AF771B"/>
    <w:rsid w:val="00AF79C1"/>
    <w:rsid w:val="00B00DB1"/>
    <w:rsid w:val="00B01052"/>
    <w:rsid w:val="00B01D45"/>
    <w:rsid w:val="00B0220B"/>
    <w:rsid w:val="00B023A8"/>
    <w:rsid w:val="00B02A28"/>
    <w:rsid w:val="00B03399"/>
    <w:rsid w:val="00B03737"/>
    <w:rsid w:val="00B03BB9"/>
    <w:rsid w:val="00B040DA"/>
    <w:rsid w:val="00B04350"/>
    <w:rsid w:val="00B04633"/>
    <w:rsid w:val="00B04D2A"/>
    <w:rsid w:val="00B06819"/>
    <w:rsid w:val="00B074B2"/>
    <w:rsid w:val="00B074C3"/>
    <w:rsid w:val="00B10953"/>
    <w:rsid w:val="00B10994"/>
    <w:rsid w:val="00B109A9"/>
    <w:rsid w:val="00B109F9"/>
    <w:rsid w:val="00B10C05"/>
    <w:rsid w:val="00B112CC"/>
    <w:rsid w:val="00B1262E"/>
    <w:rsid w:val="00B130B5"/>
    <w:rsid w:val="00B13336"/>
    <w:rsid w:val="00B14308"/>
    <w:rsid w:val="00B14740"/>
    <w:rsid w:val="00B14C4E"/>
    <w:rsid w:val="00B14F19"/>
    <w:rsid w:val="00B153D1"/>
    <w:rsid w:val="00B15572"/>
    <w:rsid w:val="00B155B0"/>
    <w:rsid w:val="00B16111"/>
    <w:rsid w:val="00B16375"/>
    <w:rsid w:val="00B1663F"/>
    <w:rsid w:val="00B1790C"/>
    <w:rsid w:val="00B17F26"/>
    <w:rsid w:val="00B200D2"/>
    <w:rsid w:val="00B20A9F"/>
    <w:rsid w:val="00B21044"/>
    <w:rsid w:val="00B210FD"/>
    <w:rsid w:val="00B22258"/>
    <w:rsid w:val="00B229AD"/>
    <w:rsid w:val="00B22CFC"/>
    <w:rsid w:val="00B22D6C"/>
    <w:rsid w:val="00B22D95"/>
    <w:rsid w:val="00B23138"/>
    <w:rsid w:val="00B245B5"/>
    <w:rsid w:val="00B24FF1"/>
    <w:rsid w:val="00B25654"/>
    <w:rsid w:val="00B276A5"/>
    <w:rsid w:val="00B27E1C"/>
    <w:rsid w:val="00B30614"/>
    <w:rsid w:val="00B30DB4"/>
    <w:rsid w:val="00B31174"/>
    <w:rsid w:val="00B311D6"/>
    <w:rsid w:val="00B31F68"/>
    <w:rsid w:val="00B32A22"/>
    <w:rsid w:val="00B32AF2"/>
    <w:rsid w:val="00B32CBB"/>
    <w:rsid w:val="00B33003"/>
    <w:rsid w:val="00B339C2"/>
    <w:rsid w:val="00B33C17"/>
    <w:rsid w:val="00B35543"/>
    <w:rsid w:val="00B355B3"/>
    <w:rsid w:val="00B35BB2"/>
    <w:rsid w:val="00B36214"/>
    <w:rsid w:val="00B3651F"/>
    <w:rsid w:val="00B36895"/>
    <w:rsid w:val="00B36961"/>
    <w:rsid w:val="00B36EA9"/>
    <w:rsid w:val="00B3705D"/>
    <w:rsid w:val="00B375BC"/>
    <w:rsid w:val="00B37A81"/>
    <w:rsid w:val="00B4034E"/>
    <w:rsid w:val="00B40A77"/>
    <w:rsid w:val="00B41BF6"/>
    <w:rsid w:val="00B43588"/>
    <w:rsid w:val="00B4511C"/>
    <w:rsid w:val="00B45153"/>
    <w:rsid w:val="00B455BF"/>
    <w:rsid w:val="00B46256"/>
    <w:rsid w:val="00B46A7B"/>
    <w:rsid w:val="00B47289"/>
    <w:rsid w:val="00B472E5"/>
    <w:rsid w:val="00B47A15"/>
    <w:rsid w:val="00B47A84"/>
    <w:rsid w:val="00B47AAD"/>
    <w:rsid w:val="00B50346"/>
    <w:rsid w:val="00B50B4B"/>
    <w:rsid w:val="00B50C83"/>
    <w:rsid w:val="00B51D4C"/>
    <w:rsid w:val="00B520AF"/>
    <w:rsid w:val="00B52301"/>
    <w:rsid w:val="00B5253A"/>
    <w:rsid w:val="00B52C44"/>
    <w:rsid w:val="00B52D55"/>
    <w:rsid w:val="00B5429A"/>
    <w:rsid w:val="00B5499D"/>
    <w:rsid w:val="00B5559B"/>
    <w:rsid w:val="00B55C33"/>
    <w:rsid w:val="00B55DCD"/>
    <w:rsid w:val="00B56155"/>
    <w:rsid w:val="00B5683D"/>
    <w:rsid w:val="00B569EB"/>
    <w:rsid w:val="00B56C8A"/>
    <w:rsid w:val="00B56F8E"/>
    <w:rsid w:val="00B57137"/>
    <w:rsid w:val="00B571A0"/>
    <w:rsid w:val="00B57BFB"/>
    <w:rsid w:val="00B57E0A"/>
    <w:rsid w:val="00B57EE8"/>
    <w:rsid w:val="00B57FB5"/>
    <w:rsid w:val="00B602F9"/>
    <w:rsid w:val="00B60858"/>
    <w:rsid w:val="00B60C9E"/>
    <w:rsid w:val="00B60E2D"/>
    <w:rsid w:val="00B60F11"/>
    <w:rsid w:val="00B60F60"/>
    <w:rsid w:val="00B61319"/>
    <w:rsid w:val="00B6151F"/>
    <w:rsid w:val="00B6180C"/>
    <w:rsid w:val="00B619A8"/>
    <w:rsid w:val="00B621CD"/>
    <w:rsid w:val="00B6289C"/>
    <w:rsid w:val="00B62E8A"/>
    <w:rsid w:val="00B633EC"/>
    <w:rsid w:val="00B63BF6"/>
    <w:rsid w:val="00B64479"/>
    <w:rsid w:val="00B652FC"/>
    <w:rsid w:val="00B65524"/>
    <w:rsid w:val="00B65F58"/>
    <w:rsid w:val="00B6633D"/>
    <w:rsid w:val="00B66849"/>
    <w:rsid w:val="00B66E91"/>
    <w:rsid w:val="00B670CA"/>
    <w:rsid w:val="00B67AF0"/>
    <w:rsid w:val="00B67C84"/>
    <w:rsid w:val="00B67FE3"/>
    <w:rsid w:val="00B7061B"/>
    <w:rsid w:val="00B70AB7"/>
    <w:rsid w:val="00B70B11"/>
    <w:rsid w:val="00B71215"/>
    <w:rsid w:val="00B717AC"/>
    <w:rsid w:val="00B71E26"/>
    <w:rsid w:val="00B7200D"/>
    <w:rsid w:val="00B7264D"/>
    <w:rsid w:val="00B7298E"/>
    <w:rsid w:val="00B72C01"/>
    <w:rsid w:val="00B72DAE"/>
    <w:rsid w:val="00B74954"/>
    <w:rsid w:val="00B74A59"/>
    <w:rsid w:val="00B74F13"/>
    <w:rsid w:val="00B752F1"/>
    <w:rsid w:val="00B758CA"/>
    <w:rsid w:val="00B76169"/>
    <w:rsid w:val="00B763CA"/>
    <w:rsid w:val="00B7656B"/>
    <w:rsid w:val="00B76B7A"/>
    <w:rsid w:val="00B774DD"/>
    <w:rsid w:val="00B775E9"/>
    <w:rsid w:val="00B77E4A"/>
    <w:rsid w:val="00B801A5"/>
    <w:rsid w:val="00B806D3"/>
    <w:rsid w:val="00B80A8C"/>
    <w:rsid w:val="00B80D04"/>
    <w:rsid w:val="00B810E4"/>
    <w:rsid w:val="00B8190D"/>
    <w:rsid w:val="00B81A38"/>
    <w:rsid w:val="00B8277C"/>
    <w:rsid w:val="00B838CA"/>
    <w:rsid w:val="00B8415E"/>
    <w:rsid w:val="00B841A1"/>
    <w:rsid w:val="00B84A97"/>
    <w:rsid w:val="00B84B63"/>
    <w:rsid w:val="00B850E7"/>
    <w:rsid w:val="00B85374"/>
    <w:rsid w:val="00B85932"/>
    <w:rsid w:val="00B85A7B"/>
    <w:rsid w:val="00B85B50"/>
    <w:rsid w:val="00B85C4C"/>
    <w:rsid w:val="00B85DF5"/>
    <w:rsid w:val="00B86156"/>
    <w:rsid w:val="00B86216"/>
    <w:rsid w:val="00B86951"/>
    <w:rsid w:val="00B86CED"/>
    <w:rsid w:val="00B871CB"/>
    <w:rsid w:val="00B874C8"/>
    <w:rsid w:val="00B878E5"/>
    <w:rsid w:val="00B90820"/>
    <w:rsid w:val="00B91324"/>
    <w:rsid w:val="00B91B82"/>
    <w:rsid w:val="00B92077"/>
    <w:rsid w:val="00B922B7"/>
    <w:rsid w:val="00B92E08"/>
    <w:rsid w:val="00B93F19"/>
    <w:rsid w:val="00B94033"/>
    <w:rsid w:val="00B9486B"/>
    <w:rsid w:val="00B949D9"/>
    <w:rsid w:val="00B94F79"/>
    <w:rsid w:val="00B953BF"/>
    <w:rsid w:val="00B95A7F"/>
    <w:rsid w:val="00B9628B"/>
    <w:rsid w:val="00B963AD"/>
    <w:rsid w:val="00B96438"/>
    <w:rsid w:val="00B9665D"/>
    <w:rsid w:val="00B9710A"/>
    <w:rsid w:val="00B971D0"/>
    <w:rsid w:val="00B97B90"/>
    <w:rsid w:val="00BA06DA"/>
    <w:rsid w:val="00BA0C74"/>
    <w:rsid w:val="00BA12F4"/>
    <w:rsid w:val="00BA1998"/>
    <w:rsid w:val="00BA1C4A"/>
    <w:rsid w:val="00BA2421"/>
    <w:rsid w:val="00BA290F"/>
    <w:rsid w:val="00BA2A39"/>
    <w:rsid w:val="00BA32BF"/>
    <w:rsid w:val="00BA38BB"/>
    <w:rsid w:val="00BA3D6B"/>
    <w:rsid w:val="00BA4BF5"/>
    <w:rsid w:val="00BA54F7"/>
    <w:rsid w:val="00BA5E0A"/>
    <w:rsid w:val="00BA616C"/>
    <w:rsid w:val="00BA6442"/>
    <w:rsid w:val="00BA73ED"/>
    <w:rsid w:val="00BA75DC"/>
    <w:rsid w:val="00BA7CFA"/>
    <w:rsid w:val="00BB0340"/>
    <w:rsid w:val="00BB03D6"/>
    <w:rsid w:val="00BB0AFD"/>
    <w:rsid w:val="00BB10C0"/>
    <w:rsid w:val="00BB1B31"/>
    <w:rsid w:val="00BB2E60"/>
    <w:rsid w:val="00BB3169"/>
    <w:rsid w:val="00BB3259"/>
    <w:rsid w:val="00BB3A22"/>
    <w:rsid w:val="00BB3DD8"/>
    <w:rsid w:val="00BB42E2"/>
    <w:rsid w:val="00BB4CA7"/>
    <w:rsid w:val="00BB5675"/>
    <w:rsid w:val="00BB62BD"/>
    <w:rsid w:val="00BB6527"/>
    <w:rsid w:val="00BB6A0E"/>
    <w:rsid w:val="00BB6E73"/>
    <w:rsid w:val="00BB74F7"/>
    <w:rsid w:val="00BC033F"/>
    <w:rsid w:val="00BC05CC"/>
    <w:rsid w:val="00BC0A1F"/>
    <w:rsid w:val="00BC0F10"/>
    <w:rsid w:val="00BC1378"/>
    <w:rsid w:val="00BC1EC8"/>
    <w:rsid w:val="00BC2039"/>
    <w:rsid w:val="00BC257F"/>
    <w:rsid w:val="00BC260E"/>
    <w:rsid w:val="00BC2873"/>
    <w:rsid w:val="00BC2DA6"/>
    <w:rsid w:val="00BC2F31"/>
    <w:rsid w:val="00BC3044"/>
    <w:rsid w:val="00BC359D"/>
    <w:rsid w:val="00BC3CA0"/>
    <w:rsid w:val="00BC3EF1"/>
    <w:rsid w:val="00BC462E"/>
    <w:rsid w:val="00BC4BC8"/>
    <w:rsid w:val="00BC4D1D"/>
    <w:rsid w:val="00BC533D"/>
    <w:rsid w:val="00BC54E9"/>
    <w:rsid w:val="00BC5947"/>
    <w:rsid w:val="00BC5AD7"/>
    <w:rsid w:val="00BC6040"/>
    <w:rsid w:val="00BC622A"/>
    <w:rsid w:val="00BC642A"/>
    <w:rsid w:val="00BC6E27"/>
    <w:rsid w:val="00BC7120"/>
    <w:rsid w:val="00BC7294"/>
    <w:rsid w:val="00BC732D"/>
    <w:rsid w:val="00BC7575"/>
    <w:rsid w:val="00BD01AB"/>
    <w:rsid w:val="00BD0371"/>
    <w:rsid w:val="00BD0EF9"/>
    <w:rsid w:val="00BD1FD7"/>
    <w:rsid w:val="00BD21BF"/>
    <w:rsid w:val="00BD2486"/>
    <w:rsid w:val="00BD26BF"/>
    <w:rsid w:val="00BD2772"/>
    <w:rsid w:val="00BD2E36"/>
    <w:rsid w:val="00BD3420"/>
    <w:rsid w:val="00BD350A"/>
    <w:rsid w:val="00BD3E0C"/>
    <w:rsid w:val="00BD4199"/>
    <w:rsid w:val="00BD5432"/>
    <w:rsid w:val="00BD5D84"/>
    <w:rsid w:val="00BD696A"/>
    <w:rsid w:val="00BD6AF0"/>
    <w:rsid w:val="00BD7745"/>
    <w:rsid w:val="00BD78A4"/>
    <w:rsid w:val="00BD7A5E"/>
    <w:rsid w:val="00BD7D80"/>
    <w:rsid w:val="00BE017E"/>
    <w:rsid w:val="00BE06A6"/>
    <w:rsid w:val="00BE0CA8"/>
    <w:rsid w:val="00BE0EAA"/>
    <w:rsid w:val="00BE0FA7"/>
    <w:rsid w:val="00BE2D8B"/>
    <w:rsid w:val="00BE30BD"/>
    <w:rsid w:val="00BE39C1"/>
    <w:rsid w:val="00BE3BDF"/>
    <w:rsid w:val="00BE3E9D"/>
    <w:rsid w:val="00BE432C"/>
    <w:rsid w:val="00BE4791"/>
    <w:rsid w:val="00BE485F"/>
    <w:rsid w:val="00BE4891"/>
    <w:rsid w:val="00BE4A06"/>
    <w:rsid w:val="00BE5195"/>
    <w:rsid w:val="00BE5D33"/>
    <w:rsid w:val="00BE644B"/>
    <w:rsid w:val="00BE66FB"/>
    <w:rsid w:val="00BE715D"/>
    <w:rsid w:val="00BE74C9"/>
    <w:rsid w:val="00BE7663"/>
    <w:rsid w:val="00BE7CFA"/>
    <w:rsid w:val="00BF02AA"/>
    <w:rsid w:val="00BF02C7"/>
    <w:rsid w:val="00BF0E65"/>
    <w:rsid w:val="00BF0F0A"/>
    <w:rsid w:val="00BF1184"/>
    <w:rsid w:val="00BF172F"/>
    <w:rsid w:val="00BF1901"/>
    <w:rsid w:val="00BF19E6"/>
    <w:rsid w:val="00BF1D0E"/>
    <w:rsid w:val="00BF1E0E"/>
    <w:rsid w:val="00BF2C5F"/>
    <w:rsid w:val="00BF2CF7"/>
    <w:rsid w:val="00BF2EE5"/>
    <w:rsid w:val="00BF312A"/>
    <w:rsid w:val="00BF378C"/>
    <w:rsid w:val="00BF4956"/>
    <w:rsid w:val="00BF4A68"/>
    <w:rsid w:val="00BF4BB8"/>
    <w:rsid w:val="00BF5251"/>
    <w:rsid w:val="00BF60B0"/>
    <w:rsid w:val="00BF611A"/>
    <w:rsid w:val="00BF63FF"/>
    <w:rsid w:val="00BF6480"/>
    <w:rsid w:val="00BF682A"/>
    <w:rsid w:val="00BF6A65"/>
    <w:rsid w:val="00BF6C5C"/>
    <w:rsid w:val="00BF6F3C"/>
    <w:rsid w:val="00BF78EC"/>
    <w:rsid w:val="00BF794E"/>
    <w:rsid w:val="00C0062B"/>
    <w:rsid w:val="00C00D6F"/>
    <w:rsid w:val="00C0126E"/>
    <w:rsid w:val="00C0273C"/>
    <w:rsid w:val="00C030F6"/>
    <w:rsid w:val="00C03AAA"/>
    <w:rsid w:val="00C04183"/>
    <w:rsid w:val="00C05B19"/>
    <w:rsid w:val="00C05DE6"/>
    <w:rsid w:val="00C0630B"/>
    <w:rsid w:val="00C063B4"/>
    <w:rsid w:val="00C06D31"/>
    <w:rsid w:val="00C07ACC"/>
    <w:rsid w:val="00C105B0"/>
    <w:rsid w:val="00C105DF"/>
    <w:rsid w:val="00C10904"/>
    <w:rsid w:val="00C10F65"/>
    <w:rsid w:val="00C112DF"/>
    <w:rsid w:val="00C11749"/>
    <w:rsid w:val="00C1181D"/>
    <w:rsid w:val="00C1297F"/>
    <w:rsid w:val="00C12BAE"/>
    <w:rsid w:val="00C12D49"/>
    <w:rsid w:val="00C133F9"/>
    <w:rsid w:val="00C13701"/>
    <w:rsid w:val="00C13898"/>
    <w:rsid w:val="00C13CBC"/>
    <w:rsid w:val="00C14035"/>
    <w:rsid w:val="00C1445D"/>
    <w:rsid w:val="00C146E5"/>
    <w:rsid w:val="00C14BF7"/>
    <w:rsid w:val="00C14E02"/>
    <w:rsid w:val="00C14FD5"/>
    <w:rsid w:val="00C15342"/>
    <w:rsid w:val="00C15D54"/>
    <w:rsid w:val="00C16084"/>
    <w:rsid w:val="00C16446"/>
    <w:rsid w:val="00C17027"/>
    <w:rsid w:val="00C2012C"/>
    <w:rsid w:val="00C20855"/>
    <w:rsid w:val="00C216EE"/>
    <w:rsid w:val="00C2238D"/>
    <w:rsid w:val="00C22926"/>
    <w:rsid w:val="00C22B56"/>
    <w:rsid w:val="00C22E57"/>
    <w:rsid w:val="00C23031"/>
    <w:rsid w:val="00C2354A"/>
    <w:rsid w:val="00C235BE"/>
    <w:rsid w:val="00C239DB"/>
    <w:rsid w:val="00C23B05"/>
    <w:rsid w:val="00C2455D"/>
    <w:rsid w:val="00C24B82"/>
    <w:rsid w:val="00C24D43"/>
    <w:rsid w:val="00C25596"/>
    <w:rsid w:val="00C256C5"/>
    <w:rsid w:val="00C25CD5"/>
    <w:rsid w:val="00C25DC0"/>
    <w:rsid w:val="00C2628E"/>
    <w:rsid w:val="00C26293"/>
    <w:rsid w:val="00C26393"/>
    <w:rsid w:val="00C26886"/>
    <w:rsid w:val="00C3026A"/>
    <w:rsid w:val="00C30DEF"/>
    <w:rsid w:val="00C30FAD"/>
    <w:rsid w:val="00C31DFA"/>
    <w:rsid w:val="00C32332"/>
    <w:rsid w:val="00C326E3"/>
    <w:rsid w:val="00C338C3"/>
    <w:rsid w:val="00C3461D"/>
    <w:rsid w:val="00C349A4"/>
    <w:rsid w:val="00C34EC2"/>
    <w:rsid w:val="00C35A3A"/>
    <w:rsid w:val="00C35AD7"/>
    <w:rsid w:val="00C35FC1"/>
    <w:rsid w:val="00C369BC"/>
    <w:rsid w:val="00C36A08"/>
    <w:rsid w:val="00C36E0A"/>
    <w:rsid w:val="00C3781D"/>
    <w:rsid w:val="00C379EE"/>
    <w:rsid w:val="00C37CAE"/>
    <w:rsid w:val="00C40B76"/>
    <w:rsid w:val="00C40B94"/>
    <w:rsid w:val="00C40F7F"/>
    <w:rsid w:val="00C41B81"/>
    <w:rsid w:val="00C4242C"/>
    <w:rsid w:val="00C4261C"/>
    <w:rsid w:val="00C42945"/>
    <w:rsid w:val="00C4347C"/>
    <w:rsid w:val="00C441AB"/>
    <w:rsid w:val="00C44879"/>
    <w:rsid w:val="00C4553B"/>
    <w:rsid w:val="00C45A53"/>
    <w:rsid w:val="00C45D27"/>
    <w:rsid w:val="00C45D2D"/>
    <w:rsid w:val="00C46251"/>
    <w:rsid w:val="00C4627A"/>
    <w:rsid w:val="00C46592"/>
    <w:rsid w:val="00C466AF"/>
    <w:rsid w:val="00C467B9"/>
    <w:rsid w:val="00C46C06"/>
    <w:rsid w:val="00C47791"/>
    <w:rsid w:val="00C506F1"/>
    <w:rsid w:val="00C5147F"/>
    <w:rsid w:val="00C517E0"/>
    <w:rsid w:val="00C51BE6"/>
    <w:rsid w:val="00C51DAC"/>
    <w:rsid w:val="00C524D6"/>
    <w:rsid w:val="00C5277F"/>
    <w:rsid w:val="00C5279C"/>
    <w:rsid w:val="00C52F27"/>
    <w:rsid w:val="00C53754"/>
    <w:rsid w:val="00C537B4"/>
    <w:rsid w:val="00C53D62"/>
    <w:rsid w:val="00C53EFF"/>
    <w:rsid w:val="00C53F37"/>
    <w:rsid w:val="00C53F3F"/>
    <w:rsid w:val="00C54085"/>
    <w:rsid w:val="00C54134"/>
    <w:rsid w:val="00C5491B"/>
    <w:rsid w:val="00C551F2"/>
    <w:rsid w:val="00C55C4A"/>
    <w:rsid w:val="00C55DC1"/>
    <w:rsid w:val="00C566D8"/>
    <w:rsid w:val="00C5753F"/>
    <w:rsid w:val="00C577B3"/>
    <w:rsid w:val="00C57FC2"/>
    <w:rsid w:val="00C60998"/>
    <w:rsid w:val="00C60BC0"/>
    <w:rsid w:val="00C61761"/>
    <w:rsid w:val="00C617F9"/>
    <w:rsid w:val="00C61AC5"/>
    <w:rsid w:val="00C61EC8"/>
    <w:rsid w:val="00C61FCC"/>
    <w:rsid w:val="00C62168"/>
    <w:rsid w:val="00C62222"/>
    <w:rsid w:val="00C63586"/>
    <w:rsid w:val="00C64BD3"/>
    <w:rsid w:val="00C64CFD"/>
    <w:rsid w:val="00C64EA6"/>
    <w:rsid w:val="00C657A9"/>
    <w:rsid w:val="00C65944"/>
    <w:rsid w:val="00C65FEA"/>
    <w:rsid w:val="00C664D3"/>
    <w:rsid w:val="00C66533"/>
    <w:rsid w:val="00C666B0"/>
    <w:rsid w:val="00C6680C"/>
    <w:rsid w:val="00C66ACF"/>
    <w:rsid w:val="00C67090"/>
    <w:rsid w:val="00C67463"/>
    <w:rsid w:val="00C7019B"/>
    <w:rsid w:val="00C70667"/>
    <w:rsid w:val="00C70BCC"/>
    <w:rsid w:val="00C70DA3"/>
    <w:rsid w:val="00C710BC"/>
    <w:rsid w:val="00C71217"/>
    <w:rsid w:val="00C717F1"/>
    <w:rsid w:val="00C71BEA"/>
    <w:rsid w:val="00C721D2"/>
    <w:rsid w:val="00C72E07"/>
    <w:rsid w:val="00C72F20"/>
    <w:rsid w:val="00C73699"/>
    <w:rsid w:val="00C73D9E"/>
    <w:rsid w:val="00C74119"/>
    <w:rsid w:val="00C747A5"/>
    <w:rsid w:val="00C74C78"/>
    <w:rsid w:val="00C7548A"/>
    <w:rsid w:val="00C76A7A"/>
    <w:rsid w:val="00C76DFC"/>
    <w:rsid w:val="00C77009"/>
    <w:rsid w:val="00C77074"/>
    <w:rsid w:val="00C7713E"/>
    <w:rsid w:val="00C77F70"/>
    <w:rsid w:val="00C8013E"/>
    <w:rsid w:val="00C802C0"/>
    <w:rsid w:val="00C80BA0"/>
    <w:rsid w:val="00C80D80"/>
    <w:rsid w:val="00C8119B"/>
    <w:rsid w:val="00C8243C"/>
    <w:rsid w:val="00C82531"/>
    <w:rsid w:val="00C8255F"/>
    <w:rsid w:val="00C826FC"/>
    <w:rsid w:val="00C84634"/>
    <w:rsid w:val="00C84CD2"/>
    <w:rsid w:val="00C85948"/>
    <w:rsid w:val="00C859D1"/>
    <w:rsid w:val="00C85D26"/>
    <w:rsid w:val="00C86E12"/>
    <w:rsid w:val="00C87148"/>
    <w:rsid w:val="00C87308"/>
    <w:rsid w:val="00C878B3"/>
    <w:rsid w:val="00C90042"/>
    <w:rsid w:val="00C9062C"/>
    <w:rsid w:val="00C90669"/>
    <w:rsid w:val="00C9066A"/>
    <w:rsid w:val="00C909D3"/>
    <w:rsid w:val="00C90B50"/>
    <w:rsid w:val="00C91545"/>
    <w:rsid w:val="00C91864"/>
    <w:rsid w:val="00C919F1"/>
    <w:rsid w:val="00C925F4"/>
    <w:rsid w:val="00C93828"/>
    <w:rsid w:val="00C9388B"/>
    <w:rsid w:val="00C94125"/>
    <w:rsid w:val="00C94717"/>
    <w:rsid w:val="00C9589B"/>
    <w:rsid w:val="00C95C85"/>
    <w:rsid w:val="00C9618E"/>
    <w:rsid w:val="00C96367"/>
    <w:rsid w:val="00C96A4D"/>
    <w:rsid w:val="00C97BFE"/>
    <w:rsid w:val="00CA01D6"/>
    <w:rsid w:val="00CA1483"/>
    <w:rsid w:val="00CA1A6E"/>
    <w:rsid w:val="00CA1AE1"/>
    <w:rsid w:val="00CA1FFE"/>
    <w:rsid w:val="00CA23B3"/>
    <w:rsid w:val="00CA28CB"/>
    <w:rsid w:val="00CA2DED"/>
    <w:rsid w:val="00CA2F4E"/>
    <w:rsid w:val="00CA4106"/>
    <w:rsid w:val="00CA4287"/>
    <w:rsid w:val="00CA470F"/>
    <w:rsid w:val="00CA4A27"/>
    <w:rsid w:val="00CA54D6"/>
    <w:rsid w:val="00CA5F96"/>
    <w:rsid w:val="00CA60E2"/>
    <w:rsid w:val="00CA61BA"/>
    <w:rsid w:val="00CA638F"/>
    <w:rsid w:val="00CA6C29"/>
    <w:rsid w:val="00CA701B"/>
    <w:rsid w:val="00CA7161"/>
    <w:rsid w:val="00CA79C8"/>
    <w:rsid w:val="00CA7A6D"/>
    <w:rsid w:val="00CA7C21"/>
    <w:rsid w:val="00CA7C37"/>
    <w:rsid w:val="00CB0ADC"/>
    <w:rsid w:val="00CB0F83"/>
    <w:rsid w:val="00CB1059"/>
    <w:rsid w:val="00CB1299"/>
    <w:rsid w:val="00CB1C46"/>
    <w:rsid w:val="00CB1E3D"/>
    <w:rsid w:val="00CB2767"/>
    <w:rsid w:val="00CB36A1"/>
    <w:rsid w:val="00CB37CC"/>
    <w:rsid w:val="00CB3D15"/>
    <w:rsid w:val="00CB3FE4"/>
    <w:rsid w:val="00CB446F"/>
    <w:rsid w:val="00CB4ADE"/>
    <w:rsid w:val="00CB51FD"/>
    <w:rsid w:val="00CB554C"/>
    <w:rsid w:val="00CB5DA6"/>
    <w:rsid w:val="00CB62EC"/>
    <w:rsid w:val="00CB66C2"/>
    <w:rsid w:val="00CB76C9"/>
    <w:rsid w:val="00CB7CBF"/>
    <w:rsid w:val="00CC04F9"/>
    <w:rsid w:val="00CC0562"/>
    <w:rsid w:val="00CC0D6D"/>
    <w:rsid w:val="00CC0D70"/>
    <w:rsid w:val="00CC0DC5"/>
    <w:rsid w:val="00CC1268"/>
    <w:rsid w:val="00CC16CF"/>
    <w:rsid w:val="00CC16F7"/>
    <w:rsid w:val="00CC24E4"/>
    <w:rsid w:val="00CC259B"/>
    <w:rsid w:val="00CC275A"/>
    <w:rsid w:val="00CC340B"/>
    <w:rsid w:val="00CC3B9C"/>
    <w:rsid w:val="00CC45EA"/>
    <w:rsid w:val="00CC4B67"/>
    <w:rsid w:val="00CC5C11"/>
    <w:rsid w:val="00CC6688"/>
    <w:rsid w:val="00CC684F"/>
    <w:rsid w:val="00CC6D92"/>
    <w:rsid w:val="00CC7091"/>
    <w:rsid w:val="00CC7557"/>
    <w:rsid w:val="00CC7634"/>
    <w:rsid w:val="00CC7B72"/>
    <w:rsid w:val="00CD01FD"/>
    <w:rsid w:val="00CD04A6"/>
    <w:rsid w:val="00CD17C1"/>
    <w:rsid w:val="00CD1E54"/>
    <w:rsid w:val="00CD205C"/>
    <w:rsid w:val="00CD28CD"/>
    <w:rsid w:val="00CD31B3"/>
    <w:rsid w:val="00CD3878"/>
    <w:rsid w:val="00CD3E49"/>
    <w:rsid w:val="00CD4024"/>
    <w:rsid w:val="00CD4245"/>
    <w:rsid w:val="00CD481B"/>
    <w:rsid w:val="00CD51D0"/>
    <w:rsid w:val="00CD573B"/>
    <w:rsid w:val="00CD5806"/>
    <w:rsid w:val="00CD5B60"/>
    <w:rsid w:val="00CD5BC9"/>
    <w:rsid w:val="00CD62DE"/>
    <w:rsid w:val="00CD66EC"/>
    <w:rsid w:val="00CD67E6"/>
    <w:rsid w:val="00CD7570"/>
    <w:rsid w:val="00CD77A5"/>
    <w:rsid w:val="00CD7E11"/>
    <w:rsid w:val="00CE00BA"/>
    <w:rsid w:val="00CE04D3"/>
    <w:rsid w:val="00CE12D0"/>
    <w:rsid w:val="00CE13D9"/>
    <w:rsid w:val="00CE1E3D"/>
    <w:rsid w:val="00CE1E90"/>
    <w:rsid w:val="00CE2032"/>
    <w:rsid w:val="00CE266A"/>
    <w:rsid w:val="00CE2973"/>
    <w:rsid w:val="00CE3C84"/>
    <w:rsid w:val="00CE44F1"/>
    <w:rsid w:val="00CE4E30"/>
    <w:rsid w:val="00CE51E8"/>
    <w:rsid w:val="00CE51EF"/>
    <w:rsid w:val="00CE5684"/>
    <w:rsid w:val="00CE5A16"/>
    <w:rsid w:val="00CE62B6"/>
    <w:rsid w:val="00CE6693"/>
    <w:rsid w:val="00CE7460"/>
    <w:rsid w:val="00CE752E"/>
    <w:rsid w:val="00CE79D5"/>
    <w:rsid w:val="00CE7BBC"/>
    <w:rsid w:val="00CE7D80"/>
    <w:rsid w:val="00CF053C"/>
    <w:rsid w:val="00CF0F33"/>
    <w:rsid w:val="00CF10FB"/>
    <w:rsid w:val="00CF1647"/>
    <w:rsid w:val="00CF1E14"/>
    <w:rsid w:val="00CF22CB"/>
    <w:rsid w:val="00CF29A9"/>
    <w:rsid w:val="00CF3392"/>
    <w:rsid w:val="00CF442F"/>
    <w:rsid w:val="00CF51C5"/>
    <w:rsid w:val="00CF55E9"/>
    <w:rsid w:val="00CF5EE7"/>
    <w:rsid w:val="00CF5F9A"/>
    <w:rsid w:val="00CF61CA"/>
    <w:rsid w:val="00CF63F6"/>
    <w:rsid w:val="00CF6A56"/>
    <w:rsid w:val="00CF6DAF"/>
    <w:rsid w:val="00CF70AB"/>
    <w:rsid w:val="00D0022B"/>
    <w:rsid w:val="00D0051F"/>
    <w:rsid w:val="00D019BD"/>
    <w:rsid w:val="00D01A1A"/>
    <w:rsid w:val="00D02172"/>
    <w:rsid w:val="00D03E7D"/>
    <w:rsid w:val="00D045CB"/>
    <w:rsid w:val="00D059DD"/>
    <w:rsid w:val="00D05BE0"/>
    <w:rsid w:val="00D061A0"/>
    <w:rsid w:val="00D0633B"/>
    <w:rsid w:val="00D06565"/>
    <w:rsid w:val="00D06910"/>
    <w:rsid w:val="00D07823"/>
    <w:rsid w:val="00D07886"/>
    <w:rsid w:val="00D1145F"/>
    <w:rsid w:val="00D122D4"/>
    <w:rsid w:val="00D13594"/>
    <w:rsid w:val="00D1380B"/>
    <w:rsid w:val="00D13EF8"/>
    <w:rsid w:val="00D14340"/>
    <w:rsid w:val="00D15114"/>
    <w:rsid w:val="00D15693"/>
    <w:rsid w:val="00D156DE"/>
    <w:rsid w:val="00D157D9"/>
    <w:rsid w:val="00D163F5"/>
    <w:rsid w:val="00D168C4"/>
    <w:rsid w:val="00D16B95"/>
    <w:rsid w:val="00D16BFB"/>
    <w:rsid w:val="00D17F38"/>
    <w:rsid w:val="00D2010E"/>
    <w:rsid w:val="00D20740"/>
    <w:rsid w:val="00D20FE4"/>
    <w:rsid w:val="00D21705"/>
    <w:rsid w:val="00D2195D"/>
    <w:rsid w:val="00D21BED"/>
    <w:rsid w:val="00D21E07"/>
    <w:rsid w:val="00D21F5C"/>
    <w:rsid w:val="00D2253D"/>
    <w:rsid w:val="00D228EE"/>
    <w:rsid w:val="00D22CAB"/>
    <w:rsid w:val="00D22F3C"/>
    <w:rsid w:val="00D22FD4"/>
    <w:rsid w:val="00D23193"/>
    <w:rsid w:val="00D237B9"/>
    <w:rsid w:val="00D23ABB"/>
    <w:rsid w:val="00D23E6A"/>
    <w:rsid w:val="00D24082"/>
    <w:rsid w:val="00D24220"/>
    <w:rsid w:val="00D245F9"/>
    <w:rsid w:val="00D24E0C"/>
    <w:rsid w:val="00D2598A"/>
    <w:rsid w:val="00D26121"/>
    <w:rsid w:val="00D26E42"/>
    <w:rsid w:val="00D27063"/>
    <w:rsid w:val="00D27638"/>
    <w:rsid w:val="00D27D29"/>
    <w:rsid w:val="00D30208"/>
    <w:rsid w:val="00D3059B"/>
    <w:rsid w:val="00D31070"/>
    <w:rsid w:val="00D31087"/>
    <w:rsid w:val="00D310B5"/>
    <w:rsid w:val="00D31A20"/>
    <w:rsid w:val="00D32089"/>
    <w:rsid w:val="00D321A7"/>
    <w:rsid w:val="00D32314"/>
    <w:rsid w:val="00D327C4"/>
    <w:rsid w:val="00D328D3"/>
    <w:rsid w:val="00D33A58"/>
    <w:rsid w:val="00D3405F"/>
    <w:rsid w:val="00D34224"/>
    <w:rsid w:val="00D34431"/>
    <w:rsid w:val="00D34B67"/>
    <w:rsid w:val="00D35896"/>
    <w:rsid w:val="00D37050"/>
    <w:rsid w:val="00D379A0"/>
    <w:rsid w:val="00D37EAA"/>
    <w:rsid w:val="00D407DD"/>
    <w:rsid w:val="00D4099D"/>
    <w:rsid w:val="00D41AA2"/>
    <w:rsid w:val="00D42311"/>
    <w:rsid w:val="00D4259F"/>
    <w:rsid w:val="00D428CF"/>
    <w:rsid w:val="00D42A79"/>
    <w:rsid w:val="00D42B28"/>
    <w:rsid w:val="00D42ECD"/>
    <w:rsid w:val="00D435FA"/>
    <w:rsid w:val="00D43817"/>
    <w:rsid w:val="00D43907"/>
    <w:rsid w:val="00D43D4A"/>
    <w:rsid w:val="00D444FA"/>
    <w:rsid w:val="00D460A7"/>
    <w:rsid w:val="00D46A33"/>
    <w:rsid w:val="00D46AB8"/>
    <w:rsid w:val="00D46F8C"/>
    <w:rsid w:val="00D47013"/>
    <w:rsid w:val="00D47256"/>
    <w:rsid w:val="00D47331"/>
    <w:rsid w:val="00D4749E"/>
    <w:rsid w:val="00D476D7"/>
    <w:rsid w:val="00D476E7"/>
    <w:rsid w:val="00D47A85"/>
    <w:rsid w:val="00D47C25"/>
    <w:rsid w:val="00D5095F"/>
    <w:rsid w:val="00D5120D"/>
    <w:rsid w:val="00D513A1"/>
    <w:rsid w:val="00D51FB1"/>
    <w:rsid w:val="00D52138"/>
    <w:rsid w:val="00D521FF"/>
    <w:rsid w:val="00D52433"/>
    <w:rsid w:val="00D53403"/>
    <w:rsid w:val="00D537B1"/>
    <w:rsid w:val="00D5399E"/>
    <w:rsid w:val="00D53AD6"/>
    <w:rsid w:val="00D53C08"/>
    <w:rsid w:val="00D540A8"/>
    <w:rsid w:val="00D54D7B"/>
    <w:rsid w:val="00D54E69"/>
    <w:rsid w:val="00D5530E"/>
    <w:rsid w:val="00D55362"/>
    <w:rsid w:val="00D55EB0"/>
    <w:rsid w:val="00D564C8"/>
    <w:rsid w:val="00D60046"/>
    <w:rsid w:val="00D60858"/>
    <w:rsid w:val="00D613DE"/>
    <w:rsid w:val="00D626E0"/>
    <w:rsid w:val="00D6276C"/>
    <w:rsid w:val="00D62B57"/>
    <w:rsid w:val="00D63A63"/>
    <w:rsid w:val="00D63BD8"/>
    <w:rsid w:val="00D64106"/>
    <w:rsid w:val="00D641C1"/>
    <w:rsid w:val="00D642B5"/>
    <w:rsid w:val="00D64F35"/>
    <w:rsid w:val="00D666D6"/>
    <w:rsid w:val="00D679EE"/>
    <w:rsid w:val="00D67C6E"/>
    <w:rsid w:val="00D67FDE"/>
    <w:rsid w:val="00D70441"/>
    <w:rsid w:val="00D705AA"/>
    <w:rsid w:val="00D707D2"/>
    <w:rsid w:val="00D710F4"/>
    <w:rsid w:val="00D71D19"/>
    <w:rsid w:val="00D71FFB"/>
    <w:rsid w:val="00D72123"/>
    <w:rsid w:val="00D722A1"/>
    <w:rsid w:val="00D729B3"/>
    <w:rsid w:val="00D72EC2"/>
    <w:rsid w:val="00D74313"/>
    <w:rsid w:val="00D7453E"/>
    <w:rsid w:val="00D74E96"/>
    <w:rsid w:val="00D74ED9"/>
    <w:rsid w:val="00D7633E"/>
    <w:rsid w:val="00D767B6"/>
    <w:rsid w:val="00D76BFA"/>
    <w:rsid w:val="00D7709C"/>
    <w:rsid w:val="00D770BE"/>
    <w:rsid w:val="00D773A9"/>
    <w:rsid w:val="00D77882"/>
    <w:rsid w:val="00D80558"/>
    <w:rsid w:val="00D8060D"/>
    <w:rsid w:val="00D80E97"/>
    <w:rsid w:val="00D82111"/>
    <w:rsid w:val="00D8299A"/>
    <w:rsid w:val="00D830A4"/>
    <w:rsid w:val="00D8379F"/>
    <w:rsid w:val="00D837C4"/>
    <w:rsid w:val="00D83F63"/>
    <w:rsid w:val="00D84F4C"/>
    <w:rsid w:val="00D856A9"/>
    <w:rsid w:val="00D85FA3"/>
    <w:rsid w:val="00D8711F"/>
    <w:rsid w:val="00D87127"/>
    <w:rsid w:val="00D87726"/>
    <w:rsid w:val="00D906D1"/>
    <w:rsid w:val="00D90BE4"/>
    <w:rsid w:val="00D91054"/>
    <w:rsid w:val="00D91694"/>
    <w:rsid w:val="00D919BD"/>
    <w:rsid w:val="00D92206"/>
    <w:rsid w:val="00D9236C"/>
    <w:rsid w:val="00D92594"/>
    <w:rsid w:val="00D928D0"/>
    <w:rsid w:val="00D92C5B"/>
    <w:rsid w:val="00D9306A"/>
    <w:rsid w:val="00D938BB"/>
    <w:rsid w:val="00D94794"/>
    <w:rsid w:val="00D950F2"/>
    <w:rsid w:val="00D95525"/>
    <w:rsid w:val="00D95615"/>
    <w:rsid w:val="00D9598C"/>
    <w:rsid w:val="00D9620B"/>
    <w:rsid w:val="00D976EF"/>
    <w:rsid w:val="00D977B1"/>
    <w:rsid w:val="00D979DA"/>
    <w:rsid w:val="00D97A56"/>
    <w:rsid w:val="00DA0487"/>
    <w:rsid w:val="00DA077E"/>
    <w:rsid w:val="00DA09F1"/>
    <w:rsid w:val="00DA168E"/>
    <w:rsid w:val="00DA17C5"/>
    <w:rsid w:val="00DA1886"/>
    <w:rsid w:val="00DA2522"/>
    <w:rsid w:val="00DA2F28"/>
    <w:rsid w:val="00DA2F55"/>
    <w:rsid w:val="00DA2FA4"/>
    <w:rsid w:val="00DA3806"/>
    <w:rsid w:val="00DA394C"/>
    <w:rsid w:val="00DA45C7"/>
    <w:rsid w:val="00DA4A4B"/>
    <w:rsid w:val="00DA5612"/>
    <w:rsid w:val="00DA5838"/>
    <w:rsid w:val="00DA5A4B"/>
    <w:rsid w:val="00DA5FFA"/>
    <w:rsid w:val="00DA6761"/>
    <w:rsid w:val="00DA6E01"/>
    <w:rsid w:val="00DA7184"/>
    <w:rsid w:val="00DA7D1C"/>
    <w:rsid w:val="00DB020B"/>
    <w:rsid w:val="00DB06B5"/>
    <w:rsid w:val="00DB1075"/>
    <w:rsid w:val="00DB12E3"/>
    <w:rsid w:val="00DB12F9"/>
    <w:rsid w:val="00DB1DD2"/>
    <w:rsid w:val="00DB236C"/>
    <w:rsid w:val="00DB38BF"/>
    <w:rsid w:val="00DB464D"/>
    <w:rsid w:val="00DB4A9D"/>
    <w:rsid w:val="00DB4DF5"/>
    <w:rsid w:val="00DB4F37"/>
    <w:rsid w:val="00DB5753"/>
    <w:rsid w:val="00DB5F7B"/>
    <w:rsid w:val="00DB5FB9"/>
    <w:rsid w:val="00DB7BDA"/>
    <w:rsid w:val="00DB7D59"/>
    <w:rsid w:val="00DC0050"/>
    <w:rsid w:val="00DC0ED1"/>
    <w:rsid w:val="00DC1456"/>
    <w:rsid w:val="00DC1B62"/>
    <w:rsid w:val="00DC20D3"/>
    <w:rsid w:val="00DC26FA"/>
    <w:rsid w:val="00DC2B73"/>
    <w:rsid w:val="00DC2DF8"/>
    <w:rsid w:val="00DC2FB4"/>
    <w:rsid w:val="00DC34E4"/>
    <w:rsid w:val="00DC3B2E"/>
    <w:rsid w:val="00DC42F3"/>
    <w:rsid w:val="00DC4529"/>
    <w:rsid w:val="00DC4880"/>
    <w:rsid w:val="00DC5847"/>
    <w:rsid w:val="00DC5ED7"/>
    <w:rsid w:val="00DC5FA3"/>
    <w:rsid w:val="00DC66F6"/>
    <w:rsid w:val="00DC715E"/>
    <w:rsid w:val="00DC7993"/>
    <w:rsid w:val="00DD09DD"/>
    <w:rsid w:val="00DD0A5F"/>
    <w:rsid w:val="00DD0AFA"/>
    <w:rsid w:val="00DD1ACE"/>
    <w:rsid w:val="00DD1E77"/>
    <w:rsid w:val="00DD2333"/>
    <w:rsid w:val="00DD335C"/>
    <w:rsid w:val="00DD3751"/>
    <w:rsid w:val="00DD3D76"/>
    <w:rsid w:val="00DD3EB6"/>
    <w:rsid w:val="00DD452A"/>
    <w:rsid w:val="00DD4980"/>
    <w:rsid w:val="00DD4F56"/>
    <w:rsid w:val="00DD5061"/>
    <w:rsid w:val="00DD50CD"/>
    <w:rsid w:val="00DD5828"/>
    <w:rsid w:val="00DD5A35"/>
    <w:rsid w:val="00DD5AA3"/>
    <w:rsid w:val="00DD5B89"/>
    <w:rsid w:val="00DD5C1C"/>
    <w:rsid w:val="00DD5C70"/>
    <w:rsid w:val="00DD6803"/>
    <w:rsid w:val="00DD68A7"/>
    <w:rsid w:val="00DD6C07"/>
    <w:rsid w:val="00DD71DE"/>
    <w:rsid w:val="00DD7788"/>
    <w:rsid w:val="00DE0480"/>
    <w:rsid w:val="00DE070E"/>
    <w:rsid w:val="00DE0860"/>
    <w:rsid w:val="00DE0AA3"/>
    <w:rsid w:val="00DE1077"/>
    <w:rsid w:val="00DE127A"/>
    <w:rsid w:val="00DE1558"/>
    <w:rsid w:val="00DE161B"/>
    <w:rsid w:val="00DE188C"/>
    <w:rsid w:val="00DE2766"/>
    <w:rsid w:val="00DE2DA6"/>
    <w:rsid w:val="00DE4D20"/>
    <w:rsid w:val="00DE4E65"/>
    <w:rsid w:val="00DE5111"/>
    <w:rsid w:val="00DE5368"/>
    <w:rsid w:val="00DE5CA2"/>
    <w:rsid w:val="00DE5D24"/>
    <w:rsid w:val="00DE5D7A"/>
    <w:rsid w:val="00DE5F5A"/>
    <w:rsid w:val="00DE6517"/>
    <w:rsid w:val="00DE6F71"/>
    <w:rsid w:val="00DE7726"/>
    <w:rsid w:val="00DF0448"/>
    <w:rsid w:val="00DF0C9C"/>
    <w:rsid w:val="00DF21EE"/>
    <w:rsid w:val="00DF314F"/>
    <w:rsid w:val="00DF31DB"/>
    <w:rsid w:val="00DF43C0"/>
    <w:rsid w:val="00DF49D2"/>
    <w:rsid w:val="00DF51F9"/>
    <w:rsid w:val="00DF536A"/>
    <w:rsid w:val="00DF5542"/>
    <w:rsid w:val="00DF5D07"/>
    <w:rsid w:val="00DF5DD9"/>
    <w:rsid w:val="00DF5EA2"/>
    <w:rsid w:val="00DF60C1"/>
    <w:rsid w:val="00DF62FC"/>
    <w:rsid w:val="00DF6726"/>
    <w:rsid w:val="00DF6E84"/>
    <w:rsid w:val="00DF7396"/>
    <w:rsid w:val="00DF73B7"/>
    <w:rsid w:val="00DF7D5B"/>
    <w:rsid w:val="00E007D2"/>
    <w:rsid w:val="00E00DCB"/>
    <w:rsid w:val="00E01295"/>
    <w:rsid w:val="00E0162A"/>
    <w:rsid w:val="00E024B9"/>
    <w:rsid w:val="00E025EB"/>
    <w:rsid w:val="00E02754"/>
    <w:rsid w:val="00E030D8"/>
    <w:rsid w:val="00E03400"/>
    <w:rsid w:val="00E0444D"/>
    <w:rsid w:val="00E0465B"/>
    <w:rsid w:val="00E04A91"/>
    <w:rsid w:val="00E0592C"/>
    <w:rsid w:val="00E05EE7"/>
    <w:rsid w:val="00E0649B"/>
    <w:rsid w:val="00E066BD"/>
    <w:rsid w:val="00E06CF6"/>
    <w:rsid w:val="00E06F3B"/>
    <w:rsid w:val="00E100A2"/>
    <w:rsid w:val="00E104E7"/>
    <w:rsid w:val="00E10F0D"/>
    <w:rsid w:val="00E114C9"/>
    <w:rsid w:val="00E11B60"/>
    <w:rsid w:val="00E12279"/>
    <w:rsid w:val="00E123F2"/>
    <w:rsid w:val="00E138E1"/>
    <w:rsid w:val="00E13F00"/>
    <w:rsid w:val="00E14325"/>
    <w:rsid w:val="00E144B6"/>
    <w:rsid w:val="00E15045"/>
    <w:rsid w:val="00E150F5"/>
    <w:rsid w:val="00E15464"/>
    <w:rsid w:val="00E15803"/>
    <w:rsid w:val="00E1597C"/>
    <w:rsid w:val="00E15DDB"/>
    <w:rsid w:val="00E1611B"/>
    <w:rsid w:val="00E16454"/>
    <w:rsid w:val="00E171FD"/>
    <w:rsid w:val="00E1724A"/>
    <w:rsid w:val="00E1763F"/>
    <w:rsid w:val="00E17DBF"/>
    <w:rsid w:val="00E2007E"/>
    <w:rsid w:val="00E20922"/>
    <w:rsid w:val="00E20C59"/>
    <w:rsid w:val="00E20CD2"/>
    <w:rsid w:val="00E218F4"/>
    <w:rsid w:val="00E22F85"/>
    <w:rsid w:val="00E233C3"/>
    <w:rsid w:val="00E242F3"/>
    <w:rsid w:val="00E24368"/>
    <w:rsid w:val="00E248CE"/>
    <w:rsid w:val="00E24B7E"/>
    <w:rsid w:val="00E2582E"/>
    <w:rsid w:val="00E26961"/>
    <w:rsid w:val="00E279C0"/>
    <w:rsid w:val="00E3055C"/>
    <w:rsid w:val="00E30675"/>
    <w:rsid w:val="00E3083E"/>
    <w:rsid w:val="00E30DBD"/>
    <w:rsid w:val="00E33AC9"/>
    <w:rsid w:val="00E3470A"/>
    <w:rsid w:val="00E3491C"/>
    <w:rsid w:val="00E34963"/>
    <w:rsid w:val="00E34E6A"/>
    <w:rsid w:val="00E35008"/>
    <w:rsid w:val="00E357A6"/>
    <w:rsid w:val="00E35E4C"/>
    <w:rsid w:val="00E363DF"/>
    <w:rsid w:val="00E36D54"/>
    <w:rsid w:val="00E36D6E"/>
    <w:rsid w:val="00E36D97"/>
    <w:rsid w:val="00E3750C"/>
    <w:rsid w:val="00E37B4B"/>
    <w:rsid w:val="00E40EB7"/>
    <w:rsid w:val="00E410D1"/>
    <w:rsid w:val="00E415C7"/>
    <w:rsid w:val="00E417CC"/>
    <w:rsid w:val="00E42465"/>
    <w:rsid w:val="00E428EE"/>
    <w:rsid w:val="00E43AA2"/>
    <w:rsid w:val="00E43CB3"/>
    <w:rsid w:val="00E4402E"/>
    <w:rsid w:val="00E44848"/>
    <w:rsid w:val="00E44A7D"/>
    <w:rsid w:val="00E44B39"/>
    <w:rsid w:val="00E44DE0"/>
    <w:rsid w:val="00E460DC"/>
    <w:rsid w:val="00E46B08"/>
    <w:rsid w:val="00E47180"/>
    <w:rsid w:val="00E47244"/>
    <w:rsid w:val="00E500C3"/>
    <w:rsid w:val="00E505A3"/>
    <w:rsid w:val="00E50622"/>
    <w:rsid w:val="00E50693"/>
    <w:rsid w:val="00E52313"/>
    <w:rsid w:val="00E52543"/>
    <w:rsid w:val="00E52578"/>
    <w:rsid w:val="00E52891"/>
    <w:rsid w:val="00E535B0"/>
    <w:rsid w:val="00E53BD2"/>
    <w:rsid w:val="00E54829"/>
    <w:rsid w:val="00E54C07"/>
    <w:rsid w:val="00E54D67"/>
    <w:rsid w:val="00E55706"/>
    <w:rsid w:val="00E55BF9"/>
    <w:rsid w:val="00E56004"/>
    <w:rsid w:val="00E5645C"/>
    <w:rsid w:val="00E564C2"/>
    <w:rsid w:val="00E57B00"/>
    <w:rsid w:val="00E60141"/>
    <w:rsid w:val="00E60206"/>
    <w:rsid w:val="00E6031D"/>
    <w:rsid w:val="00E6036F"/>
    <w:rsid w:val="00E606A7"/>
    <w:rsid w:val="00E60DDC"/>
    <w:rsid w:val="00E611CD"/>
    <w:rsid w:val="00E61461"/>
    <w:rsid w:val="00E61C34"/>
    <w:rsid w:val="00E61D1F"/>
    <w:rsid w:val="00E6323A"/>
    <w:rsid w:val="00E64001"/>
    <w:rsid w:val="00E6465B"/>
    <w:rsid w:val="00E66775"/>
    <w:rsid w:val="00E668AE"/>
    <w:rsid w:val="00E66FBF"/>
    <w:rsid w:val="00E6738D"/>
    <w:rsid w:val="00E67CA0"/>
    <w:rsid w:val="00E67E90"/>
    <w:rsid w:val="00E70245"/>
    <w:rsid w:val="00E7090B"/>
    <w:rsid w:val="00E71EE6"/>
    <w:rsid w:val="00E723FB"/>
    <w:rsid w:val="00E723FD"/>
    <w:rsid w:val="00E72690"/>
    <w:rsid w:val="00E72961"/>
    <w:rsid w:val="00E73B43"/>
    <w:rsid w:val="00E73C2E"/>
    <w:rsid w:val="00E73CDF"/>
    <w:rsid w:val="00E7546B"/>
    <w:rsid w:val="00E75838"/>
    <w:rsid w:val="00E75BD8"/>
    <w:rsid w:val="00E765A9"/>
    <w:rsid w:val="00E77344"/>
    <w:rsid w:val="00E774E8"/>
    <w:rsid w:val="00E7751E"/>
    <w:rsid w:val="00E80827"/>
    <w:rsid w:val="00E81AC0"/>
    <w:rsid w:val="00E81B79"/>
    <w:rsid w:val="00E82144"/>
    <w:rsid w:val="00E82CCE"/>
    <w:rsid w:val="00E82DE1"/>
    <w:rsid w:val="00E830B5"/>
    <w:rsid w:val="00E833FD"/>
    <w:rsid w:val="00E83797"/>
    <w:rsid w:val="00E842C6"/>
    <w:rsid w:val="00E84E5B"/>
    <w:rsid w:val="00E85760"/>
    <w:rsid w:val="00E8576A"/>
    <w:rsid w:val="00E857E9"/>
    <w:rsid w:val="00E86DED"/>
    <w:rsid w:val="00E86E54"/>
    <w:rsid w:val="00E876CD"/>
    <w:rsid w:val="00E900D8"/>
    <w:rsid w:val="00E9038B"/>
    <w:rsid w:val="00E90724"/>
    <w:rsid w:val="00E90BAB"/>
    <w:rsid w:val="00E90BCE"/>
    <w:rsid w:val="00E90C7C"/>
    <w:rsid w:val="00E928C7"/>
    <w:rsid w:val="00E92C85"/>
    <w:rsid w:val="00E92D21"/>
    <w:rsid w:val="00E92F18"/>
    <w:rsid w:val="00E9372B"/>
    <w:rsid w:val="00E9374F"/>
    <w:rsid w:val="00E93D33"/>
    <w:rsid w:val="00E94203"/>
    <w:rsid w:val="00E949E0"/>
    <w:rsid w:val="00E94BD7"/>
    <w:rsid w:val="00E94DE5"/>
    <w:rsid w:val="00E9583C"/>
    <w:rsid w:val="00E962F4"/>
    <w:rsid w:val="00E963F5"/>
    <w:rsid w:val="00E967C6"/>
    <w:rsid w:val="00E968B5"/>
    <w:rsid w:val="00E96983"/>
    <w:rsid w:val="00E977CC"/>
    <w:rsid w:val="00E97E7A"/>
    <w:rsid w:val="00EA0257"/>
    <w:rsid w:val="00EA0483"/>
    <w:rsid w:val="00EA0BD2"/>
    <w:rsid w:val="00EA0E91"/>
    <w:rsid w:val="00EA135E"/>
    <w:rsid w:val="00EA22C0"/>
    <w:rsid w:val="00EA269F"/>
    <w:rsid w:val="00EA26AD"/>
    <w:rsid w:val="00EA3DE8"/>
    <w:rsid w:val="00EA4483"/>
    <w:rsid w:val="00EA4841"/>
    <w:rsid w:val="00EA4A29"/>
    <w:rsid w:val="00EA4DE3"/>
    <w:rsid w:val="00EA5422"/>
    <w:rsid w:val="00EA5494"/>
    <w:rsid w:val="00EA5577"/>
    <w:rsid w:val="00EA5CCD"/>
    <w:rsid w:val="00EA5DEC"/>
    <w:rsid w:val="00EA60FE"/>
    <w:rsid w:val="00EA6634"/>
    <w:rsid w:val="00EA723D"/>
    <w:rsid w:val="00EA7642"/>
    <w:rsid w:val="00EB1959"/>
    <w:rsid w:val="00EB19A5"/>
    <w:rsid w:val="00EB1A1E"/>
    <w:rsid w:val="00EB2385"/>
    <w:rsid w:val="00EB28DA"/>
    <w:rsid w:val="00EB2B36"/>
    <w:rsid w:val="00EB2C52"/>
    <w:rsid w:val="00EB3E6F"/>
    <w:rsid w:val="00EB43E6"/>
    <w:rsid w:val="00EB48A5"/>
    <w:rsid w:val="00EB48DD"/>
    <w:rsid w:val="00EB5421"/>
    <w:rsid w:val="00EB5BD4"/>
    <w:rsid w:val="00EB5EB9"/>
    <w:rsid w:val="00EB64C5"/>
    <w:rsid w:val="00EB7318"/>
    <w:rsid w:val="00EB752A"/>
    <w:rsid w:val="00EB7911"/>
    <w:rsid w:val="00EC058B"/>
    <w:rsid w:val="00EC05CA"/>
    <w:rsid w:val="00EC10A4"/>
    <w:rsid w:val="00EC12B6"/>
    <w:rsid w:val="00EC1F11"/>
    <w:rsid w:val="00EC2124"/>
    <w:rsid w:val="00EC27CD"/>
    <w:rsid w:val="00EC2CED"/>
    <w:rsid w:val="00EC2DEF"/>
    <w:rsid w:val="00EC2E67"/>
    <w:rsid w:val="00EC3289"/>
    <w:rsid w:val="00EC4A1F"/>
    <w:rsid w:val="00EC4C4B"/>
    <w:rsid w:val="00EC50EC"/>
    <w:rsid w:val="00EC5BD8"/>
    <w:rsid w:val="00EC60EB"/>
    <w:rsid w:val="00EC6507"/>
    <w:rsid w:val="00EC6CB0"/>
    <w:rsid w:val="00EC6FDB"/>
    <w:rsid w:val="00EC764C"/>
    <w:rsid w:val="00EC7FA4"/>
    <w:rsid w:val="00ED0234"/>
    <w:rsid w:val="00ED036D"/>
    <w:rsid w:val="00ED03B3"/>
    <w:rsid w:val="00ED042D"/>
    <w:rsid w:val="00ED05D9"/>
    <w:rsid w:val="00ED0819"/>
    <w:rsid w:val="00ED0C24"/>
    <w:rsid w:val="00ED0C7A"/>
    <w:rsid w:val="00ED166F"/>
    <w:rsid w:val="00ED1A19"/>
    <w:rsid w:val="00ED1DC6"/>
    <w:rsid w:val="00ED1DEF"/>
    <w:rsid w:val="00ED23CA"/>
    <w:rsid w:val="00ED245D"/>
    <w:rsid w:val="00ED2DEA"/>
    <w:rsid w:val="00ED3205"/>
    <w:rsid w:val="00ED32D8"/>
    <w:rsid w:val="00ED337B"/>
    <w:rsid w:val="00ED3404"/>
    <w:rsid w:val="00ED3849"/>
    <w:rsid w:val="00ED3DE0"/>
    <w:rsid w:val="00ED4041"/>
    <w:rsid w:val="00ED4452"/>
    <w:rsid w:val="00ED45F5"/>
    <w:rsid w:val="00ED4835"/>
    <w:rsid w:val="00ED4A0D"/>
    <w:rsid w:val="00ED4C47"/>
    <w:rsid w:val="00ED564A"/>
    <w:rsid w:val="00ED5A84"/>
    <w:rsid w:val="00ED5B9F"/>
    <w:rsid w:val="00ED5DB0"/>
    <w:rsid w:val="00ED6053"/>
    <w:rsid w:val="00ED6138"/>
    <w:rsid w:val="00ED62A2"/>
    <w:rsid w:val="00ED7368"/>
    <w:rsid w:val="00EE04E9"/>
    <w:rsid w:val="00EE0A8E"/>
    <w:rsid w:val="00EE0A93"/>
    <w:rsid w:val="00EE0D0C"/>
    <w:rsid w:val="00EE1BD0"/>
    <w:rsid w:val="00EE25AD"/>
    <w:rsid w:val="00EE2CCE"/>
    <w:rsid w:val="00EE3A21"/>
    <w:rsid w:val="00EE3AA5"/>
    <w:rsid w:val="00EE3F01"/>
    <w:rsid w:val="00EE3F90"/>
    <w:rsid w:val="00EE4D31"/>
    <w:rsid w:val="00EE4D84"/>
    <w:rsid w:val="00EE5248"/>
    <w:rsid w:val="00EE53C2"/>
    <w:rsid w:val="00EE5455"/>
    <w:rsid w:val="00EE5540"/>
    <w:rsid w:val="00EE5969"/>
    <w:rsid w:val="00EE5E8C"/>
    <w:rsid w:val="00EE7338"/>
    <w:rsid w:val="00EE7407"/>
    <w:rsid w:val="00EE7447"/>
    <w:rsid w:val="00EE7CFA"/>
    <w:rsid w:val="00EE7FB8"/>
    <w:rsid w:val="00EF090C"/>
    <w:rsid w:val="00EF0CF3"/>
    <w:rsid w:val="00EF15D0"/>
    <w:rsid w:val="00EF18CE"/>
    <w:rsid w:val="00EF2704"/>
    <w:rsid w:val="00EF2C3B"/>
    <w:rsid w:val="00EF3B72"/>
    <w:rsid w:val="00EF3C3D"/>
    <w:rsid w:val="00EF443C"/>
    <w:rsid w:val="00EF499A"/>
    <w:rsid w:val="00EF4B7B"/>
    <w:rsid w:val="00EF4CB3"/>
    <w:rsid w:val="00EF55B2"/>
    <w:rsid w:val="00EF5A42"/>
    <w:rsid w:val="00EF6ABD"/>
    <w:rsid w:val="00EF6B56"/>
    <w:rsid w:val="00EF6C0A"/>
    <w:rsid w:val="00EF7145"/>
    <w:rsid w:val="00EF7B3A"/>
    <w:rsid w:val="00EF7E0A"/>
    <w:rsid w:val="00F00761"/>
    <w:rsid w:val="00F00BB6"/>
    <w:rsid w:val="00F00D80"/>
    <w:rsid w:val="00F0147A"/>
    <w:rsid w:val="00F01683"/>
    <w:rsid w:val="00F01863"/>
    <w:rsid w:val="00F01D2B"/>
    <w:rsid w:val="00F01D3C"/>
    <w:rsid w:val="00F02583"/>
    <w:rsid w:val="00F027A4"/>
    <w:rsid w:val="00F02E23"/>
    <w:rsid w:val="00F04538"/>
    <w:rsid w:val="00F0474D"/>
    <w:rsid w:val="00F0555A"/>
    <w:rsid w:val="00F05AAB"/>
    <w:rsid w:val="00F05E75"/>
    <w:rsid w:val="00F06A2D"/>
    <w:rsid w:val="00F06CD9"/>
    <w:rsid w:val="00F06F62"/>
    <w:rsid w:val="00F07D05"/>
    <w:rsid w:val="00F07DBF"/>
    <w:rsid w:val="00F07E9E"/>
    <w:rsid w:val="00F07F2C"/>
    <w:rsid w:val="00F108E7"/>
    <w:rsid w:val="00F10CBD"/>
    <w:rsid w:val="00F11234"/>
    <w:rsid w:val="00F11B27"/>
    <w:rsid w:val="00F12311"/>
    <w:rsid w:val="00F123B6"/>
    <w:rsid w:val="00F124B5"/>
    <w:rsid w:val="00F12F1E"/>
    <w:rsid w:val="00F13D6A"/>
    <w:rsid w:val="00F13DE2"/>
    <w:rsid w:val="00F13DEE"/>
    <w:rsid w:val="00F1467C"/>
    <w:rsid w:val="00F14F2B"/>
    <w:rsid w:val="00F15616"/>
    <w:rsid w:val="00F15AC3"/>
    <w:rsid w:val="00F15D2B"/>
    <w:rsid w:val="00F16375"/>
    <w:rsid w:val="00F16C55"/>
    <w:rsid w:val="00F17BB9"/>
    <w:rsid w:val="00F2052B"/>
    <w:rsid w:val="00F205D0"/>
    <w:rsid w:val="00F20F0D"/>
    <w:rsid w:val="00F23253"/>
    <w:rsid w:val="00F23556"/>
    <w:rsid w:val="00F2406B"/>
    <w:rsid w:val="00F24104"/>
    <w:rsid w:val="00F24265"/>
    <w:rsid w:val="00F242CE"/>
    <w:rsid w:val="00F24654"/>
    <w:rsid w:val="00F248AB"/>
    <w:rsid w:val="00F24AF4"/>
    <w:rsid w:val="00F24F37"/>
    <w:rsid w:val="00F25137"/>
    <w:rsid w:val="00F251D0"/>
    <w:rsid w:val="00F25478"/>
    <w:rsid w:val="00F2589B"/>
    <w:rsid w:val="00F258FB"/>
    <w:rsid w:val="00F2679D"/>
    <w:rsid w:val="00F26AF0"/>
    <w:rsid w:val="00F2731E"/>
    <w:rsid w:val="00F2735B"/>
    <w:rsid w:val="00F27BAE"/>
    <w:rsid w:val="00F30F36"/>
    <w:rsid w:val="00F3140C"/>
    <w:rsid w:val="00F31DCA"/>
    <w:rsid w:val="00F3247D"/>
    <w:rsid w:val="00F3304F"/>
    <w:rsid w:val="00F33247"/>
    <w:rsid w:val="00F339BE"/>
    <w:rsid w:val="00F33CB8"/>
    <w:rsid w:val="00F34C2D"/>
    <w:rsid w:val="00F34D39"/>
    <w:rsid w:val="00F34E3B"/>
    <w:rsid w:val="00F3503D"/>
    <w:rsid w:val="00F35F9D"/>
    <w:rsid w:val="00F364B6"/>
    <w:rsid w:val="00F3656C"/>
    <w:rsid w:val="00F36C15"/>
    <w:rsid w:val="00F377DA"/>
    <w:rsid w:val="00F3789D"/>
    <w:rsid w:val="00F379B5"/>
    <w:rsid w:val="00F40EFC"/>
    <w:rsid w:val="00F416A2"/>
    <w:rsid w:val="00F416F7"/>
    <w:rsid w:val="00F42072"/>
    <w:rsid w:val="00F424D3"/>
    <w:rsid w:val="00F42908"/>
    <w:rsid w:val="00F42ECB"/>
    <w:rsid w:val="00F4322C"/>
    <w:rsid w:val="00F43ABB"/>
    <w:rsid w:val="00F44227"/>
    <w:rsid w:val="00F442FC"/>
    <w:rsid w:val="00F44A7F"/>
    <w:rsid w:val="00F44BC8"/>
    <w:rsid w:val="00F451B2"/>
    <w:rsid w:val="00F459C0"/>
    <w:rsid w:val="00F46780"/>
    <w:rsid w:val="00F46AE4"/>
    <w:rsid w:val="00F5005F"/>
    <w:rsid w:val="00F5047C"/>
    <w:rsid w:val="00F51063"/>
    <w:rsid w:val="00F5107C"/>
    <w:rsid w:val="00F513D6"/>
    <w:rsid w:val="00F51687"/>
    <w:rsid w:val="00F52280"/>
    <w:rsid w:val="00F525C6"/>
    <w:rsid w:val="00F52D0B"/>
    <w:rsid w:val="00F53047"/>
    <w:rsid w:val="00F5421F"/>
    <w:rsid w:val="00F5436F"/>
    <w:rsid w:val="00F5493B"/>
    <w:rsid w:val="00F54CD9"/>
    <w:rsid w:val="00F5557F"/>
    <w:rsid w:val="00F55BC9"/>
    <w:rsid w:val="00F56030"/>
    <w:rsid w:val="00F56D7E"/>
    <w:rsid w:val="00F572E2"/>
    <w:rsid w:val="00F57589"/>
    <w:rsid w:val="00F576B1"/>
    <w:rsid w:val="00F57810"/>
    <w:rsid w:val="00F57B7F"/>
    <w:rsid w:val="00F57B9F"/>
    <w:rsid w:val="00F604E5"/>
    <w:rsid w:val="00F607AA"/>
    <w:rsid w:val="00F6086F"/>
    <w:rsid w:val="00F60C23"/>
    <w:rsid w:val="00F60E36"/>
    <w:rsid w:val="00F61A2E"/>
    <w:rsid w:val="00F628C3"/>
    <w:rsid w:val="00F62A2D"/>
    <w:rsid w:val="00F62CB6"/>
    <w:rsid w:val="00F63366"/>
    <w:rsid w:val="00F636EE"/>
    <w:rsid w:val="00F637F8"/>
    <w:rsid w:val="00F64D20"/>
    <w:rsid w:val="00F65019"/>
    <w:rsid w:val="00F65498"/>
    <w:rsid w:val="00F655DE"/>
    <w:rsid w:val="00F658C2"/>
    <w:rsid w:val="00F659B0"/>
    <w:rsid w:val="00F65CDB"/>
    <w:rsid w:val="00F6640D"/>
    <w:rsid w:val="00F67A45"/>
    <w:rsid w:val="00F67CC7"/>
    <w:rsid w:val="00F67CDE"/>
    <w:rsid w:val="00F700A1"/>
    <w:rsid w:val="00F70309"/>
    <w:rsid w:val="00F703A0"/>
    <w:rsid w:val="00F704D4"/>
    <w:rsid w:val="00F70B92"/>
    <w:rsid w:val="00F714A7"/>
    <w:rsid w:val="00F719B5"/>
    <w:rsid w:val="00F7224F"/>
    <w:rsid w:val="00F72FE5"/>
    <w:rsid w:val="00F732DB"/>
    <w:rsid w:val="00F73AED"/>
    <w:rsid w:val="00F74090"/>
    <w:rsid w:val="00F74897"/>
    <w:rsid w:val="00F74BCD"/>
    <w:rsid w:val="00F74E1C"/>
    <w:rsid w:val="00F74E96"/>
    <w:rsid w:val="00F74FDF"/>
    <w:rsid w:val="00F75F9E"/>
    <w:rsid w:val="00F76FDA"/>
    <w:rsid w:val="00F770F3"/>
    <w:rsid w:val="00F77DB9"/>
    <w:rsid w:val="00F802BF"/>
    <w:rsid w:val="00F8095A"/>
    <w:rsid w:val="00F80AC4"/>
    <w:rsid w:val="00F812CA"/>
    <w:rsid w:val="00F816DC"/>
    <w:rsid w:val="00F81DFF"/>
    <w:rsid w:val="00F822ED"/>
    <w:rsid w:val="00F82ED5"/>
    <w:rsid w:val="00F835CC"/>
    <w:rsid w:val="00F83A05"/>
    <w:rsid w:val="00F83E5D"/>
    <w:rsid w:val="00F84A2C"/>
    <w:rsid w:val="00F84E6F"/>
    <w:rsid w:val="00F853AF"/>
    <w:rsid w:val="00F85AA9"/>
    <w:rsid w:val="00F85BBD"/>
    <w:rsid w:val="00F85D45"/>
    <w:rsid w:val="00F8607F"/>
    <w:rsid w:val="00F863E3"/>
    <w:rsid w:val="00F87173"/>
    <w:rsid w:val="00F87C86"/>
    <w:rsid w:val="00F87EFD"/>
    <w:rsid w:val="00F91A57"/>
    <w:rsid w:val="00F91C69"/>
    <w:rsid w:val="00F932BA"/>
    <w:rsid w:val="00F93378"/>
    <w:rsid w:val="00F949C7"/>
    <w:rsid w:val="00F95832"/>
    <w:rsid w:val="00F95F05"/>
    <w:rsid w:val="00F96A34"/>
    <w:rsid w:val="00F96CF6"/>
    <w:rsid w:val="00F96E9D"/>
    <w:rsid w:val="00F97640"/>
    <w:rsid w:val="00F9796F"/>
    <w:rsid w:val="00F9797A"/>
    <w:rsid w:val="00FA0204"/>
    <w:rsid w:val="00FA062B"/>
    <w:rsid w:val="00FA0855"/>
    <w:rsid w:val="00FA1771"/>
    <w:rsid w:val="00FA18C9"/>
    <w:rsid w:val="00FA1A15"/>
    <w:rsid w:val="00FA1CCC"/>
    <w:rsid w:val="00FA1F84"/>
    <w:rsid w:val="00FA207A"/>
    <w:rsid w:val="00FA2A33"/>
    <w:rsid w:val="00FA2CD8"/>
    <w:rsid w:val="00FA2FCC"/>
    <w:rsid w:val="00FA3345"/>
    <w:rsid w:val="00FA3C3D"/>
    <w:rsid w:val="00FA42AA"/>
    <w:rsid w:val="00FA44FD"/>
    <w:rsid w:val="00FA475E"/>
    <w:rsid w:val="00FA4DBC"/>
    <w:rsid w:val="00FA4DBD"/>
    <w:rsid w:val="00FA4F4B"/>
    <w:rsid w:val="00FA55C6"/>
    <w:rsid w:val="00FA5BBA"/>
    <w:rsid w:val="00FA5D27"/>
    <w:rsid w:val="00FA5D5F"/>
    <w:rsid w:val="00FA5F79"/>
    <w:rsid w:val="00FA627A"/>
    <w:rsid w:val="00FA62B7"/>
    <w:rsid w:val="00FA6BA7"/>
    <w:rsid w:val="00FA6CC8"/>
    <w:rsid w:val="00FA7816"/>
    <w:rsid w:val="00FA7E27"/>
    <w:rsid w:val="00FB0760"/>
    <w:rsid w:val="00FB1394"/>
    <w:rsid w:val="00FB292E"/>
    <w:rsid w:val="00FB2B15"/>
    <w:rsid w:val="00FB2D92"/>
    <w:rsid w:val="00FB2E2E"/>
    <w:rsid w:val="00FB389D"/>
    <w:rsid w:val="00FB3A2B"/>
    <w:rsid w:val="00FB4387"/>
    <w:rsid w:val="00FB5323"/>
    <w:rsid w:val="00FB5D6F"/>
    <w:rsid w:val="00FB6157"/>
    <w:rsid w:val="00FB632F"/>
    <w:rsid w:val="00FB645E"/>
    <w:rsid w:val="00FB66A6"/>
    <w:rsid w:val="00FB6DB6"/>
    <w:rsid w:val="00FB6DE2"/>
    <w:rsid w:val="00FB70C0"/>
    <w:rsid w:val="00FB756F"/>
    <w:rsid w:val="00FC119E"/>
    <w:rsid w:val="00FC1211"/>
    <w:rsid w:val="00FC1E3B"/>
    <w:rsid w:val="00FC2255"/>
    <w:rsid w:val="00FC22A7"/>
    <w:rsid w:val="00FC2314"/>
    <w:rsid w:val="00FC2362"/>
    <w:rsid w:val="00FC2AB2"/>
    <w:rsid w:val="00FC2FA0"/>
    <w:rsid w:val="00FC3455"/>
    <w:rsid w:val="00FC36C6"/>
    <w:rsid w:val="00FC3B05"/>
    <w:rsid w:val="00FC3BA2"/>
    <w:rsid w:val="00FC5741"/>
    <w:rsid w:val="00FC59D1"/>
    <w:rsid w:val="00FC61CB"/>
    <w:rsid w:val="00FC61FA"/>
    <w:rsid w:val="00FC6785"/>
    <w:rsid w:val="00FC705C"/>
    <w:rsid w:val="00FC71B9"/>
    <w:rsid w:val="00FC744F"/>
    <w:rsid w:val="00FC7AAA"/>
    <w:rsid w:val="00FC7C63"/>
    <w:rsid w:val="00FD0541"/>
    <w:rsid w:val="00FD08EB"/>
    <w:rsid w:val="00FD0A30"/>
    <w:rsid w:val="00FD123D"/>
    <w:rsid w:val="00FD2C16"/>
    <w:rsid w:val="00FD31FA"/>
    <w:rsid w:val="00FD4874"/>
    <w:rsid w:val="00FD4E23"/>
    <w:rsid w:val="00FD4FBF"/>
    <w:rsid w:val="00FD5073"/>
    <w:rsid w:val="00FD638C"/>
    <w:rsid w:val="00FD6499"/>
    <w:rsid w:val="00FE165D"/>
    <w:rsid w:val="00FE20A0"/>
    <w:rsid w:val="00FE2CF9"/>
    <w:rsid w:val="00FE337A"/>
    <w:rsid w:val="00FE4370"/>
    <w:rsid w:val="00FE4B64"/>
    <w:rsid w:val="00FE4BAC"/>
    <w:rsid w:val="00FE5994"/>
    <w:rsid w:val="00FE59EC"/>
    <w:rsid w:val="00FE60D2"/>
    <w:rsid w:val="00FE6E02"/>
    <w:rsid w:val="00FE71D1"/>
    <w:rsid w:val="00FE7255"/>
    <w:rsid w:val="00FE75F3"/>
    <w:rsid w:val="00FE7777"/>
    <w:rsid w:val="00FE78ED"/>
    <w:rsid w:val="00FF024B"/>
    <w:rsid w:val="00FF03D3"/>
    <w:rsid w:val="00FF04DD"/>
    <w:rsid w:val="00FF07B7"/>
    <w:rsid w:val="00FF092F"/>
    <w:rsid w:val="00FF09CD"/>
    <w:rsid w:val="00FF0A10"/>
    <w:rsid w:val="00FF0D76"/>
    <w:rsid w:val="00FF0E7B"/>
    <w:rsid w:val="00FF199F"/>
    <w:rsid w:val="00FF2352"/>
    <w:rsid w:val="00FF2372"/>
    <w:rsid w:val="00FF2664"/>
    <w:rsid w:val="00FF2941"/>
    <w:rsid w:val="00FF3BBE"/>
    <w:rsid w:val="00FF40B7"/>
    <w:rsid w:val="00FF4660"/>
    <w:rsid w:val="00FF4763"/>
    <w:rsid w:val="00FF5778"/>
    <w:rsid w:val="00FF5AB2"/>
    <w:rsid w:val="00FF63AE"/>
    <w:rsid w:val="00FF6E9D"/>
    <w:rsid w:val="00FF7482"/>
    <w:rsid w:val="00FF75FB"/>
    <w:rsid w:val="00FF7A1A"/>
    <w:rsid w:val="00FF7D4F"/>
    <w:rsid w:val="01F6C9F4"/>
    <w:rsid w:val="056213FD"/>
    <w:rsid w:val="05F60CAF"/>
    <w:rsid w:val="086DE6CC"/>
    <w:rsid w:val="09FA2988"/>
    <w:rsid w:val="0B545D94"/>
    <w:rsid w:val="123A8568"/>
    <w:rsid w:val="133A8BF6"/>
    <w:rsid w:val="163D2231"/>
    <w:rsid w:val="17A95046"/>
    <w:rsid w:val="196E2CE5"/>
    <w:rsid w:val="1BFD4A46"/>
    <w:rsid w:val="1CC8BB8E"/>
    <w:rsid w:val="1D0374DF"/>
    <w:rsid w:val="1DA01BDD"/>
    <w:rsid w:val="1DA9D585"/>
    <w:rsid w:val="1E91E94A"/>
    <w:rsid w:val="1FC2A4C4"/>
    <w:rsid w:val="231CBB3C"/>
    <w:rsid w:val="23E962A0"/>
    <w:rsid w:val="25E1186A"/>
    <w:rsid w:val="26070902"/>
    <w:rsid w:val="28F5E2B3"/>
    <w:rsid w:val="293DB64D"/>
    <w:rsid w:val="29B1110E"/>
    <w:rsid w:val="2B076DCA"/>
    <w:rsid w:val="2CCCBB2C"/>
    <w:rsid w:val="30A1A991"/>
    <w:rsid w:val="30E90688"/>
    <w:rsid w:val="377C39F8"/>
    <w:rsid w:val="3A4427FE"/>
    <w:rsid w:val="41E8BC03"/>
    <w:rsid w:val="44CF0E3D"/>
    <w:rsid w:val="45A696D9"/>
    <w:rsid w:val="4728ED69"/>
    <w:rsid w:val="47A24E58"/>
    <w:rsid w:val="49082C30"/>
    <w:rsid w:val="4B317B49"/>
    <w:rsid w:val="4B480D18"/>
    <w:rsid w:val="4B9A5604"/>
    <w:rsid w:val="4CC3F6AE"/>
    <w:rsid w:val="4F59CF1C"/>
    <w:rsid w:val="53A73AB0"/>
    <w:rsid w:val="5438988D"/>
    <w:rsid w:val="5521D26D"/>
    <w:rsid w:val="597B19AF"/>
    <w:rsid w:val="5CBC3A92"/>
    <w:rsid w:val="5CC18D75"/>
    <w:rsid w:val="5D12B143"/>
    <w:rsid w:val="5DF8A313"/>
    <w:rsid w:val="5EA6DA7A"/>
    <w:rsid w:val="606B244B"/>
    <w:rsid w:val="62D399EF"/>
    <w:rsid w:val="638AD319"/>
    <w:rsid w:val="6502754F"/>
    <w:rsid w:val="6800F9E8"/>
    <w:rsid w:val="6A324C50"/>
    <w:rsid w:val="6C355B3E"/>
    <w:rsid w:val="6D251917"/>
    <w:rsid w:val="6D4DDA32"/>
    <w:rsid w:val="6E43B7CE"/>
    <w:rsid w:val="6EFE8BF0"/>
    <w:rsid w:val="7017E98E"/>
    <w:rsid w:val="7100BA9F"/>
    <w:rsid w:val="71049095"/>
    <w:rsid w:val="73605B48"/>
    <w:rsid w:val="73B94979"/>
    <w:rsid w:val="7508362C"/>
    <w:rsid w:val="77FA1918"/>
    <w:rsid w:val="785F79F1"/>
    <w:rsid w:val="78E3DADD"/>
    <w:rsid w:val="791A7622"/>
    <w:rsid w:val="7929D143"/>
    <w:rsid w:val="7BBF666B"/>
    <w:rsid w:val="7C02B571"/>
    <w:rsid w:val="7E46712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3C6E6554-FC3A-459C-A55F-A0E6454A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3C"/>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D22F3C"/>
    <w:pPr>
      <w:keepNext/>
      <w:numPr>
        <w:ilvl w:val="4"/>
        <w:numId w:val="9"/>
      </w:numPr>
      <w:spacing w:before="120" w:after="120"/>
      <w:jc w:val="left"/>
      <w:outlineLvl w:val="4"/>
    </w:pPr>
    <w:rPr>
      <w:rFonts w:eastAsiaTheme="majorEastAsia"/>
      <w:i/>
      <w:iCs/>
    </w:rPr>
  </w:style>
  <w:style w:type="paragraph" w:styleId="Heading6">
    <w:name w:val="heading 6"/>
    <w:basedOn w:val="Normal"/>
    <w:next w:val="Normal"/>
    <w:link w:val="Heading6Char"/>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qFormat/>
    <w:rsid w:val="00D22F3C"/>
    <w:pPr>
      <w:keepNext/>
      <w:widowControl w:val="0"/>
      <w:numPr>
        <w:ilvl w:val="8"/>
        <w:numId w:val="10"/>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22F3C"/>
    <w:pPr>
      <w:suppressLineNumbers/>
      <w:suppressAutoHyphens/>
      <w:spacing w:before="240" w:after="120"/>
      <w:jc w:val="left"/>
    </w:pPr>
    <w:rPr>
      <w:rFonts w:eastAsia="Times New Roman"/>
      <w:b/>
      <w:iCs/>
      <w:snapToGrid w:val="0"/>
      <w:kern w:val="22"/>
      <w:sz w:val="24"/>
    </w:rPr>
  </w:style>
  <w:style w:type="paragraph" w:styleId="BodyText">
    <w:name w:val="Body Text"/>
    <w:aliases w:val=" Car"/>
    <w:basedOn w:val="Normal"/>
    <w:link w:val="BodyTextChar"/>
    <w:uiPriority w:val="99"/>
    <w:unhideWhenUsed/>
    <w:rsid w:val="00D22F3C"/>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aliases w:val=" Car Char"/>
    <w:basedOn w:val="DefaultParagraphFont"/>
    <w:link w:val="BodyText"/>
    <w:uiPriority w:val="99"/>
    <w:rsid w:val="00D22F3C"/>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n3,fn,footnote text3"/>
    <w:basedOn w:val="Normal"/>
    <w:link w:val="FootnoteTextChar"/>
    <w:uiPriority w:val="99"/>
    <w:unhideWhenUsed/>
    <w:qFormat/>
    <w:rsid w:val="00D22F3C"/>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22F3C"/>
    <w:rPr>
      <w:rFonts w:ascii="Times New Roman" w:eastAsia="SimSun" w:hAnsi="Times New Roman" w:cs="Times New Roman"/>
      <w:kern w:val="0"/>
      <w:sz w:val="18"/>
      <w:szCs w:val="20"/>
      <w:lang w:val="es-E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1A3875"/>
    <w:rPr>
      <w:vertAlign w:val="superscript"/>
    </w:rPr>
  </w:style>
  <w:style w:type="paragraph" w:customStyle="1" w:styleId="Footnote">
    <w:name w:val="Footnote"/>
    <w:basedOn w:val="FootnoteText"/>
    <w:qFormat/>
    <w:rsid w:val="00D22F3C"/>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7A7247"/>
    <w:pPr>
      <w:numPr>
        <w:numId w:val="1"/>
      </w:numPr>
      <w:spacing w:before="120" w:after="120"/>
    </w:pPr>
  </w:style>
  <w:style w:type="character" w:customStyle="1" w:styleId="Heading2Char">
    <w:name w:val="Heading 2 Char"/>
    <w:basedOn w:val="DefaultParagraphFont"/>
    <w:link w:val="Heading2"/>
    <w:uiPriority w:val="9"/>
    <w:rsid w:val="00D22F3C"/>
    <w:rPr>
      <w:rFonts w:ascii="Times New Roman Bold" w:eastAsiaTheme="majorEastAsia" w:hAnsi="Times New Roman Bold" w:cstheme="majorBidi"/>
      <w:b/>
      <w:kern w:val="0"/>
      <w:sz w:val="24"/>
      <w:szCs w:val="26"/>
      <w:lang w:val="es-ES"/>
      <w14:ligatures w14:val="none"/>
    </w:rPr>
  </w:style>
  <w:style w:type="character" w:styleId="PlaceholderText">
    <w:name w:val="Placeholder Text"/>
    <w:basedOn w:val="DefaultParagraphFont"/>
    <w:uiPriority w:val="99"/>
    <w:rsid w:val="00995DDC"/>
    <w:rPr>
      <w:color w:val="808080"/>
    </w:rPr>
  </w:style>
  <w:style w:type="paragraph" w:styleId="Footer">
    <w:name w:val="footer"/>
    <w:basedOn w:val="Normal"/>
    <w:link w:val="FooterChar"/>
    <w:rsid w:val="00D22F3C"/>
    <w:pPr>
      <w:tabs>
        <w:tab w:val="center" w:pos="4680"/>
        <w:tab w:val="right" w:pos="9360"/>
      </w:tabs>
    </w:pPr>
    <w:rPr>
      <w:sz w:val="20"/>
    </w:rPr>
  </w:style>
  <w:style w:type="character" w:customStyle="1" w:styleId="FooterChar">
    <w:name w:val="Footer Char"/>
    <w:basedOn w:val="DefaultParagraphFont"/>
    <w:link w:val="Footer"/>
    <w:rsid w:val="00D22F3C"/>
    <w:rPr>
      <w:rFonts w:ascii="Times New Roman" w:eastAsia="SimSun" w:hAnsi="Times New Roman" w:cs="Times New Roman"/>
      <w:kern w:val="0"/>
      <w:sz w:val="20"/>
      <w:lang w:val="es-ES"/>
      <w14:ligatures w14:val="none"/>
    </w:rPr>
  </w:style>
  <w:style w:type="character" w:customStyle="1" w:styleId="Heading3Char">
    <w:name w:val="Heading 3 Char"/>
    <w:basedOn w:val="DefaultParagraphFont"/>
    <w:link w:val="Heading3"/>
    <w:uiPriority w:val="9"/>
    <w:rsid w:val="00D22F3C"/>
    <w:rPr>
      <w:rFonts w:ascii="Times New Roman" w:eastAsiaTheme="majorEastAsia" w:hAnsi="Times New Roman" w:cs="Times New Roman"/>
      <w:b/>
      <w:bCs/>
      <w:kern w:val="0"/>
      <w:lang w:val="es-ES"/>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D22F3C"/>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D22F3C"/>
    <w:rPr>
      <w:rFonts w:ascii="Times New Roman" w:eastAsiaTheme="majorEastAsia" w:hAnsi="Times New Roman" w:cs="Times New Roman"/>
      <w:b/>
      <w:bCs/>
      <w:kern w:val="0"/>
      <w:lang w:val="es-ES"/>
      <w14:ligatures w14:val="none"/>
    </w:rPr>
  </w:style>
  <w:style w:type="character" w:customStyle="1" w:styleId="Heading5Char">
    <w:name w:val="Heading 5 Char"/>
    <w:aliases w:val="Heading 5 - GTI Char"/>
    <w:basedOn w:val="DefaultParagraphFont"/>
    <w:link w:val="Heading5"/>
    <w:uiPriority w:val="9"/>
    <w:rsid w:val="00D22F3C"/>
    <w:rPr>
      <w:rFonts w:ascii="Times New Roman" w:eastAsiaTheme="majorEastAsia" w:hAnsi="Times New Roman" w:cs="Times New Roman"/>
      <w:i/>
      <w:iCs/>
      <w:kern w:val="0"/>
      <w:lang w:val="es-ES"/>
      <w14:ligatures w14:val="none"/>
    </w:rPr>
  </w:style>
  <w:style w:type="character" w:styleId="CommentReference">
    <w:name w:val="annotation reference"/>
    <w:basedOn w:val="DefaultParagraphFont"/>
    <w:uiPriority w:val="99"/>
    <w:unhideWhenUsed/>
    <w:rsid w:val="00D22F3C"/>
    <w:rPr>
      <w:sz w:val="16"/>
      <w:szCs w:val="16"/>
    </w:rPr>
  </w:style>
  <w:style w:type="paragraph" w:styleId="CommentText">
    <w:name w:val="annotation text"/>
    <w:basedOn w:val="Normal"/>
    <w:link w:val="CommentTextChar"/>
    <w:uiPriority w:val="99"/>
    <w:qFormat/>
    <w:rsid w:val="00D22F3C"/>
    <w:rPr>
      <w:sz w:val="20"/>
      <w:szCs w:val="20"/>
    </w:rPr>
  </w:style>
  <w:style w:type="character" w:customStyle="1" w:styleId="CommentTextChar">
    <w:name w:val="Comment Text Char"/>
    <w:basedOn w:val="DefaultParagraphFont"/>
    <w:link w:val="CommentText"/>
    <w:uiPriority w:val="99"/>
    <w:qFormat/>
    <w:rsid w:val="00D22F3C"/>
    <w:rPr>
      <w:rFonts w:ascii="Times New Roman" w:eastAsia="SimSu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D22F3C"/>
    <w:rPr>
      <w:b/>
      <w:bCs/>
    </w:rPr>
  </w:style>
  <w:style w:type="character" w:customStyle="1" w:styleId="CommentSubjectChar">
    <w:name w:val="Comment Subject Char"/>
    <w:basedOn w:val="CommentTextChar"/>
    <w:link w:val="CommentSubject"/>
    <w:uiPriority w:val="99"/>
    <w:semiHidden/>
    <w:rsid w:val="00D22F3C"/>
    <w:rPr>
      <w:rFonts w:ascii="Times New Roman" w:eastAsia="SimSun" w:hAnsi="Times New Roman" w:cs="Times New Roman"/>
      <w:b/>
      <w:bCs/>
      <w:kern w:val="0"/>
      <w:sz w:val="20"/>
      <w:szCs w:val="20"/>
      <w:lang w:val="es-ES"/>
      <w14:ligatures w14:val="none"/>
    </w:rPr>
  </w:style>
  <w:style w:type="paragraph" w:styleId="Revision">
    <w:name w:val="Revision"/>
    <w:hidden/>
    <w:uiPriority w:val="99"/>
    <w:semiHidden/>
    <w:rsid w:val="006D29BB"/>
    <w:pPr>
      <w:spacing w:after="0" w:line="240" w:lineRule="auto"/>
    </w:pPr>
    <w:rPr>
      <w:rFonts w:ascii="Times New Roman" w:eastAsia="Times New Roman" w:hAnsi="Times New Roman" w:cs="Times New Roman"/>
      <w:kern w:val="0"/>
      <w:szCs w:val="24"/>
      <w14:ligatures w14:val="none"/>
    </w:rPr>
  </w:style>
  <w:style w:type="character" w:styleId="PageNumber">
    <w:name w:val="page number"/>
    <w:rsid w:val="00557370"/>
    <w:rPr>
      <w:rFonts w:ascii="Times New Roman" w:hAnsi="Times New Roman"/>
      <w:sz w:val="22"/>
    </w:rPr>
  </w:style>
  <w:style w:type="paragraph" w:customStyle="1" w:styleId="Para3">
    <w:name w:val="Para3"/>
    <w:basedOn w:val="Normal"/>
    <w:rsid w:val="00557370"/>
    <w:pPr>
      <w:numPr>
        <w:ilvl w:val="2"/>
        <w:numId w:val="5"/>
      </w:numPr>
      <w:tabs>
        <w:tab w:val="left" w:pos="1980"/>
      </w:tabs>
      <w:spacing w:before="80" w:after="80"/>
      <w:jc w:val="left"/>
    </w:pPr>
    <w:rPr>
      <w:sz w:val="24"/>
      <w:szCs w:val="20"/>
    </w:rPr>
  </w:style>
  <w:style w:type="paragraph" w:customStyle="1" w:styleId="meetingname">
    <w:name w:val="meeting name"/>
    <w:basedOn w:val="Cornernotation"/>
    <w:qFormat/>
    <w:rsid w:val="00557370"/>
    <w:pPr>
      <w:ind w:left="170" w:hanging="170"/>
    </w:pPr>
    <w:rPr>
      <w:rFonts w:eastAsia="Malgun Gothic"/>
      <w:b w:val="0"/>
      <w:caps/>
      <w:snapToGrid w:val="0"/>
    </w:rPr>
  </w:style>
  <w:style w:type="paragraph" w:customStyle="1" w:styleId="StylePara1Before0pt">
    <w:name w:val="Style Para1 + Before:  0 pt"/>
    <w:basedOn w:val="Normal"/>
    <w:rsid w:val="004E26AC"/>
    <w:pPr>
      <w:numPr>
        <w:numId w:val="4"/>
      </w:numPr>
      <w:tabs>
        <w:tab w:val="clear" w:pos="1080"/>
      </w:tabs>
      <w:spacing w:before="120" w:after="120"/>
      <w:ind w:left="927"/>
      <w:jc w:val="left"/>
    </w:pPr>
    <w:rPr>
      <w:snapToGrid w:val="0"/>
      <w:sz w:val="24"/>
      <w:szCs w:val="20"/>
    </w:rPr>
  </w:style>
  <w:style w:type="paragraph" w:styleId="TOC9">
    <w:name w:val="toc 9"/>
    <w:basedOn w:val="Normal"/>
    <w:next w:val="Normal"/>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Hyperlink">
    <w:name w:val="Hyperlink"/>
    <w:basedOn w:val="DefaultParagraphFont"/>
    <w:uiPriority w:val="99"/>
    <w:unhideWhenUsed/>
    <w:rsid w:val="00D22F3C"/>
    <w:rPr>
      <w:rFonts w:ascii="Times New Roman" w:hAnsi="Times New Roman"/>
      <w:color w:val="0563C1" w:themeColor="hyperlink"/>
      <w:u w:val="single"/>
    </w:rPr>
  </w:style>
  <w:style w:type="character" w:styleId="UnresolvedMention">
    <w:name w:val="Unresolved Mention"/>
    <w:basedOn w:val="DefaultParagraphFont"/>
    <w:uiPriority w:val="99"/>
    <w:semiHidden/>
    <w:unhideWhenUsed/>
    <w:rsid w:val="00C664D3"/>
    <w:rPr>
      <w:color w:val="605E5C"/>
      <w:shd w:val="clear" w:color="auto" w:fill="E1DFDD"/>
    </w:rPr>
  </w:style>
  <w:style w:type="character" w:styleId="FollowedHyperlink">
    <w:name w:val="FollowedHyperlink"/>
    <w:basedOn w:val="DefaultParagraphFont"/>
    <w:uiPriority w:val="99"/>
    <w:unhideWhenUsed/>
    <w:rsid w:val="00051B37"/>
    <w:rPr>
      <w:color w:val="954F72" w:themeColor="followedHyperlink"/>
      <w:u w:val="single"/>
    </w:rPr>
  </w:style>
  <w:style w:type="paragraph" w:styleId="BodyTextIndent">
    <w:name w:val="Body Text Indent"/>
    <w:basedOn w:val="Normal"/>
    <w:link w:val="BodyTextIndentChar"/>
    <w:unhideWhenUsed/>
    <w:rsid w:val="00435E81"/>
    <w:pPr>
      <w:spacing w:after="120"/>
      <w:ind w:left="360"/>
    </w:pPr>
  </w:style>
  <w:style w:type="character" w:customStyle="1" w:styleId="BodyTextIndentChar">
    <w:name w:val="Body Text Indent Char"/>
    <w:basedOn w:val="DefaultParagraphFont"/>
    <w:link w:val="BodyTextIndent"/>
    <w:rsid w:val="00435E81"/>
    <w:rPr>
      <w:rFonts w:ascii="Times New Roman" w:eastAsia="Times New Roman" w:hAnsi="Times New Roman" w:cs="Times New Roman"/>
      <w:kern w:val="0"/>
      <w:szCs w:val="24"/>
      <w:lang w:val="es-ES"/>
      <w14:ligatures w14:val="none"/>
    </w:rPr>
  </w:style>
  <w:style w:type="paragraph" w:customStyle="1" w:styleId="CBD-Decision">
    <w:name w:val="CBD-Decision"/>
    <w:basedOn w:val="Title"/>
    <w:qFormat/>
    <w:rsid w:val="001A3875"/>
    <w:pPr>
      <w:tabs>
        <w:tab w:val="clear" w:pos="567"/>
        <w:tab w:val="clear" w:pos="1134"/>
        <w:tab w:val="clear" w:pos="1701"/>
        <w:tab w:val="clear" w:pos="2268"/>
      </w:tabs>
      <w:ind w:left="1418" w:hanging="851"/>
      <w:jc w:val="left"/>
      <w:outlineLvl w:val="1"/>
    </w:pPr>
  </w:style>
  <w:style w:type="paragraph" w:customStyle="1" w:styleId="Para10">
    <w:name w:val="Para1"/>
    <w:basedOn w:val="Normal"/>
    <w:link w:val="Para1Char"/>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s-ES"/>
      <w14:ligatures w14:val="none"/>
    </w:rPr>
  </w:style>
  <w:style w:type="paragraph" w:styleId="Header">
    <w:name w:val="header"/>
    <w:basedOn w:val="Normal"/>
    <w:link w:val="HeaderChar"/>
    <w:uiPriority w:val="99"/>
    <w:rsid w:val="00D22F3C"/>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uiPriority w:val="99"/>
    <w:rsid w:val="00D22F3C"/>
    <w:rPr>
      <w:rFonts w:ascii="Times New Roman" w:eastAsia="SimSun" w:hAnsi="Times New Roman" w:cs="Times New Roman"/>
      <w:kern w:val="0"/>
      <w:sz w:val="20"/>
      <w:lang w:val="es-ES"/>
      <w14:ligatures w14:val="none"/>
    </w:rPr>
  </w:style>
  <w:style w:type="paragraph" w:styleId="NormalWeb">
    <w:name w:val="Normal (Web)"/>
    <w:basedOn w:val="Normal"/>
    <w:uiPriority w:val="99"/>
    <w:unhideWhenUsed/>
    <w:rsid w:val="00D679EE"/>
    <w:pPr>
      <w:spacing w:before="100" w:beforeAutospacing="1" w:after="100" w:afterAutospacing="1"/>
      <w:jc w:val="left"/>
    </w:pPr>
    <w:rPr>
      <w:sz w:val="24"/>
      <w:lang w:eastAsia="ko-KR"/>
    </w:rPr>
  </w:style>
  <w:style w:type="paragraph" w:customStyle="1" w:styleId="AEDistrNormal">
    <w:name w:val="AE_DistrNormal"/>
    <w:basedOn w:val="Normal"/>
    <w:unhideWhenUsed/>
    <w:rsid w:val="00D22F3C"/>
    <w:pPr>
      <w:jc w:val="left"/>
    </w:p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Normal"/>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D22F3C"/>
  </w:style>
  <w:style w:type="paragraph" w:customStyle="1" w:styleId="ACLargeLogo">
    <w:name w:val="AC_LargeLogo"/>
    <w:basedOn w:val="AFCorNotNormal"/>
    <w:next w:val="Normal"/>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Normal"/>
    <w:rsid w:val="00D22F3C"/>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D22F3C"/>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D22F3C"/>
    <w:pPr>
      <w:keepNext/>
      <w:keepLines/>
      <w:spacing w:after="240"/>
      <w:jc w:val="left"/>
    </w:pPr>
    <w:rPr>
      <w:b/>
      <w:sz w:val="28"/>
      <w:lang w:bidi="ar-SY"/>
    </w:rPr>
  </w:style>
  <w:style w:type="paragraph" w:customStyle="1" w:styleId="CBDDesicionAnnex">
    <w:name w:val="CBD_DesicionAnnex"/>
    <w:basedOn w:val="CBDNormal"/>
    <w:next w:val="Normal"/>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Normal"/>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rPr>
  </w:style>
  <w:style w:type="paragraph" w:customStyle="1" w:styleId="CBDNormalNumber">
    <w:name w:val="CBD_Normal_Number"/>
    <w:basedOn w:val="CBDNormal"/>
    <w:qFormat/>
    <w:rsid w:val="00D22F3C"/>
    <w:pPr>
      <w:numPr>
        <w:numId w:val="7"/>
      </w:numPr>
      <w:tabs>
        <w:tab w:val="left" w:pos="3969"/>
      </w:tabs>
      <w:spacing w:after="120"/>
    </w:p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rPr>
  </w:style>
  <w:style w:type="character" w:customStyle="1" w:styleId="Heading6Char">
    <w:name w:val="Heading 6 Char"/>
    <w:basedOn w:val="DefaultParagraphFont"/>
    <w:link w:val="Heading6"/>
    <w:rsid w:val="00D22F3C"/>
    <w:rPr>
      <w:rFonts w:ascii="Times New Roman" w:eastAsia="SimSun" w:hAnsi="Times New Roman" w:cs="Times New Roman"/>
      <w:bCs/>
      <w:kern w:val="0"/>
      <w:sz w:val="24"/>
      <w:lang w:val="es-ES"/>
      <w14:ligatures w14:val="none"/>
    </w:rPr>
  </w:style>
  <w:style w:type="character" w:customStyle="1" w:styleId="Heading7Char">
    <w:name w:val="Heading 7 Char"/>
    <w:basedOn w:val="DefaultParagraphFont"/>
    <w:link w:val="Heading7"/>
    <w:rsid w:val="00D22F3C"/>
    <w:rPr>
      <w:rFonts w:ascii="Times New Roman" w:eastAsia="SimSun" w:hAnsi="Times New Roman" w:cs="Times New Roman"/>
      <w:b/>
      <w:snapToGrid w:val="0"/>
      <w:kern w:val="0"/>
      <w:u w:val="single"/>
      <w:lang w:val="es-ES"/>
      <w14:ligatures w14:val="none"/>
    </w:rPr>
  </w:style>
  <w:style w:type="character" w:customStyle="1" w:styleId="Heading8Char">
    <w:name w:val="Heading 8 Char"/>
    <w:basedOn w:val="DefaultParagraphFont"/>
    <w:link w:val="Heading8"/>
    <w:rsid w:val="00D22F3C"/>
    <w:rPr>
      <w:rFonts w:ascii="Times New Roman" w:eastAsia="SimSun" w:hAnsi="Times New Roman" w:cs="Times New Roman"/>
      <w:b/>
      <w:snapToGrid w:val="0"/>
      <w:kern w:val="0"/>
      <w:u w:val="single"/>
      <w:lang w:val="es-ES"/>
      <w14:ligatures w14:val="none"/>
    </w:rPr>
  </w:style>
  <w:style w:type="character" w:customStyle="1" w:styleId="Heading9Char">
    <w:name w:val="Heading 9 Char"/>
    <w:basedOn w:val="DefaultParagraphFont"/>
    <w:link w:val="Heading9"/>
    <w:rsid w:val="00D22F3C"/>
    <w:rPr>
      <w:rFonts w:ascii="Times New Roman" w:eastAsia="SimSun" w:hAnsi="Times New Roman" w:cs="Times New Roman"/>
      <w:snapToGrid w:val="0"/>
      <w:kern w:val="0"/>
      <w:u w:val="single"/>
      <w:lang w:val="es-ES"/>
      <w14:ligatures w14:val="none"/>
    </w:rPr>
  </w:style>
  <w:style w:type="paragraph" w:styleId="List">
    <w:name w:val="List"/>
    <w:basedOn w:val="Normal"/>
    <w:semiHidden/>
    <w:rsid w:val="00D22F3C"/>
    <w:pPr>
      <w:contextualSpacing/>
    </w:pPr>
  </w:style>
  <w:style w:type="paragraph" w:styleId="BalloonText">
    <w:name w:val="Balloon Text"/>
    <w:basedOn w:val="Normal"/>
    <w:link w:val="BalloonTextChar"/>
    <w:uiPriority w:val="99"/>
    <w:semiHidden/>
    <w:unhideWhenUsed/>
    <w:rsid w:val="00D85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A3"/>
    <w:rPr>
      <w:rFonts w:ascii="Segoe UI" w:eastAsia="SimSun" w:hAnsi="Segoe UI" w:cs="Segoe UI"/>
      <w:kern w:val="0"/>
      <w:sz w:val="18"/>
      <w:szCs w:val="18"/>
      <w:lang w:val="es-E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numbering" w:customStyle="1" w:styleId="NoList1">
    <w:name w:val="No List1"/>
    <w:next w:val="NoList"/>
    <w:uiPriority w:val="99"/>
    <w:semiHidden/>
    <w:unhideWhenUsed/>
    <w:rsid w:val="007E7D90"/>
  </w:style>
  <w:style w:type="character" w:customStyle="1" w:styleId="normaltextrun">
    <w:name w:val="normaltextrun"/>
    <w:basedOn w:val="DefaultParagraphFont"/>
    <w:rsid w:val="007E7D90"/>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6C0E7F"/>
    <w:pPr>
      <w:tabs>
        <w:tab w:val="clear" w:pos="567"/>
        <w:tab w:val="clear" w:pos="1134"/>
        <w:tab w:val="clear" w:pos="1701"/>
        <w:tab w:val="clear" w:pos="2268"/>
      </w:tabs>
      <w:ind w:left="720"/>
      <w:contextualSpacing/>
    </w:pPr>
    <w:rPr>
      <w:rFonts w:eastAsia="Times New Roman"/>
      <w:szCs w:val="24"/>
    </w:rPr>
  </w:style>
  <w:style w:type="character" w:customStyle="1" w:styleId="tabchar">
    <w:name w:val="tabchar"/>
    <w:basedOn w:val="DefaultParagraphFont"/>
    <w:rsid w:val="007E7D90"/>
  </w:style>
  <w:style w:type="paragraph" w:customStyle="1" w:styleId="CBD-Para">
    <w:name w:val="CBD-Para"/>
    <w:basedOn w:val="Normal"/>
    <w:link w:val="CBD-ParaCharChar"/>
    <w:uiPriority w:val="99"/>
    <w:rsid w:val="007E7D90"/>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es-ES"/>
      <w14:ligatures w14:val="none"/>
    </w:rPr>
  </w:style>
  <w:style w:type="paragraph" w:styleId="EndnoteText">
    <w:name w:val="endnote text"/>
    <w:basedOn w:val="Normal"/>
    <w:link w:val="EndnoteTextChar"/>
    <w:unhideWhenUsed/>
    <w:rsid w:val="007E7D90"/>
    <w:pPr>
      <w:tabs>
        <w:tab w:val="clear" w:pos="567"/>
        <w:tab w:val="clear" w:pos="1134"/>
        <w:tab w:val="clear" w:pos="1701"/>
        <w:tab w:val="clear" w:pos="2268"/>
      </w:tabs>
    </w:pPr>
    <w:rPr>
      <w:rFonts w:eastAsia="Times New Roman"/>
      <w:sz w:val="20"/>
      <w:szCs w:val="20"/>
    </w:rPr>
  </w:style>
  <w:style w:type="character" w:customStyle="1" w:styleId="EndnoteTextChar">
    <w:name w:val="Endnote Text Char"/>
    <w:basedOn w:val="DefaultParagraphFont"/>
    <w:link w:val="EndnoteText"/>
    <w:rsid w:val="007E7D90"/>
    <w:rPr>
      <w:rFonts w:ascii="Times New Roman" w:eastAsia="Times New Roman" w:hAnsi="Times New Roman" w:cs="Times New Roman"/>
      <w:kern w:val="0"/>
      <w:sz w:val="20"/>
      <w:szCs w:val="20"/>
      <w:lang w:val="es-ES"/>
      <w14:ligatures w14:val="none"/>
    </w:rPr>
  </w:style>
  <w:style w:type="character" w:styleId="EndnoteReference">
    <w:name w:val="endnote reference"/>
    <w:basedOn w:val="DefaultParagraphFont"/>
    <w:semiHidden/>
    <w:unhideWhenUsed/>
    <w:rsid w:val="007E7D90"/>
    <w:rPr>
      <w:vertAlign w:val="superscript"/>
    </w:rPr>
  </w:style>
  <w:style w:type="numbering" w:customStyle="1" w:styleId="ListCBD1">
    <w:name w:val="ListCBD1"/>
    <w:basedOn w:val="NoList"/>
    <w:uiPriority w:val="99"/>
    <w:rsid w:val="007E7D90"/>
    <w:pPr>
      <w:numPr>
        <w:numId w:val="11"/>
      </w:numPr>
    </w:pPr>
  </w:style>
  <w:style w:type="character" w:styleId="Mention">
    <w:name w:val="Mention"/>
    <w:basedOn w:val="DefaultParagraphFont"/>
    <w:uiPriority w:val="99"/>
    <w:unhideWhenUsed/>
    <w:rsid w:val="00034F55"/>
    <w:rPr>
      <w:color w:val="2B579A"/>
      <w:shd w:val="clear" w:color="auto" w:fill="E1DFDD"/>
    </w:rPr>
  </w:style>
  <w:style w:type="paragraph" w:styleId="TOC1">
    <w:name w:val="toc 1"/>
    <w:basedOn w:val="Normal"/>
    <w:next w:val="Normal"/>
    <w:autoRedefine/>
    <w:uiPriority w:val="39"/>
    <w:unhideWhenUsed/>
    <w:rsid w:val="000E28F6"/>
    <w:pPr>
      <w:tabs>
        <w:tab w:val="clear" w:pos="567"/>
        <w:tab w:val="clear" w:pos="1134"/>
        <w:tab w:val="clear" w:pos="1701"/>
        <w:tab w:val="clear" w:pos="2268"/>
        <w:tab w:val="right" w:leader="dot" w:pos="9072"/>
      </w:tabs>
      <w:spacing w:after="100"/>
      <w:ind w:left="1134" w:right="571" w:hanging="708"/>
    </w:pPr>
    <w:rPr>
      <w:noProof/>
      <w:sz w:val="24"/>
      <w:szCs w:val="24"/>
    </w:rPr>
  </w:style>
  <w:style w:type="numbering" w:customStyle="1" w:styleId="CurrentList1">
    <w:name w:val="Current List1"/>
    <w:uiPriority w:val="99"/>
    <w:rsid w:val="00330650"/>
    <w:pPr>
      <w:numPr>
        <w:numId w:val="13"/>
      </w:numPr>
    </w:pPr>
  </w:style>
  <w:style w:type="character" w:customStyle="1" w:styleId="ui-provider">
    <w:name w:val="ui-provider"/>
    <w:basedOn w:val="DefaultParagraphFont"/>
    <w:rsid w:val="00B200D2"/>
  </w:style>
  <w:style w:type="character" w:styleId="Emphasis">
    <w:name w:val="Emphasis"/>
    <w:uiPriority w:val="20"/>
    <w:qFormat/>
    <w:rsid w:val="00330650"/>
    <w:rPr>
      <w:i/>
      <w:iCs/>
    </w:rPr>
  </w:style>
  <w:style w:type="character" w:customStyle="1" w:styleId="break-word">
    <w:name w:val="break-word"/>
    <w:basedOn w:val="DefaultParagraphFont"/>
    <w:rsid w:val="00330650"/>
  </w:style>
  <w:style w:type="paragraph" w:customStyle="1" w:styleId="CBD-title-recommendationdecision">
    <w:name w:val="CBD-title-recommendation/decision"/>
    <w:basedOn w:val="Title"/>
    <w:qFormat/>
    <w:rsid w:val="00330650"/>
    <w:pPr>
      <w:tabs>
        <w:tab w:val="clear" w:pos="567"/>
        <w:tab w:val="clear" w:pos="1134"/>
        <w:tab w:val="clear" w:pos="1701"/>
        <w:tab w:val="clear" w:pos="2268"/>
      </w:tabs>
      <w:ind w:left="630"/>
      <w:jc w:val="left"/>
    </w:pPr>
  </w:style>
  <w:style w:type="paragraph" w:customStyle="1" w:styleId="Default">
    <w:name w:val="Default"/>
    <w:rsid w:val="007D7361"/>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D7361"/>
    <w:rPr>
      <w:rFonts w:ascii="Times New Roman" w:eastAsia="Times New Roman" w:hAnsi="Times New Roman" w:cs="Times New Roman"/>
      <w:kern w:val="0"/>
      <w:szCs w:val="24"/>
      <w:lang w:val="es-ES"/>
      <w14:ligatures w14:val="none"/>
    </w:rPr>
  </w:style>
  <w:style w:type="numbering" w:customStyle="1" w:styleId="Style1">
    <w:name w:val="Style1"/>
    <w:uiPriority w:val="99"/>
    <w:rsid w:val="00CA7161"/>
    <w:pPr>
      <w:numPr>
        <w:numId w:val="14"/>
      </w:numPr>
    </w:pPr>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rPr>
  </w:style>
  <w:style w:type="paragraph" w:customStyle="1" w:styleId="Heading1longmultiline">
    <w:name w:val="Heading 1 (long multiline)"/>
    <w:basedOn w:val="Heading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14:ligatures w14:val="none"/>
    </w:rPr>
  </w:style>
  <w:style w:type="table" w:customStyle="1" w:styleId="TableGrid2">
    <w:name w:val="Table Grid2"/>
    <w:basedOn w:val="TableNormal"/>
    <w:next w:val="TableGrid"/>
    <w:uiPriority w:val="59"/>
    <w:qFormat/>
    <w:rsid w:val="00CA716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A7161"/>
  </w:style>
  <w:style w:type="numbering" w:customStyle="1" w:styleId="CurrentList2">
    <w:name w:val="Current List2"/>
    <w:uiPriority w:val="99"/>
    <w:rsid w:val="00CA7161"/>
    <w:pPr>
      <w:numPr>
        <w:numId w:val="15"/>
      </w:numPr>
    </w:pPr>
  </w:style>
  <w:style w:type="numbering" w:customStyle="1" w:styleId="CurrentList3">
    <w:name w:val="Current List3"/>
    <w:uiPriority w:val="99"/>
    <w:rsid w:val="00CA7161"/>
    <w:pPr>
      <w:numPr>
        <w:numId w:val="16"/>
      </w:numPr>
    </w:pPr>
  </w:style>
  <w:style w:type="numbering" w:customStyle="1" w:styleId="CurrentList4">
    <w:name w:val="Current List4"/>
    <w:uiPriority w:val="99"/>
    <w:rsid w:val="00CA7161"/>
    <w:pPr>
      <w:numPr>
        <w:numId w:val="17"/>
      </w:numPr>
    </w:pPr>
  </w:style>
  <w:style w:type="numbering" w:customStyle="1" w:styleId="CurrentList5">
    <w:name w:val="Current List5"/>
    <w:uiPriority w:val="99"/>
    <w:rsid w:val="00CA7161"/>
    <w:pPr>
      <w:numPr>
        <w:numId w:val="18"/>
      </w:numPr>
    </w:pPr>
  </w:style>
  <w:style w:type="numbering" w:customStyle="1" w:styleId="CurrentList6">
    <w:name w:val="Current List6"/>
    <w:uiPriority w:val="99"/>
    <w:rsid w:val="00CA7161"/>
    <w:pPr>
      <w:numPr>
        <w:numId w:val="19"/>
      </w:numPr>
    </w:pPr>
  </w:style>
  <w:style w:type="numbering" w:customStyle="1" w:styleId="NoList2">
    <w:name w:val="No List2"/>
    <w:next w:val="NoList"/>
    <w:uiPriority w:val="99"/>
    <w:semiHidden/>
    <w:unhideWhenUsed/>
    <w:rsid w:val="00CA7161"/>
  </w:style>
  <w:style w:type="numbering" w:customStyle="1" w:styleId="Style11">
    <w:name w:val="Style11"/>
    <w:uiPriority w:val="99"/>
    <w:rsid w:val="00CA7161"/>
  </w:style>
  <w:style w:type="table" w:customStyle="1" w:styleId="TableGrid3">
    <w:name w:val="Table Grid3"/>
    <w:basedOn w:val="TableNormal"/>
    <w:next w:val="TableGrid"/>
    <w:uiPriority w:val="39"/>
    <w:rsid w:val="00CA716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TableNormal"/>
    <w:next w:val="TableGrid"/>
    <w:uiPriority w:val="39"/>
    <w:rsid w:val="00CA716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CA7161"/>
    <w:pPr>
      <w:tabs>
        <w:tab w:val="clear" w:pos="567"/>
        <w:tab w:val="clear" w:pos="1701"/>
        <w:tab w:val="clear" w:pos="2268"/>
      </w:tabs>
      <w:spacing w:before="120" w:after="120"/>
      <w:ind w:left="567"/>
    </w:pPr>
    <w:rPr>
      <w:rFonts w:eastAsia="Times New Roman"/>
      <w:snapToGrid w:val="0"/>
      <w:szCs w:val="18"/>
    </w:rPr>
  </w:style>
  <w:style w:type="paragraph" w:customStyle="1" w:styleId="CBD-heading1-not-numbered">
    <w:name w:val="CBD-heading 1-not-numbered"/>
    <w:basedOn w:val="Normal"/>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14:ligatures w14:val="standardContextual"/>
    </w:rPr>
  </w:style>
  <w:style w:type="paragraph" w:customStyle="1" w:styleId="CBD-Heading2-not-numbered">
    <w:name w:val="CBD-Heading 2-not-numbered"/>
    <w:basedOn w:val="Normal"/>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Normal"/>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qFormat/>
    <w:rsid w:val="00B200D2"/>
    <w:pPr>
      <w:tabs>
        <w:tab w:val="clear" w:pos="567"/>
        <w:tab w:val="clear" w:pos="1134"/>
        <w:tab w:val="clear" w:pos="2268"/>
      </w:tabs>
      <w:spacing w:before="120" w:after="120"/>
      <w:ind w:left="567" w:firstLine="567"/>
    </w:pPr>
    <w:rPr>
      <w:rFonts w:eastAsia="Times New Roman"/>
      <w:szCs w:val="24"/>
    </w:rPr>
  </w:style>
  <w:style w:type="numbering" w:customStyle="1" w:styleId="NoList3">
    <w:name w:val="No List3"/>
    <w:next w:val="NoList"/>
    <w:uiPriority w:val="99"/>
    <w:semiHidden/>
    <w:unhideWhenUsed/>
    <w:rsid w:val="00C90042"/>
  </w:style>
  <w:style w:type="paragraph" w:customStyle="1" w:styleId="HEADING">
    <w:name w:val="HEADING"/>
    <w:basedOn w:val="Normal"/>
    <w:rsid w:val="00111495"/>
    <w:pPr>
      <w:keepNext/>
      <w:tabs>
        <w:tab w:val="clear" w:pos="567"/>
        <w:tab w:val="clear" w:pos="1134"/>
        <w:tab w:val="clear" w:pos="1701"/>
        <w:tab w:val="clear" w:pos="2268"/>
      </w:tabs>
      <w:spacing w:before="240" w:after="120"/>
      <w:jc w:val="center"/>
    </w:pPr>
    <w:rPr>
      <w:rFonts w:eastAsia="Times New Roman"/>
      <w:b/>
      <w:bCs/>
      <w:caps/>
      <w:szCs w:val="24"/>
    </w:rPr>
  </w:style>
  <w:style w:type="paragraph" w:customStyle="1" w:styleId="HEADINGNOTFORTOC">
    <w:name w:val="HEADING (NOT FOR TOC)"/>
    <w:basedOn w:val="Heading1"/>
    <w:next w:val="Heading2"/>
    <w:rsid w:val="00111495"/>
    <w:pPr>
      <w:numPr>
        <w:numId w:val="0"/>
      </w:numPr>
      <w:tabs>
        <w:tab w:val="clear" w:pos="1134"/>
        <w:tab w:val="clear" w:pos="1701"/>
        <w:tab w:val="clear" w:pos="2268"/>
      </w:tabs>
    </w:pPr>
  </w:style>
  <w:style w:type="paragraph" w:customStyle="1" w:styleId="Heading1multiline">
    <w:name w:val="Heading 1 (multiline)"/>
    <w:basedOn w:val="Heading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Heading1"/>
    <w:next w:val="Normal"/>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Heading3"/>
    <w:rsid w:val="00111495"/>
    <w:pPr>
      <w:numPr>
        <w:ilvl w:val="0"/>
        <w:numId w:val="6"/>
      </w:numPr>
      <w:tabs>
        <w:tab w:val="clear" w:pos="1134"/>
        <w:tab w:val="clear" w:pos="1701"/>
        <w:tab w:val="clear" w:pos="2268"/>
      </w:tabs>
      <w:jc w:val="both"/>
    </w:pPr>
  </w:style>
  <w:style w:type="paragraph" w:customStyle="1" w:styleId="Heading3multiline">
    <w:name w:val="Heading 3 (multiline)"/>
    <w:basedOn w:val="Heading3"/>
    <w:next w:val="Normal"/>
    <w:rsid w:val="00111495"/>
    <w:pPr>
      <w:numPr>
        <w:ilvl w:val="0"/>
        <w:numId w:val="0"/>
      </w:numPr>
      <w:tabs>
        <w:tab w:val="clear" w:pos="1134"/>
        <w:tab w:val="clear" w:pos="1701"/>
        <w:tab w:val="clear" w:pos="2268"/>
      </w:tabs>
      <w:ind w:left="1418" w:hanging="425"/>
    </w:pPr>
  </w:style>
  <w:style w:type="paragraph" w:customStyle="1" w:styleId="Heading4indent">
    <w:name w:val="Heading 4 indent"/>
    <w:basedOn w:val="Heading4"/>
    <w:rsid w:val="00111495"/>
    <w:pPr>
      <w:numPr>
        <w:ilvl w:val="0"/>
        <w:numId w:val="0"/>
      </w:numPr>
      <w:tabs>
        <w:tab w:val="clear" w:pos="1134"/>
        <w:tab w:val="clear" w:pos="1701"/>
        <w:tab w:val="clear" w:pos="2268"/>
      </w:tabs>
      <w:ind w:left="720" w:hanging="567"/>
      <w:jc w:val="both"/>
      <w:outlineLvl w:val="9"/>
    </w:pPr>
    <w:rPr>
      <w:szCs w:val="24"/>
    </w:rPr>
  </w:style>
  <w:style w:type="paragraph" w:customStyle="1" w:styleId="para4">
    <w:name w:val="para4"/>
    <w:basedOn w:val="Normal"/>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rPr>
  </w:style>
  <w:style w:type="paragraph" w:customStyle="1" w:styleId="Para-decision">
    <w:name w:val="Para-decision"/>
    <w:basedOn w:val="Normal"/>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rPr>
  </w:style>
  <w:style w:type="paragraph" w:customStyle="1" w:styleId="Quotationtextindented">
    <w:name w:val="Quotation text (indented)"/>
    <w:basedOn w:val="Normal"/>
    <w:qFormat/>
    <w:rsid w:val="00111495"/>
    <w:pPr>
      <w:tabs>
        <w:tab w:val="clear" w:pos="567"/>
        <w:tab w:val="clear" w:pos="1134"/>
        <w:tab w:val="clear" w:pos="1701"/>
        <w:tab w:val="clear" w:pos="2268"/>
      </w:tabs>
      <w:spacing w:before="120" w:after="120"/>
      <w:ind w:left="720" w:right="720"/>
    </w:pPr>
    <w:rPr>
      <w:rFonts w:eastAsia="Times New Roman"/>
      <w:bCs/>
      <w:szCs w:val="24"/>
    </w:rPr>
  </w:style>
  <w:style w:type="paragraph" w:customStyle="1" w:styleId="recommendationheader">
    <w:name w:val="recommendation header"/>
    <w:basedOn w:val="Heading2"/>
    <w:qFormat/>
    <w:rsid w:val="00111495"/>
    <w:pPr>
      <w:numPr>
        <w:ilvl w:val="0"/>
        <w:numId w:val="0"/>
      </w:numPr>
      <w:tabs>
        <w:tab w:val="clear" w:pos="1134"/>
        <w:tab w:val="clear" w:pos="1701"/>
        <w:tab w:val="clear" w:pos="2268"/>
      </w:tabs>
      <w:ind w:left="567" w:hanging="567"/>
      <w:jc w:val="both"/>
    </w:pPr>
    <w:rPr>
      <w:rFonts w:ascii="Times New Roman" w:hAnsi="Times New Roman"/>
    </w:rPr>
  </w:style>
  <w:style w:type="paragraph" w:customStyle="1" w:styleId="recommendationheaderlong">
    <w:name w:val="recommendation header long"/>
    <w:basedOn w:val="Heading2longmultiline"/>
    <w:qFormat/>
    <w:rsid w:val="00111495"/>
  </w:style>
  <w:style w:type="paragraph" w:customStyle="1" w:styleId="reference">
    <w:name w:val="reference"/>
    <w:basedOn w:val="Heading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rPr>
  </w:style>
  <w:style w:type="character" w:customStyle="1" w:styleId="StyleFootnoteReferenceNounderline">
    <w:name w:val="Style Footnote Reference + No underline"/>
    <w:rsid w:val="00111495"/>
    <w:rPr>
      <w:sz w:val="18"/>
      <w:u w:val="none"/>
      <w:vertAlign w:val="baseline"/>
    </w:rPr>
  </w:style>
  <w:style w:type="paragraph" w:customStyle="1" w:styleId="tabletitle">
    <w:name w:val="table title"/>
    <w:basedOn w:val="Heading2"/>
    <w:qFormat/>
    <w:rsid w:val="00111495"/>
    <w:pPr>
      <w:numPr>
        <w:ilvl w:val="0"/>
        <w:numId w:val="0"/>
      </w:numPr>
      <w:tabs>
        <w:tab w:val="clear" w:pos="1134"/>
        <w:tab w:val="clear" w:pos="1701"/>
        <w:tab w:val="clear" w:pos="2268"/>
      </w:tabs>
      <w:ind w:left="567" w:hanging="567"/>
      <w:outlineLvl w:val="9"/>
    </w:pPr>
    <w:rPr>
      <w:rFonts w:ascii="Times New Roman" w:hAnsi="Times New Roman"/>
      <w:i/>
    </w:rPr>
  </w:style>
  <w:style w:type="paragraph" w:styleId="TOAHeading">
    <w:name w:val="toa heading"/>
    <w:basedOn w:val="Normal"/>
    <w:next w:val="Normal"/>
    <w:semiHidden/>
    <w:rsid w:val="00111495"/>
    <w:pPr>
      <w:tabs>
        <w:tab w:val="clear" w:pos="567"/>
        <w:tab w:val="clear" w:pos="1134"/>
        <w:tab w:val="clear" w:pos="1701"/>
        <w:tab w:val="clear" w:pos="2268"/>
      </w:tabs>
      <w:spacing w:before="120"/>
    </w:pPr>
    <w:rPr>
      <w:rFonts w:eastAsia="Times New Roman" w:cs="Arial"/>
      <w:b/>
      <w:bCs/>
      <w:sz w:val="24"/>
      <w:szCs w:val="24"/>
    </w:rPr>
  </w:style>
  <w:style w:type="paragraph" w:styleId="TOC2">
    <w:name w:val="toc 2"/>
    <w:basedOn w:val="Normal"/>
    <w:next w:val="Normal"/>
    <w:autoRedefine/>
    <w:rsid w:val="00111495"/>
    <w:pPr>
      <w:tabs>
        <w:tab w:val="clear" w:pos="567"/>
        <w:tab w:val="clear" w:pos="1134"/>
        <w:tab w:val="clear" w:pos="1701"/>
        <w:tab w:val="clear" w:pos="2268"/>
        <w:tab w:val="right" w:leader="dot" w:pos="9356"/>
      </w:tabs>
      <w:ind w:left="1440" w:hanging="720"/>
    </w:pPr>
    <w:rPr>
      <w:rFonts w:eastAsia="Times New Roman"/>
      <w:noProof/>
    </w:rPr>
  </w:style>
  <w:style w:type="paragraph" w:styleId="TOC3">
    <w:name w:val="toc 3"/>
    <w:basedOn w:val="Normal"/>
    <w:next w:val="Normal"/>
    <w:autoRedefine/>
    <w:rsid w:val="00111495"/>
    <w:pPr>
      <w:tabs>
        <w:tab w:val="clear" w:pos="567"/>
        <w:tab w:val="clear" w:pos="1134"/>
        <w:tab w:val="clear" w:pos="1701"/>
        <w:tab w:val="clear" w:pos="2268"/>
      </w:tabs>
      <w:ind w:left="2160" w:hanging="720"/>
    </w:pPr>
    <w:rPr>
      <w:rFonts w:eastAsia="Times New Roman"/>
      <w:szCs w:val="24"/>
    </w:rPr>
  </w:style>
  <w:style w:type="paragraph" w:styleId="TOC4">
    <w:name w:val="toc 4"/>
    <w:basedOn w:val="Normal"/>
    <w:next w:val="Normal"/>
    <w:autoRedefine/>
    <w:rsid w:val="00111495"/>
    <w:pPr>
      <w:tabs>
        <w:tab w:val="clear" w:pos="567"/>
        <w:tab w:val="clear" w:pos="1134"/>
        <w:tab w:val="clear" w:pos="1701"/>
        <w:tab w:val="clear" w:pos="2268"/>
      </w:tabs>
      <w:spacing w:before="120" w:after="120"/>
      <w:ind w:left="660"/>
      <w:jc w:val="left"/>
    </w:pPr>
    <w:rPr>
      <w:rFonts w:eastAsia="Times New Roman"/>
      <w:szCs w:val="24"/>
    </w:rPr>
  </w:style>
  <w:style w:type="paragraph" w:styleId="TOC5">
    <w:name w:val="toc 5"/>
    <w:basedOn w:val="Normal"/>
    <w:next w:val="Normal"/>
    <w:autoRedefine/>
    <w:rsid w:val="00111495"/>
    <w:pPr>
      <w:tabs>
        <w:tab w:val="clear" w:pos="567"/>
        <w:tab w:val="clear" w:pos="1134"/>
        <w:tab w:val="clear" w:pos="1701"/>
        <w:tab w:val="clear" w:pos="2268"/>
      </w:tabs>
      <w:spacing w:before="120" w:after="120"/>
      <w:ind w:left="880"/>
      <w:jc w:val="left"/>
    </w:pPr>
    <w:rPr>
      <w:rFonts w:eastAsia="Times New Roman"/>
      <w:szCs w:val="24"/>
    </w:rPr>
  </w:style>
  <w:style w:type="paragraph" w:styleId="TOC6">
    <w:name w:val="toc 6"/>
    <w:basedOn w:val="Normal"/>
    <w:next w:val="Normal"/>
    <w:autoRedefine/>
    <w:rsid w:val="00111495"/>
    <w:pPr>
      <w:tabs>
        <w:tab w:val="clear" w:pos="567"/>
        <w:tab w:val="clear" w:pos="1134"/>
        <w:tab w:val="clear" w:pos="1701"/>
        <w:tab w:val="clear" w:pos="2268"/>
      </w:tabs>
      <w:spacing w:before="120" w:after="120"/>
      <w:ind w:left="1100"/>
      <w:jc w:val="left"/>
    </w:pPr>
    <w:rPr>
      <w:rFonts w:eastAsia="Times New Roman"/>
      <w:szCs w:val="24"/>
    </w:rPr>
  </w:style>
  <w:style w:type="paragraph" w:styleId="TOC7">
    <w:name w:val="toc 7"/>
    <w:basedOn w:val="Normal"/>
    <w:next w:val="Normal"/>
    <w:autoRedefine/>
    <w:rsid w:val="00111495"/>
    <w:pPr>
      <w:tabs>
        <w:tab w:val="clear" w:pos="567"/>
        <w:tab w:val="clear" w:pos="1134"/>
        <w:tab w:val="clear" w:pos="1701"/>
        <w:tab w:val="clear" w:pos="2268"/>
      </w:tabs>
      <w:spacing w:before="120" w:after="120"/>
      <w:ind w:left="1320"/>
      <w:jc w:val="left"/>
    </w:pPr>
    <w:rPr>
      <w:rFonts w:eastAsia="Times New Roman"/>
      <w:szCs w:val="24"/>
    </w:rPr>
  </w:style>
  <w:style w:type="paragraph" w:styleId="TOC8">
    <w:name w:val="toc 8"/>
    <w:basedOn w:val="Normal"/>
    <w:next w:val="Normal"/>
    <w:autoRedefine/>
    <w:rsid w:val="00111495"/>
    <w:pPr>
      <w:tabs>
        <w:tab w:val="clear" w:pos="567"/>
        <w:tab w:val="clear" w:pos="1134"/>
        <w:tab w:val="clear" w:pos="1701"/>
        <w:tab w:val="clear" w:pos="2268"/>
      </w:tabs>
      <w:spacing w:before="120" w:after="120"/>
      <w:ind w:left="1540"/>
      <w:jc w:val="left"/>
    </w:pPr>
    <w:rPr>
      <w:rFonts w:eastAsia="Times New Roman"/>
      <w:szCs w:val="24"/>
    </w:rPr>
  </w:style>
  <w:style w:type="paragraph" w:customStyle="1" w:styleId="CBD-Doc-Type">
    <w:name w:val="CBD-Doc-Type"/>
    <w:basedOn w:val="Normal"/>
    <w:rsid w:val="00111495"/>
    <w:pPr>
      <w:keepLines/>
      <w:tabs>
        <w:tab w:val="clear" w:pos="567"/>
        <w:tab w:val="clear" w:pos="1134"/>
        <w:tab w:val="clear" w:pos="1701"/>
        <w:tab w:val="clear" w:pos="2268"/>
      </w:tabs>
      <w:spacing w:before="240" w:after="120"/>
    </w:pPr>
    <w:rPr>
      <w:rFonts w:eastAsia="Times New Roman" w:cs="Angsana New"/>
      <w:b/>
      <w:i/>
      <w:sz w:val="24"/>
      <w:szCs w:val="24"/>
    </w:rPr>
  </w:style>
  <w:style w:type="paragraph" w:customStyle="1" w:styleId="CBD-Doc">
    <w:name w:val="CBD-Doc"/>
    <w:basedOn w:val="Normal"/>
    <w:rsid w:val="00111495"/>
    <w:pPr>
      <w:keepLines/>
      <w:numPr>
        <w:numId w:val="21"/>
      </w:numPr>
      <w:tabs>
        <w:tab w:val="clear" w:pos="567"/>
        <w:tab w:val="clear" w:pos="1134"/>
        <w:tab w:val="clear" w:pos="1701"/>
        <w:tab w:val="clear" w:pos="2268"/>
      </w:tabs>
      <w:spacing w:after="120"/>
    </w:pPr>
    <w:rPr>
      <w:rFonts w:eastAsia="Times New Roman" w:cs="Angsana New"/>
      <w:szCs w:val="24"/>
    </w:rPr>
  </w:style>
  <w:style w:type="paragraph" w:styleId="Caption">
    <w:name w:val="caption"/>
    <w:basedOn w:val="Normal"/>
    <w:next w:val="Normal"/>
    <w:uiPriority w:val="35"/>
    <w:unhideWhenUsed/>
    <w:qFormat/>
    <w:rsid w:val="00111495"/>
    <w:pPr>
      <w:keepNext/>
      <w:keepLines/>
      <w:tabs>
        <w:tab w:val="clear" w:pos="567"/>
        <w:tab w:val="clear" w:pos="1134"/>
        <w:tab w:val="clear" w:pos="1701"/>
        <w:tab w:val="clear" w:pos="2268"/>
      </w:tabs>
      <w:spacing w:after="200"/>
    </w:pPr>
    <w:rPr>
      <w:rFonts w:eastAsia="Times New Roman"/>
      <w:b/>
      <w:iCs/>
      <w:szCs w:val="18"/>
    </w:rPr>
  </w:style>
  <w:style w:type="character" w:customStyle="1" w:styleId="ng-binding">
    <w:name w:val="ng-binding"/>
    <w:basedOn w:val="DefaultParagraphFont"/>
    <w:rsid w:val="00111495"/>
  </w:style>
  <w:style w:type="character" w:customStyle="1" w:styleId="findhit">
    <w:name w:val="findhit"/>
    <w:rsid w:val="00111495"/>
  </w:style>
  <w:style w:type="paragraph" w:customStyle="1" w:styleId="Heading-plainbold">
    <w:name w:val="Heading-plain bold"/>
    <w:basedOn w:val="BodyText"/>
    <w:rsid w:val="00111495"/>
    <w:pPr>
      <w:tabs>
        <w:tab w:val="clear" w:pos="567"/>
        <w:tab w:val="clear" w:pos="1134"/>
        <w:tab w:val="clear" w:pos="1701"/>
        <w:tab w:val="clear" w:pos="2268"/>
      </w:tabs>
      <w:jc w:val="center"/>
    </w:pPr>
    <w:rPr>
      <w:rFonts w:eastAsia="Malgun Gothic"/>
      <w:b/>
      <w:bCs/>
      <w:i/>
      <w:iCs/>
      <w:lang w:eastAsia="x-none"/>
    </w:rPr>
  </w:style>
  <w:style w:type="paragraph" w:styleId="PlainText">
    <w:name w:val="Plain Text"/>
    <w:basedOn w:val="Normal"/>
    <w:link w:val="PlainTextChar"/>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111495"/>
    <w:rPr>
      <w:rFonts w:ascii="Calibri" w:eastAsiaTheme="minorEastAsia" w:hAnsi="Calibri"/>
      <w:kern w:val="0"/>
      <w:szCs w:val="21"/>
      <w:lang w:val="es-ES" w:eastAsia="zh-CN"/>
      <w14:ligatures w14:val="none"/>
    </w:rPr>
  </w:style>
  <w:style w:type="paragraph" w:styleId="BodyText2">
    <w:name w:val="Body Text 2"/>
    <w:basedOn w:val="Normal"/>
    <w:link w:val="BodyText2Char"/>
    <w:uiPriority w:val="99"/>
    <w:rsid w:val="00111495"/>
    <w:pPr>
      <w:tabs>
        <w:tab w:val="clear" w:pos="567"/>
        <w:tab w:val="clear" w:pos="1134"/>
        <w:tab w:val="clear" w:pos="1701"/>
        <w:tab w:val="clear" w:pos="2268"/>
      </w:tabs>
      <w:jc w:val="left"/>
    </w:pPr>
    <w:rPr>
      <w:rFonts w:eastAsia="Times New Roman"/>
      <w:i/>
      <w:iCs/>
      <w:sz w:val="24"/>
      <w:szCs w:val="24"/>
    </w:rPr>
  </w:style>
  <w:style w:type="character" w:customStyle="1" w:styleId="BodyText2Char">
    <w:name w:val="Body Text 2 Char"/>
    <w:basedOn w:val="DefaultParagraphFont"/>
    <w:link w:val="BodyText2"/>
    <w:uiPriority w:val="99"/>
    <w:rsid w:val="00111495"/>
    <w:rPr>
      <w:rFonts w:ascii="Times New Roman" w:eastAsia="Times New Roman" w:hAnsi="Times New Roman" w:cs="Times New Roman"/>
      <w:i/>
      <w:iCs/>
      <w:kern w:val="0"/>
      <w:sz w:val="24"/>
      <w:szCs w:val="24"/>
      <w14:ligatures w14:val="none"/>
    </w:rPr>
  </w:style>
  <w:style w:type="paragraph" w:styleId="BodyText3">
    <w:name w:val="Body Text 3"/>
    <w:basedOn w:val="Normal"/>
    <w:link w:val="BodyText3Char"/>
    <w:rsid w:val="00111495"/>
    <w:pPr>
      <w:tabs>
        <w:tab w:val="clear" w:pos="567"/>
        <w:tab w:val="clear" w:pos="1134"/>
        <w:tab w:val="clear" w:pos="1701"/>
        <w:tab w:val="clear" w:pos="2268"/>
      </w:tabs>
      <w:jc w:val="center"/>
    </w:pPr>
    <w:rPr>
      <w:rFonts w:eastAsia="Times New Roman"/>
      <w:sz w:val="28"/>
      <w:szCs w:val="24"/>
    </w:rPr>
  </w:style>
  <w:style w:type="character" w:customStyle="1" w:styleId="BodyText3Char">
    <w:name w:val="Body Text 3 Char"/>
    <w:basedOn w:val="DefaultParagraphFont"/>
    <w:link w:val="BodyText3"/>
    <w:rsid w:val="00111495"/>
    <w:rPr>
      <w:rFonts w:ascii="Times New Roman" w:eastAsia="Times New Roman" w:hAnsi="Times New Roman" w:cs="Times New Roman"/>
      <w:kern w:val="0"/>
      <w:sz w:val="28"/>
      <w:szCs w:val="24"/>
      <w14:ligatures w14:val="none"/>
    </w:rPr>
  </w:style>
  <w:style w:type="paragraph" w:styleId="BodyTextIndent2">
    <w:name w:val="Body Text Indent 2"/>
    <w:basedOn w:val="Normal"/>
    <w:link w:val="BodyTextIndent2Char"/>
    <w:rsid w:val="00111495"/>
    <w:pPr>
      <w:tabs>
        <w:tab w:val="clear" w:pos="567"/>
        <w:tab w:val="clear" w:pos="1134"/>
        <w:tab w:val="clear" w:pos="1701"/>
        <w:tab w:val="clear" w:pos="2268"/>
      </w:tabs>
      <w:ind w:firstLine="720"/>
      <w:jc w:val="left"/>
    </w:pPr>
    <w:rPr>
      <w:rFonts w:eastAsia="Times New Roman"/>
      <w:sz w:val="24"/>
      <w:szCs w:val="24"/>
    </w:rPr>
  </w:style>
  <w:style w:type="character" w:customStyle="1" w:styleId="BodyTextIndent2Char">
    <w:name w:val="Body Text Indent 2 Char"/>
    <w:basedOn w:val="DefaultParagraphFont"/>
    <w:link w:val="BodyTextIndent2"/>
    <w:rsid w:val="00111495"/>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111495"/>
    <w:pPr>
      <w:tabs>
        <w:tab w:val="clear" w:pos="567"/>
        <w:tab w:val="clear" w:pos="1134"/>
        <w:tab w:val="clear" w:pos="1701"/>
        <w:tab w:val="clear" w:pos="2268"/>
      </w:tabs>
      <w:ind w:left="1080" w:hanging="360"/>
      <w:jc w:val="left"/>
    </w:pPr>
    <w:rPr>
      <w:rFonts w:ascii="Courier" w:eastAsia="Times New Roman" w:hAnsi="Courier"/>
      <w:sz w:val="20"/>
      <w:szCs w:val="24"/>
    </w:rPr>
  </w:style>
  <w:style w:type="character" w:customStyle="1" w:styleId="BodyTextIndent3Char">
    <w:name w:val="Body Text Indent 3 Char"/>
    <w:basedOn w:val="DefaultParagraphFont"/>
    <w:link w:val="BodyTextIndent3"/>
    <w:rsid w:val="00111495"/>
    <w:rPr>
      <w:rFonts w:ascii="Courier" w:eastAsia="Times New Roman" w:hAnsi="Courier" w:cs="Times New Roman"/>
      <w:kern w:val="0"/>
      <w:sz w:val="20"/>
      <w:szCs w:val="24"/>
      <w14:ligatures w14:val="none"/>
    </w:rPr>
  </w:style>
  <w:style w:type="paragraph" w:customStyle="1" w:styleId="BodyText21">
    <w:name w:val="Body Text 21"/>
    <w:basedOn w:val="Normal"/>
    <w:rsid w:val="00111495"/>
    <w:pPr>
      <w:tabs>
        <w:tab w:val="clear" w:pos="567"/>
        <w:tab w:val="clear" w:pos="1134"/>
        <w:tab w:val="clear" w:pos="1701"/>
        <w:tab w:val="clear" w:pos="2268"/>
      </w:tabs>
      <w:jc w:val="left"/>
    </w:pPr>
    <w:rPr>
      <w:rFonts w:eastAsia="Times New Roman"/>
      <w:szCs w:val="24"/>
    </w:rPr>
  </w:style>
  <w:style w:type="paragraph" w:customStyle="1" w:styleId="Para">
    <w:name w:val="Par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rPr>
  </w:style>
  <w:style w:type="paragraph" w:styleId="DocumentMap">
    <w:name w:val="Document Map"/>
    <w:basedOn w:val="Normal"/>
    <w:link w:val="DocumentMapChar"/>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rPr>
  </w:style>
  <w:style w:type="character" w:customStyle="1" w:styleId="DocumentMapChar">
    <w:name w:val="Document Map Char"/>
    <w:basedOn w:val="DefaultParagraphFont"/>
    <w:link w:val="DocumentMap"/>
    <w:semiHidden/>
    <w:rsid w:val="00111495"/>
    <w:rPr>
      <w:rFonts w:ascii="Tahoma" w:eastAsia="Times New Roman" w:hAnsi="Tahoma" w:cs="Times New Roman"/>
      <w:kern w:val="0"/>
      <w:sz w:val="24"/>
      <w:szCs w:val="24"/>
      <w:shd w:val="clear" w:color="auto" w:fill="000080"/>
      <w14:ligatures w14:val="none"/>
    </w:rPr>
  </w:style>
  <w:style w:type="paragraph" w:customStyle="1" w:styleId="para21">
    <w:name w:val="para2"/>
    <w:basedOn w:val="Normal"/>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rPr>
  </w:style>
  <w:style w:type="paragraph" w:customStyle="1" w:styleId="Heading2-center">
    <w:name w:val="Heading 2-center"/>
    <w:basedOn w:val="Heading2"/>
    <w:rsid w:val="00111495"/>
    <w:pPr>
      <w:numPr>
        <w:ilvl w:val="0"/>
        <w:numId w:val="0"/>
      </w:numPr>
      <w:tabs>
        <w:tab w:val="clear" w:pos="1134"/>
        <w:tab w:val="clear" w:pos="1701"/>
        <w:tab w:val="clear" w:pos="2268"/>
      </w:tabs>
      <w:ind w:left="567" w:hanging="567"/>
      <w:jc w:val="both"/>
    </w:pPr>
    <w:rPr>
      <w:rFonts w:ascii="Times New Roman" w:hAnsi="Times New Roman"/>
      <w:i/>
    </w:rPr>
  </w:style>
  <w:style w:type="paragraph" w:styleId="BlockText">
    <w:name w:val="Block Text"/>
    <w:basedOn w:val="Normal"/>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rPr>
  </w:style>
  <w:style w:type="paragraph" w:customStyle="1" w:styleId="Texte">
    <w:name w:val="Texte"/>
    <w:basedOn w:val="Normal"/>
    <w:rsid w:val="00111495"/>
    <w:pPr>
      <w:widowControl w:val="0"/>
      <w:tabs>
        <w:tab w:val="clear" w:pos="567"/>
        <w:tab w:val="clear" w:pos="1134"/>
        <w:tab w:val="clear" w:pos="1701"/>
        <w:tab w:val="clear" w:pos="2268"/>
        <w:tab w:val="left" w:pos="720"/>
      </w:tabs>
      <w:spacing w:before="120" w:after="120"/>
    </w:pPr>
    <w:rPr>
      <w:rFonts w:eastAsia="Times New Roman"/>
      <w:szCs w:val="24"/>
    </w:rPr>
  </w:style>
  <w:style w:type="paragraph" w:customStyle="1" w:styleId="content">
    <w:name w:val="content"/>
    <w:basedOn w:val="Normal"/>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rPr>
  </w:style>
  <w:style w:type="character" w:styleId="Strong">
    <w:name w:val="Strong"/>
    <w:uiPriority w:val="22"/>
    <w:qFormat/>
    <w:rsid w:val="00111495"/>
    <w:rPr>
      <w:b/>
      <w:bCs/>
    </w:rPr>
  </w:style>
  <w:style w:type="paragraph" w:customStyle="1" w:styleId="Document1">
    <w:name w:val="Document 1"/>
    <w:basedOn w:val="Normal"/>
    <w:next w:val="Normal"/>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rPr>
  </w:style>
  <w:style w:type="paragraph" w:customStyle="1" w:styleId="Head2">
    <w:name w:val="Head2"/>
    <w:basedOn w:val="Normal"/>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rPr>
  </w:style>
  <w:style w:type="paragraph" w:customStyle="1" w:styleId="Masthead">
    <w:name w:val="Masthead"/>
    <w:basedOn w:val="Normal"/>
    <w:next w:val="Normal"/>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rPr>
  </w:style>
  <w:style w:type="paragraph" w:styleId="HTMLPreformatted">
    <w:name w:val="HTML Preformatted"/>
    <w:basedOn w:val="Normal"/>
    <w:link w:val="HTMLPreformattedChar"/>
    <w:uiPriority w:val="99"/>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rPr>
  </w:style>
  <w:style w:type="character" w:customStyle="1" w:styleId="HTMLPreformattedChar">
    <w:name w:val="HTML Preformatted Char"/>
    <w:basedOn w:val="DefaultParagraphFont"/>
    <w:link w:val="HTMLPreformatted"/>
    <w:uiPriority w:val="99"/>
    <w:rsid w:val="00111495"/>
    <w:rPr>
      <w:rFonts w:ascii="Courier New" w:eastAsia="Times New Roman" w:hAnsi="Courier New" w:cs="Courier New"/>
      <w:kern w:val="0"/>
      <w:sz w:val="20"/>
      <w:szCs w:val="24"/>
      <w14:ligatures w14:val="none"/>
    </w:rPr>
  </w:style>
  <w:style w:type="paragraph" w:customStyle="1" w:styleId="Para1alternative">
    <w:name w:val="Para1 (alternative)"/>
    <w:basedOn w:val="Normal"/>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s-E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s-E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rPr>
  </w:style>
  <w:style w:type="paragraph" w:customStyle="1" w:styleId="subhead">
    <w:name w:val="subhead"/>
    <w:basedOn w:val="Normal"/>
    <w:next w:val="Para10"/>
    <w:rsid w:val="00111495"/>
    <w:pPr>
      <w:tabs>
        <w:tab w:val="clear" w:pos="567"/>
        <w:tab w:val="clear" w:pos="1134"/>
        <w:tab w:val="clear" w:pos="1701"/>
        <w:tab w:val="clear" w:pos="2268"/>
      </w:tabs>
      <w:spacing w:before="120" w:after="120"/>
      <w:jc w:val="center"/>
    </w:pPr>
    <w:rPr>
      <w:rFonts w:eastAsia="Times New Roman" w:cs="Angsana New"/>
      <w:i/>
      <w:szCs w:val="24"/>
    </w:rPr>
  </w:style>
  <w:style w:type="paragraph" w:customStyle="1" w:styleId="bodytext210">
    <w:name w:val="bodytext21"/>
    <w:basedOn w:val="Normal"/>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s-E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Normal"/>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eastAsia="de-DE"/>
    </w:rPr>
  </w:style>
  <w:style w:type="paragraph" w:customStyle="1" w:styleId="Bodytextitalic">
    <w:name w:val="Body text italic"/>
    <w:basedOn w:val="BodyText"/>
    <w:rsid w:val="00111495"/>
    <w:pPr>
      <w:tabs>
        <w:tab w:val="clear" w:pos="567"/>
        <w:tab w:val="clear" w:pos="1134"/>
        <w:tab w:val="clear" w:pos="1701"/>
        <w:tab w:val="clear" w:pos="2268"/>
      </w:tabs>
    </w:pPr>
    <w:rPr>
      <w:i/>
      <w:iCs/>
      <w:sz w:val="24"/>
    </w:rPr>
  </w:style>
  <w:style w:type="paragraph" w:customStyle="1" w:styleId="boxbody">
    <w:name w:val="boxbody"/>
    <w:basedOn w:val="Normal"/>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rPr>
  </w:style>
  <w:style w:type="paragraph" w:customStyle="1" w:styleId="Heading-plain">
    <w:name w:val="Heading - plain"/>
    <w:basedOn w:val="Heading2"/>
    <w:next w:val="BodyText"/>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rPr>
  </w:style>
  <w:style w:type="paragraph" w:customStyle="1" w:styleId="Heading2noletter">
    <w:name w:val="Heading 2 (no letter)"/>
    <w:basedOn w:val="Heading2"/>
    <w:rsid w:val="00111495"/>
    <w:pPr>
      <w:numPr>
        <w:ilvl w:val="0"/>
        <w:numId w:val="0"/>
      </w:numPr>
      <w:tabs>
        <w:tab w:val="clear" w:pos="1134"/>
        <w:tab w:val="clear" w:pos="1701"/>
        <w:tab w:val="clear" w:pos="2268"/>
      </w:tabs>
      <w:ind w:left="567" w:hanging="567"/>
      <w:jc w:val="both"/>
    </w:pPr>
    <w:rPr>
      <w:rFonts w:ascii="Times New Roman" w:hAnsi="Times New Roman"/>
      <w:i/>
    </w:rPr>
  </w:style>
  <w:style w:type="character" w:customStyle="1" w:styleId="Heading2CharChar">
    <w:name w:val="Heading 2 Char Char"/>
    <w:rsid w:val="00111495"/>
    <w:rPr>
      <w:rFonts w:ascii="Arial" w:hAnsi="Arial" w:cs="Arial"/>
      <w:b/>
      <w:bCs/>
      <w:i/>
      <w:iCs/>
      <w:noProof w:val="0"/>
      <w:sz w:val="28"/>
      <w:szCs w:val="28"/>
      <w:lang w:val="es-ES" w:eastAsia="en-US" w:bidi="ar-SA"/>
    </w:rPr>
  </w:style>
  <w:style w:type="paragraph" w:customStyle="1" w:styleId="Heading-plain0">
    <w:name w:val="Heading-plain"/>
    <w:basedOn w:val="Normal"/>
    <w:rsid w:val="00111495"/>
    <w:pPr>
      <w:tabs>
        <w:tab w:val="clear" w:pos="567"/>
        <w:tab w:val="clear" w:pos="1134"/>
        <w:tab w:val="clear" w:pos="1701"/>
        <w:tab w:val="clear" w:pos="2268"/>
      </w:tabs>
      <w:spacing w:before="120" w:after="120"/>
      <w:jc w:val="center"/>
      <w:outlineLvl w:val="0"/>
    </w:pPr>
    <w:rPr>
      <w:rFonts w:eastAsia="Times New Roman"/>
      <w:i/>
      <w:sz w:val="24"/>
      <w:szCs w:val="20"/>
    </w:rPr>
  </w:style>
  <w:style w:type="paragraph" w:customStyle="1" w:styleId="Heading-plainitalic">
    <w:name w:val="Heading-plain italic"/>
    <w:basedOn w:val="Heading-plainbold"/>
    <w:rsid w:val="00111495"/>
    <w:rPr>
      <w:rFonts w:eastAsia="Times New Roman"/>
      <w:b w:val="0"/>
      <w:bCs w:val="0"/>
      <w:sz w:val="24"/>
      <w:lang w:eastAsia="en-US"/>
    </w:rPr>
  </w:style>
  <w:style w:type="character" w:customStyle="1" w:styleId="Para1Char0">
    <w:name w:val="Para 1 Char"/>
    <w:rsid w:val="00111495"/>
    <w:rPr>
      <w:rFonts w:eastAsia="MS Mincho"/>
      <w:bCs/>
      <w:iCs/>
      <w:sz w:val="22"/>
      <w:szCs w:val="22"/>
      <w:lang w:val="es-ES" w:eastAsia="en-US" w:bidi="ar-SA"/>
    </w:rPr>
  </w:style>
  <w:style w:type="paragraph" w:customStyle="1" w:styleId="Para2rev">
    <w:name w:val="Para 2 (rev)"/>
    <w:basedOn w:val="Normal"/>
    <w:rsid w:val="00111495"/>
    <w:pPr>
      <w:tabs>
        <w:tab w:val="clear" w:pos="567"/>
        <w:tab w:val="clear" w:pos="1134"/>
        <w:tab w:val="clear" w:pos="1701"/>
        <w:tab w:val="clear" w:pos="2268"/>
        <w:tab w:val="num" w:pos="720"/>
      </w:tabs>
      <w:spacing w:after="120"/>
      <w:ind w:left="720" w:hanging="360"/>
      <w:jc w:val="left"/>
    </w:pPr>
    <w:rPr>
      <w:rFonts w:eastAsia="Times New Roman"/>
      <w:sz w:val="24"/>
      <w:szCs w:val="24"/>
    </w:rPr>
  </w:style>
  <w:style w:type="paragraph" w:customStyle="1" w:styleId="Paraofficial">
    <w:name w:val="Para official"/>
    <w:basedOn w:val="Normal"/>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rPr>
  </w:style>
  <w:style w:type="paragraph" w:customStyle="1" w:styleId="Para1-Annex">
    <w:name w:val="Para1-Annex"/>
    <w:basedOn w:val="Normal"/>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rPr>
  </w:style>
  <w:style w:type="paragraph" w:customStyle="1" w:styleId="StyleBodyTextTimesNewRoman11ptCharChar">
    <w:name w:val="Style Body Text + Times New Roman 11 pt Char Char"/>
    <w:basedOn w:val="BodyText"/>
    <w:rsid w:val="00111495"/>
    <w:pPr>
      <w:tabs>
        <w:tab w:val="clear" w:pos="567"/>
        <w:tab w:val="clear" w:pos="1134"/>
        <w:tab w:val="clear" w:pos="1701"/>
        <w:tab w:val="clear" w:pos="2268"/>
      </w:tabs>
    </w:pPr>
    <w:rPr>
      <w:iCs/>
      <w:snapToGrid w:val="0"/>
      <w:color w:val="000000"/>
      <w:sz w:val="24"/>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s-E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0"/>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s-ES"/>
      <w14:ligatures w14:val="none"/>
    </w:rPr>
  </w:style>
  <w:style w:type="character" w:customStyle="1" w:styleId="BlockTextChar">
    <w:name w:val="Block Text Char"/>
    <w:rsid w:val="00111495"/>
    <w:rPr>
      <w:sz w:val="24"/>
      <w:szCs w:val="24"/>
      <w:lang w:val="es-ES" w:eastAsia="en-US" w:bidi="ar-SA"/>
    </w:rPr>
  </w:style>
  <w:style w:type="paragraph" w:customStyle="1" w:styleId="SubtleEmphasis1">
    <w:name w:val="Subtle Emphasis1"/>
    <w:basedOn w:val="Normal"/>
    <w:uiPriority w:val="34"/>
    <w:qFormat/>
    <w:rsid w:val="00111495"/>
    <w:pPr>
      <w:tabs>
        <w:tab w:val="clear" w:pos="567"/>
        <w:tab w:val="clear" w:pos="1134"/>
        <w:tab w:val="clear" w:pos="1701"/>
        <w:tab w:val="clear" w:pos="2268"/>
      </w:tabs>
      <w:ind w:left="720"/>
      <w:jc w:val="left"/>
    </w:pPr>
    <w:rPr>
      <w:rFonts w:eastAsia="Times New Roman"/>
      <w:sz w:val="24"/>
      <w:szCs w:val="24"/>
    </w:rPr>
  </w:style>
  <w:style w:type="paragraph" w:customStyle="1" w:styleId="StyleHeading3TimesNewRomanBoldBoldNotItalicAllcaps">
    <w:name w:val="Style Heading 3 + Times New Roman Bold Bold Not Italic All caps"/>
    <w:basedOn w:val="Heading3"/>
    <w:next w:val="Heading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14:ligatures w14:val="none"/>
    </w:rPr>
  </w:style>
  <w:style w:type="paragraph" w:customStyle="1" w:styleId="Paraa">
    <w:name w:val="Para (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14:ligatures w14:val="none"/>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14:ligatures w14:val="none"/>
    </w:rPr>
  </w:style>
  <w:style w:type="paragraph" w:customStyle="1" w:styleId="SubtleEmphasis2">
    <w:name w:val="Subtle Emphasis2"/>
    <w:basedOn w:val="Normal"/>
    <w:uiPriority w:val="34"/>
    <w:qFormat/>
    <w:rsid w:val="00111495"/>
    <w:pPr>
      <w:tabs>
        <w:tab w:val="clear" w:pos="567"/>
        <w:tab w:val="clear" w:pos="1134"/>
        <w:tab w:val="clear" w:pos="1701"/>
        <w:tab w:val="clear" w:pos="2268"/>
      </w:tabs>
      <w:ind w:left="720"/>
      <w:jc w:val="left"/>
    </w:pPr>
    <w:rPr>
      <w:rFonts w:eastAsia="Times New Roman"/>
      <w:sz w:val="24"/>
      <w:szCs w:val="24"/>
    </w:rPr>
  </w:style>
  <w:style w:type="paragraph" w:customStyle="1" w:styleId="LightGrid-Accent31">
    <w:name w:val="Light Grid - Accent 31"/>
    <w:basedOn w:val="Normal"/>
    <w:uiPriority w:val="34"/>
    <w:qFormat/>
    <w:rsid w:val="00111495"/>
    <w:pPr>
      <w:tabs>
        <w:tab w:val="clear" w:pos="567"/>
        <w:tab w:val="clear" w:pos="1134"/>
        <w:tab w:val="clear" w:pos="1701"/>
        <w:tab w:val="clear" w:pos="2268"/>
      </w:tabs>
      <w:ind w:left="720"/>
      <w:jc w:val="left"/>
    </w:pPr>
    <w:rPr>
      <w:rFonts w:eastAsia="Times New Roman"/>
      <w:sz w:val="24"/>
      <w:szCs w:val="24"/>
    </w:rPr>
  </w:style>
  <w:style w:type="character" w:customStyle="1" w:styleId="s13">
    <w:name w:val="s13"/>
    <w:rsid w:val="00111495"/>
  </w:style>
  <w:style w:type="paragraph" w:customStyle="1" w:styleId="ListBullet1">
    <w:name w:val="List Bullet1"/>
    <w:basedOn w:val="Normal"/>
    <w:next w:val="ListBullet"/>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rPr>
  </w:style>
  <w:style w:type="paragraph" w:styleId="ListBullet">
    <w:name w:val="List Bullet"/>
    <w:basedOn w:val="Normal"/>
    <w:uiPriority w:val="99"/>
    <w:semiHidden/>
    <w:unhideWhenUsed/>
    <w:rsid w:val="00111495"/>
    <w:pPr>
      <w:tabs>
        <w:tab w:val="clear" w:pos="567"/>
        <w:tab w:val="clear" w:pos="1134"/>
        <w:tab w:val="clear" w:pos="1701"/>
        <w:tab w:val="clear" w:pos="2268"/>
        <w:tab w:val="num" w:pos="360"/>
      </w:tabs>
      <w:contextualSpacing/>
    </w:pPr>
    <w:rPr>
      <w:rFonts w:eastAsia="Times New Roman"/>
      <w:szCs w:val="24"/>
    </w:rPr>
  </w:style>
  <w:style w:type="character" w:customStyle="1" w:styleId="StyleFootnoteReferencenumberFootnoteReferenceSuperscript-EF">
    <w:name w:val="Style Footnote ReferencenumberFootnote Reference Superscript-E F..."/>
    <w:basedOn w:val="FootnoteReference"/>
    <w:rsid w:val="00111495"/>
    <w:rPr>
      <w:kern w:val="22"/>
      <w:sz w:val="18"/>
      <w:u w:val="none"/>
      <w:vertAlign w:val="superscript"/>
    </w:rPr>
  </w:style>
  <w:style w:type="paragraph" w:customStyle="1" w:styleId="CBD-Para-a">
    <w:name w:val="CBD-Para-a"/>
    <w:basedOn w:val="CBD-Para"/>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111495"/>
    <w:pPr>
      <w:tabs>
        <w:tab w:val="clear" w:pos="567"/>
        <w:tab w:val="clear" w:pos="1134"/>
        <w:tab w:val="clear" w:pos="1701"/>
        <w:tab w:val="clear" w:pos="2268"/>
      </w:tabs>
      <w:snapToGrid w:val="0"/>
      <w:spacing w:before="120" w:after="120"/>
      <w:jc w:val="left"/>
    </w:pPr>
    <w:rPr>
      <w:rFonts w:eastAsia="Times New Roman"/>
      <w:kern w:val="22"/>
      <w:sz w:val="24"/>
      <w:szCs w:val="18"/>
    </w:rPr>
  </w:style>
  <w:style w:type="paragraph" w:customStyle="1" w:styleId="CharChar12">
    <w:name w:val="Char Char12"/>
    <w:basedOn w:val="Normal"/>
    <w:rsid w:val="00111495"/>
    <w:pPr>
      <w:tabs>
        <w:tab w:val="clear" w:pos="567"/>
        <w:tab w:val="clear" w:pos="1134"/>
        <w:tab w:val="clear" w:pos="1701"/>
        <w:tab w:val="clear" w:pos="2268"/>
      </w:tabs>
    </w:pPr>
    <w:rPr>
      <w:rFonts w:eastAsia="Times New Roman"/>
      <w:szCs w:val="24"/>
    </w:rPr>
  </w:style>
  <w:style w:type="character" w:customStyle="1" w:styleId="Style1Char">
    <w:name w:val="Style1 Char"/>
    <w:basedOn w:val="DefaultParagraphFont"/>
    <w:rsid w:val="00111495"/>
    <w:rPr>
      <w:rFonts w:ascii="Times New Roman" w:eastAsia="Times New Roman" w:hAnsi="Times New Roman" w:cs="Times New Roman"/>
      <w:b/>
      <w:bCs/>
      <w:i/>
      <w:iCs/>
      <w:sz w:val="22"/>
      <w:lang w:val="es-ES"/>
    </w:rPr>
  </w:style>
  <w:style w:type="paragraph" w:styleId="NoSpacing">
    <w:name w:val="No Spacing"/>
    <w:uiPriority w:val="1"/>
    <w:qFormat/>
    <w:rsid w:val="00111495"/>
    <w:pPr>
      <w:spacing w:after="0" w:line="240" w:lineRule="auto"/>
    </w:pPr>
    <w:rPr>
      <w:rFonts w:eastAsiaTheme="minorEastAsia"/>
      <w:kern w:val="0"/>
      <w:lang w:eastAsia="ja-JP"/>
      <w14:ligatures w14:val="none"/>
    </w:rPr>
  </w:style>
  <w:style w:type="character" w:customStyle="1" w:styleId="Hyperlink0">
    <w:name w:val="Hyperlink.0"/>
    <w:basedOn w:val="Hyperlink"/>
    <w:rsid w:val="00111495"/>
    <w:rPr>
      <w:rFonts w:ascii="Times New Roman" w:hAnsi="Times New Roman"/>
      <w:outline w:val="0"/>
      <w:color w:val="0000FF"/>
      <w:sz w:val="18"/>
      <w:szCs w:val="18"/>
      <w:u w:val="single" w:color="0000FF"/>
    </w:rPr>
  </w:style>
  <w:style w:type="character" w:customStyle="1" w:styleId="Hyperlink3">
    <w:name w:val="Hyperlink.3"/>
    <w:basedOn w:val="Hyperlink0"/>
    <w:rsid w:val="00111495"/>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rsid w:val="00111495"/>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111495"/>
    <w:pPr>
      <w:keepLines/>
      <w:numPr>
        <w:numId w:val="22"/>
      </w:numPr>
      <w:tabs>
        <w:tab w:val="clear" w:pos="567"/>
        <w:tab w:val="clear" w:pos="1134"/>
        <w:tab w:val="clear" w:pos="1701"/>
        <w:tab w:val="clear" w:pos="2268"/>
      </w:tabs>
      <w:spacing w:before="120" w:after="120"/>
    </w:pPr>
    <w:rPr>
      <w:rFonts w:eastAsia="Malgun Gothic"/>
      <w:szCs w:val="24"/>
    </w:rPr>
  </w:style>
  <w:style w:type="paragraph" w:customStyle="1" w:styleId="heading3notforTOC">
    <w:name w:val="heading3 not for TOC"/>
    <w:basedOn w:val="Heading3"/>
    <w:qFormat/>
    <w:rsid w:val="00111495"/>
    <w:pPr>
      <w:numPr>
        <w:ilvl w:val="0"/>
        <w:numId w:val="0"/>
      </w:numPr>
      <w:tabs>
        <w:tab w:val="clear" w:pos="1134"/>
        <w:tab w:val="clear" w:pos="1701"/>
        <w:tab w:val="clear" w:pos="2268"/>
      </w:tabs>
      <w:ind w:left="1080" w:hanging="720"/>
      <w:jc w:val="both"/>
      <w:outlineLvl w:val="9"/>
    </w:pPr>
    <w:rPr>
      <w:snapToGrid w:val="0"/>
      <w:sz w:val="20"/>
      <w:szCs w:val="20"/>
    </w:rPr>
  </w:style>
  <w:style w:type="paragraph" w:styleId="TOCHeading">
    <w:name w:val="TOC Heading"/>
    <w:basedOn w:val="Heading1"/>
    <w:next w:val="Normal"/>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rPr>
  </w:style>
  <w:style w:type="paragraph" w:customStyle="1" w:styleId="Heading1item">
    <w:name w:val="Heading 1 item"/>
    <w:basedOn w:val="Heading1-compilation"/>
    <w:qFormat/>
    <w:rsid w:val="00111495"/>
    <w:pPr>
      <w:tabs>
        <w:tab w:val="clear" w:pos="284"/>
        <w:tab w:val="left" w:pos="709"/>
      </w:tabs>
      <w:ind w:left="1418" w:hanging="1134"/>
    </w:pPr>
    <w:rPr>
      <w:caps/>
    </w:rPr>
  </w:style>
  <w:style w:type="character" w:customStyle="1" w:styleId="contentcontrolboundarysink">
    <w:name w:val="contentcontrolboundarysink"/>
    <w:basedOn w:val="DefaultParagraphFont"/>
    <w:rsid w:val="00111495"/>
  </w:style>
  <w:style w:type="character" w:customStyle="1" w:styleId="UnresolvedMention1">
    <w:name w:val="Unresolved Mention1"/>
    <w:basedOn w:val="DefaultParagraphFont"/>
    <w:uiPriority w:val="99"/>
    <w:semiHidden/>
    <w:unhideWhenUsed/>
    <w:rsid w:val="00111495"/>
    <w:rPr>
      <w:color w:val="605E5C"/>
      <w:shd w:val="clear" w:color="auto" w:fill="E1DFDD"/>
    </w:rPr>
  </w:style>
  <w:style w:type="character" w:customStyle="1" w:styleId="UnresolvedMention2">
    <w:name w:val="Unresolved Mention2"/>
    <w:basedOn w:val="DefaultParagraphFont"/>
    <w:uiPriority w:val="99"/>
    <w:semiHidden/>
    <w:unhideWhenUsed/>
    <w:rsid w:val="00111495"/>
    <w:rPr>
      <w:color w:val="605E5C"/>
      <w:shd w:val="clear" w:color="auto" w:fill="E1DFDD"/>
    </w:rPr>
  </w:style>
  <w:style w:type="character" w:customStyle="1" w:styleId="preferred">
    <w:name w:val="preferred"/>
    <w:basedOn w:val="DefaultParagraphFont"/>
    <w:rsid w:val="00111495"/>
  </w:style>
  <w:style w:type="character" w:customStyle="1" w:styleId="UnresolvedMention3">
    <w:name w:val="Unresolved Mention3"/>
    <w:basedOn w:val="DefaultParagraphFont"/>
    <w:uiPriority w:val="99"/>
    <w:semiHidden/>
    <w:unhideWhenUsed/>
    <w:rsid w:val="00111495"/>
    <w:rPr>
      <w:color w:val="605E5C"/>
      <w:shd w:val="clear" w:color="auto" w:fill="E1DFDD"/>
    </w:rPr>
  </w:style>
  <w:style w:type="paragraph" w:customStyle="1" w:styleId="Title1">
    <w:name w:val="Title1"/>
    <w:basedOn w:val="Normal"/>
    <w:next w:val="Normal"/>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rPr>
  </w:style>
  <w:style w:type="character" w:customStyle="1" w:styleId="TitleChar1">
    <w:name w:val="Title Char1"/>
    <w:basedOn w:val="DefaultParagraphFont"/>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111495"/>
    <w:rPr>
      <w:rFonts w:eastAsiaTheme="minorEastAsia"/>
      <w:color w:val="5A5A5A" w:themeColor="text1" w:themeTint="A5"/>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Theme="minorHAnsi" w:eastAsiaTheme="minorHAnsi" w:hAnsiTheme="minorHAnsi" w:cstheme="minorBidi"/>
      <w:vertAlign w:val="superscript"/>
    </w:rPr>
  </w:style>
  <w:style w:type="numbering" w:customStyle="1" w:styleId="NoList4">
    <w:name w:val="No List4"/>
    <w:next w:val="NoList"/>
    <w:uiPriority w:val="99"/>
    <w:semiHidden/>
    <w:unhideWhenUsed/>
    <w:rsid w:val="00A65F4F"/>
  </w:style>
  <w:style w:type="paragraph" w:customStyle="1" w:styleId="pf0">
    <w:name w:val="pf0"/>
    <w:basedOn w:val="Normal"/>
    <w:rsid w:val="00A65F4F"/>
    <w:pPr>
      <w:tabs>
        <w:tab w:val="clear" w:pos="567"/>
        <w:tab w:val="clear" w:pos="1134"/>
        <w:tab w:val="clear" w:pos="1701"/>
        <w:tab w:val="clear" w:pos="2268"/>
      </w:tabs>
      <w:spacing w:before="100" w:beforeAutospacing="1" w:after="100" w:afterAutospacing="1"/>
      <w:jc w:val="left"/>
    </w:pPr>
    <w:rPr>
      <w:rFonts w:eastAsia="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985">
      <w:bodyDiv w:val="1"/>
      <w:marLeft w:val="0"/>
      <w:marRight w:val="0"/>
      <w:marTop w:val="0"/>
      <w:marBottom w:val="0"/>
      <w:divBdr>
        <w:top w:val="none" w:sz="0" w:space="0" w:color="auto"/>
        <w:left w:val="none" w:sz="0" w:space="0" w:color="auto"/>
        <w:bottom w:val="none" w:sz="0" w:space="0" w:color="auto"/>
        <w:right w:val="none" w:sz="0" w:space="0" w:color="auto"/>
      </w:divBdr>
    </w:div>
    <w:div w:id="132866789">
      <w:bodyDiv w:val="1"/>
      <w:marLeft w:val="0"/>
      <w:marRight w:val="0"/>
      <w:marTop w:val="0"/>
      <w:marBottom w:val="0"/>
      <w:divBdr>
        <w:top w:val="none" w:sz="0" w:space="0" w:color="auto"/>
        <w:left w:val="none" w:sz="0" w:space="0" w:color="auto"/>
        <w:bottom w:val="none" w:sz="0" w:space="0" w:color="auto"/>
        <w:right w:val="none" w:sz="0" w:space="0" w:color="auto"/>
      </w:divBdr>
    </w:div>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298222464">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 w:id="212653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ecisions/cop/?m=cop-16" TargetMode="External"/><Relationship Id="rId26" Type="http://schemas.openxmlformats.org/officeDocument/2006/relationships/hyperlink" Target="https://www.cbd.int/decisions/cop/?m=cop-15" TargetMode="External"/><Relationship Id="rId39" Type="http://schemas.openxmlformats.org/officeDocument/2006/relationships/hyperlink" Target="https://www.cbd.int/doc/legal/cbd-es.pdf" TargetMode="External"/><Relationship Id="rId3" Type="http://schemas.openxmlformats.org/officeDocument/2006/relationships/customXml" Target="../customXml/item3.xml"/><Relationship Id="rId21" Type="http://schemas.openxmlformats.org/officeDocument/2006/relationships/hyperlink" Target="https://www.cbd.int/recommendations/sbi/?m=sbi-04" TargetMode="External"/><Relationship Id="rId34" Type="http://schemas.openxmlformats.org/officeDocument/2006/relationships/hyperlink" Target="https://www.cbd.int/decisions/?id=13648" TargetMode="External"/><Relationship Id="rId42" Type="http://schemas.openxmlformats.org/officeDocument/2006/relationships/hyperlink" Target="https://www.cbd.int/decisions/cop/?m=cop-15"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ecisions/cop/?m=cop-15" TargetMode="External"/><Relationship Id="rId25" Type="http://schemas.openxmlformats.org/officeDocument/2006/relationships/hyperlink" Target="https://www.cbd.int/decisions/?id=13648" TargetMode="External"/><Relationship Id="rId33" Type="http://schemas.openxmlformats.org/officeDocument/2006/relationships/hyperlink" Target="https://www.cbd.int/decisions/?id=13366" TargetMode="External"/><Relationship Id="rId38" Type="http://schemas.openxmlformats.org/officeDocument/2006/relationships/hyperlink" Target="https://www.cbd.int/doc/legal/cbd-es.pdf"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legal/cbd-es.pdf" TargetMode="External"/><Relationship Id="rId20" Type="http://schemas.openxmlformats.org/officeDocument/2006/relationships/hyperlink" Target="https://www.cbd.int/decisions/cop/?m=cop-15" TargetMode="External"/><Relationship Id="rId29" Type="http://schemas.openxmlformats.org/officeDocument/2006/relationships/hyperlink" Target="https://www.cbd.int/doc/legal/cbd-es.pdf" TargetMode="External"/><Relationship Id="rId41" Type="http://schemas.openxmlformats.org/officeDocument/2006/relationships/hyperlink" Target="https://www.cbd.int/doc/legal/cbd-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ecisions/?id=13366" TargetMode="External"/><Relationship Id="rId32" Type="http://schemas.openxmlformats.org/officeDocument/2006/relationships/hyperlink" Target="https://www.cbd.int/decisions/cop/?m=cop-15" TargetMode="External"/><Relationship Id="rId37" Type="http://schemas.openxmlformats.org/officeDocument/2006/relationships/hyperlink" Target="https://www.cbd.int/convention/articles/default.shtml?a=cbd-20" TargetMode="External"/><Relationship Id="rId40" Type="http://schemas.openxmlformats.org/officeDocument/2006/relationships/hyperlink" Target="https://www.cbd.int/doc/legal/cbd-es.pdf" TargetMode="External"/><Relationship Id="rId45" Type="http://schemas.openxmlformats.org/officeDocument/2006/relationships/hyperlink" Target="https://www.cbd.int/doc/decisions/cop-16/cop-16-dec-02-es.pdf" TargetMode="External"/><Relationship Id="rId5" Type="http://schemas.openxmlformats.org/officeDocument/2006/relationships/numbering" Target="numbering.xml"/><Relationship Id="rId15" Type="http://schemas.openxmlformats.org/officeDocument/2006/relationships/hyperlink" Target="https://www.cbd.int/doc/legal/cbd-es.pdf" TargetMode="External"/><Relationship Id="rId23" Type="http://schemas.openxmlformats.org/officeDocument/2006/relationships/hyperlink" Target="https://www.cbd.int/decisions/cop/?m=cop-15" TargetMode="External"/><Relationship Id="rId28" Type="http://schemas.openxmlformats.org/officeDocument/2006/relationships/hyperlink" Target="https://www.cbd.int/doc/legal/cbd-es.pdf" TargetMode="External"/><Relationship Id="rId36" Type="http://schemas.openxmlformats.org/officeDocument/2006/relationships/hyperlink" Target="https://www.cbd.int/decisions/cop/?m=cop-15"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ecisions/cop/?m=cop-15" TargetMode="External"/><Relationship Id="rId31" Type="http://schemas.openxmlformats.org/officeDocument/2006/relationships/hyperlink" Target="https://www.cbd.int/decisions/cop/?m=cop-15" TargetMode="External"/><Relationship Id="rId44" Type="http://schemas.openxmlformats.org/officeDocument/2006/relationships/hyperlink" Target="https://www.cbd.int/decisions/?id=13366"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convention/articles/default.shtml?a=cbd-20" TargetMode="External"/><Relationship Id="rId22" Type="http://schemas.openxmlformats.org/officeDocument/2006/relationships/hyperlink" Target="https://www.cbd.int/convention/articles/default.shtml?a=cbd-20" TargetMode="External"/><Relationship Id="rId27" Type="http://schemas.openxmlformats.org/officeDocument/2006/relationships/hyperlink" Target="https://www.cbd.int/doc/legal/cbd-es.pdf" TargetMode="External"/><Relationship Id="rId30" Type="http://schemas.openxmlformats.org/officeDocument/2006/relationships/hyperlink" Target="https://www.cbd.int/doc/legal/cbd-es.pdf" TargetMode="External"/><Relationship Id="rId35" Type="http://schemas.openxmlformats.org/officeDocument/2006/relationships/hyperlink" Target="https://www.cbd.int/doc/legal/cbd-es.pdf" TargetMode="External"/><Relationship Id="rId43" Type="http://schemas.openxmlformats.org/officeDocument/2006/relationships/hyperlink" Target="https://www.cbd.int/doc/legal/cbd-es.pdf"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cop/?m=cop-16" TargetMode="External"/><Relationship Id="rId13" Type="http://schemas.openxmlformats.org/officeDocument/2006/relationships/hyperlink" Target="https://www.biofin.org/finance-solutions" TargetMode="External"/><Relationship Id="rId3" Type="http://schemas.openxmlformats.org/officeDocument/2006/relationships/hyperlink" Target="https://www.cbd.int/doc/decisions/cop-16/cop-16-dec-32-es.pdf" TargetMode="External"/><Relationship Id="rId7" Type="http://schemas.openxmlformats.org/officeDocument/2006/relationships/hyperlink" Target="https://www.cbd.int/decisions/cop/?m=cop-16" TargetMode="External"/><Relationship Id="rId12" Type="http://schemas.openxmlformats.org/officeDocument/2006/relationships/hyperlink" Target="https://www.cbd.int/decisions/cop/?m=cop-15" TargetMode="External"/><Relationship Id="rId2" Type="http://schemas.openxmlformats.org/officeDocument/2006/relationships/hyperlink" Target="https://www.cbd.int/documents/CBD/SBI/4/INF/10" TargetMode="External"/><Relationship Id="rId16" Type="http://schemas.openxmlformats.org/officeDocument/2006/relationships/hyperlink" Target="https://www.cbd.int/decisions/cop/?m=cop-15"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oc/notifications/2023/ntf-2023-132-rm-en.pdf" TargetMode="External"/><Relationship Id="rId11" Type="http://schemas.openxmlformats.org/officeDocument/2006/relationships/hyperlink" Target="https://www.cbd.int/decisions/cop/?m=cop-16" TargetMode="External"/><Relationship Id="rId5" Type="http://schemas.openxmlformats.org/officeDocument/2006/relationships/hyperlink" Target="https://www.cbd.int/doc/notifications/2023/ntf-2023-063-rm-en.pdf" TargetMode="External"/><Relationship Id="rId15" Type="http://schemas.openxmlformats.org/officeDocument/2006/relationships/hyperlink" Target="https://www.cbd.int/decisions/cop/?m=cop-16" TargetMode="External"/><Relationship Id="rId10" Type="http://schemas.openxmlformats.org/officeDocument/2006/relationships/hyperlink" Target="https://www.cbd.int/decisions/cop/?m=cop-16" TargetMode="External"/><Relationship Id="rId4" Type="http://schemas.openxmlformats.org/officeDocument/2006/relationships/hyperlink" Target="https://www.cbd.int/decisions/cop/?m=cop-15" TargetMode="External"/><Relationship Id="rId9" Type="http://schemas.openxmlformats.org/officeDocument/2006/relationships/hyperlink" Target="https://www.cbd.int/doc/decisions/cop-16/cop-16-dec-32-es.pdf" TargetMode="External"/><Relationship Id="rId14"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1FB0654E-34D9-48FF-8547-A49C4E917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2ED39-7F3E-4BA1-9B87-4EC48AC9BD99}">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sbstta-template.dotm</Template>
  <TotalTime>128</TotalTime>
  <Pages>14</Pages>
  <Words>6962</Words>
  <Characters>40591</Characters>
  <Application>Microsoft Office Word</Application>
  <DocSecurity>0</DocSecurity>
  <Lines>338</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Decision adopted by the Conference of the Parties to the Convention on Biological Diversity on 27 February 2025</vt:lpstr>
      <vt:lpstr>Resource mobilization</vt:lpstr>
    </vt:vector>
  </TitlesOfParts>
  <Company/>
  <LinksUpToDate>false</LinksUpToDate>
  <CharactersWithSpaces>47459</CharactersWithSpaces>
  <SharedDoc>false</SharedDoc>
  <HLinks>
    <vt:vector size="288" baseType="variant">
      <vt:variant>
        <vt:i4>983112</vt:i4>
      </vt:variant>
      <vt:variant>
        <vt:i4>93</vt:i4>
      </vt:variant>
      <vt:variant>
        <vt:i4>0</vt:i4>
      </vt:variant>
      <vt:variant>
        <vt:i4>5</vt:i4>
      </vt:variant>
      <vt:variant>
        <vt:lpwstr>https://www.cbd.int/doc/decisions/cop-16/cop-16-dec-02-en.pdf</vt:lpwstr>
      </vt:variant>
      <vt:variant>
        <vt:lpwstr/>
      </vt:variant>
      <vt:variant>
        <vt:i4>3145835</vt:i4>
      </vt:variant>
      <vt:variant>
        <vt:i4>90</vt:i4>
      </vt:variant>
      <vt:variant>
        <vt:i4>0</vt:i4>
      </vt:variant>
      <vt:variant>
        <vt:i4>5</vt:i4>
      </vt:variant>
      <vt:variant>
        <vt:lpwstr>https://www.cbd.int/decisions/?id=13366</vt:lpwstr>
      </vt:variant>
      <vt:variant>
        <vt:lpwstr/>
      </vt:variant>
      <vt:variant>
        <vt:i4>1638418</vt:i4>
      </vt:variant>
      <vt:variant>
        <vt:i4>87</vt:i4>
      </vt:variant>
      <vt:variant>
        <vt:i4>0</vt:i4>
      </vt:variant>
      <vt:variant>
        <vt:i4>5</vt:i4>
      </vt:variant>
      <vt:variant>
        <vt:lpwstr>https://www.cbd.int/doc/legal/cbd-en.pdf</vt:lpwstr>
      </vt:variant>
      <vt:variant>
        <vt:lpwstr/>
      </vt:variant>
      <vt:variant>
        <vt:i4>7209057</vt:i4>
      </vt:variant>
      <vt:variant>
        <vt:i4>84</vt:i4>
      </vt:variant>
      <vt:variant>
        <vt:i4>0</vt:i4>
      </vt:variant>
      <vt:variant>
        <vt:i4>5</vt:i4>
      </vt:variant>
      <vt:variant>
        <vt:lpwstr>https://www.cbd.int/decisions/cop/?m=cop-15</vt:lpwstr>
      </vt:variant>
      <vt:variant>
        <vt:lpwstr/>
      </vt:variant>
      <vt:variant>
        <vt:i4>1638418</vt:i4>
      </vt:variant>
      <vt:variant>
        <vt:i4>81</vt:i4>
      </vt:variant>
      <vt:variant>
        <vt:i4>0</vt:i4>
      </vt:variant>
      <vt:variant>
        <vt:i4>5</vt:i4>
      </vt:variant>
      <vt:variant>
        <vt:lpwstr>https://www.cbd.int/doc/legal/cbd-en.pdf</vt:lpwstr>
      </vt:variant>
      <vt:variant>
        <vt:lpwstr/>
      </vt:variant>
      <vt:variant>
        <vt:i4>1638418</vt:i4>
      </vt:variant>
      <vt:variant>
        <vt:i4>78</vt:i4>
      </vt:variant>
      <vt:variant>
        <vt:i4>0</vt:i4>
      </vt:variant>
      <vt:variant>
        <vt:i4>5</vt:i4>
      </vt:variant>
      <vt:variant>
        <vt:lpwstr>https://www.cbd.int/doc/legal/cbd-en.pdf</vt:lpwstr>
      </vt:variant>
      <vt:variant>
        <vt:lpwstr/>
      </vt:variant>
      <vt:variant>
        <vt:i4>1638418</vt:i4>
      </vt:variant>
      <vt:variant>
        <vt:i4>75</vt:i4>
      </vt:variant>
      <vt:variant>
        <vt:i4>0</vt:i4>
      </vt:variant>
      <vt:variant>
        <vt:i4>5</vt:i4>
      </vt:variant>
      <vt:variant>
        <vt:lpwstr>https://www.cbd.int/doc/legal/cbd-en.pdf</vt:lpwstr>
      </vt:variant>
      <vt:variant>
        <vt:lpwstr/>
      </vt:variant>
      <vt:variant>
        <vt:i4>1638418</vt:i4>
      </vt:variant>
      <vt:variant>
        <vt:i4>72</vt:i4>
      </vt:variant>
      <vt:variant>
        <vt:i4>0</vt:i4>
      </vt:variant>
      <vt:variant>
        <vt:i4>5</vt:i4>
      </vt:variant>
      <vt:variant>
        <vt:lpwstr>https://www.cbd.int/doc/legal/cbd-en.pdf</vt:lpwstr>
      </vt:variant>
      <vt:variant>
        <vt:lpwstr/>
      </vt:variant>
      <vt:variant>
        <vt:i4>3604542</vt:i4>
      </vt:variant>
      <vt:variant>
        <vt:i4>69</vt:i4>
      </vt:variant>
      <vt:variant>
        <vt:i4>0</vt:i4>
      </vt:variant>
      <vt:variant>
        <vt:i4>5</vt:i4>
      </vt:variant>
      <vt:variant>
        <vt:lpwstr>https://www.cbd.int/convention/articles/default.shtml?a=cbd-20</vt:lpwstr>
      </vt:variant>
      <vt:variant>
        <vt:lpwstr/>
      </vt:variant>
      <vt:variant>
        <vt:i4>7209057</vt:i4>
      </vt:variant>
      <vt:variant>
        <vt:i4>66</vt:i4>
      </vt:variant>
      <vt:variant>
        <vt:i4>0</vt:i4>
      </vt:variant>
      <vt:variant>
        <vt:i4>5</vt:i4>
      </vt:variant>
      <vt:variant>
        <vt:lpwstr>https://www.cbd.int/decisions/cop/?m=cop-15</vt:lpwstr>
      </vt:variant>
      <vt:variant>
        <vt:lpwstr/>
      </vt:variant>
      <vt:variant>
        <vt:i4>1638418</vt:i4>
      </vt:variant>
      <vt:variant>
        <vt:i4>63</vt:i4>
      </vt:variant>
      <vt:variant>
        <vt:i4>0</vt:i4>
      </vt:variant>
      <vt:variant>
        <vt:i4>5</vt:i4>
      </vt:variant>
      <vt:variant>
        <vt:lpwstr>https://www.cbd.int/doc/legal/cbd-en.pdf</vt:lpwstr>
      </vt:variant>
      <vt:variant>
        <vt:lpwstr/>
      </vt:variant>
      <vt:variant>
        <vt:i4>3276910</vt:i4>
      </vt:variant>
      <vt:variant>
        <vt:i4>60</vt:i4>
      </vt:variant>
      <vt:variant>
        <vt:i4>0</vt:i4>
      </vt:variant>
      <vt:variant>
        <vt:i4>5</vt:i4>
      </vt:variant>
      <vt:variant>
        <vt:lpwstr>https://www.cbd.int/decisions/?id=13648</vt:lpwstr>
      </vt:variant>
      <vt:variant>
        <vt:lpwstr/>
      </vt:variant>
      <vt:variant>
        <vt:i4>3145835</vt:i4>
      </vt:variant>
      <vt:variant>
        <vt:i4>57</vt:i4>
      </vt:variant>
      <vt:variant>
        <vt:i4>0</vt:i4>
      </vt:variant>
      <vt:variant>
        <vt:i4>5</vt:i4>
      </vt:variant>
      <vt:variant>
        <vt:lpwstr>https://www.cbd.int/decisions/?id=13366</vt:lpwstr>
      </vt:variant>
      <vt:variant>
        <vt:lpwstr/>
      </vt:variant>
      <vt:variant>
        <vt:i4>7209057</vt:i4>
      </vt:variant>
      <vt:variant>
        <vt:i4>54</vt:i4>
      </vt:variant>
      <vt:variant>
        <vt:i4>0</vt:i4>
      </vt:variant>
      <vt:variant>
        <vt:i4>5</vt:i4>
      </vt:variant>
      <vt:variant>
        <vt:lpwstr>https://www.cbd.int/decisions/cop/?m=cop-15</vt:lpwstr>
      </vt:variant>
      <vt:variant>
        <vt:lpwstr/>
      </vt:variant>
      <vt:variant>
        <vt:i4>7209057</vt:i4>
      </vt:variant>
      <vt:variant>
        <vt:i4>51</vt:i4>
      </vt:variant>
      <vt:variant>
        <vt:i4>0</vt:i4>
      </vt:variant>
      <vt:variant>
        <vt:i4>5</vt:i4>
      </vt:variant>
      <vt:variant>
        <vt:lpwstr>https://www.cbd.int/decisions/cop/?m=cop-15</vt:lpwstr>
      </vt:variant>
      <vt:variant>
        <vt:lpwstr/>
      </vt:variant>
      <vt:variant>
        <vt:i4>1638418</vt:i4>
      </vt:variant>
      <vt:variant>
        <vt:i4>48</vt:i4>
      </vt:variant>
      <vt:variant>
        <vt:i4>0</vt:i4>
      </vt:variant>
      <vt:variant>
        <vt:i4>5</vt:i4>
      </vt:variant>
      <vt:variant>
        <vt:lpwstr>https://www.cbd.int/doc/legal/cbd-en.pdf</vt:lpwstr>
      </vt:variant>
      <vt:variant>
        <vt:lpwstr/>
      </vt:variant>
      <vt:variant>
        <vt:i4>1638418</vt:i4>
      </vt:variant>
      <vt:variant>
        <vt:i4>45</vt:i4>
      </vt:variant>
      <vt:variant>
        <vt:i4>0</vt:i4>
      </vt:variant>
      <vt:variant>
        <vt:i4>5</vt:i4>
      </vt:variant>
      <vt:variant>
        <vt:lpwstr>https://www.cbd.int/doc/legal/cbd-en.pdf</vt:lpwstr>
      </vt:variant>
      <vt:variant>
        <vt:lpwstr/>
      </vt:variant>
      <vt:variant>
        <vt:i4>1638418</vt:i4>
      </vt:variant>
      <vt:variant>
        <vt:i4>42</vt:i4>
      </vt:variant>
      <vt:variant>
        <vt:i4>0</vt:i4>
      </vt:variant>
      <vt:variant>
        <vt:i4>5</vt:i4>
      </vt:variant>
      <vt:variant>
        <vt:lpwstr>https://www.cbd.int/doc/legal/cbd-en.pdf</vt:lpwstr>
      </vt:variant>
      <vt:variant>
        <vt:lpwstr/>
      </vt:variant>
      <vt:variant>
        <vt:i4>1638418</vt:i4>
      </vt:variant>
      <vt:variant>
        <vt:i4>39</vt:i4>
      </vt:variant>
      <vt:variant>
        <vt:i4>0</vt:i4>
      </vt:variant>
      <vt:variant>
        <vt:i4>5</vt:i4>
      </vt:variant>
      <vt:variant>
        <vt:lpwstr>https://www.cbd.int/doc/legal/cbd-en.pdf</vt:lpwstr>
      </vt:variant>
      <vt:variant>
        <vt:lpwstr/>
      </vt:variant>
      <vt:variant>
        <vt:i4>7209057</vt:i4>
      </vt:variant>
      <vt:variant>
        <vt:i4>36</vt:i4>
      </vt:variant>
      <vt:variant>
        <vt:i4>0</vt:i4>
      </vt:variant>
      <vt:variant>
        <vt:i4>5</vt:i4>
      </vt:variant>
      <vt:variant>
        <vt:lpwstr>https://www.cbd.int/decisions/cop/?m=cop-15</vt:lpwstr>
      </vt:variant>
      <vt:variant>
        <vt:lpwstr/>
      </vt:variant>
      <vt:variant>
        <vt:i4>3276910</vt:i4>
      </vt:variant>
      <vt:variant>
        <vt:i4>33</vt:i4>
      </vt:variant>
      <vt:variant>
        <vt:i4>0</vt:i4>
      </vt:variant>
      <vt:variant>
        <vt:i4>5</vt:i4>
      </vt:variant>
      <vt:variant>
        <vt:lpwstr>https://www.cbd.int/decisions/?id=13648</vt:lpwstr>
      </vt:variant>
      <vt:variant>
        <vt:lpwstr/>
      </vt:variant>
      <vt:variant>
        <vt:i4>3145835</vt:i4>
      </vt:variant>
      <vt:variant>
        <vt:i4>30</vt:i4>
      </vt:variant>
      <vt:variant>
        <vt:i4>0</vt:i4>
      </vt:variant>
      <vt:variant>
        <vt:i4>5</vt:i4>
      </vt:variant>
      <vt:variant>
        <vt:lpwstr>https://www.cbd.int/decisions/?id=13366</vt:lpwstr>
      </vt:variant>
      <vt:variant>
        <vt:lpwstr/>
      </vt:variant>
      <vt:variant>
        <vt:i4>7209057</vt:i4>
      </vt:variant>
      <vt:variant>
        <vt:i4>27</vt:i4>
      </vt:variant>
      <vt:variant>
        <vt:i4>0</vt:i4>
      </vt:variant>
      <vt:variant>
        <vt:i4>5</vt:i4>
      </vt:variant>
      <vt:variant>
        <vt:lpwstr>https://www.cbd.int/decisions/cop/?m=cop-15</vt:lpwstr>
      </vt:variant>
      <vt:variant>
        <vt:lpwstr/>
      </vt:variant>
      <vt:variant>
        <vt:i4>3604542</vt:i4>
      </vt:variant>
      <vt:variant>
        <vt:i4>24</vt:i4>
      </vt:variant>
      <vt:variant>
        <vt:i4>0</vt:i4>
      </vt:variant>
      <vt:variant>
        <vt:i4>5</vt:i4>
      </vt:variant>
      <vt:variant>
        <vt:lpwstr>https://www.cbd.int/convention/articles/default.shtml?a=cbd-20</vt:lpwstr>
      </vt:variant>
      <vt:variant>
        <vt:lpwstr/>
      </vt:variant>
      <vt:variant>
        <vt:i4>983064</vt:i4>
      </vt:variant>
      <vt:variant>
        <vt:i4>21</vt:i4>
      </vt:variant>
      <vt:variant>
        <vt:i4>0</vt:i4>
      </vt:variant>
      <vt:variant>
        <vt:i4>5</vt:i4>
      </vt:variant>
      <vt:variant>
        <vt:lpwstr>https://www.cbd.int/recommendations/sbi/?m=sbi-04</vt:lpwstr>
      </vt:variant>
      <vt:variant>
        <vt:lpwstr/>
      </vt:variant>
      <vt:variant>
        <vt:i4>7209057</vt:i4>
      </vt:variant>
      <vt:variant>
        <vt:i4>18</vt:i4>
      </vt:variant>
      <vt:variant>
        <vt:i4>0</vt:i4>
      </vt:variant>
      <vt:variant>
        <vt:i4>5</vt:i4>
      </vt:variant>
      <vt:variant>
        <vt:lpwstr>https://www.cbd.int/decisions/cop/?m=cop-15</vt:lpwstr>
      </vt:variant>
      <vt:variant>
        <vt:lpwstr/>
      </vt:variant>
      <vt:variant>
        <vt:i4>7209057</vt:i4>
      </vt:variant>
      <vt:variant>
        <vt:i4>15</vt:i4>
      </vt:variant>
      <vt:variant>
        <vt:i4>0</vt:i4>
      </vt:variant>
      <vt:variant>
        <vt:i4>5</vt:i4>
      </vt:variant>
      <vt:variant>
        <vt:lpwstr>https://www.cbd.int/decisions/cop/?m=cop-15</vt:lpwstr>
      </vt:variant>
      <vt:variant>
        <vt:lpwstr/>
      </vt:variant>
      <vt:variant>
        <vt:i4>7209057</vt:i4>
      </vt:variant>
      <vt:variant>
        <vt:i4>12</vt:i4>
      </vt:variant>
      <vt:variant>
        <vt:i4>0</vt:i4>
      </vt:variant>
      <vt:variant>
        <vt:i4>5</vt:i4>
      </vt:variant>
      <vt:variant>
        <vt:lpwstr>https://www.cbd.int/decisions/cop/?m=cop-16</vt:lpwstr>
      </vt:variant>
      <vt:variant>
        <vt:lpwstr/>
      </vt:variant>
      <vt:variant>
        <vt:i4>7209057</vt:i4>
      </vt:variant>
      <vt:variant>
        <vt:i4>9</vt:i4>
      </vt:variant>
      <vt:variant>
        <vt:i4>0</vt:i4>
      </vt:variant>
      <vt:variant>
        <vt:i4>5</vt:i4>
      </vt:variant>
      <vt:variant>
        <vt:lpwstr>https://www.cbd.int/decisions/cop/?m=cop-15</vt:lpwstr>
      </vt:variant>
      <vt:variant>
        <vt:lpwstr/>
      </vt:variant>
      <vt:variant>
        <vt:i4>1638418</vt:i4>
      </vt:variant>
      <vt:variant>
        <vt:i4>6</vt:i4>
      </vt:variant>
      <vt:variant>
        <vt:i4>0</vt:i4>
      </vt:variant>
      <vt:variant>
        <vt:i4>5</vt:i4>
      </vt:variant>
      <vt:variant>
        <vt:lpwstr>https://www.cbd.int/doc/legal/cbd-en.pdf</vt:lpwstr>
      </vt:variant>
      <vt:variant>
        <vt:lpwstr/>
      </vt:variant>
      <vt:variant>
        <vt:i4>1638418</vt:i4>
      </vt:variant>
      <vt:variant>
        <vt:i4>3</vt:i4>
      </vt:variant>
      <vt:variant>
        <vt:i4>0</vt:i4>
      </vt:variant>
      <vt:variant>
        <vt:i4>5</vt:i4>
      </vt:variant>
      <vt:variant>
        <vt:lpwstr>https://www.cbd.int/doc/legal/cbd-en.pdf</vt:lpwstr>
      </vt:variant>
      <vt:variant>
        <vt:lpwstr/>
      </vt:variant>
      <vt:variant>
        <vt:i4>3604542</vt:i4>
      </vt:variant>
      <vt:variant>
        <vt:i4>0</vt:i4>
      </vt:variant>
      <vt:variant>
        <vt:i4>0</vt:i4>
      </vt:variant>
      <vt:variant>
        <vt:i4>5</vt:i4>
      </vt:variant>
      <vt:variant>
        <vt:lpwstr>https://www.cbd.int/convention/articles/default.shtml?a=cbd-20</vt:lpwstr>
      </vt:variant>
      <vt:variant>
        <vt:lpwstr/>
      </vt:variant>
      <vt:variant>
        <vt:i4>7209057</vt:i4>
      </vt:variant>
      <vt:variant>
        <vt:i4>45</vt:i4>
      </vt:variant>
      <vt:variant>
        <vt:i4>0</vt:i4>
      </vt:variant>
      <vt:variant>
        <vt:i4>5</vt:i4>
      </vt:variant>
      <vt:variant>
        <vt:lpwstr>https://www.cbd.int/decisions/cop/?m=cop-15</vt:lpwstr>
      </vt:variant>
      <vt:variant>
        <vt:lpwstr/>
      </vt:variant>
      <vt:variant>
        <vt:i4>7209057</vt:i4>
      </vt:variant>
      <vt:variant>
        <vt:i4>42</vt:i4>
      </vt:variant>
      <vt:variant>
        <vt:i4>0</vt:i4>
      </vt:variant>
      <vt:variant>
        <vt:i4>5</vt:i4>
      </vt:variant>
      <vt:variant>
        <vt:lpwstr>https://www.cbd.int/decisions/cop/?m=cop-16</vt:lpwstr>
      </vt:variant>
      <vt:variant>
        <vt:lpwstr/>
      </vt:variant>
      <vt:variant>
        <vt:i4>7209057</vt:i4>
      </vt:variant>
      <vt:variant>
        <vt:i4>39</vt:i4>
      </vt:variant>
      <vt:variant>
        <vt:i4>0</vt:i4>
      </vt:variant>
      <vt:variant>
        <vt:i4>5</vt:i4>
      </vt:variant>
      <vt:variant>
        <vt:lpwstr>https://www.cbd.int/decisions/cop/?m=cop-15</vt:lpwstr>
      </vt:variant>
      <vt:variant>
        <vt:lpwstr/>
      </vt:variant>
      <vt:variant>
        <vt:i4>5570572</vt:i4>
      </vt:variant>
      <vt:variant>
        <vt:i4>36</vt:i4>
      </vt:variant>
      <vt:variant>
        <vt:i4>0</vt:i4>
      </vt:variant>
      <vt:variant>
        <vt:i4>5</vt:i4>
      </vt:variant>
      <vt:variant>
        <vt:lpwstr>https://www.biofin.org/finance-solutions</vt:lpwstr>
      </vt:variant>
      <vt:variant>
        <vt:lpwstr/>
      </vt:variant>
      <vt:variant>
        <vt:i4>7209057</vt:i4>
      </vt:variant>
      <vt:variant>
        <vt:i4>33</vt:i4>
      </vt:variant>
      <vt:variant>
        <vt:i4>0</vt:i4>
      </vt:variant>
      <vt:variant>
        <vt:i4>5</vt:i4>
      </vt:variant>
      <vt:variant>
        <vt:lpwstr>https://www.cbd.int/decisions/cop/?m=cop-15</vt:lpwstr>
      </vt:variant>
      <vt:variant>
        <vt:lpwstr/>
      </vt:variant>
      <vt:variant>
        <vt:i4>7209057</vt:i4>
      </vt:variant>
      <vt:variant>
        <vt:i4>30</vt:i4>
      </vt:variant>
      <vt:variant>
        <vt:i4>0</vt:i4>
      </vt:variant>
      <vt:variant>
        <vt:i4>5</vt:i4>
      </vt:variant>
      <vt:variant>
        <vt:lpwstr>https://www.cbd.int/decisions/cop/?m=cop-16</vt:lpwstr>
      </vt:variant>
      <vt:variant>
        <vt:lpwstr/>
      </vt:variant>
      <vt:variant>
        <vt:i4>7209057</vt:i4>
      </vt:variant>
      <vt:variant>
        <vt:i4>27</vt:i4>
      </vt:variant>
      <vt:variant>
        <vt:i4>0</vt:i4>
      </vt:variant>
      <vt:variant>
        <vt:i4>5</vt:i4>
      </vt:variant>
      <vt:variant>
        <vt:lpwstr>https://www.cbd.int/decisions/cop/?m=cop-16</vt:lpwstr>
      </vt:variant>
      <vt:variant>
        <vt:lpwstr/>
      </vt:variant>
      <vt:variant>
        <vt:i4>983115</vt:i4>
      </vt:variant>
      <vt:variant>
        <vt:i4>24</vt:i4>
      </vt:variant>
      <vt:variant>
        <vt:i4>0</vt:i4>
      </vt:variant>
      <vt:variant>
        <vt:i4>5</vt:i4>
      </vt:variant>
      <vt:variant>
        <vt:lpwstr>https://www.cbd.int/doc/decisions/cop-16/cop-16-dec-32-en.pdf</vt:lpwstr>
      </vt:variant>
      <vt:variant>
        <vt:lpwstr/>
      </vt:variant>
      <vt:variant>
        <vt:i4>7209057</vt:i4>
      </vt:variant>
      <vt:variant>
        <vt:i4>21</vt:i4>
      </vt:variant>
      <vt:variant>
        <vt:i4>0</vt:i4>
      </vt:variant>
      <vt:variant>
        <vt:i4>5</vt:i4>
      </vt:variant>
      <vt:variant>
        <vt:lpwstr>https://www.cbd.int/decisions/cop/?m=cop-16</vt:lpwstr>
      </vt:variant>
      <vt:variant>
        <vt:lpwstr/>
      </vt:variant>
      <vt:variant>
        <vt:i4>7209057</vt:i4>
      </vt:variant>
      <vt:variant>
        <vt:i4>18</vt:i4>
      </vt:variant>
      <vt:variant>
        <vt:i4>0</vt:i4>
      </vt:variant>
      <vt:variant>
        <vt:i4>5</vt:i4>
      </vt:variant>
      <vt:variant>
        <vt:lpwstr>https://www.cbd.int/decisions/cop/?m=cop-16</vt:lpwstr>
      </vt:variant>
      <vt:variant>
        <vt:lpwstr/>
      </vt:variant>
      <vt:variant>
        <vt:i4>5832733</vt:i4>
      </vt:variant>
      <vt:variant>
        <vt:i4>15</vt:i4>
      </vt:variant>
      <vt:variant>
        <vt:i4>0</vt:i4>
      </vt:variant>
      <vt:variant>
        <vt:i4>5</vt:i4>
      </vt:variant>
      <vt:variant>
        <vt:lpwstr>https://www.cbd.int/doc/notifications/2023/ntf-2023-132-rm-en.pdf</vt:lpwstr>
      </vt:variant>
      <vt:variant>
        <vt:lpwstr/>
      </vt:variant>
      <vt:variant>
        <vt:i4>6029341</vt:i4>
      </vt:variant>
      <vt:variant>
        <vt:i4>12</vt:i4>
      </vt:variant>
      <vt:variant>
        <vt:i4>0</vt:i4>
      </vt:variant>
      <vt:variant>
        <vt:i4>5</vt:i4>
      </vt:variant>
      <vt:variant>
        <vt:lpwstr>https://www.cbd.int/doc/notifications/2023/ntf-2023-063-rm-en.pdf</vt:lpwstr>
      </vt:variant>
      <vt:variant>
        <vt:lpwstr/>
      </vt:variant>
      <vt:variant>
        <vt:i4>7209057</vt:i4>
      </vt:variant>
      <vt:variant>
        <vt:i4>9</vt:i4>
      </vt:variant>
      <vt:variant>
        <vt:i4>0</vt:i4>
      </vt:variant>
      <vt:variant>
        <vt:i4>5</vt:i4>
      </vt:variant>
      <vt:variant>
        <vt:lpwstr>https://www.cbd.int/decisions/cop/?m=cop-15</vt:lpwstr>
      </vt:variant>
      <vt:variant>
        <vt:lpwstr/>
      </vt:variant>
      <vt:variant>
        <vt:i4>983115</vt:i4>
      </vt:variant>
      <vt:variant>
        <vt:i4>6</vt:i4>
      </vt:variant>
      <vt:variant>
        <vt:i4>0</vt:i4>
      </vt:variant>
      <vt:variant>
        <vt:i4>5</vt:i4>
      </vt:variant>
      <vt:variant>
        <vt:lpwstr>https://www.cbd.int/doc/decisions/cop-16/cop-16-dec-32-en.pdf</vt:lpwstr>
      </vt:variant>
      <vt:variant>
        <vt:lpwstr/>
      </vt:variant>
      <vt:variant>
        <vt:i4>4128826</vt:i4>
      </vt:variant>
      <vt:variant>
        <vt:i4>3</vt:i4>
      </vt:variant>
      <vt:variant>
        <vt:i4>0</vt:i4>
      </vt:variant>
      <vt:variant>
        <vt:i4>5</vt:i4>
      </vt:variant>
      <vt:variant>
        <vt:lpwstr>https://www.cbd.int/documents/CBD/SBI/4/INF/10</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27 February 2025</dc:title>
  <dc:subject>CBD/COP/DEC/16/34</dc:subject>
  <dc:creator>Secretariat of the Convention on Biological Diversity</dc:creator>
  <cp:keywords/>
  <dc:description/>
  <cp:lastModifiedBy>Mariko Nishi</cp:lastModifiedBy>
  <cp:revision>9</cp:revision>
  <cp:lastPrinted>2025-03-25T00:07:00Z</cp:lastPrinted>
  <dcterms:created xsi:type="dcterms:W3CDTF">2025-03-31T18:32:00Z</dcterms:created>
  <dcterms:modified xsi:type="dcterms:W3CDTF">2025-04-02T13:34:00Z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