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651BEB" w:rsidRPr="00AE771B" w14:paraId="2B872169" w14:textId="77777777" w:rsidTr="005B64D2">
        <w:trPr>
          <w:trHeight w:val="851"/>
        </w:trPr>
        <w:tc>
          <w:tcPr>
            <w:tcW w:w="465" w:type="pct"/>
            <w:tcBorders>
              <w:bottom w:val="single" w:sz="8" w:space="0" w:color="auto"/>
            </w:tcBorders>
            <w:vAlign w:val="bottom"/>
          </w:tcPr>
          <w:p w14:paraId="7BD51628" w14:textId="77777777" w:rsidR="00651BEB" w:rsidRPr="00AE771B" w:rsidRDefault="00651BEB" w:rsidP="005B64D2">
            <w:pPr>
              <w:spacing w:after="120"/>
              <w:jc w:val="left"/>
              <w:rPr>
                <w:lang w:val="fr-FR"/>
              </w:rPr>
            </w:pPr>
            <w:r w:rsidRPr="00AE771B">
              <w:rPr>
                <w:noProof/>
                <w:lang w:val="fr-FR"/>
              </w:rPr>
              <w:drawing>
                <wp:inline distT="0" distB="0" distL="0" distR="0" wp14:anchorId="270903A6" wp14:editId="1FDDD01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8BFF10C" w14:textId="77777777" w:rsidR="00651BEB" w:rsidRPr="00AE771B" w:rsidRDefault="00651BEB" w:rsidP="005B64D2">
            <w:pPr>
              <w:spacing w:after="120"/>
              <w:jc w:val="left"/>
              <w:rPr>
                <w:lang w:val="fr-FR"/>
              </w:rPr>
            </w:pPr>
            <w:r w:rsidRPr="00AE771B">
              <w:rPr>
                <w:noProof/>
                <w:lang w:val="fr-FR" w:eastAsia="fr-FR"/>
              </w:rPr>
              <w:drawing>
                <wp:inline distT="0" distB="0" distL="0" distR="0" wp14:anchorId="1B850BED" wp14:editId="5A274974">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368F1E38" w14:textId="77777777" w:rsidR="00651BEB" w:rsidRPr="00AE771B" w:rsidRDefault="00651BEB" w:rsidP="005B64D2">
            <w:pPr>
              <w:spacing w:after="120"/>
              <w:ind w:left="2021"/>
              <w:jc w:val="right"/>
              <w:rPr>
                <w:lang w:val="fr-FR"/>
              </w:rPr>
            </w:pPr>
            <w:r w:rsidRPr="00AE771B">
              <w:rPr>
                <w:sz w:val="40"/>
                <w:lang w:val="fr-FR"/>
              </w:rPr>
              <w:t>CBD</w:t>
            </w:r>
            <w:r w:rsidRPr="00AE771B">
              <w:rPr>
                <w:lang w:val="fr-FR"/>
              </w:rPr>
              <w:t>/COP/DEC/16/34</w:t>
            </w:r>
          </w:p>
        </w:tc>
      </w:tr>
      <w:tr w:rsidR="00651BEB" w:rsidRPr="00AE771B" w14:paraId="656CA81B" w14:textId="77777777" w:rsidTr="005B64D2">
        <w:tc>
          <w:tcPr>
            <w:tcW w:w="2297" w:type="pct"/>
            <w:gridSpan w:val="2"/>
            <w:tcBorders>
              <w:top w:val="single" w:sz="8" w:space="0" w:color="auto"/>
              <w:bottom w:val="single" w:sz="12" w:space="0" w:color="auto"/>
            </w:tcBorders>
          </w:tcPr>
          <w:p w14:paraId="7A199587" w14:textId="77777777" w:rsidR="00651BEB" w:rsidRPr="00AE771B" w:rsidRDefault="00651BEB" w:rsidP="005B64D2">
            <w:pPr>
              <w:pStyle w:val="Cornernotation"/>
              <w:suppressLineNumbers/>
              <w:suppressAutoHyphens/>
              <w:spacing w:before="120" w:after="120"/>
              <w:ind w:right="0"/>
              <w:rPr>
                <w:lang w:val="fr-FR"/>
              </w:rPr>
            </w:pPr>
            <w:r w:rsidRPr="00AE771B">
              <w:rPr>
                <w:noProof/>
                <w:lang w:val="fr-FR" w:eastAsia="fr-FR"/>
              </w:rPr>
              <w:drawing>
                <wp:inline distT="0" distB="0" distL="0" distR="0" wp14:anchorId="3039D67C" wp14:editId="35E629BD">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28A5AD2" w14:textId="77777777" w:rsidR="00651BEB" w:rsidRPr="00AE771B" w:rsidRDefault="00651BEB" w:rsidP="005B64D2">
            <w:pPr>
              <w:ind w:left="2584"/>
              <w:rPr>
                <w:lang w:val="fr-FR"/>
              </w:rPr>
            </w:pPr>
            <w:r w:rsidRPr="00AE771B">
              <w:rPr>
                <w:lang w:val="fr-FR"/>
              </w:rPr>
              <w:t>Distr. : générale</w:t>
            </w:r>
          </w:p>
          <w:p w14:paraId="50CB1104" w14:textId="77777777" w:rsidR="00651BEB" w:rsidRPr="00AE771B" w:rsidRDefault="00651BEB" w:rsidP="005B64D2">
            <w:pPr>
              <w:ind w:left="2584"/>
              <w:rPr>
                <w:lang w:val="fr-FR"/>
              </w:rPr>
            </w:pPr>
            <w:r w:rsidRPr="00AE771B">
              <w:rPr>
                <w:lang w:val="fr-FR"/>
              </w:rPr>
              <w:t>27 février 2025</w:t>
            </w:r>
          </w:p>
          <w:p w14:paraId="1958A16B" w14:textId="77777777" w:rsidR="00651BEB" w:rsidRPr="00AE771B" w:rsidRDefault="00651BEB" w:rsidP="005B64D2">
            <w:pPr>
              <w:ind w:left="2584"/>
              <w:rPr>
                <w:lang w:val="fr-FR"/>
              </w:rPr>
            </w:pPr>
            <w:r w:rsidRPr="00AE771B">
              <w:rPr>
                <w:lang w:val="fr-FR"/>
              </w:rPr>
              <w:t>Français</w:t>
            </w:r>
          </w:p>
          <w:p w14:paraId="78354CFA" w14:textId="77777777" w:rsidR="00651BEB" w:rsidRPr="00AE771B" w:rsidRDefault="00651BEB" w:rsidP="005B64D2">
            <w:pPr>
              <w:ind w:left="2584"/>
              <w:rPr>
                <w:lang w:val="fr-FR"/>
              </w:rPr>
            </w:pPr>
            <w:r w:rsidRPr="00AE771B">
              <w:rPr>
                <w:lang w:val="fr-FR"/>
              </w:rPr>
              <w:t>Original : anglais</w:t>
            </w:r>
          </w:p>
          <w:p w14:paraId="2FD6FB1F" w14:textId="77777777" w:rsidR="00651BEB" w:rsidRPr="00AE771B" w:rsidRDefault="00651BEB" w:rsidP="005B64D2">
            <w:pPr>
              <w:rPr>
                <w:lang w:val="fr-FR"/>
              </w:rPr>
            </w:pPr>
          </w:p>
        </w:tc>
      </w:tr>
    </w:tbl>
    <w:p w14:paraId="1479F777" w14:textId="77777777" w:rsidR="00651BEB" w:rsidRPr="00AE771B" w:rsidRDefault="00651BEB" w:rsidP="00651BEB">
      <w:pPr>
        <w:pStyle w:val="Cornernotation"/>
        <w:ind w:right="5249"/>
        <w:rPr>
          <w:bCs/>
          <w:lang w:val="fr-FR"/>
        </w:rPr>
      </w:pPr>
      <w:r w:rsidRPr="00AE771B">
        <w:rPr>
          <w:lang w:val="fr-FR"/>
        </w:rPr>
        <w:t>Conférence des Parties à la Convention sur la diversité biologique</w:t>
      </w:r>
    </w:p>
    <w:p w14:paraId="26175A09" w14:textId="77777777" w:rsidR="00651BEB" w:rsidRPr="00AE771B" w:rsidRDefault="00651BEB" w:rsidP="00651BEB">
      <w:pPr>
        <w:pStyle w:val="Cornernotation"/>
        <w:rPr>
          <w:bCs/>
          <w:sz w:val="22"/>
          <w:lang w:val="fr-FR"/>
        </w:rPr>
      </w:pPr>
      <w:r w:rsidRPr="00AE771B">
        <w:rPr>
          <w:bCs/>
          <w:sz w:val="22"/>
          <w:lang w:val="fr-FR"/>
        </w:rPr>
        <w:t xml:space="preserve">Seizième réunion </w:t>
      </w:r>
    </w:p>
    <w:p w14:paraId="68E5E1E2" w14:textId="77777777" w:rsidR="00651BEB" w:rsidRPr="00AE771B" w:rsidRDefault="00651BEB" w:rsidP="00651BEB">
      <w:pPr>
        <w:pStyle w:val="Venuedate"/>
        <w:rPr>
          <w:lang w:val="fr-FR"/>
        </w:rPr>
      </w:pPr>
      <w:r w:rsidRPr="00AE771B">
        <w:rPr>
          <w:lang w:val="fr-FR"/>
        </w:rPr>
        <w:t>Rome (Italie), 25–27 février 2025</w:t>
      </w:r>
    </w:p>
    <w:p w14:paraId="56179A67" w14:textId="77777777" w:rsidR="00651BEB" w:rsidRPr="00AE771B" w:rsidRDefault="00651BEB" w:rsidP="00651BEB">
      <w:pPr>
        <w:pStyle w:val="Cornernotation-Item"/>
        <w:rPr>
          <w:b w:val="0"/>
          <w:bCs w:val="0"/>
          <w:lang w:val="fr-FR"/>
        </w:rPr>
      </w:pPr>
      <w:r w:rsidRPr="00AE771B">
        <w:rPr>
          <w:b w:val="0"/>
          <w:bCs w:val="0"/>
          <w:lang w:val="fr-FR"/>
        </w:rPr>
        <w:t>Point 11 de l’ordre du jour</w:t>
      </w:r>
    </w:p>
    <w:p w14:paraId="628B528F" w14:textId="77777777" w:rsidR="00651BEB" w:rsidRPr="00AE771B" w:rsidRDefault="00651BEB" w:rsidP="00651BEB">
      <w:pPr>
        <w:pStyle w:val="Cornernotation-Item"/>
        <w:rPr>
          <w:lang w:val="fr-FR"/>
        </w:rPr>
      </w:pPr>
      <w:r w:rsidRPr="00AE771B">
        <w:rPr>
          <w:lang w:val="fr-FR"/>
        </w:rPr>
        <w:t>Mobilisation des ressources et mécanisme de financement</w:t>
      </w:r>
    </w:p>
    <w:p w14:paraId="15EB1C6E" w14:textId="77777777" w:rsidR="00651BEB" w:rsidRPr="00AE771B" w:rsidRDefault="00651BEB" w:rsidP="00651BEB">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360" w:after="120"/>
        <w:ind w:left="567"/>
        <w:rPr>
          <w:rFonts w:asciiTheme="majorBidi" w:eastAsia="Times New Roman" w:hAnsiTheme="majorBidi" w:cstheme="majorBidi"/>
          <w:b/>
          <w:bCs/>
          <w:iCs/>
          <w:snapToGrid w:val="0"/>
          <w:kern w:val="22"/>
          <w:sz w:val="28"/>
          <w:szCs w:val="28"/>
          <w:lang w:val="fr-FR"/>
        </w:rPr>
      </w:pPr>
      <w:r w:rsidRPr="00AE771B">
        <w:rPr>
          <w:rFonts w:asciiTheme="majorBidi" w:hAnsiTheme="majorBidi"/>
          <w:b/>
          <w:bCs/>
          <w:iCs/>
          <w:snapToGrid w:val="0"/>
          <w:sz w:val="28"/>
          <w:szCs w:val="28"/>
          <w:lang w:val="fr-FR"/>
        </w:rPr>
        <w:t xml:space="preserve">Décision adoptée par la conférence des </w:t>
      </w:r>
      <w:r>
        <w:rPr>
          <w:rFonts w:asciiTheme="majorBidi" w:hAnsiTheme="majorBidi"/>
          <w:b/>
          <w:bCs/>
          <w:iCs/>
          <w:snapToGrid w:val="0"/>
          <w:sz w:val="28"/>
          <w:szCs w:val="28"/>
          <w:lang w:val="fr-FR"/>
        </w:rPr>
        <w:t>P</w:t>
      </w:r>
      <w:r w:rsidRPr="00AE771B">
        <w:rPr>
          <w:rFonts w:asciiTheme="majorBidi" w:hAnsiTheme="majorBidi"/>
          <w:b/>
          <w:bCs/>
          <w:iCs/>
          <w:snapToGrid w:val="0"/>
          <w:sz w:val="28"/>
          <w:szCs w:val="28"/>
          <w:lang w:val="fr-FR"/>
        </w:rPr>
        <w:t xml:space="preserve">arties à la </w:t>
      </w:r>
      <w:r>
        <w:rPr>
          <w:rFonts w:asciiTheme="majorBidi" w:hAnsiTheme="majorBidi"/>
          <w:b/>
          <w:bCs/>
          <w:iCs/>
          <w:snapToGrid w:val="0"/>
          <w:sz w:val="28"/>
          <w:szCs w:val="28"/>
          <w:lang w:val="fr-FR"/>
        </w:rPr>
        <w:t>C</w:t>
      </w:r>
      <w:r w:rsidRPr="00AE771B">
        <w:rPr>
          <w:rFonts w:asciiTheme="majorBidi" w:hAnsiTheme="majorBidi"/>
          <w:b/>
          <w:bCs/>
          <w:iCs/>
          <w:snapToGrid w:val="0"/>
          <w:sz w:val="28"/>
          <w:szCs w:val="28"/>
          <w:lang w:val="fr-FR"/>
        </w:rPr>
        <w:t>onvention sur la diversité biologique le 27 février 2025</w:t>
      </w:r>
    </w:p>
    <w:p w14:paraId="77AE71B0" w14:textId="77777777" w:rsidR="00651BEB" w:rsidRPr="00AE771B" w:rsidRDefault="00651BEB" w:rsidP="00651BEB">
      <w:pPr>
        <w:pStyle w:val="CBDSubTitle"/>
        <w:rPr>
          <w:snapToGrid w:val="0"/>
          <w:lang w:val="fr-FR"/>
        </w:rPr>
      </w:pPr>
      <w:r w:rsidRPr="00AE771B">
        <w:rPr>
          <w:snapToGrid w:val="0"/>
          <w:lang w:val="fr-FR"/>
        </w:rPr>
        <w:t xml:space="preserve">16/34. </w:t>
      </w:r>
      <w:r w:rsidRPr="00AE771B">
        <w:rPr>
          <w:snapToGrid w:val="0"/>
          <w:lang w:val="fr-FR"/>
        </w:rPr>
        <w:tab/>
        <w:t>Mobilisation des ressources</w:t>
      </w:r>
    </w:p>
    <w:p w14:paraId="7A4C62F2" w14:textId="77777777" w:rsidR="00651BEB" w:rsidRPr="00AE771B" w:rsidRDefault="00651BEB" w:rsidP="00651BEB">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sz w:val="21"/>
          <w:szCs w:val="21"/>
          <w:lang w:val="fr-FR"/>
        </w:rPr>
      </w:pPr>
      <w:r w:rsidRPr="00AE771B">
        <w:rPr>
          <w:rFonts w:asciiTheme="majorBidi" w:hAnsiTheme="majorBidi"/>
          <w:i/>
          <w:iCs/>
          <w:snapToGrid w:val="0"/>
          <w:sz w:val="21"/>
          <w:szCs w:val="21"/>
          <w:lang w:val="fr-FR"/>
        </w:rPr>
        <w:t>La Conférence des Parties,</w:t>
      </w:r>
    </w:p>
    <w:p w14:paraId="5F7CE169" w14:textId="77777777" w:rsidR="00651BEB" w:rsidRPr="00AE771B" w:rsidRDefault="00651BEB" w:rsidP="00651BEB">
      <w:pPr>
        <w:keepNext/>
        <w:suppressLineNumbers/>
        <w:suppressAutoHyphens/>
        <w:kinsoku w:val="0"/>
        <w:overflowPunct w:val="0"/>
        <w:autoSpaceDE w:val="0"/>
        <w:autoSpaceDN w:val="0"/>
        <w:adjustRightInd w:val="0"/>
        <w:snapToGrid w:val="0"/>
        <w:spacing w:before="120" w:after="120"/>
        <w:ind w:left="567" w:firstLine="567"/>
        <w:rPr>
          <w:sz w:val="21"/>
          <w:szCs w:val="21"/>
          <w:lang w:val="fr-FR"/>
        </w:rPr>
      </w:pPr>
      <w:r w:rsidRPr="00AE771B">
        <w:rPr>
          <w:i/>
          <w:snapToGrid w:val="0"/>
          <w:sz w:val="21"/>
          <w:szCs w:val="21"/>
          <w:lang w:val="fr-FR"/>
        </w:rPr>
        <w:t xml:space="preserve">Rappelant </w:t>
      </w:r>
      <w:r w:rsidRPr="00AE771B">
        <w:rPr>
          <w:snapToGrid w:val="0"/>
          <w:sz w:val="21"/>
          <w:szCs w:val="21"/>
          <w:lang w:val="fr-FR"/>
        </w:rPr>
        <w:t>l’article </w:t>
      </w:r>
      <w:hyperlink r:id="rId14" w:history="1">
        <w:r w:rsidRPr="00AE771B">
          <w:rPr>
            <w:rStyle w:val="Lienhypertexte"/>
            <w:snapToGrid w:val="0"/>
            <w:sz w:val="21"/>
            <w:szCs w:val="21"/>
            <w:lang w:val="fr-FR"/>
          </w:rPr>
          <w:t>20</w:t>
        </w:r>
      </w:hyperlink>
      <w:r w:rsidRPr="00AE771B">
        <w:rPr>
          <w:snapToGrid w:val="0"/>
          <w:sz w:val="21"/>
          <w:szCs w:val="21"/>
          <w:lang w:val="fr-FR"/>
        </w:rPr>
        <w:t xml:space="preserve"> de la Convention sur la diversité biologique</w:t>
      </w:r>
      <w:r w:rsidRPr="00AE771B">
        <w:rPr>
          <w:rStyle w:val="Appelnotedebasdep"/>
          <w:snapToGrid w:val="0"/>
          <w:lang w:val="fr-FR" w:eastAsia="zh-CN"/>
        </w:rPr>
        <w:footnoteReference w:id="2"/>
      </w:r>
      <w:r w:rsidRPr="00AE771B">
        <w:rPr>
          <w:snapToGrid w:val="0"/>
          <w:sz w:val="21"/>
          <w:szCs w:val="21"/>
          <w:lang w:val="fr-FR"/>
        </w:rPr>
        <w:t xml:space="preserve"> en tant que texte de base régissant la fourniture et la mobilisation de ressources de toutes sources, ainsi que la pertinence des articles </w:t>
      </w:r>
      <w:hyperlink r:id="rId15" w:history="1">
        <w:r w:rsidRPr="00AE771B">
          <w:rPr>
            <w:rStyle w:val="Lienhypertexte"/>
            <w:snapToGrid w:val="0"/>
            <w:sz w:val="21"/>
            <w:szCs w:val="21"/>
            <w:lang w:val="fr-FR"/>
          </w:rPr>
          <w:t>11</w:t>
        </w:r>
      </w:hyperlink>
      <w:r w:rsidRPr="00AE771B">
        <w:rPr>
          <w:snapToGrid w:val="0"/>
          <w:sz w:val="21"/>
          <w:szCs w:val="21"/>
          <w:lang w:val="fr-FR"/>
        </w:rPr>
        <w:t xml:space="preserve"> et </w:t>
      </w:r>
      <w:hyperlink r:id="rId16" w:history="1">
        <w:r w:rsidRPr="00AE771B">
          <w:rPr>
            <w:rStyle w:val="Lienhypertexte"/>
            <w:snapToGrid w:val="0"/>
            <w:sz w:val="21"/>
            <w:szCs w:val="21"/>
            <w:lang w:val="fr-FR"/>
          </w:rPr>
          <w:t>21</w:t>
        </w:r>
      </w:hyperlink>
      <w:r w:rsidRPr="00AE771B">
        <w:rPr>
          <w:snapToGrid w:val="0"/>
          <w:sz w:val="21"/>
          <w:szCs w:val="21"/>
          <w:lang w:val="fr-FR"/>
        </w:rPr>
        <w:t xml:space="preserve"> à cet égard,</w:t>
      </w:r>
    </w:p>
    <w:p w14:paraId="54E070F4" w14:textId="77777777" w:rsidR="00651BEB" w:rsidRPr="00AE771B" w:rsidRDefault="00651BEB" w:rsidP="00651BEB">
      <w:pPr>
        <w:suppressLineNumbers/>
        <w:suppressAutoHyphens/>
        <w:spacing w:before="120" w:after="120"/>
        <w:ind w:left="567" w:firstLine="567"/>
        <w:rPr>
          <w:rFonts w:ascii="Calibri" w:eastAsia="DengXian" w:hAnsi="Calibri" w:cs="Arial"/>
          <w:sz w:val="21"/>
          <w:szCs w:val="21"/>
          <w:lang w:val="fr-FR"/>
        </w:rPr>
      </w:pPr>
      <w:r w:rsidRPr="00AE771B">
        <w:rPr>
          <w:bCs/>
          <w:i/>
          <w:iCs/>
          <w:snapToGrid w:val="0"/>
          <w:sz w:val="21"/>
          <w:szCs w:val="21"/>
          <w:lang w:val="fr-FR"/>
        </w:rPr>
        <w:t xml:space="preserve">Rappelant également </w:t>
      </w:r>
      <w:r w:rsidRPr="00AE771B">
        <w:rPr>
          <w:snapToGrid w:val="0"/>
          <w:sz w:val="21"/>
          <w:szCs w:val="21"/>
          <w:lang w:val="fr-FR"/>
        </w:rPr>
        <w:t>le Cadre mondial de la biodiversité de Kunming-Montréal</w:t>
      </w:r>
      <w:r w:rsidRPr="00AE771B">
        <w:rPr>
          <w:rStyle w:val="Appelnotedebasdep"/>
          <w:lang w:val="fr-FR"/>
        </w:rPr>
        <w:footnoteReference w:id="3"/>
      </w:r>
      <w:r w:rsidRPr="00AE771B">
        <w:rPr>
          <w:snapToGrid w:val="0"/>
          <w:sz w:val="21"/>
          <w:szCs w:val="21"/>
          <w:lang w:val="fr-FR"/>
        </w:rPr>
        <w:t>,</w:t>
      </w:r>
      <w:r w:rsidRPr="00AE771B">
        <w:rPr>
          <w:bCs/>
          <w:lang w:val="fr-FR"/>
        </w:rPr>
        <w:t xml:space="preserve"> </w:t>
      </w:r>
      <w:r w:rsidRPr="00A93BEC">
        <w:rPr>
          <w:bCs/>
          <w:snapToGrid w:val="0"/>
          <w:sz w:val="21"/>
          <w:szCs w:val="21"/>
          <w:lang w:val="fr-FR"/>
        </w:rPr>
        <w:t>y compris sa section C, l’objectif D et la cible 19, ainsi que l’objectif C et les cibles 13 à 16, 18 et 20</w:t>
      </w:r>
      <w:r w:rsidRPr="00AE771B">
        <w:rPr>
          <w:bCs/>
          <w:snapToGrid w:val="0"/>
          <w:sz w:val="21"/>
          <w:szCs w:val="21"/>
          <w:lang w:val="fr-FR"/>
        </w:rPr>
        <w:t>, et soulignant l’importance d’intégrer la biodiversité pour favoriser la mobilisation des ressources et l’utilisation efficace et efficiente des ressources, afin d’appuyer les mesures relatives à la conservation et à l’utilisation durable de la biodiversité,</w:t>
      </w:r>
    </w:p>
    <w:p w14:paraId="415A2B7D"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bCs/>
          <w:snapToGrid w:val="0"/>
          <w:sz w:val="21"/>
          <w:szCs w:val="21"/>
          <w:lang w:val="fr-FR"/>
        </w:rPr>
      </w:pPr>
      <w:r w:rsidRPr="00AE771B">
        <w:rPr>
          <w:rFonts w:asciiTheme="majorBidi" w:hAnsiTheme="majorBidi"/>
          <w:i/>
          <w:sz w:val="21"/>
          <w:szCs w:val="21"/>
          <w:lang w:val="fr-FR"/>
        </w:rPr>
        <w:t xml:space="preserve">Alarmée </w:t>
      </w:r>
      <w:r w:rsidRPr="00AE771B">
        <w:rPr>
          <w:rFonts w:asciiTheme="majorBidi" w:hAnsiTheme="majorBidi"/>
          <w:sz w:val="21"/>
          <w:szCs w:val="21"/>
          <w:lang w:val="fr-FR"/>
        </w:rPr>
        <w:t xml:space="preserve">par l’appauvrissement continu de la biodiversité et par la menace que cet appauvrissement fait peser sur la nature et le bien-être </w:t>
      </w:r>
      <w:r>
        <w:rPr>
          <w:rFonts w:asciiTheme="majorBidi" w:hAnsiTheme="majorBidi"/>
          <w:sz w:val="21"/>
          <w:szCs w:val="21"/>
          <w:lang w:val="fr-FR"/>
        </w:rPr>
        <w:t>des humains</w:t>
      </w:r>
      <w:r w:rsidRPr="00AE771B">
        <w:rPr>
          <w:rFonts w:asciiTheme="majorBidi" w:hAnsiTheme="majorBidi"/>
          <w:sz w:val="21"/>
          <w:szCs w:val="21"/>
          <w:lang w:val="fr-FR"/>
        </w:rPr>
        <w:t xml:space="preserve">, et </w:t>
      </w:r>
      <w:r w:rsidRPr="00AE771B">
        <w:rPr>
          <w:bCs/>
          <w:i/>
          <w:iCs/>
          <w:snapToGrid w:val="0"/>
          <w:sz w:val="21"/>
          <w:szCs w:val="21"/>
          <w:lang w:val="fr-FR"/>
        </w:rPr>
        <w:t>soulignant</w:t>
      </w:r>
      <w:r w:rsidRPr="00AE771B">
        <w:rPr>
          <w:bCs/>
          <w:snapToGrid w:val="0"/>
          <w:sz w:val="21"/>
          <w:szCs w:val="21"/>
          <w:lang w:val="fr-FR"/>
        </w:rPr>
        <w:t xml:space="preserve"> la nécessité d’accroître d’urgence la mobilisation des ressources financières provenant de toutes les sources, nationales et internationales, et publiques et privées, en vue de combler le déficit de financement de la biodiversité et de mettre à disposition en temps voulu des ressources adéquates et prévisibles pour mettre en œuvre efficacement le Cadre,</w:t>
      </w:r>
    </w:p>
    <w:p w14:paraId="3B433500" w14:textId="77777777" w:rsidR="00651BEB" w:rsidRPr="00AE771B" w:rsidRDefault="00651BEB" w:rsidP="00651BEB">
      <w:pPr>
        <w:ind w:left="567" w:firstLine="567"/>
        <w:rPr>
          <w:iCs/>
          <w:snapToGrid w:val="0"/>
          <w:lang w:val="fr-FR"/>
        </w:rPr>
      </w:pPr>
      <w:r w:rsidRPr="00AE771B">
        <w:rPr>
          <w:rFonts w:asciiTheme="majorBidi" w:hAnsiTheme="majorBidi"/>
          <w:i/>
          <w:sz w:val="21"/>
          <w:szCs w:val="21"/>
          <w:lang w:val="fr-FR"/>
        </w:rPr>
        <w:t xml:space="preserve">Constatant </w:t>
      </w:r>
      <w:r w:rsidRPr="00AE771B">
        <w:rPr>
          <w:rFonts w:asciiTheme="majorBidi" w:hAnsiTheme="majorBidi"/>
          <w:iCs/>
          <w:sz w:val="21"/>
          <w:szCs w:val="21"/>
          <w:lang w:val="fr-FR"/>
        </w:rPr>
        <w:t xml:space="preserve">une augmentation des ressources pour le développement en faveur de la biodiversité, tout en </w:t>
      </w:r>
      <w:r w:rsidRPr="00AE771B">
        <w:rPr>
          <w:rFonts w:asciiTheme="majorBidi" w:hAnsiTheme="majorBidi"/>
          <w:sz w:val="21"/>
          <w:szCs w:val="21"/>
          <w:lang w:val="fr-FR"/>
        </w:rPr>
        <w:t>soulignant que la réalisation de la cible 19 a) du Cadre est encore loin d’être achevée</w:t>
      </w:r>
      <w:r w:rsidRPr="00AE771B">
        <w:rPr>
          <w:lang w:val="fr-FR"/>
        </w:rPr>
        <w:t>,</w:t>
      </w:r>
    </w:p>
    <w:p w14:paraId="1C550BA2"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bCs/>
          <w:snapToGrid w:val="0"/>
          <w:sz w:val="21"/>
          <w:szCs w:val="21"/>
          <w:lang w:val="fr-FR"/>
        </w:rPr>
      </w:pPr>
      <w:r w:rsidRPr="00AE771B">
        <w:rPr>
          <w:bCs/>
          <w:i/>
          <w:iCs/>
          <w:snapToGrid w:val="0"/>
          <w:sz w:val="21"/>
          <w:szCs w:val="21"/>
          <w:lang w:val="fr-FR"/>
        </w:rPr>
        <w:t xml:space="preserve">Rappelant </w:t>
      </w:r>
      <w:r w:rsidRPr="00AE771B">
        <w:rPr>
          <w:bCs/>
          <w:snapToGrid w:val="0"/>
          <w:sz w:val="21"/>
          <w:szCs w:val="21"/>
          <w:lang w:val="fr-FR"/>
        </w:rPr>
        <w:t>sa décision </w:t>
      </w:r>
      <w:hyperlink r:id="rId17" w:history="1">
        <w:r w:rsidRPr="00AE771B">
          <w:rPr>
            <w:rStyle w:val="Lienhypertexte"/>
            <w:bCs/>
            <w:snapToGrid w:val="0"/>
            <w:sz w:val="21"/>
            <w:szCs w:val="21"/>
            <w:lang w:val="fr-FR"/>
          </w:rPr>
          <w:t>15/7</w:t>
        </w:r>
      </w:hyperlink>
      <w:r w:rsidRPr="00AE771B">
        <w:rPr>
          <w:bCs/>
          <w:snapToGrid w:val="0"/>
          <w:sz w:val="21"/>
          <w:szCs w:val="21"/>
          <w:lang w:val="fr-FR"/>
        </w:rPr>
        <w:t xml:space="preserve"> du 19 décembre 2022 et l’adoption d’une stratégie de mobilisation des ressources pour la période 2023-2024,</w:t>
      </w:r>
    </w:p>
    <w:p w14:paraId="05ABF609"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Raleway" w:cs="Raleway"/>
          <w:color w:val="000000" w:themeColor="text1"/>
          <w:sz w:val="21"/>
          <w:szCs w:val="21"/>
          <w:lang w:val="fr-FR"/>
        </w:rPr>
      </w:pPr>
      <w:r w:rsidRPr="00AE771B">
        <w:rPr>
          <w:rFonts w:asciiTheme="majorBidi" w:hAnsiTheme="majorBidi"/>
          <w:i/>
          <w:iCs/>
          <w:color w:val="000000" w:themeColor="text1"/>
          <w:sz w:val="21"/>
          <w:szCs w:val="21"/>
          <w:lang w:val="fr-FR"/>
        </w:rPr>
        <w:t xml:space="preserve">Se félicitant </w:t>
      </w:r>
      <w:r w:rsidRPr="00AE771B">
        <w:rPr>
          <w:rFonts w:asciiTheme="majorBidi" w:hAnsiTheme="majorBidi"/>
          <w:color w:val="000000" w:themeColor="text1"/>
          <w:sz w:val="21"/>
          <w:szCs w:val="21"/>
          <w:lang w:val="fr-FR"/>
        </w:rPr>
        <w:t>d</w:t>
      </w:r>
      <w:r w:rsidRPr="00AE771B">
        <w:rPr>
          <w:color w:val="000000" w:themeColor="text1"/>
          <w:sz w:val="21"/>
          <w:szCs w:val="21"/>
          <w:lang w:val="fr-FR"/>
        </w:rPr>
        <w:t>e la création du Fonds du Cadre mondial de la biodiversité par le Fonds pour l’environnement mondial et des contributions versées à ce jour au Fonds</w:t>
      </w:r>
      <w:r w:rsidRPr="00294959">
        <w:rPr>
          <w:color w:val="000000" w:themeColor="text1"/>
          <w:sz w:val="21"/>
          <w:szCs w:val="21"/>
          <w:lang w:val="fr-FR"/>
        </w:rPr>
        <w:t xml:space="preserve"> </w:t>
      </w:r>
      <w:r w:rsidRPr="00AE771B">
        <w:rPr>
          <w:color w:val="000000" w:themeColor="text1"/>
          <w:sz w:val="21"/>
          <w:szCs w:val="21"/>
          <w:lang w:val="fr-FR"/>
        </w:rPr>
        <w:t>du Cadre, tout en reconnaissant le besoin urgent de les accroître pour atteindre la cible 19 a) du Cadre,</w:t>
      </w:r>
    </w:p>
    <w:p w14:paraId="310A62E1"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rFonts w:asciiTheme="majorBidi" w:hAnsiTheme="majorBidi"/>
          <w:i/>
          <w:iCs/>
          <w:color w:val="000000" w:themeColor="text1"/>
          <w:sz w:val="21"/>
          <w:szCs w:val="21"/>
          <w:lang w:val="fr-FR"/>
        </w:rPr>
        <w:t>Tenant compte</w:t>
      </w:r>
      <w:r w:rsidRPr="00AE771B">
        <w:rPr>
          <w:rFonts w:asciiTheme="majorBidi" w:hAnsiTheme="majorBidi"/>
          <w:color w:val="000000" w:themeColor="text1"/>
          <w:sz w:val="21"/>
          <w:szCs w:val="21"/>
          <w:lang w:val="fr-FR"/>
        </w:rPr>
        <w:t xml:space="preserve"> de sa décision </w:t>
      </w:r>
      <w:hyperlink r:id="rId18" w:history="1">
        <w:r w:rsidRPr="00AE771B">
          <w:rPr>
            <w:rStyle w:val="Lienhypertexte"/>
            <w:rFonts w:asciiTheme="majorBidi" w:hAnsiTheme="majorBidi"/>
            <w:sz w:val="21"/>
            <w:szCs w:val="21"/>
            <w:lang w:val="fr-FR"/>
          </w:rPr>
          <w:t>16/2</w:t>
        </w:r>
      </w:hyperlink>
      <w:r w:rsidRPr="00AE771B">
        <w:rPr>
          <w:rFonts w:asciiTheme="majorBidi" w:hAnsiTheme="majorBidi"/>
          <w:color w:val="000000" w:themeColor="text1"/>
          <w:sz w:val="21"/>
          <w:szCs w:val="21"/>
          <w:lang w:val="fr-FR"/>
        </w:rPr>
        <w:t xml:space="preserve"> du 1</w:t>
      </w:r>
      <w:r w:rsidRPr="00AE771B">
        <w:rPr>
          <w:rFonts w:asciiTheme="majorBidi" w:hAnsiTheme="majorBidi"/>
          <w:color w:val="000000" w:themeColor="text1"/>
          <w:sz w:val="21"/>
          <w:szCs w:val="21"/>
          <w:vertAlign w:val="superscript"/>
          <w:lang w:val="fr-FR"/>
        </w:rPr>
        <w:t>er</w:t>
      </w:r>
      <w:r w:rsidRPr="00AE771B">
        <w:rPr>
          <w:rFonts w:asciiTheme="majorBidi" w:hAnsiTheme="majorBidi"/>
          <w:color w:val="000000" w:themeColor="text1"/>
          <w:sz w:val="21"/>
          <w:szCs w:val="21"/>
          <w:lang w:val="fr-FR"/>
        </w:rPr>
        <w:t xml:space="preserve"> novembre 2024, par laquelle elle a mis en œuvre le « Fonds de Cali pour le partage juste et équitable des avantages découlant de l'utilisation de l'information </w:t>
      </w:r>
      <w:r w:rsidRPr="00AE771B">
        <w:rPr>
          <w:rFonts w:asciiTheme="majorBidi" w:hAnsiTheme="majorBidi"/>
          <w:color w:val="000000" w:themeColor="text1"/>
          <w:sz w:val="21"/>
          <w:szCs w:val="21"/>
          <w:lang w:val="fr-FR"/>
        </w:rPr>
        <w:lastRenderedPageBreak/>
        <w:t>de séquençage numérique sur les ressources génétiques » à titre de fonds mondial pour l’information de séquençage numérique sur les ressources génétiques, conformément à la décision </w:t>
      </w:r>
      <w:hyperlink r:id="rId19" w:history="1">
        <w:r w:rsidRPr="00AE771B">
          <w:rPr>
            <w:rStyle w:val="Lienhypertexte"/>
            <w:rFonts w:asciiTheme="majorBidi" w:hAnsiTheme="majorBidi"/>
            <w:sz w:val="21"/>
            <w:szCs w:val="21"/>
            <w:lang w:val="fr-FR"/>
          </w:rPr>
          <w:t>15/9</w:t>
        </w:r>
      </w:hyperlink>
      <w:r w:rsidRPr="00AE771B">
        <w:rPr>
          <w:rFonts w:asciiTheme="majorBidi" w:hAnsiTheme="majorBidi"/>
          <w:color w:val="000000" w:themeColor="text1"/>
          <w:sz w:val="21"/>
          <w:szCs w:val="21"/>
          <w:lang w:val="fr-FR"/>
        </w:rPr>
        <w:t xml:space="preserve"> du 19 décembre 2022,</w:t>
      </w:r>
    </w:p>
    <w:p w14:paraId="768020A3"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i/>
          <w:iCs/>
          <w:sz w:val="21"/>
          <w:szCs w:val="21"/>
          <w:lang w:val="fr-FR"/>
        </w:rPr>
        <w:t xml:space="preserve">Notant </w:t>
      </w:r>
      <w:r w:rsidRPr="00AE771B">
        <w:rPr>
          <w:sz w:val="21"/>
          <w:szCs w:val="21"/>
          <w:lang w:val="fr-FR"/>
        </w:rPr>
        <w:t>les travaux menés pour accélérer la réforme de l’architecture financière internationale et soulignant l’importance de veiller à ce que cette réforme contribue à combler le déficit de financement dans le domaine de la biodiversité,</w:t>
      </w:r>
    </w:p>
    <w:p w14:paraId="2C70F152"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i/>
          <w:iCs/>
          <w:sz w:val="21"/>
          <w:szCs w:val="21"/>
          <w:lang w:val="fr-FR"/>
        </w:rPr>
        <w:t>Soulignant</w:t>
      </w:r>
      <w:r w:rsidRPr="00AE771B">
        <w:rPr>
          <w:sz w:val="21"/>
          <w:szCs w:val="21"/>
          <w:lang w:val="fr-FR"/>
        </w:rPr>
        <w:t xml:space="preserve"> l’importance des dialogues fondés sur des données probantes et la nécessité d’évaluer les enseignements tirés et les expériences associés aux mécanismes de financement existants pour étayer les décisions politiques sur le financement en matière de biodiversité,</w:t>
      </w:r>
    </w:p>
    <w:p w14:paraId="03E6A40B"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i/>
          <w:iCs/>
          <w:sz w:val="21"/>
          <w:szCs w:val="21"/>
          <w:lang w:val="fr-FR"/>
        </w:rPr>
        <w:t>Notant</w:t>
      </w:r>
      <w:r w:rsidRPr="00AE771B">
        <w:rPr>
          <w:sz w:val="21"/>
          <w:szCs w:val="21"/>
          <w:lang w:val="fr-FR"/>
        </w:rPr>
        <w:t xml:space="preserve"> l’intérêt que présente l’optimisation des cobénéfices et des synergies des financements en faveur de la biodiversité et de l’action climatique, tout en soulignant la nécessité d’améliorer la transparence, le compte-rendu et la responsabilité en la matière, conformément aux mandats prévus par les différents accords multilatéraux sur l’environnement, </w:t>
      </w:r>
    </w:p>
    <w:p w14:paraId="422FF7E3"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z w:val="21"/>
          <w:szCs w:val="21"/>
          <w:lang w:val="fr-FR"/>
        </w:rPr>
      </w:pPr>
      <w:r w:rsidRPr="00AE771B">
        <w:rPr>
          <w:rFonts w:asciiTheme="majorBidi" w:hAnsiTheme="majorBidi"/>
          <w:i/>
          <w:iCs/>
          <w:sz w:val="21"/>
          <w:szCs w:val="21"/>
          <w:lang w:val="fr-FR"/>
        </w:rPr>
        <w:t>Constatant</w:t>
      </w:r>
      <w:r w:rsidRPr="00AE771B">
        <w:rPr>
          <w:rFonts w:asciiTheme="majorBidi" w:hAnsiTheme="majorBidi"/>
          <w:sz w:val="21"/>
          <w:szCs w:val="21"/>
          <w:lang w:val="fr-FR"/>
        </w:rPr>
        <w:t xml:space="preserve"> les avantages des délibérations en temps opportun pour la conception de solutions efficaces, exhaustives et durables afin de combler le déficit de financement en matière de biodiversité,</w:t>
      </w:r>
    </w:p>
    <w:p w14:paraId="45459AA7"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z w:val="21"/>
          <w:szCs w:val="21"/>
          <w:lang w:val="fr-FR"/>
        </w:rPr>
      </w:pPr>
      <w:r w:rsidRPr="00AE771B">
        <w:rPr>
          <w:rFonts w:asciiTheme="majorBidi" w:hAnsiTheme="majorBidi"/>
          <w:i/>
          <w:iCs/>
          <w:sz w:val="21"/>
          <w:szCs w:val="21"/>
          <w:lang w:val="fr-FR"/>
        </w:rPr>
        <w:t>Reconnaissant</w:t>
      </w:r>
      <w:r w:rsidRPr="00AE771B">
        <w:rPr>
          <w:rFonts w:asciiTheme="majorBidi" w:hAnsiTheme="majorBidi"/>
          <w:sz w:val="21"/>
          <w:szCs w:val="21"/>
          <w:lang w:val="fr-FR"/>
        </w:rPr>
        <w:t xml:space="preserve"> que la complexité et la fragmentation du paysage d</w:t>
      </w:r>
      <w:r>
        <w:rPr>
          <w:rFonts w:asciiTheme="majorBidi" w:hAnsiTheme="majorBidi"/>
          <w:sz w:val="21"/>
          <w:szCs w:val="21"/>
          <w:lang w:val="fr-FR"/>
        </w:rPr>
        <w:t>u</w:t>
      </w:r>
      <w:r w:rsidRPr="00AE771B">
        <w:rPr>
          <w:rFonts w:asciiTheme="majorBidi" w:hAnsiTheme="majorBidi"/>
          <w:sz w:val="21"/>
          <w:szCs w:val="21"/>
          <w:lang w:val="fr-FR"/>
        </w:rPr>
        <w:t xml:space="preserve"> financement en matière de biodiversité nécessite une approche globale qui favorisera la complémentarité, l’efficacité et l’accroissement prévisible du financement provenant de toutes les sources,</w:t>
      </w:r>
    </w:p>
    <w:p w14:paraId="1A4AD4AF"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i/>
          <w:iCs/>
          <w:sz w:val="21"/>
          <w:szCs w:val="21"/>
          <w:lang w:val="fr-FR"/>
        </w:rPr>
        <w:t xml:space="preserve">Reconnaissant aussi </w:t>
      </w:r>
      <w:r w:rsidRPr="00AE771B">
        <w:rPr>
          <w:sz w:val="21"/>
          <w:szCs w:val="21"/>
          <w:lang w:val="fr-FR"/>
        </w:rPr>
        <w:t xml:space="preserve">que, malgré le rôle important qu’ils jouent dans la mise en œuvre de la Convention et de ses Protocoles et dans la réalisation du Cadre, les peuples autochtones et communautés locales, les femmes et les jeunes ne peuvent pas toujours accéder de manière adéquate aux ressources financières en faveur de la biodiversité, </w:t>
      </w:r>
    </w:p>
    <w:p w14:paraId="43CDF326"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fr-FR"/>
        </w:rPr>
      </w:pPr>
      <w:r w:rsidRPr="00AE771B">
        <w:rPr>
          <w:i/>
          <w:iCs/>
          <w:sz w:val="21"/>
          <w:szCs w:val="21"/>
          <w:lang w:val="fr-FR"/>
        </w:rPr>
        <w:t xml:space="preserve">Réaffirmant </w:t>
      </w:r>
      <w:r w:rsidRPr="00AE771B">
        <w:rPr>
          <w:bCs/>
          <w:sz w:val="21"/>
          <w:szCs w:val="21"/>
          <w:lang w:val="fr-FR"/>
        </w:rPr>
        <w:t xml:space="preserve">que la fourniture et la mobilisation de ressources provenant de toutes les sources aux fins de la mise en œuvre de la Convention et de ses Protocoles ainsi que de la réalisation des objectifs et cibles du </w:t>
      </w:r>
      <w:r w:rsidRPr="00AE771B">
        <w:rPr>
          <w:bCs/>
          <w:snapToGrid w:val="0"/>
          <w:sz w:val="21"/>
          <w:szCs w:val="21"/>
          <w:lang w:val="fr-FR"/>
        </w:rPr>
        <w:t xml:space="preserve">Cadre </w:t>
      </w:r>
      <w:r w:rsidRPr="00AE771B">
        <w:rPr>
          <w:bCs/>
          <w:sz w:val="21"/>
          <w:szCs w:val="21"/>
          <w:lang w:val="fr-FR"/>
        </w:rPr>
        <w:t>devraient suivre une approche fondée sur les droits de l’homme et soucieuse de l’égalité des sexes</w:t>
      </w:r>
      <w:r w:rsidRPr="00AE771B">
        <w:rPr>
          <w:sz w:val="21"/>
          <w:szCs w:val="21"/>
          <w:lang w:val="fr-FR"/>
        </w:rPr>
        <w:t>,</w:t>
      </w:r>
    </w:p>
    <w:p w14:paraId="4EF5CDC6"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napToGrid w:val="0"/>
          <w:kern w:val="22"/>
          <w:sz w:val="21"/>
          <w:szCs w:val="21"/>
          <w:lang w:val="fr-FR"/>
        </w:rPr>
      </w:pPr>
      <w:r w:rsidRPr="00AE771B">
        <w:rPr>
          <w:rFonts w:asciiTheme="majorBidi" w:hAnsiTheme="majorBidi"/>
          <w:i/>
          <w:iCs/>
          <w:sz w:val="21"/>
          <w:szCs w:val="21"/>
          <w:lang w:val="fr-FR"/>
        </w:rPr>
        <w:t xml:space="preserve">Rappelant </w:t>
      </w:r>
      <w:r w:rsidRPr="00AE771B">
        <w:rPr>
          <w:rFonts w:asciiTheme="majorBidi" w:hAnsiTheme="majorBidi"/>
          <w:sz w:val="21"/>
          <w:szCs w:val="21"/>
          <w:lang w:val="fr-FR"/>
        </w:rPr>
        <w:t>les paragraphes 40 à 43 et l’annexe II de la décision </w:t>
      </w:r>
      <w:hyperlink r:id="rId20" w:history="1">
        <w:r w:rsidRPr="00AE771B">
          <w:rPr>
            <w:rStyle w:val="Lienhypertexte"/>
            <w:rFonts w:asciiTheme="majorBidi" w:hAnsiTheme="majorBidi"/>
            <w:sz w:val="21"/>
            <w:szCs w:val="21"/>
            <w:lang w:val="fr-FR"/>
          </w:rPr>
          <w:t>15/7</w:t>
        </w:r>
      </w:hyperlink>
      <w:r w:rsidRPr="00AE771B">
        <w:rPr>
          <w:rFonts w:asciiTheme="majorBidi" w:hAnsiTheme="majorBidi"/>
          <w:sz w:val="21"/>
          <w:szCs w:val="21"/>
          <w:lang w:val="fr-FR"/>
        </w:rPr>
        <w:t xml:space="preserve">, notant avec satisfaction les travaux du Comité consultatif sur la mobilisation des ressources et </w:t>
      </w:r>
      <w:r w:rsidRPr="00AE771B">
        <w:rPr>
          <w:rFonts w:asciiTheme="majorBidi" w:hAnsiTheme="majorBidi"/>
          <w:snapToGrid w:val="0"/>
          <w:sz w:val="21"/>
          <w:szCs w:val="21"/>
          <w:lang w:val="fr-FR"/>
        </w:rPr>
        <w:t xml:space="preserve">notant que les actions volontaires recensées dans l’annexe II de la recommandation </w:t>
      </w:r>
      <w:hyperlink r:id="rId21" w:history="1">
        <w:r w:rsidRPr="00AE771B">
          <w:rPr>
            <w:rStyle w:val="Lienhypertexte"/>
            <w:rFonts w:asciiTheme="majorBidi" w:eastAsia="Times New Roman" w:hAnsiTheme="majorBidi" w:cstheme="majorBidi"/>
            <w:snapToGrid w:val="0"/>
            <w:kern w:val="22"/>
            <w:lang w:val="fr-FR"/>
          </w:rPr>
          <w:t>4/3</w:t>
        </w:r>
      </w:hyperlink>
      <w:r w:rsidRPr="00AE771B">
        <w:rPr>
          <w:rFonts w:asciiTheme="majorBidi" w:hAnsiTheme="majorBidi"/>
          <w:snapToGrid w:val="0"/>
          <w:sz w:val="21"/>
          <w:szCs w:val="21"/>
          <w:lang w:val="fr-FR"/>
        </w:rPr>
        <w:t xml:space="preserve"> du 29 mai 2024 de l'Organe subsidiaire chargé de l'application et les remarques conclusives figurant dans le document sur l'exploration du paysage du financement de la biodiversité</w:t>
      </w:r>
      <w:r w:rsidRPr="00AE771B">
        <w:rPr>
          <w:rFonts w:asciiTheme="majorBidi" w:eastAsia="Times New Roman" w:hAnsiTheme="majorBidi" w:cstheme="majorBidi"/>
          <w:snapToGrid w:val="0"/>
          <w:kern w:val="22"/>
          <w:sz w:val="21"/>
          <w:szCs w:val="21"/>
          <w:vertAlign w:val="superscript"/>
          <w:lang w:val="fr-FR"/>
        </w:rPr>
        <w:footnoteReference w:id="4"/>
      </w:r>
      <w:r w:rsidRPr="00AE771B">
        <w:rPr>
          <w:rFonts w:asciiTheme="majorBidi" w:hAnsiTheme="majorBidi"/>
          <w:sz w:val="21"/>
          <w:szCs w:val="21"/>
          <w:lang w:val="fr-FR"/>
        </w:rPr>
        <w:t xml:space="preserve"> </w:t>
      </w:r>
      <w:r w:rsidRPr="00AE771B">
        <w:rPr>
          <w:rFonts w:asciiTheme="majorBidi" w:hAnsiTheme="majorBidi"/>
          <w:snapToGrid w:val="0"/>
          <w:sz w:val="21"/>
          <w:szCs w:val="21"/>
          <w:lang w:val="fr-FR"/>
        </w:rPr>
        <w:t xml:space="preserve">pourraient améliorer ce paysage, </w:t>
      </w:r>
    </w:p>
    <w:p w14:paraId="46E3FE05" w14:textId="77777777" w:rsidR="00651BEB" w:rsidRPr="00AE771B" w:rsidRDefault="00651BEB" w:rsidP="00651BEB">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sz w:val="21"/>
          <w:szCs w:val="21"/>
          <w:lang w:val="fr-FR"/>
        </w:rPr>
      </w:pPr>
      <w:r w:rsidRPr="00AE771B">
        <w:rPr>
          <w:rFonts w:asciiTheme="majorBidi" w:hAnsiTheme="majorBidi"/>
          <w:i/>
          <w:iCs/>
          <w:snapToGrid w:val="0"/>
          <w:sz w:val="21"/>
          <w:szCs w:val="21"/>
          <w:lang w:val="fr-FR"/>
        </w:rPr>
        <w:t xml:space="preserve">Remerciant </w:t>
      </w:r>
      <w:r w:rsidRPr="00AE771B">
        <w:rPr>
          <w:rFonts w:asciiTheme="majorBidi" w:hAnsiTheme="majorBidi"/>
          <w:snapToGrid w:val="0"/>
          <w:sz w:val="21"/>
          <w:szCs w:val="21"/>
          <w:lang w:val="fr-FR"/>
        </w:rPr>
        <w:t xml:space="preserve">les gouvernements de la République démocratique du Congo et de la Colombie d’avoir accueilli respectivement les deuxième et troisième réunions du Comité consultatif, ainsi que l’Union européenne et le </w:t>
      </w:r>
      <w:r>
        <w:rPr>
          <w:rFonts w:asciiTheme="majorBidi" w:hAnsiTheme="majorBidi"/>
          <w:snapToGrid w:val="0"/>
          <w:sz w:val="21"/>
          <w:szCs w:val="21"/>
          <w:lang w:val="fr-FR"/>
        </w:rPr>
        <w:t>G</w:t>
      </w:r>
      <w:r w:rsidRPr="00AE771B">
        <w:rPr>
          <w:rFonts w:asciiTheme="majorBidi" w:hAnsiTheme="majorBidi"/>
          <w:snapToGrid w:val="0"/>
          <w:sz w:val="21"/>
          <w:szCs w:val="21"/>
          <w:lang w:val="fr-FR"/>
        </w:rPr>
        <w:t>ouvernement du Royaume-Uni de Grande-Bretagne et d’Irlande du Nord de leur appui financier,</w:t>
      </w:r>
    </w:p>
    <w:p w14:paraId="3394DE88"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z w:val="21"/>
          <w:szCs w:val="21"/>
          <w:lang w:val="fr-FR"/>
        </w:rPr>
      </w:pPr>
      <w:r w:rsidRPr="00AE771B">
        <w:rPr>
          <w:i/>
          <w:iCs/>
          <w:snapToGrid w:val="0"/>
          <w:sz w:val="21"/>
          <w:szCs w:val="21"/>
          <w:lang w:val="fr-FR"/>
        </w:rPr>
        <w:t xml:space="preserve">Exhorte </w:t>
      </w:r>
      <w:r w:rsidRPr="00AE771B">
        <w:rPr>
          <w:snapToGrid w:val="0"/>
          <w:sz w:val="21"/>
          <w:szCs w:val="21"/>
          <w:lang w:val="fr-FR"/>
        </w:rPr>
        <w:t xml:space="preserve">les Parties à poursuivre et à renforcer leurs efforts </w:t>
      </w:r>
      <w:r w:rsidRPr="00AE771B">
        <w:rPr>
          <w:sz w:val="21"/>
          <w:szCs w:val="21"/>
          <w:lang w:val="fr-FR"/>
        </w:rPr>
        <w:t>pour augmenter substantiellement et progressivement le niveau des ressources financières provenant de toutes les sources, de manière efficace, opportune et facilement accessible, y compris les ressources nationales et internationales, ainsi que publiques et privées, conformément à l’article </w:t>
      </w:r>
      <w:hyperlink r:id="rId22" w:history="1">
        <w:r w:rsidRPr="00AE771B">
          <w:rPr>
            <w:rStyle w:val="Lienhypertexte"/>
            <w:sz w:val="21"/>
            <w:szCs w:val="21"/>
            <w:lang w:val="fr-FR"/>
          </w:rPr>
          <w:t>20</w:t>
        </w:r>
      </w:hyperlink>
      <w:r w:rsidRPr="00AE771B">
        <w:rPr>
          <w:sz w:val="21"/>
          <w:szCs w:val="21"/>
          <w:lang w:val="fr-FR"/>
        </w:rPr>
        <w:t xml:space="preserve"> de la Convention sur la diversité biologique, afin d’atteindre la cible 19 du Cadre mondial de la biodiversité de Kunming-Montréal visant à mobiliser au moins 200 milliards de dollars des États-Unis par an d’ici à 2030 ;</w:t>
      </w:r>
    </w:p>
    <w:p w14:paraId="7129E3A4"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spacing w:before="120" w:after="120"/>
        <w:ind w:left="567" w:firstLine="567"/>
        <w:contextualSpacing w:val="0"/>
        <w:rPr>
          <w:snapToGrid w:val="0"/>
          <w:kern w:val="22"/>
          <w:sz w:val="21"/>
          <w:szCs w:val="21"/>
          <w:lang w:val="fr-FR"/>
        </w:rPr>
      </w:pPr>
      <w:r w:rsidRPr="00AE771B">
        <w:rPr>
          <w:i/>
          <w:iCs/>
          <w:sz w:val="21"/>
          <w:szCs w:val="21"/>
          <w:lang w:val="fr-FR"/>
        </w:rPr>
        <w:t>Pr</w:t>
      </w:r>
      <w:r w:rsidRPr="00AE771B">
        <w:rPr>
          <w:i/>
          <w:iCs/>
          <w:snapToGrid w:val="0"/>
          <w:sz w:val="21"/>
          <w:szCs w:val="21"/>
          <w:lang w:val="fr-FR"/>
        </w:rPr>
        <w:t>ie instamment</w:t>
      </w:r>
      <w:r w:rsidRPr="00AE771B">
        <w:rPr>
          <w:snapToGrid w:val="0"/>
          <w:sz w:val="21"/>
          <w:szCs w:val="21"/>
          <w:lang w:val="fr-FR"/>
        </w:rPr>
        <w:t xml:space="preserve"> les pays développés parties et les Parties qui assument volontairement les obligations des pays développés parties à poursuivre et à intensifier leurs efforts </w:t>
      </w:r>
      <w:r w:rsidRPr="00AE771B">
        <w:rPr>
          <w:sz w:val="21"/>
          <w:szCs w:val="21"/>
          <w:lang w:val="fr-FR"/>
        </w:rPr>
        <w:t>pour accroître le montant total des ressources financières internationales liées à la biodiversité</w:t>
      </w:r>
      <w:r w:rsidRPr="00AE771B">
        <w:rPr>
          <w:snapToGrid w:val="0"/>
          <w:sz w:val="21"/>
          <w:szCs w:val="21"/>
          <w:lang w:val="fr-FR"/>
        </w:rPr>
        <w:t xml:space="preserve">, </w:t>
      </w:r>
      <w:r w:rsidRPr="00AE771B">
        <w:rPr>
          <w:sz w:val="21"/>
          <w:szCs w:val="21"/>
          <w:lang w:val="fr-FR"/>
        </w:rPr>
        <w:t>y compris l’aide publique au développement</w:t>
      </w:r>
      <w:r w:rsidRPr="00AE771B">
        <w:rPr>
          <w:snapToGrid w:val="0"/>
          <w:sz w:val="21"/>
          <w:szCs w:val="21"/>
          <w:lang w:val="fr-FR"/>
        </w:rPr>
        <w:t>,</w:t>
      </w:r>
      <w:r w:rsidRPr="00AE771B">
        <w:rPr>
          <w:sz w:val="21"/>
          <w:szCs w:val="21"/>
          <w:lang w:val="fr-FR"/>
        </w:rPr>
        <w:t xml:space="preserve"> destinées aux pays en développement parties, en particulier les pays les moins avancés et les petits États insulaires en développement, ainsi que les Parties dont l’économie est en transition, afin </w:t>
      </w:r>
      <w:r w:rsidRPr="00AE771B">
        <w:rPr>
          <w:snapToGrid w:val="0"/>
          <w:sz w:val="21"/>
          <w:szCs w:val="21"/>
          <w:lang w:val="fr-FR"/>
        </w:rPr>
        <w:lastRenderedPageBreak/>
        <w:t xml:space="preserve">d’atteindre la cible 19 a) du Cadre en mobilisant </w:t>
      </w:r>
      <w:r w:rsidRPr="00AE771B">
        <w:rPr>
          <w:sz w:val="21"/>
          <w:szCs w:val="21"/>
          <w:lang w:val="fr-FR"/>
        </w:rPr>
        <w:t>au moins 20 milliards de dollars par an d’ici à 2025 et au moins 30 milliards de dollars par an d’ici à 2024 ;</w:t>
      </w:r>
    </w:p>
    <w:p w14:paraId="6F0EFB6B"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lang w:val="fr-FR"/>
        </w:rPr>
      </w:pPr>
      <w:r w:rsidRPr="00AE771B">
        <w:rPr>
          <w:i/>
          <w:iCs/>
          <w:snapToGrid w:val="0"/>
          <w:sz w:val="21"/>
          <w:szCs w:val="21"/>
          <w:lang w:val="fr-FR"/>
        </w:rPr>
        <w:t xml:space="preserve">Exhorte </w:t>
      </w:r>
      <w:r w:rsidRPr="00AE771B">
        <w:rPr>
          <w:snapToGrid w:val="0"/>
          <w:sz w:val="21"/>
          <w:szCs w:val="21"/>
          <w:lang w:val="fr-FR"/>
        </w:rPr>
        <w:t>les Parties à poursuivre et à renforcer leurs efforts en vue de la réalisation de la cible 18 du Cadre en éliminant, en supprimant progressivement ou en modifiant les incitations, y compris les subventions, préjudiciables à la biodiversité, de manière proportionnée, juste, équitable et efficace, tout en les réduisant substantiellement et progressivement d’au moins 500 milliards de dollars par an d’ici à 2030, en commençant par les incitations les plus préjudiciables, et en renforçant les incitations positives au service de la conservation et de l’utilisation durable de la biodiversité ;</w:t>
      </w:r>
    </w:p>
    <w:p w14:paraId="2CD026D7"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lang w:val="fr-FR"/>
        </w:rPr>
      </w:pPr>
      <w:r w:rsidRPr="00AE771B">
        <w:rPr>
          <w:rFonts w:asciiTheme="majorBidi" w:hAnsiTheme="majorBidi"/>
          <w:i/>
          <w:iCs/>
          <w:snapToGrid w:val="0"/>
          <w:sz w:val="21"/>
          <w:szCs w:val="21"/>
          <w:lang w:val="fr-FR"/>
        </w:rPr>
        <w:t xml:space="preserve">Adopte </w:t>
      </w:r>
      <w:r w:rsidRPr="00AE771B">
        <w:rPr>
          <w:rFonts w:asciiTheme="majorBidi" w:hAnsiTheme="majorBidi"/>
          <w:snapToGrid w:val="0"/>
          <w:sz w:val="21"/>
          <w:szCs w:val="21"/>
          <w:lang w:val="fr-FR"/>
        </w:rPr>
        <w:t>la stratégie de mobilisation des ressources pour la période 2025-2030, figurant à l’annexe I à la présente décision ;</w:t>
      </w:r>
    </w:p>
    <w:p w14:paraId="486EE065"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lang w:val="fr-FR"/>
        </w:rPr>
      </w:pPr>
      <w:r w:rsidRPr="00AE771B">
        <w:rPr>
          <w:i/>
          <w:iCs/>
          <w:snapToGrid w:val="0"/>
          <w:sz w:val="21"/>
          <w:szCs w:val="21"/>
          <w:lang w:val="fr-FR"/>
        </w:rPr>
        <w:t xml:space="preserve">Encourage </w:t>
      </w:r>
      <w:r w:rsidRPr="00AE771B">
        <w:rPr>
          <w:snapToGrid w:val="0"/>
          <w:sz w:val="21"/>
          <w:szCs w:val="21"/>
          <w:lang w:val="fr-FR"/>
        </w:rPr>
        <w:t xml:space="preserve">toutes les Parties, les autres gouvernements, les organisations, les banques multilatérales de développement, le secteur privé et les autres parties prenantes à utiliser la stratégie </w:t>
      </w:r>
      <w:r w:rsidRPr="00AE771B">
        <w:rPr>
          <w:rFonts w:asciiTheme="majorBidi" w:hAnsiTheme="majorBidi"/>
          <w:snapToGrid w:val="0"/>
          <w:sz w:val="21"/>
          <w:szCs w:val="21"/>
          <w:lang w:val="fr-FR"/>
        </w:rPr>
        <w:t xml:space="preserve">de mobilisation des ressources </w:t>
      </w:r>
      <w:r w:rsidRPr="00AE771B">
        <w:rPr>
          <w:snapToGrid w:val="0"/>
          <w:sz w:val="21"/>
          <w:szCs w:val="21"/>
          <w:lang w:val="fr-FR"/>
        </w:rPr>
        <w:t>en tant qu’orientation souple pour mobiliser des ressources nouvelles et supplémentaires provenant de toutes les sources et pour aligner les flux financiers en vue de faire appliquer la Convention et ses Protocoles ainsi que d’atteindre les objectifs et les cibles du Cadre, à la mesure de leur ambition ;</w:t>
      </w:r>
    </w:p>
    <w:p w14:paraId="60A357CF"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spacing w:before="120" w:after="120"/>
        <w:ind w:left="567" w:firstLine="567"/>
        <w:contextualSpacing w:val="0"/>
        <w:rPr>
          <w:rFonts w:asciiTheme="majorBidi" w:hAnsiTheme="majorBidi" w:cstheme="majorBidi"/>
          <w:snapToGrid w:val="0"/>
          <w:kern w:val="22"/>
          <w:sz w:val="21"/>
          <w:szCs w:val="21"/>
          <w:lang w:val="fr-FR"/>
        </w:rPr>
      </w:pPr>
      <w:r w:rsidRPr="00AE771B">
        <w:rPr>
          <w:i/>
          <w:iCs/>
          <w:sz w:val="21"/>
          <w:szCs w:val="21"/>
          <w:lang w:val="fr-FR"/>
        </w:rPr>
        <w:t xml:space="preserve">Souligne </w:t>
      </w:r>
      <w:r w:rsidRPr="00AE771B">
        <w:rPr>
          <w:sz w:val="21"/>
          <w:szCs w:val="21"/>
          <w:lang w:val="fr-FR"/>
        </w:rPr>
        <w:t>que la stratégie de mobilisation des ressources doit être mise en œuvre conformément aux considérations relatives à la mise en œuvre figurant à la section C du Cadre</w:t>
      </w:r>
      <w:r w:rsidRPr="00AE771B">
        <w:rPr>
          <w:rFonts w:asciiTheme="majorBidi" w:hAnsiTheme="majorBidi"/>
          <w:snapToGrid w:val="0"/>
          <w:sz w:val="21"/>
          <w:szCs w:val="21"/>
          <w:lang w:val="fr-FR"/>
        </w:rPr>
        <w:t>, en tenant compte des circonstances et des priorités nationales, tout en précisant que le but de la stratégie est d’encourager l’action sans compromettre les obligations et les mandats existants ;</w:t>
      </w:r>
    </w:p>
    <w:p w14:paraId="756C8739"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lang w:val="fr-FR"/>
        </w:rPr>
      </w:pPr>
      <w:r w:rsidRPr="00AE771B">
        <w:rPr>
          <w:i/>
          <w:iCs/>
          <w:sz w:val="21"/>
          <w:szCs w:val="21"/>
          <w:lang w:val="fr-FR"/>
        </w:rPr>
        <w:t xml:space="preserve">Rappelle </w:t>
      </w:r>
      <w:r w:rsidRPr="00AE771B">
        <w:rPr>
          <w:sz w:val="21"/>
          <w:szCs w:val="21"/>
          <w:lang w:val="fr-FR"/>
        </w:rPr>
        <w:t xml:space="preserve">sa décision de </w:t>
      </w:r>
      <w:r w:rsidRPr="00A93BEC">
        <w:t>maintenir l’examen de la mise en œuvre de la stratégie de mobilisation des ressources à chacune de ses réunions, à partir de la dix-septième réunion, dans le cadre du bilan mondial</w:t>
      </w:r>
      <w:r w:rsidRPr="00AE771B">
        <w:rPr>
          <w:rStyle w:val="Appelnotedebasdep"/>
          <w:snapToGrid w:val="0"/>
          <w:kern w:val="22"/>
          <w:lang w:val="fr-FR"/>
        </w:rPr>
        <w:footnoteReference w:id="5"/>
      </w:r>
      <w:r w:rsidRPr="00AE771B">
        <w:rPr>
          <w:snapToGrid w:val="0"/>
          <w:sz w:val="21"/>
          <w:szCs w:val="21"/>
          <w:lang w:val="fr-FR"/>
        </w:rPr>
        <w:t>, en établissant un processus itératif facilitant toute nouvelle adaptation de la stratégie et des dispositions institutionnelles associées afin de permettre la mobilisation en temps voulu des ressources à l’appui de la mise en œuvre du Cadre d’ici à 2030</w:t>
      </w:r>
      <w:r w:rsidRPr="00AE771B">
        <w:rPr>
          <w:rStyle w:val="Appelnotedebasdep"/>
          <w:snapToGrid w:val="0"/>
          <w:lang w:val="fr-FR"/>
        </w:rPr>
        <w:footnoteReference w:id="6"/>
      </w:r>
      <w:r w:rsidRPr="00AE771B">
        <w:rPr>
          <w:snapToGrid w:val="0"/>
          <w:sz w:val="21"/>
          <w:szCs w:val="21"/>
          <w:lang w:val="fr-FR"/>
        </w:rPr>
        <w:t> ;</w:t>
      </w:r>
    </w:p>
    <w:p w14:paraId="5F8C8C8B"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lang w:val="fr-FR"/>
        </w:rPr>
      </w:pPr>
      <w:r w:rsidRPr="00AE771B">
        <w:rPr>
          <w:i/>
          <w:sz w:val="21"/>
          <w:szCs w:val="21"/>
          <w:lang w:val="fr-FR"/>
        </w:rPr>
        <w:t xml:space="preserve">Invite </w:t>
      </w:r>
      <w:r w:rsidRPr="00AE771B">
        <w:rPr>
          <w:sz w:val="21"/>
          <w:szCs w:val="21"/>
          <w:lang w:val="fr-FR"/>
        </w:rPr>
        <w:t xml:space="preserve">les Parties ainsi que </w:t>
      </w:r>
      <w:r w:rsidRPr="00A93BEC">
        <w:t>les peuples autochtones et communautés locales, les gouvernements infranationaux, les villes et autres autorités locales, les organisations intergouvernementales, les autres accords multilatéraux sur l’environnement, les organisations non gouvernementales, les représentants des femmes et des jeunes, les organismes de recherche, les milieux d’affaires et financiers et les représentants des secteurs liés à la diversité biologique ou en dépendant</w:t>
      </w:r>
      <w:r w:rsidRPr="00AE771B">
        <w:rPr>
          <w:sz w:val="21"/>
          <w:szCs w:val="21"/>
          <w:lang w:val="fr-FR"/>
        </w:rPr>
        <w:t>, à fournir des informations pertinentes, notamment sur les bonnes pratiques, les innovations, les difficultés et les enseignements tirés, conformément à la décision </w:t>
      </w:r>
      <w:hyperlink r:id="rId23" w:history="1">
        <w:r w:rsidRPr="00AE771B">
          <w:rPr>
            <w:rStyle w:val="Lienhypertexte"/>
            <w:sz w:val="21"/>
            <w:szCs w:val="21"/>
            <w:lang w:val="fr-FR"/>
          </w:rPr>
          <w:t>15/6</w:t>
        </w:r>
      </w:hyperlink>
      <w:r w:rsidRPr="00AE771B">
        <w:rPr>
          <w:sz w:val="21"/>
          <w:szCs w:val="21"/>
          <w:lang w:val="fr-FR"/>
        </w:rPr>
        <w:t xml:space="preserve"> du 19 décembre 2022, à l’appui de l’examen susmentionné ;</w:t>
      </w:r>
    </w:p>
    <w:p w14:paraId="2DF88D7C" w14:textId="77777777" w:rsidR="00651BEB" w:rsidRPr="00AE771B" w:rsidRDefault="00651BEB" w:rsidP="00651BEB">
      <w:pPr>
        <w:pStyle w:val="Paragraphedeliste"/>
        <w:numPr>
          <w:ilvl w:val="0"/>
          <w:numId w:val="34"/>
        </w:numPr>
        <w:suppressLineNumbers/>
        <w:tabs>
          <w:tab w:val="clear" w:pos="567"/>
          <w:tab w:val="clear" w:pos="1134"/>
          <w:tab w:val="clear" w:pos="2268"/>
        </w:tabs>
        <w:spacing w:before="120" w:after="120"/>
        <w:ind w:left="567" w:firstLine="567"/>
        <w:contextualSpacing w:val="0"/>
        <w:rPr>
          <w:sz w:val="21"/>
          <w:szCs w:val="21"/>
          <w:lang w:val="fr-FR"/>
        </w:rPr>
      </w:pPr>
      <w:r w:rsidRPr="00AE771B">
        <w:rPr>
          <w:i/>
          <w:iCs/>
          <w:sz w:val="21"/>
          <w:szCs w:val="21"/>
          <w:lang w:val="fr-FR"/>
        </w:rPr>
        <w:t>Exhorte</w:t>
      </w:r>
      <w:r w:rsidRPr="00AE771B">
        <w:rPr>
          <w:sz w:val="21"/>
          <w:szCs w:val="21"/>
          <w:lang w:val="fr-FR"/>
        </w:rPr>
        <w:t xml:space="preserve"> les Parties, le secteur privé, les institutions financières et les banques multilatérales de développement à mettre en place et à faire respecter des garanties sociales et environnementales, ainsi qu’à appliquer une approche fondée sur les droits de l’homme dans le cadre de l’élaboration ou de l’amélioration d’instruments de financement de la biodiversité, en particulier des plans innovants, conformément aux lignes directrices facultatives pour protéger les mécanismes de financement de la biodiversité, figurant à l’annexe III à la décision  </w:t>
      </w:r>
      <w:hyperlink r:id="rId24" w:history="1">
        <w:r w:rsidRPr="00AE771B">
          <w:rPr>
            <w:rStyle w:val="Lienhypertexte"/>
            <w:sz w:val="21"/>
            <w:szCs w:val="21"/>
            <w:lang w:val="fr-FR"/>
          </w:rPr>
          <w:t>XII/3</w:t>
        </w:r>
      </w:hyperlink>
      <w:r w:rsidRPr="00AE771B">
        <w:rPr>
          <w:sz w:val="21"/>
          <w:szCs w:val="21"/>
          <w:lang w:val="fr-FR"/>
        </w:rPr>
        <w:t xml:space="preserve"> du 17 octobre 2014 et conformément à la décision </w:t>
      </w:r>
      <w:hyperlink r:id="rId25" w:history="1">
        <w:r w:rsidRPr="00AE771B">
          <w:rPr>
            <w:rStyle w:val="Lienhypertexte"/>
            <w:sz w:val="21"/>
            <w:szCs w:val="21"/>
            <w:lang w:val="fr-FR"/>
          </w:rPr>
          <w:t>14/15</w:t>
        </w:r>
      </w:hyperlink>
      <w:r w:rsidRPr="00AE771B">
        <w:rPr>
          <w:sz w:val="21"/>
          <w:szCs w:val="21"/>
          <w:lang w:val="fr-FR"/>
        </w:rPr>
        <w:t xml:space="preserve"> du 29 novembre 2018 ;</w:t>
      </w:r>
    </w:p>
    <w:p w14:paraId="3358917C" w14:textId="77777777" w:rsidR="00651BEB" w:rsidRPr="00AE771B" w:rsidRDefault="00651BEB" w:rsidP="00651BEB">
      <w:pPr>
        <w:pStyle w:val="Paragraphedeliste"/>
        <w:numPr>
          <w:ilvl w:val="0"/>
          <w:numId w:val="34"/>
        </w:numPr>
        <w:suppressLineNumbers/>
        <w:tabs>
          <w:tab w:val="clear" w:pos="567"/>
          <w:tab w:val="clear" w:pos="1134"/>
          <w:tab w:val="clear" w:pos="2268"/>
        </w:tabs>
        <w:spacing w:before="120" w:after="120"/>
        <w:ind w:left="567" w:firstLine="567"/>
        <w:contextualSpacing w:val="0"/>
        <w:rPr>
          <w:sz w:val="21"/>
          <w:szCs w:val="21"/>
          <w:lang w:val="fr-FR"/>
        </w:rPr>
      </w:pPr>
      <w:r w:rsidRPr="00AE771B">
        <w:rPr>
          <w:i/>
          <w:iCs/>
          <w:sz w:val="21"/>
          <w:szCs w:val="21"/>
          <w:lang w:val="fr-FR"/>
        </w:rPr>
        <w:t xml:space="preserve">Encourage </w:t>
      </w:r>
      <w:r w:rsidRPr="00AE771B">
        <w:rPr>
          <w:sz w:val="21"/>
          <w:szCs w:val="21"/>
          <w:lang w:val="fr-FR"/>
        </w:rPr>
        <w:t>les Parties à élaborer, actualiser et mettre en œuvre des plans nationaux de financement de la biodiversité ou des instruments similaires, en se fondant sur les stratégies et plans d’action nationaux pour la biodiversité et sur une évaluation des dépenses et des besoins de financement en matière de biodiversité, afin d’appuyer la mobilisation adéquate et en temps voulu des ressources financières nationales et internationales ainsi que publiques et privées aux fins de la mise en œuvre effective du Cadre ;</w:t>
      </w:r>
    </w:p>
    <w:p w14:paraId="67D207CE" w14:textId="77777777" w:rsidR="00651BEB" w:rsidRPr="00AE771B" w:rsidRDefault="00651BEB" w:rsidP="00651BEB">
      <w:pPr>
        <w:pStyle w:val="Paragraphedeliste"/>
        <w:numPr>
          <w:ilvl w:val="0"/>
          <w:numId w:val="34"/>
        </w:numPr>
        <w:suppressLineNumbers/>
        <w:tabs>
          <w:tab w:val="clear" w:pos="567"/>
          <w:tab w:val="clear" w:pos="1134"/>
          <w:tab w:val="clear" w:pos="2268"/>
        </w:tabs>
        <w:spacing w:before="120" w:after="120"/>
        <w:ind w:left="567" w:firstLine="567"/>
        <w:contextualSpacing w:val="0"/>
        <w:rPr>
          <w:sz w:val="21"/>
          <w:szCs w:val="21"/>
          <w:lang w:val="fr-FR"/>
        </w:rPr>
      </w:pPr>
      <w:r w:rsidRPr="00AE771B">
        <w:rPr>
          <w:i/>
          <w:iCs/>
          <w:sz w:val="21"/>
          <w:szCs w:val="21"/>
          <w:lang w:val="fr-FR"/>
        </w:rPr>
        <w:lastRenderedPageBreak/>
        <w:t xml:space="preserve">Encourage </w:t>
      </w:r>
      <w:r w:rsidRPr="00AE771B">
        <w:rPr>
          <w:sz w:val="21"/>
          <w:szCs w:val="21"/>
          <w:lang w:val="fr-FR"/>
        </w:rPr>
        <w:t>les pays développés parties à refléter dans leurs plans de financement nationaux ou instruments similaires leur contribution financière à la mise en œuvre de la Convention dans les pays en développement parties ;</w:t>
      </w:r>
    </w:p>
    <w:p w14:paraId="7F8247CB" w14:textId="77777777" w:rsidR="00651BEB" w:rsidRPr="00AE771B" w:rsidRDefault="00651BEB" w:rsidP="00651BEB">
      <w:pPr>
        <w:pStyle w:val="Paragraphedeliste"/>
        <w:numPr>
          <w:ilvl w:val="0"/>
          <w:numId w:val="34"/>
        </w:numPr>
        <w:suppressLineNumbers/>
        <w:tabs>
          <w:tab w:val="clear" w:pos="567"/>
          <w:tab w:val="clear" w:pos="1134"/>
          <w:tab w:val="clear" w:pos="2268"/>
        </w:tabs>
        <w:spacing w:before="120" w:after="120"/>
        <w:ind w:left="567" w:firstLine="567"/>
        <w:contextualSpacing w:val="0"/>
        <w:rPr>
          <w:sz w:val="21"/>
          <w:szCs w:val="21"/>
          <w:lang w:val="fr-FR"/>
        </w:rPr>
      </w:pPr>
      <w:r w:rsidRPr="00AE771B">
        <w:rPr>
          <w:i/>
          <w:iCs/>
          <w:sz w:val="21"/>
          <w:szCs w:val="21"/>
          <w:lang w:val="fr-FR"/>
        </w:rPr>
        <w:t xml:space="preserve">Encourage </w:t>
      </w:r>
      <w:r w:rsidRPr="00AE771B">
        <w:rPr>
          <w:sz w:val="21"/>
          <w:szCs w:val="21"/>
          <w:lang w:val="fr-FR"/>
        </w:rPr>
        <w:t>les pays en développement parties, selon qu'il convient, à fournir dans leurs plans nationaux de financement de la biodiversité des informations sur les développements en matière de financement et sur le développement et le transfert de technologies, ainsi que sur l'appui au renforcement des capacités nécessaire, reçu et exploité pour mettre en œuvre leurs stratégies et plans d'action nationaux pour la biodiversité ;</w:t>
      </w:r>
    </w:p>
    <w:p w14:paraId="44092E68" w14:textId="77777777" w:rsidR="00651BEB" w:rsidRPr="00AE771B" w:rsidRDefault="00651BEB" w:rsidP="00651BEB">
      <w:pPr>
        <w:pStyle w:val="Paragraphedeliste"/>
        <w:numPr>
          <w:ilvl w:val="0"/>
          <w:numId w:val="34"/>
        </w:numPr>
        <w:suppressLineNumbers/>
        <w:tabs>
          <w:tab w:val="clear" w:pos="567"/>
          <w:tab w:val="clear" w:pos="1134"/>
          <w:tab w:val="clear" w:pos="2268"/>
        </w:tabs>
        <w:spacing w:before="120" w:after="120"/>
        <w:ind w:left="567" w:firstLine="567"/>
        <w:contextualSpacing w:val="0"/>
        <w:rPr>
          <w:sz w:val="21"/>
          <w:szCs w:val="21"/>
          <w:lang w:val="fr-FR"/>
        </w:rPr>
      </w:pPr>
      <w:r w:rsidRPr="00AE771B">
        <w:rPr>
          <w:rFonts w:asciiTheme="majorBidi" w:hAnsiTheme="majorBidi"/>
          <w:i/>
          <w:iCs/>
          <w:snapToGrid w:val="0"/>
          <w:sz w:val="21"/>
          <w:szCs w:val="21"/>
          <w:lang w:val="fr-FR"/>
        </w:rPr>
        <w:t xml:space="preserve">Encourage </w:t>
      </w:r>
      <w:r w:rsidRPr="00AE771B">
        <w:rPr>
          <w:rFonts w:asciiTheme="majorBidi" w:hAnsiTheme="majorBidi"/>
          <w:snapToGrid w:val="0"/>
          <w:sz w:val="21"/>
          <w:szCs w:val="21"/>
          <w:lang w:val="fr-FR"/>
        </w:rPr>
        <w:t xml:space="preserve">toutes les Parties, et invite les autres gouvernements, à tenir compte de la </w:t>
      </w:r>
      <w:bookmarkStart w:id="0" w:name="_Hlk121213301"/>
      <w:r w:rsidRPr="00AE771B">
        <w:rPr>
          <w:rFonts w:asciiTheme="majorBidi" w:hAnsiTheme="majorBidi"/>
          <w:snapToGrid w:val="0"/>
          <w:sz w:val="21"/>
          <w:szCs w:val="21"/>
          <w:lang w:val="fr-FR"/>
        </w:rPr>
        <w:t xml:space="preserve">stratégie de mobilisation des ressources </w:t>
      </w:r>
      <w:bookmarkEnd w:id="0"/>
      <w:r w:rsidRPr="00AE771B">
        <w:rPr>
          <w:rFonts w:asciiTheme="majorBidi" w:hAnsiTheme="majorBidi"/>
          <w:snapToGrid w:val="0"/>
          <w:sz w:val="21"/>
          <w:szCs w:val="21"/>
          <w:lang w:val="fr-FR"/>
        </w:rPr>
        <w:t xml:space="preserve">dans l’élaboration, la mise à jour ou la mise en œuvre des stratégies et plans d’action nationaux pour la biodiversité et des cibles nationales, ainsi que des plans nationaux de financement de la biodiversité ou d’autres instruments similaires ; </w:t>
      </w:r>
    </w:p>
    <w:p w14:paraId="2F4628C5"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lang w:val="fr-FR"/>
        </w:rPr>
      </w:pPr>
      <w:r w:rsidRPr="00AE771B">
        <w:rPr>
          <w:i/>
          <w:sz w:val="21"/>
          <w:szCs w:val="21"/>
          <w:lang w:val="fr-FR"/>
        </w:rPr>
        <w:t xml:space="preserve">Constate </w:t>
      </w:r>
      <w:r w:rsidRPr="00AE771B">
        <w:rPr>
          <w:snapToGrid w:val="0"/>
          <w:sz w:val="21"/>
          <w:szCs w:val="21"/>
          <w:lang w:val="fr-FR"/>
        </w:rPr>
        <w:t>que tous les acteurs œuvrent actuellement au renforcement, à la simplification, à la réorganisation et à l’exploitation des synergies entre les instruments existants de financement de la biodiversité, afin de combler le déficit de financement en la matière ;</w:t>
      </w:r>
    </w:p>
    <w:p w14:paraId="3196D101" w14:textId="77777777" w:rsidR="00651BEB" w:rsidRPr="00AE771B" w:rsidRDefault="00651BEB" w:rsidP="00651BEB">
      <w:pPr>
        <w:pStyle w:val="Paragraphedeliste"/>
        <w:keepNext/>
        <w:keepLines/>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lang w:val="fr-FR"/>
        </w:rPr>
      </w:pPr>
      <w:r w:rsidRPr="00AE771B">
        <w:rPr>
          <w:i/>
          <w:color w:val="000000" w:themeColor="text1"/>
          <w:sz w:val="21"/>
          <w:szCs w:val="21"/>
          <w:lang w:val="fr-FR"/>
        </w:rPr>
        <w:t xml:space="preserve">Reconnaît </w:t>
      </w:r>
      <w:r w:rsidRPr="00AE771B">
        <w:rPr>
          <w:color w:val="000000" w:themeColor="text1"/>
          <w:sz w:val="21"/>
          <w:szCs w:val="21"/>
          <w:lang w:val="fr-FR"/>
        </w:rPr>
        <w:t>que des stratégies de mobilisation des ressources ont également été adoptées dans le cadre des autres Conventions de Rio et d’autres conventions et accords multilatéraux internationaux relatifs à la biodiversité, et encourage le renforcement de la coopération et des synergies dans leur mise en œuvre, convaincue de la nécessité d’améliorer sensiblement la transparence en matière de comptabilité et de communication concernant les contributions financières dans le cadre des efforts visant à optimiser les avantages connexes et les synergies, conformément aux mandats prévu par les différents accords multilatéraux sur l’environnement</w:t>
      </w:r>
      <w:r w:rsidRPr="00AE771B">
        <w:rPr>
          <w:i/>
          <w:color w:val="000000" w:themeColor="text1"/>
          <w:sz w:val="21"/>
          <w:szCs w:val="21"/>
          <w:lang w:val="fr-FR"/>
        </w:rPr>
        <w:t> </w:t>
      </w:r>
      <w:r w:rsidRPr="00AE771B">
        <w:rPr>
          <w:color w:val="000000" w:themeColor="text1"/>
          <w:sz w:val="21"/>
          <w:szCs w:val="21"/>
          <w:shd w:val="clear" w:color="auto" w:fill="FFFFFF"/>
          <w:lang w:val="fr-FR"/>
        </w:rPr>
        <w:t>;</w:t>
      </w:r>
    </w:p>
    <w:p w14:paraId="01DCD920" w14:textId="77777777" w:rsidR="00651BEB" w:rsidRPr="00AE771B" w:rsidRDefault="00651BEB" w:rsidP="00651BEB">
      <w:pPr>
        <w:pStyle w:val="Paragraphedeliste"/>
        <w:numPr>
          <w:ilvl w:val="0"/>
          <w:numId w:val="34"/>
        </w:numPr>
        <w:tabs>
          <w:tab w:val="clear" w:pos="567"/>
          <w:tab w:val="clear" w:pos="1134"/>
          <w:tab w:val="clear" w:pos="2268"/>
        </w:tabs>
        <w:spacing w:before="120" w:after="120"/>
        <w:ind w:left="567" w:firstLine="567"/>
        <w:contextualSpacing w:val="0"/>
        <w:rPr>
          <w:rFonts w:asciiTheme="majorBidi" w:hAnsiTheme="majorBidi" w:cstheme="majorBidi"/>
          <w:color w:val="000000" w:themeColor="text1"/>
          <w:lang w:val="fr-FR"/>
        </w:rPr>
      </w:pPr>
      <w:bookmarkStart w:id="1" w:name="_Hlk167653137"/>
      <w:r w:rsidRPr="00AE771B">
        <w:rPr>
          <w:i/>
          <w:iCs/>
          <w:color w:val="000000" w:themeColor="text1"/>
          <w:sz w:val="21"/>
          <w:szCs w:val="21"/>
          <w:lang w:val="fr-FR"/>
        </w:rPr>
        <w:t>Invite</w:t>
      </w:r>
      <w:r w:rsidRPr="00AE771B">
        <w:rPr>
          <w:color w:val="000000" w:themeColor="text1"/>
          <w:sz w:val="21"/>
          <w:szCs w:val="21"/>
          <w:lang w:val="fr-FR"/>
        </w:rPr>
        <w:t xml:space="preserve"> les pays développés parties et les Parties qui assument volontairement les obligations des pays développés parties, et invite les autres gouvernements, ainsi que les contributeurs </w:t>
      </w:r>
      <w:r>
        <w:rPr>
          <w:color w:val="000000" w:themeColor="text1"/>
          <w:sz w:val="21"/>
          <w:szCs w:val="21"/>
          <w:lang w:val="fr-FR"/>
        </w:rPr>
        <w:t>n</w:t>
      </w:r>
      <w:r w:rsidRPr="00AE771B">
        <w:rPr>
          <w:color w:val="000000" w:themeColor="text1"/>
          <w:sz w:val="21"/>
          <w:szCs w:val="21"/>
          <w:lang w:val="fr-FR"/>
        </w:rPr>
        <w:t xml:space="preserve">on souverains, tels que le secteur privé et les organisations philanthropiques, à verser ou à augmenter leurs contributions au Fonds pour l’application du Cadre mondial de la biodiversité ; </w:t>
      </w:r>
      <w:bookmarkEnd w:id="1"/>
    </w:p>
    <w:p w14:paraId="1082583A"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r w:rsidRPr="00AE771B">
        <w:rPr>
          <w:rFonts w:asciiTheme="majorBidi" w:hAnsiTheme="majorBidi"/>
          <w:i/>
          <w:iCs/>
          <w:lang w:val="fr-FR"/>
        </w:rPr>
        <w:t xml:space="preserve">Demande </w:t>
      </w:r>
      <w:r w:rsidRPr="00AE771B">
        <w:rPr>
          <w:rFonts w:asciiTheme="majorBidi" w:hAnsiTheme="majorBidi"/>
          <w:lang w:val="fr-FR"/>
        </w:rPr>
        <w:t>aux Parties et aux autres acteurs concernés d’améliorer l’accès des peuples autochtones et communautés locales, des femmes et des jeunes aux ressources financières nécessaires à la mise en œuvre du Cadre et d’accroître ces ressources </w:t>
      </w:r>
      <w:r w:rsidRPr="00AE771B">
        <w:rPr>
          <w:lang w:val="fr-FR"/>
        </w:rPr>
        <w:t>;</w:t>
      </w:r>
    </w:p>
    <w:p w14:paraId="737F5401"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r w:rsidRPr="00AE771B">
        <w:rPr>
          <w:i/>
          <w:iCs/>
          <w:snapToGrid w:val="0"/>
          <w:lang w:val="fr-FR"/>
        </w:rPr>
        <w:t>Note</w:t>
      </w:r>
      <w:r w:rsidRPr="00AE771B">
        <w:rPr>
          <w:snapToGrid w:val="0"/>
          <w:lang w:val="fr-FR"/>
        </w:rPr>
        <w:t xml:space="preserve"> qu’aucune Partie n’a répondu à la notification</w:t>
      </w:r>
      <w:r w:rsidRPr="00AE771B">
        <w:rPr>
          <w:rStyle w:val="Appelnotedebasdep"/>
          <w:snapToGrid w:val="0"/>
          <w:kern w:val="22"/>
          <w:lang w:val="fr-FR"/>
        </w:rPr>
        <w:footnoteReference w:id="7"/>
      </w:r>
      <w:r w:rsidRPr="00AE771B">
        <w:rPr>
          <w:snapToGrid w:val="0"/>
          <w:kern w:val="22"/>
          <w:lang w:val="fr-FR"/>
        </w:rPr>
        <w:t xml:space="preserve"> </w:t>
      </w:r>
      <w:r w:rsidRPr="00AE771B">
        <w:rPr>
          <w:snapToGrid w:val="0"/>
          <w:lang w:val="fr-FR"/>
        </w:rPr>
        <w:t>émise par la Secrétaire exécutive comme demandé à l’alinéa b) du paragraphe 47 de la décision </w:t>
      </w:r>
      <w:hyperlink r:id="rId26" w:history="1">
        <w:r w:rsidRPr="00AE771B">
          <w:rPr>
            <w:rStyle w:val="Lienhypertexte"/>
            <w:snapToGrid w:val="0"/>
            <w:lang w:val="fr-FR"/>
          </w:rPr>
          <w:t>15/7</w:t>
        </w:r>
      </w:hyperlink>
      <w:r w:rsidRPr="00AE771B">
        <w:rPr>
          <w:snapToGrid w:val="0"/>
          <w:lang w:val="fr-FR"/>
        </w:rPr>
        <w:t>, conformément à l’article 20 et, à cet égard, demande à la Secrétaire exécutive d’étudier la meilleure périodicité pour l’émission de la nouvelle série de notifications à soumettre à l’examen de l’Organe subsidiaire chargé de l’application à sa sixième réunion ;</w:t>
      </w:r>
    </w:p>
    <w:p w14:paraId="76C69E46"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r w:rsidRPr="00AE771B">
        <w:rPr>
          <w:i/>
          <w:iCs/>
          <w:snapToGrid w:val="0"/>
          <w:lang w:val="fr-FR"/>
        </w:rPr>
        <w:t xml:space="preserve">Décide </w:t>
      </w:r>
      <w:r w:rsidRPr="00AE771B">
        <w:rPr>
          <w:snapToGrid w:val="0"/>
          <w:lang w:val="fr-FR"/>
        </w:rPr>
        <w:t xml:space="preserve">de mettre en œuvre les articles </w:t>
      </w:r>
      <w:hyperlink r:id="rId27" w:history="1">
        <w:r w:rsidRPr="00AE771B">
          <w:rPr>
            <w:rStyle w:val="Lienhypertexte"/>
            <w:snapToGrid w:val="0"/>
            <w:lang w:val="fr-FR"/>
          </w:rPr>
          <w:t>21</w:t>
        </w:r>
      </w:hyperlink>
      <w:r w:rsidRPr="00AE771B">
        <w:rPr>
          <w:snapToGrid w:val="0"/>
          <w:lang w:val="fr-FR"/>
        </w:rPr>
        <w:t xml:space="preserve"> et </w:t>
      </w:r>
      <w:hyperlink r:id="rId28" w:history="1">
        <w:r w:rsidRPr="00AE771B">
          <w:rPr>
            <w:rStyle w:val="Lienhypertexte"/>
            <w:snapToGrid w:val="0"/>
            <w:lang w:val="fr-FR"/>
          </w:rPr>
          <w:t>39</w:t>
        </w:r>
      </w:hyperlink>
      <w:r w:rsidRPr="00AE771B">
        <w:rPr>
          <w:snapToGrid w:val="0"/>
          <w:lang w:val="fr-FR"/>
        </w:rPr>
        <w:t xml:space="preserve"> de la Convention et de combler le déficit de financement de la biodiversité d’ici à 2030, par les moyens suivants :</w:t>
      </w:r>
    </w:p>
    <w:p w14:paraId="3CB2E3A2" w14:textId="77777777" w:rsidR="00651BEB" w:rsidRPr="00AE771B" w:rsidRDefault="00651BEB" w:rsidP="00651BEB">
      <w:pPr>
        <w:pStyle w:val="Paragraphedeliste"/>
        <w:numPr>
          <w:ilvl w:val="1"/>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r w:rsidRPr="00AE771B">
        <w:rPr>
          <w:snapToGrid w:val="0"/>
          <w:kern w:val="22"/>
          <w:lang w:val="fr-FR"/>
        </w:rPr>
        <w:t xml:space="preserve">Mettre en place l'arrangement permanent pour le mécanisme financier au titre de l'article </w:t>
      </w:r>
      <w:hyperlink r:id="rId29" w:history="1">
        <w:r w:rsidRPr="00AE771B">
          <w:rPr>
            <w:rStyle w:val="Lienhypertexte"/>
            <w:snapToGrid w:val="0"/>
            <w:kern w:val="22"/>
            <w:lang w:val="fr-FR"/>
          </w:rPr>
          <w:t>21</w:t>
        </w:r>
      </w:hyperlink>
      <w:r w:rsidRPr="00AE771B">
        <w:rPr>
          <w:snapToGrid w:val="0"/>
          <w:kern w:val="22"/>
          <w:lang w:val="fr-FR"/>
        </w:rPr>
        <w:t xml:space="preserve"> de la Convention ;</w:t>
      </w:r>
    </w:p>
    <w:p w14:paraId="35D38F99" w14:textId="77777777" w:rsidR="00651BEB" w:rsidRPr="00AE771B" w:rsidRDefault="00651BEB" w:rsidP="00651BEB">
      <w:pPr>
        <w:pStyle w:val="Paragraphedeliste"/>
        <w:numPr>
          <w:ilvl w:val="1"/>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r w:rsidRPr="00AE771B">
        <w:rPr>
          <w:snapToGrid w:val="0"/>
          <w:lang w:val="fr-FR"/>
        </w:rPr>
        <w:t>Évaluer et améliorer la mobilisation des financements provenant de toutes les sources.</w:t>
      </w:r>
    </w:p>
    <w:p w14:paraId="1038C0F1" w14:textId="77777777" w:rsidR="00651BEB" w:rsidRPr="00AE771B" w:rsidRDefault="00651BEB" w:rsidP="00651BEB">
      <w:pPr>
        <w:pStyle w:val="Paragraphedeliste"/>
        <w:numPr>
          <w:ilvl w:val="0"/>
          <w:numId w:val="34"/>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rFonts w:asciiTheme="majorBidi" w:hAnsiTheme="majorBidi" w:cstheme="majorBidi"/>
          <w:i/>
          <w:iCs/>
          <w:color w:val="000000" w:themeColor="text1"/>
          <w:lang w:val="fr-FR"/>
        </w:rPr>
        <w:t xml:space="preserve">Reconnaît </w:t>
      </w:r>
      <w:r w:rsidRPr="00AE771B">
        <w:rPr>
          <w:rFonts w:asciiTheme="majorBidi" w:hAnsiTheme="majorBidi" w:cstheme="majorBidi"/>
          <w:color w:val="000000" w:themeColor="text1"/>
          <w:lang w:val="fr-FR"/>
        </w:rPr>
        <w:t>qu’en plus de la stratégie de mobilisation des ressources</w:t>
      </w:r>
      <w:r>
        <w:rPr>
          <w:rFonts w:asciiTheme="majorBidi" w:hAnsiTheme="majorBidi" w:cstheme="majorBidi"/>
          <w:color w:val="000000" w:themeColor="text1"/>
          <w:lang w:val="fr-FR"/>
        </w:rPr>
        <w:t>,</w:t>
      </w:r>
      <w:r w:rsidRPr="00AE771B">
        <w:rPr>
          <w:rFonts w:asciiTheme="majorBidi" w:hAnsiTheme="majorBidi" w:cstheme="majorBidi"/>
          <w:color w:val="000000" w:themeColor="text1"/>
          <w:lang w:val="fr-FR"/>
        </w:rPr>
        <w:t xml:space="preserve"> et à l’appui de celle-ci, les actions suivantes pourraient contribuer </w:t>
      </w:r>
      <w:r>
        <w:rPr>
          <w:rFonts w:asciiTheme="majorBidi" w:hAnsiTheme="majorBidi" w:cstheme="majorBidi"/>
          <w:color w:val="000000" w:themeColor="text1"/>
          <w:lang w:val="fr-FR"/>
        </w:rPr>
        <w:t>plus avant</w:t>
      </w:r>
      <w:r w:rsidRPr="00AE771B">
        <w:rPr>
          <w:rFonts w:asciiTheme="majorBidi" w:hAnsiTheme="majorBidi" w:cstheme="majorBidi"/>
          <w:color w:val="000000" w:themeColor="text1"/>
          <w:lang w:val="fr-FR"/>
        </w:rPr>
        <w:t xml:space="preserve"> à combler le déficit de financement de la biodiversité au niveau mondial :</w:t>
      </w:r>
    </w:p>
    <w:p w14:paraId="6C4EA7A7"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 xml:space="preserve">a) </w:t>
      </w:r>
      <w:r w:rsidRPr="00AE771B">
        <w:rPr>
          <w:rFonts w:eastAsia="Times New Roman"/>
          <w:snapToGrid w:val="0"/>
          <w:color w:val="000000" w:themeColor="text1"/>
          <w:kern w:val="22"/>
          <w:lang w:val="fr-FR"/>
        </w:rPr>
        <w:tab/>
      </w:r>
      <w:r w:rsidRPr="00AE771B">
        <w:rPr>
          <w:rFonts w:asciiTheme="majorBidi" w:hAnsiTheme="majorBidi" w:cstheme="majorBidi"/>
          <w:color w:val="000000" w:themeColor="text1"/>
          <w:lang w:val="fr-FR"/>
        </w:rPr>
        <w:t xml:space="preserve">Renforcer la coordination entre les instruments, leur complémentarité et les conditions propices à leur utilisation dans l’ensemble du paysage mondial </w:t>
      </w:r>
      <w:r>
        <w:rPr>
          <w:rFonts w:asciiTheme="majorBidi" w:hAnsiTheme="majorBidi" w:cstheme="majorBidi"/>
          <w:color w:val="000000" w:themeColor="text1"/>
          <w:lang w:val="fr-FR"/>
        </w:rPr>
        <w:t xml:space="preserve">du financement </w:t>
      </w:r>
      <w:r w:rsidRPr="00AE771B">
        <w:rPr>
          <w:rFonts w:asciiTheme="majorBidi" w:hAnsiTheme="majorBidi" w:cstheme="majorBidi"/>
          <w:color w:val="000000" w:themeColor="text1"/>
          <w:lang w:val="fr-FR"/>
        </w:rPr>
        <w:t>de la biodiversité, en vue d’exploiter les synergies avec, par exemple, les banques multilatérales de développement ;</w:t>
      </w:r>
    </w:p>
    <w:p w14:paraId="2082A429"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lastRenderedPageBreak/>
        <w:t>b)</w:t>
      </w:r>
      <w:r w:rsidRPr="00AE771B">
        <w:rPr>
          <w:rFonts w:asciiTheme="majorBidi" w:hAnsiTheme="majorBidi" w:cstheme="majorBidi"/>
          <w:color w:val="000000" w:themeColor="text1"/>
          <w:lang w:val="fr-FR"/>
        </w:rPr>
        <w:tab/>
        <w:t>Créer et renforcer les capacités de mobilisation des ressources financières provenant de toutes les sources, en conformité avec le Cadre ;</w:t>
      </w:r>
    </w:p>
    <w:p w14:paraId="4EE08159"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 xml:space="preserve">c) </w:t>
      </w:r>
      <w:r w:rsidRPr="00AE771B">
        <w:rPr>
          <w:rFonts w:eastAsia="Times New Roman"/>
          <w:snapToGrid w:val="0"/>
          <w:color w:val="000000" w:themeColor="text1"/>
          <w:kern w:val="22"/>
          <w:lang w:val="fr-FR"/>
        </w:rPr>
        <w:tab/>
      </w:r>
      <w:r w:rsidRPr="00AE771B">
        <w:rPr>
          <w:rFonts w:asciiTheme="majorBidi" w:hAnsiTheme="majorBidi" w:cstheme="majorBidi"/>
          <w:color w:val="000000" w:themeColor="text1"/>
          <w:lang w:val="fr-FR"/>
        </w:rPr>
        <w:t>Améliorer l’efficacité, le suivi, la transparence et la responsabilité concernant les ressources mobilisées dans le paysage financier mondial de la biodiversité ;</w:t>
      </w:r>
    </w:p>
    <w:p w14:paraId="15CF25FA"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 xml:space="preserve">d) </w:t>
      </w:r>
      <w:r w:rsidRPr="00AE771B">
        <w:rPr>
          <w:rFonts w:asciiTheme="majorBidi" w:hAnsiTheme="majorBidi" w:cstheme="majorBidi"/>
          <w:color w:val="000000" w:themeColor="text1"/>
          <w:lang w:val="fr-FR"/>
        </w:rPr>
        <w:tab/>
        <w:t xml:space="preserve">Renforcer la fourniture d'un appui financier accessible et en temps utile aux pays en développement Parties et, en particulier les pays les moins avancés et les petits États insulaires en développement, ainsi qu’aux Parties à économie en transition, pour la mise en œuvre de la Convention et, le cas échéant, de ses Protocoles, conformément aux besoins et aux priorités recensés ; </w:t>
      </w:r>
    </w:p>
    <w:p w14:paraId="46F097D9" w14:textId="77777777" w:rsidR="00651BEB" w:rsidRPr="00AE771B" w:rsidRDefault="00651BEB" w:rsidP="00651BEB">
      <w:pPr>
        <w:suppressLineNumbers/>
        <w:tabs>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e)</w:t>
      </w:r>
      <w:r w:rsidRPr="00AE771B">
        <w:rPr>
          <w:rFonts w:asciiTheme="majorBidi" w:hAnsiTheme="majorBidi" w:cstheme="majorBidi"/>
          <w:color w:val="000000" w:themeColor="text1"/>
          <w:lang w:val="fr-FR"/>
        </w:rPr>
        <w:tab/>
        <w:t>Renforcer la fourniture d'un appui financier accessible et en temps utile aux peuples autochtones et aux communautés locales, conformément à la législation et aux cadres réglementaires nationaux, pour la mise en œuvre de la Convention et, le cas échéant, de ses Protocoles ;</w:t>
      </w:r>
    </w:p>
    <w:p w14:paraId="16FE4A3C"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 xml:space="preserve">21. </w:t>
      </w:r>
      <w:r w:rsidRPr="00AE771B">
        <w:rPr>
          <w:rFonts w:asciiTheme="majorBidi" w:hAnsiTheme="majorBidi" w:cstheme="majorBidi"/>
          <w:color w:val="000000" w:themeColor="text1"/>
          <w:lang w:val="fr-FR"/>
        </w:rPr>
        <w:tab/>
      </w:r>
      <w:r w:rsidRPr="00AE771B">
        <w:rPr>
          <w:rFonts w:asciiTheme="majorBidi" w:hAnsiTheme="majorBidi" w:cstheme="majorBidi"/>
          <w:i/>
          <w:iCs/>
          <w:color w:val="000000" w:themeColor="text1"/>
          <w:lang w:val="fr-FR"/>
        </w:rPr>
        <w:t xml:space="preserve">Reconnaît également </w:t>
      </w:r>
      <w:r w:rsidRPr="00AE771B">
        <w:rPr>
          <w:rFonts w:asciiTheme="majorBidi" w:hAnsiTheme="majorBidi" w:cstheme="majorBidi"/>
          <w:color w:val="000000" w:themeColor="text1"/>
          <w:lang w:val="fr-FR"/>
        </w:rPr>
        <w:t>que la gestion du mécanisme financier envisagé au titre de l’article </w:t>
      </w:r>
      <w:hyperlink r:id="rId30" w:history="1">
        <w:r w:rsidRPr="00AE771B">
          <w:rPr>
            <w:rStyle w:val="Lienhypertexte"/>
            <w:rFonts w:asciiTheme="majorBidi" w:hAnsiTheme="majorBidi" w:cstheme="majorBidi"/>
            <w:lang w:val="fr-FR"/>
          </w:rPr>
          <w:t>21</w:t>
        </w:r>
      </w:hyperlink>
      <w:r w:rsidRPr="00AE771B">
        <w:rPr>
          <w:rFonts w:asciiTheme="majorBidi" w:hAnsiTheme="majorBidi" w:cstheme="majorBidi"/>
          <w:color w:val="000000" w:themeColor="text1"/>
          <w:lang w:val="fr-FR"/>
        </w:rPr>
        <w:t xml:space="preserve"> de la Convention peut être confiée à une ou plusieurs entités, qu’elles soient nouvelles, réformées ou existantes, qui formeraient ainsi une structure institutionnelle remplissant au minimum les critères suivants :</w:t>
      </w:r>
    </w:p>
    <w:p w14:paraId="34729094"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a)</w:t>
      </w:r>
      <w:r w:rsidRPr="00AE771B">
        <w:rPr>
          <w:rFonts w:asciiTheme="majorBidi" w:hAnsiTheme="majorBidi" w:cstheme="majorBidi"/>
          <w:color w:val="000000" w:themeColor="text1"/>
          <w:lang w:val="fr-FR"/>
        </w:rPr>
        <w:tab/>
        <w:t xml:space="preserve">Elle fonctionne aux fins de la mise en œuvre de la Convention et de ses Protocoles. </w:t>
      </w:r>
    </w:p>
    <w:p w14:paraId="2A213AC2"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b)</w:t>
      </w:r>
      <w:r w:rsidRPr="00AE771B">
        <w:rPr>
          <w:rFonts w:asciiTheme="majorBidi" w:hAnsiTheme="majorBidi" w:cstheme="majorBidi"/>
          <w:color w:val="000000" w:themeColor="text1"/>
          <w:lang w:val="fr-FR"/>
        </w:rPr>
        <w:tab/>
        <w:t xml:space="preserve">Elle est placée sous l’autorité et l’orientation de la Conférence des Parties </w:t>
      </w:r>
    </w:p>
    <w:p w14:paraId="57D7F8C5"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c)</w:t>
      </w:r>
      <w:r w:rsidRPr="00AE771B">
        <w:rPr>
          <w:rFonts w:asciiTheme="majorBidi" w:hAnsiTheme="majorBidi" w:cstheme="majorBidi"/>
          <w:color w:val="000000" w:themeColor="text1"/>
          <w:lang w:val="fr-FR"/>
        </w:rPr>
        <w:tab/>
        <w:t xml:space="preserve">Elle </w:t>
      </w:r>
      <w:r>
        <w:rPr>
          <w:rFonts w:asciiTheme="majorBidi" w:hAnsiTheme="majorBidi" w:cstheme="majorBidi"/>
          <w:color w:val="000000" w:themeColor="text1"/>
          <w:lang w:val="fr-FR"/>
        </w:rPr>
        <w:t>utilise</w:t>
      </w:r>
      <w:r w:rsidRPr="00AE771B">
        <w:rPr>
          <w:rFonts w:asciiTheme="majorBidi" w:hAnsiTheme="majorBidi" w:cstheme="majorBidi"/>
          <w:color w:val="000000" w:themeColor="text1"/>
          <w:lang w:val="fr-FR"/>
        </w:rPr>
        <w:t xml:space="preserve"> un système de gouvernance démocratique et transparent, afin de garantir que la structure soit juste, équitable, inclusive, efficace et représentative ;</w:t>
      </w:r>
    </w:p>
    <w:p w14:paraId="136F84AC" w14:textId="77777777" w:rsidR="00651BEB" w:rsidRPr="00AE771B" w:rsidRDefault="00651BEB" w:rsidP="00651BEB">
      <w:pPr>
        <w:suppressLineNumbers/>
        <w:tabs>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lang w:val="fr-FR"/>
        </w:rPr>
      </w:pPr>
      <w:r w:rsidRPr="00AE771B">
        <w:rPr>
          <w:snapToGrid w:val="0"/>
          <w:color w:val="000000" w:themeColor="text1"/>
          <w:kern w:val="22"/>
          <w:lang w:val="fr-FR"/>
        </w:rPr>
        <w:t>d)</w:t>
      </w:r>
      <w:r w:rsidRPr="00AE771B">
        <w:rPr>
          <w:snapToGrid w:val="0"/>
          <w:color w:val="000000" w:themeColor="text1"/>
          <w:kern w:val="22"/>
          <w:lang w:val="fr-FR"/>
        </w:rPr>
        <w:tab/>
        <w:t>Elle est accessible par toutes les Parties à la Convention admissibles, en temps voulu et de manière juste, simplifiée,  équitable, inclusive et non discriminatoire ;</w:t>
      </w:r>
    </w:p>
    <w:p w14:paraId="38416B90"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22.</w:t>
      </w:r>
      <w:r w:rsidRPr="00AE771B">
        <w:rPr>
          <w:snapToGrid w:val="0"/>
          <w:color w:val="000000" w:themeColor="text1"/>
          <w:kern w:val="22"/>
          <w:lang w:val="fr-FR"/>
        </w:rPr>
        <w:tab/>
      </w:r>
      <w:r w:rsidRPr="00AE771B">
        <w:rPr>
          <w:i/>
          <w:iCs/>
          <w:snapToGrid w:val="0"/>
          <w:color w:val="000000" w:themeColor="text1"/>
          <w:kern w:val="22"/>
          <w:lang w:val="fr-FR"/>
        </w:rPr>
        <w:t>Décide en outre</w:t>
      </w:r>
      <w:r w:rsidRPr="00AE771B">
        <w:rPr>
          <w:snapToGrid w:val="0"/>
          <w:color w:val="000000" w:themeColor="text1"/>
          <w:kern w:val="22"/>
          <w:lang w:val="fr-FR"/>
        </w:rPr>
        <w:t xml:space="preserve"> de mettre en place un processus intersessions pour exécuter le mandat défini à l’alinéa a) du paragraphe 19, selon la feuille de route initiale suivante</w:t>
      </w:r>
      <w:r w:rsidRPr="00AE771B">
        <w:rPr>
          <w:i/>
          <w:iCs/>
          <w:snapToGrid w:val="0"/>
          <w:color w:val="000000" w:themeColor="text1"/>
          <w:kern w:val="22"/>
          <w:lang w:val="fr-FR"/>
        </w:rPr>
        <w:t> :</w:t>
      </w:r>
    </w:p>
    <w:p w14:paraId="40C84C2D" w14:textId="77777777" w:rsidR="00651BEB" w:rsidRPr="00AE771B" w:rsidRDefault="00651BEB" w:rsidP="00651BEB">
      <w:pPr>
        <w:pStyle w:val="Paragraphedeliste"/>
        <w:numPr>
          <w:ilvl w:val="1"/>
          <w:numId w:val="35"/>
        </w:numPr>
        <w:suppressLineNumbers/>
        <w:tabs>
          <w:tab w:val="clear" w:pos="1134"/>
          <w:tab w:val="clear" w:pos="2268"/>
        </w:tab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D’ici à la dix-septième réunion de la Conférence des Parties, les critères relatifs à la structure institutionnelle chargée de faire fonctionner le mécanisme financier sont élaborés plus avant, en tenant compte de la compilation d’avis figurant dans l’annexe II à la présente décision ;</w:t>
      </w:r>
    </w:p>
    <w:p w14:paraId="5F1F4485"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b)</w:t>
      </w:r>
      <w:r w:rsidRPr="00AE771B">
        <w:rPr>
          <w:snapToGrid w:val="0"/>
          <w:color w:val="000000" w:themeColor="text1"/>
          <w:kern w:val="22"/>
          <w:lang w:val="fr-FR"/>
        </w:rPr>
        <w:tab/>
        <w:t>D’ici à la dix-huitième réunion Conférence des Parties ou à celle-ci :</w:t>
      </w:r>
    </w:p>
    <w:p w14:paraId="4D948AEA" w14:textId="77777777" w:rsidR="00651BEB" w:rsidRPr="00AE771B" w:rsidRDefault="00651BEB" w:rsidP="00651BEB">
      <w:pPr>
        <w:pStyle w:val="CBDNormalNoNumber"/>
        <w:ind w:left="1701" w:hanging="567"/>
        <w:rPr>
          <w:lang w:val="fr-FR"/>
        </w:rPr>
      </w:pPr>
      <w:r w:rsidRPr="00AE771B">
        <w:rPr>
          <w:snapToGrid w:val="0"/>
          <w:color w:val="000000" w:themeColor="text1"/>
          <w:kern w:val="22"/>
          <w:lang w:val="fr-FR"/>
        </w:rPr>
        <w:t xml:space="preserve">i) </w:t>
      </w:r>
      <w:r w:rsidRPr="00AE771B">
        <w:rPr>
          <w:snapToGrid w:val="0"/>
          <w:color w:val="000000" w:themeColor="text1"/>
          <w:kern w:val="22"/>
          <w:lang w:val="fr-FR"/>
        </w:rPr>
        <w:tab/>
      </w:r>
      <w:r w:rsidRPr="00AE771B">
        <w:rPr>
          <w:lang w:val="fr-FR"/>
        </w:rPr>
        <w:t>S'il y a lieu, examiner l'état d'avancement de la réforme des entités financières existantes concernées afin qu'elles répondent aux critères définis à l'alinéa a) ci-dessus</w:t>
      </w:r>
      <w:r w:rsidRPr="00AE771B">
        <w:rPr>
          <w:vertAlign w:val="superscript"/>
          <w:lang w:val="fr-FR"/>
        </w:rPr>
        <w:footnoteReference w:id="8"/>
      </w:r>
      <w:r>
        <w:rPr>
          <w:lang w:val="fr-FR"/>
        </w:rPr>
        <w:t> ;</w:t>
      </w:r>
    </w:p>
    <w:p w14:paraId="56A222BA" w14:textId="77777777" w:rsidR="00651BEB" w:rsidRPr="00AE771B" w:rsidRDefault="00651BEB" w:rsidP="00651BEB">
      <w:pPr>
        <w:pStyle w:val="CBDNormalNoNumber"/>
        <w:ind w:left="1701" w:hanging="567"/>
        <w:rPr>
          <w:lang w:val="fr-FR"/>
        </w:rPr>
      </w:pPr>
      <w:r w:rsidRPr="00AE771B">
        <w:rPr>
          <w:lang w:val="fr-FR"/>
        </w:rPr>
        <w:t xml:space="preserve">ii) </w:t>
      </w:r>
      <w:r w:rsidRPr="00AE771B">
        <w:rPr>
          <w:lang w:val="fr-FR"/>
        </w:rPr>
        <w:tab/>
        <w:t xml:space="preserve">Décider soit de créer une nouvelle entité chargée de faire fonctionner le mécanisme financier, seule ou aux côtés d'une ou plusieurs entités existantes, soit de confirmer une ou plusieurs entités existantes dans ce rôle ; </w:t>
      </w:r>
    </w:p>
    <w:p w14:paraId="251B0CBE" w14:textId="77777777" w:rsidR="00651BEB" w:rsidRPr="00AE771B" w:rsidRDefault="00651BEB" w:rsidP="00651BEB">
      <w:pPr>
        <w:pStyle w:val="CBDNormalNoNumber"/>
        <w:ind w:left="1701" w:hanging="567"/>
        <w:rPr>
          <w:lang w:val="fr-FR"/>
        </w:rPr>
      </w:pPr>
      <w:r w:rsidRPr="00AE771B">
        <w:rPr>
          <w:lang w:val="fr-FR"/>
        </w:rPr>
        <w:t xml:space="preserve">iii) </w:t>
      </w:r>
      <w:r w:rsidRPr="00AE771B">
        <w:rPr>
          <w:lang w:val="fr-FR"/>
        </w:rPr>
        <w:tab/>
        <w:t xml:space="preserve">S'il y a lieu, mettre en place un processus intersessions pour élaborer le mandat et les modalités d'une nouvelle entité sur la base des critères mentionnés à l’alinéa a) ci-dessus ; </w:t>
      </w:r>
    </w:p>
    <w:p w14:paraId="19C4A054" w14:textId="77777777" w:rsidR="00651BEB" w:rsidRPr="00AE771B" w:rsidRDefault="00651BEB" w:rsidP="00651BEB">
      <w:pPr>
        <w:pStyle w:val="CBDNormalNoNumber"/>
        <w:ind w:left="1701" w:hanging="567"/>
        <w:rPr>
          <w:lang w:val="fr-FR"/>
        </w:rPr>
      </w:pPr>
      <w:r w:rsidRPr="00AE771B">
        <w:rPr>
          <w:lang w:val="fr-FR"/>
        </w:rPr>
        <w:t xml:space="preserve">iv) </w:t>
      </w:r>
      <w:r w:rsidRPr="00AE771B">
        <w:rPr>
          <w:lang w:val="fr-FR"/>
        </w:rPr>
        <w:tab/>
        <w:t xml:space="preserve">Donner suite à l'examen de l'état des lieux des opérations et des résultats du Fonds du Cadre mondial </w:t>
      </w:r>
      <w:r>
        <w:rPr>
          <w:lang w:val="fr-FR"/>
        </w:rPr>
        <w:t>de</w:t>
      </w:r>
      <w:r w:rsidRPr="00AE771B">
        <w:rPr>
          <w:lang w:val="fr-FR"/>
        </w:rPr>
        <w:t xml:space="preserve"> la biodiversité, comme cela a déjà été demandé dans les décisions </w:t>
      </w:r>
      <w:hyperlink r:id="rId31" w:history="1">
        <w:r w:rsidRPr="00AE771B">
          <w:rPr>
            <w:rStyle w:val="Lienhypertexte"/>
            <w:lang w:val="fr-FR"/>
          </w:rPr>
          <w:t>15/7 </w:t>
        </w:r>
      </w:hyperlink>
      <w:r w:rsidRPr="00AE771B">
        <w:rPr>
          <w:lang w:val="fr-FR"/>
        </w:rPr>
        <w:t xml:space="preserve">et </w:t>
      </w:r>
      <w:hyperlink r:id="rId32" w:history="1">
        <w:r w:rsidRPr="00AE771B">
          <w:rPr>
            <w:rStyle w:val="Lienhypertexte"/>
            <w:lang w:val="fr-FR"/>
          </w:rPr>
          <w:t>15/15</w:t>
        </w:r>
      </w:hyperlink>
      <w:r w:rsidRPr="00AE771B">
        <w:rPr>
          <w:lang w:val="fr-FR"/>
        </w:rPr>
        <w:t xml:space="preserve"> du 19 décembre 2022 ;</w:t>
      </w:r>
    </w:p>
    <w:p w14:paraId="27477F0C"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lang w:val="fr-FR"/>
        </w:rPr>
      </w:pPr>
      <w:r w:rsidRPr="00AE771B">
        <w:rPr>
          <w:snapToGrid w:val="0"/>
          <w:color w:val="000000" w:themeColor="text1"/>
          <w:kern w:val="22"/>
          <w:lang w:val="fr-FR"/>
        </w:rPr>
        <w:t>c)</w:t>
      </w:r>
      <w:r w:rsidRPr="00AE771B">
        <w:rPr>
          <w:snapToGrid w:val="0"/>
          <w:color w:val="000000" w:themeColor="text1"/>
          <w:kern w:val="22"/>
          <w:lang w:val="fr-FR"/>
        </w:rPr>
        <w:tab/>
        <w:t xml:space="preserve">Dans le cas où la décision de créer une nouvelle entité serait prise à la dix-huitième réunion de la Conférence des Parties, les opérations de cette entité devraient commencer au plus tard à la dix-neuvième réunion; </w:t>
      </w:r>
    </w:p>
    <w:p w14:paraId="7CE1C29A"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lastRenderedPageBreak/>
        <w:t xml:space="preserve">d) </w:t>
      </w:r>
      <w:r w:rsidRPr="00AE771B">
        <w:rPr>
          <w:snapToGrid w:val="0"/>
          <w:color w:val="000000" w:themeColor="text1"/>
          <w:kern w:val="22"/>
          <w:lang w:val="fr-FR"/>
        </w:rPr>
        <w:tab/>
        <w:t>Compte tenu des alinéas b) et c) ci-dessus, la Conférence des Parties déterminera la structure institutionnelle qui assurera le fonctionnement permanent du mécanisme financier au plus tard à sa dix-neuvième session;</w:t>
      </w:r>
    </w:p>
    <w:p w14:paraId="7BF38694"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23.</w:t>
      </w:r>
      <w:r w:rsidRPr="00AE771B">
        <w:rPr>
          <w:snapToGrid w:val="0"/>
          <w:color w:val="000000" w:themeColor="text1"/>
          <w:kern w:val="22"/>
          <w:lang w:val="fr-FR"/>
        </w:rPr>
        <w:tab/>
      </w:r>
      <w:r w:rsidRPr="00AE771B">
        <w:rPr>
          <w:i/>
          <w:iCs/>
          <w:snapToGrid w:val="0"/>
          <w:color w:val="000000" w:themeColor="text1"/>
          <w:kern w:val="22"/>
          <w:lang w:val="fr-FR"/>
        </w:rPr>
        <w:t>Décide</w:t>
      </w:r>
      <w:r w:rsidRPr="00AE771B">
        <w:rPr>
          <w:snapToGrid w:val="0"/>
          <w:color w:val="000000" w:themeColor="text1"/>
          <w:kern w:val="22"/>
          <w:lang w:val="fr-FR"/>
        </w:rPr>
        <w:t xml:space="preserve"> </w:t>
      </w:r>
      <w:r w:rsidRPr="00AE771B">
        <w:rPr>
          <w:i/>
          <w:iCs/>
          <w:snapToGrid w:val="0"/>
          <w:color w:val="000000" w:themeColor="text1"/>
          <w:kern w:val="22"/>
          <w:lang w:val="fr-FR"/>
        </w:rPr>
        <w:t>également</w:t>
      </w:r>
      <w:r w:rsidRPr="00AE771B">
        <w:rPr>
          <w:snapToGrid w:val="0"/>
          <w:color w:val="000000" w:themeColor="text1"/>
          <w:kern w:val="22"/>
          <w:lang w:val="fr-FR"/>
        </w:rPr>
        <w:t xml:space="preserve"> d'établir un processus intersessions afin de mettre en œuvre le mandat indiqué à l’alinéa b du paragraphe 19 ci-dessus, en prévoyant des résultats concrets à chaque phase afin de garantir une mise en œuvre en temps voulu, sur la base de la feuille de route initiale suivante :</w:t>
      </w:r>
    </w:p>
    <w:p w14:paraId="487EC68A"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lang w:val="fr-FR"/>
        </w:rPr>
      </w:pPr>
      <w:r w:rsidRPr="00AE771B">
        <w:rPr>
          <w:snapToGrid w:val="0"/>
          <w:color w:val="000000" w:themeColor="text1"/>
          <w:kern w:val="22"/>
          <w:lang w:val="fr-FR"/>
        </w:rPr>
        <w:t>a)</w:t>
      </w:r>
      <w:r w:rsidRPr="00AE771B">
        <w:rPr>
          <w:snapToGrid w:val="0"/>
          <w:color w:val="000000" w:themeColor="text1"/>
          <w:kern w:val="22"/>
          <w:lang w:val="fr-FR"/>
        </w:rPr>
        <w:tab/>
        <w:t>D’ici à la dix-septième réunion de la Conférence des Parties, les obstacles à l'efficacité du financement mondial de la biodiversité sont recensés et, sur cette base, des éléments en vue de son renforcement sont recommandés ;</w:t>
      </w:r>
    </w:p>
    <w:p w14:paraId="42936FD4" w14:textId="77777777" w:rsidR="00651BEB" w:rsidRPr="00AE771B" w:rsidRDefault="00651BEB" w:rsidP="00651BEB">
      <w:pPr>
        <w:pStyle w:val="CBDNormalNoNumber"/>
        <w:ind w:left="1701" w:hanging="567"/>
        <w:rPr>
          <w:lang w:val="fr-FR"/>
        </w:rPr>
      </w:pPr>
      <w:r w:rsidRPr="00AE771B">
        <w:rPr>
          <w:snapToGrid w:val="0"/>
          <w:color w:val="000000" w:themeColor="text1"/>
          <w:kern w:val="22"/>
          <w:lang w:val="fr-FR"/>
        </w:rPr>
        <w:t>b)</w:t>
      </w:r>
      <w:r w:rsidRPr="00AE771B">
        <w:rPr>
          <w:snapToGrid w:val="0"/>
          <w:color w:val="000000" w:themeColor="text1"/>
          <w:kern w:val="22"/>
          <w:lang w:val="fr-FR"/>
        </w:rPr>
        <w:tab/>
      </w:r>
      <w:r w:rsidRPr="00AE771B">
        <w:rPr>
          <w:lang w:val="fr-FR"/>
        </w:rPr>
        <w:t>D’ici à ou à la dix-huitième réunion de la Conférence des Parties</w:t>
      </w:r>
      <w:r>
        <w:rPr>
          <w:lang w:val="fr-FR"/>
        </w:rPr>
        <w:t> :</w:t>
      </w:r>
    </w:p>
    <w:p w14:paraId="2D35EDBC" w14:textId="77777777" w:rsidR="00651BEB" w:rsidRPr="00AE771B" w:rsidRDefault="00651BEB" w:rsidP="00651BEB">
      <w:pPr>
        <w:pStyle w:val="CBDNormalNoNumber"/>
        <w:ind w:left="1701" w:hanging="567"/>
        <w:rPr>
          <w:lang w:val="fr-FR"/>
        </w:rPr>
      </w:pPr>
      <w:r w:rsidRPr="00AE771B">
        <w:rPr>
          <w:snapToGrid w:val="0"/>
          <w:color w:val="000000" w:themeColor="text1"/>
          <w:kern w:val="22"/>
          <w:lang w:val="fr-FR"/>
        </w:rPr>
        <w:t xml:space="preserve">i) </w:t>
      </w:r>
      <w:r w:rsidRPr="00AE771B">
        <w:rPr>
          <w:lang w:val="fr-FR"/>
        </w:rPr>
        <w:tab/>
        <w:t>Des mesures visant à renforcer le financement mondial de la biodiversité sont définies et mises en œuvre afin de mobiliser des ressources nouvelles et supplémentaires provenant de toutes les sources ;</w:t>
      </w:r>
    </w:p>
    <w:p w14:paraId="08EE1759" w14:textId="77777777" w:rsidR="00651BEB" w:rsidRPr="00AE771B" w:rsidRDefault="00651BEB" w:rsidP="00651BEB">
      <w:pPr>
        <w:pStyle w:val="CBDNormalNoNumber"/>
        <w:ind w:left="1701" w:hanging="567"/>
        <w:rPr>
          <w:snapToGrid w:val="0"/>
          <w:color w:val="000000" w:themeColor="text1"/>
          <w:kern w:val="22"/>
          <w:lang w:val="fr-FR"/>
        </w:rPr>
      </w:pPr>
      <w:r w:rsidRPr="00AE771B">
        <w:rPr>
          <w:lang w:val="fr-FR"/>
        </w:rPr>
        <w:t>ii)</w:t>
      </w:r>
      <w:r w:rsidRPr="00AE771B">
        <w:rPr>
          <w:lang w:val="fr-FR"/>
        </w:rPr>
        <w:tab/>
      </w:r>
      <w:r>
        <w:rPr>
          <w:lang w:val="fr-FR"/>
        </w:rPr>
        <w:t>La</w:t>
      </w:r>
      <w:r w:rsidRPr="00AE771B">
        <w:rPr>
          <w:lang w:val="fr-FR"/>
        </w:rPr>
        <w:t xml:space="preserve"> performance des instruments financiers et/ou des entités pertinents existants </w:t>
      </w:r>
      <w:r>
        <w:rPr>
          <w:lang w:val="fr-FR"/>
        </w:rPr>
        <w:t xml:space="preserve">est évaluée </w:t>
      </w:r>
      <w:r w:rsidRPr="00AE771B">
        <w:rPr>
          <w:lang w:val="fr-FR"/>
        </w:rPr>
        <w:t>en ce qui concerne la mise en œuvre du Cadre, en particulier cible 19</w:t>
      </w:r>
      <w:r w:rsidRPr="00AE771B">
        <w:rPr>
          <w:snapToGrid w:val="0"/>
          <w:color w:val="000000" w:themeColor="text1"/>
          <w:kern w:val="22"/>
          <w:lang w:val="fr-FR"/>
        </w:rPr>
        <w:t> a)</w:t>
      </w:r>
      <w:r w:rsidRPr="00AE771B">
        <w:rPr>
          <w:rStyle w:val="Appelnotedebasdep"/>
          <w:rFonts w:asciiTheme="majorBidi" w:hAnsiTheme="majorBidi"/>
          <w:color w:val="000000" w:themeColor="text1"/>
          <w:lang w:val="fr-FR"/>
        </w:rPr>
        <w:t xml:space="preserve"> </w:t>
      </w:r>
      <w:r w:rsidRPr="00AE771B">
        <w:rPr>
          <w:rStyle w:val="Appelnotedebasdep"/>
          <w:rFonts w:asciiTheme="majorBidi" w:hAnsiTheme="majorBidi"/>
          <w:color w:val="000000" w:themeColor="text1"/>
          <w:lang w:val="fr-FR"/>
        </w:rPr>
        <w:footnoteReference w:id="9"/>
      </w:r>
      <w:r w:rsidRPr="00AE771B">
        <w:rPr>
          <w:snapToGrid w:val="0"/>
          <w:color w:val="000000" w:themeColor="text1"/>
          <w:kern w:val="22"/>
          <w:lang w:val="fr-FR"/>
        </w:rPr>
        <w:t> ;</w:t>
      </w:r>
      <w:r w:rsidRPr="00AE771B">
        <w:rPr>
          <w:rStyle w:val="Appelnotedebasdep"/>
          <w:rFonts w:asciiTheme="majorBidi" w:hAnsiTheme="majorBidi"/>
          <w:color w:val="000000" w:themeColor="text1"/>
          <w:lang w:val="fr-FR"/>
        </w:rPr>
        <w:t xml:space="preserve"> </w:t>
      </w:r>
    </w:p>
    <w:p w14:paraId="310260D6"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c)</w:t>
      </w:r>
      <w:r w:rsidRPr="00AE771B">
        <w:rPr>
          <w:snapToGrid w:val="0"/>
          <w:color w:val="000000" w:themeColor="text1"/>
          <w:kern w:val="22"/>
          <w:lang w:val="fr-FR"/>
        </w:rPr>
        <w:tab/>
        <w:t>À la dix-neuvième réunion de la Conférence des Parties, l'ensemble des mesures requises pour renforcer le financement mondial de la biodiversité sont intégrées dans la stratégie de mobilisation des ressources</w:t>
      </w:r>
      <w:r>
        <w:rPr>
          <w:snapToGrid w:val="0"/>
          <w:color w:val="000000" w:themeColor="text1"/>
          <w:kern w:val="22"/>
          <w:lang w:val="fr-FR"/>
        </w:rPr>
        <w:t xml:space="preserve"> </w:t>
      </w:r>
      <w:r w:rsidRPr="00AE771B">
        <w:rPr>
          <w:snapToGrid w:val="0"/>
          <w:color w:val="000000" w:themeColor="text1"/>
          <w:kern w:val="22"/>
          <w:lang w:val="fr-FR"/>
        </w:rPr>
        <w:t>;</w:t>
      </w:r>
    </w:p>
    <w:p w14:paraId="4349D1BA"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color w:val="000000" w:themeColor="text1"/>
          <w:lang w:val="fr-FR"/>
        </w:rPr>
      </w:pPr>
      <w:r w:rsidRPr="00AE771B">
        <w:rPr>
          <w:snapToGrid w:val="0"/>
          <w:color w:val="000000" w:themeColor="text1"/>
          <w:kern w:val="22"/>
          <w:lang w:val="fr-FR"/>
        </w:rPr>
        <w:t>24.</w:t>
      </w:r>
      <w:r w:rsidRPr="00AE771B">
        <w:rPr>
          <w:snapToGrid w:val="0"/>
          <w:color w:val="000000" w:themeColor="text1"/>
          <w:kern w:val="22"/>
          <w:lang w:val="fr-FR"/>
        </w:rPr>
        <w:tab/>
      </w:r>
      <w:r w:rsidRPr="00AE771B">
        <w:rPr>
          <w:i/>
          <w:iCs/>
          <w:snapToGrid w:val="0"/>
          <w:color w:val="000000" w:themeColor="text1"/>
          <w:kern w:val="22"/>
          <w:lang w:val="fr-FR"/>
        </w:rPr>
        <w:t xml:space="preserve">Demande </w:t>
      </w:r>
      <w:r w:rsidRPr="00AE771B">
        <w:rPr>
          <w:snapToGrid w:val="0"/>
          <w:color w:val="000000" w:themeColor="text1"/>
          <w:kern w:val="22"/>
          <w:lang w:val="fr-FR"/>
        </w:rPr>
        <w:t>qu'avant la dix-septième réunion de la Conférence des Parties, l'Organe subsidiaire chargé de l'application examine les éléments mentionnés aux alinéas 22 a) et 23 a) ci-dessus, étudie plus avant les possibilités d'élargir la base des contributeurs et élabore un projet de décision, et qu'il fasse rapport sur les progrès accomplis lors de la dix-septième réunion</w:t>
      </w:r>
      <w:r w:rsidRPr="00AE771B">
        <w:rPr>
          <w:rFonts w:asciiTheme="majorBidi" w:hAnsiTheme="majorBidi" w:cstheme="majorBidi"/>
          <w:color w:val="000000" w:themeColor="text1"/>
          <w:lang w:val="fr-FR"/>
        </w:rPr>
        <w:t>.</w:t>
      </w:r>
    </w:p>
    <w:p w14:paraId="01FF9A33" w14:textId="77777777" w:rsidR="00651BEB" w:rsidRPr="00AE771B" w:rsidRDefault="00651BEB" w:rsidP="00651BEB">
      <w:pPr>
        <w:pStyle w:val="Paragraphedeliste"/>
        <w:suppressLineNumbers/>
        <w:suppressAutoHyphens/>
        <w:kinsoku w:val="0"/>
        <w:overflowPunct w:val="0"/>
        <w:autoSpaceDE w:val="0"/>
        <w:autoSpaceDN w:val="0"/>
        <w:adjustRightInd w:val="0"/>
        <w:snapToGrid w:val="0"/>
        <w:spacing w:before="120" w:after="120"/>
        <w:ind w:left="567" w:firstLine="567"/>
        <w:contextualSpacing w:val="0"/>
        <w:rPr>
          <w:snapToGrid w:val="0"/>
          <w:color w:val="000000" w:themeColor="text1"/>
          <w:kern w:val="22"/>
          <w:lang w:val="fr-FR"/>
        </w:rPr>
      </w:pPr>
      <w:r w:rsidRPr="00AE771B">
        <w:rPr>
          <w:snapToGrid w:val="0"/>
          <w:color w:val="000000" w:themeColor="text1"/>
          <w:kern w:val="22"/>
          <w:lang w:val="fr-FR"/>
        </w:rPr>
        <w:t>25.</w:t>
      </w:r>
      <w:r w:rsidRPr="00AE771B">
        <w:rPr>
          <w:snapToGrid w:val="0"/>
          <w:color w:val="000000" w:themeColor="text1"/>
          <w:kern w:val="22"/>
          <w:lang w:val="fr-FR"/>
        </w:rPr>
        <w:tab/>
      </w:r>
      <w:r w:rsidRPr="00AE771B">
        <w:rPr>
          <w:i/>
          <w:iCs/>
          <w:snapToGrid w:val="0"/>
          <w:color w:val="000000" w:themeColor="text1"/>
          <w:kern w:val="22"/>
          <w:lang w:val="fr-FR"/>
        </w:rPr>
        <w:t xml:space="preserve">Demande </w:t>
      </w:r>
      <w:r w:rsidRPr="00AE771B">
        <w:rPr>
          <w:snapToGrid w:val="0"/>
          <w:color w:val="000000" w:themeColor="text1"/>
          <w:kern w:val="22"/>
          <w:lang w:val="fr-FR"/>
        </w:rPr>
        <w:t>à la Secrétaire exécutive d’appuyer les travaux de l’Organe subsidiaire chargé de l’application, comme indiqué au paragraphe 24 ci-dessus, et en particulier :</w:t>
      </w:r>
    </w:p>
    <w:p w14:paraId="45CB50E5" w14:textId="77777777" w:rsidR="00651BEB" w:rsidRPr="00AE771B" w:rsidRDefault="00651BEB" w:rsidP="00651BEB">
      <w:pPr>
        <w:spacing w:before="120" w:after="120"/>
        <w:ind w:left="567" w:firstLine="567"/>
        <w:rPr>
          <w:rFonts w:asciiTheme="majorBidi" w:hAnsiTheme="majorBidi" w:cstheme="majorBidi"/>
          <w:color w:val="000000" w:themeColor="text1"/>
          <w:lang w:val="fr-FR"/>
        </w:rPr>
      </w:pPr>
      <w:r w:rsidRPr="00AE771B">
        <w:rPr>
          <w:rFonts w:asciiTheme="majorBidi" w:eastAsia="Times New Roman" w:hAnsiTheme="majorBidi" w:cstheme="majorBidi"/>
          <w:color w:val="000000" w:themeColor="text1"/>
          <w:lang w:val="fr-FR"/>
        </w:rPr>
        <w:t>a)</w:t>
      </w:r>
      <w:r w:rsidRPr="00AE771B">
        <w:rPr>
          <w:rFonts w:asciiTheme="majorBidi" w:eastAsia="Times New Roman" w:hAnsiTheme="majorBidi" w:cstheme="majorBidi"/>
          <w:color w:val="000000" w:themeColor="text1"/>
          <w:lang w:val="fr-FR"/>
        </w:rPr>
        <w:tab/>
      </w:r>
      <w:r w:rsidRPr="00AE771B">
        <w:rPr>
          <w:rFonts w:asciiTheme="majorBidi" w:hAnsiTheme="majorBidi" w:cstheme="majorBidi"/>
          <w:color w:val="000000" w:themeColor="text1"/>
          <w:lang w:val="fr-FR"/>
        </w:rPr>
        <w:t>D’élaborer des documents pour faciliter l’examen de la mise en œuvre de la stratégie de mobilisation des ressources, y compris les éléments d’un projet de recommandation portant sur les possibilités d’adapter davantage la stratégie et les dispositions institutionnelles connexes, conformément au paragraphe 7 ci-dessus ;</w:t>
      </w:r>
    </w:p>
    <w:p w14:paraId="23EB4E24" w14:textId="77777777" w:rsidR="00651BEB" w:rsidRPr="00AE771B" w:rsidRDefault="00651BEB" w:rsidP="00651BEB">
      <w:pPr>
        <w:spacing w:before="120" w:after="120"/>
        <w:ind w:left="567" w:firstLine="567"/>
        <w:rPr>
          <w:rFonts w:asciiTheme="majorBidi" w:hAnsiTheme="majorBidi" w:cstheme="majorBidi"/>
          <w:color w:val="000000" w:themeColor="text1"/>
          <w:lang w:val="fr-FR"/>
        </w:rPr>
      </w:pPr>
      <w:r w:rsidRPr="00AE771B">
        <w:rPr>
          <w:rFonts w:asciiTheme="majorBidi" w:eastAsia="Times New Roman" w:hAnsiTheme="majorBidi" w:cstheme="majorBidi"/>
          <w:color w:val="000000" w:themeColor="text1"/>
          <w:lang w:val="fr-FR"/>
        </w:rPr>
        <w:t>b)</w:t>
      </w:r>
      <w:r w:rsidRPr="00AE771B">
        <w:rPr>
          <w:rFonts w:asciiTheme="majorBidi" w:eastAsia="Times New Roman" w:hAnsiTheme="majorBidi" w:cstheme="majorBidi"/>
          <w:color w:val="000000" w:themeColor="text1"/>
          <w:lang w:val="fr-FR"/>
        </w:rPr>
        <w:tab/>
      </w:r>
      <w:r w:rsidRPr="00AE771B">
        <w:rPr>
          <w:rFonts w:asciiTheme="majorBidi" w:hAnsiTheme="majorBidi" w:cstheme="majorBidi"/>
          <w:color w:val="000000" w:themeColor="text1"/>
          <w:lang w:val="fr-FR"/>
        </w:rPr>
        <w:t>De faire réaliser une étude pour recenser les possibilités de renforcer le suivi des différentes sources de financement de la biodiversité</w:t>
      </w:r>
      <w:r w:rsidRPr="00AE771B">
        <w:rPr>
          <w:rStyle w:val="Appelnotedebasdep"/>
          <w:rFonts w:asciiTheme="majorBidi" w:hAnsiTheme="majorBidi"/>
          <w:color w:val="000000" w:themeColor="text1"/>
          <w:lang w:val="fr-FR"/>
        </w:rPr>
        <w:footnoteReference w:id="10"/>
      </w:r>
      <w:r w:rsidRPr="00AE771B">
        <w:rPr>
          <w:rFonts w:asciiTheme="majorBidi" w:hAnsiTheme="majorBidi" w:cstheme="majorBidi"/>
          <w:color w:val="000000" w:themeColor="text1"/>
          <w:lang w:val="fr-FR"/>
        </w:rPr>
        <w:t> ;</w:t>
      </w:r>
    </w:p>
    <w:p w14:paraId="1521899B" w14:textId="77777777" w:rsidR="00651BEB" w:rsidRPr="00AE771B" w:rsidRDefault="00651BEB" w:rsidP="00651BEB">
      <w:pPr>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26.</w:t>
      </w:r>
      <w:r w:rsidRPr="00AE771B">
        <w:rPr>
          <w:rFonts w:asciiTheme="majorBidi" w:hAnsiTheme="majorBidi" w:cstheme="majorBidi"/>
          <w:color w:val="000000" w:themeColor="text1"/>
          <w:lang w:val="fr-FR"/>
        </w:rPr>
        <w:tab/>
      </w:r>
      <w:r w:rsidRPr="00AE771B">
        <w:rPr>
          <w:rFonts w:asciiTheme="majorBidi" w:hAnsiTheme="majorBidi" w:cstheme="majorBidi"/>
          <w:i/>
          <w:iCs/>
          <w:color w:val="000000" w:themeColor="text1"/>
          <w:lang w:val="fr-FR"/>
        </w:rPr>
        <w:t>Demande également</w:t>
      </w:r>
      <w:r w:rsidRPr="00AE771B">
        <w:rPr>
          <w:rFonts w:asciiTheme="majorBidi" w:hAnsiTheme="majorBidi" w:cstheme="majorBidi"/>
          <w:color w:val="000000" w:themeColor="text1"/>
          <w:lang w:val="fr-FR"/>
        </w:rPr>
        <w:t xml:space="preserve"> à la Secrétaire exécutive, sous réserve de la disponibilité des ressources :</w:t>
      </w:r>
    </w:p>
    <w:p w14:paraId="42A8C092" w14:textId="77777777" w:rsidR="00651BEB" w:rsidRPr="00AE771B" w:rsidRDefault="00651BEB" w:rsidP="00651BEB">
      <w:pPr>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a)</w:t>
      </w:r>
      <w:r w:rsidRPr="00AE771B">
        <w:rPr>
          <w:rFonts w:asciiTheme="majorBidi" w:hAnsiTheme="majorBidi" w:cstheme="majorBidi"/>
          <w:color w:val="000000" w:themeColor="text1"/>
          <w:lang w:val="fr-FR"/>
        </w:rPr>
        <w:tab/>
        <w:t xml:space="preserve">D’organiser un </w:t>
      </w:r>
      <w:r>
        <w:rPr>
          <w:rFonts w:asciiTheme="majorBidi" w:hAnsiTheme="majorBidi" w:cstheme="majorBidi"/>
          <w:color w:val="000000" w:themeColor="text1"/>
          <w:lang w:val="fr-FR"/>
        </w:rPr>
        <w:t>dialogue</w:t>
      </w:r>
      <w:r w:rsidRPr="00AE771B">
        <w:rPr>
          <w:rFonts w:asciiTheme="majorBidi" w:hAnsiTheme="majorBidi" w:cstheme="majorBidi"/>
          <w:color w:val="000000" w:themeColor="text1"/>
          <w:lang w:val="fr-FR"/>
        </w:rPr>
        <w:t xml:space="preserve"> international avec les ministres de l’</w:t>
      </w:r>
      <w:r>
        <w:rPr>
          <w:rFonts w:asciiTheme="majorBidi" w:hAnsiTheme="majorBidi" w:cstheme="majorBidi"/>
          <w:color w:val="000000" w:themeColor="text1"/>
          <w:lang w:val="fr-FR"/>
        </w:rPr>
        <w:t>e</w:t>
      </w:r>
      <w:r w:rsidRPr="00AE771B">
        <w:rPr>
          <w:rFonts w:asciiTheme="majorBidi" w:hAnsiTheme="majorBidi" w:cstheme="majorBidi"/>
          <w:color w:val="000000" w:themeColor="text1"/>
          <w:lang w:val="fr-FR"/>
        </w:rPr>
        <w:t xml:space="preserve">nvironnement et des </w:t>
      </w:r>
      <w:r>
        <w:rPr>
          <w:rFonts w:asciiTheme="majorBidi" w:hAnsiTheme="majorBidi" w:cstheme="majorBidi"/>
          <w:color w:val="000000" w:themeColor="text1"/>
          <w:lang w:val="fr-FR"/>
        </w:rPr>
        <w:t>f</w:t>
      </w:r>
      <w:r w:rsidRPr="00AE771B">
        <w:rPr>
          <w:rFonts w:asciiTheme="majorBidi" w:hAnsiTheme="majorBidi" w:cstheme="majorBidi"/>
          <w:color w:val="000000" w:themeColor="text1"/>
          <w:lang w:val="fr-FR"/>
        </w:rPr>
        <w:t>inances des pays développés et des pays en développement afin d’accélérer la réalisation de la cible 19 du Cadre.</w:t>
      </w:r>
    </w:p>
    <w:p w14:paraId="5EF082E5" w14:textId="77777777" w:rsidR="00651BEB" w:rsidRPr="00AE771B" w:rsidRDefault="00651BEB" w:rsidP="00651BEB">
      <w:pPr>
        <w:spacing w:before="120" w:after="120"/>
        <w:ind w:left="567" w:firstLine="567"/>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b)</w:t>
      </w:r>
      <w:r w:rsidRPr="00AE771B">
        <w:rPr>
          <w:rFonts w:asciiTheme="majorBidi" w:hAnsiTheme="majorBidi" w:cstheme="majorBidi"/>
          <w:color w:val="000000" w:themeColor="text1"/>
          <w:lang w:val="fr-FR"/>
        </w:rPr>
        <w:tab/>
        <w:t>De faire réaliser ou de réaliser, en collaboration avec les institutions internationales compétentes, des études sur :</w:t>
      </w:r>
    </w:p>
    <w:p w14:paraId="4BDA6D92" w14:textId="77777777" w:rsidR="00651BEB" w:rsidRPr="00AE771B" w:rsidRDefault="00651BEB" w:rsidP="00651BEB">
      <w:pPr>
        <w:tabs>
          <w:tab w:val="clear" w:pos="567"/>
        </w:tabs>
        <w:spacing w:before="120" w:after="120"/>
        <w:ind w:left="1134"/>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i)</w:t>
      </w:r>
      <w:r w:rsidRPr="00AE771B">
        <w:rPr>
          <w:rFonts w:asciiTheme="majorBidi" w:hAnsiTheme="majorBidi" w:cstheme="majorBidi"/>
          <w:color w:val="000000" w:themeColor="text1"/>
          <w:lang w:val="fr-FR"/>
        </w:rPr>
        <w:tab/>
        <w:t>La relation entre la soutenabilité de la dette et la mise en œuvre de la Convention</w:t>
      </w:r>
    </w:p>
    <w:p w14:paraId="15AA66D6" w14:textId="77777777" w:rsidR="00651BEB" w:rsidRPr="00AE771B" w:rsidRDefault="00651BEB" w:rsidP="00651BEB">
      <w:pPr>
        <w:tabs>
          <w:tab w:val="clear" w:pos="567"/>
          <w:tab w:val="clear" w:pos="1134"/>
        </w:tabs>
        <w:spacing w:before="120" w:after="120"/>
        <w:ind w:left="1134"/>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t>ii)</w:t>
      </w:r>
      <w:r w:rsidRPr="00AE771B">
        <w:rPr>
          <w:rFonts w:asciiTheme="majorBidi" w:hAnsiTheme="majorBidi" w:cstheme="majorBidi"/>
          <w:color w:val="000000" w:themeColor="text1"/>
          <w:lang w:val="fr-FR"/>
        </w:rPr>
        <w:tab/>
        <w:t xml:space="preserve">La manière dont les orientations relatives aux garanties dans les mécanismes de financement de la biodiversité adoptées dans les décisions </w:t>
      </w:r>
      <w:hyperlink r:id="rId33" w:history="1">
        <w:r w:rsidRPr="00AE771B">
          <w:rPr>
            <w:rStyle w:val="Lienhypertexte"/>
            <w:rFonts w:asciiTheme="majorBidi" w:hAnsiTheme="majorBidi" w:cstheme="majorBidi"/>
            <w:lang w:val="fr-FR"/>
          </w:rPr>
          <w:t>XII/3</w:t>
        </w:r>
      </w:hyperlink>
      <w:r w:rsidRPr="00AE771B">
        <w:rPr>
          <w:rFonts w:asciiTheme="majorBidi" w:hAnsiTheme="majorBidi" w:cstheme="majorBidi"/>
          <w:color w:val="000000" w:themeColor="text1"/>
          <w:lang w:val="fr-FR"/>
        </w:rPr>
        <w:t xml:space="preserve"> et </w:t>
      </w:r>
      <w:hyperlink r:id="rId34" w:history="1">
        <w:r w:rsidRPr="00AE771B">
          <w:rPr>
            <w:rStyle w:val="Lienhypertexte"/>
            <w:rFonts w:asciiTheme="majorBidi" w:hAnsiTheme="majorBidi" w:cstheme="majorBidi"/>
            <w:lang w:val="fr-FR"/>
          </w:rPr>
          <w:t>14/15</w:t>
        </w:r>
      </w:hyperlink>
      <w:r w:rsidRPr="00AE771B">
        <w:rPr>
          <w:rFonts w:asciiTheme="majorBidi" w:hAnsiTheme="majorBidi" w:cstheme="majorBidi"/>
          <w:color w:val="000000" w:themeColor="text1"/>
          <w:lang w:val="fr-FR"/>
        </w:rPr>
        <w:t xml:space="preserve"> ont été mises en œuvre, en identifiant les bonnes pratiques et les enseignements tirés, ainsi que les possibilités d’améliorer la mise en œuvre des orientations</w:t>
      </w:r>
    </w:p>
    <w:p w14:paraId="4537EFB1" w14:textId="77777777" w:rsidR="00651BEB" w:rsidRPr="00AE771B" w:rsidRDefault="00651BEB" w:rsidP="00651BEB">
      <w:pPr>
        <w:tabs>
          <w:tab w:val="clear" w:pos="567"/>
          <w:tab w:val="clear" w:pos="1134"/>
        </w:tabs>
        <w:spacing w:before="120" w:after="120"/>
        <w:ind w:left="1134"/>
        <w:rPr>
          <w:rFonts w:asciiTheme="majorBidi" w:hAnsiTheme="majorBidi" w:cstheme="majorBidi"/>
          <w:color w:val="000000" w:themeColor="text1"/>
          <w:lang w:val="fr-FR"/>
        </w:rPr>
      </w:pPr>
      <w:r w:rsidRPr="00AE771B">
        <w:rPr>
          <w:rFonts w:asciiTheme="majorBidi" w:hAnsiTheme="majorBidi" w:cstheme="majorBidi"/>
          <w:color w:val="000000" w:themeColor="text1"/>
          <w:lang w:val="fr-FR"/>
        </w:rPr>
        <w:lastRenderedPageBreak/>
        <w:t>iii)</w:t>
      </w:r>
      <w:r w:rsidRPr="00AE771B">
        <w:rPr>
          <w:rFonts w:asciiTheme="majorBidi" w:hAnsiTheme="majorBidi" w:cstheme="majorBidi"/>
          <w:color w:val="000000" w:themeColor="text1"/>
          <w:lang w:val="fr-FR"/>
        </w:rPr>
        <w:tab/>
        <w:t>Les liens entre la biodiversité et les financements pour le climat</w:t>
      </w:r>
    </w:p>
    <w:p w14:paraId="0DF32BE0" w14:textId="77777777" w:rsidR="00651BEB" w:rsidRPr="00890B76" w:rsidRDefault="00651BEB" w:rsidP="00651BEB">
      <w:pPr>
        <w:spacing w:before="120" w:after="120"/>
        <w:ind w:left="567" w:firstLine="567"/>
        <w:rPr>
          <w:lang w:val="fr-FR"/>
        </w:rPr>
      </w:pPr>
      <w:r w:rsidRPr="00AE771B">
        <w:rPr>
          <w:rFonts w:asciiTheme="majorBidi" w:hAnsiTheme="majorBidi" w:cstheme="majorBidi"/>
          <w:color w:val="000000" w:themeColor="text1"/>
          <w:lang w:val="fr-FR"/>
        </w:rPr>
        <w:t>c)</w:t>
      </w:r>
      <w:r w:rsidRPr="00AE771B">
        <w:rPr>
          <w:rFonts w:asciiTheme="majorBidi" w:hAnsiTheme="majorBidi" w:cstheme="majorBidi"/>
          <w:color w:val="000000" w:themeColor="text1"/>
          <w:lang w:val="fr-FR"/>
        </w:rPr>
        <w:tab/>
        <w:t>D’intégrer au centre d’échange une plateforme conforme à la stratégie de gestion des connaissances à l’appui de la mise en œuvre du Cadre</w:t>
      </w:r>
      <w:r w:rsidRPr="00AE771B">
        <w:rPr>
          <w:rStyle w:val="Appelnotedebasdep"/>
          <w:rFonts w:asciiTheme="majorBidi" w:hAnsiTheme="majorBidi"/>
          <w:lang w:val="fr-FR"/>
        </w:rPr>
        <w:footnoteReference w:id="11"/>
      </w:r>
      <w:r w:rsidRPr="00AE771B">
        <w:rPr>
          <w:rFonts w:asciiTheme="majorBidi" w:hAnsiTheme="majorBidi" w:cstheme="majorBidi"/>
          <w:color w:val="000000" w:themeColor="text1"/>
          <w:lang w:val="fr-FR"/>
        </w:rPr>
        <w:t>, en vue d’échanger des informations sur les meilleures pratiques et les enseignements tirés de cette mise en œuvre, notamment aux fins de l’objectif D et des cibles 14, 15, 18 et 19, ainsi que de la stratégie de mobilisation des ressources</w:t>
      </w:r>
      <w:r>
        <w:rPr>
          <w:rFonts w:asciiTheme="majorBidi" w:hAnsiTheme="majorBidi" w:cstheme="majorBidi"/>
          <w:color w:val="000000" w:themeColor="text1"/>
          <w:lang w:val="fr-FR"/>
        </w:rPr>
        <w:t>.</w:t>
      </w:r>
    </w:p>
    <w:p w14:paraId="44E6EA4B" w14:textId="77777777" w:rsidR="00651BEB" w:rsidRDefault="00651BEB" w:rsidP="00651BEB">
      <w:pPr>
        <w:spacing w:before="120" w:after="120"/>
        <w:ind w:left="567"/>
        <w:rPr>
          <w:lang w:val="fr-FR"/>
        </w:rPr>
      </w:pPr>
      <w:r w:rsidRPr="00AE771B">
        <w:rPr>
          <w:rFonts w:asciiTheme="majorBidi" w:hAnsiTheme="majorBidi"/>
          <w:b/>
          <w:bCs/>
          <w:sz w:val="24"/>
          <w:lang w:val="fr-FR"/>
        </w:rPr>
        <w:t>Annexe I</w:t>
      </w:r>
    </w:p>
    <w:p w14:paraId="69B728BE" w14:textId="77777777" w:rsidR="00651BEB" w:rsidRPr="00740445" w:rsidRDefault="00651BEB" w:rsidP="00651BEB">
      <w:pPr>
        <w:spacing w:before="120" w:after="120"/>
        <w:ind w:left="567"/>
        <w:rPr>
          <w:highlight w:val="yellow"/>
          <w:lang w:val="fr-FR"/>
        </w:rPr>
      </w:pPr>
      <w:r w:rsidRPr="00AE771B">
        <w:rPr>
          <w:rFonts w:asciiTheme="majorBidi" w:hAnsiTheme="majorBidi"/>
          <w:b/>
          <w:bCs/>
          <w:sz w:val="24"/>
          <w:lang w:val="fr-FR"/>
        </w:rPr>
        <w:t>Stratégie de mobilisation des ressources pour la période 2025-2030</w:t>
      </w:r>
    </w:p>
    <w:p w14:paraId="32A2F7A3" w14:textId="77777777" w:rsidR="00651BEB" w:rsidRPr="00AE771B" w:rsidRDefault="00651BEB" w:rsidP="00651BEB">
      <w:pPr>
        <w:pStyle w:val="Titre1"/>
        <w:tabs>
          <w:tab w:val="left" w:pos="927"/>
        </w:tabs>
        <w:spacing w:before="120"/>
        <w:rPr>
          <w:sz w:val="24"/>
          <w:szCs w:val="24"/>
          <w:lang w:val="fr-FR"/>
        </w:rPr>
      </w:pPr>
      <w:r w:rsidRPr="00AE771B">
        <w:rPr>
          <w:sz w:val="24"/>
          <w:szCs w:val="24"/>
          <w:lang w:val="fr-FR"/>
        </w:rPr>
        <w:t>I.</w:t>
      </w:r>
      <w:r w:rsidRPr="00AE771B">
        <w:rPr>
          <w:sz w:val="24"/>
          <w:szCs w:val="24"/>
          <w:lang w:val="fr-FR"/>
        </w:rPr>
        <w:tab/>
        <w:t>Objectif</w:t>
      </w:r>
    </w:p>
    <w:p w14:paraId="3102F04C" w14:textId="77777777" w:rsidR="00651BEB" w:rsidRPr="00AE771B" w:rsidRDefault="00651BEB" w:rsidP="00651BEB">
      <w:pPr>
        <w:ind w:left="567"/>
        <w:rPr>
          <w:lang w:val="fr-FR"/>
        </w:rPr>
      </w:pPr>
      <w:r w:rsidRPr="00AE771B">
        <w:rPr>
          <w:lang w:val="fr-FR"/>
        </w:rPr>
        <w:t>1.</w:t>
      </w:r>
      <w:r w:rsidRPr="00AE771B">
        <w:rPr>
          <w:lang w:val="fr-FR"/>
        </w:rPr>
        <w:tab/>
        <w:t>La présente stratégie vise à faciliter la mobilisation de ressources aux fins de la mise en œuvre de la Convention sur la diversité biologique</w:t>
      </w:r>
      <w:r w:rsidRPr="00AE771B">
        <w:rPr>
          <w:rStyle w:val="Appelnotedebasdep"/>
          <w:lang w:val="fr-FR"/>
        </w:rPr>
        <w:footnoteReference w:id="12"/>
      </w:r>
      <w:r w:rsidRPr="00AE771B">
        <w:rPr>
          <w:lang w:val="fr-FR"/>
        </w:rPr>
        <w:t xml:space="preserve"> et de ses Protocoles, en abordant ses trois objectifs de manière équilibrée, en augmentant sensiblement et progressivement le niveau des ressources financières provenant de toutes les sources, de manière efficace, rapide et en facilitant leur accès, y compris les ressources nationales et internationales, publiques et privées, conformément à l’article </w:t>
      </w:r>
      <w:hyperlink r:id="rId35" w:history="1">
        <w:r w:rsidRPr="00AE771B">
          <w:rPr>
            <w:rStyle w:val="Lienhypertexte"/>
            <w:lang w:val="fr-FR"/>
          </w:rPr>
          <w:t>20</w:t>
        </w:r>
      </w:hyperlink>
      <w:r w:rsidRPr="00AE771B">
        <w:rPr>
          <w:lang w:val="fr-FR"/>
        </w:rPr>
        <w:t xml:space="preserve"> de la Convention, de manière à mettre en œuvre les stratégies et plans d’action nationaux pour la biodiversité, en mobilisant au moins 200 milliards de dollars des États-Unis par an d’ici à 2030. Elle vise également à faciliter la mise en œuvre du Cadre mondial de la biodiversité de Kunming-Montréal</w:t>
      </w:r>
      <w:r w:rsidRPr="00AE771B">
        <w:rPr>
          <w:rStyle w:val="Appelnotedebasdep"/>
          <w:lang w:val="fr-FR"/>
        </w:rPr>
        <w:footnoteReference w:id="13"/>
      </w:r>
      <w:r w:rsidRPr="00AE771B">
        <w:rPr>
          <w:lang w:val="fr-FR"/>
        </w:rPr>
        <w:t>, notamment en alignant les flux fiscaux et financiers sur ses objectifs et cibles et en encourageant le secteur privé à réduire les impacts négatifs et à accroître progressivement les impacts positifs sur la biodiversité.</w:t>
      </w:r>
    </w:p>
    <w:p w14:paraId="58C96368" w14:textId="77777777" w:rsidR="00651BEB" w:rsidRPr="00AE771B" w:rsidRDefault="00651BEB" w:rsidP="00651BEB">
      <w:pPr>
        <w:pStyle w:val="Para1"/>
        <w:rPr>
          <w:b/>
          <w:lang w:val="fr-FR"/>
        </w:rPr>
      </w:pPr>
      <w:r w:rsidRPr="00AE771B">
        <w:rPr>
          <w:lang w:val="fr-FR"/>
        </w:rPr>
        <w:t>2.</w:t>
      </w:r>
      <w:r w:rsidRPr="00AE771B">
        <w:rPr>
          <w:lang w:val="fr-FR"/>
        </w:rPr>
        <w:tab/>
        <w:t>La présente stratégie fournira ainsi une base solide aux Parties et aux autres acteurs, à tous les niveaux, pour mobiliser des ressources adéquates, à la hauteur de l’ambition du Cadre. Elle s’appuie sur la première phase (2023-2024), telle qu’elle figure à l’annexe I à la décision </w:t>
      </w:r>
      <w:hyperlink r:id="rId36" w:history="1">
        <w:r w:rsidRPr="00AE771B">
          <w:rPr>
            <w:rStyle w:val="Lienhypertexte"/>
            <w:lang w:val="fr-FR"/>
          </w:rPr>
          <w:t>15/7</w:t>
        </w:r>
      </w:hyperlink>
      <w:r w:rsidRPr="00AE771B">
        <w:rPr>
          <w:lang w:val="fr-FR"/>
        </w:rPr>
        <w:t xml:space="preserve"> du 19 décembre 2022, qui a été élaborée pour permettre une mobilisation rapide des ressources et pour accroître et aligner les ressources en vue de la mise en œuvre du Cadre. La stratégie fournit un cadre souple que les pays peuvent adapter en fonction de leur niveau de développement et de leurs circonstances nationales particulières. Aucun élément de la stratégie ne saurait être interprété comme étant une modification des droits et obligations d’une Partie au titre de la Convention ou de ses Protocoles ou de tout autre accord international.</w:t>
      </w:r>
    </w:p>
    <w:p w14:paraId="40F777C7" w14:textId="77777777" w:rsidR="00651BEB" w:rsidRPr="00AE771B" w:rsidRDefault="00651BEB" w:rsidP="00651BEB">
      <w:pPr>
        <w:pStyle w:val="Para1"/>
        <w:rPr>
          <w:lang w:val="fr-FR"/>
        </w:rPr>
      </w:pPr>
      <w:r w:rsidRPr="00AE771B">
        <w:rPr>
          <w:lang w:val="fr-FR"/>
        </w:rPr>
        <w:t>3.</w:t>
      </w:r>
      <w:r w:rsidRPr="00AE771B">
        <w:rPr>
          <w:lang w:val="fr-FR"/>
        </w:rPr>
        <w:tab/>
        <w:t>La stratégie est guidée par :</w:t>
      </w:r>
    </w:p>
    <w:p w14:paraId="70BAF5D1" w14:textId="77777777" w:rsidR="00651BEB" w:rsidRPr="00AE771B" w:rsidRDefault="00651BEB" w:rsidP="00651BEB">
      <w:pPr>
        <w:spacing w:before="120" w:after="120"/>
        <w:ind w:left="567" w:firstLine="567"/>
        <w:rPr>
          <w:strike/>
          <w:lang w:val="fr-FR"/>
        </w:rPr>
      </w:pPr>
      <w:r w:rsidRPr="00AE771B">
        <w:rPr>
          <w:lang w:val="fr-FR"/>
        </w:rPr>
        <w:t>a)</w:t>
      </w:r>
      <w:r w:rsidRPr="00AE771B">
        <w:rPr>
          <w:lang w:val="fr-FR"/>
        </w:rPr>
        <w:tab/>
        <w:t>Les articles </w:t>
      </w:r>
      <w:hyperlink r:id="rId37" w:history="1">
        <w:r w:rsidRPr="00AE771B">
          <w:rPr>
            <w:rStyle w:val="Lienhypertexte"/>
            <w:lang w:val="fr-FR"/>
          </w:rPr>
          <w:t>20</w:t>
        </w:r>
      </w:hyperlink>
      <w:r w:rsidRPr="00AE771B">
        <w:rPr>
          <w:lang w:val="fr-FR"/>
        </w:rPr>
        <w:t xml:space="preserve">, </w:t>
      </w:r>
      <w:hyperlink r:id="rId38" w:history="1">
        <w:r w:rsidRPr="00AE771B">
          <w:rPr>
            <w:rStyle w:val="Lienhypertexte"/>
            <w:lang w:val="fr-FR"/>
          </w:rPr>
          <w:t>21</w:t>
        </w:r>
      </w:hyperlink>
      <w:r w:rsidRPr="00AE771B">
        <w:rPr>
          <w:lang w:val="fr-FR"/>
        </w:rPr>
        <w:t xml:space="preserve"> et 11 de la Convention ;</w:t>
      </w:r>
    </w:p>
    <w:p w14:paraId="4F753BAD" w14:textId="77777777" w:rsidR="00651BEB" w:rsidRPr="00AE771B" w:rsidRDefault="00651BEB" w:rsidP="00651BEB">
      <w:pPr>
        <w:spacing w:before="120" w:after="120"/>
        <w:ind w:left="567" w:firstLine="567"/>
        <w:rPr>
          <w:lang w:val="fr-FR"/>
        </w:rPr>
      </w:pPr>
      <w:r w:rsidRPr="00AE771B">
        <w:rPr>
          <w:lang w:val="fr-FR"/>
        </w:rPr>
        <w:t>b)</w:t>
      </w:r>
      <w:r w:rsidRPr="00AE771B">
        <w:rPr>
          <w:lang w:val="fr-FR"/>
        </w:rPr>
        <w:tab/>
      </w:r>
      <w:bookmarkStart w:id="2" w:name="_Hlk181319023"/>
      <w:r w:rsidRPr="00AE771B">
        <w:rPr>
          <w:lang w:val="fr-FR"/>
        </w:rPr>
        <w:t>Le Cadre mondial de la biodiversité de Kunming-Montréal, y compris sa section C, l’objectif D et la cible 19, ainsi que l’objectif C et les cibles 13 à 16, 18 et 20 ;</w:t>
      </w:r>
      <w:bookmarkEnd w:id="2"/>
    </w:p>
    <w:p w14:paraId="5F7F3323" w14:textId="77777777" w:rsidR="00651BEB" w:rsidRPr="00AE771B" w:rsidRDefault="00651BEB" w:rsidP="00651BEB">
      <w:pPr>
        <w:spacing w:before="120" w:after="120"/>
        <w:ind w:left="567" w:firstLine="567"/>
        <w:rPr>
          <w:lang w:val="fr-FR"/>
        </w:rPr>
      </w:pPr>
      <w:r w:rsidRPr="00AE771B">
        <w:rPr>
          <w:lang w:val="fr-FR"/>
        </w:rPr>
        <w:t xml:space="preserve">c) </w:t>
      </w:r>
      <w:r w:rsidRPr="00AE771B">
        <w:rPr>
          <w:lang w:val="fr-FR"/>
        </w:rPr>
        <w:tab/>
        <w:t>La nécessité d’augmenter sensiblement et progressivement le niveau des ressources financières provenant de toutes les sources, conformément à l’article </w:t>
      </w:r>
      <w:hyperlink r:id="rId39" w:history="1">
        <w:r w:rsidRPr="00AE771B">
          <w:rPr>
            <w:rStyle w:val="Lienhypertexte"/>
            <w:lang w:val="fr-FR"/>
          </w:rPr>
          <w:t>20</w:t>
        </w:r>
      </w:hyperlink>
      <w:r w:rsidRPr="00AE771B">
        <w:rPr>
          <w:lang w:val="fr-FR"/>
        </w:rPr>
        <w:t xml:space="preserve"> de la Convention, et d’un large éventail d’instruments et de mécanismes financiers ;</w:t>
      </w:r>
    </w:p>
    <w:p w14:paraId="2DD9B702" w14:textId="77777777" w:rsidR="00651BEB" w:rsidRPr="00AE771B" w:rsidRDefault="00651BEB" w:rsidP="00651BEB">
      <w:pPr>
        <w:spacing w:before="120" w:after="120"/>
        <w:ind w:left="567" w:firstLine="567"/>
        <w:rPr>
          <w:lang w:val="fr-FR"/>
        </w:rPr>
      </w:pPr>
      <w:r w:rsidRPr="00AE771B">
        <w:rPr>
          <w:lang w:val="fr-FR"/>
        </w:rPr>
        <w:t>d)</w:t>
      </w:r>
      <w:r w:rsidRPr="00AE771B">
        <w:rPr>
          <w:lang w:val="fr-FR"/>
        </w:rPr>
        <w:tab/>
        <w:t>La nécessité de mobiliser des ressources efficacement et immédiatement tout en conservant une vision à long terme des besoins en ressources financières ;</w:t>
      </w:r>
    </w:p>
    <w:p w14:paraId="144E93C8" w14:textId="77777777" w:rsidR="00651BEB" w:rsidRPr="00AE771B" w:rsidRDefault="00651BEB" w:rsidP="00651BEB">
      <w:pPr>
        <w:spacing w:before="120" w:after="120"/>
        <w:ind w:left="567" w:firstLine="567"/>
        <w:rPr>
          <w:kern w:val="22"/>
          <w:lang w:val="fr-FR"/>
        </w:rPr>
      </w:pPr>
      <w:r w:rsidRPr="00AE771B">
        <w:rPr>
          <w:lang w:val="fr-FR"/>
        </w:rPr>
        <w:t>e)</w:t>
      </w:r>
      <w:r w:rsidRPr="00AE771B">
        <w:rPr>
          <w:lang w:val="fr-FR"/>
        </w:rPr>
        <w:tab/>
        <w:t>Le besoin de garantir à toutes les Parties, ainsi qu’aux peuples autochtones et communautés locales, aux femmes et aux jeunes, et aux autres parties prenantes, un accès complet, juste, opportun, inclusif, simplifié et équitable à toutes les sources de financement, y compris dans le cadre d’approches non fondées sur le marché.</w:t>
      </w:r>
    </w:p>
    <w:p w14:paraId="25882125" w14:textId="77777777" w:rsidR="00651BEB" w:rsidRPr="00AE771B" w:rsidRDefault="00651BEB" w:rsidP="00651BEB">
      <w:pPr>
        <w:pStyle w:val="CBDH2"/>
        <w:rPr>
          <w:b w:val="0"/>
          <w:lang w:val="fr-FR"/>
        </w:rPr>
      </w:pPr>
      <w:r w:rsidRPr="00AE771B">
        <w:rPr>
          <w:lang w:val="fr-FR"/>
        </w:rPr>
        <w:lastRenderedPageBreak/>
        <w:t>II.</w:t>
      </w:r>
      <w:r w:rsidRPr="00AE771B">
        <w:rPr>
          <w:lang w:val="fr-FR"/>
        </w:rPr>
        <w:tab/>
        <w:t xml:space="preserve">Actions </w:t>
      </w:r>
      <w:proofErr w:type="spellStart"/>
      <w:r w:rsidRPr="008C08FA">
        <w:t>facilitatrices</w:t>
      </w:r>
      <w:proofErr w:type="spellEnd"/>
    </w:p>
    <w:p w14:paraId="726C58D6" w14:textId="77777777" w:rsidR="00651BEB" w:rsidRPr="00AE771B" w:rsidRDefault="00651BEB" w:rsidP="00651BEB">
      <w:pPr>
        <w:pStyle w:val="Para1"/>
        <w:keepNext/>
        <w:tabs>
          <w:tab w:val="left" w:pos="360"/>
        </w:tabs>
        <w:rPr>
          <w:lang w:val="fr-FR"/>
        </w:rPr>
      </w:pPr>
      <w:r w:rsidRPr="00AE771B">
        <w:rPr>
          <w:lang w:val="fr-FR"/>
        </w:rPr>
        <w:t>4.</w:t>
      </w:r>
      <w:r w:rsidRPr="00AE771B">
        <w:rPr>
          <w:lang w:val="fr-FR"/>
        </w:rPr>
        <w:tab/>
        <w:t>La stratégie peut être mise en œuvre grâce notamment actions suivantes :</w:t>
      </w:r>
    </w:p>
    <w:p w14:paraId="41990620" w14:textId="77777777" w:rsidR="00651BEB" w:rsidRPr="00AE771B" w:rsidRDefault="00651BEB" w:rsidP="00651BEB">
      <w:pPr>
        <w:spacing w:before="120"/>
        <w:ind w:left="567" w:firstLine="567"/>
        <w:rPr>
          <w:lang w:val="fr-FR"/>
        </w:rPr>
      </w:pPr>
      <w:r w:rsidRPr="00AE771B">
        <w:rPr>
          <w:rFonts w:asciiTheme="majorBidi" w:hAnsiTheme="majorBidi"/>
          <w:lang w:val="fr-FR"/>
        </w:rPr>
        <w:t>a)</w:t>
      </w:r>
      <w:r w:rsidRPr="00AE771B">
        <w:rPr>
          <w:rFonts w:asciiTheme="majorBidi" w:hAnsiTheme="majorBidi"/>
          <w:lang w:val="fr-FR"/>
        </w:rPr>
        <w:tab/>
      </w:r>
      <w:r w:rsidRPr="00AE771B">
        <w:rPr>
          <w:lang w:val="fr-FR"/>
        </w:rPr>
        <w:t xml:space="preserve">Mettre à jour et mettre en œuvre </w:t>
      </w:r>
      <w:r>
        <w:rPr>
          <w:lang w:val="fr-FR"/>
        </w:rPr>
        <w:t>l</w:t>
      </w:r>
      <w:r w:rsidRPr="00AE771B">
        <w:rPr>
          <w:lang w:val="fr-FR"/>
        </w:rPr>
        <w:t>es stratégies et plans d’action nationaux pour la biodiversité (SPANB) et des cibles nationales, notamment grâce au partenariat pour l’accélération des SPANB et à d’autres initiatives similaires ;</w:t>
      </w:r>
    </w:p>
    <w:p w14:paraId="268CC12F" w14:textId="77777777" w:rsidR="00651BEB" w:rsidRPr="00AE771B" w:rsidRDefault="00651BEB" w:rsidP="00651BEB">
      <w:pPr>
        <w:spacing w:before="120"/>
        <w:ind w:left="567" w:firstLine="567"/>
        <w:rPr>
          <w:lang w:val="fr-FR"/>
        </w:rPr>
      </w:pPr>
      <w:r w:rsidRPr="00AE771B">
        <w:rPr>
          <w:rFonts w:asciiTheme="majorBidi" w:hAnsiTheme="majorBidi"/>
          <w:lang w:val="fr-FR"/>
        </w:rPr>
        <w:t>b)</w:t>
      </w:r>
      <w:r w:rsidRPr="00AE771B">
        <w:rPr>
          <w:rFonts w:asciiTheme="majorBidi" w:hAnsiTheme="majorBidi"/>
          <w:lang w:val="fr-FR"/>
        </w:rPr>
        <w:tab/>
      </w:r>
      <w:r w:rsidRPr="00AE771B">
        <w:rPr>
          <w:lang w:val="fr-FR"/>
        </w:rPr>
        <w:t>Élaborer, actualiser et mettre en œuvre des plans nationaux de financement de la biodiversité ou des instruments similaires, en fonction des besoins, des priorités et des circonstances nationaux, en vue de faciliter une augmentation significative de la mobilisation des ressources provenant de toutes les sources et d’améliorer la base d’informations sur les besoins, les lacunes et les priorités en matière de financement ;</w:t>
      </w:r>
    </w:p>
    <w:p w14:paraId="00DBED76" w14:textId="77777777" w:rsidR="00651BEB" w:rsidRPr="00AE771B" w:rsidRDefault="00651BEB" w:rsidP="00651BEB">
      <w:pPr>
        <w:spacing w:before="120"/>
        <w:ind w:left="567" w:firstLine="567"/>
        <w:rPr>
          <w:lang w:val="fr-FR"/>
        </w:rPr>
      </w:pPr>
      <w:r w:rsidRPr="00AE771B">
        <w:rPr>
          <w:lang w:val="fr-FR"/>
        </w:rPr>
        <w:t>c)</w:t>
      </w:r>
      <w:r w:rsidRPr="00AE771B">
        <w:rPr>
          <w:lang w:val="fr-FR"/>
        </w:rPr>
        <w:tab/>
        <w:t>Renforcer la coopération et les synergies avec les autres conventions de Rio et les autres conventions relatives à la biodiversité et accords multilatéraux relatifs à l’environnement au niveau mondial, conformément à leurs mandats respectifs ;</w:t>
      </w:r>
    </w:p>
    <w:p w14:paraId="103182FD" w14:textId="77777777" w:rsidR="00651BEB" w:rsidRPr="00AE771B" w:rsidRDefault="00651BEB" w:rsidP="00651BEB">
      <w:pPr>
        <w:spacing w:before="120"/>
        <w:ind w:left="567" w:firstLine="567"/>
        <w:rPr>
          <w:lang w:val="fr-FR"/>
        </w:rPr>
      </w:pPr>
      <w:r w:rsidRPr="00AE771B">
        <w:rPr>
          <w:rFonts w:asciiTheme="majorBidi" w:hAnsiTheme="majorBidi"/>
          <w:lang w:val="fr-FR"/>
        </w:rPr>
        <w:t>d)</w:t>
      </w:r>
      <w:r w:rsidRPr="00AE771B">
        <w:rPr>
          <w:rFonts w:asciiTheme="majorBidi" w:hAnsiTheme="majorBidi"/>
          <w:lang w:val="fr-FR"/>
        </w:rPr>
        <w:tab/>
      </w:r>
      <w:r w:rsidRPr="00AE771B">
        <w:rPr>
          <w:lang w:val="fr-FR"/>
        </w:rPr>
        <w:t>Augmenter l’appui financier à l’</w:t>
      </w:r>
      <w:r>
        <w:rPr>
          <w:lang w:val="fr-FR"/>
        </w:rPr>
        <w:t>I</w:t>
      </w:r>
      <w:r w:rsidRPr="00AE771B">
        <w:rPr>
          <w:lang w:val="fr-FR"/>
        </w:rPr>
        <w:t>nitiative de financement de la biodiversité du Programme des Nations Unies pour le développement et à d’autres initiatives connexes afin de faciliter la mobilisation des ressources, notamment par la mise en œuvre de plans nationaux de financement de la biodiversité ;</w:t>
      </w:r>
    </w:p>
    <w:p w14:paraId="567AE373" w14:textId="77777777" w:rsidR="00651BEB" w:rsidRPr="00AE771B" w:rsidRDefault="00651BEB" w:rsidP="00651BEB">
      <w:pPr>
        <w:spacing w:before="120"/>
        <w:ind w:left="567" w:firstLine="567"/>
        <w:rPr>
          <w:lang w:val="fr-FR"/>
        </w:rPr>
      </w:pPr>
      <w:r w:rsidRPr="00AE771B">
        <w:rPr>
          <w:rFonts w:asciiTheme="majorBidi" w:hAnsiTheme="majorBidi"/>
          <w:lang w:val="fr-FR"/>
        </w:rPr>
        <w:t>e)</w:t>
      </w:r>
      <w:r w:rsidRPr="00AE771B">
        <w:rPr>
          <w:lang w:val="fr-FR"/>
        </w:rPr>
        <w:tab/>
        <w:t>Optimiser les partenariats multipartites inclusifs ;</w:t>
      </w:r>
    </w:p>
    <w:p w14:paraId="43749951" w14:textId="77777777" w:rsidR="00651BEB" w:rsidRPr="00AE771B" w:rsidRDefault="00651BEB" w:rsidP="00651BEB">
      <w:pPr>
        <w:spacing w:before="120"/>
        <w:ind w:left="567" w:firstLine="567"/>
        <w:rPr>
          <w:lang w:val="fr-FR"/>
        </w:rPr>
      </w:pPr>
      <w:r w:rsidRPr="00AE771B">
        <w:rPr>
          <w:rFonts w:asciiTheme="majorBidi" w:hAnsiTheme="majorBidi"/>
          <w:lang w:val="fr-FR"/>
        </w:rPr>
        <w:t>f)</w:t>
      </w:r>
      <w:r w:rsidRPr="00AE771B">
        <w:rPr>
          <w:rFonts w:asciiTheme="majorBidi" w:hAnsiTheme="majorBidi"/>
          <w:lang w:val="fr-FR"/>
        </w:rPr>
        <w:tab/>
      </w:r>
      <w:r w:rsidRPr="00AE771B">
        <w:rPr>
          <w:lang w:val="fr-FR"/>
        </w:rPr>
        <w:t>Entreprendre des activités de création et de renforcement des capacités, de coopération scientifique et technologique et de transfert de technologie, conformément à l’article 16 de la Convention, afin d’appuyer les priorités définies par les Parties dans leurs stratégies et plans d’action nationaux pour la biodiversité en vue de la mise en œuvre du Cadre ;</w:t>
      </w:r>
    </w:p>
    <w:p w14:paraId="6B2A952F" w14:textId="77777777" w:rsidR="00651BEB" w:rsidRPr="00AE771B" w:rsidRDefault="00651BEB" w:rsidP="00651BEB">
      <w:pPr>
        <w:spacing w:before="120" w:after="120"/>
        <w:ind w:left="567" w:firstLine="567"/>
        <w:rPr>
          <w:lang w:val="fr-FR"/>
        </w:rPr>
      </w:pPr>
      <w:r w:rsidRPr="00AE771B">
        <w:rPr>
          <w:rFonts w:asciiTheme="majorBidi" w:hAnsiTheme="majorBidi"/>
          <w:lang w:val="fr-FR"/>
        </w:rPr>
        <w:t>g)</w:t>
      </w:r>
      <w:r w:rsidRPr="00AE771B">
        <w:rPr>
          <w:lang w:val="fr-FR"/>
        </w:rPr>
        <w:tab/>
        <w:t>Assurer un accès équitable, abordable et rapide aux ressources financières et au renforcement des capacités pour toutes les Parties, en particulier les pays en développement Parties, notamment les pays les moins avancés et les petits États insulaires en développement, ainsi que les pays à économie en transition ;</w:t>
      </w:r>
    </w:p>
    <w:p w14:paraId="5BAA2754" w14:textId="77777777" w:rsidR="00651BEB" w:rsidRPr="00AE771B" w:rsidRDefault="00651BEB" w:rsidP="00651BEB">
      <w:pPr>
        <w:spacing w:before="120" w:after="120"/>
        <w:ind w:left="567" w:firstLine="567"/>
        <w:rPr>
          <w:kern w:val="22"/>
          <w:lang w:val="fr-FR"/>
        </w:rPr>
      </w:pPr>
      <w:r w:rsidRPr="00AE771B">
        <w:rPr>
          <w:lang w:val="fr-FR"/>
        </w:rPr>
        <w:t xml:space="preserve">h) </w:t>
      </w:r>
      <w:r w:rsidRPr="00AE771B">
        <w:rPr>
          <w:lang w:val="fr-FR"/>
        </w:rPr>
        <w:tab/>
        <w:t>Garantir aux peuples autochtones et communautés locales, aux femmes, aux jeunes et aux autres parties prenantes, l’accès en temps utile aux ressources financières et au renforcement des capacités ;</w:t>
      </w:r>
    </w:p>
    <w:p w14:paraId="29B3BA14" w14:textId="77777777" w:rsidR="00651BEB" w:rsidRPr="00AE771B" w:rsidRDefault="00651BEB" w:rsidP="00651BEB">
      <w:pPr>
        <w:spacing w:before="120"/>
        <w:ind w:left="567" w:firstLine="567"/>
        <w:rPr>
          <w:lang w:val="fr-FR"/>
        </w:rPr>
      </w:pPr>
      <w:r w:rsidRPr="00AE771B">
        <w:rPr>
          <w:rFonts w:asciiTheme="majorBidi" w:hAnsiTheme="majorBidi"/>
          <w:lang w:val="fr-FR"/>
        </w:rPr>
        <w:t>i)</w:t>
      </w:r>
      <w:r w:rsidRPr="00AE771B">
        <w:rPr>
          <w:rFonts w:asciiTheme="majorBidi" w:hAnsiTheme="majorBidi"/>
          <w:bCs/>
          <w:lang w:val="fr-FR"/>
        </w:rPr>
        <w:tab/>
        <w:t>Encourager les banques multilatérales de développement et, le cas échéant, les autres institutions financières nationales et internationales qui travaillent sur les garanties environnementales et sociales et sur l'élaboration et le perfectionnement de méthodes, de principes et de lignes directrices communs visant à suivre, divulguer et rendre compte, de manière harmonisée, de leurs investissements et de leurs impacts sur la biodiversité, à poursuivre et à intensifier, dans la mesure du possible, ces travaux, conformément à leurs mandats respectifs et d'une manière qui favorise le développement durable et l'éradication de la pauvreté</w:t>
      </w:r>
      <w:r w:rsidRPr="00AE771B">
        <w:rPr>
          <w:lang w:val="fr-FR"/>
        </w:rPr>
        <w:t> ;</w:t>
      </w:r>
    </w:p>
    <w:p w14:paraId="6EF64EB4" w14:textId="77777777" w:rsidR="00651BEB" w:rsidRPr="00AE771B" w:rsidRDefault="00651BEB" w:rsidP="00651BEB">
      <w:pPr>
        <w:spacing w:before="120"/>
        <w:ind w:left="567" w:firstLine="567"/>
        <w:rPr>
          <w:lang w:val="fr-FR"/>
        </w:rPr>
      </w:pPr>
      <w:r w:rsidRPr="00AE771B">
        <w:rPr>
          <w:lang w:val="fr-FR"/>
        </w:rPr>
        <w:t xml:space="preserve">j) </w:t>
      </w:r>
      <w:r w:rsidRPr="00AE771B">
        <w:rPr>
          <w:lang w:val="fr-FR"/>
        </w:rPr>
        <w:tab/>
        <w:t>Encourager, si possible, les institutions financières nationales et internationales, y compris les banques centrales nationales et d’autres autorités de régulation, à recenser et à évaluer les opportunités, les difficultés, les risques financiers et les incidences en matière de biodiversité, conformément à leurs mandats respectifs et d’une manière qui favorise le développement durable et l’éradication de la pauvreté ;</w:t>
      </w:r>
    </w:p>
    <w:p w14:paraId="7A364D7E" w14:textId="77777777" w:rsidR="00651BEB" w:rsidRPr="00AE771B" w:rsidRDefault="00651BEB" w:rsidP="00651BEB">
      <w:pPr>
        <w:spacing w:before="120"/>
        <w:ind w:left="567" w:firstLine="567"/>
        <w:rPr>
          <w:lang w:val="fr-FR"/>
        </w:rPr>
      </w:pPr>
      <w:r w:rsidRPr="00AE771B">
        <w:rPr>
          <w:lang w:val="fr-FR"/>
        </w:rPr>
        <w:t>k)</w:t>
      </w:r>
      <w:r w:rsidRPr="00AE771B">
        <w:rPr>
          <w:lang w:val="fr-FR"/>
        </w:rPr>
        <w:tab/>
        <w:t>Envisager, le cas échéant, l’élaboration et l’application de taxonomies de la biodiversité liées à la finance ;</w:t>
      </w:r>
    </w:p>
    <w:p w14:paraId="1047CF97" w14:textId="77777777" w:rsidR="00651BEB" w:rsidRPr="00AE771B" w:rsidRDefault="00651BEB" w:rsidP="00651BEB">
      <w:pPr>
        <w:spacing w:before="120"/>
        <w:ind w:left="567" w:firstLine="567"/>
        <w:rPr>
          <w:lang w:val="fr-FR"/>
        </w:rPr>
      </w:pPr>
      <w:r w:rsidRPr="00AE771B">
        <w:rPr>
          <w:lang w:val="fr-FR"/>
        </w:rPr>
        <w:t xml:space="preserve">l) </w:t>
      </w:r>
      <w:r w:rsidRPr="00AE771B">
        <w:rPr>
          <w:lang w:val="fr-FR"/>
        </w:rPr>
        <w:tab/>
        <w:t xml:space="preserve">Assurer la représentation et la participation pleines et entières, équitables, inclusives, efficaces et tenant compte du genre des peuples autochtones et communautés locales, des femmes et des jeunes à la prise de décision. </w:t>
      </w:r>
    </w:p>
    <w:p w14:paraId="2DF38E3A" w14:textId="77777777" w:rsidR="00651BEB" w:rsidRPr="00AE771B" w:rsidRDefault="00651BEB" w:rsidP="00651BEB">
      <w:pPr>
        <w:pStyle w:val="CBDH2"/>
        <w:rPr>
          <w:szCs w:val="24"/>
          <w:lang w:val="fr-FR"/>
        </w:rPr>
      </w:pPr>
      <w:r w:rsidRPr="00AE771B">
        <w:rPr>
          <w:szCs w:val="24"/>
          <w:lang w:val="fr-FR"/>
        </w:rPr>
        <w:lastRenderedPageBreak/>
        <w:t>III.</w:t>
      </w:r>
      <w:r w:rsidRPr="00AE771B">
        <w:rPr>
          <w:szCs w:val="24"/>
          <w:lang w:val="fr-FR"/>
        </w:rPr>
        <w:tab/>
        <w:t xml:space="preserve">Objectifs et actions </w:t>
      </w:r>
    </w:p>
    <w:p w14:paraId="73A40DA6" w14:textId="77777777" w:rsidR="00651BEB" w:rsidRPr="00AE771B" w:rsidRDefault="00651BEB" w:rsidP="00651BEB">
      <w:pPr>
        <w:pStyle w:val="CBDH3"/>
        <w:rPr>
          <w:b w:val="0"/>
          <w:lang w:val="fr-FR"/>
        </w:rPr>
      </w:pPr>
      <w:r w:rsidRPr="00AE771B">
        <w:rPr>
          <w:lang w:val="fr-FR"/>
        </w:rPr>
        <w:t>A.</w:t>
      </w:r>
      <w:r w:rsidRPr="00AE771B">
        <w:rPr>
          <w:lang w:val="fr-FR"/>
        </w:rPr>
        <w:tab/>
      </w:r>
      <w:r w:rsidRPr="008C08FA">
        <w:t>Augmentation</w:t>
      </w:r>
      <w:r w:rsidRPr="00AE771B">
        <w:rPr>
          <w:lang w:val="fr-FR"/>
        </w:rPr>
        <w:t xml:space="preserve"> des flux financiers internationaux liés à la biodiversité </w:t>
      </w:r>
      <w:r w:rsidRPr="00AE771B">
        <w:rPr>
          <w:lang w:val="fr-FR"/>
        </w:rPr>
        <w:br/>
        <w:t>et des ressources financières provenant de toutes les sources</w:t>
      </w:r>
    </w:p>
    <w:p w14:paraId="77AC9D8D" w14:textId="77777777" w:rsidR="00651BEB" w:rsidRPr="00AE771B" w:rsidRDefault="00651BEB" w:rsidP="00651BEB">
      <w:pPr>
        <w:pStyle w:val="Titre3"/>
        <w:rPr>
          <w:lang w:val="fr-FR"/>
        </w:rPr>
      </w:pPr>
      <w:r w:rsidRPr="00AE771B">
        <w:rPr>
          <w:lang w:val="fr-FR"/>
        </w:rPr>
        <w:t xml:space="preserve">1. </w:t>
      </w:r>
      <w:r w:rsidRPr="00AE771B">
        <w:rPr>
          <w:lang w:val="fr-FR"/>
        </w:rPr>
        <w:tab/>
        <w:t>Ressources nouvelles et supplémentaires</w:t>
      </w:r>
    </w:p>
    <w:p w14:paraId="34251AFE" w14:textId="77777777" w:rsidR="00651BEB" w:rsidRPr="00AE771B" w:rsidRDefault="00651BEB" w:rsidP="00651BEB">
      <w:pPr>
        <w:pStyle w:val="Para1"/>
        <w:rPr>
          <w:lang w:val="fr-FR"/>
        </w:rPr>
      </w:pPr>
      <w:r w:rsidRPr="00AE771B">
        <w:rPr>
          <w:lang w:val="fr-FR"/>
        </w:rPr>
        <w:t>5.</w:t>
      </w:r>
      <w:r w:rsidRPr="00AE771B">
        <w:rPr>
          <w:lang w:val="fr-FR"/>
        </w:rPr>
        <w:tab/>
        <w:t xml:space="preserve">Des ressources nouvelles et supplémentaires sont mobilisées en vue d’atteindre la cible 19 a) du Cadre mondial de la biodiversité de Kunming-Montréal, notamment grâce aux actions suivantes :  </w:t>
      </w:r>
    </w:p>
    <w:p w14:paraId="0E8943FD" w14:textId="77777777" w:rsidR="00651BEB" w:rsidRPr="00AE771B" w:rsidRDefault="00651BEB" w:rsidP="00651BEB">
      <w:pPr>
        <w:spacing w:before="120"/>
        <w:ind w:left="567" w:firstLine="567"/>
        <w:rPr>
          <w:lang w:val="fr-FR"/>
        </w:rPr>
      </w:pPr>
      <w:r w:rsidRPr="00AE771B">
        <w:rPr>
          <w:lang w:val="fr-FR"/>
        </w:rPr>
        <w:t>a)</w:t>
      </w:r>
      <w:r w:rsidRPr="00AE771B">
        <w:rPr>
          <w:lang w:val="fr-FR"/>
        </w:rPr>
        <w:tab/>
        <w:t>Mise en œuvre des obligations des pays développés parties de fournir des ressources financières nouvelles et additionnelles, conformément à l’article </w:t>
      </w:r>
      <w:hyperlink r:id="rId40" w:history="1">
        <w:r w:rsidRPr="00AE771B">
          <w:rPr>
            <w:rStyle w:val="Lienhypertexte"/>
            <w:lang w:val="fr-FR"/>
          </w:rPr>
          <w:t>20</w:t>
        </w:r>
      </w:hyperlink>
      <w:r w:rsidRPr="00AE771B">
        <w:rPr>
          <w:lang w:val="fr-FR"/>
        </w:rPr>
        <w:t xml:space="preserve"> de la Convention ;</w:t>
      </w:r>
    </w:p>
    <w:p w14:paraId="4301FFDA" w14:textId="77777777" w:rsidR="00651BEB" w:rsidRPr="00AE771B" w:rsidRDefault="00651BEB" w:rsidP="00651BEB">
      <w:pPr>
        <w:spacing w:before="120"/>
        <w:ind w:left="567" w:firstLine="567"/>
        <w:rPr>
          <w:lang w:val="fr-FR"/>
        </w:rPr>
      </w:pPr>
      <w:r w:rsidRPr="00AE771B">
        <w:rPr>
          <w:lang w:val="fr-FR"/>
        </w:rPr>
        <w:t xml:space="preserve">b) </w:t>
      </w:r>
      <w:r w:rsidRPr="00AE771B">
        <w:rPr>
          <w:lang w:val="fr-FR"/>
        </w:rPr>
        <w:tab/>
        <w:t xml:space="preserve">Examen, par </w:t>
      </w:r>
      <w:r>
        <w:rPr>
          <w:lang w:val="fr-FR"/>
        </w:rPr>
        <w:t xml:space="preserve">les </w:t>
      </w:r>
      <w:r w:rsidRPr="00AE771B">
        <w:rPr>
          <w:lang w:val="fr-FR"/>
        </w:rPr>
        <w:t>autres Parties, de la possibilité d’assumer volontairement les obligations des Parties qui sont des pays développés, conformément à l’article </w:t>
      </w:r>
      <w:hyperlink r:id="rId41" w:history="1">
        <w:r w:rsidRPr="00AE771B">
          <w:rPr>
            <w:rStyle w:val="Lienhypertexte"/>
            <w:lang w:val="fr-FR"/>
          </w:rPr>
          <w:t>20</w:t>
        </w:r>
      </w:hyperlink>
      <w:r w:rsidRPr="00AE771B">
        <w:rPr>
          <w:lang w:val="fr-FR"/>
        </w:rPr>
        <w:t xml:space="preserve"> de la Convention;</w:t>
      </w:r>
    </w:p>
    <w:p w14:paraId="3EC117DA" w14:textId="77777777" w:rsidR="00651BEB" w:rsidRPr="00AE771B" w:rsidRDefault="00651BEB" w:rsidP="00651BEB">
      <w:pPr>
        <w:spacing w:before="120"/>
        <w:ind w:left="567" w:firstLine="567"/>
        <w:rPr>
          <w:lang w:val="fr-FR"/>
        </w:rPr>
      </w:pPr>
      <w:r w:rsidRPr="00AE771B">
        <w:rPr>
          <w:lang w:val="fr-FR"/>
        </w:rPr>
        <w:t xml:space="preserve">c) </w:t>
      </w:r>
      <w:r w:rsidRPr="00AE771B">
        <w:rPr>
          <w:lang w:val="fr-FR"/>
        </w:rPr>
        <w:tab/>
        <w:t xml:space="preserve">Examen, par </w:t>
      </w:r>
      <w:r>
        <w:rPr>
          <w:lang w:val="fr-FR"/>
        </w:rPr>
        <w:t xml:space="preserve">les </w:t>
      </w:r>
      <w:r w:rsidRPr="00AE771B">
        <w:rPr>
          <w:lang w:val="fr-FR"/>
        </w:rPr>
        <w:t>autres gouvernements, de la possibilité d’accroître leur financement international en faveur de la diversité biologique, y compris, le cas échéant, par l’intermédiaire du Fonds pour l’environnement mondial ;</w:t>
      </w:r>
    </w:p>
    <w:p w14:paraId="10BCCEE1" w14:textId="77777777" w:rsidR="00651BEB" w:rsidRPr="00AE771B" w:rsidRDefault="00651BEB" w:rsidP="00651BEB">
      <w:pPr>
        <w:spacing w:before="120"/>
        <w:ind w:left="567" w:firstLine="567"/>
        <w:rPr>
          <w:lang w:val="fr-FR"/>
        </w:rPr>
      </w:pPr>
      <w:r w:rsidRPr="00AE771B">
        <w:rPr>
          <w:lang w:val="fr-FR"/>
        </w:rPr>
        <w:t xml:space="preserve">d) </w:t>
      </w:r>
      <w:r w:rsidRPr="00AE771B">
        <w:rPr>
          <w:lang w:val="fr-FR"/>
        </w:rPr>
        <w:tab/>
        <w:t>Augmentation, par les banques multilatérales de développement et les autres institutions financières internationales concernées, des investissements dans leurs portefeuilles qui contribuent à la réalisation des objectifs de la Convention et de ses Protocoles ainsi que des objectifs et cibles du Cadre, conformément à leurs mandats respectifs et d’une manière qui favorise le développement durable et l’éradication de la pauvreté ;</w:t>
      </w:r>
    </w:p>
    <w:p w14:paraId="3659488F" w14:textId="77777777" w:rsidR="00651BEB" w:rsidRPr="00AE771B" w:rsidRDefault="00651BEB" w:rsidP="00651BEB">
      <w:pPr>
        <w:spacing w:before="120"/>
        <w:ind w:left="567" w:firstLine="567"/>
        <w:rPr>
          <w:lang w:val="fr-FR"/>
        </w:rPr>
      </w:pPr>
      <w:r w:rsidRPr="00AE771B">
        <w:rPr>
          <w:lang w:val="fr-FR"/>
        </w:rPr>
        <w:t>e)</w:t>
      </w:r>
      <w:r w:rsidRPr="00AE771B">
        <w:rPr>
          <w:lang w:val="fr-FR"/>
        </w:rPr>
        <w:tab/>
        <w:t>Capitalisation continue, rapide et solide du Fonds du Cadre mondial de la biodiversité relevant du Fonds pour l’environnement mondial, conformément à la décision </w:t>
      </w:r>
      <w:hyperlink r:id="rId42" w:history="1">
        <w:r w:rsidRPr="00AE771B">
          <w:rPr>
            <w:rStyle w:val="Lienhypertexte"/>
            <w:lang w:val="fr-FR"/>
          </w:rPr>
          <w:t>15/7</w:t>
        </w:r>
      </w:hyperlink>
      <w:r w:rsidRPr="00AE771B">
        <w:rPr>
          <w:lang w:val="fr-FR"/>
        </w:rPr>
        <w:t>.</w:t>
      </w:r>
    </w:p>
    <w:p w14:paraId="1A415FFB" w14:textId="77777777" w:rsidR="00651BEB" w:rsidRPr="00AE771B" w:rsidRDefault="00651BEB" w:rsidP="00651BEB">
      <w:pPr>
        <w:snapToGrid w:val="0"/>
        <w:spacing w:before="120" w:after="120"/>
        <w:ind w:left="567"/>
        <w:rPr>
          <w:lang w:val="fr-FR"/>
        </w:rPr>
      </w:pPr>
      <w:r w:rsidRPr="00AE771B">
        <w:rPr>
          <w:lang w:val="fr-FR"/>
        </w:rPr>
        <w:t>6.</w:t>
      </w:r>
      <w:r w:rsidRPr="00AE771B">
        <w:rPr>
          <w:lang w:val="fr-FR"/>
        </w:rPr>
        <w:tab/>
        <w:t xml:space="preserve">Des ressources nouvelles et supplémentaires sont mobilisées plus avant auprès de toutes les sources en vue d’atteindre la cible 19, notamment grâce aux mesures suivantes :  </w:t>
      </w:r>
    </w:p>
    <w:p w14:paraId="590BE557" w14:textId="77777777" w:rsidR="00651BEB" w:rsidRPr="00AE771B" w:rsidRDefault="00651BEB" w:rsidP="00651BEB">
      <w:pPr>
        <w:spacing w:before="120"/>
        <w:ind w:left="567" w:firstLine="567"/>
        <w:rPr>
          <w:lang w:val="fr-FR"/>
        </w:rPr>
      </w:pPr>
      <w:r w:rsidRPr="00AE771B">
        <w:rPr>
          <w:lang w:val="fr-FR"/>
        </w:rPr>
        <w:t>a)</w:t>
      </w:r>
      <w:r w:rsidRPr="00AE771B">
        <w:rPr>
          <w:lang w:val="fr-FR"/>
        </w:rPr>
        <w:tab/>
        <w:t>Stimuler et accroître les programmes innovants</w:t>
      </w:r>
      <w:r w:rsidRPr="00AE771B">
        <w:rPr>
          <w:rStyle w:val="Appelnotedebasdep"/>
          <w:lang w:val="fr-FR"/>
        </w:rPr>
        <w:footnoteReference w:id="14"/>
      </w:r>
      <w:r w:rsidRPr="00AE771B">
        <w:rPr>
          <w:lang w:val="fr-FR"/>
        </w:rPr>
        <w:t>, en prévoyant des garanties environnementales et sociales, y compris en élaborant des lignes directrices et en partageant les bonnes pratiques ;</w:t>
      </w:r>
    </w:p>
    <w:p w14:paraId="386A2D8C" w14:textId="77777777" w:rsidR="00651BEB" w:rsidRPr="00AE771B" w:rsidRDefault="00651BEB" w:rsidP="00651BEB">
      <w:pPr>
        <w:spacing w:before="120"/>
        <w:ind w:left="567" w:firstLine="567"/>
        <w:rPr>
          <w:lang w:val="fr-FR"/>
        </w:rPr>
      </w:pPr>
      <w:r w:rsidRPr="00AE771B">
        <w:rPr>
          <w:lang w:val="fr-FR"/>
        </w:rPr>
        <w:t>b)</w:t>
      </w:r>
      <w:r w:rsidRPr="00AE771B">
        <w:rPr>
          <w:lang w:val="fr-FR"/>
        </w:rPr>
        <w:tab/>
        <w:t>Utiliser le mécanisme multilatéral de partage juste et équitable des avantages découlant de l'utilisation de l’information de séquençage numérique sur les ressources génétiques</w:t>
      </w:r>
      <w:bookmarkStart w:id="3" w:name="_Ref164256783"/>
      <w:r w:rsidRPr="00AE771B">
        <w:rPr>
          <w:vertAlign w:val="superscript"/>
          <w:lang w:val="fr-FR"/>
        </w:rPr>
        <w:footnoteReference w:id="15"/>
      </w:r>
      <w:bookmarkEnd w:id="3"/>
      <w:r w:rsidRPr="00AE771B">
        <w:rPr>
          <w:lang w:val="fr-FR"/>
        </w:rPr>
        <w:t xml:space="preserve"> ; </w:t>
      </w:r>
    </w:p>
    <w:p w14:paraId="5C621FC3" w14:textId="77777777" w:rsidR="00651BEB" w:rsidRPr="00AE771B" w:rsidRDefault="00651BEB" w:rsidP="00651BEB">
      <w:pPr>
        <w:spacing w:before="120"/>
        <w:ind w:left="567" w:firstLine="567"/>
        <w:rPr>
          <w:lang w:val="fr-FR"/>
        </w:rPr>
      </w:pPr>
      <w:r w:rsidRPr="00AE771B">
        <w:rPr>
          <w:lang w:val="fr-FR"/>
        </w:rPr>
        <w:t>c)</w:t>
      </w:r>
      <w:r w:rsidRPr="00AE771B">
        <w:rPr>
          <w:lang w:val="fr-FR"/>
        </w:rPr>
        <w:tab/>
        <w:t>Tirer parti du financement privé international, promouvoir le financement mixte, mettre en œuvre des stratégies de mobilisation de ressources nouvelles et additionnelles, et encourager le secteur privé à investir dans la biodiversité, notamment grâce à des fonds d’impact et à d’autres instruments, conformément à la cible 19 c) du Cadre, en prévoyant des garanties environnementales et sociales ;</w:t>
      </w:r>
    </w:p>
    <w:p w14:paraId="3B6955C1" w14:textId="77777777" w:rsidR="00651BEB" w:rsidRPr="00AE771B" w:rsidRDefault="00651BEB" w:rsidP="00651BEB">
      <w:pPr>
        <w:spacing w:before="120"/>
        <w:ind w:left="567" w:firstLine="567"/>
        <w:rPr>
          <w:lang w:val="fr-FR"/>
        </w:rPr>
      </w:pPr>
      <w:r w:rsidRPr="00AE771B">
        <w:rPr>
          <w:lang w:val="fr-FR"/>
        </w:rPr>
        <w:t>d)</w:t>
      </w:r>
      <w:r w:rsidRPr="00AE771B">
        <w:rPr>
          <w:lang w:val="fr-FR"/>
        </w:rPr>
        <w:tab/>
        <w:t>Améliorer l’accès au marché en ce qui concerne les activités, les produits et les services durables fondés sur la biodiversité qui renforcent la conservation et l’utilisation durable de la biodiversité ;</w:t>
      </w:r>
    </w:p>
    <w:p w14:paraId="530BA5C1" w14:textId="77777777" w:rsidR="00651BEB" w:rsidRPr="00AE771B" w:rsidRDefault="00651BEB" w:rsidP="00651BEB">
      <w:pPr>
        <w:tabs>
          <w:tab w:val="left" w:pos="709"/>
        </w:tabs>
        <w:spacing w:before="120"/>
        <w:ind w:left="567" w:firstLine="567"/>
        <w:rPr>
          <w:lang w:val="fr-FR"/>
        </w:rPr>
      </w:pPr>
      <w:r w:rsidRPr="00AE771B">
        <w:rPr>
          <w:lang w:val="fr-FR"/>
        </w:rPr>
        <w:t>e)</w:t>
      </w:r>
      <w:r w:rsidRPr="00AE771B">
        <w:rPr>
          <w:lang w:val="fr-FR"/>
        </w:rPr>
        <w:tab/>
        <w:t>Renforcer le rôle des actions collectives, y compris celles des peuples autochtones et communautés locales, des actions centrées sur la Terre nourricière</w:t>
      </w:r>
      <w:r w:rsidRPr="00AE771B">
        <w:rPr>
          <w:vertAlign w:val="superscript"/>
          <w:lang w:val="fr-FR"/>
        </w:rPr>
        <w:footnoteReference w:id="16"/>
      </w:r>
      <w:r w:rsidRPr="00AE771B">
        <w:rPr>
          <w:lang w:val="fr-FR"/>
        </w:rPr>
        <w:t xml:space="preserve"> et des approches non fondées sur le marché, y compris la gestion communautaire des ressources naturelles et la coopération et la solidarité de la société civile, en vue de la conservation et de l’utilisation durable de la biodiversité, </w:t>
      </w:r>
      <w:r w:rsidRPr="00AE771B">
        <w:rPr>
          <w:lang w:val="fr-FR"/>
        </w:rPr>
        <w:lastRenderedPageBreak/>
        <w:t>conformément à la cible 19 f) du Cadre, en examinant la possibilité d’apporter un appui financier international ou de renforcer l’appui existant à ces actions et approches  ;</w:t>
      </w:r>
    </w:p>
    <w:p w14:paraId="00E2B263" w14:textId="77777777" w:rsidR="00651BEB" w:rsidRPr="00AE771B" w:rsidRDefault="00651BEB" w:rsidP="00651BEB">
      <w:pPr>
        <w:tabs>
          <w:tab w:val="left" w:pos="709"/>
        </w:tabs>
        <w:spacing w:before="120"/>
        <w:ind w:left="567" w:firstLine="567"/>
        <w:rPr>
          <w:lang w:val="fr-FR"/>
        </w:rPr>
      </w:pPr>
      <w:r w:rsidRPr="00AE771B">
        <w:rPr>
          <w:lang w:val="fr-FR"/>
        </w:rPr>
        <w:t xml:space="preserve">f) </w:t>
      </w:r>
      <w:r w:rsidRPr="00AE771B">
        <w:rPr>
          <w:lang w:val="fr-FR"/>
        </w:rPr>
        <w:tab/>
        <w:t>Renforcement de la mise en œuvre des accords relatifs à l’accès aux ressources génétiques et au partage juste et équitable des avantages découlant de leur utilisation, y compris au moyen, selon que de besoin, d’approches multilatérales, en tenant compte de leurs objectifs particuliers.</w:t>
      </w:r>
    </w:p>
    <w:p w14:paraId="13E22834" w14:textId="77777777" w:rsidR="00651BEB" w:rsidRPr="00AE771B" w:rsidRDefault="00651BEB" w:rsidP="00651BEB">
      <w:pPr>
        <w:pStyle w:val="CBDH3"/>
        <w:rPr>
          <w:lang w:val="fr-FR"/>
        </w:rPr>
      </w:pPr>
      <w:r w:rsidRPr="00AE771B">
        <w:rPr>
          <w:lang w:val="fr-FR"/>
        </w:rPr>
        <w:t>2.</w:t>
      </w:r>
      <w:r w:rsidRPr="00AE771B">
        <w:rPr>
          <w:lang w:val="fr-FR"/>
        </w:rPr>
        <w:tab/>
        <w:t xml:space="preserve">Recensement et </w:t>
      </w:r>
      <w:proofErr w:type="spellStart"/>
      <w:r w:rsidRPr="008C08FA">
        <w:t>élimination</w:t>
      </w:r>
      <w:proofErr w:type="spellEnd"/>
      <w:r w:rsidRPr="00AE771B">
        <w:rPr>
          <w:lang w:val="fr-FR"/>
        </w:rPr>
        <w:t>, suppression progressive ou réforme des flux de ressources financières préjudiciables à la biodiversité et alignement progressif de ceux-ci sur les objectifs et cibles du Cadre mondial de la biodiversité de Kunming-Montréal</w:t>
      </w:r>
    </w:p>
    <w:p w14:paraId="662D1B1F" w14:textId="77777777" w:rsidR="00651BEB" w:rsidRPr="00AE771B" w:rsidRDefault="00651BEB" w:rsidP="00651BEB">
      <w:pPr>
        <w:pStyle w:val="Para1"/>
        <w:tabs>
          <w:tab w:val="left" w:pos="360"/>
        </w:tabs>
        <w:rPr>
          <w:i/>
          <w:iCs/>
          <w:lang w:val="fr-FR"/>
        </w:rPr>
      </w:pPr>
      <w:r w:rsidRPr="00AE771B">
        <w:rPr>
          <w:lang w:val="fr-FR"/>
        </w:rPr>
        <w:t>8.</w:t>
      </w:r>
      <w:r w:rsidRPr="00AE771B">
        <w:rPr>
          <w:lang w:val="fr-FR"/>
        </w:rPr>
        <w:tab/>
        <w:t>Les flux de ressources financières publiques et privées qui portent atteinte à la biodiversité peuvent être recensés et éliminés, progressivement supprimés ou réformés et progressivement alignés sur les objectifs et cibles du Cadre d'action par les moyens suivants :</w:t>
      </w:r>
    </w:p>
    <w:p w14:paraId="6B765D7F" w14:textId="77777777" w:rsidR="00651BEB" w:rsidRPr="00AE771B" w:rsidRDefault="00651BEB" w:rsidP="00651BEB">
      <w:pPr>
        <w:spacing w:before="120"/>
        <w:ind w:left="567" w:firstLine="567"/>
        <w:rPr>
          <w:lang w:val="fr-FR"/>
        </w:rPr>
      </w:pPr>
      <w:r w:rsidRPr="00AE771B">
        <w:rPr>
          <w:rFonts w:asciiTheme="majorBidi" w:hAnsiTheme="majorBidi"/>
          <w:lang w:val="fr-FR"/>
        </w:rPr>
        <w:t>a)</w:t>
      </w:r>
      <w:r w:rsidRPr="00AE771B">
        <w:rPr>
          <w:rFonts w:asciiTheme="majorBidi" w:hAnsiTheme="majorBidi"/>
          <w:lang w:val="fr-FR"/>
        </w:rPr>
        <w:tab/>
      </w:r>
      <w:r w:rsidRPr="00AE771B">
        <w:rPr>
          <w:lang w:val="fr-FR"/>
        </w:rPr>
        <w:t>Intégrer la biodiversité dans la coopération au développement en encourageant, dans la mesure du possible et conformément à leurs mandats respectifs, les agences et banques de coopération au développement, les banques multilatérales de développement, les institutions financières internationales et les organisations philanthropiques à ajuster leurs portefeuilles et leurs pratiques, en vue d’aligner progressivement leurs flux financiers, conformément à la cible 14 du Cadre, d’une manière qui favorise le développement durable et l’éradication de la pauvreté ;</w:t>
      </w:r>
    </w:p>
    <w:p w14:paraId="36EDC294" w14:textId="77777777" w:rsidR="00651BEB" w:rsidRPr="00AE771B" w:rsidRDefault="00651BEB" w:rsidP="00651BEB">
      <w:pPr>
        <w:spacing w:before="120"/>
        <w:ind w:left="567" w:firstLine="567"/>
        <w:rPr>
          <w:lang w:val="fr-FR"/>
        </w:rPr>
      </w:pPr>
      <w:r w:rsidRPr="00AE771B">
        <w:rPr>
          <w:lang w:val="fr-FR"/>
        </w:rPr>
        <w:t>b)</w:t>
      </w:r>
      <w:r w:rsidRPr="00AE771B">
        <w:rPr>
          <w:lang w:val="fr-FR"/>
        </w:rPr>
        <w:tab/>
        <w:t xml:space="preserve">Encourager et permettre aux entreprises internationales, en particulier les grandes entreprises transnationales et </w:t>
      </w:r>
      <w:r>
        <w:rPr>
          <w:lang w:val="fr-FR"/>
        </w:rPr>
        <w:t>les</w:t>
      </w:r>
      <w:r w:rsidRPr="00AE771B">
        <w:rPr>
          <w:lang w:val="fr-FR"/>
        </w:rPr>
        <w:t xml:space="preserve"> institutions financières, de surveiller, d’évaluer et de divulguer régulièrement et de manière transparente leurs risques, dépendances et impacts en matière de biodiversité, de manière proportionnée et flexible, conformément à la cible 15 du Cadre, y compris au moyen de cadres de suivi et de normes relatives à la publication d’informations en rapport avec la nature</w:t>
      </w:r>
      <w:r w:rsidRPr="00AE771B">
        <w:rPr>
          <w:rStyle w:val="Appelnotedebasdep"/>
          <w:lang w:val="fr-FR"/>
        </w:rPr>
        <w:footnoteReference w:id="17"/>
      </w:r>
      <w:r w:rsidRPr="00AE771B">
        <w:rPr>
          <w:lang w:val="fr-FR"/>
        </w:rPr>
        <w:t> ;</w:t>
      </w:r>
    </w:p>
    <w:p w14:paraId="5A4E81C1" w14:textId="77777777" w:rsidR="00651BEB" w:rsidRPr="00AE771B" w:rsidRDefault="00651BEB" w:rsidP="00651BEB">
      <w:pPr>
        <w:spacing w:before="120"/>
        <w:ind w:left="567" w:firstLine="567"/>
        <w:rPr>
          <w:lang w:val="fr-FR"/>
        </w:rPr>
      </w:pPr>
      <w:r w:rsidRPr="00AE771B">
        <w:rPr>
          <w:rFonts w:asciiTheme="majorBidi" w:hAnsiTheme="majorBidi"/>
          <w:lang w:val="fr-FR"/>
        </w:rPr>
        <w:t>c)</w:t>
      </w:r>
      <w:r w:rsidRPr="00AE771B">
        <w:rPr>
          <w:lang w:val="fr-FR"/>
        </w:rPr>
        <w:tab/>
        <w:t>Prendre des mesures efficaces au niveau international concernant les incitations, y compris les subventions, préjudiciables à la biodiversité, conformément à la cible 18 du Cadre.</w:t>
      </w:r>
    </w:p>
    <w:p w14:paraId="10D4A8BA" w14:textId="77777777" w:rsidR="00651BEB" w:rsidRPr="00AE771B" w:rsidRDefault="00651BEB" w:rsidP="00651BEB">
      <w:pPr>
        <w:pStyle w:val="Titre3"/>
        <w:rPr>
          <w:lang w:val="fr-FR"/>
        </w:rPr>
      </w:pPr>
      <w:r w:rsidRPr="00AE771B">
        <w:rPr>
          <w:lang w:val="fr-FR"/>
        </w:rPr>
        <w:t>3.</w:t>
      </w:r>
      <w:r w:rsidRPr="00AE771B">
        <w:rPr>
          <w:lang w:val="fr-FR"/>
        </w:rPr>
        <w:tab/>
        <w:t>Amélioration de l’utilisation, de l’accessibilité, de l’efficacité, de l’efficience, de la transparence et de la responsabilité dans la fourniture et l’utilisation des ressources</w:t>
      </w:r>
    </w:p>
    <w:p w14:paraId="4959925B" w14:textId="77777777" w:rsidR="00651BEB" w:rsidRPr="00AE771B" w:rsidRDefault="00651BEB" w:rsidP="00651BEB">
      <w:pPr>
        <w:pStyle w:val="Para1"/>
        <w:tabs>
          <w:tab w:val="left" w:pos="360"/>
        </w:tabs>
        <w:rPr>
          <w:lang w:val="fr-FR"/>
        </w:rPr>
      </w:pPr>
      <w:r w:rsidRPr="00AE771B">
        <w:rPr>
          <w:lang w:val="fr-FR"/>
        </w:rPr>
        <w:t>9.</w:t>
      </w:r>
      <w:r w:rsidRPr="00AE771B">
        <w:rPr>
          <w:lang w:val="fr-FR"/>
        </w:rPr>
        <w:tab/>
        <w:t>L’utilisation, l’accessibilité, l’efficacité, l’efficience, la transparence et la responsabilité en matière de fourniture et d’utilisation des ressources peuvent être améliorées par les moyens suivants :</w:t>
      </w:r>
    </w:p>
    <w:p w14:paraId="0C507C09" w14:textId="77777777" w:rsidR="00651BEB" w:rsidRPr="00AE771B" w:rsidRDefault="00651BEB" w:rsidP="00651BEB">
      <w:pPr>
        <w:spacing w:before="120"/>
        <w:ind w:left="567" w:firstLine="567"/>
        <w:rPr>
          <w:lang w:val="fr-FR"/>
        </w:rPr>
      </w:pPr>
      <w:r w:rsidRPr="00AE771B">
        <w:rPr>
          <w:rFonts w:asciiTheme="majorBidi" w:hAnsiTheme="majorBidi"/>
          <w:lang w:val="fr-FR"/>
        </w:rPr>
        <w:t>a)</w:t>
      </w:r>
      <w:r w:rsidRPr="00AE771B">
        <w:rPr>
          <w:rFonts w:asciiTheme="majorBidi" w:hAnsiTheme="majorBidi"/>
          <w:lang w:val="fr-FR"/>
        </w:rPr>
        <w:tab/>
      </w:r>
      <w:r w:rsidRPr="00AE771B">
        <w:rPr>
          <w:lang w:val="fr-FR"/>
        </w:rPr>
        <w:t>Poursuivre l’action du Fonds pour l’environnement mondial en vue d’améliorer son fonctionnement et ses modalités d’accès ;</w:t>
      </w:r>
    </w:p>
    <w:p w14:paraId="06B329FC" w14:textId="77777777" w:rsidR="00651BEB" w:rsidRPr="00AE771B" w:rsidRDefault="00651BEB" w:rsidP="00651BEB">
      <w:pPr>
        <w:spacing w:before="120"/>
        <w:ind w:left="567" w:firstLine="567"/>
        <w:rPr>
          <w:lang w:val="fr-FR"/>
        </w:rPr>
      </w:pPr>
      <w:r w:rsidRPr="00AE771B">
        <w:rPr>
          <w:lang w:val="fr-FR"/>
        </w:rPr>
        <w:t xml:space="preserve">b) </w:t>
      </w:r>
      <w:r w:rsidRPr="00AE771B">
        <w:rPr>
          <w:rFonts w:asciiTheme="majorBidi" w:hAnsiTheme="majorBidi"/>
          <w:lang w:val="fr-FR"/>
        </w:rPr>
        <w:tab/>
      </w:r>
      <w:r w:rsidRPr="00AE771B">
        <w:rPr>
          <w:lang w:val="fr-FR"/>
        </w:rPr>
        <w:t>Simplifier les modalités d’accès au financement de la biodiversité des institutions financières internationales, y compris les banques multilatérales de développement, ainsi que des organisations philanthropiques, en particulier pour les peuples autochtones et communautés locales, les femmes et les jeunes ;</w:t>
      </w:r>
    </w:p>
    <w:p w14:paraId="225E4B51" w14:textId="77777777" w:rsidR="00651BEB" w:rsidRPr="00AE771B" w:rsidRDefault="00651BEB" w:rsidP="00651BEB">
      <w:pPr>
        <w:spacing w:before="120"/>
        <w:ind w:left="567" w:firstLine="567"/>
        <w:rPr>
          <w:b/>
          <w:bCs/>
          <w:strike/>
          <w:lang w:val="fr-FR"/>
        </w:rPr>
      </w:pPr>
      <w:r w:rsidRPr="00AE771B">
        <w:rPr>
          <w:lang w:val="fr-FR"/>
        </w:rPr>
        <w:t xml:space="preserve">c) </w:t>
      </w:r>
      <w:r w:rsidRPr="00AE771B">
        <w:rPr>
          <w:rFonts w:asciiTheme="majorBidi" w:hAnsiTheme="majorBidi"/>
          <w:lang w:val="fr-FR"/>
        </w:rPr>
        <w:tab/>
      </w:r>
      <w:r w:rsidRPr="00AE771B">
        <w:rPr>
          <w:lang w:val="fr-FR"/>
        </w:rPr>
        <w:t>Accroître la transparence et la responsabilité, le suivi, l’évaluation et la communication transparente d’informations relatives aux financements internationaux publics et privés liés à la biodiversité à tous les niveaux ;</w:t>
      </w:r>
    </w:p>
    <w:p w14:paraId="167C20B2" w14:textId="77777777" w:rsidR="00651BEB" w:rsidRPr="00AE771B" w:rsidRDefault="00651BEB" w:rsidP="00651BEB">
      <w:pPr>
        <w:spacing w:before="120"/>
        <w:ind w:left="567" w:firstLine="567"/>
        <w:rPr>
          <w:lang w:val="fr-FR"/>
        </w:rPr>
      </w:pPr>
      <w:r w:rsidRPr="00AE771B">
        <w:rPr>
          <w:lang w:val="fr-FR"/>
        </w:rPr>
        <w:t xml:space="preserve">d) </w:t>
      </w:r>
      <w:r w:rsidRPr="00AE771B">
        <w:rPr>
          <w:rFonts w:asciiTheme="majorBidi" w:hAnsiTheme="majorBidi"/>
          <w:lang w:val="fr-FR"/>
        </w:rPr>
        <w:tab/>
      </w:r>
      <w:r w:rsidRPr="00AE771B">
        <w:rPr>
          <w:lang w:val="fr-FR"/>
        </w:rPr>
        <w:t>Exploiter et renforcer les synergies et les complémentarités dans l’élaboration et le financement des projets, y compris les financements axés sur les objectifs de développement durable et, en particulier, ceux axés sur les crises de la biodiversité et du climat, tout en améliorant la transparence des rapports, en vue de maximiser les cobénéfices pour la biodiversité et les synergies entre les sources de financement internationales, conformément à la cible 19 e) du Cadre ;</w:t>
      </w:r>
    </w:p>
    <w:p w14:paraId="32FEFDF8" w14:textId="77777777" w:rsidR="00651BEB" w:rsidRPr="00AE771B" w:rsidRDefault="00651BEB" w:rsidP="00651BEB">
      <w:pPr>
        <w:spacing w:before="120"/>
        <w:ind w:left="567" w:firstLine="567"/>
        <w:rPr>
          <w:lang w:val="fr-FR"/>
        </w:rPr>
      </w:pPr>
      <w:r w:rsidRPr="00AE771B">
        <w:rPr>
          <w:rFonts w:asciiTheme="majorBidi" w:hAnsiTheme="majorBidi"/>
          <w:lang w:val="fr-FR"/>
        </w:rPr>
        <w:lastRenderedPageBreak/>
        <w:t>e)</w:t>
      </w:r>
      <w:r w:rsidRPr="00AE771B">
        <w:rPr>
          <w:lang w:val="fr-FR"/>
        </w:rPr>
        <w:tab/>
        <w:t>Orienter plus rapidement les ressources internationales vers les principaux partenaires de mise en œuvre, en particulier les peuples autochtones et communautés locales, les femmes et les jeunes, aux niveaux régional, national et local, et faciliter les partenariats afin d’améliorer la sensibilisation du public et la prise en compte des questions d’égalité des sexes, en assurant la participation des communautés et l’obtention de résultats sur le terrain, y compris, selon les cas, dans le cadre d’actions collectives, d’approches centrées sur la Terre nourricière et d’approches non fondées sur le marché ;</w:t>
      </w:r>
    </w:p>
    <w:p w14:paraId="7B61DA7F" w14:textId="77777777" w:rsidR="00651BEB" w:rsidRPr="00AE771B" w:rsidRDefault="00651BEB" w:rsidP="00651BEB">
      <w:pPr>
        <w:spacing w:before="120"/>
        <w:ind w:left="567" w:firstLine="567"/>
        <w:rPr>
          <w:lang w:val="fr-FR"/>
        </w:rPr>
      </w:pPr>
      <w:r w:rsidRPr="00AE771B">
        <w:rPr>
          <w:rFonts w:asciiTheme="majorBidi" w:hAnsiTheme="majorBidi"/>
          <w:lang w:val="fr-FR"/>
        </w:rPr>
        <w:t>f)</w:t>
      </w:r>
      <w:r w:rsidRPr="00AE771B">
        <w:rPr>
          <w:lang w:val="fr-FR"/>
        </w:rPr>
        <w:tab/>
        <w:t>Renforcer l’appropriation et la capacité d’accès au financement des Parties, ainsi que des peuples autochtones et communautés locales, des femmes, des jeunes et des autres parties prenantes ;</w:t>
      </w:r>
    </w:p>
    <w:p w14:paraId="74083E4F" w14:textId="77777777" w:rsidR="00651BEB" w:rsidRPr="00AE771B" w:rsidRDefault="00651BEB" w:rsidP="00651BEB">
      <w:pPr>
        <w:tabs>
          <w:tab w:val="left" w:pos="1170"/>
        </w:tabs>
        <w:spacing w:before="120"/>
        <w:ind w:left="567" w:firstLine="567"/>
        <w:rPr>
          <w:bCs/>
          <w:lang w:val="fr-FR"/>
        </w:rPr>
      </w:pPr>
      <w:r w:rsidRPr="00AE771B">
        <w:rPr>
          <w:lang w:val="fr-FR"/>
        </w:rPr>
        <w:t>g)</w:t>
      </w:r>
      <w:r w:rsidRPr="00AE771B">
        <w:rPr>
          <w:lang w:val="fr-FR"/>
        </w:rPr>
        <w:tab/>
        <w:t>Encourager le système des Nations Unies pour le développement à renforcer encore, selon les besoins, la capacité des équipes de pays des Nations Unies à appuyer les pays participant aux programmes, à leur demande, dans l'intégration de leurs priorités, telles qu'elles sont définies dans les stratégies et plans d'action nationaux pour la biodiversité et dans d'autres instruments nationaux de planification de la biodiversité, dans les cadres de coopération des Nations Unies en matière de développement durable ;</w:t>
      </w:r>
    </w:p>
    <w:p w14:paraId="7B4B466B" w14:textId="77777777" w:rsidR="00651BEB" w:rsidRPr="00AE771B" w:rsidRDefault="00651BEB" w:rsidP="00651BEB">
      <w:pPr>
        <w:spacing w:before="120"/>
        <w:ind w:left="567" w:firstLine="567"/>
        <w:rPr>
          <w:lang w:val="fr-FR"/>
        </w:rPr>
      </w:pPr>
      <w:r w:rsidRPr="00AE771B">
        <w:rPr>
          <w:rFonts w:asciiTheme="majorBidi" w:hAnsiTheme="majorBidi"/>
          <w:lang w:val="fr-FR"/>
        </w:rPr>
        <w:t>h)</w:t>
      </w:r>
      <w:r w:rsidRPr="00AE771B">
        <w:rPr>
          <w:rFonts w:asciiTheme="majorBidi" w:hAnsiTheme="majorBidi"/>
          <w:lang w:val="fr-FR"/>
        </w:rPr>
        <w:tab/>
      </w:r>
      <w:r w:rsidRPr="00AE771B">
        <w:rPr>
          <w:lang w:val="fr-FR"/>
        </w:rPr>
        <w:t>Utiliser, selon que de besoin, le financement international pour exercer un effet de levier sur le financement national public et privé de la biodiversité, notamment pour appuyer la mise en œuvre des plans nationaux de financement de la biodiversité.</w:t>
      </w:r>
    </w:p>
    <w:p w14:paraId="11D98277" w14:textId="77777777" w:rsidR="00651BEB" w:rsidRPr="00AE771B" w:rsidRDefault="00651BEB" w:rsidP="00651BEB">
      <w:pPr>
        <w:pStyle w:val="CBDH3"/>
        <w:rPr>
          <w:rFonts w:eastAsia="DengXian Light"/>
          <w:b w:val="0"/>
          <w:sz w:val="24"/>
          <w:szCs w:val="26"/>
          <w:lang w:val="fr-FR"/>
        </w:rPr>
      </w:pPr>
      <w:r w:rsidRPr="00AE771B">
        <w:rPr>
          <w:sz w:val="24"/>
          <w:szCs w:val="26"/>
          <w:lang w:val="fr-FR"/>
        </w:rPr>
        <w:t>B.</w:t>
      </w:r>
      <w:r w:rsidRPr="00AE771B">
        <w:rPr>
          <w:sz w:val="24"/>
          <w:szCs w:val="26"/>
          <w:lang w:val="fr-FR"/>
        </w:rPr>
        <w:tab/>
      </w:r>
      <w:r w:rsidRPr="008C08FA">
        <w:t>Augmentation</w:t>
      </w:r>
      <w:r w:rsidRPr="00AE771B">
        <w:rPr>
          <w:sz w:val="24"/>
          <w:szCs w:val="26"/>
          <w:lang w:val="fr-FR"/>
        </w:rPr>
        <w:t xml:space="preserve"> significative de la mobilisation des ressources nationales provenant de toutes les sources</w:t>
      </w:r>
    </w:p>
    <w:p w14:paraId="606ED1FD" w14:textId="77777777" w:rsidR="00651BEB" w:rsidRPr="00AE771B" w:rsidRDefault="00651BEB" w:rsidP="00651BEB">
      <w:pPr>
        <w:keepNext/>
        <w:keepLines/>
        <w:tabs>
          <w:tab w:val="left" w:pos="927"/>
        </w:tabs>
        <w:spacing w:before="120" w:after="120"/>
        <w:ind w:left="567" w:hanging="567"/>
        <w:outlineLvl w:val="2"/>
        <w:rPr>
          <w:rFonts w:eastAsia="DengXian Light"/>
          <w:b/>
          <w:bCs/>
          <w:lang w:val="fr-FR"/>
        </w:rPr>
      </w:pPr>
      <w:r w:rsidRPr="00AE771B">
        <w:rPr>
          <w:b/>
          <w:bCs/>
          <w:lang w:val="fr-FR"/>
        </w:rPr>
        <w:t>1.</w:t>
      </w:r>
      <w:r w:rsidRPr="00AE771B">
        <w:rPr>
          <w:b/>
          <w:bCs/>
          <w:lang w:val="fr-FR"/>
        </w:rPr>
        <w:tab/>
        <w:t>Ressources nouvelles et supplémentaires</w:t>
      </w:r>
    </w:p>
    <w:p w14:paraId="167AD10C" w14:textId="77777777" w:rsidR="00651BEB" w:rsidRPr="00AE771B" w:rsidRDefault="00651BEB" w:rsidP="00651BEB">
      <w:pPr>
        <w:spacing w:before="120" w:after="120"/>
        <w:ind w:left="567"/>
        <w:rPr>
          <w:lang w:val="fr-FR"/>
        </w:rPr>
      </w:pPr>
      <w:r w:rsidRPr="00AE771B">
        <w:rPr>
          <w:lang w:val="fr-FR"/>
        </w:rPr>
        <w:t>10.</w:t>
      </w:r>
      <w:r w:rsidRPr="00AE771B">
        <w:rPr>
          <w:lang w:val="fr-FR"/>
        </w:rPr>
        <w:tab/>
        <w:t>Des ressources nouvelles et supplémentaires sont mobilisées en vue d’accroître de manière significative la mobilisation des ressources nationales, conformément à la cible 19 b) du Cadre, grâce à :</w:t>
      </w:r>
    </w:p>
    <w:p w14:paraId="00B26FB0" w14:textId="77777777" w:rsidR="00651BEB" w:rsidRPr="00AE771B" w:rsidRDefault="00651BEB" w:rsidP="00651BEB">
      <w:pPr>
        <w:spacing w:before="120"/>
        <w:ind w:left="567" w:firstLine="567"/>
        <w:rPr>
          <w:lang w:val="fr-FR"/>
        </w:rPr>
      </w:pPr>
      <w:r w:rsidRPr="00AE771B">
        <w:rPr>
          <w:lang w:val="fr-FR"/>
        </w:rPr>
        <w:t>a)</w:t>
      </w:r>
      <w:r w:rsidRPr="00AE771B">
        <w:rPr>
          <w:lang w:val="fr-FR"/>
        </w:rPr>
        <w:tab/>
        <w:t>Un engagement de chaque Partie à fournir, en fonction de ses capacités, un appui financier et des incitations pour les activités nationales permettant d’atteindre les objectifs de la présente Convention, conformément à ses plans, priorités et programmes nationaux, conformément à l’article </w:t>
      </w:r>
      <w:hyperlink r:id="rId43" w:history="1">
        <w:r w:rsidRPr="00AE771B">
          <w:rPr>
            <w:rStyle w:val="Lienhypertexte"/>
            <w:lang w:val="fr-FR"/>
          </w:rPr>
          <w:t>20</w:t>
        </w:r>
      </w:hyperlink>
      <w:r w:rsidRPr="00AE771B">
        <w:rPr>
          <w:lang w:val="fr-FR"/>
        </w:rPr>
        <w:t> de la Convention ;</w:t>
      </w:r>
    </w:p>
    <w:p w14:paraId="58735A80" w14:textId="77777777" w:rsidR="00651BEB" w:rsidRPr="00AE771B" w:rsidRDefault="00651BEB" w:rsidP="00651BEB">
      <w:pPr>
        <w:spacing w:before="120"/>
        <w:ind w:left="567" w:firstLine="567"/>
        <w:rPr>
          <w:lang w:val="fr-FR"/>
        </w:rPr>
      </w:pPr>
      <w:r w:rsidRPr="00AE771B">
        <w:rPr>
          <w:lang w:val="fr-FR"/>
        </w:rPr>
        <w:t>b)</w:t>
      </w:r>
      <w:r w:rsidRPr="00AE771B">
        <w:rPr>
          <w:lang w:val="fr-FR"/>
        </w:rPr>
        <w:tab/>
        <w:t>La prise en considération, par les autres gouvernements, de la possibilité d’augmenter leur financement national en faveur de la biodiversité ;</w:t>
      </w:r>
    </w:p>
    <w:p w14:paraId="5C63B6BE" w14:textId="77777777" w:rsidR="00651BEB" w:rsidRPr="00AE771B" w:rsidRDefault="00651BEB" w:rsidP="00651BEB">
      <w:pPr>
        <w:spacing w:before="120" w:after="120"/>
        <w:ind w:left="567" w:firstLine="567"/>
        <w:rPr>
          <w:lang w:val="fr-FR"/>
        </w:rPr>
      </w:pPr>
      <w:r w:rsidRPr="00AE771B">
        <w:rPr>
          <w:lang w:val="fr-FR"/>
        </w:rPr>
        <w:t>c)</w:t>
      </w:r>
      <w:r w:rsidRPr="00AE771B">
        <w:rPr>
          <w:lang w:val="fr-FR"/>
        </w:rPr>
        <w:tab/>
        <w:t>La prise en considération, par les acteurs financiers privés, y compris les organisations philanthropiques, de la possibilité d’augmenter leurs financements nationaux en faveur de la biodiversité.</w:t>
      </w:r>
    </w:p>
    <w:p w14:paraId="78667EF2" w14:textId="77777777" w:rsidR="00651BEB" w:rsidRPr="00AE771B" w:rsidRDefault="00651BEB" w:rsidP="00651BEB">
      <w:pPr>
        <w:tabs>
          <w:tab w:val="left" w:pos="360"/>
        </w:tabs>
        <w:spacing w:before="120" w:after="120"/>
        <w:ind w:left="567"/>
        <w:rPr>
          <w:lang w:val="fr-FR"/>
        </w:rPr>
      </w:pPr>
      <w:r w:rsidRPr="00AE771B">
        <w:rPr>
          <w:lang w:val="fr-FR"/>
        </w:rPr>
        <w:t>11.</w:t>
      </w:r>
      <w:r w:rsidRPr="00AE771B">
        <w:rPr>
          <w:lang w:val="fr-FR"/>
        </w:rPr>
        <w:tab/>
        <w:t>Des ressources nouvelles et supplémentaires peuvent en outre être mobilisées en prenant les mesures suivantes :</w:t>
      </w:r>
    </w:p>
    <w:p w14:paraId="0F2107A6" w14:textId="77777777" w:rsidR="00651BEB" w:rsidRPr="00AE771B" w:rsidRDefault="00651BEB" w:rsidP="00651BEB">
      <w:pPr>
        <w:spacing w:before="120"/>
        <w:ind w:left="567" w:firstLine="567"/>
        <w:rPr>
          <w:lang w:val="fr-FR"/>
        </w:rPr>
      </w:pPr>
      <w:r w:rsidRPr="00AE771B">
        <w:rPr>
          <w:lang w:val="fr-FR"/>
        </w:rPr>
        <w:t>a)</w:t>
      </w:r>
      <w:r w:rsidRPr="00AE771B">
        <w:rPr>
          <w:lang w:val="fr-FR"/>
        </w:rPr>
        <w:tab/>
        <w:t>Optimiser les cobénéfices et les synergies des financements ciblant les crises de la biodiversité et du climat, conformément à la cible 19 e) du Cadre ;</w:t>
      </w:r>
    </w:p>
    <w:p w14:paraId="012F16D8" w14:textId="77777777" w:rsidR="00651BEB" w:rsidRPr="00AE771B" w:rsidRDefault="00651BEB" w:rsidP="00651BEB">
      <w:pPr>
        <w:tabs>
          <w:tab w:val="clear" w:pos="1701"/>
          <w:tab w:val="left" w:pos="1710"/>
        </w:tabs>
        <w:spacing w:before="120"/>
        <w:ind w:left="567" w:firstLine="567"/>
        <w:rPr>
          <w:lang w:val="fr-FR"/>
        </w:rPr>
      </w:pPr>
      <w:r w:rsidRPr="00AE771B">
        <w:rPr>
          <w:lang w:val="fr-FR"/>
        </w:rPr>
        <w:t>b)</w:t>
      </w:r>
      <w:r w:rsidRPr="00AE771B">
        <w:rPr>
          <w:lang w:val="fr-FR"/>
        </w:rPr>
        <w:tab/>
        <w:t>Renforcer les mesures d’incitation positives en faveur de la conservation et de l’utilisation durable de la biodiversité, conformément à la cible 18 du Cadre ;</w:t>
      </w:r>
    </w:p>
    <w:p w14:paraId="068BFE0A" w14:textId="77777777" w:rsidR="00651BEB" w:rsidRPr="00AE771B" w:rsidRDefault="00651BEB" w:rsidP="00651BEB">
      <w:pPr>
        <w:spacing w:before="120"/>
        <w:ind w:left="567" w:firstLine="567"/>
        <w:rPr>
          <w:lang w:val="fr-FR"/>
        </w:rPr>
      </w:pPr>
      <w:r w:rsidRPr="00AE771B">
        <w:rPr>
          <w:lang w:val="fr-FR"/>
        </w:rPr>
        <w:t>c)</w:t>
      </w:r>
      <w:r w:rsidRPr="00AE771B">
        <w:rPr>
          <w:lang w:val="fr-FR"/>
        </w:rPr>
        <w:tab/>
        <w:t xml:space="preserve">Augmenter de manière significative le financement privé national en faveur de la biodiversité, y compris de la part d’organisations philanthropiques, en tirant parti du financement privé, en promouvant le financement mixte, en mettant en œuvre des stratégies pour mobiliser des ressources nouvelles et supplémentaires et en encourageant le secteur privé, y compris le secteur de la philanthropie, à investir dans la biodiversité, notamment au moyen de fonds d’impact et d’autres instruments, conformément à la cible 19 c), en prévoyant des garanties environnementales et sociales, au moyen de partenariats, selon que de besoin ; </w:t>
      </w:r>
    </w:p>
    <w:p w14:paraId="439D877F" w14:textId="77777777" w:rsidR="00651BEB" w:rsidRPr="00AE771B" w:rsidRDefault="00651BEB" w:rsidP="00651BEB">
      <w:pPr>
        <w:spacing w:before="120"/>
        <w:ind w:left="567" w:firstLine="567"/>
        <w:rPr>
          <w:lang w:val="fr-FR"/>
        </w:rPr>
      </w:pPr>
      <w:r w:rsidRPr="00AE771B">
        <w:rPr>
          <w:lang w:val="fr-FR"/>
        </w:rPr>
        <w:lastRenderedPageBreak/>
        <w:t>d)</w:t>
      </w:r>
      <w:r w:rsidRPr="00AE771B">
        <w:rPr>
          <w:lang w:val="fr-FR"/>
        </w:rPr>
        <w:tab/>
        <w:t>Encourager les projets innovants, assortis de garanties environnementales et sociales, conformément à la cible 19 d) du Cadre ;</w:t>
      </w:r>
    </w:p>
    <w:p w14:paraId="0D63EB85" w14:textId="77777777" w:rsidR="00651BEB" w:rsidRPr="00AE771B" w:rsidRDefault="00651BEB" w:rsidP="00651BEB">
      <w:pPr>
        <w:spacing w:before="120"/>
        <w:ind w:left="567" w:firstLine="567"/>
        <w:rPr>
          <w:lang w:val="fr-FR"/>
        </w:rPr>
      </w:pPr>
      <w:r w:rsidRPr="00AE771B">
        <w:rPr>
          <w:lang w:val="fr-FR"/>
        </w:rPr>
        <w:t>e)</w:t>
      </w:r>
      <w:r w:rsidRPr="00AE771B">
        <w:rPr>
          <w:lang w:val="fr-FR"/>
        </w:rPr>
        <w:tab/>
        <w:t>Renforcer le rôle des actions collectives, notamment des peuples autochtones et communautés locales, des femmes et des jeunes, ainsi que des actions centrées sur la Terre nourricière et des approches non fondées sur le marché, conformément à la cible 19 f) du Cadre, en envisageant, le cas échéant et conformément à la législation et aux circonstances nationales, d’entreprendre les activités suivantes :</w:t>
      </w:r>
    </w:p>
    <w:p w14:paraId="4D4EF70D" w14:textId="77777777" w:rsidR="00651BEB" w:rsidRPr="00AE771B" w:rsidRDefault="00651BEB" w:rsidP="00651BEB">
      <w:pPr>
        <w:spacing w:before="120"/>
        <w:ind w:left="567" w:firstLine="567"/>
        <w:rPr>
          <w:lang w:val="fr-FR"/>
        </w:rPr>
      </w:pPr>
      <w:r w:rsidRPr="00AE771B">
        <w:rPr>
          <w:lang w:val="fr-FR"/>
        </w:rPr>
        <w:t>i)</w:t>
      </w:r>
      <w:bookmarkStart w:id="4" w:name="_Hlk180526440"/>
      <w:r w:rsidRPr="00AE771B">
        <w:rPr>
          <w:lang w:val="fr-FR"/>
        </w:rPr>
        <w:t xml:space="preserve"> </w:t>
      </w:r>
      <w:r w:rsidRPr="00AE771B">
        <w:rPr>
          <w:lang w:val="fr-FR"/>
        </w:rPr>
        <w:tab/>
        <w:t>Élaborer et mettre en œuvre des moyens d’action pour la conservation, l’utilisation durable et la restauration de la biodiversité qui soient fondés sur ces actions et approches ;</w:t>
      </w:r>
    </w:p>
    <w:bookmarkEnd w:id="4"/>
    <w:p w14:paraId="69688E3A" w14:textId="77777777" w:rsidR="00651BEB" w:rsidRPr="00AE771B" w:rsidRDefault="00651BEB" w:rsidP="00651BEB">
      <w:pPr>
        <w:spacing w:before="120"/>
        <w:ind w:left="567" w:firstLine="567"/>
        <w:rPr>
          <w:lang w:val="fr-FR"/>
        </w:rPr>
      </w:pPr>
      <w:r w:rsidRPr="00AE771B">
        <w:rPr>
          <w:lang w:val="fr-FR"/>
        </w:rPr>
        <w:t xml:space="preserve">ii) </w:t>
      </w:r>
      <w:r w:rsidRPr="00AE771B">
        <w:rPr>
          <w:lang w:val="fr-FR"/>
        </w:rPr>
        <w:tab/>
        <w:t>Intégrer ces actions et approches dans des mesures et des cadres visant à promouvoir des modes de production et de consommation durables, contribuant ainsi à l’objectif de développement durable n</w:t>
      </w:r>
      <w:r w:rsidRPr="00AE771B">
        <w:rPr>
          <w:vertAlign w:val="superscript"/>
          <w:lang w:val="fr-FR"/>
        </w:rPr>
        <w:t xml:space="preserve">o </w:t>
      </w:r>
      <w:r w:rsidRPr="00AE771B">
        <w:rPr>
          <w:lang w:val="fr-FR"/>
        </w:rPr>
        <w:t>12 ;</w:t>
      </w:r>
    </w:p>
    <w:p w14:paraId="6B254579" w14:textId="77777777" w:rsidR="00651BEB" w:rsidRPr="00AE771B" w:rsidRDefault="00651BEB" w:rsidP="00651BEB">
      <w:pPr>
        <w:spacing w:before="120"/>
        <w:ind w:left="567" w:firstLine="567"/>
        <w:rPr>
          <w:lang w:val="fr-FR"/>
        </w:rPr>
      </w:pPr>
      <w:bookmarkStart w:id="5" w:name="_Hlk181277563"/>
      <w:r w:rsidRPr="00AE771B">
        <w:rPr>
          <w:lang w:val="fr-FR"/>
        </w:rPr>
        <w:t>iii)</w:t>
      </w:r>
      <w:r w:rsidRPr="00AE771B">
        <w:rPr>
          <w:lang w:val="fr-FR"/>
        </w:rPr>
        <w:tab/>
        <w:t>Renforcer les différents systèmes de valeurs, notamment ceux qui favorisent une vie équilibrée et en harmonie avec la Terre nourricière ;</w:t>
      </w:r>
    </w:p>
    <w:bookmarkEnd w:id="5"/>
    <w:p w14:paraId="0FE71D35" w14:textId="77777777" w:rsidR="00651BEB" w:rsidRPr="00AE771B" w:rsidRDefault="00651BEB" w:rsidP="00651BEB">
      <w:pPr>
        <w:spacing w:before="120"/>
        <w:ind w:left="567" w:firstLine="567"/>
        <w:rPr>
          <w:lang w:val="fr-FR"/>
        </w:rPr>
      </w:pPr>
      <w:r w:rsidRPr="00AE771B">
        <w:rPr>
          <w:lang w:val="fr-FR"/>
        </w:rPr>
        <w:t xml:space="preserve">iv) </w:t>
      </w:r>
      <w:r w:rsidRPr="00AE771B">
        <w:rPr>
          <w:lang w:val="fr-FR"/>
        </w:rPr>
        <w:tab/>
        <w:t>Renforcer les droits de la nature et les droits de la Terre nourricière dans les pays qui les reconnaissent.</w:t>
      </w:r>
    </w:p>
    <w:p w14:paraId="30584376" w14:textId="77777777" w:rsidR="00651BEB" w:rsidRPr="00AE771B" w:rsidRDefault="00651BEB" w:rsidP="00651BEB">
      <w:pPr>
        <w:spacing w:before="120"/>
        <w:ind w:left="567" w:firstLine="567"/>
        <w:rPr>
          <w:lang w:val="fr-FR"/>
        </w:rPr>
      </w:pPr>
      <w:r w:rsidRPr="00AE771B">
        <w:rPr>
          <w:lang w:val="fr-FR"/>
        </w:rPr>
        <w:t>f)</w:t>
      </w:r>
      <w:r w:rsidRPr="00AE771B">
        <w:rPr>
          <w:lang w:val="fr-FR"/>
        </w:rPr>
        <w:tab/>
        <w:t>Augmenter de manière significative l’utilisation de solutions basées sur la nature et/ou d’approches basées sur les écosystèmes aux niveaux national et sous-national, assorties de garanties environnementales et sociales</w:t>
      </w:r>
      <w:r w:rsidRPr="00AE771B">
        <w:rPr>
          <w:rStyle w:val="Appelnotedebasdep"/>
          <w:lang w:val="fr-FR"/>
        </w:rPr>
        <w:footnoteReference w:id="18"/>
      </w:r>
      <w:r w:rsidRPr="00AE771B">
        <w:rPr>
          <w:lang w:val="fr-FR"/>
        </w:rPr>
        <w:t>.</w:t>
      </w:r>
    </w:p>
    <w:p w14:paraId="4520CB1A" w14:textId="77777777" w:rsidR="00651BEB" w:rsidRPr="00AE771B" w:rsidRDefault="00651BEB" w:rsidP="00651BEB">
      <w:pPr>
        <w:keepNext/>
        <w:keepLines/>
        <w:spacing w:before="120" w:after="120"/>
        <w:ind w:left="567" w:hanging="567"/>
        <w:jc w:val="left"/>
        <w:outlineLvl w:val="2"/>
        <w:rPr>
          <w:rFonts w:eastAsia="DengXian Light"/>
          <w:b/>
          <w:bCs/>
          <w:lang w:val="fr-FR"/>
        </w:rPr>
      </w:pPr>
      <w:r w:rsidRPr="00AE771B">
        <w:rPr>
          <w:b/>
          <w:bCs/>
          <w:lang w:val="fr-FR"/>
        </w:rPr>
        <w:t>2.</w:t>
      </w:r>
      <w:r w:rsidRPr="00AE771B">
        <w:rPr>
          <w:b/>
          <w:bCs/>
          <w:lang w:val="fr-FR"/>
        </w:rPr>
        <w:tab/>
        <w:t>Recensement et élimination, suppression progressive ou modification des flux de ressources financières préjudiciables à la biodiversité et leur alignement progressif sur les objectifs et cibles du Cadre mondial de la biodiversité de Kunming-Montréal</w:t>
      </w:r>
    </w:p>
    <w:p w14:paraId="161C77FE" w14:textId="77777777" w:rsidR="00651BEB" w:rsidRPr="00AE771B" w:rsidRDefault="00651BEB" w:rsidP="00651BEB">
      <w:pPr>
        <w:tabs>
          <w:tab w:val="left" w:pos="360"/>
        </w:tabs>
        <w:spacing w:before="120" w:after="120"/>
        <w:ind w:left="567"/>
        <w:rPr>
          <w:lang w:val="fr-FR"/>
        </w:rPr>
      </w:pPr>
      <w:r w:rsidRPr="00AE771B">
        <w:rPr>
          <w:lang w:val="fr-FR"/>
        </w:rPr>
        <w:t>12.</w:t>
      </w:r>
      <w:r w:rsidRPr="00AE771B">
        <w:rPr>
          <w:lang w:val="fr-FR"/>
        </w:rPr>
        <w:tab/>
        <w:t>Les flux de ressources financières qui nuisent à la biodiversité peuvent être recensés et éliminés, supprimés progressivement ou réformés et alignés progressivement sur les objectifs et cibles du Cadre, par les moyens suivants :</w:t>
      </w:r>
    </w:p>
    <w:p w14:paraId="5D34130E" w14:textId="77777777" w:rsidR="00651BEB" w:rsidRPr="00AE771B" w:rsidRDefault="00651BEB" w:rsidP="00651BEB">
      <w:pPr>
        <w:spacing w:before="120"/>
        <w:ind w:left="567" w:firstLine="567"/>
        <w:rPr>
          <w:lang w:val="fr-FR"/>
        </w:rPr>
      </w:pPr>
      <w:r w:rsidRPr="00AE771B">
        <w:rPr>
          <w:lang w:val="fr-FR"/>
        </w:rPr>
        <w:t>a)</w:t>
      </w:r>
      <w:r w:rsidRPr="00AE771B">
        <w:rPr>
          <w:lang w:val="fr-FR"/>
        </w:rPr>
        <w:tab/>
        <w:t>Intégrer la biodiversité dans les budgets publics en alignant progressivement toutes les activités publiques pertinentes et les flux budgétaires et financiers sur les objectifs de la Convention et les objectifs et cibles du Cadre ;</w:t>
      </w:r>
    </w:p>
    <w:p w14:paraId="31CBDA60" w14:textId="77777777" w:rsidR="00651BEB" w:rsidRPr="00AE771B" w:rsidRDefault="00651BEB" w:rsidP="00651BEB">
      <w:pPr>
        <w:spacing w:before="120"/>
        <w:ind w:left="567" w:firstLine="567"/>
        <w:rPr>
          <w:lang w:val="fr-FR"/>
        </w:rPr>
      </w:pPr>
      <w:r w:rsidRPr="00AE771B">
        <w:rPr>
          <w:lang w:val="fr-FR"/>
        </w:rPr>
        <w:t>b)</w:t>
      </w:r>
      <w:r w:rsidRPr="00AE771B">
        <w:rPr>
          <w:lang w:val="fr-FR"/>
        </w:rPr>
        <w:tab/>
        <w:t>Intégrer la biodiversité dans le secteur privé en alignant progressivement toutes les activités privées pertinentes et les flux budgétaires et financiers sur les objectifs de la Convention et les objectifs et cibles du Cadre ;</w:t>
      </w:r>
    </w:p>
    <w:p w14:paraId="748569FE" w14:textId="77777777" w:rsidR="00651BEB" w:rsidRPr="00AE771B" w:rsidRDefault="00651BEB" w:rsidP="00651BEB">
      <w:pPr>
        <w:spacing w:before="120"/>
        <w:ind w:left="567" w:firstLine="567"/>
        <w:rPr>
          <w:lang w:val="fr-FR"/>
        </w:rPr>
      </w:pPr>
      <w:r w:rsidRPr="00AE771B">
        <w:rPr>
          <w:lang w:val="fr-FR"/>
        </w:rPr>
        <w:t>c)</w:t>
      </w:r>
      <w:r w:rsidRPr="00AE771B">
        <w:rPr>
          <w:lang w:val="fr-FR"/>
        </w:rPr>
        <w:tab/>
        <w:t>Intégrer la biodiversité, le cas échéant, dans les politiques des banques centrales nationales et d’autres autorités de régulation, en tenant compte des mandats distincts pertinents ;</w:t>
      </w:r>
    </w:p>
    <w:p w14:paraId="3D401C4D" w14:textId="77777777" w:rsidR="00651BEB" w:rsidRPr="00AE771B" w:rsidRDefault="00651BEB" w:rsidP="00651BEB">
      <w:pPr>
        <w:spacing w:before="120"/>
        <w:ind w:left="567" w:firstLine="567"/>
        <w:rPr>
          <w:lang w:val="fr-FR"/>
        </w:rPr>
      </w:pPr>
      <w:r w:rsidRPr="00AE771B">
        <w:rPr>
          <w:lang w:val="fr-FR"/>
        </w:rPr>
        <w:t>d)</w:t>
      </w:r>
      <w:r w:rsidRPr="00AE771B">
        <w:rPr>
          <w:lang w:val="fr-FR"/>
        </w:rPr>
        <w:tab/>
        <w:t>Prendre des mesures nationales efficaces concernant les incitations, y compris les subventions préjudiciables à la biodiversité, conformément à la cible 18 du Cadre, en tenant compte des orientations adoptées dans la décision </w:t>
      </w:r>
      <w:hyperlink r:id="rId44" w:history="1">
        <w:r w:rsidRPr="00AE771B">
          <w:rPr>
            <w:rStyle w:val="Lienhypertexte"/>
            <w:lang w:val="fr-FR"/>
          </w:rPr>
          <w:t>XII/3</w:t>
        </w:r>
      </w:hyperlink>
      <w:r w:rsidRPr="00AE771B">
        <w:rPr>
          <w:lang w:val="fr-FR"/>
        </w:rPr>
        <w:t xml:space="preserve"> du 17 octobre 2014 ;</w:t>
      </w:r>
    </w:p>
    <w:p w14:paraId="5F8A8685" w14:textId="77777777" w:rsidR="00651BEB" w:rsidRPr="00AE771B" w:rsidRDefault="00651BEB" w:rsidP="00651BEB">
      <w:pPr>
        <w:spacing w:before="120"/>
        <w:ind w:left="567" w:firstLine="567"/>
        <w:rPr>
          <w:lang w:val="fr-FR"/>
        </w:rPr>
      </w:pPr>
      <w:r w:rsidRPr="00AE771B">
        <w:rPr>
          <w:lang w:val="fr-FR"/>
        </w:rPr>
        <w:t>e)</w:t>
      </w:r>
      <w:r w:rsidRPr="00AE771B">
        <w:rPr>
          <w:lang w:val="fr-FR"/>
        </w:rPr>
        <w:tab/>
        <w:t>Encourager et permettre aux entreprises nationales, et en particulier veiller à ce que les grandes entreprises et les institutions financières contrôlent, évaluent et divulguent régulièrement et de manière transparente leurs risques, dépendances et impacts en matière de biodiversité, conformément à la cible 15 du Cadre, y compris au moyen de cadres de communication d’informations et de normes d’établissement de rapports concernant la nature</w:t>
      </w:r>
      <w:r w:rsidRPr="00AE771B">
        <w:rPr>
          <w:rStyle w:val="Appelnotedebasdep"/>
          <w:lang w:val="fr-FR"/>
        </w:rPr>
        <w:footnoteReference w:id="19"/>
      </w:r>
      <w:r w:rsidRPr="00AE771B">
        <w:rPr>
          <w:lang w:val="fr-FR"/>
        </w:rPr>
        <w:t>.</w:t>
      </w:r>
    </w:p>
    <w:p w14:paraId="60578045" w14:textId="77777777" w:rsidR="00651BEB" w:rsidRPr="00AE771B" w:rsidRDefault="00651BEB" w:rsidP="00651BEB">
      <w:pPr>
        <w:keepNext/>
        <w:keepLines/>
        <w:spacing w:before="120" w:after="120"/>
        <w:ind w:left="567" w:hanging="567"/>
        <w:jc w:val="left"/>
        <w:outlineLvl w:val="2"/>
        <w:rPr>
          <w:rFonts w:eastAsia="DengXian Light"/>
          <w:b/>
          <w:bCs/>
          <w:lang w:val="fr-FR"/>
        </w:rPr>
      </w:pPr>
      <w:r w:rsidRPr="00AE771B">
        <w:rPr>
          <w:b/>
          <w:bCs/>
          <w:lang w:val="fr-FR"/>
        </w:rPr>
        <w:lastRenderedPageBreak/>
        <w:t>3.</w:t>
      </w:r>
      <w:r w:rsidRPr="00AE771B">
        <w:rPr>
          <w:b/>
          <w:bCs/>
          <w:lang w:val="fr-FR"/>
        </w:rPr>
        <w:tab/>
        <w:t xml:space="preserve">Amélioration de l’utilisation, de l’accessibilité, de l’efficacité, de l’efficience, de la transparence et de la responsabilité </w:t>
      </w:r>
      <w:r w:rsidRPr="00CE40CC">
        <w:rPr>
          <w:b/>
          <w:bCs/>
          <w:lang w:val="fr-FR"/>
        </w:rPr>
        <w:t xml:space="preserve">en matière de fourniture et d’utilisation </w:t>
      </w:r>
      <w:r w:rsidRPr="00AE771B">
        <w:rPr>
          <w:b/>
          <w:bCs/>
          <w:lang w:val="fr-FR"/>
        </w:rPr>
        <w:t>des ressources</w:t>
      </w:r>
    </w:p>
    <w:p w14:paraId="17E0BCBF" w14:textId="77777777" w:rsidR="00651BEB" w:rsidRPr="00AE771B" w:rsidRDefault="00651BEB" w:rsidP="00651BEB">
      <w:pPr>
        <w:tabs>
          <w:tab w:val="left" w:pos="360"/>
        </w:tabs>
        <w:spacing w:before="120" w:after="120"/>
        <w:ind w:left="567"/>
        <w:rPr>
          <w:lang w:val="fr-FR"/>
        </w:rPr>
      </w:pPr>
      <w:r w:rsidRPr="00AE771B">
        <w:rPr>
          <w:lang w:val="fr-FR"/>
        </w:rPr>
        <w:t>13.</w:t>
      </w:r>
      <w:r w:rsidRPr="00AE771B">
        <w:rPr>
          <w:lang w:val="fr-FR"/>
        </w:rPr>
        <w:tab/>
        <w:t>L’utilisation, l’accessibilité, l’efficacité, l’efficience, la transparence et la responsabilité en matière de fourniture et d’utilisation des ressources peuvent être renforcées par :</w:t>
      </w:r>
    </w:p>
    <w:p w14:paraId="23B5B186" w14:textId="77777777" w:rsidR="00651BEB" w:rsidRPr="00AE771B" w:rsidRDefault="00651BEB" w:rsidP="00651BEB">
      <w:pPr>
        <w:spacing w:before="120"/>
        <w:ind w:left="567" w:firstLine="567"/>
        <w:rPr>
          <w:lang w:val="fr-FR"/>
        </w:rPr>
      </w:pPr>
      <w:r w:rsidRPr="00AE771B">
        <w:rPr>
          <w:lang w:val="fr-FR"/>
        </w:rPr>
        <w:t>a)</w:t>
      </w:r>
      <w:r w:rsidRPr="00AE771B">
        <w:rPr>
          <w:lang w:val="fr-FR"/>
        </w:rPr>
        <w:tab/>
        <w:t xml:space="preserve"> L’appropriation nationale et infranationale en alignant les politiques relatives à la biodiversité sur les plans de développement nationaux ;</w:t>
      </w:r>
    </w:p>
    <w:p w14:paraId="0C6815C2" w14:textId="77777777" w:rsidR="00651BEB" w:rsidRPr="00AE771B" w:rsidRDefault="00651BEB" w:rsidP="00651BEB">
      <w:pPr>
        <w:spacing w:before="120"/>
        <w:ind w:left="567" w:firstLine="567"/>
        <w:rPr>
          <w:lang w:val="fr-FR"/>
        </w:rPr>
      </w:pPr>
      <w:r w:rsidRPr="00AE771B">
        <w:rPr>
          <w:lang w:val="fr-FR"/>
        </w:rPr>
        <w:t xml:space="preserve">b) </w:t>
      </w:r>
      <w:r w:rsidRPr="00AE771B">
        <w:rPr>
          <w:lang w:val="fr-FR"/>
        </w:rPr>
        <w:tab/>
        <w:t xml:space="preserve"> La création et le renforcement des capacités, l’assistance technique et la coopération technologique pour la planification financière et l’utilisation et la gestion efficaces des ressources ;</w:t>
      </w:r>
    </w:p>
    <w:p w14:paraId="1017702C" w14:textId="77777777" w:rsidR="00651BEB" w:rsidRPr="00AE771B" w:rsidRDefault="00651BEB" w:rsidP="00651BEB">
      <w:pPr>
        <w:spacing w:before="120"/>
        <w:ind w:left="567" w:firstLine="567"/>
        <w:rPr>
          <w:lang w:val="fr-FR"/>
        </w:rPr>
      </w:pPr>
      <w:r w:rsidRPr="00AE771B">
        <w:rPr>
          <w:lang w:val="fr-FR"/>
        </w:rPr>
        <w:t xml:space="preserve">c) </w:t>
      </w:r>
      <w:r w:rsidRPr="00AE771B">
        <w:rPr>
          <w:lang w:val="fr-FR"/>
        </w:rPr>
        <w:tab/>
        <w:t xml:space="preserve"> Des systèmes nationaux de suivi qui renforcent la transparence et la responsabilité en matière de fourniture et d'utilisation des ressources  ;</w:t>
      </w:r>
    </w:p>
    <w:p w14:paraId="6E370067" w14:textId="77777777" w:rsidR="00651BEB" w:rsidRDefault="00651BEB" w:rsidP="00651BEB">
      <w:pPr>
        <w:spacing w:before="120"/>
        <w:ind w:left="567" w:firstLine="567"/>
        <w:rPr>
          <w:lang w:val="fr-FR"/>
        </w:rPr>
      </w:pPr>
      <w:r w:rsidRPr="00AE771B">
        <w:rPr>
          <w:lang w:val="fr-FR"/>
        </w:rPr>
        <w:t xml:space="preserve">d) </w:t>
      </w:r>
      <w:r w:rsidRPr="00AE771B">
        <w:rPr>
          <w:lang w:val="fr-FR"/>
        </w:rPr>
        <w:tab/>
        <w:t xml:space="preserve"> L’optimisation des cobénéfices et des synergies entre les sources de financement nationales, y compris les financements axés sur d’autres objectifs de développement durable, et en particulier la lutte contre les crises relatives à la biodiversité et au climat.</w:t>
      </w:r>
    </w:p>
    <w:p w14:paraId="4F176701" w14:textId="77777777" w:rsidR="00651BEB" w:rsidRPr="00CE40CC" w:rsidRDefault="00651BEB" w:rsidP="00651BEB">
      <w:pPr>
        <w:pStyle w:val="CBDDesicionAnnex"/>
        <w:spacing w:before="360"/>
        <w:rPr>
          <w:rFonts w:hint="eastAsia"/>
          <w:b/>
          <w:bCs w:val="0"/>
          <w:color w:val="000000" w:themeColor="text1"/>
        </w:rPr>
      </w:pPr>
      <w:r w:rsidRPr="008C08FA">
        <w:rPr>
          <w:b/>
          <w:bCs w:val="0"/>
        </w:rPr>
        <w:t>Annexe II</w:t>
      </w:r>
    </w:p>
    <w:p w14:paraId="4FD7674E" w14:textId="77777777" w:rsidR="00651BEB" w:rsidRPr="00AE771B" w:rsidRDefault="00651BEB" w:rsidP="00651BEB">
      <w:pPr>
        <w:ind w:left="567"/>
        <w:rPr>
          <w:i/>
          <w:iCs/>
          <w:lang w:val="fr-FR"/>
        </w:rPr>
      </w:pPr>
      <w:r w:rsidRPr="00AE771B">
        <w:rPr>
          <w:i/>
          <w:iCs/>
          <w:lang w:val="fr-FR"/>
        </w:rPr>
        <w:t xml:space="preserve">Note : les points ci-dessous ont été compilés par le Comité consultatif sur la mobilisation des ressources et, par la suite, par le </w:t>
      </w:r>
      <w:r>
        <w:rPr>
          <w:i/>
          <w:iCs/>
          <w:lang w:val="fr-FR"/>
        </w:rPr>
        <w:t>G</w:t>
      </w:r>
      <w:r w:rsidRPr="00AE771B">
        <w:rPr>
          <w:i/>
          <w:iCs/>
          <w:lang w:val="fr-FR"/>
        </w:rPr>
        <w:t>roupe de contact sur la mobilisation des ressources au cours de la seizième réunion de la Conférence des Parties, en vue de saisir l'ensemble des points de vue des Parties, afin de prendre en compte les travaux référencés. Ils n'ont pas été négociés.</w:t>
      </w:r>
    </w:p>
    <w:p w14:paraId="15A3024A" w14:textId="77777777" w:rsidR="00651BEB" w:rsidRPr="00740445" w:rsidRDefault="00651BEB" w:rsidP="00651BEB">
      <w:pPr>
        <w:pStyle w:val="CBDDesicionAnnex"/>
        <w:rPr>
          <w:rFonts w:hint="eastAsia"/>
          <w:b/>
          <w:bCs w:val="0"/>
          <w:lang w:val="fr-FR"/>
        </w:rPr>
      </w:pPr>
      <w:r w:rsidRPr="00740445">
        <w:rPr>
          <w:b/>
          <w:bCs w:val="0"/>
          <w:lang w:val="fr-FR"/>
        </w:rPr>
        <w:t>Vers un financement mondial renforcé de la biodiversité : critères possibles pour</w:t>
      </w:r>
      <w:r>
        <w:rPr>
          <w:b/>
          <w:bCs w:val="0"/>
          <w:lang w:val="fr-FR"/>
        </w:rPr>
        <w:t xml:space="preserve"> </w:t>
      </w:r>
      <w:r w:rsidRPr="00740445">
        <w:rPr>
          <w:b/>
          <w:bCs w:val="0"/>
          <w:lang w:val="fr-FR"/>
        </w:rPr>
        <w:t xml:space="preserve">l’élaboration d’un instrument de financement de la biodiversité </w:t>
      </w:r>
    </w:p>
    <w:p w14:paraId="299B9A64" w14:textId="77777777" w:rsidR="00651BEB" w:rsidRPr="00AE771B" w:rsidRDefault="00651BEB" w:rsidP="00651BEB">
      <w:pPr>
        <w:pStyle w:val="CBDNormalNumber"/>
        <w:numPr>
          <w:ilvl w:val="0"/>
          <w:numId w:val="8"/>
        </w:numPr>
        <w:spacing w:before="0"/>
        <w:rPr>
          <w:lang w:val="fr-FR"/>
        </w:rPr>
      </w:pPr>
      <w:r w:rsidRPr="00AE771B">
        <w:rPr>
          <w:lang w:val="fr-FR"/>
        </w:rPr>
        <w:t>Valeur ajoutée et complémentarité par rapport au paysage actuel du financement de la biodiversité.</w:t>
      </w:r>
    </w:p>
    <w:p w14:paraId="517EA912"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Accès à un financement nouveau, additionnel, prévisible, adéquat et opportun.</w:t>
      </w:r>
    </w:p>
    <w:p w14:paraId="032900F8"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 xml:space="preserve">Base de contributeurs </w:t>
      </w:r>
      <w:r>
        <w:rPr>
          <w:lang w:val="fr-FR"/>
        </w:rPr>
        <w:t>permettant de</w:t>
      </w:r>
      <w:r w:rsidRPr="00AE771B">
        <w:rPr>
          <w:lang w:val="fr-FR"/>
        </w:rPr>
        <w:t xml:space="preserve"> mobiliser les ressources provenant de toutes les sources.</w:t>
      </w:r>
    </w:p>
    <w:p w14:paraId="5716CD02"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rFonts w:asciiTheme="majorBidi" w:hAnsiTheme="majorBidi"/>
          <w:lang w:val="fr-FR"/>
        </w:rPr>
        <w:t xml:space="preserve">Toute considération résultant de la décision </w:t>
      </w:r>
      <w:hyperlink r:id="rId45" w:history="1">
        <w:r w:rsidRPr="00740445">
          <w:rPr>
            <w:rStyle w:val="Lienhypertexte"/>
            <w:rFonts w:asciiTheme="majorBidi" w:hAnsiTheme="majorBidi"/>
            <w:lang w:val="fr-FR"/>
          </w:rPr>
          <w:t>16/2</w:t>
        </w:r>
      </w:hyperlink>
      <w:r w:rsidRPr="00AE771B">
        <w:rPr>
          <w:rFonts w:asciiTheme="majorBidi" w:hAnsiTheme="majorBidi"/>
          <w:lang w:val="fr-FR"/>
        </w:rPr>
        <w:t xml:space="preserve"> relative à l'information de séquençage numérique sur les ressources génétiques du 1er novembre 2024.</w:t>
      </w:r>
    </w:p>
    <w:p w14:paraId="20C3B84C"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Cohérence avec les objectifs, les principes et les dispositions de la Convention sur la Diversité biologique</w:t>
      </w:r>
      <w:r w:rsidRPr="00AE771B">
        <w:rPr>
          <w:rStyle w:val="Appelnotedebasdep"/>
          <w:lang w:val="fr-FR"/>
        </w:rPr>
        <w:footnoteReference w:id="20"/>
      </w:r>
      <w:r w:rsidRPr="00AE771B">
        <w:rPr>
          <w:rFonts w:asciiTheme="majorBidi" w:eastAsia="Times New Roman" w:hAnsiTheme="majorBidi"/>
          <w:lang w:val="fr-FR"/>
        </w:rPr>
        <w:t xml:space="preserve"> </w:t>
      </w:r>
      <w:r w:rsidRPr="00AE771B">
        <w:rPr>
          <w:lang w:val="fr-FR"/>
        </w:rPr>
        <w:t>et de ses Protocoles.</w:t>
      </w:r>
    </w:p>
    <w:p w14:paraId="0F81FBAD"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Cohérence avec le Cadre mondial de la biodiversité de Kunming-Montréal</w:t>
      </w:r>
      <w:r w:rsidRPr="00AE771B">
        <w:rPr>
          <w:rStyle w:val="Appelnotedebasdep"/>
          <w:rFonts w:asciiTheme="majorBidi" w:eastAsia="Times New Roman" w:hAnsiTheme="majorBidi"/>
          <w:lang w:val="fr-FR"/>
        </w:rPr>
        <w:footnoteReference w:id="21"/>
      </w:r>
      <w:r w:rsidRPr="00AE771B">
        <w:rPr>
          <w:lang w:val="fr-FR"/>
        </w:rPr>
        <w:t>.</w:t>
      </w:r>
    </w:p>
    <w:p w14:paraId="08A0DAF1"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Être soumis à l’autorité de la Conférence des Parties à la Convention et lui rendre des comptes.</w:t>
      </w:r>
      <w:r w:rsidRPr="00AE771B">
        <w:rPr>
          <w:rFonts w:asciiTheme="majorBidi" w:hAnsiTheme="majorBidi"/>
          <w:lang w:val="fr-FR"/>
        </w:rPr>
        <w:t xml:space="preserve"> </w:t>
      </w:r>
    </w:p>
    <w:p w14:paraId="1DFC00C8"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Équité, transparence, inclusion et approche de participation.</w:t>
      </w:r>
    </w:p>
    <w:p w14:paraId="67B6B918"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Structure de gouvernance équitable, efficace et représentative, y compris en assurant la participation pleine et effective des peuples autochtones et communautés locales.</w:t>
      </w:r>
    </w:p>
    <w:p w14:paraId="67E7AFA6"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rFonts w:asciiTheme="majorBidi" w:hAnsiTheme="majorBidi"/>
          <w:lang w:val="fr-FR"/>
        </w:rPr>
        <w:t xml:space="preserve">Prestation de ressources financières aux pays en développement Parties, </w:t>
      </w:r>
      <w:r w:rsidRPr="00AE771B">
        <w:rPr>
          <w:rFonts w:asciiTheme="majorBidi" w:hAnsiTheme="majorBidi"/>
          <w:snapToGrid w:val="0"/>
          <w:lang w:val="fr-FR"/>
        </w:rPr>
        <w:t>en particulier</w:t>
      </w:r>
      <w:r w:rsidRPr="00AE771B">
        <w:rPr>
          <w:rFonts w:asciiTheme="majorBidi" w:hAnsiTheme="majorBidi"/>
          <w:lang w:val="fr-FR"/>
        </w:rPr>
        <w:t xml:space="preserve"> les pays les moins avancés et des petits États insulaires en développement, ainsi que les pays à économie en transition, afin de répondre à leurs besoins et priorités.</w:t>
      </w:r>
    </w:p>
    <w:p w14:paraId="3E4A5CA7"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Attribution directe et/ou décaissement axé sur les projets.</w:t>
      </w:r>
    </w:p>
    <w:p w14:paraId="45D15B58"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Recours à des organismes d'exécution nationaux.</w:t>
      </w:r>
    </w:p>
    <w:p w14:paraId="0BAA0F4C"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lastRenderedPageBreak/>
        <w:t>Participation et inclusion de toutes les autorités concernées des pays bénéficiaires à toutes les étapes du processus d’affectation du financement, y compris l’élaboration et l’exécution du projet ;</w:t>
      </w:r>
    </w:p>
    <w:p w14:paraId="16197F4C"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Reconnaissance de la valeur du rôle des peuples autochtones et communautés locales, des femmes et des jeunes, y compris en leur fournissant un accès direct au financement.</w:t>
      </w:r>
    </w:p>
    <w:p w14:paraId="6B355249"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rFonts w:asciiTheme="majorBidi" w:hAnsiTheme="majorBidi"/>
          <w:lang w:val="fr-FR"/>
        </w:rPr>
        <w:t>Existence d’un mécanisme de réclamation et de réparation.</w:t>
      </w:r>
    </w:p>
    <w:p w14:paraId="77A2A5E4"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rFonts w:asciiTheme="majorBidi" w:hAnsiTheme="majorBidi"/>
          <w:lang w:val="fr-FR"/>
        </w:rPr>
        <w:t>Relation avec le Fonds du Cadre mondial de la biodiversité en ce qui a trait à sa clause d’extinction.</w:t>
      </w:r>
    </w:p>
    <w:p w14:paraId="35C300E8"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Responsabilité du dépositaire et respect des décisions de l'organe de direction.</w:t>
      </w:r>
    </w:p>
    <w:p w14:paraId="15069F79" w14:textId="77777777" w:rsidR="00651BEB" w:rsidRPr="00AE771B" w:rsidRDefault="00651BEB" w:rsidP="00651BEB">
      <w:pPr>
        <w:pStyle w:val="CBDNormalNumber"/>
        <w:numPr>
          <w:ilvl w:val="0"/>
          <w:numId w:val="33"/>
        </w:numPr>
        <w:tabs>
          <w:tab w:val="clear" w:pos="360"/>
        </w:tabs>
        <w:spacing w:before="0"/>
        <w:ind w:left="567"/>
        <w:rPr>
          <w:rFonts w:asciiTheme="majorBidi" w:eastAsia="Times New Roman" w:hAnsiTheme="majorBidi"/>
          <w:lang w:val="fr-FR"/>
        </w:rPr>
      </w:pPr>
      <w:r w:rsidRPr="00AE771B">
        <w:rPr>
          <w:lang w:val="fr-FR"/>
        </w:rPr>
        <w:t>Capacité à exploiter les synergies entre l'appui aux actions en faveur de la biodiversité et l'appui aux actions visant à relever d'autres difficultés environnementales connexes.</w:t>
      </w:r>
    </w:p>
    <w:p w14:paraId="3A209A9B" w14:textId="77777777" w:rsidR="00651BEB" w:rsidRPr="00AE771B" w:rsidRDefault="00651BEB" w:rsidP="00651BEB">
      <w:pPr>
        <w:pStyle w:val="CBDNormalNumber"/>
        <w:numPr>
          <w:ilvl w:val="0"/>
          <w:numId w:val="33"/>
        </w:numPr>
        <w:tabs>
          <w:tab w:val="clear" w:pos="360"/>
        </w:tabs>
        <w:spacing w:before="0"/>
        <w:ind w:left="567"/>
        <w:rPr>
          <w:rFonts w:asciiTheme="majorBidi" w:hAnsiTheme="majorBidi"/>
          <w:lang w:val="fr-FR"/>
        </w:rPr>
      </w:pPr>
      <w:r w:rsidRPr="00AE771B">
        <w:rPr>
          <w:rFonts w:asciiTheme="majorBidi" w:hAnsiTheme="majorBidi"/>
          <w:lang w:val="fr-FR"/>
        </w:rPr>
        <w:t>Prestation de ressources financières pour les actions collectives, y compris des peuples autochtones et communautés locales, ainsi que les actions centrées sur la Terre nourricière et les approches non fondées sur le marché</w:t>
      </w:r>
      <w:r w:rsidRPr="00AE771B">
        <w:rPr>
          <w:rFonts w:asciiTheme="majorBidi" w:eastAsia="Times New Roman" w:hAnsiTheme="majorBidi"/>
          <w:color w:val="000000" w:themeColor="text1"/>
          <w:lang w:val="fr-FR"/>
        </w:rPr>
        <w:t xml:space="preserve">. </w:t>
      </w:r>
    </w:p>
    <w:p w14:paraId="0FD80840" w14:textId="77777777" w:rsidR="00651BEB" w:rsidRPr="00AE771B" w:rsidRDefault="00651BEB" w:rsidP="00651BEB">
      <w:pPr>
        <w:spacing w:before="120"/>
        <w:ind w:left="567" w:firstLine="567"/>
        <w:jc w:val="center"/>
        <w:rPr>
          <w:snapToGrid w:val="0"/>
          <w:kern w:val="22"/>
          <w:sz w:val="21"/>
          <w:szCs w:val="21"/>
          <w:lang w:val="fr-FR"/>
        </w:rPr>
      </w:pPr>
      <w:r w:rsidRPr="00AE771B">
        <w:rPr>
          <w:lang w:val="fr-FR"/>
        </w:rPr>
        <w:t>__________</w:t>
      </w:r>
    </w:p>
    <w:p w14:paraId="6DC12DDA" w14:textId="77777777" w:rsidR="00651BEB" w:rsidRDefault="00651BEB" w:rsidP="00651BEB"/>
    <w:p w14:paraId="453CE0E0" w14:textId="2113489B" w:rsidR="002B559C" w:rsidRPr="00651BEB" w:rsidRDefault="002B559C" w:rsidP="00651BEB"/>
    <w:sectPr w:rsidR="002B559C" w:rsidRPr="00651BEB" w:rsidSect="00A5759C">
      <w:headerReference w:type="even" r:id="rId46"/>
      <w:headerReference w:type="default" r:id="rId47"/>
      <w:footerReference w:type="even" r:id="rId48"/>
      <w:footerReference w:type="default" r:id="rId49"/>
      <w:headerReference w:type="first" r:id="rId5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1B67" w14:textId="77777777" w:rsidR="00A21370" w:rsidRPr="00E27011" w:rsidRDefault="00A21370" w:rsidP="00A96B21">
      <w:r w:rsidRPr="00E27011">
        <w:separator/>
      </w:r>
    </w:p>
  </w:endnote>
  <w:endnote w:type="continuationSeparator" w:id="0">
    <w:p w14:paraId="341BB345" w14:textId="77777777" w:rsidR="00A21370" w:rsidRPr="00E27011" w:rsidRDefault="00A21370" w:rsidP="00A96B21">
      <w:r w:rsidRPr="00E27011">
        <w:continuationSeparator/>
      </w:r>
    </w:p>
  </w:endnote>
  <w:endnote w:type="continuationNotice" w:id="1">
    <w:p w14:paraId="4B6F2A4D" w14:textId="77777777" w:rsidR="00A21370" w:rsidRPr="00E27011" w:rsidRDefault="00A21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Raleway">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85FA3" w:rsidRPr="00E27011" w:rsidRDefault="00D85FA3">
            <w:pPr>
              <w:pStyle w:val="Pieddepage"/>
            </w:pPr>
            <w:r w:rsidRPr="00E27011">
              <w:rPr>
                <w:szCs w:val="20"/>
              </w:rPr>
              <w:fldChar w:fldCharType="begin"/>
            </w:r>
            <w:r w:rsidRPr="00E27011">
              <w:rPr>
                <w:szCs w:val="20"/>
              </w:rPr>
              <w:instrText xml:space="preserve"> PAGE </w:instrText>
            </w:r>
            <w:r w:rsidRPr="00E27011">
              <w:rPr>
                <w:szCs w:val="20"/>
              </w:rPr>
              <w:fldChar w:fldCharType="separate"/>
            </w:r>
            <w:r w:rsidRPr="00E27011">
              <w:rPr>
                <w:noProof/>
                <w:szCs w:val="20"/>
              </w:rPr>
              <w:t>2</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sidRPr="00E27011">
              <w:rPr>
                <w:noProof/>
                <w:szCs w:val="20"/>
              </w:rPr>
              <w:t>2</w:t>
            </w:r>
            <w:r w:rsidRPr="00E2701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85FA3" w:rsidRPr="00E27011" w:rsidRDefault="00D85FA3" w:rsidP="002B559C">
            <w:pPr>
              <w:pStyle w:val="Pieddepage"/>
              <w:jc w:val="right"/>
            </w:pPr>
            <w:r w:rsidRPr="00E27011">
              <w:rPr>
                <w:szCs w:val="20"/>
              </w:rPr>
              <w:fldChar w:fldCharType="begin"/>
            </w:r>
            <w:r w:rsidRPr="00E27011">
              <w:rPr>
                <w:szCs w:val="20"/>
              </w:rPr>
              <w:instrText xml:space="preserve"> PAGE </w:instrText>
            </w:r>
            <w:r w:rsidRPr="00E27011">
              <w:rPr>
                <w:szCs w:val="20"/>
              </w:rPr>
              <w:fldChar w:fldCharType="separate"/>
            </w:r>
            <w:r w:rsidRPr="00E27011">
              <w:rPr>
                <w:noProof/>
                <w:szCs w:val="20"/>
              </w:rPr>
              <w:t>2</w:t>
            </w:r>
            <w:r w:rsidRPr="00E27011">
              <w:rPr>
                <w:szCs w:val="20"/>
              </w:rPr>
              <w:fldChar w:fldCharType="end"/>
            </w:r>
            <w:r w:rsidRPr="00E27011">
              <w:rPr>
                <w:szCs w:val="20"/>
              </w:rPr>
              <w:t>/</w:t>
            </w:r>
            <w:r w:rsidRPr="00E27011">
              <w:rPr>
                <w:szCs w:val="20"/>
              </w:rPr>
              <w:fldChar w:fldCharType="begin"/>
            </w:r>
            <w:r w:rsidRPr="00E27011">
              <w:rPr>
                <w:szCs w:val="20"/>
              </w:rPr>
              <w:instrText xml:space="preserve"> NUMPAGES  </w:instrText>
            </w:r>
            <w:r w:rsidRPr="00E27011">
              <w:rPr>
                <w:szCs w:val="20"/>
              </w:rPr>
              <w:fldChar w:fldCharType="separate"/>
            </w:r>
            <w:r w:rsidRPr="00E27011">
              <w:rPr>
                <w:noProof/>
                <w:szCs w:val="20"/>
              </w:rPr>
              <w:t>2</w:t>
            </w:r>
            <w:r w:rsidRPr="00E2701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744D" w14:textId="77777777" w:rsidR="00A21370" w:rsidRPr="00E27011" w:rsidRDefault="00A21370" w:rsidP="00A96B21">
      <w:r w:rsidRPr="00E27011">
        <w:separator/>
      </w:r>
    </w:p>
  </w:footnote>
  <w:footnote w:type="continuationSeparator" w:id="0">
    <w:p w14:paraId="407E414F" w14:textId="77777777" w:rsidR="00A21370" w:rsidRPr="00E27011" w:rsidRDefault="00A21370" w:rsidP="00A96B21">
      <w:r w:rsidRPr="00E27011">
        <w:continuationSeparator/>
      </w:r>
    </w:p>
  </w:footnote>
  <w:footnote w:type="continuationNotice" w:id="1">
    <w:p w14:paraId="735AAFB1" w14:textId="77777777" w:rsidR="00A21370" w:rsidRPr="00E27011" w:rsidRDefault="00A21370"/>
  </w:footnote>
  <w:footnote w:id="2">
    <w:p w14:paraId="59DC1791" w14:textId="77777777" w:rsidR="00651BEB" w:rsidRPr="00C31BC4" w:rsidRDefault="00651BEB" w:rsidP="00651BEB">
      <w:pPr>
        <w:pStyle w:val="CBDFootnoteText"/>
      </w:pPr>
      <w:r w:rsidRPr="00391AA8">
        <w:rPr>
          <w:rStyle w:val="Appelnotedebasdep"/>
        </w:rPr>
        <w:footnoteRef/>
      </w:r>
      <w:r>
        <w:t xml:space="preserve"> </w:t>
      </w:r>
      <w:r w:rsidRPr="00891D14">
        <w:t xml:space="preserve">Nations </w:t>
      </w:r>
      <w:proofErr w:type="spellStart"/>
      <w:r w:rsidRPr="00891D14">
        <w:t>Unies</w:t>
      </w:r>
      <w:proofErr w:type="spellEnd"/>
      <w:r w:rsidRPr="00891D14">
        <w:t xml:space="preserve">, </w:t>
      </w:r>
      <w:proofErr w:type="spellStart"/>
      <w:r w:rsidRPr="00891D14">
        <w:rPr>
          <w:i/>
          <w:iCs/>
        </w:rPr>
        <w:t>Recueil</w:t>
      </w:r>
      <w:proofErr w:type="spellEnd"/>
      <w:r w:rsidRPr="00891D14">
        <w:rPr>
          <w:i/>
          <w:iCs/>
        </w:rPr>
        <w:t xml:space="preserve"> des </w:t>
      </w:r>
      <w:proofErr w:type="spellStart"/>
      <w:r w:rsidRPr="00891D14">
        <w:rPr>
          <w:i/>
          <w:iCs/>
        </w:rPr>
        <w:t>Traités</w:t>
      </w:r>
      <w:proofErr w:type="spellEnd"/>
      <w:r w:rsidRPr="00891D14">
        <w:t>, vol. 1760, n° 30619.</w:t>
      </w:r>
    </w:p>
  </w:footnote>
  <w:footnote w:id="3">
    <w:p w14:paraId="6B8102B2" w14:textId="77777777" w:rsidR="00651BEB" w:rsidRPr="00C31BC4" w:rsidRDefault="00651BEB" w:rsidP="00651BEB">
      <w:pPr>
        <w:pStyle w:val="CBDFootnoteText"/>
      </w:pPr>
      <w:r w:rsidRPr="00391AA8">
        <w:rPr>
          <w:rStyle w:val="Appelnotedebasdep"/>
        </w:rPr>
        <w:footnoteRef/>
      </w:r>
      <w:r>
        <w:t xml:space="preserve"> </w:t>
      </w:r>
      <w:proofErr w:type="spellStart"/>
      <w:r>
        <w:t>Décision</w:t>
      </w:r>
      <w:proofErr w:type="spellEnd"/>
      <w:r>
        <w:t xml:space="preserve"> </w:t>
      </w:r>
      <w:hyperlink r:id="rId1" w:history="1">
        <w:r w:rsidRPr="00BB0340">
          <w:rPr>
            <w:rStyle w:val="Lienhypertexte"/>
          </w:rPr>
          <w:t>15/4</w:t>
        </w:r>
      </w:hyperlink>
      <w:r>
        <w:t>, annexe.</w:t>
      </w:r>
    </w:p>
  </w:footnote>
  <w:footnote w:id="4">
    <w:p w14:paraId="4F514B84" w14:textId="77777777" w:rsidR="00651BEB" w:rsidRPr="002F4F8C" w:rsidRDefault="00651BEB" w:rsidP="00651BEB">
      <w:pPr>
        <w:pStyle w:val="Notedebasdepage"/>
        <w:rPr>
          <w:szCs w:val="18"/>
        </w:rPr>
      </w:pPr>
      <w:r>
        <w:rPr>
          <w:rStyle w:val="Appelnotedebasdep"/>
          <w:szCs w:val="18"/>
        </w:rPr>
        <w:footnoteRef/>
      </w:r>
      <w:r>
        <w:t xml:space="preserve"> </w:t>
      </w:r>
      <w:hyperlink r:id="rId2" w:history="1">
        <w:r w:rsidRPr="002715E4">
          <w:rPr>
            <w:rStyle w:val="Lienhypertexte"/>
          </w:rPr>
          <w:t>CBD/SBI/4/INF/10</w:t>
        </w:r>
      </w:hyperlink>
      <w:r>
        <w:t xml:space="preserve"> </w:t>
      </w:r>
      <w:r>
        <w:rPr>
          <w:szCs w:val="18"/>
        </w:rPr>
        <w:t>sect. 8</w:t>
      </w:r>
      <w:r>
        <w:t>.</w:t>
      </w:r>
    </w:p>
  </w:footnote>
  <w:footnote w:id="5">
    <w:p w14:paraId="7CCAF385" w14:textId="77777777" w:rsidR="00651BEB" w:rsidRDefault="00651BEB" w:rsidP="00651BEB">
      <w:pPr>
        <w:pStyle w:val="Notedebasdepage"/>
      </w:pPr>
      <w:r>
        <w:rPr>
          <w:rStyle w:val="Appelnotedebasdep"/>
        </w:rPr>
        <w:footnoteRef/>
      </w:r>
      <w:r>
        <w:t xml:space="preserve"> </w:t>
      </w:r>
      <w:proofErr w:type="spellStart"/>
      <w:r>
        <w:t>Voir</w:t>
      </w:r>
      <w:proofErr w:type="spellEnd"/>
      <w:r>
        <w:t xml:space="preserve"> </w:t>
      </w:r>
      <w:proofErr w:type="spellStart"/>
      <w:r>
        <w:t>décision</w:t>
      </w:r>
      <w:proofErr w:type="spellEnd"/>
      <w:r>
        <w:t xml:space="preserve"> </w:t>
      </w:r>
      <w:hyperlink r:id="rId3" w:history="1">
        <w:r w:rsidRPr="0041308C">
          <w:rPr>
            <w:rStyle w:val="Lienhypertexte"/>
          </w:rPr>
          <w:t>16/32</w:t>
        </w:r>
      </w:hyperlink>
      <w:r>
        <w:t>.</w:t>
      </w:r>
    </w:p>
  </w:footnote>
  <w:footnote w:id="6">
    <w:p w14:paraId="10ED3D17" w14:textId="77777777" w:rsidR="00651BEB" w:rsidRPr="00854289" w:rsidRDefault="00651BEB" w:rsidP="00651BEB">
      <w:pPr>
        <w:pStyle w:val="Notedebasdepage"/>
      </w:pPr>
      <w:r>
        <w:rPr>
          <w:rStyle w:val="Appelnotedebasdep"/>
        </w:rPr>
        <w:footnoteRef/>
      </w:r>
      <w:r>
        <w:t xml:space="preserve"> </w:t>
      </w:r>
      <w:proofErr w:type="spellStart"/>
      <w:r>
        <w:t>Décision</w:t>
      </w:r>
      <w:proofErr w:type="spellEnd"/>
      <w:r>
        <w:t xml:space="preserve"> </w:t>
      </w:r>
      <w:hyperlink r:id="rId4" w:history="1">
        <w:r w:rsidRPr="00714424">
          <w:rPr>
            <w:rStyle w:val="Lienhypertexte"/>
          </w:rPr>
          <w:t>15/7</w:t>
        </w:r>
      </w:hyperlink>
      <w:r>
        <w:t>, par. 46.</w:t>
      </w:r>
    </w:p>
  </w:footnote>
  <w:footnote w:id="7">
    <w:p w14:paraId="784D53EC" w14:textId="77777777" w:rsidR="00651BEB" w:rsidRDefault="00651BEB" w:rsidP="00651BEB">
      <w:pPr>
        <w:pStyle w:val="Notedebasdepage"/>
      </w:pPr>
      <w:r>
        <w:rPr>
          <w:rStyle w:val="Appelnotedebasdep"/>
        </w:rPr>
        <w:footnoteRef/>
      </w:r>
      <w:r>
        <w:t xml:space="preserve"> Notifications </w:t>
      </w:r>
      <w:r>
        <w:rPr>
          <w:snapToGrid w:val="0"/>
          <w:kern w:val="22"/>
        </w:rPr>
        <w:t xml:space="preserve">nos. </w:t>
      </w:r>
      <w:hyperlink r:id="rId5" w:history="1">
        <w:r w:rsidRPr="00805E88">
          <w:rPr>
            <w:rStyle w:val="Lienhypertexte"/>
            <w:snapToGrid w:val="0"/>
            <w:kern w:val="22"/>
          </w:rPr>
          <w:t>2023/063</w:t>
        </w:r>
      </w:hyperlink>
      <w:r>
        <w:rPr>
          <w:snapToGrid w:val="0"/>
          <w:kern w:val="22"/>
        </w:rPr>
        <w:t xml:space="preserve"> et </w:t>
      </w:r>
      <w:hyperlink r:id="rId6" w:history="1">
        <w:r w:rsidRPr="00CF61CA">
          <w:rPr>
            <w:rStyle w:val="Lienhypertexte"/>
            <w:snapToGrid w:val="0"/>
            <w:kern w:val="22"/>
          </w:rPr>
          <w:t>2023/132</w:t>
        </w:r>
      </w:hyperlink>
      <w:r>
        <w:rPr>
          <w:snapToGrid w:val="0"/>
          <w:kern w:val="22"/>
        </w:rPr>
        <w:t>.</w:t>
      </w:r>
    </w:p>
  </w:footnote>
  <w:footnote w:id="8">
    <w:p w14:paraId="49998A42" w14:textId="77777777" w:rsidR="00651BEB" w:rsidRDefault="00651BEB" w:rsidP="00651BEB">
      <w:pPr>
        <w:pStyle w:val="Notedebasdepage"/>
      </w:pPr>
      <w:r>
        <w:rPr>
          <w:rStyle w:val="Appelnotedebasdep"/>
        </w:rPr>
        <w:footnoteRef/>
      </w:r>
      <w:r>
        <w:t xml:space="preserve"> </w:t>
      </w:r>
      <w:r w:rsidRPr="0087170B">
        <w:t xml:space="preserve">Suite à </w:t>
      </w:r>
      <w:proofErr w:type="spellStart"/>
      <w:r w:rsidRPr="0087170B">
        <w:t>l'examen</w:t>
      </w:r>
      <w:proofErr w:type="spellEnd"/>
      <w:r w:rsidRPr="0087170B">
        <w:t xml:space="preserve"> de </w:t>
      </w:r>
      <w:proofErr w:type="spellStart"/>
      <w:r w:rsidRPr="0087170B">
        <w:t>l'efficacité</w:t>
      </w:r>
      <w:proofErr w:type="spellEnd"/>
      <w:r w:rsidRPr="0087170B">
        <w:t xml:space="preserve"> </w:t>
      </w:r>
      <w:proofErr w:type="spellStart"/>
      <w:r w:rsidRPr="0087170B">
        <w:t>demandé</w:t>
      </w:r>
      <w:proofErr w:type="spellEnd"/>
      <w:r w:rsidRPr="0087170B">
        <w:t xml:space="preserve"> dans la </w:t>
      </w:r>
      <w:proofErr w:type="spellStart"/>
      <w:r w:rsidRPr="0087170B">
        <w:t>décision</w:t>
      </w:r>
      <w:proofErr w:type="spellEnd"/>
      <w:r w:rsidRPr="0087170B">
        <w:t xml:space="preserve"> 16/33, par. 40.</w:t>
      </w:r>
    </w:p>
  </w:footnote>
  <w:footnote w:id="9">
    <w:p w14:paraId="2259D3AE" w14:textId="77777777" w:rsidR="00651BEB" w:rsidRDefault="00651BEB" w:rsidP="00651BEB">
      <w:pPr>
        <w:pStyle w:val="Notedebasdepage"/>
      </w:pPr>
      <w:r>
        <w:rPr>
          <w:rStyle w:val="Appelnotedebasdep"/>
        </w:rPr>
        <w:footnoteRef/>
      </w:r>
      <w:r>
        <w:t xml:space="preserve"> </w:t>
      </w:r>
      <w:r w:rsidRPr="00A07E85">
        <w:t xml:space="preserve">À la suite des examens </w:t>
      </w:r>
      <w:proofErr w:type="spellStart"/>
      <w:r w:rsidRPr="00A07E85">
        <w:t>visés</w:t>
      </w:r>
      <w:proofErr w:type="spellEnd"/>
      <w:r w:rsidRPr="00A07E85">
        <w:t xml:space="preserve"> dans les </w:t>
      </w:r>
      <w:proofErr w:type="spellStart"/>
      <w:r w:rsidRPr="00A07E85">
        <w:t>décisions</w:t>
      </w:r>
      <w:proofErr w:type="spellEnd"/>
      <w:r w:rsidRPr="00A07E85">
        <w:t xml:space="preserve"> </w:t>
      </w:r>
      <w:hyperlink r:id="rId7" w:history="1">
        <w:r w:rsidRPr="00A07E85">
          <w:rPr>
            <w:rStyle w:val="Lienhypertexte"/>
          </w:rPr>
          <w:t>16/2</w:t>
        </w:r>
      </w:hyperlink>
      <w:r w:rsidRPr="00A07E85">
        <w:t xml:space="preserve"> et </w:t>
      </w:r>
      <w:hyperlink r:id="rId8" w:history="1">
        <w:r w:rsidRPr="00A07E85">
          <w:rPr>
            <w:rStyle w:val="Lienhypertexte"/>
          </w:rPr>
          <w:t>16/33</w:t>
        </w:r>
      </w:hyperlink>
      <w:r w:rsidRPr="00A07E85">
        <w:t xml:space="preserve"> et de </w:t>
      </w:r>
      <w:proofErr w:type="spellStart"/>
      <w:r w:rsidRPr="00A07E85">
        <w:t>l'examen</w:t>
      </w:r>
      <w:proofErr w:type="spellEnd"/>
      <w:r w:rsidRPr="00A07E85">
        <w:t xml:space="preserve"> global </w:t>
      </w:r>
      <w:proofErr w:type="spellStart"/>
      <w:r w:rsidRPr="00A07E85">
        <w:t>visé</w:t>
      </w:r>
      <w:proofErr w:type="spellEnd"/>
      <w:r w:rsidRPr="00A07E85">
        <w:t xml:space="preserve"> dans la </w:t>
      </w:r>
      <w:proofErr w:type="spellStart"/>
      <w:r w:rsidRPr="00A07E85">
        <w:t>décision</w:t>
      </w:r>
      <w:proofErr w:type="spellEnd"/>
      <w:r w:rsidRPr="00A07E85">
        <w:t xml:space="preserve"> </w:t>
      </w:r>
      <w:hyperlink r:id="rId9" w:history="1">
        <w:r w:rsidRPr="00A07E85">
          <w:rPr>
            <w:rStyle w:val="Lienhypertexte"/>
          </w:rPr>
          <w:t>16/32</w:t>
        </w:r>
      </w:hyperlink>
      <w:r>
        <w:t xml:space="preserve">. </w:t>
      </w:r>
    </w:p>
  </w:footnote>
  <w:footnote w:id="10">
    <w:p w14:paraId="6B1A7B8C" w14:textId="77777777" w:rsidR="00651BEB" w:rsidRDefault="00651BEB" w:rsidP="00651BEB">
      <w:pPr>
        <w:pStyle w:val="Notedebasdepage"/>
      </w:pPr>
      <w:r w:rsidRPr="005453D5">
        <w:rPr>
          <w:rStyle w:val="Appelnotedebasdep"/>
        </w:rPr>
        <w:footnoteRef/>
      </w:r>
      <w:r w:rsidRPr="005453D5">
        <w:t xml:space="preserve"> </w:t>
      </w:r>
      <w:proofErr w:type="spellStart"/>
      <w:r>
        <w:t>Voir</w:t>
      </w:r>
      <w:proofErr w:type="spellEnd"/>
      <w:r>
        <w:t xml:space="preserve"> </w:t>
      </w:r>
      <w:proofErr w:type="spellStart"/>
      <w:r>
        <w:t>décision</w:t>
      </w:r>
      <w:proofErr w:type="spellEnd"/>
      <w:r w:rsidRPr="00E32CDC">
        <w:t xml:space="preserve"> </w:t>
      </w:r>
      <w:hyperlink r:id="rId10" w:history="1">
        <w:r w:rsidRPr="00E32CDC">
          <w:rPr>
            <w:rStyle w:val="Lienhypertexte"/>
          </w:rPr>
          <w:t>16/31</w:t>
        </w:r>
      </w:hyperlink>
      <w:r w:rsidRPr="00E32CDC">
        <w:t>.</w:t>
      </w:r>
    </w:p>
  </w:footnote>
  <w:footnote w:id="11">
    <w:p w14:paraId="720292AE" w14:textId="77777777" w:rsidR="00651BEB" w:rsidRDefault="00651BEB" w:rsidP="00651BEB">
      <w:pPr>
        <w:pStyle w:val="Notedebasdepage"/>
      </w:pPr>
      <w:r>
        <w:rPr>
          <w:rStyle w:val="Appelnotedebasdep"/>
        </w:rPr>
        <w:footnoteRef/>
      </w:r>
      <w:r>
        <w:t xml:space="preserve"> </w:t>
      </w:r>
      <w:proofErr w:type="spellStart"/>
      <w:r>
        <w:t>Décision</w:t>
      </w:r>
      <w:proofErr w:type="spellEnd"/>
      <w:r>
        <w:t xml:space="preserve"> </w:t>
      </w:r>
      <w:hyperlink r:id="rId11" w:history="1">
        <w:r w:rsidRPr="006742BA">
          <w:rPr>
            <w:rStyle w:val="Lienhypertexte"/>
          </w:rPr>
          <w:t>16/9 B</w:t>
        </w:r>
      </w:hyperlink>
      <w:r>
        <w:t>, annexe.</w:t>
      </w:r>
    </w:p>
  </w:footnote>
  <w:footnote w:id="12">
    <w:p w14:paraId="67C221E8" w14:textId="77777777" w:rsidR="00651BEB" w:rsidRPr="00903DC8" w:rsidRDefault="00651BEB" w:rsidP="00651BEB">
      <w:pPr>
        <w:pStyle w:val="Notedebasdepage"/>
        <w:rPr>
          <w:szCs w:val="18"/>
          <w:lang w:val="fr-FR"/>
        </w:rPr>
      </w:pPr>
      <w:r w:rsidRPr="00903DC8">
        <w:rPr>
          <w:rStyle w:val="Appelnotedebasdep"/>
          <w:szCs w:val="18"/>
          <w:lang w:val="fr-FR"/>
        </w:rPr>
        <w:footnoteRef/>
      </w:r>
      <w:r w:rsidRPr="00903DC8">
        <w:rPr>
          <w:lang w:val="fr-FR"/>
        </w:rPr>
        <w:t xml:space="preserve"> Nations Unies, </w:t>
      </w:r>
      <w:r w:rsidRPr="00903DC8">
        <w:rPr>
          <w:i/>
          <w:iCs/>
          <w:szCs w:val="18"/>
          <w:lang w:val="fr-FR"/>
        </w:rPr>
        <w:t>Recueil des Traités</w:t>
      </w:r>
      <w:r w:rsidRPr="00903DC8">
        <w:rPr>
          <w:lang w:val="fr-FR"/>
        </w:rPr>
        <w:t>, vol. 1760, n</w:t>
      </w:r>
      <w:r w:rsidRPr="00903DC8">
        <w:rPr>
          <w:vertAlign w:val="superscript"/>
          <w:lang w:val="fr-FR"/>
        </w:rPr>
        <w:t>o</w:t>
      </w:r>
      <w:r w:rsidRPr="00903DC8">
        <w:rPr>
          <w:lang w:val="fr-FR"/>
        </w:rPr>
        <w:t> 30619.</w:t>
      </w:r>
    </w:p>
  </w:footnote>
  <w:footnote w:id="13">
    <w:p w14:paraId="1D9BB57F" w14:textId="77777777" w:rsidR="00651BEB" w:rsidRPr="00903DC8" w:rsidRDefault="00651BEB" w:rsidP="00651BEB">
      <w:pPr>
        <w:pStyle w:val="Notedebasdepage"/>
        <w:rPr>
          <w:szCs w:val="18"/>
          <w:lang w:val="fr-FR"/>
        </w:rPr>
      </w:pPr>
      <w:r w:rsidRPr="00903DC8">
        <w:rPr>
          <w:rStyle w:val="Appelnotedebasdep"/>
          <w:szCs w:val="18"/>
          <w:lang w:val="fr-FR"/>
        </w:rPr>
        <w:footnoteRef/>
      </w:r>
      <w:r w:rsidRPr="00903DC8">
        <w:rPr>
          <w:lang w:val="fr-FR"/>
        </w:rPr>
        <w:t xml:space="preserve"> Décision </w:t>
      </w:r>
      <w:hyperlink r:id="rId12" w:history="1">
        <w:r w:rsidRPr="00BB24AE">
          <w:rPr>
            <w:rStyle w:val="Lienhypertexte"/>
            <w:lang w:val="fr-FR"/>
          </w:rPr>
          <w:t>15/4</w:t>
        </w:r>
      </w:hyperlink>
      <w:r w:rsidRPr="00903DC8">
        <w:rPr>
          <w:lang w:val="fr-FR"/>
        </w:rPr>
        <w:t>, annexe.</w:t>
      </w:r>
    </w:p>
  </w:footnote>
  <w:footnote w:id="14">
    <w:p w14:paraId="798E9868" w14:textId="77777777" w:rsidR="00651BEB" w:rsidRPr="00903DC8" w:rsidRDefault="00651BEB" w:rsidP="00651BEB">
      <w:pPr>
        <w:pStyle w:val="Notedebasdepage"/>
        <w:rPr>
          <w:lang w:val="fr-FR"/>
        </w:rPr>
      </w:pPr>
      <w:r w:rsidRPr="00903DC8">
        <w:rPr>
          <w:rStyle w:val="Appelnotedebasdep"/>
          <w:lang w:val="fr-FR"/>
        </w:rPr>
        <w:footnoteRef/>
      </w:r>
      <w:r w:rsidRPr="00903DC8">
        <w:rPr>
          <w:lang w:val="fr-FR"/>
        </w:rPr>
        <w:t xml:space="preserve"> </w:t>
      </w:r>
      <w:r w:rsidRPr="00C356CD">
        <w:rPr>
          <w:rFonts w:asciiTheme="majorBidi" w:hAnsiTheme="majorBidi"/>
          <w:szCs w:val="18"/>
          <w:lang w:val="fr-FR"/>
        </w:rPr>
        <w:t xml:space="preserve">Comme ceux inclus dans les plans nationaux de financement de la biodiversité ou disponibles dans le catalogue des solutions de financement de </w:t>
      </w:r>
      <w:r>
        <w:rPr>
          <w:rFonts w:asciiTheme="majorBidi" w:hAnsiTheme="majorBidi"/>
          <w:szCs w:val="18"/>
          <w:lang w:val="fr-FR"/>
        </w:rPr>
        <w:t>l’</w:t>
      </w:r>
      <w:r w:rsidRPr="00C356CD">
        <w:rPr>
          <w:rFonts w:asciiTheme="majorBidi" w:hAnsiTheme="majorBidi"/>
          <w:szCs w:val="18"/>
          <w:lang w:val="fr-FR"/>
        </w:rPr>
        <w:t xml:space="preserve">Initiative pour le financement de la diversité biologique (disponible à l'adresse </w:t>
      </w:r>
      <w:hyperlink r:id="rId13" w:history="1">
        <w:r w:rsidRPr="00C356CD">
          <w:rPr>
            <w:rStyle w:val="Lienhypertexte"/>
            <w:rFonts w:asciiTheme="majorBidi" w:hAnsiTheme="majorBidi"/>
            <w:szCs w:val="18"/>
            <w:lang w:val="fr-FR"/>
          </w:rPr>
          <w:t>www.biofin.org/finance-solutions</w:t>
        </w:r>
      </w:hyperlink>
      <w:r w:rsidRPr="00C356CD">
        <w:rPr>
          <w:rFonts w:asciiTheme="majorBidi" w:hAnsiTheme="majorBidi"/>
          <w:szCs w:val="18"/>
          <w:lang w:val="fr-FR"/>
        </w:rPr>
        <w:t>).</w:t>
      </w:r>
    </w:p>
  </w:footnote>
  <w:footnote w:id="15">
    <w:p w14:paraId="6E79D4B9" w14:textId="77777777" w:rsidR="00651BEB" w:rsidRPr="00903DC8" w:rsidRDefault="00651BEB" w:rsidP="00651BEB">
      <w:pPr>
        <w:pStyle w:val="Notedebasdepage"/>
        <w:rPr>
          <w:szCs w:val="18"/>
          <w:highlight w:val="yellow"/>
          <w:lang w:val="fr-FR"/>
        </w:rPr>
      </w:pPr>
      <w:r w:rsidRPr="00903DC8">
        <w:rPr>
          <w:rStyle w:val="Appelnotedebasdep"/>
          <w:szCs w:val="18"/>
          <w:lang w:val="fr-FR"/>
        </w:rPr>
        <w:footnoteRef/>
      </w:r>
      <w:r w:rsidRPr="00903DC8">
        <w:rPr>
          <w:lang w:val="fr-FR"/>
        </w:rPr>
        <w:t xml:space="preserve"> </w:t>
      </w:r>
      <w:r>
        <w:rPr>
          <w:lang w:val="fr-FR"/>
        </w:rPr>
        <w:t>Voir les</w:t>
      </w:r>
      <w:r w:rsidRPr="00903DC8">
        <w:rPr>
          <w:lang w:val="fr-FR"/>
        </w:rPr>
        <w:t xml:space="preserve"> décision</w:t>
      </w:r>
      <w:r>
        <w:rPr>
          <w:lang w:val="fr-FR"/>
        </w:rPr>
        <w:t>s</w:t>
      </w:r>
      <w:r w:rsidRPr="00903DC8">
        <w:rPr>
          <w:lang w:val="fr-FR"/>
        </w:rPr>
        <w:t> </w:t>
      </w:r>
      <w:hyperlink r:id="rId14" w:history="1">
        <w:r w:rsidRPr="00C356CD">
          <w:rPr>
            <w:rStyle w:val="Lienhypertexte"/>
            <w:lang w:val="fr-FR"/>
          </w:rPr>
          <w:t>15/9</w:t>
        </w:r>
      </w:hyperlink>
      <w:r>
        <w:rPr>
          <w:lang w:val="fr-FR"/>
        </w:rPr>
        <w:t xml:space="preserve"> et </w:t>
      </w:r>
      <w:hyperlink r:id="rId15" w:history="1">
        <w:r w:rsidRPr="00C356CD">
          <w:rPr>
            <w:rStyle w:val="Lienhypertexte"/>
            <w:lang w:val="fr-FR"/>
          </w:rPr>
          <w:t>16/2</w:t>
        </w:r>
      </w:hyperlink>
      <w:r w:rsidRPr="00903DC8">
        <w:rPr>
          <w:lang w:val="fr-FR"/>
        </w:rPr>
        <w:t>.</w:t>
      </w:r>
    </w:p>
  </w:footnote>
  <w:footnote w:id="16">
    <w:p w14:paraId="52E2C2A7" w14:textId="77777777" w:rsidR="00651BEB" w:rsidRPr="00903DC8" w:rsidRDefault="00651BEB" w:rsidP="00651BEB">
      <w:pPr>
        <w:pStyle w:val="Notedebasdepage"/>
        <w:rPr>
          <w:szCs w:val="18"/>
          <w:lang w:val="fr-FR"/>
        </w:rPr>
      </w:pPr>
      <w:r w:rsidRPr="00903DC8">
        <w:rPr>
          <w:rStyle w:val="Appelnotedebasdep"/>
          <w:szCs w:val="18"/>
          <w:lang w:val="fr-FR"/>
        </w:rPr>
        <w:footnoteRef/>
      </w:r>
      <w:r w:rsidRPr="00903DC8">
        <w:rPr>
          <w:lang w:val="fr-FR"/>
        </w:rPr>
        <w:t xml:space="preserve"> Approche écocentrique et fondée sur les droits permettant la mise en œuvre d’actions visant à établir des relations harmonieuses et complémentaires entre les peuples et la nature, à promouvoir la continuité de tous les êtres vivants et de leurs communautés et à garantir la non-marchandisation des fonctions environnementales de la Terre nourricière.</w:t>
      </w:r>
    </w:p>
  </w:footnote>
  <w:footnote w:id="17">
    <w:p w14:paraId="60526DD6" w14:textId="77777777" w:rsidR="00651BEB" w:rsidRPr="00903DC8" w:rsidRDefault="00651BEB" w:rsidP="00651BEB">
      <w:pPr>
        <w:pStyle w:val="Notedebasdepage"/>
        <w:rPr>
          <w:lang w:val="fr-FR"/>
        </w:rPr>
      </w:pPr>
      <w:r w:rsidRPr="00903DC8">
        <w:rPr>
          <w:rStyle w:val="Appelnotedebasdep"/>
          <w:lang w:val="fr-FR"/>
        </w:rPr>
        <w:footnoteRef/>
      </w:r>
      <w:r w:rsidRPr="00903DC8">
        <w:rPr>
          <w:lang w:val="fr-FR"/>
        </w:rPr>
        <w:t xml:space="preserve"> Par exemple, </w:t>
      </w:r>
      <w:r>
        <w:rPr>
          <w:lang w:val="fr-FR"/>
        </w:rPr>
        <w:t>en envisageant l’utilisation de</w:t>
      </w:r>
      <w:r w:rsidRPr="00903DC8">
        <w:rPr>
          <w:lang w:val="fr-FR"/>
        </w:rPr>
        <w:t xml:space="preserve"> cadres tels que celui élaboré par l’Équipe spéciale des informations financières ayant trait à la nature, et </w:t>
      </w:r>
      <w:r>
        <w:rPr>
          <w:lang w:val="fr-FR"/>
        </w:rPr>
        <w:t>en encourageant l</w:t>
      </w:r>
      <w:r w:rsidRPr="00903DC8">
        <w:rPr>
          <w:lang w:val="fr-FR"/>
        </w:rPr>
        <w:t xml:space="preserve">es initiatives de coopération, telles que celle entre l’Équipe spéciale </w:t>
      </w:r>
      <w:r>
        <w:rPr>
          <w:lang w:val="fr-FR"/>
        </w:rPr>
        <w:t xml:space="preserve">et </w:t>
      </w:r>
      <w:r w:rsidRPr="00903DC8">
        <w:rPr>
          <w:lang w:val="fr-FR"/>
        </w:rPr>
        <w:t>le Conseil international des normes de durabilité.</w:t>
      </w:r>
    </w:p>
  </w:footnote>
  <w:footnote w:id="18">
    <w:p w14:paraId="554C9D88" w14:textId="77777777" w:rsidR="00651BEB" w:rsidRPr="00903DC8" w:rsidRDefault="00651BEB" w:rsidP="00651BEB">
      <w:pPr>
        <w:pStyle w:val="Notedebasdepage"/>
        <w:rPr>
          <w:lang w:val="fr-FR"/>
        </w:rPr>
      </w:pPr>
      <w:r w:rsidRPr="00903DC8">
        <w:rPr>
          <w:rStyle w:val="Appelnotedebasdep"/>
          <w:lang w:val="fr-FR"/>
        </w:rPr>
        <w:footnoteRef/>
      </w:r>
      <w:r w:rsidRPr="00903DC8">
        <w:rPr>
          <w:lang w:val="fr-FR"/>
        </w:rPr>
        <w:t xml:space="preserve"> </w:t>
      </w:r>
      <w:r w:rsidRPr="004B44B2">
        <w:rPr>
          <w:lang w:val="fr-FR"/>
        </w:rPr>
        <w:t>Voir la résolution 5/5 de l'Assemblée des Nations Unies pour l'environnement</w:t>
      </w:r>
      <w:r w:rsidRPr="00903DC8">
        <w:rPr>
          <w:lang w:val="fr-FR"/>
        </w:rPr>
        <w:t>.</w:t>
      </w:r>
    </w:p>
  </w:footnote>
  <w:footnote w:id="19">
    <w:p w14:paraId="77444EBB" w14:textId="77777777" w:rsidR="00651BEB" w:rsidRPr="00903DC8" w:rsidRDefault="00651BEB" w:rsidP="00651BEB">
      <w:pPr>
        <w:pStyle w:val="Notedebasdepage"/>
        <w:rPr>
          <w:lang w:val="fr-FR"/>
        </w:rPr>
      </w:pPr>
      <w:r w:rsidRPr="00903DC8">
        <w:rPr>
          <w:rStyle w:val="Appelnotedebasdep"/>
          <w:lang w:val="fr-FR"/>
        </w:rPr>
        <w:footnoteRef/>
      </w:r>
      <w:r w:rsidRPr="00903DC8">
        <w:rPr>
          <w:lang w:val="fr-FR"/>
        </w:rPr>
        <w:t xml:space="preserve"> Par exemple, </w:t>
      </w:r>
      <w:r>
        <w:rPr>
          <w:lang w:val="fr-FR"/>
        </w:rPr>
        <w:t>en envisageant l’utilisation de</w:t>
      </w:r>
      <w:r w:rsidRPr="00903DC8">
        <w:rPr>
          <w:lang w:val="fr-FR"/>
        </w:rPr>
        <w:t xml:space="preserve"> cadres tels que celui élaboré par l’Équipe spéciale des informations financières ayant trait à la nature, et </w:t>
      </w:r>
      <w:r>
        <w:rPr>
          <w:lang w:val="fr-FR"/>
        </w:rPr>
        <w:t>en encourageant l</w:t>
      </w:r>
      <w:r w:rsidRPr="00903DC8">
        <w:rPr>
          <w:lang w:val="fr-FR"/>
        </w:rPr>
        <w:t xml:space="preserve">es initiatives de coopération, telles que celle entre l’Équipe spéciale </w:t>
      </w:r>
      <w:r>
        <w:rPr>
          <w:lang w:val="fr-FR"/>
        </w:rPr>
        <w:t xml:space="preserve">et </w:t>
      </w:r>
      <w:r w:rsidRPr="00903DC8">
        <w:rPr>
          <w:lang w:val="fr-FR"/>
        </w:rPr>
        <w:t>le Conseil international des normes de durabilité.</w:t>
      </w:r>
    </w:p>
  </w:footnote>
  <w:footnote w:id="20">
    <w:p w14:paraId="128D6475" w14:textId="77777777" w:rsidR="00651BEB" w:rsidRPr="00EE0421" w:rsidRDefault="00651BEB" w:rsidP="00651BEB">
      <w:pPr>
        <w:pStyle w:val="CBDFootnoteText"/>
      </w:pPr>
      <w:r w:rsidRPr="00391AA8">
        <w:rPr>
          <w:rStyle w:val="Appelnotedebasdep"/>
          <w:szCs w:val="18"/>
        </w:rPr>
        <w:footnoteRef/>
      </w:r>
      <w:r w:rsidRPr="00EE0421">
        <w:t xml:space="preserve"> </w:t>
      </w:r>
      <w:r w:rsidRPr="00EC05F7">
        <w:t xml:space="preserve">Nations </w:t>
      </w:r>
      <w:proofErr w:type="spellStart"/>
      <w:r w:rsidRPr="00EC05F7">
        <w:t>Unies</w:t>
      </w:r>
      <w:proofErr w:type="spellEnd"/>
      <w:r w:rsidRPr="00EC05F7">
        <w:t xml:space="preserve">, </w:t>
      </w:r>
      <w:proofErr w:type="spellStart"/>
      <w:r w:rsidRPr="00EC05F7">
        <w:rPr>
          <w:i/>
          <w:iCs/>
        </w:rPr>
        <w:t>Recueil</w:t>
      </w:r>
      <w:proofErr w:type="spellEnd"/>
      <w:r w:rsidRPr="00EC05F7">
        <w:rPr>
          <w:i/>
          <w:iCs/>
        </w:rPr>
        <w:t xml:space="preserve"> des </w:t>
      </w:r>
      <w:proofErr w:type="spellStart"/>
      <w:r w:rsidRPr="00EC05F7">
        <w:rPr>
          <w:i/>
          <w:iCs/>
        </w:rPr>
        <w:t>Traités</w:t>
      </w:r>
      <w:proofErr w:type="spellEnd"/>
      <w:r w:rsidRPr="00EC05F7">
        <w:t>, vol. 1760, n° 30619</w:t>
      </w:r>
      <w:r w:rsidRPr="00EE0421">
        <w:t>.</w:t>
      </w:r>
    </w:p>
  </w:footnote>
  <w:footnote w:id="21">
    <w:p w14:paraId="55538E08" w14:textId="77777777" w:rsidR="00651BEB" w:rsidRDefault="00651BEB" w:rsidP="00651BEB">
      <w:pPr>
        <w:pStyle w:val="Notedebasdepage"/>
      </w:pPr>
      <w:r>
        <w:rPr>
          <w:rStyle w:val="Appelnotedebasdep"/>
        </w:rPr>
        <w:footnoteRef/>
      </w:r>
      <w:r>
        <w:t xml:space="preserve"> </w:t>
      </w:r>
      <w:proofErr w:type="spellStart"/>
      <w:r>
        <w:t>Décision</w:t>
      </w:r>
      <w:proofErr w:type="spellEnd"/>
      <w:r>
        <w:t xml:space="preserve"> </w:t>
      </w:r>
      <w:hyperlink r:id="rId16" w:history="1">
        <w:r w:rsidRPr="004379DA">
          <w:rPr>
            <w:rStyle w:val="Lienhypertexte"/>
          </w:rPr>
          <w:t>15/4</w:t>
        </w:r>
      </w:hyperlink>
      <w:r>
        <w:t>,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7802784"/>
  <w:bookmarkStart w:id="7" w:name="_Hlk137802785"/>
  <w:p w14:paraId="2F8A26D5" w14:textId="3E324BB8" w:rsidR="00D85FA3" w:rsidRPr="00E27011" w:rsidRDefault="00000000"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B253D" w:rsidRPr="00E27011">
          <w:rPr>
            <w:sz w:val="20"/>
            <w:szCs w:val="20"/>
          </w:rPr>
          <w:t>CBD/COP/16/L.1</w:t>
        </w:r>
        <w:r w:rsidR="00EB253D">
          <w:rPr>
            <w:sz w:val="20"/>
            <w:szCs w:val="20"/>
          </w:rPr>
          <w:t>/Rev.1</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47A464FA" w14:textId="2A8FA132" w:rsidR="00D85FA3" w:rsidRPr="00E27011" w:rsidRDefault="00EB253D" w:rsidP="002B559C">
        <w:pPr>
          <w:pBdr>
            <w:bottom w:val="single" w:sz="4" w:space="1" w:color="auto"/>
          </w:pBdr>
          <w:spacing w:after="240"/>
          <w:jc w:val="right"/>
          <w:rPr>
            <w:sz w:val="20"/>
            <w:szCs w:val="20"/>
          </w:rPr>
        </w:pPr>
        <w:r>
          <w:rPr>
            <w:sz w:val="20"/>
            <w:szCs w:val="20"/>
          </w:rPr>
          <w:t>CBD/COP/16/L.1/Rev.1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227B" w14:textId="77777777" w:rsidR="009178C0" w:rsidRPr="00E27011" w:rsidRDefault="009178C0" w:rsidP="009178C0">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9C6"/>
    <w:multiLevelType w:val="hybridMultilevel"/>
    <w:tmpl w:val="38F8D2BC"/>
    <w:lvl w:ilvl="0" w:tplc="FFFFFFFF">
      <w:start w:val="1"/>
      <w:numFmt w:val="decimal"/>
      <w:lvlText w:val="%1."/>
      <w:lvlJc w:val="left"/>
      <w:pPr>
        <w:ind w:left="360" w:hanging="360"/>
      </w:pPr>
      <w:rPr>
        <w:rFonts w:hint="default"/>
      </w:rPr>
    </w:lvl>
    <w:lvl w:ilvl="1" w:tplc="10090017">
      <w:start w:val="1"/>
      <w:numFmt w:val="lowerLetter"/>
      <w:lvlText w:val="%2)"/>
      <w:lvlJc w:val="left"/>
      <w:pPr>
        <w:ind w:left="2214" w:hanging="360"/>
      </w:p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F8D51ED"/>
    <w:multiLevelType w:val="hybridMultilevel"/>
    <w:tmpl w:val="7124CB72"/>
    <w:lvl w:ilvl="0" w:tplc="51EEA3FC">
      <w:start w:val="1"/>
      <w:numFmt w:val="decimal"/>
      <w:lvlText w:val="%1."/>
      <w:lvlJc w:val="left"/>
      <w:pPr>
        <w:ind w:left="360" w:hanging="360"/>
      </w:pPr>
      <w:rPr>
        <w:rFonts w:hint="default"/>
      </w:rPr>
    </w:lvl>
    <w:lvl w:ilvl="1" w:tplc="040C0017">
      <w:start w:val="1"/>
      <w:numFmt w:val="lowerLetter"/>
      <w:lvlText w:val="%2)"/>
      <w:lvlJc w:val="left"/>
      <w:pPr>
        <w:ind w:left="2214" w:hanging="360"/>
      </w:pPr>
    </w:lvl>
    <w:lvl w:ilvl="2" w:tplc="5966353E">
      <w:start w:val="1"/>
      <w:numFmt w:val="lowerRoman"/>
      <w:lvlText w:val="%3"/>
      <w:lvlJc w:val="right"/>
      <w:pPr>
        <w:ind w:left="2934" w:hanging="180"/>
      </w:pPr>
      <w:rPr>
        <w:rFonts w:hint="default"/>
      </w:r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2402AAA"/>
    <w:multiLevelType w:val="singleLevel"/>
    <w:tmpl w:val="9EFE0B9E"/>
    <w:lvl w:ilvl="0">
      <w:start w:val="1"/>
      <w:numFmt w:val="lowerLetter"/>
      <w:lvlRestart w:val="0"/>
      <w:pStyle w:val="Para2"/>
      <w:lvlText w:val="(%1)"/>
      <w:lvlJc w:val="left"/>
      <w:pPr>
        <w:tabs>
          <w:tab w:val="num" w:pos="1080"/>
        </w:tabs>
        <w:ind w:firstLine="720"/>
      </w:pPr>
      <w:rPr>
        <w:rFonts w:cs="Times New Roman" w:hint="default"/>
        <w:b w:val="0"/>
        <w:i w:val="0"/>
      </w:rPr>
    </w:lvl>
  </w:abstractNum>
  <w:abstractNum w:abstractNumId="6" w15:restartNumberingAfterBreak="0">
    <w:nsid w:val="5D943BEE"/>
    <w:multiLevelType w:val="multilevel"/>
    <w:tmpl w:val="222A08B4"/>
    <w:numStyleLink w:val="ListCBD"/>
  </w:abstractNum>
  <w:abstractNum w:abstractNumId="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5995297">
    <w:abstractNumId w:val="9"/>
  </w:num>
  <w:num w:numId="2" w16cid:durableId="387650124">
    <w:abstractNumId w:val="1"/>
  </w:num>
  <w:num w:numId="3" w16cid:durableId="1474984872">
    <w:abstractNumId w:val="4"/>
  </w:num>
  <w:num w:numId="4" w16cid:durableId="801001244">
    <w:abstractNumId w:val="7"/>
  </w:num>
  <w:num w:numId="5" w16cid:durableId="849563837">
    <w:abstractNumId w:val="8"/>
  </w:num>
  <w:num w:numId="6" w16cid:durableId="1979918665">
    <w:abstractNumId w:val="5"/>
  </w:num>
  <w:num w:numId="7" w16cid:durableId="1880583532">
    <w:abstractNumId w:val="3"/>
    <w:lvlOverride w:ilvl="0">
      <w:lvl w:ilvl="0">
        <w:start w:val="1"/>
        <w:numFmt w:val="decimal"/>
        <w:pStyle w:val="CBDNormalNumber"/>
        <w:lvlText w:val="%1."/>
        <w:lvlJc w:val="left"/>
        <w:pPr>
          <w:ind w:left="99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278489139">
    <w:abstractNumId w:val="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9" w16cid:durableId="703213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3945383">
    <w:abstractNumId w:val="6"/>
  </w:num>
  <w:num w:numId="11" w16cid:durableId="1301306253">
    <w:abstractNumId w:val="3"/>
  </w:num>
  <w:num w:numId="12" w16cid:durableId="1491021980">
    <w:abstractNumId w:val="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 w16cid:durableId="420762084">
    <w:abstractNumId w:val="6"/>
  </w:num>
  <w:num w:numId="14" w16cid:durableId="1758286135">
    <w:abstractNumId w:val="6"/>
  </w:num>
  <w:num w:numId="15" w16cid:durableId="1453014241">
    <w:abstractNumId w:val="6"/>
  </w:num>
  <w:num w:numId="16" w16cid:durableId="2106877034">
    <w:abstractNumId w:val="6"/>
  </w:num>
  <w:num w:numId="17" w16cid:durableId="2014456799">
    <w:abstractNumId w:val="6"/>
  </w:num>
  <w:num w:numId="18" w16cid:durableId="1491023118">
    <w:abstractNumId w:val="6"/>
  </w:num>
  <w:num w:numId="19" w16cid:durableId="693649536">
    <w:abstractNumId w:val="6"/>
  </w:num>
  <w:num w:numId="20" w16cid:durableId="1237351594">
    <w:abstractNumId w:val="6"/>
  </w:num>
  <w:num w:numId="21" w16cid:durableId="878933280">
    <w:abstractNumId w:val="6"/>
  </w:num>
  <w:num w:numId="22" w16cid:durableId="1252550300">
    <w:abstractNumId w:val="6"/>
  </w:num>
  <w:num w:numId="23" w16cid:durableId="1650555842">
    <w:abstractNumId w:val="6"/>
  </w:num>
  <w:num w:numId="24" w16cid:durableId="421999289">
    <w:abstractNumId w:val="6"/>
  </w:num>
  <w:num w:numId="25" w16cid:durableId="614290653">
    <w:abstractNumId w:val="6"/>
  </w:num>
  <w:num w:numId="26" w16cid:durableId="529757638">
    <w:abstractNumId w:val="6"/>
  </w:num>
  <w:num w:numId="27" w16cid:durableId="1917855672">
    <w:abstractNumId w:val="6"/>
  </w:num>
  <w:num w:numId="28" w16cid:durableId="1529637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327418">
    <w:abstractNumId w:val="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1953321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6184803">
    <w:abstractNumId w:val="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2" w16cid:durableId="407927834">
    <w:abstractNumId w:val="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cs="Times New Roman" w:hint="default"/>
          <w:b w:val="0"/>
          <w:i w:val="0"/>
          <w:sz w:val="22"/>
        </w:rPr>
      </w:lvl>
    </w:lvlOverride>
    <w:lvlOverride w:ilvl="2">
      <w:lvl w:ilvl="2">
        <w:start w:val="1"/>
        <w:numFmt w:val="lowerRoman"/>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lowerLetter"/>
        <w:lvlText w:val="(%5)"/>
        <w:lvlJc w:val="left"/>
        <w:pPr>
          <w:ind w:left="3402" w:hanging="567"/>
        </w:pPr>
      </w:lvl>
    </w:lvlOverride>
    <w:lvlOverride w:ilvl="5">
      <w:lvl w:ilvl="5">
        <w:start w:val="1"/>
        <w:numFmt w:val="lowerRoman"/>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lowerLetter"/>
        <w:lvlText w:val="%8."/>
        <w:lvlJc w:val="left"/>
        <w:pPr>
          <w:ind w:left="3546" w:hanging="360"/>
        </w:pPr>
      </w:lvl>
    </w:lvlOverride>
    <w:lvlOverride w:ilvl="8">
      <w:lvl w:ilvl="8">
        <w:start w:val="1"/>
        <w:numFmt w:val="lowerRoman"/>
        <w:lvlText w:val="%9."/>
        <w:lvlJc w:val="left"/>
        <w:pPr>
          <w:ind w:left="3906" w:hanging="360"/>
        </w:pPr>
      </w:lvl>
    </w:lvlOverride>
  </w:num>
  <w:num w:numId="33" w16cid:durableId="1671909441">
    <w:abstractNumId w:val="3"/>
    <w:lvlOverride w:ilvl="0">
      <w:lvl w:ilvl="0">
        <w:start w:val="1"/>
        <w:numFmt w:val="decimal"/>
        <w:pStyle w:val="CBDNormalNumber"/>
        <w:lvlText w:val="%1."/>
        <w:lvlJc w:val="left"/>
        <w:pPr>
          <w:tabs>
            <w:tab w:val="num" w:pos="360"/>
          </w:tabs>
          <w:ind w:left="0" w:firstLine="0"/>
        </w:pPr>
        <w:rPr>
          <w:rFonts w:ascii="Times New Roman" w:hAnsi="Times New Roman" w:hint="default"/>
          <w:b w:val="0"/>
          <w:i w:val="0"/>
          <w:sz w:val="22"/>
        </w:rPr>
      </w:lvl>
    </w:lvlOverride>
    <w:lvlOverride w:ilvl="1">
      <w:lvl w:ilvl="1">
        <w:start w:val="1"/>
        <w:numFmt w:val="lowerLetter"/>
        <w:lvlText w:val="%2)"/>
        <w:lvlJc w:val="left"/>
        <w:pPr>
          <w:tabs>
            <w:tab w:val="num" w:pos="1440"/>
          </w:tabs>
          <w:ind w:left="0" w:firstLine="720"/>
        </w:pPr>
        <w:rPr>
          <w:rFonts w:ascii="Times New Roman" w:eastAsiaTheme="minorEastAsia" w:hAnsi="Times New Roman" w:cs="Times New Roman"/>
          <w:b w:val="0"/>
          <w:i w:val="0"/>
          <w:sz w:val="22"/>
          <w:szCs w:val="22"/>
        </w:rPr>
      </w:lvl>
    </w:lvlOverride>
    <w:lvlOverride w:ilvl="2">
      <w:lvl w:ilvl="2">
        <w:start w:val="1"/>
        <w:numFmt w:val="lowerRoman"/>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16cid:durableId="1538856104">
    <w:abstractNumId w:val="2"/>
  </w:num>
  <w:num w:numId="35" w16cid:durableId="177238677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9DF"/>
    <w:rsid w:val="00000B1F"/>
    <w:rsid w:val="00000BF6"/>
    <w:rsid w:val="00000FDC"/>
    <w:rsid w:val="00001250"/>
    <w:rsid w:val="0000143C"/>
    <w:rsid w:val="00002B05"/>
    <w:rsid w:val="00002F9A"/>
    <w:rsid w:val="00003172"/>
    <w:rsid w:val="00003627"/>
    <w:rsid w:val="0000372A"/>
    <w:rsid w:val="00003B18"/>
    <w:rsid w:val="00004431"/>
    <w:rsid w:val="00004DAA"/>
    <w:rsid w:val="00004F49"/>
    <w:rsid w:val="00005522"/>
    <w:rsid w:val="00005D29"/>
    <w:rsid w:val="00006327"/>
    <w:rsid w:val="00006E28"/>
    <w:rsid w:val="000071F5"/>
    <w:rsid w:val="00007A57"/>
    <w:rsid w:val="00007C78"/>
    <w:rsid w:val="00010881"/>
    <w:rsid w:val="00010C74"/>
    <w:rsid w:val="00011011"/>
    <w:rsid w:val="00011CEF"/>
    <w:rsid w:val="0001290A"/>
    <w:rsid w:val="00012C0B"/>
    <w:rsid w:val="00012DE3"/>
    <w:rsid w:val="0001373C"/>
    <w:rsid w:val="00015832"/>
    <w:rsid w:val="00016B87"/>
    <w:rsid w:val="00016C43"/>
    <w:rsid w:val="00016CD8"/>
    <w:rsid w:val="000171D3"/>
    <w:rsid w:val="000173E6"/>
    <w:rsid w:val="000174F9"/>
    <w:rsid w:val="000177A1"/>
    <w:rsid w:val="00017B5D"/>
    <w:rsid w:val="00017CB8"/>
    <w:rsid w:val="00020896"/>
    <w:rsid w:val="00020D60"/>
    <w:rsid w:val="00020DEC"/>
    <w:rsid w:val="00020EB8"/>
    <w:rsid w:val="00021634"/>
    <w:rsid w:val="0002373F"/>
    <w:rsid w:val="000237AB"/>
    <w:rsid w:val="00023880"/>
    <w:rsid w:val="00024682"/>
    <w:rsid w:val="0002491C"/>
    <w:rsid w:val="00025B4C"/>
    <w:rsid w:val="00025B6A"/>
    <w:rsid w:val="00025B6F"/>
    <w:rsid w:val="00025D9D"/>
    <w:rsid w:val="000266FA"/>
    <w:rsid w:val="0002788C"/>
    <w:rsid w:val="00027F7B"/>
    <w:rsid w:val="000301D9"/>
    <w:rsid w:val="00032DDE"/>
    <w:rsid w:val="00033052"/>
    <w:rsid w:val="000336C0"/>
    <w:rsid w:val="0003393F"/>
    <w:rsid w:val="00033DB3"/>
    <w:rsid w:val="00034167"/>
    <w:rsid w:val="000342B2"/>
    <w:rsid w:val="00034A4C"/>
    <w:rsid w:val="00034A56"/>
    <w:rsid w:val="00034AE0"/>
    <w:rsid w:val="0003548F"/>
    <w:rsid w:val="00035520"/>
    <w:rsid w:val="00035B67"/>
    <w:rsid w:val="00036A4E"/>
    <w:rsid w:val="00036C87"/>
    <w:rsid w:val="00036DF7"/>
    <w:rsid w:val="00036F82"/>
    <w:rsid w:val="000371E8"/>
    <w:rsid w:val="00037406"/>
    <w:rsid w:val="00037914"/>
    <w:rsid w:val="00040598"/>
    <w:rsid w:val="0004065B"/>
    <w:rsid w:val="00040854"/>
    <w:rsid w:val="00040BA7"/>
    <w:rsid w:val="00040D0B"/>
    <w:rsid w:val="00040D7F"/>
    <w:rsid w:val="0004110F"/>
    <w:rsid w:val="0004115E"/>
    <w:rsid w:val="0004182F"/>
    <w:rsid w:val="0004334E"/>
    <w:rsid w:val="0004376E"/>
    <w:rsid w:val="0004383B"/>
    <w:rsid w:val="00043BCE"/>
    <w:rsid w:val="00043E83"/>
    <w:rsid w:val="00043FF8"/>
    <w:rsid w:val="00044C76"/>
    <w:rsid w:val="000457F9"/>
    <w:rsid w:val="00047507"/>
    <w:rsid w:val="000477C4"/>
    <w:rsid w:val="00047D4D"/>
    <w:rsid w:val="00050CC3"/>
    <w:rsid w:val="00050E6E"/>
    <w:rsid w:val="000517CB"/>
    <w:rsid w:val="00051B37"/>
    <w:rsid w:val="00052AA4"/>
    <w:rsid w:val="00052C64"/>
    <w:rsid w:val="00054475"/>
    <w:rsid w:val="00054C8D"/>
    <w:rsid w:val="000555B8"/>
    <w:rsid w:val="00055BD9"/>
    <w:rsid w:val="00056757"/>
    <w:rsid w:val="00056936"/>
    <w:rsid w:val="00057A33"/>
    <w:rsid w:val="00057ED8"/>
    <w:rsid w:val="00057F99"/>
    <w:rsid w:val="00060BCD"/>
    <w:rsid w:val="00061F1A"/>
    <w:rsid w:val="00062087"/>
    <w:rsid w:val="00063408"/>
    <w:rsid w:val="00063EC5"/>
    <w:rsid w:val="00064AEF"/>
    <w:rsid w:val="00064F64"/>
    <w:rsid w:val="00065048"/>
    <w:rsid w:val="0006507A"/>
    <w:rsid w:val="00065326"/>
    <w:rsid w:val="00067202"/>
    <w:rsid w:val="000674BE"/>
    <w:rsid w:val="00070EB4"/>
    <w:rsid w:val="0007287F"/>
    <w:rsid w:val="000728B5"/>
    <w:rsid w:val="00072B42"/>
    <w:rsid w:val="00073550"/>
    <w:rsid w:val="00073697"/>
    <w:rsid w:val="00073740"/>
    <w:rsid w:val="00074C6C"/>
    <w:rsid w:val="0007549C"/>
    <w:rsid w:val="00075B94"/>
    <w:rsid w:val="000766D3"/>
    <w:rsid w:val="00076FF9"/>
    <w:rsid w:val="00077DE7"/>
    <w:rsid w:val="00080B78"/>
    <w:rsid w:val="00080E6B"/>
    <w:rsid w:val="00081188"/>
    <w:rsid w:val="00082B96"/>
    <w:rsid w:val="000830F6"/>
    <w:rsid w:val="00083106"/>
    <w:rsid w:val="0008332E"/>
    <w:rsid w:val="000834E2"/>
    <w:rsid w:val="00083595"/>
    <w:rsid w:val="00083FD2"/>
    <w:rsid w:val="00086066"/>
    <w:rsid w:val="00087250"/>
    <w:rsid w:val="00091134"/>
    <w:rsid w:val="00091BDE"/>
    <w:rsid w:val="00091D46"/>
    <w:rsid w:val="00092023"/>
    <w:rsid w:val="000932C0"/>
    <w:rsid w:val="00093ADA"/>
    <w:rsid w:val="000941D0"/>
    <w:rsid w:val="00094A76"/>
    <w:rsid w:val="00094ABD"/>
    <w:rsid w:val="00096018"/>
    <w:rsid w:val="00096D69"/>
    <w:rsid w:val="000974A0"/>
    <w:rsid w:val="000976E3"/>
    <w:rsid w:val="000A0326"/>
    <w:rsid w:val="000A0614"/>
    <w:rsid w:val="000A0A71"/>
    <w:rsid w:val="000A0ECB"/>
    <w:rsid w:val="000A13A2"/>
    <w:rsid w:val="000A1717"/>
    <w:rsid w:val="000A1989"/>
    <w:rsid w:val="000A1AAC"/>
    <w:rsid w:val="000A1BC6"/>
    <w:rsid w:val="000A27B7"/>
    <w:rsid w:val="000A2D7F"/>
    <w:rsid w:val="000A3C84"/>
    <w:rsid w:val="000A422E"/>
    <w:rsid w:val="000A426C"/>
    <w:rsid w:val="000A564C"/>
    <w:rsid w:val="000A5A1E"/>
    <w:rsid w:val="000A5DC5"/>
    <w:rsid w:val="000A66C2"/>
    <w:rsid w:val="000A73B7"/>
    <w:rsid w:val="000B0EF7"/>
    <w:rsid w:val="000B127C"/>
    <w:rsid w:val="000B1B43"/>
    <w:rsid w:val="000B1B49"/>
    <w:rsid w:val="000B2BE2"/>
    <w:rsid w:val="000B3B8D"/>
    <w:rsid w:val="000B3EFE"/>
    <w:rsid w:val="000B4115"/>
    <w:rsid w:val="000B5566"/>
    <w:rsid w:val="000B586D"/>
    <w:rsid w:val="000B5EDD"/>
    <w:rsid w:val="000B641A"/>
    <w:rsid w:val="000B69D1"/>
    <w:rsid w:val="000B70BA"/>
    <w:rsid w:val="000B734B"/>
    <w:rsid w:val="000C0C48"/>
    <w:rsid w:val="000C1360"/>
    <w:rsid w:val="000C1589"/>
    <w:rsid w:val="000C2570"/>
    <w:rsid w:val="000C25A0"/>
    <w:rsid w:val="000C25DE"/>
    <w:rsid w:val="000C291E"/>
    <w:rsid w:val="000C331F"/>
    <w:rsid w:val="000C3A21"/>
    <w:rsid w:val="000C4D0A"/>
    <w:rsid w:val="000C5F5D"/>
    <w:rsid w:val="000C64B9"/>
    <w:rsid w:val="000C675D"/>
    <w:rsid w:val="000C69E5"/>
    <w:rsid w:val="000C6BDC"/>
    <w:rsid w:val="000C7A2E"/>
    <w:rsid w:val="000D0EC8"/>
    <w:rsid w:val="000D1C45"/>
    <w:rsid w:val="000D1F78"/>
    <w:rsid w:val="000D234E"/>
    <w:rsid w:val="000D2982"/>
    <w:rsid w:val="000D298F"/>
    <w:rsid w:val="000D2E1A"/>
    <w:rsid w:val="000D3605"/>
    <w:rsid w:val="000D3DFA"/>
    <w:rsid w:val="000D485D"/>
    <w:rsid w:val="000D4C86"/>
    <w:rsid w:val="000D5205"/>
    <w:rsid w:val="000D56E0"/>
    <w:rsid w:val="000D5D85"/>
    <w:rsid w:val="000D5F68"/>
    <w:rsid w:val="000D60E5"/>
    <w:rsid w:val="000D65AC"/>
    <w:rsid w:val="000D7065"/>
    <w:rsid w:val="000D7304"/>
    <w:rsid w:val="000E03F6"/>
    <w:rsid w:val="000E05DA"/>
    <w:rsid w:val="000E0980"/>
    <w:rsid w:val="000E1404"/>
    <w:rsid w:val="000E2739"/>
    <w:rsid w:val="000E2C63"/>
    <w:rsid w:val="000E2DEA"/>
    <w:rsid w:val="000E30FB"/>
    <w:rsid w:val="000E3293"/>
    <w:rsid w:val="000E366F"/>
    <w:rsid w:val="000E36B0"/>
    <w:rsid w:val="000E4453"/>
    <w:rsid w:val="000E46A2"/>
    <w:rsid w:val="000E4C37"/>
    <w:rsid w:val="000E4CCD"/>
    <w:rsid w:val="000E5387"/>
    <w:rsid w:val="000E6D35"/>
    <w:rsid w:val="000E7F7E"/>
    <w:rsid w:val="000F0403"/>
    <w:rsid w:val="000F054D"/>
    <w:rsid w:val="000F0952"/>
    <w:rsid w:val="000F201A"/>
    <w:rsid w:val="000F205A"/>
    <w:rsid w:val="000F2394"/>
    <w:rsid w:val="000F2CD4"/>
    <w:rsid w:val="000F36D1"/>
    <w:rsid w:val="000F43FF"/>
    <w:rsid w:val="000F5346"/>
    <w:rsid w:val="000F6361"/>
    <w:rsid w:val="000F656F"/>
    <w:rsid w:val="000F6FBB"/>
    <w:rsid w:val="000F7DDE"/>
    <w:rsid w:val="000F7F23"/>
    <w:rsid w:val="001003EB"/>
    <w:rsid w:val="00101537"/>
    <w:rsid w:val="00102F79"/>
    <w:rsid w:val="001040F5"/>
    <w:rsid w:val="001043B3"/>
    <w:rsid w:val="00104470"/>
    <w:rsid w:val="001044C9"/>
    <w:rsid w:val="00106115"/>
    <w:rsid w:val="00106A6D"/>
    <w:rsid w:val="00106B66"/>
    <w:rsid w:val="00107079"/>
    <w:rsid w:val="001078CA"/>
    <w:rsid w:val="00107B43"/>
    <w:rsid w:val="00110935"/>
    <w:rsid w:val="001111E8"/>
    <w:rsid w:val="0011147C"/>
    <w:rsid w:val="0011151B"/>
    <w:rsid w:val="00111580"/>
    <w:rsid w:val="00111A05"/>
    <w:rsid w:val="00111B55"/>
    <w:rsid w:val="00111DE6"/>
    <w:rsid w:val="00112162"/>
    <w:rsid w:val="001129A4"/>
    <w:rsid w:val="0011330C"/>
    <w:rsid w:val="00113751"/>
    <w:rsid w:val="00113BD7"/>
    <w:rsid w:val="00113CE8"/>
    <w:rsid w:val="00113F5E"/>
    <w:rsid w:val="001140F8"/>
    <w:rsid w:val="001147F4"/>
    <w:rsid w:val="00114A14"/>
    <w:rsid w:val="001157B3"/>
    <w:rsid w:val="00116FB3"/>
    <w:rsid w:val="00116FBD"/>
    <w:rsid w:val="0011702E"/>
    <w:rsid w:val="001179B7"/>
    <w:rsid w:val="0012068A"/>
    <w:rsid w:val="00120704"/>
    <w:rsid w:val="001217AC"/>
    <w:rsid w:val="00121CA5"/>
    <w:rsid w:val="00122024"/>
    <w:rsid w:val="001229BD"/>
    <w:rsid w:val="00123036"/>
    <w:rsid w:val="00123376"/>
    <w:rsid w:val="00123AC1"/>
    <w:rsid w:val="00123B63"/>
    <w:rsid w:val="00123E85"/>
    <w:rsid w:val="0012440C"/>
    <w:rsid w:val="001244A2"/>
    <w:rsid w:val="00124DD5"/>
    <w:rsid w:val="00125E06"/>
    <w:rsid w:val="00126196"/>
    <w:rsid w:val="00126B99"/>
    <w:rsid w:val="001274B6"/>
    <w:rsid w:val="00127EE6"/>
    <w:rsid w:val="00130F3E"/>
    <w:rsid w:val="0013175D"/>
    <w:rsid w:val="00131827"/>
    <w:rsid w:val="00131DD1"/>
    <w:rsid w:val="00132581"/>
    <w:rsid w:val="0013272B"/>
    <w:rsid w:val="001329F5"/>
    <w:rsid w:val="00133D33"/>
    <w:rsid w:val="00135C81"/>
    <w:rsid w:val="00135F7E"/>
    <w:rsid w:val="00136E94"/>
    <w:rsid w:val="001378C6"/>
    <w:rsid w:val="00137B0C"/>
    <w:rsid w:val="00140670"/>
    <w:rsid w:val="0014075A"/>
    <w:rsid w:val="00141046"/>
    <w:rsid w:val="0014209E"/>
    <w:rsid w:val="0014252C"/>
    <w:rsid w:val="00143763"/>
    <w:rsid w:val="00143A61"/>
    <w:rsid w:val="00143C00"/>
    <w:rsid w:val="00144715"/>
    <w:rsid w:val="00144A64"/>
    <w:rsid w:val="0014505C"/>
    <w:rsid w:val="001453C6"/>
    <w:rsid w:val="001454BF"/>
    <w:rsid w:val="00145754"/>
    <w:rsid w:val="00145C54"/>
    <w:rsid w:val="00145E9E"/>
    <w:rsid w:val="001465C2"/>
    <w:rsid w:val="001477A1"/>
    <w:rsid w:val="0014784B"/>
    <w:rsid w:val="00147ABE"/>
    <w:rsid w:val="00147DF8"/>
    <w:rsid w:val="00150000"/>
    <w:rsid w:val="00150232"/>
    <w:rsid w:val="001503B9"/>
    <w:rsid w:val="001506E6"/>
    <w:rsid w:val="00150A84"/>
    <w:rsid w:val="00151C26"/>
    <w:rsid w:val="00152EFC"/>
    <w:rsid w:val="00152FD5"/>
    <w:rsid w:val="00153116"/>
    <w:rsid w:val="0015371D"/>
    <w:rsid w:val="00153EAE"/>
    <w:rsid w:val="00153FAF"/>
    <w:rsid w:val="0015441A"/>
    <w:rsid w:val="0015444C"/>
    <w:rsid w:val="00154D76"/>
    <w:rsid w:val="00154F87"/>
    <w:rsid w:val="00155327"/>
    <w:rsid w:val="0015554B"/>
    <w:rsid w:val="001558EC"/>
    <w:rsid w:val="00155DD1"/>
    <w:rsid w:val="001562D1"/>
    <w:rsid w:val="00156F84"/>
    <w:rsid w:val="00157404"/>
    <w:rsid w:val="00157E1C"/>
    <w:rsid w:val="00160D04"/>
    <w:rsid w:val="00161EFC"/>
    <w:rsid w:val="00163993"/>
    <w:rsid w:val="00163D1D"/>
    <w:rsid w:val="00164E27"/>
    <w:rsid w:val="0016504B"/>
    <w:rsid w:val="00165E41"/>
    <w:rsid w:val="00166657"/>
    <w:rsid w:val="00166DCE"/>
    <w:rsid w:val="0016750E"/>
    <w:rsid w:val="00170677"/>
    <w:rsid w:val="00170939"/>
    <w:rsid w:val="00170E1C"/>
    <w:rsid w:val="00171000"/>
    <w:rsid w:val="00171372"/>
    <w:rsid w:val="001714C6"/>
    <w:rsid w:val="00171691"/>
    <w:rsid w:val="0017180F"/>
    <w:rsid w:val="00171967"/>
    <w:rsid w:val="001721F9"/>
    <w:rsid w:val="001723F2"/>
    <w:rsid w:val="00172494"/>
    <w:rsid w:val="001725EE"/>
    <w:rsid w:val="00172F07"/>
    <w:rsid w:val="001735CB"/>
    <w:rsid w:val="00173625"/>
    <w:rsid w:val="001736CA"/>
    <w:rsid w:val="00174384"/>
    <w:rsid w:val="00174920"/>
    <w:rsid w:val="00174C70"/>
    <w:rsid w:val="00175744"/>
    <w:rsid w:val="00175E6B"/>
    <w:rsid w:val="0017633A"/>
    <w:rsid w:val="001766EE"/>
    <w:rsid w:val="0017694B"/>
    <w:rsid w:val="00176BEB"/>
    <w:rsid w:val="00176EF3"/>
    <w:rsid w:val="00177372"/>
    <w:rsid w:val="0017742C"/>
    <w:rsid w:val="0017749C"/>
    <w:rsid w:val="00177CBB"/>
    <w:rsid w:val="001800B6"/>
    <w:rsid w:val="00180DCB"/>
    <w:rsid w:val="001811E9"/>
    <w:rsid w:val="0018125A"/>
    <w:rsid w:val="001814C7"/>
    <w:rsid w:val="00181A16"/>
    <w:rsid w:val="00181BD9"/>
    <w:rsid w:val="00182AAB"/>
    <w:rsid w:val="00183AFC"/>
    <w:rsid w:val="00183D09"/>
    <w:rsid w:val="00184318"/>
    <w:rsid w:val="00184909"/>
    <w:rsid w:val="00185D1B"/>
    <w:rsid w:val="00186CA7"/>
    <w:rsid w:val="00187045"/>
    <w:rsid w:val="001871A5"/>
    <w:rsid w:val="001873B6"/>
    <w:rsid w:val="00187A8D"/>
    <w:rsid w:val="00190707"/>
    <w:rsid w:val="00191171"/>
    <w:rsid w:val="00191B8B"/>
    <w:rsid w:val="00191C16"/>
    <w:rsid w:val="00192345"/>
    <w:rsid w:val="00192CB4"/>
    <w:rsid w:val="00192F0E"/>
    <w:rsid w:val="00192F24"/>
    <w:rsid w:val="00193052"/>
    <w:rsid w:val="00193CB8"/>
    <w:rsid w:val="00194FC3"/>
    <w:rsid w:val="00195540"/>
    <w:rsid w:val="0019565B"/>
    <w:rsid w:val="00195ED1"/>
    <w:rsid w:val="001964EC"/>
    <w:rsid w:val="0019650B"/>
    <w:rsid w:val="00196A0F"/>
    <w:rsid w:val="00196D82"/>
    <w:rsid w:val="00196DB5"/>
    <w:rsid w:val="00197F4E"/>
    <w:rsid w:val="001A0034"/>
    <w:rsid w:val="001A04BF"/>
    <w:rsid w:val="001A08D2"/>
    <w:rsid w:val="001A0D90"/>
    <w:rsid w:val="001A0F4D"/>
    <w:rsid w:val="001A11CB"/>
    <w:rsid w:val="001A14D3"/>
    <w:rsid w:val="001A1719"/>
    <w:rsid w:val="001A1A04"/>
    <w:rsid w:val="001A2055"/>
    <w:rsid w:val="001A20A8"/>
    <w:rsid w:val="001A3636"/>
    <w:rsid w:val="001A3CD3"/>
    <w:rsid w:val="001A4075"/>
    <w:rsid w:val="001A48CA"/>
    <w:rsid w:val="001A5FCE"/>
    <w:rsid w:val="001A62D8"/>
    <w:rsid w:val="001A649A"/>
    <w:rsid w:val="001A6921"/>
    <w:rsid w:val="001A6B61"/>
    <w:rsid w:val="001A75F2"/>
    <w:rsid w:val="001A76AC"/>
    <w:rsid w:val="001A7813"/>
    <w:rsid w:val="001A7DDF"/>
    <w:rsid w:val="001B0530"/>
    <w:rsid w:val="001B1168"/>
    <w:rsid w:val="001B153E"/>
    <w:rsid w:val="001B181F"/>
    <w:rsid w:val="001B19A3"/>
    <w:rsid w:val="001B3E43"/>
    <w:rsid w:val="001B4257"/>
    <w:rsid w:val="001B4527"/>
    <w:rsid w:val="001B511C"/>
    <w:rsid w:val="001B5BFB"/>
    <w:rsid w:val="001B5E81"/>
    <w:rsid w:val="001B6120"/>
    <w:rsid w:val="001B62B1"/>
    <w:rsid w:val="001B6A03"/>
    <w:rsid w:val="001B6A54"/>
    <w:rsid w:val="001B6E6C"/>
    <w:rsid w:val="001B78BD"/>
    <w:rsid w:val="001C0C36"/>
    <w:rsid w:val="001C1687"/>
    <w:rsid w:val="001C1AE5"/>
    <w:rsid w:val="001C1C07"/>
    <w:rsid w:val="001C1C96"/>
    <w:rsid w:val="001C1EF4"/>
    <w:rsid w:val="001C2037"/>
    <w:rsid w:val="001C2D81"/>
    <w:rsid w:val="001C2FE0"/>
    <w:rsid w:val="001C322D"/>
    <w:rsid w:val="001C3408"/>
    <w:rsid w:val="001C3DAA"/>
    <w:rsid w:val="001C40F9"/>
    <w:rsid w:val="001C4CDE"/>
    <w:rsid w:val="001C4D70"/>
    <w:rsid w:val="001C51BC"/>
    <w:rsid w:val="001C5520"/>
    <w:rsid w:val="001C590C"/>
    <w:rsid w:val="001C5D84"/>
    <w:rsid w:val="001C5E3D"/>
    <w:rsid w:val="001C6B05"/>
    <w:rsid w:val="001C6B34"/>
    <w:rsid w:val="001C732A"/>
    <w:rsid w:val="001C7BF4"/>
    <w:rsid w:val="001C7F6C"/>
    <w:rsid w:val="001D051C"/>
    <w:rsid w:val="001D05AD"/>
    <w:rsid w:val="001D0B40"/>
    <w:rsid w:val="001D1547"/>
    <w:rsid w:val="001D15A1"/>
    <w:rsid w:val="001D1B7E"/>
    <w:rsid w:val="001D395C"/>
    <w:rsid w:val="001D3BF9"/>
    <w:rsid w:val="001D3FA2"/>
    <w:rsid w:val="001D4444"/>
    <w:rsid w:val="001D48EC"/>
    <w:rsid w:val="001D4A50"/>
    <w:rsid w:val="001D50FC"/>
    <w:rsid w:val="001D599C"/>
    <w:rsid w:val="001D5CBA"/>
    <w:rsid w:val="001D6A87"/>
    <w:rsid w:val="001D7BB9"/>
    <w:rsid w:val="001D7F09"/>
    <w:rsid w:val="001E0EC2"/>
    <w:rsid w:val="001E16EF"/>
    <w:rsid w:val="001E1D93"/>
    <w:rsid w:val="001E2DF5"/>
    <w:rsid w:val="001E389B"/>
    <w:rsid w:val="001E3CB8"/>
    <w:rsid w:val="001E4179"/>
    <w:rsid w:val="001E4502"/>
    <w:rsid w:val="001E6ACD"/>
    <w:rsid w:val="001E6E13"/>
    <w:rsid w:val="001E7464"/>
    <w:rsid w:val="001E757A"/>
    <w:rsid w:val="001E7640"/>
    <w:rsid w:val="001E7A1D"/>
    <w:rsid w:val="001F00BC"/>
    <w:rsid w:val="001F05BC"/>
    <w:rsid w:val="001F13FB"/>
    <w:rsid w:val="001F209D"/>
    <w:rsid w:val="001F29FC"/>
    <w:rsid w:val="001F2FB8"/>
    <w:rsid w:val="001F4125"/>
    <w:rsid w:val="001F43BF"/>
    <w:rsid w:val="001F5155"/>
    <w:rsid w:val="001F520D"/>
    <w:rsid w:val="001F5EEE"/>
    <w:rsid w:val="001F762D"/>
    <w:rsid w:val="001F7CC9"/>
    <w:rsid w:val="00200389"/>
    <w:rsid w:val="0020185A"/>
    <w:rsid w:val="0020185E"/>
    <w:rsid w:val="002020B3"/>
    <w:rsid w:val="00202260"/>
    <w:rsid w:val="002026F2"/>
    <w:rsid w:val="00202BFD"/>
    <w:rsid w:val="0020331A"/>
    <w:rsid w:val="0020331B"/>
    <w:rsid w:val="00203335"/>
    <w:rsid w:val="002039C1"/>
    <w:rsid w:val="00204622"/>
    <w:rsid w:val="00204E8B"/>
    <w:rsid w:val="00205415"/>
    <w:rsid w:val="00205DF2"/>
    <w:rsid w:val="00206191"/>
    <w:rsid w:val="00207876"/>
    <w:rsid w:val="00207E7F"/>
    <w:rsid w:val="0021051E"/>
    <w:rsid w:val="00210AC8"/>
    <w:rsid w:val="00211620"/>
    <w:rsid w:val="00211A02"/>
    <w:rsid w:val="0021219F"/>
    <w:rsid w:val="0021241E"/>
    <w:rsid w:val="0021344F"/>
    <w:rsid w:val="0021408A"/>
    <w:rsid w:val="00214238"/>
    <w:rsid w:val="0021488E"/>
    <w:rsid w:val="00214AEB"/>
    <w:rsid w:val="00214B5F"/>
    <w:rsid w:val="00214D12"/>
    <w:rsid w:val="00214E10"/>
    <w:rsid w:val="00215636"/>
    <w:rsid w:val="0021564F"/>
    <w:rsid w:val="00215B99"/>
    <w:rsid w:val="00215FC5"/>
    <w:rsid w:val="002168BD"/>
    <w:rsid w:val="00217886"/>
    <w:rsid w:val="0021788A"/>
    <w:rsid w:val="00217D04"/>
    <w:rsid w:val="0022021C"/>
    <w:rsid w:val="00220780"/>
    <w:rsid w:val="002207D7"/>
    <w:rsid w:val="00221DFE"/>
    <w:rsid w:val="002226C6"/>
    <w:rsid w:val="00223292"/>
    <w:rsid w:val="0022401F"/>
    <w:rsid w:val="00224DC7"/>
    <w:rsid w:val="00224E87"/>
    <w:rsid w:val="00225DEB"/>
    <w:rsid w:val="00225F86"/>
    <w:rsid w:val="00226F4B"/>
    <w:rsid w:val="00227389"/>
    <w:rsid w:val="00230097"/>
    <w:rsid w:val="002306FE"/>
    <w:rsid w:val="0023094B"/>
    <w:rsid w:val="00231622"/>
    <w:rsid w:val="002321FC"/>
    <w:rsid w:val="002322A9"/>
    <w:rsid w:val="00232C9F"/>
    <w:rsid w:val="0023327A"/>
    <w:rsid w:val="0023378F"/>
    <w:rsid w:val="00233DBE"/>
    <w:rsid w:val="0023543A"/>
    <w:rsid w:val="002355ED"/>
    <w:rsid w:val="00235A6A"/>
    <w:rsid w:val="00236604"/>
    <w:rsid w:val="00236944"/>
    <w:rsid w:val="002369BF"/>
    <w:rsid w:val="00236F6F"/>
    <w:rsid w:val="00240C5C"/>
    <w:rsid w:val="00240CDD"/>
    <w:rsid w:val="00241C2B"/>
    <w:rsid w:val="0024251C"/>
    <w:rsid w:val="0024417F"/>
    <w:rsid w:val="00244787"/>
    <w:rsid w:val="00244C04"/>
    <w:rsid w:val="00244ED6"/>
    <w:rsid w:val="00244F30"/>
    <w:rsid w:val="00245B6B"/>
    <w:rsid w:val="00246813"/>
    <w:rsid w:val="00246BEA"/>
    <w:rsid w:val="002472F9"/>
    <w:rsid w:val="0024766C"/>
    <w:rsid w:val="00247B2D"/>
    <w:rsid w:val="00247DC6"/>
    <w:rsid w:val="00250711"/>
    <w:rsid w:val="00250830"/>
    <w:rsid w:val="0025095C"/>
    <w:rsid w:val="00251463"/>
    <w:rsid w:val="00251D23"/>
    <w:rsid w:val="00251DAF"/>
    <w:rsid w:val="002521F6"/>
    <w:rsid w:val="0025275B"/>
    <w:rsid w:val="002530D1"/>
    <w:rsid w:val="0025369D"/>
    <w:rsid w:val="00253AC8"/>
    <w:rsid w:val="00253FC4"/>
    <w:rsid w:val="002544B5"/>
    <w:rsid w:val="0025479D"/>
    <w:rsid w:val="00254FBD"/>
    <w:rsid w:val="0025515F"/>
    <w:rsid w:val="002551F4"/>
    <w:rsid w:val="00255A5B"/>
    <w:rsid w:val="00256861"/>
    <w:rsid w:val="00256FE3"/>
    <w:rsid w:val="002572A4"/>
    <w:rsid w:val="00257533"/>
    <w:rsid w:val="00257797"/>
    <w:rsid w:val="0025779D"/>
    <w:rsid w:val="00257A96"/>
    <w:rsid w:val="00260381"/>
    <w:rsid w:val="00260AFE"/>
    <w:rsid w:val="00261702"/>
    <w:rsid w:val="00261A6F"/>
    <w:rsid w:val="00261AFB"/>
    <w:rsid w:val="00262B6B"/>
    <w:rsid w:val="00262BA1"/>
    <w:rsid w:val="002641C1"/>
    <w:rsid w:val="00264248"/>
    <w:rsid w:val="002646FB"/>
    <w:rsid w:val="00265995"/>
    <w:rsid w:val="002659D5"/>
    <w:rsid w:val="002659EE"/>
    <w:rsid w:val="00265D46"/>
    <w:rsid w:val="002667D4"/>
    <w:rsid w:val="002667D7"/>
    <w:rsid w:val="00267BA5"/>
    <w:rsid w:val="00267C56"/>
    <w:rsid w:val="00267FC2"/>
    <w:rsid w:val="00270A62"/>
    <w:rsid w:val="0027118B"/>
    <w:rsid w:val="00271835"/>
    <w:rsid w:val="00271841"/>
    <w:rsid w:val="00271EC5"/>
    <w:rsid w:val="00272723"/>
    <w:rsid w:val="00272C63"/>
    <w:rsid w:val="002740C7"/>
    <w:rsid w:val="002745A4"/>
    <w:rsid w:val="002754D5"/>
    <w:rsid w:val="002755AA"/>
    <w:rsid w:val="00275C34"/>
    <w:rsid w:val="00275C72"/>
    <w:rsid w:val="00276076"/>
    <w:rsid w:val="002767E1"/>
    <w:rsid w:val="0027782B"/>
    <w:rsid w:val="002779D0"/>
    <w:rsid w:val="00277D71"/>
    <w:rsid w:val="0028086E"/>
    <w:rsid w:val="00280A5C"/>
    <w:rsid w:val="00281353"/>
    <w:rsid w:val="00281878"/>
    <w:rsid w:val="00281CA1"/>
    <w:rsid w:val="00281DBB"/>
    <w:rsid w:val="00282024"/>
    <w:rsid w:val="002821CC"/>
    <w:rsid w:val="00282218"/>
    <w:rsid w:val="00282491"/>
    <w:rsid w:val="00283009"/>
    <w:rsid w:val="00283723"/>
    <w:rsid w:val="00283DAB"/>
    <w:rsid w:val="00284608"/>
    <w:rsid w:val="0028537C"/>
    <w:rsid w:val="00285780"/>
    <w:rsid w:val="00285BE4"/>
    <w:rsid w:val="00285CA5"/>
    <w:rsid w:val="0028646E"/>
    <w:rsid w:val="00286B90"/>
    <w:rsid w:val="002877AC"/>
    <w:rsid w:val="0029008A"/>
    <w:rsid w:val="002906AA"/>
    <w:rsid w:val="00291D23"/>
    <w:rsid w:val="002922E1"/>
    <w:rsid w:val="002923AF"/>
    <w:rsid w:val="00292722"/>
    <w:rsid w:val="00293CC8"/>
    <w:rsid w:val="0029416B"/>
    <w:rsid w:val="00294307"/>
    <w:rsid w:val="00294878"/>
    <w:rsid w:val="00294DD8"/>
    <w:rsid w:val="00295463"/>
    <w:rsid w:val="002955F5"/>
    <w:rsid w:val="002958CC"/>
    <w:rsid w:val="002967A0"/>
    <w:rsid w:val="00296966"/>
    <w:rsid w:val="00296FF0"/>
    <w:rsid w:val="0029718A"/>
    <w:rsid w:val="002A02FE"/>
    <w:rsid w:val="002A154F"/>
    <w:rsid w:val="002A19E6"/>
    <w:rsid w:val="002A1F7B"/>
    <w:rsid w:val="002A20E8"/>
    <w:rsid w:val="002A2A23"/>
    <w:rsid w:val="002A2DA8"/>
    <w:rsid w:val="002A3122"/>
    <w:rsid w:val="002A3AEE"/>
    <w:rsid w:val="002A3FBD"/>
    <w:rsid w:val="002A458C"/>
    <w:rsid w:val="002A4C96"/>
    <w:rsid w:val="002A54F4"/>
    <w:rsid w:val="002A57FB"/>
    <w:rsid w:val="002A592E"/>
    <w:rsid w:val="002A5ADD"/>
    <w:rsid w:val="002A5F62"/>
    <w:rsid w:val="002A6295"/>
    <w:rsid w:val="002A6A82"/>
    <w:rsid w:val="002A73C2"/>
    <w:rsid w:val="002A7E1F"/>
    <w:rsid w:val="002B00CA"/>
    <w:rsid w:val="002B013E"/>
    <w:rsid w:val="002B13CC"/>
    <w:rsid w:val="002B15CF"/>
    <w:rsid w:val="002B161A"/>
    <w:rsid w:val="002B17D0"/>
    <w:rsid w:val="002B1D2E"/>
    <w:rsid w:val="002B2047"/>
    <w:rsid w:val="002B286E"/>
    <w:rsid w:val="002B2996"/>
    <w:rsid w:val="002B29E3"/>
    <w:rsid w:val="002B2A48"/>
    <w:rsid w:val="002B2AD0"/>
    <w:rsid w:val="002B2DDE"/>
    <w:rsid w:val="002B369A"/>
    <w:rsid w:val="002B39AF"/>
    <w:rsid w:val="002B3A26"/>
    <w:rsid w:val="002B3AC8"/>
    <w:rsid w:val="002B3DCB"/>
    <w:rsid w:val="002B421B"/>
    <w:rsid w:val="002B4657"/>
    <w:rsid w:val="002B4709"/>
    <w:rsid w:val="002B4B45"/>
    <w:rsid w:val="002B5174"/>
    <w:rsid w:val="002B542C"/>
    <w:rsid w:val="002B559C"/>
    <w:rsid w:val="002B5B20"/>
    <w:rsid w:val="002B6156"/>
    <w:rsid w:val="002B63A8"/>
    <w:rsid w:val="002B6ED1"/>
    <w:rsid w:val="002B7243"/>
    <w:rsid w:val="002B7C25"/>
    <w:rsid w:val="002C0071"/>
    <w:rsid w:val="002C00BF"/>
    <w:rsid w:val="002C0689"/>
    <w:rsid w:val="002C092E"/>
    <w:rsid w:val="002C0E02"/>
    <w:rsid w:val="002C116F"/>
    <w:rsid w:val="002C1A23"/>
    <w:rsid w:val="002C1C45"/>
    <w:rsid w:val="002C32CD"/>
    <w:rsid w:val="002C3E8C"/>
    <w:rsid w:val="002C4809"/>
    <w:rsid w:val="002C4EF1"/>
    <w:rsid w:val="002C4F98"/>
    <w:rsid w:val="002C507D"/>
    <w:rsid w:val="002C5A3F"/>
    <w:rsid w:val="002C7190"/>
    <w:rsid w:val="002C7F94"/>
    <w:rsid w:val="002D0128"/>
    <w:rsid w:val="002D0751"/>
    <w:rsid w:val="002D08F2"/>
    <w:rsid w:val="002D1876"/>
    <w:rsid w:val="002D24AE"/>
    <w:rsid w:val="002D2790"/>
    <w:rsid w:val="002D3A02"/>
    <w:rsid w:val="002D3E84"/>
    <w:rsid w:val="002D424A"/>
    <w:rsid w:val="002D42D0"/>
    <w:rsid w:val="002D53CF"/>
    <w:rsid w:val="002D561A"/>
    <w:rsid w:val="002D596F"/>
    <w:rsid w:val="002D6803"/>
    <w:rsid w:val="002D6B99"/>
    <w:rsid w:val="002D7745"/>
    <w:rsid w:val="002D7877"/>
    <w:rsid w:val="002D7E52"/>
    <w:rsid w:val="002E01EA"/>
    <w:rsid w:val="002E0751"/>
    <w:rsid w:val="002E113D"/>
    <w:rsid w:val="002E116C"/>
    <w:rsid w:val="002E1B02"/>
    <w:rsid w:val="002E21AE"/>
    <w:rsid w:val="002E2F15"/>
    <w:rsid w:val="002E3352"/>
    <w:rsid w:val="002E362C"/>
    <w:rsid w:val="002E3AD1"/>
    <w:rsid w:val="002E3D29"/>
    <w:rsid w:val="002E4318"/>
    <w:rsid w:val="002E52A8"/>
    <w:rsid w:val="002E583C"/>
    <w:rsid w:val="002E67DC"/>
    <w:rsid w:val="002E6F90"/>
    <w:rsid w:val="002E7310"/>
    <w:rsid w:val="002E75C7"/>
    <w:rsid w:val="002E7CC6"/>
    <w:rsid w:val="002F0ACE"/>
    <w:rsid w:val="002F113F"/>
    <w:rsid w:val="002F1F17"/>
    <w:rsid w:val="002F248E"/>
    <w:rsid w:val="002F2EEB"/>
    <w:rsid w:val="002F3486"/>
    <w:rsid w:val="002F3926"/>
    <w:rsid w:val="002F4B80"/>
    <w:rsid w:val="002F5386"/>
    <w:rsid w:val="002F5A9B"/>
    <w:rsid w:val="002F63E5"/>
    <w:rsid w:val="002F663D"/>
    <w:rsid w:val="002F7CE3"/>
    <w:rsid w:val="002F7EB8"/>
    <w:rsid w:val="00300288"/>
    <w:rsid w:val="003002F4"/>
    <w:rsid w:val="0030044E"/>
    <w:rsid w:val="003004B1"/>
    <w:rsid w:val="003007C7"/>
    <w:rsid w:val="00300CC1"/>
    <w:rsid w:val="00300D2F"/>
    <w:rsid w:val="00300FC9"/>
    <w:rsid w:val="00301B4E"/>
    <w:rsid w:val="00302775"/>
    <w:rsid w:val="003029DA"/>
    <w:rsid w:val="00302B61"/>
    <w:rsid w:val="00302C2C"/>
    <w:rsid w:val="00302C3C"/>
    <w:rsid w:val="00303F0B"/>
    <w:rsid w:val="00305215"/>
    <w:rsid w:val="00305BB2"/>
    <w:rsid w:val="0030610B"/>
    <w:rsid w:val="003066AA"/>
    <w:rsid w:val="003067BE"/>
    <w:rsid w:val="003071B2"/>
    <w:rsid w:val="00307283"/>
    <w:rsid w:val="003074C9"/>
    <w:rsid w:val="003075E4"/>
    <w:rsid w:val="003077BA"/>
    <w:rsid w:val="00307D0D"/>
    <w:rsid w:val="00310384"/>
    <w:rsid w:val="00310608"/>
    <w:rsid w:val="00310D6E"/>
    <w:rsid w:val="003114B0"/>
    <w:rsid w:val="00311CE8"/>
    <w:rsid w:val="00313B51"/>
    <w:rsid w:val="0031489F"/>
    <w:rsid w:val="003152EB"/>
    <w:rsid w:val="00315A57"/>
    <w:rsid w:val="00315C51"/>
    <w:rsid w:val="00315DE6"/>
    <w:rsid w:val="00316C1D"/>
    <w:rsid w:val="003170FE"/>
    <w:rsid w:val="00317CF1"/>
    <w:rsid w:val="0032091A"/>
    <w:rsid w:val="00320A08"/>
    <w:rsid w:val="00320D7B"/>
    <w:rsid w:val="00320FCC"/>
    <w:rsid w:val="003217FF"/>
    <w:rsid w:val="00321E55"/>
    <w:rsid w:val="003222B1"/>
    <w:rsid w:val="00323E3F"/>
    <w:rsid w:val="00323F22"/>
    <w:rsid w:val="00324331"/>
    <w:rsid w:val="00324EDD"/>
    <w:rsid w:val="003251FE"/>
    <w:rsid w:val="00325671"/>
    <w:rsid w:val="0032571A"/>
    <w:rsid w:val="003259AF"/>
    <w:rsid w:val="003263D5"/>
    <w:rsid w:val="003267B8"/>
    <w:rsid w:val="003269E4"/>
    <w:rsid w:val="00327563"/>
    <w:rsid w:val="0032775F"/>
    <w:rsid w:val="00330686"/>
    <w:rsid w:val="00330B61"/>
    <w:rsid w:val="00330CF1"/>
    <w:rsid w:val="003311F0"/>
    <w:rsid w:val="0033167D"/>
    <w:rsid w:val="00331B4F"/>
    <w:rsid w:val="00332770"/>
    <w:rsid w:val="003327F7"/>
    <w:rsid w:val="00332A39"/>
    <w:rsid w:val="003332A1"/>
    <w:rsid w:val="00334413"/>
    <w:rsid w:val="00334921"/>
    <w:rsid w:val="003349E4"/>
    <w:rsid w:val="00335144"/>
    <w:rsid w:val="0033542A"/>
    <w:rsid w:val="00335AD2"/>
    <w:rsid w:val="00335D64"/>
    <w:rsid w:val="0033611A"/>
    <w:rsid w:val="00336562"/>
    <w:rsid w:val="00336C3F"/>
    <w:rsid w:val="00336D48"/>
    <w:rsid w:val="00336E6E"/>
    <w:rsid w:val="00337F7E"/>
    <w:rsid w:val="00341521"/>
    <w:rsid w:val="00341D5D"/>
    <w:rsid w:val="003422D7"/>
    <w:rsid w:val="00342651"/>
    <w:rsid w:val="00342B8B"/>
    <w:rsid w:val="0034308B"/>
    <w:rsid w:val="0034322D"/>
    <w:rsid w:val="00343ACF"/>
    <w:rsid w:val="00344551"/>
    <w:rsid w:val="00344A6A"/>
    <w:rsid w:val="00345E80"/>
    <w:rsid w:val="00347364"/>
    <w:rsid w:val="003476A9"/>
    <w:rsid w:val="00347890"/>
    <w:rsid w:val="0035066E"/>
    <w:rsid w:val="00351372"/>
    <w:rsid w:val="00351BBF"/>
    <w:rsid w:val="00351D3B"/>
    <w:rsid w:val="00352B64"/>
    <w:rsid w:val="00352E75"/>
    <w:rsid w:val="0035318C"/>
    <w:rsid w:val="003532C4"/>
    <w:rsid w:val="0035381A"/>
    <w:rsid w:val="00353C97"/>
    <w:rsid w:val="0035456B"/>
    <w:rsid w:val="003548D9"/>
    <w:rsid w:val="00354FA1"/>
    <w:rsid w:val="00355016"/>
    <w:rsid w:val="00355629"/>
    <w:rsid w:val="00355746"/>
    <w:rsid w:val="00356924"/>
    <w:rsid w:val="00356A53"/>
    <w:rsid w:val="00357198"/>
    <w:rsid w:val="00357A3C"/>
    <w:rsid w:val="00357E59"/>
    <w:rsid w:val="0036095B"/>
    <w:rsid w:val="00360EAD"/>
    <w:rsid w:val="00361661"/>
    <w:rsid w:val="00362129"/>
    <w:rsid w:val="00362B6C"/>
    <w:rsid w:val="0036333C"/>
    <w:rsid w:val="003634F7"/>
    <w:rsid w:val="0036488F"/>
    <w:rsid w:val="00364AA7"/>
    <w:rsid w:val="003659B5"/>
    <w:rsid w:val="00365B26"/>
    <w:rsid w:val="00365B8C"/>
    <w:rsid w:val="003660FA"/>
    <w:rsid w:val="00366128"/>
    <w:rsid w:val="00367D4D"/>
    <w:rsid w:val="00367F3C"/>
    <w:rsid w:val="00370D78"/>
    <w:rsid w:val="00370DE0"/>
    <w:rsid w:val="003714CA"/>
    <w:rsid w:val="00371C42"/>
    <w:rsid w:val="00372151"/>
    <w:rsid w:val="003727D0"/>
    <w:rsid w:val="003729CE"/>
    <w:rsid w:val="003730B8"/>
    <w:rsid w:val="00373CBF"/>
    <w:rsid w:val="00373FA5"/>
    <w:rsid w:val="00373FAF"/>
    <w:rsid w:val="00374BB1"/>
    <w:rsid w:val="00374D55"/>
    <w:rsid w:val="00374E4C"/>
    <w:rsid w:val="0037537E"/>
    <w:rsid w:val="0037543C"/>
    <w:rsid w:val="003756CA"/>
    <w:rsid w:val="0037576D"/>
    <w:rsid w:val="003758E8"/>
    <w:rsid w:val="00375FB7"/>
    <w:rsid w:val="00376D8D"/>
    <w:rsid w:val="00380FDB"/>
    <w:rsid w:val="003815ED"/>
    <w:rsid w:val="00381AFD"/>
    <w:rsid w:val="00381D18"/>
    <w:rsid w:val="00382E50"/>
    <w:rsid w:val="003831B7"/>
    <w:rsid w:val="00383F07"/>
    <w:rsid w:val="00384117"/>
    <w:rsid w:val="003848F8"/>
    <w:rsid w:val="00385C40"/>
    <w:rsid w:val="0038686A"/>
    <w:rsid w:val="00386EC3"/>
    <w:rsid w:val="003872AA"/>
    <w:rsid w:val="003903EA"/>
    <w:rsid w:val="003907C7"/>
    <w:rsid w:val="00390F0A"/>
    <w:rsid w:val="0039118D"/>
    <w:rsid w:val="0039181E"/>
    <w:rsid w:val="003918ED"/>
    <w:rsid w:val="00391941"/>
    <w:rsid w:val="003922FC"/>
    <w:rsid w:val="0039270C"/>
    <w:rsid w:val="00392785"/>
    <w:rsid w:val="0039293E"/>
    <w:rsid w:val="00392FF8"/>
    <w:rsid w:val="003932C1"/>
    <w:rsid w:val="00393399"/>
    <w:rsid w:val="003939C9"/>
    <w:rsid w:val="00393E0E"/>
    <w:rsid w:val="00393FCE"/>
    <w:rsid w:val="00394DE1"/>
    <w:rsid w:val="00395884"/>
    <w:rsid w:val="00396327"/>
    <w:rsid w:val="0039700C"/>
    <w:rsid w:val="0039738C"/>
    <w:rsid w:val="0039772C"/>
    <w:rsid w:val="00397F90"/>
    <w:rsid w:val="003A01F5"/>
    <w:rsid w:val="003A07DC"/>
    <w:rsid w:val="003A1D18"/>
    <w:rsid w:val="003A2045"/>
    <w:rsid w:val="003A2AA4"/>
    <w:rsid w:val="003A3647"/>
    <w:rsid w:val="003A3668"/>
    <w:rsid w:val="003A53C3"/>
    <w:rsid w:val="003A583D"/>
    <w:rsid w:val="003A58D4"/>
    <w:rsid w:val="003A654B"/>
    <w:rsid w:val="003A668C"/>
    <w:rsid w:val="003A66C7"/>
    <w:rsid w:val="003A67FF"/>
    <w:rsid w:val="003A6935"/>
    <w:rsid w:val="003A6A25"/>
    <w:rsid w:val="003A75F1"/>
    <w:rsid w:val="003B0038"/>
    <w:rsid w:val="003B09C9"/>
    <w:rsid w:val="003B10AB"/>
    <w:rsid w:val="003B1A83"/>
    <w:rsid w:val="003B2240"/>
    <w:rsid w:val="003B242B"/>
    <w:rsid w:val="003B26FD"/>
    <w:rsid w:val="003B382E"/>
    <w:rsid w:val="003B4F3D"/>
    <w:rsid w:val="003B51F4"/>
    <w:rsid w:val="003B53DE"/>
    <w:rsid w:val="003B6109"/>
    <w:rsid w:val="003B6212"/>
    <w:rsid w:val="003B6BF3"/>
    <w:rsid w:val="003B7285"/>
    <w:rsid w:val="003C002D"/>
    <w:rsid w:val="003C084D"/>
    <w:rsid w:val="003C0B08"/>
    <w:rsid w:val="003C0DB1"/>
    <w:rsid w:val="003C0F0A"/>
    <w:rsid w:val="003C0F60"/>
    <w:rsid w:val="003C1079"/>
    <w:rsid w:val="003C1431"/>
    <w:rsid w:val="003C19DF"/>
    <w:rsid w:val="003C257B"/>
    <w:rsid w:val="003C2810"/>
    <w:rsid w:val="003C3464"/>
    <w:rsid w:val="003C3D14"/>
    <w:rsid w:val="003C4451"/>
    <w:rsid w:val="003C487D"/>
    <w:rsid w:val="003C498A"/>
    <w:rsid w:val="003C4D09"/>
    <w:rsid w:val="003C4D97"/>
    <w:rsid w:val="003C52CD"/>
    <w:rsid w:val="003C52F5"/>
    <w:rsid w:val="003C5D2B"/>
    <w:rsid w:val="003C6F10"/>
    <w:rsid w:val="003C70DD"/>
    <w:rsid w:val="003C7A64"/>
    <w:rsid w:val="003C7B0C"/>
    <w:rsid w:val="003D03B9"/>
    <w:rsid w:val="003D069E"/>
    <w:rsid w:val="003D1870"/>
    <w:rsid w:val="003D18AA"/>
    <w:rsid w:val="003D1E81"/>
    <w:rsid w:val="003D261E"/>
    <w:rsid w:val="003D31DE"/>
    <w:rsid w:val="003D3557"/>
    <w:rsid w:val="003D45C6"/>
    <w:rsid w:val="003D4BCD"/>
    <w:rsid w:val="003D4CAE"/>
    <w:rsid w:val="003D50BB"/>
    <w:rsid w:val="003D528E"/>
    <w:rsid w:val="003D543B"/>
    <w:rsid w:val="003D59AF"/>
    <w:rsid w:val="003D64F0"/>
    <w:rsid w:val="003D6731"/>
    <w:rsid w:val="003D6FE8"/>
    <w:rsid w:val="003D7292"/>
    <w:rsid w:val="003D7DB4"/>
    <w:rsid w:val="003E088D"/>
    <w:rsid w:val="003E121C"/>
    <w:rsid w:val="003E2D5D"/>
    <w:rsid w:val="003E3068"/>
    <w:rsid w:val="003E3210"/>
    <w:rsid w:val="003E32AE"/>
    <w:rsid w:val="003E363D"/>
    <w:rsid w:val="003E3970"/>
    <w:rsid w:val="003E4F34"/>
    <w:rsid w:val="003E5517"/>
    <w:rsid w:val="003E594E"/>
    <w:rsid w:val="003E5BB6"/>
    <w:rsid w:val="003E6573"/>
    <w:rsid w:val="003E66FF"/>
    <w:rsid w:val="003E698C"/>
    <w:rsid w:val="003E6FDD"/>
    <w:rsid w:val="003E73C2"/>
    <w:rsid w:val="003F051F"/>
    <w:rsid w:val="003F0D91"/>
    <w:rsid w:val="003F17E2"/>
    <w:rsid w:val="003F1D26"/>
    <w:rsid w:val="003F1E3E"/>
    <w:rsid w:val="003F1E55"/>
    <w:rsid w:val="003F1ED0"/>
    <w:rsid w:val="003F2F4D"/>
    <w:rsid w:val="003F30EF"/>
    <w:rsid w:val="003F3762"/>
    <w:rsid w:val="003F41EF"/>
    <w:rsid w:val="003F428E"/>
    <w:rsid w:val="003F4A35"/>
    <w:rsid w:val="003F4B2D"/>
    <w:rsid w:val="003F605A"/>
    <w:rsid w:val="003F62D0"/>
    <w:rsid w:val="003F692A"/>
    <w:rsid w:val="003F6E31"/>
    <w:rsid w:val="003F6F72"/>
    <w:rsid w:val="003F713B"/>
    <w:rsid w:val="003F77F3"/>
    <w:rsid w:val="003F7ABD"/>
    <w:rsid w:val="0040089F"/>
    <w:rsid w:val="00402D8C"/>
    <w:rsid w:val="00403281"/>
    <w:rsid w:val="004032AE"/>
    <w:rsid w:val="0040411A"/>
    <w:rsid w:val="00404722"/>
    <w:rsid w:val="004047E9"/>
    <w:rsid w:val="0040489B"/>
    <w:rsid w:val="00404B5C"/>
    <w:rsid w:val="0040517D"/>
    <w:rsid w:val="004055CD"/>
    <w:rsid w:val="00405FD2"/>
    <w:rsid w:val="004063FA"/>
    <w:rsid w:val="0040768A"/>
    <w:rsid w:val="00407B78"/>
    <w:rsid w:val="00407DFE"/>
    <w:rsid w:val="00410154"/>
    <w:rsid w:val="00411546"/>
    <w:rsid w:val="00413005"/>
    <w:rsid w:val="0041360B"/>
    <w:rsid w:val="00414B81"/>
    <w:rsid w:val="00414DAE"/>
    <w:rsid w:val="00414F8C"/>
    <w:rsid w:val="00415C0C"/>
    <w:rsid w:val="0041615F"/>
    <w:rsid w:val="00416906"/>
    <w:rsid w:val="00416DE8"/>
    <w:rsid w:val="00416DF0"/>
    <w:rsid w:val="00420625"/>
    <w:rsid w:val="00420F3F"/>
    <w:rsid w:val="00421456"/>
    <w:rsid w:val="00423929"/>
    <w:rsid w:val="00423B16"/>
    <w:rsid w:val="00423CC1"/>
    <w:rsid w:val="00423FA0"/>
    <w:rsid w:val="004242E1"/>
    <w:rsid w:val="00424799"/>
    <w:rsid w:val="004254BE"/>
    <w:rsid w:val="004254CF"/>
    <w:rsid w:val="00425F19"/>
    <w:rsid w:val="00426526"/>
    <w:rsid w:val="00426707"/>
    <w:rsid w:val="004267A0"/>
    <w:rsid w:val="00426C8A"/>
    <w:rsid w:val="0042712B"/>
    <w:rsid w:val="004278B1"/>
    <w:rsid w:val="00427C49"/>
    <w:rsid w:val="00427CB8"/>
    <w:rsid w:val="00427D08"/>
    <w:rsid w:val="00430A2B"/>
    <w:rsid w:val="004313BA"/>
    <w:rsid w:val="0043175B"/>
    <w:rsid w:val="004319BD"/>
    <w:rsid w:val="00432050"/>
    <w:rsid w:val="00432B57"/>
    <w:rsid w:val="00432CAF"/>
    <w:rsid w:val="00432DF5"/>
    <w:rsid w:val="00433290"/>
    <w:rsid w:val="004335E2"/>
    <w:rsid w:val="00433C07"/>
    <w:rsid w:val="00433E3F"/>
    <w:rsid w:val="00434B2E"/>
    <w:rsid w:val="00435410"/>
    <w:rsid w:val="00435A96"/>
    <w:rsid w:val="00435B92"/>
    <w:rsid w:val="00435C91"/>
    <w:rsid w:val="00435E81"/>
    <w:rsid w:val="00436385"/>
    <w:rsid w:val="0043718E"/>
    <w:rsid w:val="004372B3"/>
    <w:rsid w:val="00437669"/>
    <w:rsid w:val="004379F6"/>
    <w:rsid w:val="00437B84"/>
    <w:rsid w:val="004403ED"/>
    <w:rsid w:val="00441479"/>
    <w:rsid w:val="00441523"/>
    <w:rsid w:val="0044208B"/>
    <w:rsid w:val="004422D0"/>
    <w:rsid w:val="00442902"/>
    <w:rsid w:val="00442C4B"/>
    <w:rsid w:val="00442F16"/>
    <w:rsid w:val="0044451D"/>
    <w:rsid w:val="00444DED"/>
    <w:rsid w:val="00444E8A"/>
    <w:rsid w:val="00445062"/>
    <w:rsid w:val="00445AE3"/>
    <w:rsid w:val="004462F2"/>
    <w:rsid w:val="004468D9"/>
    <w:rsid w:val="00446CD9"/>
    <w:rsid w:val="004476FB"/>
    <w:rsid w:val="004507F7"/>
    <w:rsid w:val="00450BA4"/>
    <w:rsid w:val="00450CB3"/>
    <w:rsid w:val="00450CCF"/>
    <w:rsid w:val="00451005"/>
    <w:rsid w:val="00451DFE"/>
    <w:rsid w:val="004521A0"/>
    <w:rsid w:val="00452281"/>
    <w:rsid w:val="00452C4B"/>
    <w:rsid w:val="00453CBB"/>
    <w:rsid w:val="0045446A"/>
    <w:rsid w:val="00455688"/>
    <w:rsid w:val="00455C46"/>
    <w:rsid w:val="00457852"/>
    <w:rsid w:val="00457E1B"/>
    <w:rsid w:val="00460067"/>
    <w:rsid w:val="00460682"/>
    <w:rsid w:val="00460777"/>
    <w:rsid w:val="00460877"/>
    <w:rsid w:val="004611C4"/>
    <w:rsid w:val="00461C8A"/>
    <w:rsid w:val="004629CE"/>
    <w:rsid w:val="00462EAF"/>
    <w:rsid w:val="004631A6"/>
    <w:rsid w:val="004638D2"/>
    <w:rsid w:val="00463BFB"/>
    <w:rsid w:val="00464200"/>
    <w:rsid w:val="00465AC9"/>
    <w:rsid w:val="00465EA3"/>
    <w:rsid w:val="00466142"/>
    <w:rsid w:val="004665E4"/>
    <w:rsid w:val="00466941"/>
    <w:rsid w:val="00466C4C"/>
    <w:rsid w:val="0046759A"/>
    <w:rsid w:val="0046781A"/>
    <w:rsid w:val="00467CC4"/>
    <w:rsid w:val="004701EE"/>
    <w:rsid w:val="00470A80"/>
    <w:rsid w:val="00473709"/>
    <w:rsid w:val="00473A27"/>
    <w:rsid w:val="004747BE"/>
    <w:rsid w:val="004748D6"/>
    <w:rsid w:val="00474F3B"/>
    <w:rsid w:val="0047572F"/>
    <w:rsid w:val="00475E0A"/>
    <w:rsid w:val="00475F95"/>
    <w:rsid w:val="00475FE6"/>
    <w:rsid w:val="0047607B"/>
    <w:rsid w:val="004760A9"/>
    <w:rsid w:val="00476F32"/>
    <w:rsid w:val="00477C1D"/>
    <w:rsid w:val="00477EC0"/>
    <w:rsid w:val="00480013"/>
    <w:rsid w:val="0048219F"/>
    <w:rsid w:val="0048229E"/>
    <w:rsid w:val="004823D3"/>
    <w:rsid w:val="00482961"/>
    <w:rsid w:val="00482E21"/>
    <w:rsid w:val="00482F4C"/>
    <w:rsid w:val="00484127"/>
    <w:rsid w:val="00484611"/>
    <w:rsid w:val="0048497B"/>
    <w:rsid w:val="00484CBD"/>
    <w:rsid w:val="00485887"/>
    <w:rsid w:val="00485B2B"/>
    <w:rsid w:val="00485B35"/>
    <w:rsid w:val="00486469"/>
    <w:rsid w:val="004875E9"/>
    <w:rsid w:val="004877BB"/>
    <w:rsid w:val="00487B67"/>
    <w:rsid w:val="00487B7C"/>
    <w:rsid w:val="00487D34"/>
    <w:rsid w:val="00490003"/>
    <w:rsid w:val="004901AA"/>
    <w:rsid w:val="00490375"/>
    <w:rsid w:val="0049049F"/>
    <w:rsid w:val="0049073D"/>
    <w:rsid w:val="00490BA0"/>
    <w:rsid w:val="004910F4"/>
    <w:rsid w:val="00491442"/>
    <w:rsid w:val="00491528"/>
    <w:rsid w:val="00492BAD"/>
    <w:rsid w:val="00492DAC"/>
    <w:rsid w:val="0049354D"/>
    <w:rsid w:val="00493A21"/>
    <w:rsid w:val="00493BFA"/>
    <w:rsid w:val="00494F66"/>
    <w:rsid w:val="004956FD"/>
    <w:rsid w:val="0049635D"/>
    <w:rsid w:val="004963B1"/>
    <w:rsid w:val="004966F6"/>
    <w:rsid w:val="00496C71"/>
    <w:rsid w:val="0049744E"/>
    <w:rsid w:val="00497538"/>
    <w:rsid w:val="0049771C"/>
    <w:rsid w:val="00497ADC"/>
    <w:rsid w:val="004A0364"/>
    <w:rsid w:val="004A0B47"/>
    <w:rsid w:val="004A0F02"/>
    <w:rsid w:val="004A1185"/>
    <w:rsid w:val="004A14D7"/>
    <w:rsid w:val="004A1C16"/>
    <w:rsid w:val="004A1ECB"/>
    <w:rsid w:val="004A20E3"/>
    <w:rsid w:val="004A28CC"/>
    <w:rsid w:val="004A2A2D"/>
    <w:rsid w:val="004A3847"/>
    <w:rsid w:val="004A3B6A"/>
    <w:rsid w:val="004A4130"/>
    <w:rsid w:val="004A43E8"/>
    <w:rsid w:val="004A4653"/>
    <w:rsid w:val="004A5728"/>
    <w:rsid w:val="004A5DAA"/>
    <w:rsid w:val="004A5E02"/>
    <w:rsid w:val="004A6910"/>
    <w:rsid w:val="004A69A1"/>
    <w:rsid w:val="004A748F"/>
    <w:rsid w:val="004A7842"/>
    <w:rsid w:val="004B05E9"/>
    <w:rsid w:val="004B15C7"/>
    <w:rsid w:val="004B20AF"/>
    <w:rsid w:val="004B2263"/>
    <w:rsid w:val="004B23A6"/>
    <w:rsid w:val="004B246A"/>
    <w:rsid w:val="004B2799"/>
    <w:rsid w:val="004B37A7"/>
    <w:rsid w:val="004B3801"/>
    <w:rsid w:val="004B4168"/>
    <w:rsid w:val="004B4273"/>
    <w:rsid w:val="004B4892"/>
    <w:rsid w:val="004B48C4"/>
    <w:rsid w:val="004B4B1F"/>
    <w:rsid w:val="004B4EE2"/>
    <w:rsid w:val="004B4F12"/>
    <w:rsid w:val="004B4F22"/>
    <w:rsid w:val="004B514F"/>
    <w:rsid w:val="004B52FC"/>
    <w:rsid w:val="004B58D8"/>
    <w:rsid w:val="004B59E1"/>
    <w:rsid w:val="004B5E7C"/>
    <w:rsid w:val="004B5F86"/>
    <w:rsid w:val="004B64E2"/>
    <w:rsid w:val="004B65C8"/>
    <w:rsid w:val="004B6CE1"/>
    <w:rsid w:val="004B6EA5"/>
    <w:rsid w:val="004B7366"/>
    <w:rsid w:val="004C0093"/>
    <w:rsid w:val="004C1B48"/>
    <w:rsid w:val="004C204E"/>
    <w:rsid w:val="004C2202"/>
    <w:rsid w:val="004C226F"/>
    <w:rsid w:val="004C28CE"/>
    <w:rsid w:val="004C2B98"/>
    <w:rsid w:val="004C3C79"/>
    <w:rsid w:val="004C4550"/>
    <w:rsid w:val="004C460B"/>
    <w:rsid w:val="004C49E8"/>
    <w:rsid w:val="004C4AB6"/>
    <w:rsid w:val="004C4D8F"/>
    <w:rsid w:val="004C4F22"/>
    <w:rsid w:val="004C534E"/>
    <w:rsid w:val="004C6764"/>
    <w:rsid w:val="004C6E63"/>
    <w:rsid w:val="004C6EBA"/>
    <w:rsid w:val="004D0C33"/>
    <w:rsid w:val="004D0FF7"/>
    <w:rsid w:val="004D2090"/>
    <w:rsid w:val="004D4012"/>
    <w:rsid w:val="004D4144"/>
    <w:rsid w:val="004D4AA4"/>
    <w:rsid w:val="004D4B40"/>
    <w:rsid w:val="004D5000"/>
    <w:rsid w:val="004D52EA"/>
    <w:rsid w:val="004D5C34"/>
    <w:rsid w:val="004D6102"/>
    <w:rsid w:val="004D6A58"/>
    <w:rsid w:val="004D6AD8"/>
    <w:rsid w:val="004D7295"/>
    <w:rsid w:val="004D77BE"/>
    <w:rsid w:val="004E0C4F"/>
    <w:rsid w:val="004E0EEF"/>
    <w:rsid w:val="004E1649"/>
    <w:rsid w:val="004E19FC"/>
    <w:rsid w:val="004E1AD4"/>
    <w:rsid w:val="004E1BBC"/>
    <w:rsid w:val="004E1F47"/>
    <w:rsid w:val="004E2412"/>
    <w:rsid w:val="004E26AC"/>
    <w:rsid w:val="004E30AE"/>
    <w:rsid w:val="004E4AE0"/>
    <w:rsid w:val="004E515A"/>
    <w:rsid w:val="004E5768"/>
    <w:rsid w:val="004E6923"/>
    <w:rsid w:val="004F0839"/>
    <w:rsid w:val="004F0D41"/>
    <w:rsid w:val="004F1455"/>
    <w:rsid w:val="004F15BE"/>
    <w:rsid w:val="004F18C6"/>
    <w:rsid w:val="004F20FB"/>
    <w:rsid w:val="004F2FB6"/>
    <w:rsid w:val="004F37F0"/>
    <w:rsid w:val="004F67D2"/>
    <w:rsid w:val="004F7087"/>
    <w:rsid w:val="00500246"/>
    <w:rsid w:val="0050034E"/>
    <w:rsid w:val="00500675"/>
    <w:rsid w:val="005009FD"/>
    <w:rsid w:val="00500E2D"/>
    <w:rsid w:val="00501C5C"/>
    <w:rsid w:val="00502070"/>
    <w:rsid w:val="00502AF4"/>
    <w:rsid w:val="00502B66"/>
    <w:rsid w:val="00503117"/>
    <w:rsid w:val="00503F74"/>
    <w:rsid w:val="00504553"/>
    <w:rsid w:val="0050474C"/>
    <w:rsid w:val="00504D2A"/>
    <w:rsid w:val="005052D7"/>
    <w:rsid w:val="00505DA0"/>
    <w:rsid w:val="00505E79"/>
    <w:rsid w:val="00505EC7"/>
    <w:rsid w:val="005061A3"/>
    <w:rsid w:val="005068CC"/>
    <w:rsid w:val="00506914"/>
    <w:rsid w:val="00507171"/>
    <w:rsid w:val="0050728B"/>
    <w:rsid w:val="00507690"/>
    <w:rsid w:val="005076BA"/>
    <w:rsid w:val="00507DDD"/>
    <w:rsid w:val="005103AE"/>
    <w:rsid w:val="005107CE"/>
    <w:rsid w:val="00510BE9"/>
    <w:rsid w:val="00511150"/>
    <w:rsid w:val="00512330"/>
    <w:rsid w:val="00512CE8"/>
    <w:rsid w:val="00512D1F"/>
    <w:rsid w:val="00512EE5"/>
    <w:rsid w:val="005133BB"/>
    <w:rsid w:val="0051351D"/>
    <w:rsid w:val="005138BC"/>
    <w:rsid w:val="00513A27"/>
    <w:rsid w:val="00513C8F"/>
    <w:rsid w:val="00514A47"/>
    <w:rsid w:val="00515081"/>
    <w:rsid w:val="0051542B"/>
    <w:rsid w:val="005156B1"/>
    <w:rsid w:val="00515745"/>
    <w:rsid w:val="0051706D"/>
    <w:rsid w:val="005170B9"/>
    <w:rsid w:val="00517431"/>
    <w:rsid w:val="00517A49"/>
    <w:rsid w:val="00517B1A"/>
    <w:rsid w:val="00517DB9"/>
    <w:rsid w:val="00520598"/>
    <w:rsid w:val="0052089A"/>
    <w:rsid w:val="00520E00"/>
    <w:rsid w:val="00521009"/>
    <w:rsid w:val="00521017"/>
    <w:rsid w:val="00521338"/>
    <w:rsid w:val="00521770"/>
    <w:rsid w:val="00521A04"/>
    <w:rsid w:val="00522316"/>
    <w:rsid w:val="00522669"/>
    <w:rsid w:val="005230AF"/>
    <w:rsid w:val="005237EB"/>
    <w:rsid w:val="00524677"/>
    <w:rsid w:val="00524F7B"/>
    <w:rsid w:val="00525421"/>
    <w:rsid w:val="00525736"/>
    <w:rsid w:val="00525ACA"/>
    <w:rsid w:val="005274FB"/>
    <w:rsid w:val="005277FD"/>
    <w:rsid w:val="005304C9"/>
    <w:rsid w:val="00531721"/>
    <w:rsid w:val="00532617"/>
    <w:rsid w:val="005326D3"/>
    <w:rsid w:val="00532A76"/>
    <w:rsid w:val="00532D7C"/>
    <w:rsid w:val="00533AE2"/>
    <w:rsid w:val="00533FE8"/>
    <w:rsid w:val="00534212"/>
    <w:rsid w:val="0053440A"/>
    <w:rsid w:val="00535CCD"/>
    <w:rsid w:val="00535E0F"/>
    <w:rsid w:val="00536B88"/>
    <w:rsid w:val="00537248"/>
    <w:rsid w:val="005373A9"/>
    <w:rsid w:val="00537419"/>
    <w:rsid w:val="00537738"/>
    <w:rsid w:val="00537D73"/>
    <w:rsid w:val="0054019B"/>
    <w:rsid w:val="00540CC9"/>
    <w:rsid w:val="005415FC"/>
    <w:rsid w:val="00541DC9"/>
    <w:rsid w:val="00541E59"/>
    <w:rsid w:val="00542BFD"/>
    <w:rsid w:val="005434E3"/>
    <w:rsid w:val="00543535"/>
    <w:rsid w:val="005436CD"/>
    <w:rsid w:val="00543A72"/>
    <w:rsid w:val="00544E7C"/>
    <w:rsid w:val="005453B8"/>
    <w:rsid w:val="00546FD3"/>
    <w:rsid w:val="005470D9"/>
    <w:rsid w:val="0055034F"/>
    <w:rsid w:val="00550406"/>
    <w:rsid w:val="0055054A"/>
    <w:rsid w:val="005506BB"/>
    <w:rsid w:val="00550F85"/>
    <w:rsid w:val="00551650"/>
    <w:rsid w:val="00551660"/>
    <w:rsid w:val="00551EBD"/>
    <w:rsid w:val="00552635"/>
    <w:rsid w:val="00552764"/>
    <w:rsid w:val="0055319D"/>
    <w:rsid w:val="00553927"/>
    <w:rsid w:val="00553DC5"/>
    <w:rsid w:val="00554409"/>
    <w:rsid w:val="0055451C"/>
    <w:rsid w:val="0055453F"/>
    <w:rsid w:val="005549B9"/>
    <w:rsid w:val="00555D9E"/>
    <w:rsid w:val="00556620"/>
    <w:rsid w:val="00556F49"/>
    <w:rsid w:val="00557370"/>
    <w:rsid w:val="005575C9"/>
    <w:rsid w:val="005605AD"/>
    <w:rsid w:val="00560AAA"/>
    <w:rsid w:val="00561B57"/>
    <w:rsid w:val="00561BE8"/>
    <w:rsid w:val="00561F0C"/>
    <w:rsid w:val="00562E0C"/>
    <w:rsid w:val="005642D5"/>
    <w:rsid w:val="00564518"/>
    <w:rsid w:val="00564DB2"/>
    <w:rsid w:val="00564F14"/>
    <w:rsid w:val="00564FEE"/>
    <w:rsid w:val="00565340"/>
    <w:rsid w:val="0056564E"/>
    <w:rsid w:val="00565B2D"/>
    <w:rsid w:val="00565E2D"/>
    <w:rsid w:val="00565FFA"/>
    <w:rsid w:val="005667A9"/>
    <w:rsid w:val="00566A3D"/>
    <w:rsid w:val="00566CDF"/>
    <w:rsid w:val="00566DA6"/>
    <w:rsid w:val="0056750E"/>
    <w:rsid w:val="00567941"/>
    <w:rsid w:val="00567CFE"/>
    <w:rsid w:val="0057066F"/>
    <w:rsid w:val="0057078F"/>
    <w:rsid w:val="00570913"/>
    <w:rsid w:val="00570A99"/>
    <w:rsid w:val="0057279F"/>
    <w:rsid w:val="00572863"/>
    <w:rsid w:val="005728A5"/>
    <w:rsid w:val="005728D1"/>
    <w:rsid w:val="00572E1A"/>
    <w:rsid w:val="00573FB5"/>
    <w:rsid w:val="005741D4"/>
    <w:rsid w:val="00575251"/>
    <w:rsid w:val="00575544"/>
    <w:rsid w:val="005760DD"/>
    <w:rsid w:val="0057629D"/>
    <w:rsid w:val="005769CE"/>
    <w:rsid w:val="00577993"/>
    <w:rsid w:val="00577A84"/>
    <w:rsid w:val="00577F9D"/>
    <w:rsid w:val="00580103"/>
    <w:rsid w:val="0058018E"/>
    <w:rsid w:val="0058067D"/>
    <w:rsid w:val="0058122A"/>
    <w:rsid w:val="00582296"/>
    <w:rsid w:val="00582583"/>
    <w:rsid w:val="00582AEA"/>
    <w:rsid w:val="00583039"/>
    <w:rsid w:val="0058318D"/>
    <w:rsid w:val="00583B87"/>
    <w:rsid w:val="00583BDE"/>
    <w:rsid w:val="00583EC1"/>
    <w:rsid w:val="005842A3"/>
    <w:rsid w:val="00584D08"/>
    <w:rsid w:val="00584E4F"/>
    <w:rsid w:val="0058540B"/>
    <w:rsid w:val="00586D77"/>
    <w:rsid w:val="00587309"/>
    <w:rsid w:val="00587737"/>
    <w:rsid w:val="00587DAC"/>
    <w:rsid w:val="00587E22"/>
    <w:rsid w:val="005903EE"/>
    <w:rsid w:val="005909DD"/>
    <w:rsid w:val="00590C44"/>
    <w:rsid w:val="005937C0"/>
    <w:rsid w:val="0059386F"/>
    <w:rsid w:val="005946E9"/>
    <w:rsid w:val="005949D3"/>
    <w:rsid w:val="005952F8"/>
    <w:rsid w:val="00595E72"/>
    <w:rsid w:val="00596064"/>
    <w:rsid w:val="005962D7"/>
    <w:rsid w:val="00596F49"/>
    <w:rsid w:val="00597AEF"/>
    <w:rsid w:val="005A0039"/>
    <w:rsid w:val="005A0118"/>
    <w:rsid w:val="005A0177"/>
    <w:rsid w:val="005A0B25"/>
    <w:rsid w:val="005A0F86"/>
    <w:rsid w:val="005A0FDB"/>
    <w:rsid w:val="005A19B1"/>
    <w:rsid w:val="005A1B5E"/>
    <w:rsid w:val="005A1F56"/>
    <w:rsid w:val="005A206E"/>
    <w:rsid w:val="005A209C"/>
    <w:rsid w:val="005A282F"/>
    <w:rsid w:val="005A2867"/>
    <w:rsid w:val="005A2C22"/>
    <w:rsid w:val="005A3012"/>
    <w:rsid w:val="005A3209"/>
    <w:rsid w:val="005A33B6"/>
    <w:rsid w:val="005A354B"/>
    <w:rsid w:val="005A3A89"/>
    <w:rsid w:val="005A3F82"/>
    <w:rsid w:val="005A44CE"/>
    <w:rsid w:val="005A4548"/>
    <w:rsid w:val="005A56EB"/>
    <w:rsid w:val="005A5F65"/>
    <w:rsid w:val="005A7A4C"/>
    <w:rsid w:val="005B00C0"/>
    <w:rsid w:val="005B0F62"/>
    <w:rsid w:val="005B10B6"/>
    <w:rsid w:val="005B1A5C"/>
    <w:rsid w:val="005B2153"/>
    <w:rsid w:val="005B22F5"/>
    <w:rsid w:val="005B3168"/>
    <w:rsid w:val="005B317B"/>
    <w:rsid w:val="005B3296"/>
    <w:rsid w:val="005B3B6F"/>
    <w:rsid w:val="005B3C74"/>
    <w:rsid w:val="005B4CD6"/>
    <w:rsid w:val="005B4E4B"/>
    <w:rsid w:val="005B54E4"/>
    <w:rsid w:val="005B55B4"/>
    <w:rsid w:val="005B5636"/>
    <w:rsid w:val="005B565A"/>
    <w:rsid w:val="005B5A74"/>
    <w:rsid w:val="005B6445"/>
    <w:rsid w:val="005B7691"/>
    <w:rsid w:val="005C039C"/>
    <w:rsid w:val="005C1424"/>
    <w:rsid w:val="005C2080"/>
    <w:rsid w:val="005C2239"/>
    <w:rsid w:val="005C2343"/>
    <w:rsid w:val="005C2862"/>
    <w:rsid w:val="005C291A"/>
    <w:rsid w:val="005C32A6"/>
    <w:rsid w:val="005C3E2B"/>
    <w:rsid w:val="005C4431"/>
    <w:rsid w:val="005C4A83"/>
    <w:rsid w:val="005C57DF"/>
    <w:rsid w:val="005C5C95"/>
    <w:rsid w:val="005C5FA1"/>
    <w:rsid w:val="005C5FD7"/>
    <w:rsid w:val="005C5FFF"/>
    <w:rsid w:val="005C6592"/>
    <w:rsid w:val="005C680B"/>
    <w:rsid w:val="005C694D"/>
    <w:rsid w:val="005C6CF4"/>
    <w:rsid w:val="005C6F0C"/>
    <w:rsid w:val="005D0DCF"/>
    <w:rsid w:val="005D18E3"/>
    <w:rsid w:val="005D1E88"/>
    <w:rsid w:val="005D2701"/>
    <w:rsid w:val="005D2CC2"/>
    <w:rsid w:val="005D3D55"/>
    <w:rsid w:val="005D3F40"/>
    <w:rsid w:val="005D49BD"/>
    <w:rsid w:val="005D49E9"/>
    <w:rsid w:val="005D4CDC"/>
    <w:rsid w:val="005D5039"/>
    <w:rsid w:val="005D5228"/>
    <w:rsid w:val="005D551F"/>
    <w:rsid w:val="005D5CA9"/>
    <w:rsid w:val="005D5F12"/>
    <w:rsid w:val="005D5F70"/>
    <w:rsid w:val="005D64F7"/>
    <w:rsid w:val="005D6F27"/>
    <w:rsid w:val="005D71FD"/>
    <w:rsid w:val="005D72D3"/>
    <w:rsid w:val="005D73FD"/>
    <w:rsid w:val="005D77F4"/>
    <w:rsid w:val="005D7F3A"/>
    <w:rsid w:val="005E0329"/>
    <w:rsid w:val="005E07B8"/>
    <w:rsid w:val="005E0CA1"/>
    <w:rsid w:val="005E0E02"/>
    <w:rsid w:val="005E109C"/>
    <w:rsid w:val="005E1A81"/>
    <w:rsid w:val="005E2358"/>
    <w:rsid w:val="005E2377"/>
    <w:rsid w:val="005E254F"/>
    <w:rsid w:val="005E2605"/>
    <w:rsid w:val="005E3308"/>
    <w:rsid w:val="005E3633"/>
    <w:rsid w:val="005E40AD"/>
    <w:rsid w:val="005E427D"/>
    <w:rsid w:val="005E500C"/>
    <w:rsid w:val="005E52A4"/>
    <w:rsid w:val="005E52E6"/>
    <w:rsid w:val="005E5BFD"/>
    <w:rsid w:val="005E6703"/>
    <w:rsid w:val="005E74B6"/>
    <w:rsid w:val="005F0482"/>
    <w:rsid w:val="005F1066"/>
    <w:rsid w:val="005F11C3"/>
    <w:rsid w:val="005F26EF"/>
    <w:rsid w:val="005F3251"/>
    <w:rsid w:val="005F34EA"/>
    <w:rsid w:val="005F36EE"/>
    <w:rsid w:val="005F3B17"/>
    <w:rsid w:val="005F4BD3"/>
    <w:rsid w:val="005F4C86"/>
    <w:rsid w:val="005F5305"/>
    <w:rsid w:val="005F5465"/>
    <w:rsid w:val="005F54CE"/>
    <w:rsid w:val="005F6333"/>
    <w:rsid w:val="005F6573"/>
    <w:rsid w:val="005F71B8"/>
    <w:rsid w:val="005F73BA"/>
    <w:rsid w:val="005F76CC"/>
    <w:rsid w:val="005F79E6"/>
    <w:rsid w:val="005F7BC7"/>
    <w:rsid w:val="005F7C41"/>
    <w:rsid w:val="006006A5"/>
    <w:rsid w:val="00602998"/>
    <w:rsid w:val="006031EF"/>
    <w:rsid w:val="006037A6"/>
    <w:rsid w:val="00603C84"/>
    <w:rsid w:val="0060426B"/>
    <w:rsid w:val="00604A07"/>
    <w:rsid w:val="00606013"/>
    <w:rsid w:val="00607BBF"/>
    <w:rsid w:val="006105B4"/>
    <w:rsid w:val="0061118B"/>
    <w:rsid w:val="0061141A"/>
    <w:rsid w:val="00612B90"/>
    <w:rsid w:val="00614272"/>
    <w:rsid w:val="0061428A"/>
    <w:rsid w:val="00614398"/>
    <w:rsid w:val="00614BEC"/>
    <w:rsid w:val="00614ED2"/>
    <w:rsid w:val="00615F19"/>
    <w:rsid w:val="00616037"/>
    <w:rsid w:val="006173FF"/>
    <w:rsid w:val="00617A10"/>
    <w:rsid w:val="006212D8"/>
    <w:rsid w:val="00621709"/>
    <w:rsid w:val="00621920"/>
    <w:rsid w:val="00621F15"/>
    <w:rsid w:val="00622080"/>
    <w:rsid w:val="00622354"/>
    <w:rsid w:val="00622DAC"/>
    <w:rsid w:val="00622E37"/>
    <w:rsid w:val="00622E6B"/>
    <w:rsid w:val="00623195"/>
    <w:rsid w:val="006236F9"/>
    <w:rsid w:val="00623DB8"/>
    <w:rsid w:val="006240F3"/>
    <w:rsid w:val="006246B5"/>
    <w:rsid w:val="0062494E"/>
    <w:rsid w:val="00624E3E"/>
    <w:rsid w:val="00624F6E"/>
    <w:rsid w:val="006262E1"/>
    <w:rsid w:val="00626C62"/>
    <w:rsid w:val="00627404"/>
    <w:rsid w:val="00627A9A"/>
    <w:rsid w:val="00627D19"/>
    <w:rsid w:val="00630145"/>
    <w:rsid w:val="006304D0"/>
    <w:rsid w:val="006305AE"/>
    <w:rsid w:val="00630787"/>
    <w:rsid w:val="00630F2F"/>
    <w:rsid w:val="0063107B"/>
    <w:rsid w:val="006314DB"/>
    <w:rsid w:val="006315BB"/>
    <w:rsid w:val="00631EE7"/>
    <w:rsid w:val="00632540"/>
    <w:rsid w:val="006329CF"/>
    <w:rsid w:val="00632BEE"/>
    <w:rsid w:val="00633844"/>
    <w:rsid w:val="006339DB"/>
    <w:rsid w:val="00633F31"/>
    <w:rsid w:val="0063589F"/>
    <w:rsid w:val="00637608"/>
    <w:rsid w:val="00637609"/>
    <w:rsid w:val="00637962"/>
    <w:rsid w:val="00637D85"/>
    <w:rsid w:val="006417D7"/>
    <w:rsid w:val="006419E5"/>
    <w:rsid w:val="00642413"/>
    <w:rsid w:val="00642647"/>
    <w:rsid w:val="00643799"/>
    <w:rsid w:val="00643B41"/>
    <w:rsid w:val="00643D3E"/>
    <w:rsid w:val="00643E3D"/>
    <w:rsid w:val="006445DD"/>
    <w:rsid w:val="00644D5F"/>
    <w:rsid w:val="00645407"/>
    <w:rsid w:val="0064552E"/>
    <w:rsid w:val="00645B3F"/>
    <w:rsid w:val="0064705C"/>
    <w:rsid w:val="006471C9"/>
    <w:rsid w:val="006476BD"/>
    <w:rsid w:val="00647849"/>
    <w:rsid w:val="00647C81"/>
    <w:rsid w:val="00647E81"/>
    <w:rsid w:val="00650039"/>
    <w:rsid w:val="00651634"/>
    <w:rsid w:val="0065177E"/>
    <w:rsid w:val="00651BEB"/>
    <w:rsid w:val="00651BED"/>
    <w:rsid w:val="00651E6A"/>
    <w:rsid w:val="006523B3"/>
    <w:rsid w:val="006532B8"/>
    <w:rsid w:val="0065377D"/>
    <w:rsid w:val="00653991"/>
    <w:rsid w:val="00653AD7"/>
    <w:rsid w:val="00653E45"/>
    <w:rsid w:val="00654131"/>
    <w:rsid w:val="006554A6"/>
    <w:rsid w:val="00655550"/>
    <w:rsid w:val="0065589F"/>
    <w:rsid w:val="00656416"/>
    <w:rsid w:val="00657695"/>
    <w:rsid w:val="00657BF1"/>
    <w:rsid w:val="00657ED6"/>
    <w:rsid w:val="006600C8"/>
    <w:rsid w:val="00660D3E"/>
    <w:rsid w:val="00660DF4"/>
    <w:rsid w:val="00660F2C"/>
    <w:rsid w:val="006611E4"/>
    <w:rsid w:val="0066179A"/>
    <w:rsid w:val="00661AD3"/>
    <w:rsid w:val="00661C36"/>
    <w:rsid w:val="00662096"/>
    <w:rsid w:val="006622E5"/>
    <w:rsid w:val="006622F8"/>
    <w:rsid w:val="006630E8"/>
    <w:rsid w:val="00663D2C"/>
    <w:rsid w:val="00663DA2"/>
    <w:rsid w:val="0066402B"/>
    <w:rsid w:val="0066406B"/>
    <w:rsid w:val="00666782"/>
    <w:rsid w:val="00666E24"/>
    <w:rsid w:val="00666EEA"/>
    <w:rsid w:val="0066740E"/>
    <w:rsid w:val="006709B5"/>
    <w:rsid w:val="00670C74"/>
    <w:rsid w:val="006720BE"/>
    <w:rsid w:val="0067225E"/>
    <w:rsid w:val="006724E6"/>
    <w:rsid w:val="0067287C"/>
    <w:rsid w:val="006728D6"/>
    <w:rsid w:val="00672D99"/>
    <w:rsid w:val="00673101"/>
    <w:rsid w:val="006734D9"/>
    <w:rsid w:val="00674412"/>
    <w:rsid w:val="00674630"/>
    <w:rsid w:val="00674EED"/>
    <w:rsid w:val="00674FA4"/>
    <w:rsid w:val="006752C2"/>
    <w:rsid w:val="006761AA"/>
    <w:rsid w:val="00676F48"/>
    <w:rsid w:val="006806A8"/>
    <w:rsid w:val="00680D26"/>
    <w:rsid w:val="00680FB6"/>
    <w:rsid w:val="0068175F"/>
    <w:rsid w:val="006817F4"/>
    <w:rsid w:val="00682E81"/>
    <w:rsid w:val="00682F34"/>
    <w:rsid w:val="00683A5D"/>
    <w:rsid w:val="00683D5A"/>
    <w:rsid w:val="00684117"/>
    <w:rsid w:val="006842DE"/>
    <w:rsid w:val="00684AAF"/>
    <w:rsid w:val="00684B2D"/>
    <w:rsid w:val="00684C57"/>
    <w:rsid w:val="00684E3A"/>
    <w:rsid w:val="00685895"/>
    <w:rsid w:val="0068619D"/>
    <w:rsid w:val="0068633E"/>
    <w:rsid w:val="006866E1"/>
    <w:rsid w:val="0068687A"/>
    <w:rsid w:val="00686EBE"/>
    <w:rsid w:val="006873DC"/>
    <w:rsid w:val="006900E4"/>
    <w:rsid w:val="00690139"/>
    <w:rsid w:val="0069082E"/>
    <w:rsid w:val="006913D8"/>
    <w:rsid w:val="00691508"/>
    <w:rsid w:val="00691CFA"/>
    <w:rsid w:val="00692C5D"/>
    <w:rsid w:val="00692E29"/>
    <w:rsid w:val="00693257"/>
    <w:rsid w:val="0069362B"/>
    <w:rsid w:val="00693CA4"/>
    <w:rsid w:val="0069433C"/>
    <w:rsid w:val="006957AC"/>
    <w:rsid w:val="00696A42"/>
    <w:rsid w:val="00697225"/>
    <w:rsid w:val="00697629"/>
    <w:rsid w:val="00697AD9"/>
    <w:rsid w:val="00697EB8"/>
    <w:rsid w:val="006A0291"/>
    <w:rsid w:val="006A0BE7"/>
    <w:rsid w:val="006A1264"/>
    <w:rsid w:val="006A12D3"/>
    <w:rsid w:val="006A2507"/>
    <w:rsid w:val="006A3831"/>
    <w:rsid w:val="006A3992"/>
    <w:rsid w:val="006A4402"/>
    <w:rsid w:val="006A44D5"/>
    <w:rsid w:val="006A4879"/>
    <w:rsid w:val="006A5084"/>
    <w:rsid w:val="006A5663"/>
    <w:rsid w:val="006A62B0"/>
    <w:rsid w:val="006A6489"/>
    <w:rsid w:val="006A67A4"/>
    <w:rsid w:val="006A6EE1"/>
    <w:rsid w:val="006A70FE"/>
    <w:rsid w:val="006A7763"/>
    <w:rsid w:val="006A7E77"/>
    <w:rsid w:val="006B040D"/>
    <w:rsid w:val="006B0CAE"/>
    <w:rsid w:val="006B0F6D"/>
    <w:rsid w:val="006B12B2"/>
    <w:rsid w:val="006B1718"/>
    <w:rsid w:val="006B1DCF"/>
    <w:rsid w:val="006B1EE7"/>
    <w:rsid w:val="006B21D6"/>
    <w:rsid w:val="006B293D"/>
    <w:rsid w:val="006B30B9"/>
    <w:rsid w:val="006B3CEE"/>
    <w:rsid w:val="006B4C99"/>
    <w:rsid w:val="006B5209"/>
    <w:rsid w:val="006B5368"/>
    <w:rsid w:val="006B590D"/>
    <w:rsid w:val="006B5C2D"/>
    <w:rsid w:val="006B5DCC"/>
    <w:rsid w:val="006B63BF"/>
    <w:rsid w:val="006B6F05"/>
    <w:rsid w:val="006B723A"/>
    <w:rsid w:val="006B78E3"/>
    <w:rsid w:val="006C09B9"/>
    <w:rsid w:val="006C0C4F"/>
    <w:rsid w:val="006C0D76"/>
    <w:rsid w:val="006C0FEE"/>
    <w:rsid w:val="006C13BA"/>
    <w:rsid w:val="006C1A9B"/>
    <w:rsid w:val="006C1AFF"/>
    <w:rsid w:val="006C2549"/>
    <w:rsid w:val="006C26D2"/>
    <w:rsid w:val="006C2C7D"/>
    <w:rsid w:val="006C2DCC"/>
    <w:rsid w:val="006C41E6"/>
    <w:rsid w:val="006C5042"/>
    <w:rsid w:val="006C64A1"/>
    <w:rsid w:val="006D0267"/>
    <w:rsid w:val="006D05A6"/>
    <w:rsid w:val="006D05BD"/>
    <w:rsid w:val="006D0BB9"/>
    <w:rsid w:val="006D0D3F"/>
    <w:rsid w:val="006D0E33"/>
    <w:rsid w:val="006D253B"/>
    <w:rsid w:val="006D28F1"/>
    <w:rsid w:val="006D29BB"/>
    <w:rsid w:val="006D29F5"/>
    <w:rsid w:val="006D2BA8"/>
    <w:rsid w:val="006D2CA2"/>
    <w:rsid w:val="006D2F70"/>
    <w:rsid w:val="006D3402"/>
    <w:rsid w:val="006D45E0"/>
    <w:rsid w:val="006D497C"/>
    <w:rsid w:val="006D4E67"/>
    <w:rsid w:val="006D51C7"/>
    <w:rsid w:val="006D7715"/>
    <w:rsid w:val="006E02DD"/>
    <w:rsid w:val="006E1986"/>
    <w:rsid w:val="006E259F"/>
    <w:rsid w:val="006E2AC6"/>
    <w:rsid w:val="006E32DA"/>
    <w:rsid w:val="006E5648"/>
    <w:rsid w:val="006E6758"/>
    <w:rsid w:val="006E697F"/>
    <w:rsid w:val="006E71FA"/>
    <w:rsid w:val="006E7820"/>
    <w:rsid w:val="006E7F3E"/>
    <w:rsid w:val="006F00AC"/>
    <w:rsid w:val="006F0504"/>
    <w:rsid w:val="006F1A7E"/>
    <w:rsid w:val="006F1AEA"/>
    <w:rsid w:val="006F266D"/>
    <w:rsid w:val="006F3128"/>
    <w:rsid w:val="006F3554"/>
    <w:rsid w:val="006F40D4"/>
    <w:rsid w:val="006F45CC"/>
    <w:rsid w:val="006F492D"/>
    <w:rsid w:val="006F5268"/>
    <w:rsid w:val="006F63C9"/>
    <w:rsid w:val="006F6442"/>
    <w:rsid w:val="006F69FA"/>
    <w:rsid w:val="006F6C96"/>
    <w:rsid w:val="006F6E46"/>
    <w:rsid w:val="006F7F9D"/>
    <w:rsid w:val="00700363"/>
    <w:rsid w:val="007008FC"/>
    <w:rsid w:val="00700A64"/>
    <w:rsid w:val="00700FE4"/>
    <w:rsid w:val="007012E8"/>
    <w:rsid w:val="00702096"/>
    <w:rsid w:val="007020E7"/>
    <w:rsid w:val="00702DDA"/>
    <w:rsid w:val="007032AB"/>
    <w:rsid w:val="00703FA4"/>
    <w:rsid w:val="00705B1B"/>
    <w:rsid w:val="00705BB7"/>
    <w:rsid w:val="00705BE1"/>
    <w:rsid w:val="007066C4"/>
    <w:rsid w:val="007078AE"/>
    <w:rsid w:val="00707970"/>
    <w:rsid w:val="00707FE7"/>
    <w:rsid w:val="00710C50"/>
    <w:rsid w:val="00710E70"/>
    <w:rsid w:val="00711117"/>
    <w:rsid w:val="007119DC"/>
    <w:rsid w:val="00711CEA"/>
    <w:rsid w:val="00712137"/>
    <w:rsid w:val="0071293A"/>
    <w:rsid w:val="0071333C"/>
    <w:rsid w:val="00713B1D"/>
    <w:rsid w:val="007140A9"/>
    <w:rsid w:val="00715BD2"/>
    <w:rsid w:val="007164DA"/>
    <w:rsid w:val="00716EED"/>
    <w:rsid w:val="007170AF"/>
    <w:rsid w:val="00717823"/>
    <w:rsid w:val="007204A8"/>
    <w:rsid w:val="00720700"/>
    <w:rsid w:val="00720B14"/>
    <w:rsid w:val="00721649"/>
    <w:rsid w:val="00721A19"/>
    <w:rsid w:val="00721D98"/>
    <w:rsid w:val="00721E69"/>
    <w:rsid w:val="00721EC7"/>
    <w:rsid w:val="00721F1F"/>
    <w:rsid w:val="00722CAF"/>
    <w:rsid w:val="00722E10"/>
    <w:rsid w:val="00722E81"/>
    <w:rsid w:val="00723A1F"/>
    <w:rsid w:val="00723B21"/>
    <w:rsid w:val="00724025"/>
    <w:rsid w:val="00724708"/>
    <w:rsid w:val="007251EA"/>
    <w:rsid w:val="0072557B"/>
    <w:rsid w:val="00725A44"/>
    <w:rsid w:val="0072663E"/>
    <w:rsid w:val="00726736"/>
    <w:rsid w:val="0072773B"/>
    <w:rsid w:val="00727769"/>
    <w:rsid w:val="007300CB"/>
    <w:rsid w:val="00730751"/>
    <w:rsid w:val="0073081D"/>
    <w:rsid w:val="00730A11"/>
    <w:rsid w:val="007310B4"/>
    <w:rsid w:val="00731ACF"/>
    <w:rsid w:val="00733940"/>
    <w:rsid w:val="00733ED8"/>
    <w:rsid w:val="00733FB5"/>
    <w:rsid w:val="00734580"/>
    <w:rsid w:val="00734694"/>
    <w:rsid w:val="00734CAC"/>
    <w:rsid w:val="00734D9D"/>
    <w:rsid w:val="00735005"/>
    <w:rsid w:val="00735AE5"/>
    <w:rsid w:val="007369DC"/>
    <w:rsid w:val="00736DCA"/>
    <w:rsid w:val="0073710B"/>
    <w:rsid w:val="007372E2"/>
    <w:rsid w:val="00740534"/>
    <w:rsid w:val="00740553"/>
    <w:rsid w:val="00740780"/>
    <w:rsid w:val="00740B8D"/>
    <w:rsid w:val="00740E50"/>
    <w:rsid w:val="007411E0"/>
    <w:rsid w:val="007411E7"/>
    <w:rsid w:val="00741647"/>
    <w:rsid w:val="00741AB4"/>
    <w:rsid w:val="0074200E"/>
    <w:rsid w:val="0074388C"/>
    <w:rsid w:val="00743ABA"/>
    <w:rsid w:val="00743D45"/>
    <w:rsid w:val="0074412F"/>
    <w:rsid w:val="00744813"/>
    <w:rsid w:val="007452E7"/>
    <w:rsid w:val="007456A3"/>
    <w:rsid w:val="00745767"/>
    <w:rsid w:val="007464A3"/>
    <w:rsid w:val="00746721"/>
    <w:rsid w:val="00746C94"/>
    <w:rsid w:val="00746CAA"/>
    <w:rsid w:val="00746E4F"/>
    <w:rsid w:val="007478AC"/>
    <w:rsid w:val="00747ADE"/>
    <w:rsid w:val="00747C3D"/>
    <w:rsid w:val="00750664"/>
    <w:rsid w:val="00750D7D"/>
    <w:rsid w:val="00750F95"/>
    <w:rsid w:val="007518B4"/>
    <w:rsid w:val="0075215F"/>
    <w:rsid w:val="007525F7"/>
    <w:rsid w:val="00752BA4"/>
    <w:rsid w:val="007530EB"/>
    <w:rsid w:val="00753BAC"/>
    <w:rsid w:val="00754998"/>
    <w:rsid w:val="007553C1"/>
    <w:rsid w:val="0075577B"/>
    <w:rsid w:val="00755C10"/>
    <w:rsid w:val="00756199"/>
    <w:rsid w:val="007564F1"/>
    <w:rsid w:val="0076059C"/>
    <w:rsid w:val="00760C58"/>
    <w:rsid w:val="00760CF0"/>
    <w:rsid w:val="00760F43"/>
    <w:rsid w:val="007622D4"/>
    <w:rsid w:val="0076239B"/>
    <w:rsid w:val="00762550"/>
    <w:rsid w:val="00763852"/>
    <w:rsid w:val="0076422A"/>
    <w:rsid w:val="00764522"/>
    <w:rsid w:val="0076483F"/>
    <w:rsid w:val="007648FB"/>
    <w:rsid w:val="00764EAD"/>
    <w:rsid w:val="00764F2B"/>
    <w:rsid w:val="0076521D"/>
    <w:rsid w:val="00765A58"/>
    <w:rsid w:val="00765E79"/>
    <w:rsid w:val="00765FAF"/>
    <w:rsid w:val="00766756"/>
    <w:rsid w:val="007668D6"/>
    <w:rsid w:val="007671BA"/>
    <w:rsid w:val="0076734A"/>
    <w:rsid w:val="00767B13"/>
    <w:rsid w:val="0077051B"/>
    <w:rsid w:val="007705BF"/>
    <w:rsid w:val="007712A9"/>
    <w:rsid w:val="0077152E"/>
    <w:rsid w:val="0077157C"/>
    <w:rsid w:val="0077221C"/>
    <w:rsid w:val="00772975"/>
    <w:rsid w:val="00772BA0"/>
    <w:rsid w:val="00774DE9"/>
    <w:rsid w:val="007759CB"/>
    <w:rsid w:val="00775C9F"/>
    <w:rsid w:val="00775E7C"/>
    <w:rsid w:val="00776848"/>
    <w:rsid w:val="007768E8"/>
    <w:rsid w:val="00776E9F"/>
    <w:rsid w:val="0077703C"/>
    <w:rsid w:val="0077727F"/>
    <w:rsid w:val="00777516"/>
    <w:rsid w:val="00780896"/>
    <w:rsid w:val="00780A00"/>
    <w:rsid w:val="00780D75"/>
    <w:rsid w:val="00780F2A"/>
    <w:rsid w:val="0078196D"/>
    <w:rsid w:val="007822CE"/>
    <w:rsid w:val="00783475"/>
    <w:rsid w:val="00783751"/>
    <w:rsid w:val="00783776"/>
    <w:rsid w:val="00783D6B"/>
    <w:rsid w:val="00784039"/>
    <w:rsid w:val="00784C56"/>
    <w:rsid w:val="00784F7C"/>
    <w:rsid w:val="0078500E"/>
    <w:rsid w:val="0078505B"/>
    <w:rsid w:val="0078611D"/>
    <w:rsid w:val="007864BE"/>
    <w:rsid w:val="00786C61"/>
    <w:rsid w:val="00786E23"/>
    <w:rsid w:val="00787ACE"/>
    <w:rsid w:val="00787B45"/>
    <w:rsid w:val="00790619"/>
    <w:rsid w:val="00790F0D"/>
    <w:rsid w:val="007912CE"/>
    <w:rsid w:val="0079151E"/>
    <w:rsid w:val="00791C0B"/>
    <w:rsid w:val="00793CE0"/>
    <w:rsid w:val="00793D8A"/>
    <w:rsid w:val="00793F47"/>
    <w:rsid w:val="00795E19"/>
    <w:rsid w:val="00796045"/>
    <w:rsid w:val="007965EA"/>
    <w:rsid w:val="007A004B"/>
    <w:rsid w:val="007A049B"/>
    <w:rsid w:val="007A04DA"/>
    <w:rsid w:val="007A0A19"/>
    <w:rsid w:val="007A0BEE"/>
    <w:rsid w:val="007A0FC7"/>
    <w:rsid w:val="007A1164"/>
    <w:rsid w:val="007A11DE"/>
    <w:rsid w:val="007A1310"/>
    <w:rsid w:val="007A1510"/>
    <w:rsid w:val="007A1E6C"/>
    <w:rsid w:val="007A2787"/>
    <w:rsid w:val="007A28C4"/>
    <w:rsid w:val="007A2E56"/>
    <w:rsid w:val="007A3B01"/>
    <w:rsid w:val="007A53FB"/>
    <w:rsid w:val="007A6203"/>
    <w:rsid w:val="007A6DAC"/>
    <w:rsid w:val="007A721C"/>
    <w:rsid w:val="007A7247"/>
    <w:rsid w:val="007A7283"/>
    <w:rsid w:val="007A73CD"/>
    <w:rsid w:val="007A7EBD"/>
    <w:rsid w:val="007B1319"/>
    <w:rsid w:val="007B19DE"/>
    <w:rsid w:val="007B4183"/>
    <w:rsid w:val="007B449D"/>
    <w:rsid w:val="007B4929"/>
    <w:rsid w:val="007B5061"/>
    <w:rsid w:val="007B50DC"/>
    <w:rsid w:val="007B50E8"/>
    <w:rsid w:val="007B58CE"/>
    <w:rsid w:val="007B5B02"/>
    <w:rsid w:val="007B5E7B"/>
    <w:rsid w:val="007B60F1"/>
    <w:rsid w:val="007B6395"/>
    <w:rsid w:val="007B6CF2"/>
    <w:rsid w:val="007B6E57"/>
    <w:rsid w:val="007B7F66"/>
    <w:rsid w:val="007C02B2"/>
    <w:rsid w:val="007C0931"/>
    <w:rsid w:val="007C0D5E"/>
    <w:rsid w:val="007C132F"/>
    <w:rsid w:val="007C383B"/>
    <w:rsid w:val="007C4EF6"/>
    <w:rsid w:val="007C54A4"/>
    <w:rsid w:val="007C5918"/>
    <w:rsid w:val="007C5E34"/>
    <w:rsid w:val="007C61F3"/>
    <w:rsid w:val="007C65DA"/>
    <w:rsid w:val="007C66FE"/>
    <w:rsid w:val="007C6A51"/>
    <w:rsid w:val="007C756A"/>
    <w:rsid w:val="007C77BC"/>
    <w:rsid w:val="007D0A8B"/>
    <w:rsid w:val="007D2021"/>
    <w:rsid w:val="007D22B3"/>
    <w:rsid w:val="007D2660"/>
    <w:rsid w:val="007D2B41"/>
    <w:rsid w:val="007D365C"/>
    <w:rsid w:val="007D3822"/>
    <w:rsid w:val="007D3F68"/>
    <w:rsid w:val="007D46E6"/>
    <w:rsid w:val="007D4D43"/>
    <w:rsid w:val="007D4E7F"/>
    <w:rsid w:val="007D5800"/>
    <w:rsid w:val="007D653C"/>
    <w:rsid w:val="007D6892"/>
    <w:rsid w:val="007D7DA4"/>
    <w:rsid w:val="007D7FE7"/>
    <w:rsid w:val="007E062C"/>
    <w:rsid w:val="007E0721"/>
    <w:rsid w:val="007E0BED"/>
    <w:rsid w:val="007E1020"/>
    <w:rsid w:val="007E1BDE"/>
    <w:rsid w:val="007E23DE"/>
    <w:rsid w:val="007E261A"/>
    <w:rsid w:val="007E284D"/>
    <w:rsid w:val="007E30C7"/>
    <w:rsid w:val="007E32C8"/>
    <w:rsid w:val="007E3548"/>
    <w:rsid w:val="007E3700"/>
    <w:rsid w:val="007E44E2"/>
    <w:rsid w:val="007E47C1"/>
    <w:rsid w:val="007E48DB"/>
    <w:rsid w:val="007E4906"/>
    <w:rsid w:val="007E518E"/>
    <w:rsid w:val="007E582F"/>
    <w:rsid w:val="007E5ED3"/>
    <w:rsid w:val="007E674F"/>
    <w:rsid w:val="007E73A5"/>
    <w:rsid w:val="007E73DA"/>
    <w:rsid w:val="007F0128"/>
    <w:rsid w:val="007F0D78"/>
    <w:rsid w:val="007F0EE1"/>
    <w:rsid w:val="007F11C6"/>
    <w:rsid w:val="007F1884"/>
    <w:rsid w:val="007F2322"/>
    <w:rsid w:val="007F2C17"/>
    <w:rsid w:val="007F3245"/>
    <w:rsid w:val="007F403B"/>
    <w:rsid w:val="007F51C6"/>
    <w:rsid w:val="007F51FE"/>
    <w:rsid w:val="007F54CF"/>
    <w:rsid w:val="007F5C99"/>
    <w:rsid w:val="007F5E1A"/>
    <w:rsid w:val="007F5E79"/>
    <w:rsid w:val="007F7E24"/>
    <w:rsid w:val="0080009F"/>
    <w:rsid w:val="00800593"/>
    <w:rsid w:val="00800A4D"/>
    <w:rsid w:val="008018CE"/>
    <w:rsid w:val="00801A85"/>
    <w:rsid w:val="00801EC9"/>
    <w:rsid w:val="008022C3"/>
    <w:rsid w:val="008029C6"/>
    <w:rsid w:val="00802D17"/>
    <w:rsid w:val="00803510"/>
    <w:rsid w:val="008040C8"/>
    <w:rsid w:val="008040E7"/>
    <w:rsid w:val="00804228"/>
    <w:rsid w:val="008050FD"/>
    <w:rsid w:val="0080512A"/>
    <w:rsid w:val="008057E1"/>
    <w:rsid w:val="008060B6"/>
    <w:rsid w:val="00806BDD"/>
    <w:rsid w:val="00806FE3"/>
    <w:rsid w:val="0080730D"/>
    <w:rsid w:val="00807426"/>
    <w:rsid w:val="00807769"/>
    <w:rsid w:val="00807830"/>
    <w:rsid w:val="00810081"/>
    <w:rsid w:val="008105A7"/>
    <w:rsid w:val="00810C39"/>
    <w:rsid w:val="00810EC3"/>
    <w:rsid w:val="00810EE4"/>
    <w:rsid w:val="00810FDC"/>
    <w:rsid w:val="008110B3"/>
    <w:rsid w:val="00811475"/>
    <w:rsid w:val="00811CA3"/>
    <w:rsid w:val="00812EE8"/>
    <w:rsid w:val="00813167"/>
    <w:rsid w:val="008134A0"/>
    <w:rsid w:val="00814072"/>
    <w:rsid w:val="008140DF"/>
    <w:rsid w:val="008147F7"/>
    <w:rsid w:val="0081493B"/>
    <w:rsid w:val="0081553B"/>
    <w:rsid w:val="00815794"/>
    <w:rsid w:val="00816B09"/>
    <w:rsid w:val="00816FD4"/>
    <w:rsid w:val="0081711D"/>
    <w:rsid w:val="0082007E"/>
    <w:rsid w:val="0082039B"/>
    <w:rsid w:val="008204A3"/>
    <w:rsid w:val="00820583"/>
    <w:rsid w:val="00820CA3"/>
    <w:rsid w:val="00820CF8"/>
    <w:rsid w:val="00820F6A"/>
    <w:rsid w:val="0082284A"/>
    <w:rsid w:val="00823B4F"/>
    <w:rsid w:val="00823B7B"/>
    <w:rsid w:val="00823E90"/>
    <w:rsid w:val="0082433B"/>
    <w:rsid w:val="00824656"/>
    <w:rsid w:val="0082479D"/>
    <w:rsid w:val="00824AE9"/>
    <w:rsid w:val="00824D08"/>
    <w:rsid w:val="00825256"/>
    <w:rsid w:val="00825B9F"/>
    <w:rsid w:val="008261C8"/>
    <w:rsid w:val="008261D5"/>
    <w:rsid w:val="00826693"/>
    <w:rsid w:val="00826C56"/>
    <w:rsid w:val="00827AC0"/>
    <w:rsid w:val="00827ACE"/>
    <w:rsid w:val="008300FF"/>
    <w:rsid w:val="008301F5"/>
    <w:rsid w:val="00830C85"/>
    <w:rsid w:val="00832BD8"/>
    <w:rsid w:val="00833299"/>
    <w:rsid w:val="00833B8F"/>
    <w:rsid w:val="00833D6F"/>
    <w:rsid w:val="0083448F"/>
    <w:rsid w:val="00834810"/>
    <w:rsid w:val="00834C0D"/>
    <w:rsid w:val="0083523B"/>
    <w:rsid w:val="008355BE"/>
    <w:rsid w:val="008360D8"/>
    <w:rsid w:val="00836ECA"/>
    <w:rsid w:val="008371FA"/>
    <w:rsid w:val="00837F2B"/>
    <w:rsid w:val="00840662"/>
    <w:rsid w:val="00840742"/>
    <w:rsid w:val="008409B3"/>
    <w:rsid w:val="00840F0B"/>
    <w:rsid w:val="00841630"/>
    <w:rsid w:val="008416DF"/>
    <w:rsid w:val="00841FAB"/>
    <w:rsid w:val="00842653"/>
    <w:rsid w:val="00842890"/>
    <w:rsid w:val="00842946"/>
    <w:rsid w:val="00842D18"/>
    <w:rsid w:val="00842D3A"/>
    <w:rsid w:val="00843563"/>
    <w:rsid w:val="00843EF9"/>
    <w:rsid w:val="00844CA6"/>
    <w:rsid w:val="00845035"/>
    <w:rsid w:val="00845AE6"/>
    <w:rsid w:val="00846FDA"/>
    <w:rsid w:val="008479B9"/>
    <w:rsid w:val="00850045"/>
    <w:rsid w:val="00850830"/>
    <w:rsid w:val="00850BB6"/>
    <w:rsid w:val="008517F7"/>
    <w:rsid w:val="00851C72"/>
    <w:rsid w:val="00851F6C"/>
    <w:rsid w:val="00852072"/>
    <w:rsid w:val="008524F3"/>
    <w:rsid w:val="008528CB"/>
    <w:rsid w:val="00852BF9"/>
    <w:rsid w:val="00852C29"/>
    <w:rsid w:val="00852C74"/>
    <w:rsid w:val="00852F70"/>
    <w:rsid w:val="008530BF"/>
    <w:rsid w:val="00853250"/>
    <w:rsid w:val="00853C81"/>
    <w:rsid w:val="00854607"/>
    <w:rsid w:val="00854CD5"/>
    <w:rsid w:val="00854D27"/>
    <w:rsid w:val="008554BE"/>
    <w:rsid w:val="00855848"/>
    <w:rsid w:val="00855B62"/>
    <w:rsid w:val="00855C82"/>
    <w:rsid w:val="00856078"/>
    <w:rsid w:val="0085638E"/>
    <w:rsid w:val="00856C81"/>
    <w:rsid w:val="00856FE8"/>
    <w:rsid w:val="008601F4"/>
    <w:rsid w:val="00860FC7"/>
    <w:rsid w:val="00861A80"/>
    <w:rsid w:val="0086247D"/>
    <w:rsid w:val="0086294F"/>
    <w:rsid w:val="00863A06"/>
    <w:rsid w:val="00863B45"/>
    <w:rsid w:val="0086560A"/>
    <w:rsid w:val="008659AD"/>
    <w:rsid w:val="0086725D"/>
    <w:rsid w:val="00867F53"/>
    <w:rsid w:val="00870135"/>
    <w:rsid w:val="00871747"/>
    <w:rsid w:val="008721D7"/>
    <w:rsid w:val="00872AA9"/>
    <w:rsid w:val="00872BD5"/>
    <w:rsid w:val="008740B0"/>
    <w:rsid w:val="00874541"/>
    <w:rsid w:val="00874738"/>
    <w:rsid w:val="008748CB"/>
    <w:rsid w:val="00875CBF"/>
    <w:rsid w:val="0087633E"/>
    <w:rsid w:val="0087660A"/>
    <w:rsid w:val="008766BE"/>
    <w:rsid w:val="0087759B"/>
    <w:rsid w:val="008779C1"/>
    <w:rsid w:val="00880330"/>
    <w:rsid w:val="008808E6"/>
    <w:rsid w:val="00880F97"/>
    <w:rsid w:val="008814BD"/>
    <w:rsid w:val="00881B7F"/>
    <w:rsid w:val="00882372"/>
    <w:rsid w:val="00882967"/>
    <w:rsid w:val="00882C3C"/>
    <w:rsid w:val="00882C67"/>
    <w:rsid w:val="00882FB9"/>
    <w:rsid w:val="008834E7"/>
    <w:rsid w:val="0088363B"/>
    <w:rsid w:val="00883F2C"/>
    <w:rsid w:val="00884473"/>
    <w:rsid w:val="0088551D"/>
    <w:rsid w:val="00887333"/>
    <w:rsid w:val="008873DB"/>
    <w:rsid w:val="008875DE"/>
    <w:rsid w:val="00887BF7"/>
    <w:rsid w:val="008905D5"/>
    <w:rsid w:val="008914EF"/>
    <w:rsid w:val="00892099"/>
    <w:rsid w:val="00892F93"/>
    <w:rsid w:val="00893E9E"/>
    <w:rsid w:val="00894115"/>
    <w:rsid w:val="008946A1"/>
    <w:rsid w:val="00895B47"/>
    <w:rsid w:val="00895BA1"/>
    <w:rsid w:val="008964A7"/>
    <w:rsid w:val="00896855"/>
    <w:rsid w:val="00896A7D"/>
    <w:rsid w:val="00896C96"/>
    <w:rsid w:val="00897044"/>
    <w:rsid w:val="00897875"/>
    <w:rsid w:val="00897E03"/>
    <w:rsid w:val="008A091B"/>
    <w:rsid w:val="008A0E29"/>
    <w:rsid w:val="008A15E3"/>
    <w:rsid w:val="008A20C8"/>
    <w:rsid w:val="008A299B"/>
    <w:rsid w:val="008A2F2C"/>
    <w:rsid w:val="008A3C2A"/>
    <w:rsid w:val="008A4385"/>
    <w:rsid w:val="008A472C"/>
    <w:rsid w:val="008A4DC8"/>
    <w:rsid w:val="008A507C"/>
    <w:rsid w:val="008A5EED"/>
    <w:rsid w:val="008A6614"/>
    <w:rsid w:val="008A7AD3"/>
    <w:rsid w:val="008B0B08"/>
    <w:rsid w:val="008B0CA5"/>
    <w:rsid w:val="008B11EE"/>
    <w:rsid w:val="008B129B"/>
    <w:rsid w:val="008B13AB"/>
    <w:rsid w:val="008B19AF"/>
    <w:rsid w:val="008B1C43"/>
    <w:rsid w:val="008B2688"/>
    <w:rsid w:val="008B3F99"/>
    <w:rsid w:val="008B53B3"/>
    <w:rsid w:val="008B5773"/>
    <w:rsid w:val="008B57EE"/>
    <w:rsid w:val="008B6068"/>
    <w:rsid w:val="008B634D"/>
    <w:rsid w:val="008B646F"/>
    <w:rsid w:val="008B6AF6"/>
    <w:rsid w:val="008B7BEA"/>
    <w:rsid w:val="008C0E34"/>
    <w:rsid w:val="008C0E96"/>
    <w:rsid w:val="008C142D"/>
    <w:rsid w:val="008C2384"/>
    <w:rsid w:val="008C25A0"/>
    <w:rsid w:val="008C2603"/>
    <w:rsid w:val="008C33A2"/>
    <w:rsid w:val="008C346E"/>
    <w:rsid w:val="008C39FA"/>
    <w:rsid w:val="008C3C01"/>
    <w:rsid w:val="008C3E51"/>
    <w:rsid w:val="008C4AA8"/>
    <w:rsid w:val="008C55F5"/>
    <w:rsid w:val="008C6080"/>
    <w:rsid w:val="008C6469"/>
    <w:rsid w:val="008C7EAE"/>
    <w:rsid w:val="008C7ECC"/>
    <w:rsid w:val="008D0427"/>
    <w:rsid w:val="008D0C50"/>
    <w:rsid w:val="008D19B6"/>
    <w:rsid w:val="008D2877"/>
    <w:rsid w:val="008D2EBD"/>
    <w:rsid w:val="008D32EA"/>
    <w:rsid w:val="008D392A"/>
    <w:rsid w:val="008D3B8D"/>
    <w:rsid w:val="008D4A8B"/>
    <w:rsid w:val="008D4B8E"/>
    <w:rsid w:val="008D6159"/>
    <w:rsid w:val="008D651F"/>
    <w:rsid w:val="008D6665"/>
    <w:rsid w:val="008D6E91"/>
    <w:rsid w:val="008D6FC3"/>
    <w:rsid w:val="008D7F3C"/>
    <w:rsid w:val="008E0466"/>
    <w:rsid w:val="008E0581"/>
    <w:rsid w:val="008E09B0"/>
    <w:rsid w:val="008E15B4"/>
    <w:rsid w:val="008E17B2"/>
    <w:rsid w:val="008E18D3"/>
    <w:rsid w:val="008E1F4C"/>
    <w:rsid w:val="008E2355"/>
    <w:rsid w:val="008E3286"/>
    <w:rsid w:val="008E35DE"/>
    <w:rsid w:val="008E3D71"/>
    <w:rsid w:val="008E3EDB"/>
    <w:rsid w:val="008E4A79"/>
    <w:rsid w:val="008E51F0"/>
    <w:rsid w:val="008E5234"/>
    <w:rsid w:val="008E530C"/>
    <w:rsid w:val="008E6132"/>
    <w:rsid w:val="008E662F"/>
    <w:rsid w:val="008E68A6"/>
    <w:rsid w:val="008F0762"/>
    <w:rsid w:val="008F17AE"/>
    <w:rsid w:val="008F1A3A"/>
    <w:rsid w:val="008F1E40"/>
    <w:rsid w:val="008F2B60"/>
    <w:rsid w:val="008F2FCE"/>
    <w:rsid w:val="008F3A41"/>
    <w:rsid w:val="008F3F75"/>
    <w:rsid w:val="008F42EB"/>
    <w:rsid w:val="008F463A"/>
    <w:rsid w:val="008F4ECB"/>
    <w:rsid w:val="008F6B37"/>
    <w:rsid w:val="008F7050"/>
    <w:rsid w:val="008F7055"/>
    <w:rsid w:val="008F7326"/>
    <w:rsid w:val="008F7427"/>
    <w:rsid w:val="008F74D6"/>
    <w:rsid w:val="008F7E46"/>
    <w:rsid w:val="008F7EF3"/>
    <w:rsid w:val="00900199"/>
    <w:rsid w:val="00900465"/>
    <w:rsid w:val="0090197B"/>
    <w:rsid w:val="00902220"/>
    <w:rsid w:val="00903128"/>
    <w:rsid w:val="009037F9"/>
    <w:rsid w:val="0090392B"/>
    <w:rsid w:val="00903B16"/>
    <w:rsid w:val="009052E2"/>
    <w:rsid w:val="00905317"/>
    <w:rsid w:val="00905469"/>
    <w:rsid w:val="009054F9"/>
    <w:rsid w:val="00905BFB"/>
    <w:rsid w:val="00906186"/>
    <w:rsid w:val="009063E5"/>
    <w:rsid w:val="00906766"/>
    <w:rsid w:val="009071F2"/>
    <w:rsid w:val="00907398"/>
    <w:rsid w:val="00907DE5"/>
    <w:rsid w:val="00907FAD"/>
    <w:rsid w:val="00910241"/>
    <w:rsid w:val="009104ED"/>
    <w:rsid w:val="009106E7"/>
    <w:rsid w:val="00910B00"/>
    <w:rsid w:val="009125A7"/>
    <w:rsid w:val="00913247"/>
    <w:rsid w:val="00914A98"/>
    <w:rsid w:val="00914F4A"/>
    <w:rsid w:val="00914FFF"/>
    <w:rsid w:val="009167E8"/>
    <w:rsid w:val="0091769D"/>
    <w:rsid w:val="009178C0"/>
    <w:rsid w:val="00917B87"/>
    <w:rsid w:val="0092005D"/>
    <w:rsid w:val="0092116B"/>
    <w:rsid w:val="00921203"/>
    <w:rsid w:val="00921320"/>
    <w:rsid w:val="00921B49"/>
    <w:rsid w:val="00921D04"/>
    <w:rsid w:val="00922008"/>
    <w:rsid w:val="00922439"/>
    <w:rsid w:val="00922554"/>
    <w:rsid w:val="00922A92"/>
    <w:rsid w:val="009233BB"/>
    <w:rsid w:val="009236B2"/>
    <w:rsid w:val="00924890"/>
    <w:rsid w:val="00925466"/>
    <w:rsid w:val="00925DA0"/>
    <w:rsid w:val="009267EA"/>
    <w:rsid w:val="00926AFB"/>
    <w:rsid w:val="00927798"/>
    <w:rsid w:val="00927D3E"/>
    <w:rsid w:val="00927E78"/>
    <w:rsid w:val="00930281"/>
    <w:rsid w:val="0093029F"/>
    <w:rsid w:val="00930342"/>
    <w:rsid w:val="009304E5"/>
    <w:rsid w:val="00930695"/>
    <w:rsid w:val="009314D5"/>
    <w:rsid w:val="00931766"/>
    <w:rsid w:val="00931930"/>
    <w:rsid w:val="009323F0"/>
    <w:rsid w:val="009324E2"/>
    <w:rsid w:val="00933A30"/>
    <w:rsid w:val="00934F2A"/>
    <w:rsid w:val="00935461"/>
    <w:rsid w:val="0093592E"/>
    <w:rsid w:val="00935C08"/>
    <w:rsid w:val="00936916"/>
    <w:rsid w:val="00937093"/>
    <w:rsid w:val="009371C5"/>
    <w:rsid w:val="00940702"/>
    <w:rsid w:val="0094073F"/>
    <w:rsid w:val="00940B92"/>
    <w:rsid w:val="009420F6"/>
    <w:rsid w:val="00942771"/>
    <w:rsid w:val="009429B7"/>
    <w:rsid w:val="009439E9"/>
    <w:rsid w:val="00945655"/>
    <w:rsid w:val="00946D00"/>
    <w:rsid w:val="009472BD"/>
    <w:rsid w:val="0094748D"/>
    <w:rsid w:val="009474D0"/>
    <w:rsid w:val="009477EA"/>
    <w:rsid w:val="0095089E"/>
    <w:rsid w:val="00950D5C"/>
    <w:rsid w:val="009515B8"/>
    <w:rsid w:val="009519BF"/>
    <w:rsid w:val="00951A93"/>
    <w:rsid w:val="009526B7"/>
    <w:rsid w:val="00953362"/>
    <w:rsid w:val="00954350"/>
    <w:rsid w:val="00954414"/>
    <w:rsid w:val="0095460B"/>
    <w:rsid w:val="00954CFC"/>
    <w:rsid w:val="00956177"/>
    <w:rsid w:val="00956A51"/>
    <w:rsid w:val="00956AAB"/>
    <w:rsid w:val="0096007E"/>
    <w:rsid w:val="0096110D"/>
    <w:rsid w:val="00961160"/>
    <w:rsid w:val="00961919"/>
    <w:rsid w:val="00962388"/>
    <w:rsid w:val="0096246A"/>
    <w:rsid w:val="0096314F"/>
    <w:rsid w:val="0096398F"/>
    <w:rsid w:val="00963DFF"/>
    <w:rsid w:val="00964422"/>
    <w:rsid w:val="00964897"/>
    <w:rsid w:val="00964CBC"/>
    <w:rsid w:val="00964D39"/>
    <w:rsid w:val="009652ED"/>
    <w:rsid w:val="00965620"/>
    <w:rsid w:val="00965718"/>
    <w:rsid w:val="00965AF9"/>
    <w:rsid w:val="00966AAD"/>
    <w:rsid w:val="00966CF2"/>
    <w:rsid w:val="00966D08"/>
    <w:rsid w:val="00970731"/>
    <w:rsid w:val="00971CE2"/>
    <w:rsid w:val="0097200A"/>
    <w:rsid w:val="00972A23"/>
    <w:rsid w:val="00973457"/>
    <w:rsid w:val="00973B73"/>
    <w:rsid w:val="00973D94"/>
    <w:rsid w:val="00974545"/>
    <w:rsid w:val="009748A3"/>
    <w:rsid w:val="00974B8B"/>
    <w:rsid w:val="0097500D"/>
    <w:rsid w:val="009752FB"/>
    <w:rsid w:val="00975CDC"/>
    <w:rsid w:val="00975F30"/>
    <w:rsid w:val="00976319"/>
    <w:rsid w:val="0097644A"/>
    <w:rsid w:val="009767A9"/>
    <w:rsid w:val="00980A1D"/>
    <w:rsid w:val="00980FB8"/>
    <w:rsid w:val="00981307"/>
    <w:rsid w:val="00981C20"/>
    <w:rsid w:val="00981E71"/>
    <w:rsid w:val="009820E7"/>
    <w:rsid w:val="009824DF"/>
    <w:rsid w:val="00983943"/>
    <w:rsid w:val="00983C93"/>
    <w:rsid w:val="00984EC5"/>
    <w:rsid w:val="009851C0"/>
    <w:rsid w:val="009858AF"/>
    <w:rsid w:val="009863D2"/>
    <w:rsid w:val="00986A4D"/>
    <w:rsid w:val="00987370"/>
    <w:rsid w:val="00987A02"/>
    <w:rsid w:val="00987D6A"/>
    <w:rsid w:val="00990641"/>
    <w:rsid w:val="00990E33"/>
    <w:rsid w:val="00990E68"/>
    <w:rsid w:val="0099175A"/>
    <w:rsid w:val="00991A57"/>
    <w:rsid w:val="00992428"/>
    <w:rsid w:val="00992558"/>
    <w:rsid w:val="00992B69"/>
    <w:rsid w:val="00992F32"/>
    <w:rsid w:val="0099338D"/>
    <w:rsid w:val="009940F0"/>
    <w:rsid w:val="00994199"/>
    <w:rsid w:val="00994455"/>
    <w:rsid w:val="00994467"/>
    <w:rsid w:val="00994F9C"/>
    <w:rsid w:val="0099553A"/>
    <w:rsid w:val="00995DDC"/>
    <w:rsid w:val="00996274"/>
    <w:rsid w:val="00996709"/>
    <w:rsid w:val="0099685D"/>
    <w:rsid w:val="00996A46"/>
    <w:rsid w:val="00996D0A"/>
    <w:rsid w:val="00997CF1"/>
    <w:rsid w:val="009A124E"/>
    <w:rsid w:val="009A142F"/>
    <w:rsid w:val="009A18D7"/>
    <w:rsid w:val="009A48D4"/>
    <w:rsid w:val="009A4A6E"/>
    <w:rsid w:val="009A6AC4"/>
    <w:rsid w:val="009A6B1B"/>
    <w:rsid w:val="009A6F11"/>
    <w:rsid w:val="009A73DC"/>
    <w:rsid w:val="009A745E"/>
    <w:rsid w:val="009A783E"/>
    <w:rsid w:val="009A7C12"/>
    <w:rsid w:val="009B028F"/>
    <w:rsid w:val="009B1173"/>
    <w:rsid w:val="009B17D0"/>
    <w:rsid w:val="009B2429"/>
    <w:rsid w:val="009B2583"/>
    <w:rsid w:val="009B25AC"/>
    <w:rsid w:val="009B26DC"/>
    <w:rsid w:val="009B28F4"/>
    <w:rsid w:val="009B2D88"/>
    <w:rsid w:val="009B3D93"/>
    <w:rsid w:val="009B3FFD"/>
    <w:rsid w:val="009B4EF7"/>
    <w:rsid w:val="009B6455"/>
    <w:rsid w:val="009B7608"/>
    <w:rsid w:val="009B78AA"/>
    <w:rsid w:val="009B7A55"/>
    <w:rsid w:val="009C0592"/>
    <w:rsid w:val="009C0727"/>
    <w:rsid w:val="009C0D53"/>
    <w:rsid w:val="009C1114"/>
    <w:rsid w:val="009C15E4"/>
    <w:rsid w:val="009C1D0C"/>
    <w:rsid w:val="009C1D88"/>
    <w:rsid w:val="009C1EFA"/>
    <w:rsid w:val="009C21C8"/>
    <w:rsid w:val="009C2532"/>
    <w:rsid w:val="009C3EBC"/>
    <w:rsid w:val="009C50FD"/>
    <w:rsid w:val="009C5280"/>
    <w:rsid w:val="009C6A52"/>
    <w:rsid w:val="009C6B9E"/>
    <w:rsid w:val="009C7730"/>
    <w:rsid w:val="009D0329"/>
    <w:rsid w:val="009D03AE"/>
    <w:rsid w:val="009D112D"/>
    <w:rsid w:val="009D1350"/>
    <w:rsid w:val="009D1593"/>
    <w:rsid w:val="009D217B"/>
    <w:rsid w:val="009D2993"/>
    <w:rsid w:val="009D2B6D"/>
    <w:rsid w:val="009D4935"/>
    <w:rsid w:val="009D4951"/>
    <w:rsid w:val="009D5335"/>
    <w:rsid w:val="009D53A2"/>
    <w:rsid w:val="009D6407"/>
    <w:rsid w:val="009D66C1"/>
    <w:rsid w:val="009D6FDD"/>
    <w:rsid w:val="009D7597"/>
    <w:rsid w:val="009D76B9"/>
    <w:rsid w:val="009D7838"/>
    <w:rsid w:val="009D7B3B"/>
    <w:rsid w:val="009D7B5C"/>
    <w:rsid w:val="009D7C35"/>
    <w:rsid w:val="009E03AB"/>
    <w:rsid w:val="009E0B81"/>
    <w:rsid w:val="009E1412"/>
    <w:rsid w:val="009E1925"/>
    <w:rsid w:val="009E1F79"/>
    <w:rsid w:val="009E227B"/>
    <w:rsid w:val="009E23FB"/>
    <w:rsid w:val="009E27F2"/>
    <w:rsid w:val="009E2BF2"/>
    <w:rsid w:val="009E2D2C"/>
    <w:rsid w:val="009E30F2"/>
    <w:rsid w:val="009E3150"/>
    <w:rsid w:val="009E31BC"/>
    <w:rsid w:val="009E343A"/>
    <w:rsid w:val="009E345E"/>
    <w:rsid w:val="009E3565"/>
    <w:rsid w:val="009E39F6"/>
    <w:rsid w:val="009E444F"/>
    <w:rsid w:val="009E5B4B"/>
    <w:rsid w:val="009E649F"/>
    <w:rsid w:val="009E680A"/>
    <w:rsid w:val="009E77C6"/>
    <w:rsid w:val="009E7D87"/>
    <w:rsid w:val="009E7EFF"/>
    <w:rsid w:val="009F01DB"/>
    <w:rsid w:val="009F0821"/>
    <w:rsid w:val="009F08DB"/>
    <w:rsid w:val="009F095F"/>
    <w:rsid w:val="009F0976"/>
    <w:rsid w:val="009F1254"/>
    <w:rsid w:val="009F19EE"/>
    <w:rsid w:val="009F270E"/>
    <w:rsid w:val="009F2E62"/>
    <w:rsid w:val="009F3222"/>
    <w:rsid w:val="009F34FA"/>
    <w:rsid w:val="009F371F"/>
    <w:rsid w:val="009F4AF9"/>
    <w:rsid w:val="009F4D1A"/>
    <w:rsid w:val="009F5157"/>
    <w:rsid w:val="009F5862"/>
    <w:rsid w:val="009F6DB7"/>
    <w:rsid w:val="009F70F0"/>
    <w:rsid w:val="009F7C58"/>
    <w:rsid w:val="00A004EC"/>
    <w:rsid w:val="00A009DF"/>
    <w:rsid w:val="00A00C06"/>
    <w:rsid w:val="00A015F8"/>
    <w:rsid w:val="00A020FC"/>
    <w:rsid w:val="00A0259A"/>
    <w:rsid w:val="00A026BF"/>
    <w:rsid w:val="00A02A77"/>
    <w:rsid w:val="00A033F0"/>
    <w:rsid w:val="00A034F3"/>
    <w:rsid w:val="00A04441"/>
    <w:rsid w:val="00A049E5"/>
    <w:rsid w:val="00A04A6C"/>
    <w:rsid w:val="00A057DF"/>
    <w:rsid w:val="00A05B9B"/>
    <w:rsid w:val="00A05E10"/>
    <w:rsid w:val="00A05E27"/>
    <w:rsid w:val="00A05F16"/>
    <w:rsid w:val="00A06812"/>
    <w:rsid w:val="00A06BE5"/>
    <w:rsid w:val="00A1005E"/>
    <w:rsid w:val="00A10099"/>
    <w:rsid w:val="00A10558"/>
    <w:rsid w:val="00A1069A"/>
    <w:rsid w:val="00A10913"/>
    <w:rsid w:val="00A10991"/>
    <w:rsid w:val="00A109EC"/>
    <w:rsid w:val="00A10B75"/>
    <w:rsid w:val="00A10F1E"/>
    <w:rsid w:val="00A110A2"/>
    <w:rsid w:val="00A1160B"/>
    <w:rsid w:val="00A117C5"/>
    <w:rsid w:val="00A11AFE"/>
    <w:rsid w:val="00A12A4F"/>
    <w:rsid w:val="00A1377C"/>
    <w:rsid w:val="00A1421C"/>
    <w:rsid w:val="00A1455E"/>
    <w:rsid w:val="00A157B5"/>
    <w:rsid w:val="00A16260"/>
    <w:rsid w:val="00A1681F"/>
    <w:rsid w:val="00A17363"/>
    <w:rsid w:val="00A17761"/>
    <w:rsid w:val="00A177A7"/>
    <w:rsid w:val="00A1781B"/>
    <w:rsid w:val="00A20466"/>
    <w:rsid w:val="00A21370"/>
    <w:rsid w:val="00A214E1"/>
    <w:rsid w:val="00A21801"/>
    <w:rsid w:val="00A219E4"/>
    <w:rsid w:val="00A220A5"/>
    <w:rsid w:val="00A23C0C"/>
    <w:rsid w:val="00A240EF"/>
    <w:rsid w:val="00A244FC"/>
    <w:rsid w:val="00A245A1"/>
    <w:rsid w:val="00A24C13"/>
    <w:rsid w:val="00A24D38"/>
    <w:rsid w:val="00A24E97"/>
    <w:rsid w:val="00A25829"/>
    <w:rsid w:val="00A26550"/>
    <w:rsid w:val="00A269EE"/>
    <w:rsid w:val="00A2775F"/>
    <w:rsid w:val="00A279DB"/>
    <w:rsid w:val="00A27E10"/>
    <w:rsid w:val="00A30DA7"/>
    <w:rsid w:val="00A311F4"/>
    <w:rsid w:val="00A31A1D"/>
    <w:rsid w:val="00A32F57"/>
    <w:rsid w:val="00A33444"/>
    <w:rsid w:val="00A33A41"/>
    <w:rsid w:val="00A33BB0"/>
    <w:rsid w:val="00A33FE7"/>
    <w:rsid w:val="00A34775"/>
    <w:rsid w:val="00A3521E"/>
    <w:rsid w:val="00A35248"/>
    <w:rsid w:val="00A35835"/>
    <w:rsid w:val="00A36DEC"/>
    <w:rsid w:val="00A37BC0"/>
    <w:rsid w:val="00A408E1"/>
    <w:rsid w:val="00A40F85"/>
    <w:rsid w:val="00A41343"/>
    <w:rsid w:val="00A41E92"/>
    <w:rsid w:val="00A422A1"/>
    <w:rsid w:val="00A4235B"/>
    <w:rsid w:val="00A424C2"/>
    <w:rsid w:val="00A42672"/>
    <w:rsid w:val="00A43101"/>
    <w:rsid w:val="00A4311E"/>
    <w:rsid w:val="00A4368B"/>
    <w:rsid w:val="00A4393B"/>
    <w:rsid w:val="00A43A7B"/>
    <w:rsid w:val="00A44778"/>
    <w:rsid w:val="00A44ED4"/>
    <w:rsid w:val="00A45589"/>
    <w:rsid w:val="00A455F8"/>
    <w:rsid w:val="00A45B9D"/>
    <w:rsid w:val="00A46726"/>
    <w:rsid w:val="00A4739F"/>
    <w:rsid w:val="00A52258"/>
    <w:rsid w:val="00A5239D"/>
    <w:rsid w:val="00A528C1"/>
    <w:rsid w:val="00A52A46"/>
    <w:rsid w:val="00A53693"/>
    <w:rsid w:val="00A53739"/>
    <w:rsid w:val="00A543EB"/>
    <w:rsid w:val="00A54470"/>
    <w:rsid w:val="00A54F9E"/>
    <w:rsid w:val="00A54FA0"/>
    <w:rsid w:val="00A55384"/>
    <w:rsid w:val="00A55563"/>
    <w:rsid w:val="00A555C1"/>
    <w:rsid w:val="00A5626C"/>
    <w:rsid w:val="00A56286"/>
    <w:rsid w:val="00A568B6"/>
    <w:rsid w:val="00A56F6C"/>
    <w:rsid w:val="00A5708F"/>
    <w:rsid w:val="00A571BD"/>
    <w:rsid w:val="00A5759C"/>
    <w:rsid w:val="00A575DD"/>
    <w:rsid w:val="00A60140"/>
    <w:rsid w:val="00A614E0"/>
    <w:rsid w:val="00A629DB"/>
    <w:rsid w:val="00A63AD7"/>
    <w:rsid w:val="00A644E0"/>
    <w:rsid w:val="00A64A14"/>
    <w:rsid w:val="00A64DEA"/>
    <w:rsid w:val="00A66331"/>
    <w:rsid w:val="00A6761B"/>
    <w:rsid w:val="00A67AB1"/>
    <w:rsid w:val="00A67ABE"/>
    <w:rsid w:val="00A67D9F"/>
    <w:rsid w:val="00A70080"/>
    <w:rsid w:val="00A706C2"/>
    <w:rsid w:val="00A70839"/>
    <w:rsid w:val="00A70A1F"/>
    <w:rsid w:val="00A70A8D"/>
    <w:rsid w:val="00A71471"/>
    <w:rsid w:val="00A716F3"/>
    <w:rsid w:val="00A717E3"/>
    <w:rsid w:val="00A71C6A"/>
    <w:rsid w:val="00A7246A"/>
    <w:rsid w:val="00A72A3E"/>
    <w:rsid w:val="00A7342D"/>
    <w:rsid w:val="00A7361D"/>
    <w:rsid w:val="00A738B2"/>
    <w:rsid w:val="00A73F0C"/>
    <w:rsid w:val="00A76B2C"/>
    <w:rsid w:val="00A76B82"/>
    <w:rsid w:val="00A76F35"/>
    <w:rsid w:val="00A7729C"/>
    <w:rsid w:val="00A7730E"/>
    <w:rsid w:val="00A77CAD"/>
    <w:rsid w:val="00A80D47"/>
    <w:rsid w:val="00A817EB"/>
    <w:rsid w:val="00A81BC4"/>
    <w:rsid w:val="00A81D8E"/>
    <w:rsid w:val="00A8203F"/>
    <w:rsid w:val="00A821AE"/>
    <w:rsid w:val="00A8374F"/>
    <w:rsid w:val="00A83C37"/>
    <w:rsid w:val="00A8482A"/>
    <w:rsid w:val="00A84864"/>
    <w:rsid w:val="00A85326"/>
    <w:rsid w:val="00A8594E"/>
    <w:rsid w:val="00A85B6A"/>
    <w:rsid w:val="00A85D0B"/>
    <w:rsid w:val="00A85E59"/>
    <w:rsid w:val="00A8622D"/>
    <w:rsid w:val="00A873DE"/>
    <w:rsid w:val="00A87E55"/>
    <w:rsid w:val="00A90108"/>
    <w:rsid w:val="00A90A9C"/>
    <w:rsid w:val="00A90D39"/>
    <w:rsid w:val="00A91BCA"/>
    <w:rsid w:val="00A92697"/>
    <w:rsid w:val="00A936DD"/>
    <w:rsid w:val="00A93BEC"/>
    <w:rsid w:val="00A942C9"/>
    <w:rsid w:val="00A9522B"/>
    <w:rsid w:val="00A95DFF"/>
    <w:rsid w:val="00A96700"/>
    <w:rsid w:val="00A96B21"/>
    <w:rsid w:val="00A97713"/>
    <w:rsid w:val="00A9795A"/>
    <w:rsid w:val="00AA02F0"/>
    <w:rsid w:val="00AA1D92"/>
    <w:rsid w:val="00AA23FC"/>
    <w:rsid w:val="00AA3525"/>
    <w:rsid w:val="00AA39F8"/>
    <w:rsid w:val="00AA3F87"/>
    <w:rsid w:val="00AA4288"/>
    <w:rsid w:val="00AA4578"/>
    <w:rsid w:val="00AA4C2A"/>
    <w:rsid w:val="00AA5CB3"/>
    <w:rsid w:val="00AA5D5D"/>
    <w:rsid w:val="00AA5F2B"/>
    <w:rsid w:val="00AA5FCA"/>
    <w:rsid w:val="00AA73BC"/>
    <w:rsid w:val="00AA7B95"/>
    <w:rsid w:val="00AB014C"/>
    <w:rsid w:val="00AB01AD"/>
    <w:rsid w:val="00AB029D"/>
    <w:rsid w:val="00AB05BF"/>
    <w:rsid w:val="00AB1332"/>
    <w:rsid w:val="00AB177E"/>
    <w:rsid w:val="00AB1EB0"/>
    <w:rsid w:val="00AB24E2"/>
    <w:rsid w:val="00AB25EF"/>
    <w:rsid w:val="00AB2A63"/>
    <w:rsid w:val="00AB2B8D"/>
    <w:rsid w:val="00AB3D6C"/>
    <w:rsid w:val="00AB4F8E"/>
    <w:rsid w:val="00AB641B"/>
    <w:rsid w:val="00AB6B94"/>
    <w:rsid w:val="00AB6EE1"/>
    <w:rsid w:val="00AB7967"/>
    <w:rsid w:val="00AB7AE4"/>
    <w:rsid w:val="00AC0013"/>
    <w:rsid w:val="00AC03CF"/>
    <w:rsid w:val="00AC059A"/>
    <w:rsid w:val="00AC0B96"/>
    <w:rsid w:val="00AC1621"/>
    <w:rsid w:val="00AC2CC6"/>
    <w:rsid w:val="00AC2FB8"/>
    <w:rsid w:val="00AC3431"/>
    <w:rsid w:val="00AC3651"/>
    <w:rsid w:val="00AC38BD"/>
    <w:rsid w:val="00AC482D"/>
    <w:rsid w:val="00AC50D8"/>
    <w:rsid w:val="00AC58CC"/>
    <w:rsid w:val="00AC5A75"/>
    <w:rsid w:val="00AC6262"/>
    <w:rsid w:val="00AC6E09"/>
    <w:rsid w:val="00AC705D"/>
    <w:rsid w:val="00AC79F7"/>
    <w:rsid w:val="00AC7DDE"/>
    <w:rsid w:val="00AD00B0"/>
    <w:rsid w:val="00AD097E"/>
    <w:rsid w:val="00AD0BEF"/>
    <w:rsid w:val="00AD1510"/>
    <w:rsid w:val="00AD1CEC"/>
    <w:rsid w:val="00AD1E46"/>
    <w:rsid w:val="00AD206A"/>
    <w:rsid w:val="00AD263F"/>
    <w:rsid w:val="00AD33A7"/>
    <w:rsid w:val="00AD360D"/>
    <w:rsid w:val="00AD3725"/>
    <w:rsid w:val="00AD3BEA"/>
    <w:rsid w:val="00AD4023"/>
    <w:rsid w:val="00AD40F5"/>
    <w:rsid w:val="00AD4C0F"/>
    <w:rsid w:val="00AD4EB5"/>
    <w:rsid w:val="00AD5614"/>
    <w:rsid w:val="00AD78B4"/>
    <w:rsid w:val="00AE0535"/>
    <w:rsid w:val="00AE083D"/>
    <w:rsid w:val="00AE0BE6"/>
    <w:rsid w:val="00AE0E54"/>
    <w:rsid w:val="00AE1790"/>
    <w:rsid w:val="00AE196C"/>
    <w:rsid w:val="00AE1A95"/>
    <w:rsid w:val="00AE1BD5"/>
    <w:rsid w:val="00AE20BE"/>
    <w:rsid w:val="00AE297C"/>
    <w:rsid w:val="00AE348B"/>
    <w:rsid w:val="00AE3518"/>
    <w:rsid w:val="00AE366C"/>
    <w:rsid w:val="00AE380B"/>
    <w:rsid w:val="00AE3870"/>
    <w:rsid w:val="00AE38BE"/>
    <w:rsid w:val="00AE4177"/>
    <w:rsid w:val="00AE4938"/>
    <w:rsid w:val="00AE55FE"/>
    <w:rsid w:val="00AE5682"/>
    <w:rsid w:val="00AE590B"/>
    <w:rsid w:val="00AE6ED5"/>
    <w:rsid w:val="00AE6FAD"/>
    <w:rsid w:val="00AE7797"/>
    <w:rsid w:val="00AF1638"/>
    <w:rsid w:val="00AF175C"/>
    <w:rsid w:val="00AF219C"/>
    <w:rsid w:val="00AF27C7"/>
    <w:rsid w:val="00AF28AC"/>
    <w:rsid w:val="00AF2E34"/>
    <w:rsid w:val="00AF31B4"/>
    <w:rsid w:val="00AF3AF4"/>
    <w:rsid w:val="00AF3B7A"/>
    <w:rsid w:val="00AF3BDB"/>
    <w:rsid w:val="00AF3C9A"/>
    <w:rsid w:val="00AF4057"/>
    <w:rsid w:val="00AF4228"/>
    <w:rsid w:val="00AF42C7"/>
    <w:rsid w:val="00AF46AA"/>
    <w:rsid w:val="00AF55C9"/>
    <w:rsid w:val="00AF5B32"/>
    <w:rsid w:val="00AF771B"/>
    <w:rsid w:val="00AF79C1"/>
    <w:rsid w:val="00B01052"/>
    <w:rsid w:val="00B01F2F"/>
    <w:rsid w:val="00B0220B"/>
    <w:rsid w:val="00B0243D"/>
    <w:rsid w:val="00B026FA"/>
    <w:rsid w:val="00B0274B"/>
    <w:rsid w:val="00B027AF"/>
    <w:rsid w:val="00B03737"/>
    <w:rsid w:val="00B03BB9"/>
    <w:rsid w:val="00B03D70"/>
    <w:rsid w:val="00B04061"/>
    <w:rsid w:val="00B040DF"/>
    <w:rsid w:val="00B04350"/>
    <w:rsid w:val="00B05AC0"/>
    <w:rsid w:val="00B0647E"/>
    <w:rsid w:val="00B06A43"/>
    <w:rsid w:val="00B10953"/>
    <w:rsid w:val="00B10C05"/>
    <w:rsid w:val="00B10DAA"/>
    <w:rsid w:val="00B11039"/>
    <w:rsid w:val="00B112B7"/>
    <w:rsid w:val="00B12B69"/>
    <w:rsid w:val="00B130B5"/>
    <w:rsid w:val="00B13D6E"/>
    <w:rsid w:val="00B14740"/>
    <w:rsid w:val="00B14A5B"/>
    <w:rsid w:val="00B14AA8"/>
    <w:rsid w:val="00B14C4E"/>
    <w:rsid w:val="00B14C9A"/>
    <w:rsid w:val="00B153D1"/>
    <w:rsid w:val="00B15572"/>
    <w:rsid w:val="00B155B0"/>
    <w:rsid w:val="00B16EFA"/>
    <w:rsid w:val="00B176AE"/>
    <w:rsid w:val="00B17999"/>
    <w:rsid w:val="00B20A9F"/>
    <w:rsid w:val="00B21044"/>
    <w:rsid w:val="00B21B01"/>
    <w:rsid w:val="00B22258"/>
    <w:rsid w:val="00B229AD"/>
    <w:rsid w:val="00B22CFC"/>
    <w:rsid w:val="00B22D6C"/>
    <w:rsid w:val="00B24039"/>
    <w:rsid w:val="00B24FF1"/>
    <w:rsid w:val="00B250DB"/>
    <w:rsid w:val="00B25654"/>
    <w:rsid w:val="00B26C8A"/>
    <w:rsid w:val="00B279DC"/>
    <w:rsid w:val="00B27E1C"/>
    <w:rsid w:val="00B311D6"/>
    <w:rsid w:val="00B31366"/>
    <w:rsid w:val="00B31777"/>
    <w:rsid w:val="00B317EF"/>
    <w:rsid w:val="00B319F4"/>
    <w:rsid w:val="00B31F68"/>
    <w:rsid w:val="00B3211E"/>
    <w:rsid w:val="00B32CBB"/>
    <w:rsid w:val="00B33C17"/>
    <w:rsid w:val="00B3504E"/>
    <w:rsid w:val="00B35543"/>
    <w:rsid w:val="00B355B3"/>
    <w:rsid w:val="00B35BB2"/>
    <w:rsid w:val="00B35F90"/>
    <w:rsid w:val="00B36214"/>
    <w:rsid w:val="00B3686A"/>
    <w:rsid w:val="00B36E62"/>
    <w:rsid w:val="00B36EA9"/>
    <w:rsid w:val="00B37CDC"/>
    <w:rsid w:val="00B40A77"/>
    <w:rsid w:val="00B41A2F"/>
    <w:rsid w:val="00B4232A"/>
    <w:rsid w:val="00B42988"/>
    <w:rsid w:val="00B441A0"/>
    <w:rsid w:val="00B455BF"/>
    <w:rsid w:val="00B4587F"/>
    <w:rsid w:val="00B46256"/>
    <w:rsid w:val="00B47289"/>
    <w:rsid w:val="00B472E5"/>
    <w:rsid w:val="00B47A84"/>
    <w:rsid w:val="00B47AAD"/>
    <w:rsid w:val="00B50B4B"/>
    <w:rsid w:val="00B50C83"/>
    <w:rsid w:val="00B5429A"/>
    <w:rsid w:val="00B54646"/>
    <w:rsid w:val="00B55701"/>
    <w:rsid w:val="00B561C4"/>
    <w:rsid w:val="00B56F8E"/>
    <w:rsid w:val="00B57BFB"/>
    <w:rsid w:val="00B57C90"/>
    <w:rsid w:val="00B60858"/>
    <w:rsid w:val="00B60E2D"/>
    <w:rsid w:val="00B60F60"/>
    <w:rsid w:val="00B6180C"/>
    <w:rsid w:val="00B619A8"/>
    <w:rsid w:val="00B62044"/>
    <w:rsid w:val="00B62E8A"/>
    <w:rsid w:val="00B63030"/>
    <w:rsid w:val="00B631E5"/>
    <w:rsid w:val="00B632FF"/>
    <w:rsid w:val="00B63BF6"/>
    <w:rsid w:val="00B6403E"/>
    <w:rsid w:val="00B652FC"/>
    <w:rsid w:val="00B65791"/>
    <w:rsid w:val="00B65F58"/>
    <w:rsid w:val="00B6633D"/>
    <w:rsid w:val="00B66505"/>
    <w:rsid w:val="00B66849"/>
    <w:rsid w:val="00B66A7E"/>
    <w:rsid w:val="00B67AF0"/>
    <w:rsid w:val="00B67FE3"/>
    <w:rsid w:val="00B7061B"/>
    <w:rsid w:val="00B70A42"/>
    <w:rsid w:val="00B70AB7"/>
    <w:rsid w:val="00B70B11"/>
    <w:rsid w:val="00B71215"/>
    <w:rsid w:val="00B71E28"/>
    <w:rsid w:val="00B7298E"/>
    <w:rsid w:val="00B72C01"/>
    <w:rsid w:val="00B72DAE"/>
    <w:rsid w:val="00B73A9B"/>
    <w:rsid w:val="00B73BBF"/>
    <w:rsid w:val="00B756A3"/>
    <w:rsid w:val="00B76E14"/>
    <w:rsid w:val="00B775E9"/>
    <w:rsid w:val="00B777A1"/>
    <w:rsid w:val="00B77E4A"/>
    <w:rsid w:val="00B801A5"/>
    <w:rsid w:val="00B80B11"/>
    <w:rsid w:val="00B80E77"/>
    <w:rsid w:val="00B815A2"/>
    <w:rsid w:val="00B8190D"/>
    <w:rsid w:val="00B81A38"/>
    <w:rsid w:val="00B81C24"/>
    <w:rsid w:val="00B82260"/>
    <w:rsid w:val="00B831E1"/>
    <w:rsid w:val="00B838CA"/>
    <w:rsid w:val="00B8415E"/>
    <w:rsid w:val="00B84A97"/>
    <w:rsid w:val="00B84B63"/>
    <w:rsid w:val="00B850E7"/>
    <w:rsid w:val="00B85143"/>
    <w:rsid w:val="00B85932"/>
    <w:rsid w:val="00B8599C"/>
    <w:rsid w:val="00B862DB"/>
    <w:rsid w:val="00B86CED"/>
    <w:rsid w:val="00B86E36"/>
    <w:rsid w:val="00B871CB"/>
    <w:rsid w:val="00B90EE0"/>
    <w:rsid w:val="00B917B9"/>
    <w:rsid w:val="00B91B82"/>
    <w:rsid w:val="00B91D9D"/>
    <w:rsid w:val="00B920AE"/>
    <w:rsid w:val="00B92C9B"/>
    <w:rsid w:val="00B92C9D"/>
    <w:rsid w:val="00B93F19"/>
    <w:rsid w:val="00B9446B"/>
    <w:rsid w:val="00B94F79"/>
    <w:rsid w:val="00B95A25"/>
    <w:rsid w:val="00B95A7F"/>
    <w:rsid w:val="00B9628B"/>
    <w:rsid w:val="00B9659A"/>
    <w:rsid w:val="00B9710A"/>
    <w:rsid w:val="00B971D0"/>
    <w:rsid w:val="00B97AF2"/>
    <w:rsid w:val="00BA0C74"/>
    <w:rsid w:val="00BA186B"/>
    <w:rsid w:val="00BA1D89"/>
    <w:rsid w:val="00BA2161"/>
    <w:rsid w:val="00BA2BDD"/>
    <w:rsid w:val="00BA3D6B"/>
    <w:rsid w:val="00BA4BF5"/>
    <w:rsid w:val="00BA4D98"/>
    <w:rsid w:val="00BA52FC"/>
    <w:rsid w:val="00BA5366"/>
    <w:rsid w:val="00BA7037"/>
    <w:rsid w:val="00BA72E5"/>
    <w:rsid w:val="00BA73ED"/>
    <w:rsid w:val="00BA75DC"/>
    <w:rsid w:val="00BB02DF"/>
    <w:rsid w:val="00BB03D6"/>
    <w:rsid w:val="00BB0AFD"/>
    <w:rsid w:val="00BB10F5"/>
    <w:rsid w:val="00BB18F2"/>
    <w:rsid w:val="00BB1B31"/>
    <w:rsid w:val="00BB1ED3"/>
    <w:rsid w:val="00BB275E"/>
    <w:rsid w:val="00BB3259"/>
    <w:rsid w:val="00BB3DD8"/>
    <w:rsid w:val="00BB3F31"/>
    <w:rsid w:val="00BB3F78"/>
    <w:rsid w:val="00BB4E19"/>
    <w:rsid w:val="00BB5675"/>
    <w:rsid w:val="00BB5CB9"/>
    <w:rsid w:val="00BB5EEF"/>
    <w:rsid w:val="00BB5FB7"/>
    <w:rsid w:val="00BB62BD"/>
    <w:rsid w:val="00BB7256"/>
    <w:rsid w:val="00BB74F7"/>
    <w:rsid w:val="00BC043D"/>
    <w:rsid w:val="00BC05CC"/>
    <w:rsid w:val="00BC0F10"/>
    <w:rsid w:val="00BC1378"/>
    <w:rsid w:val="00BC1EC8"/>
    <w:rsid w:val="00BC2039"/>
    <w:rsid w:val="00BC20EF"/>
    <w:rsid w:val="00BC2193"/>
    <w:rsid w:val="00BC257F"/>
    <w:rsid w:val="00BC27D1"/>
    <w:rsid w:val="00BC2DCB"/>
    <w:rsid w:val="00BC30EA"/>
    <w:rsid w:val="00BC359D"/>
    <w:rsid w:val="00BC3C0E"/>
    <w:rsid w:val="00BC3D4A"/>
    <w:rsid w:val="00BC423F"/>
    <w:rsid w:val="00BC42AC"/>
    <w:rsid w:val="00BC4BC8"/>
    <w:rsid w:val="00BC533D"/>
    <w:rsid w:val="00BC54E9"/>
    <w:rsid w:val="00BC5794"/>
    <w:rsid w:val="00BC5AD7"/>
    <w:rsid w:val="00BC622A"/>
    <w:rsid w:val="00BC62E3"/>
    <w:rsid w:val="00BC67D9"/>
    <w:rsid w:val="00BC7294"/>
    <w:rsid w:val="00BC75AC"/>
    <w:rsid w:val="00BC7E76"/>
    <w:rsid w:val="00BC7FF7"/>
    <w:rsid w:val="00BD01AB"/>
    <w:rsid w:val="00BD0371"/>
    <w:rsid w:val="00BD0EF9"/>
    <w:rsid w:val="00BD1FD7"/>
    <w:rsid w:val="00BD21BF"/>
    <w:rsid w:val="00BD2486"/>
    <w:rsid w:val="00BD26BF"/>
    <w:rsid w:val="00BD2772"/>
    <w:rsid w:val="00BD3388"/>
    <w:rsid w:val="00BD3B9A"/>
    <w:rsid w:val="00BD3E0C"/>
    <w:rsid w:val="00BD4199"/>
    <w:rsid w:val="00BD41D5"/>
    <w:rsid w:val="00BD45AC"/>
    <w:rsid w:val="00BD4A16"/>
    <w:rsid w:val="00BD4BC1"/>
    <w:rsid w:val="00BD4BF2"/>
    <w:rsid w:val="00BD5432"/>
    <w:rsid w:val="00BD696A"/>
    <w:rsid w:val="00BD6AF0"/>
    <w:rsid w:val="00BD7D80"/>
    <w:rsid w:val="00BE05FF"/>
    <w:rsid w:val="00BE0CA8"/>
    <w:rsid w:val="00BE1C69"/>
    <w:rsid w:val="00BE283B"/>
    <w:rsid w:val="00BE3E9D"/>
    <w:rsid w:val="00BE485F"/>
    <w:rsid w:val="00BE4891"/>
    <w:rsid w:val="00BE5195"/>
    <w:rsid w:val="00BE5C91"/>
    <w:rsid w:val="00BE6285"/>
    <w:rsid w:val="00BE62F7"/>
    <w:rsid w:val="00BE635C"/>
    <w:rsid w:val="00BE644B"/>
    <w:rsid w:val="00BE66FB"/>
    <w:rsid w:val="00BE715D"/>
    <w:rsid w:val="00BE7233"/>
    <w:rsid w:val="00BE74C9"/>
    <w:rsid w:val="00BE7663"/>
    <w:rsid w:val="00BE78D2"/>
    <w:rsid w:val="00BE78E2"/>
    <w:rsid w:val="00BE7B2E"/>
    <w:rsid w:val="00BE7EA7"/>
    <w:rsid w:val="00BF0B7D"/>
    <w:rsid w:val="00BF0FB1"/>
    <w:rsid w:val="00BF1200"/>
    <w:rsid w:val="00BF172F"/>
    <w:rsid w:val="00BF19E6"/>
    <w:rsid w:val="00BF1BED"/>
    <w:rsid w:val="00BF1E0E"/>
    <w:rsid w:val="00BF29D1"/>
    <w:rsid w:val="00BF2ABD"/>
    <w:rsid w:val="00BF2CF7"/>
    <w:rsid w:val="00BF312A"/>
    <w:rsid w:val="00BF4956"/>
    <w:rsid w:val="00BF4BB8"/>
    <w:rsid w:val="00BF5251"/>
    <w:rsid w:val="00BF60B0"/>
    <w:rsid w:val="00BF63FF"/>
    <w:rsid w:val="00BF6C5C"/>
    <w:rsid w:val="00BF6F3C"/>
    <w:rsid w:val="00BF7CD1"/>
    <w:rsid w:val="00C0061A"/>
    <w:rsid w:val="00C02F72"/>
    <w:rsid w:val="00C059B1"/>
    <w:rsid w:val="00C05B19"/>
    <w:rsid w:val="00C0630B"/>
    <w:rsid w:val="00C063B4"/>
    <w:rsid w:val="00C076D6"/>
    <w:rsid w:val="00C07ACC"/>
    <w:rsid w:val="00C10068"/>
    <w:rsid w:val="00C105B0"/>
    <w:rsid w:val="00C10904"/>
    <w:rsid w:val="00C110B9"/>
    <w:rsid w:val="00C112DF"/>
    <w:rsid w:val="00C1181D"/>
    <w:rsid w:val="00C11E34"/>
    <w:rsid w:val="00C12487"/>
    <w:rsid w:val="00C126B2"/>
    <w:rsid w:val="00C1297F"/>
    <w:rsid w:val="00C12BAE"/>
    <w:rsid w:val="00C13221"/>
    <w:rsid w:val="00C13644"/>
    <w:rsid w:val="00C13701"/>
    <w:rsid w:val="00C1385A"/>
    <w:rsid w:val="00C13DBF"/>
    <w:rsid w:val="00C14BF7"/>
    <w:rsid w:val="00C16446"/>
    <w:rsid w:val="00C16591"/>
    <w:rsid w:val="00C16CAE"/>
    <w:rsid w:val="00C17177"/>
    <w:rsid w:val="00C17949"/>
    <w:rsid w:val="00C20855"/>
    <w:rsid w:val="00C21280"/>
    <w:rsid w:val="00C216EE"/>
    <w:rsid w:val="00C21D34"/>
    <w:rsid w:val="00C22E57"/>
    <w:rsid w:val="00C23134"/>
    <w:rsid w:val="00C234A0"/>
    <w:rsid w:val="00C2354A"/>
    <w:rsid w:val="00C239DB"/>
    <w:rsid w:val="00C23B05"/>
    <w:rsid w:val="00C23B65"/>
    <w:rsid w:val="00C23EE7"/>
    <w:rsid w:val="00C2506D"/>
    <w:rsid w:val="00C25596"/>
    <w:rsid w:val="00C25CD5"/>
    <w:rsid w:val="00C260B2"/>
    <w:rsid w:val="00C26293"/>
    <w:rsid w:val="00C26393"/>
    <w:rsid w:val="00C263CA"/>
    <w:rsid w:val="00C26886"/>
    <w:rsid w:val="00C2695E"/>
    <w:rsid w:val="00C27504"/>
    <w:rsid w:val="00C306B9"/>
    <w:rsid w:val="00C307E2"/>
    <w:rsid w:val="00C30A0C"/>
    <w:rsid w:val="00C31DFA"/>
    <w:rsid w:val="00C32263"/>
    <w:rsid w:val="00C32F8D"/>
    <w:rsid w:val="00C338C3"/>
    <w:rsid w:val="00C348FE"/>
    <w:rsid w:val="00C34D76"/>
    <w:rsid w:val="00C3538B"/>
    <w:rsid w:val="00C356CF"/>
    <w:rsid w:val="00C369BC"/>
    <w:rsid w:val="00C377C6"/>
    <w:rsid w:val="00C379EE"/>
    <w:rsid w:val="00C37CAE"/>
    <w:rsid w:val="00C40B76"/>
    <w:rsid w:val="00C40B94"/>
    <w:rsid w:val="00C40F7F"/>
    <w:rsid w:val="00C4242C"/>
    <w:rsid w:val="00C4261C"/>
    <w:rsid w:val="00C4347C"/>
    <w:rsid w:val="00C4400E"/>
    <w:rsid w:val="00C458E0"/>
    <w:rsid w:val="00C45D27"/>
    <w:rsid w:val="00C45D2D"/>
    <w:rsid w:val="00C46251"/>
    <w:rsid w:val="00C4627A"/>
    <w:rsid w:val="00C46E1C"/>
    <w:rsid w:val="00C46FD2"/>
    <w:rsid w:val="00C47791"/>
    <w:rsid w:val="00C502EA"/>
    <w:rsid w:val="00C506F1"/>
    <w:rsid w:val="00C50B95"/>
    <w:rsid w:val="00C50C6C"/>
    <w:rsid w:val="00C5147F"/>
    <w:rsid w:val="00C51913"/>
    <w:rsid w:val="00C51BE6"/>
    <w:rsid w:val="00C51DAC"/>
    <w:rsid w:val="00C524D6"/>
    <w:rsid w:val="00C53D62"/>
    <w:rsid w:val="00C53F3F"/>
    <w:rsid w:val="00C54085"/>
    <w:rsid w:val="00C54134"/>
    <w:rsid w:val="00C5491B"/>
    <w:rsid w:val="00C549E5"/>
    <w:rsid w:val="00C551F2"/>
    <w:rsid w:val="00C55612"/>
    <w:rsid w:val="00C55C4A"/>
    <w:rsid w:val="00C55DC3"/>
    <w:rsid w:val="00C5660A"/>
    <w:rsid w:val="00C574B3"/>
    <w:rsid w:val="00C5753F"/>
    <w:rsid w:val="00C57707"/>
    <w:rsid w:val="00C577B3"/>
    <w:rsid w:val="00C60998"/>
    <w:rsid w:val="00C61746"/>
    <w:rsid w:val="00C61FCC"/>
    <w:rsid w:val="00C62168"/>
    <w:rsid w:val="00C6315B"/>
    <w:rsid w:val="00C6329A"/>
    <w:rsid w:val="00C63586"/>
    <w:rsid w:val="00C65944"/>
    <w:rsid w:val="00C664D3"/>
    <w:rsid w:val="00C66533"/>
    <w:rsid w:val="00C66ACF"/>
    <w:rsid w:val="00C7019B"/>
    <w:rsid w:val="00C70667"/>
    <w:rsid w:val="00C70AE2"/>
    <w:rsid w:val="00C70DA3"/>
    <w:rsid w:val="00C70EB2"/>
    <w:rsid w:val="00C71022"/>
    <w:rsid w:val="00C710BC"/>
    <w:rsid w:val="00C717F1"/>
    <w:rsid w:val="00C71B07"/>
    <w:rsid w:val="00C71BEA"/>
    <w:rsid w:val="00C72E07"/>
    <w:rsid w:val="00C72E47"/>
    <w:rsid w:val="00C72F20"/>
    <w:rsid w:val="00C73463"/>
    <w:rsid w:val="00C747A5"/>
    <w:rsid w:val="00C74C78"/>
    <w:rsid w:val="00C76A7A"/>
    <w:rsid w:val="00C76D13"/>
    <w:rsid w:val="00C76DFC"/>
    <w:rsid w:val="00C7732F"/>
    <w:rsid w:val="00C802C0"/>
    <w:rsid w:val="00C80D80"/>
    <w:rsid w:val="00C8119B"/>
    <w:rsid w:val="00C818B9"/>
    <w:rsid w:val="00C82531"/>
    <w:rsid w:val="00C8255F"/>
    <w:rsid w:val="00C839A5"/>
    <w:rsid w:val="00C8435C"/>
    <w:rsid w:val="00C84634"/>
    <w:rsid w:val="00C84CD2"/>
    <w:rsid w:val="00C8579C"/>
    <w:rsid w:val="00C857B9"/>
    <w:rsid w:val="00C85948"/>
    <w:rsid w:val="00C859D1"/>
    <w:rsid w:val="00C86E12"/>
    <w:rsid w:val="00C87308"/>
    <w:rsid w:val="00C878B3"/>
    <w:rsid w:val="00C90669"/>
    <w:rsid w:val="00C9066A"/>
    <w:rsid w:val="00C909D3"/>
    <w:rsid w:val="00C9149C"/>
    <w:rsid w:val="00C91C76"/>
    <w:rsid w:val="00C92F61"/>
    <w:rsid w:val="00C93215"/>
    <w:rsid w:val="00C93828"/>
    <w:rsid w:val="00C93A7F"/>
    <w:rsid w:val="00C93E7D"/>
    <w:rsid w:val="00C94552"/>
    <w:rsid w:val="00C95C85"/>
    <w:rsid w:val="00C96859"/>
    <w:rsid w:val="00C96A4D"/>
    <w:rsid w:val="00C96DC3"/>
    <w:rsid w:val="00C97073"/>
    <w:rsid w:val="00C971EF"/>
    <w:rsid w:val="00C97BFE"/>
    <w:rsid w:val="00CA01D6"/>
    <w:rsid w:val="00CA027B"/>
    <w:rsid w:val="00CA0486"/>
    <w:rsid w:val="00CA04E0"/>
    <w:rsid w:val="00CA0ACF"/>
    <w:rsid w:val="00CA1483"/>
    <w:rsid w:val="00CA1A6E"/>
    <w:rsid w:val="00CA1FFE"/>
    <w:rsid w:val="00CA28CB"/>
    <w:rsid w:val="00CA2DED"/>
    <w:rsid w:val="00CA3E8C"/>
    <w:rsid w:val="00CA470F"/>
    <w:rsid w:val="00CA471E"/>
    <w:rsid w:val="00CA4A27"/>
    <w:rsid w:val="00CA54D6"/>
    <w:rsid w:val="00CA5CBB"/>
    <w:rsid w:val="00CA5F96"/>
    <w:rsid w:val="00CA61BA"/>
    <w:rsid w:val="00CA696A"/>
    <w:rsid w:val="00CA6EF3"/>
    <w:rsid w:val="00CA701B"/>
    <w:rsid w:val="00CA79C8"/>
    <w:rsid w:val="00CA7A6D"/>
    <w:rsid w:val="00CB005B"/>
    <w:rsid w:val="00CB1059"/>
    <w:rsid w:val="00CB1346"/>
    <w:rsid w:val="00CB138B"/>
    <w:rsid w:val="00CB1C46"/>
    <w:rsid w:val="00CB20CD"/>
    <w:rsid w:val="00CB2767"/>
    <w:rsid w:val="00CB2EE2"/>
    <w:rsid w:val="00CB4343"/>
    <w:rsid w:val="00CB446F"/>
    <w:rsid w:val="00CB51FD"/>
    <w:rsid w:val="00CB5DA6"/>
    <w:rsid w:val="00CB66C2"/>
    <w:rsid w:val="00CB67A0"/>
    <w:rsid w:val="00CB76C9"/>
    <w:rsid w:val="00CB7CBF"/>
    <w:rsid w:val="00CC0D6D"/>
    <w:rsid w:val="00CC0D70"/>
    <w:rsid w:val="00CC0DC5"/>
    <w:rsid w:val="00CC16CF"/>
    <w:rsid w:val="00CC273D"/>
    <w:rsid w:val="00CC275A"/>
    <w:rsid w:val="00CC3D78"/>
    <w:rsid w:val="00CC3FF8"/>
    <w:rsid w:val="00CC45EA"/>
    <w:rsid w:val="00CC5C11"/>
    <w:rsid w:val="00CC7557"/>
    <w:rsid w:val="00CC7B72"/>
    <w:rsid w:val="00CC7F06"/>
    <w:rsid w:val="00CD01FD"/>
    <w:rsid w:val="00CD0549"/>
    <w:rsid w:val="00CD0701"/>
    <w:rsid w:val="00CD1C0A"/>
    <w:rsid w:val="00CD1E54"/>
    <w:rsid w:val="00CD2406"/>
    <w:rsid w:val="00CD28CD"/>
    <w:rsid w:val="00CD30B6"/>
    <w:rsid w:val="00CD3786"/>
    <w:rsid w:val="00CD3878"/>
    <w:rsid w:val="00CD3E49"/>
    <w:rsid w:val="00CD468C"/>
    <w:rsid w:val="00CD52CB"/>
    <w:rsid w:val="00CD573B"/>
    <w:rsid w:val="00CD5806"/>
    <w:rsid w:val="00CD5B60"/>
    <w:rsid w:val="00CD7257"/>
    <w:rsid w:val="00CD749B"/>
    <w:rsid w:val="00CD77A5"/>
    <w:rsid w:val="00CD7E11"/>
    <w:rsid w:val="00CE1198"/>
    <w:rsid w:val="00CE13D9"/>
    <w:rsid w:val="00CE1E3D"/>
    <w:rsid w:val="00CE1E90"/>
    <w:rsid w:val="00CE266A"/>
    <w:rsid w:val="00CE2973"/>
    <w:rsid w:val="00CE3C84"/>
    <w:rsid w:val="00CE3CB4"/>
    <w:rsid w:val="00CE4E30"/>
    <w:rsid w:val="00CE51E8"/>
    <w:rsid w:val="00CE51EF"/>
    <w:rsid w:val="00CE5459"/>
    <w:rsid w:val="00CE57ED"/>
    <w:rsid w:val="00CE5A16"/>
    <w:rsid w:val="00CE64B1"/>
    <w:rsid w:val="00CE65A6"/>
    <w:rsid w:val="00CE68F1"/>
    <w:rsid w:val="00CE6FDB"/>
    <w:rsid w:val="00CE71BD"/>
    <w:rsid w:val="00CE7460"/>
    <w:rsid w:val="00CE752E"/>
    <w:rsid w:val="00CE79D5"/>
    <w:rsid w:val="00CE7BBC"/>
    <w:rsid w:val="00CF016C"/>
    <w:rsid w:val="00CF03E1"/>
    <w:rsid w:val="00CF1647"/>
    <w:rsid w:val="00CF1E14"/>
    <w:rsid w:val="00CF2117"/>
    <w:rsid w:val="00CF22CB"/>
    <w:rsid w:val="00CF29A9"/>
    <w:rsid w:val="00CF39EE"/>
    <w:rsid w:val="00CF3A31"/>
    <w:rsid w:val="00CF3E43"/>
    <w:rsid w:val="00CF4B20"/>
    <w:rsid w:val="00CF50CD"/>
    <w:rsid w:val="00CF55E9"/>
    <w:rsid w:val="00CF5B59"/>
    <w:rsid w:val="00CF5B8E"/>
    <w:rsid w:val="00CF5EE7"/>
    <w:rsid w:val="00CF63F6"/>
    <w:rsid w:val="00CF6A56"/>
    <w:rsid w:val="00CF6B47"/>
    <w:rsid w:val="00CF70AB"/>
    <w:rsid w:val="00D0022B"/>
    <w:rsid w:val="00D0051F"/>
    <w:rsid w:val="00D01C1E"/>
    <w:rsid w:val="00D0268F"/>
    <w:rsid w:val="00D033EC"/>
    <w:rsid w:val="00D03E7D"/>
    <w:rsid w:val="00D0440B"/>
    <w:rsid w:val="00D04417"/>
    <w:rsid w:val="00D0560C"/>
    <w:rsid w:val="00D05BE0"/>
    <w:rsid w:val="00D061A0"/>
    <w:rsid w:val="00D06242"/>
    <w:rsid w:val="00D06565"/>
    <w:rsid w:val="00D074F9"/>
    <w:rsid w:val="00D07F3E"/>
    <w:rsid w:val="00D10B76"/>
    <w:rsid w:val="00D10F3B"/>
    <w:rsid w:val="00D1145F"/>
    <w:rsid w:val="00D11474"/>
    <w:rsid w:val="00D122B5"/>
    <w:rsid w:val="00D12EA4"/>
    <w:rsid w:val="00D13EF8"/>
    <w:rsid w:val="00D13F36"/>
    <w:rsid w:val="00D154E8"/>
    <w:rsid w:val="00D154EE"/>
    <w:rsid w:val="00D15693"/>
    <w:rsid w:val="00D156DE"/>
    <w:rsid w:val="00D157D9"/>
    <w:rsid w:val="00D15EA9"/>
    <w:rsid w:val="00D163F5"/>
    <w:rsid w:val="00D168C4"/>
    <w:rsid w:val="00D16B95"/>
    <w:rsid w:val="00D16BFB"/>
    <w:rsid w:val="00D175C0"/>
    <w:rsid w:val="00D17F38"/>
    <w:rsid w:val="00D2010E"/>
    <w:rsid w:val="00D212CA"/>
    <w:rsid w:val="00D21705"/>
    <w:rsid w:val="00D21E07"/>
    <w:rsid w:val="00D21F5C"/>
    <w:rsid w:val="00D2253D"/>
    <w:rsid w:val="00D22F3C"/>
    <w:rsid w:val="00D23ABB"/>
    <w:rsid w:val="00D24082"/>
    <w:rsid w:val="00D245F9"/>
    <w:rsid w:val="00D24934"/>
    <w:rsid w:val="00D25E5F"/>
    <w:rsid w:val="00D26121"/>
    <w:rsid w:val="00D2629A"/>
    <w:rsid w:val="00D26E37"/>
    <w:rsid w:val="00D27638"/>
    <w:rsid w:val="00D27D29"/>
    <w:rsid w:val="00D30208"/>
    <w:rsid w:val="00D30255"/>
    <w:rsid w:val="00D3059B"/>
    <w:rsid w:val="00D31087"/>
    <w:rsid w:val="00D31A20"/>
    <w:rsid w:val="00D32089"/>
    <w:rsid w:val="00D321A7"/>
    <w:rsid w:val="00D328D3"/>
    <w:rsid w:val="00D32AE2"/>
    <w:rsid w:val="00D3405F"/>
    <w:rsid w:val="00D34431"/>
    <w:rsid w:val="00D3448B"/>
    <w:rsid w:val="00D34672"/>
    <w:rsid w:val="00D34B67"/>
    <w:rsid w:val="00D353BA"/>
    <w:rsid w:val="00D35422"/>
    <w:rsid w:val="00D35C55"/>
    <w:rsid w:val="00D36019"/>
    <w:rsid w:val="00D3680C"/>
    <w:rsid w:val="00D37050"/>
    <w:rsid w:val="00D379A0"/>
    <w:rsid w:val="00D37EAA"/>
    <w:rsid w:val="00D407DD"/>
    <w:rsid w:val="00D40944"/>
    <w:rsid w:val="00D416FD"/>
    <w:rsid w:val="00D42311"/>
    <w:rsid w:val="00D42A79"/>
    <w:rsid w:val="00D42B28"/>
    <w:rsid w:val="00D43817"/>
    <w:rsid w:val="00D43907"/>
    <w:rsid w:val="00D43D4A"/>
    <w:rsid w:val="00D444FA"/>
    <w:rsid w:val="00D45177"/>
    <w:rsid w:val="00D451C1"/>
    <w:rsid w:val="00D45308"/>
    <w:rsid w:val="00D46950"/>
    <w:rsid w:val="00D469F9"/>
    <w:rsid w:val="00D46AB8"/>
    <w:rsid w:val="00D46D2B"/>
    <w:rsid w:val="00D46F8C"/>
    <w:rsid w:val="00D47013"/>
    <w:rsid w:val="00D47256"/>
    <w:rsid w:val="00D47331"/>
    <w:rsid w:val="00D4749E"/>
    <w:rsid w:val="00D4768A"/>
    <w:rsid w:val="00D507AE"/>
    <w:rsid w:val="00D5084F"/>
    <w:rsid w:val="00D50C51"/>
    <w:rsid w:val="00D5120D"/>
    <w:rsid w:val="00D51ED3"/>
    <w:rsid w:val="00D51FB1"/>
    <w:rsid w:val="00D521CE"/>
    <w:rsid w:val="00D52433"/>
    <w:rsid w:val="00D5288F"/>
    <w:rsid w:val="00D53403"/>
    <w:rsid w:val="00D537B1"/>
    <w:rsid w:val="00D53AD6"/>
    <w:rsid w:val="00D53C08"/>
    <w:rsid w:val="00D540A8"/>
    <w:rsid w:val="00D54E69"/>
    <w:rsid w:val="00D552F5"/>
    <w:rsid w:val="00D5530E"/>
    <w:rsid w:val="00D55669"/>
    <w:rsid w:val="00D55DCA"/>
    <w:rsid w:val="00D563E1"/>
    <w:rsid w:val="00D565EF"/>
    <w:rsid w:val="00D56C95"/>
    <w:rsid w:val="00D56D45"/>
    <w:rsid w:val="00D60046"/>
    <w:rsid w:val="00D6029D"/>
    <w:rsid w:val="00D6090A"/>
    <w:rsid w:val="00D61434"/>
    <w:rsid w:val="00D6176E"/>
    <w:rsid w:val="00D626E0"/>
    <w:rsid w:val="00D6276C"/>
    <w:rsid w:val="00D62B57"/>
    <w:rsid w:val="00D64106"/>
    <w:rsid w:val="00D64F35"/>
    <w:rsid w:val="00D66EAF"/>
    <w:rsid w:val="00D6717E"/>
    <w:rsid w:val="00D67473"/>
    <w:rsid w:val="00D679EE"/>
    <w:rsid w:val="00D67FDE"/>
    <w:rsid w:val="00D70441"/>
    <w:rsid w:val="00D707BC"/>
    <w:rsid w:val="00D707D2"/>
    <w:rsid w:val="00D71D19"/>
    <w:rsid w:val="00D71F85"/>
    <w:rsid w:val="00D71FFB"/>
    <w:rsid w:val="00D72123"/>
    <w:rsid w:val="00D736CD"/>
    <w:rsid w:val="00D73E7A"/>
    <w:rsid w:val="00D744C0"/>
    <w:rsid w:val="00D7453E"/>
    <w:rsid w:val="00D7530F"/>
    <w:rsid w:val="00D757CA"/>
    <w:rsid w:val="00D75BB7"/>
    <w:rsid w:val="00D7633E"/>
    <w:rsid w:val="00D767B6"/>
    <w:rsid w:val="00D76ABD"/>
    <w:rsid w:val="00D7709C"/>
    <w:rsid w:val="00D770BE"/>
    <w:rsid w:val="00D773A9"/>
    <w:rsid w:val="00D7783B"/>
    <w:rsid w:val="00D80558"/>
    <w:rsid w:val="00D81CE1"/>
    <w:rsid w:val="00D81DA8"/>
    <w:rsid w:val="00D82111"/>
    <w:rsid w:val="00D8299A"/>
    <w:rsid w:val="00D8379F"/>
    <w:rsid w:val="00D83C59"/>
    <w:rsid w:val="00D8474F"/>
    <w:rsid w:val="00D84F4C"/>
    <w:rsid w:val="00D856A9"/>
    <w:rsid w:val="00D85FA3"/>
    <w:rsid w:val="00D86361"/>
    <w:rsid w:val="00D8699F"/>
    <w:rsid w:val="00D86D26"/>
    <w:rsid w:val="00D8711F"/>
    <w:rsid w:val="00D875B8"/>
    <w:rsid w:val="00D87726"/>
    <w:rsid w:val="00D87B3E"/>
    <w:rsid w:val="00D900FC"/>
    <w:rsid w:val="00D906D1"/>
    <w:rsid w:val="00D9186F"/>
    <w:rsid w:val="00D919BD"/>
    <w:rsid w:val="00D91E6F"/>
    <w:rsid w:val="00D92206"/>
    <w:rsid w:val="00D9236C"/>
    <w:rsid w:val="00D928D0"/>
    <w:rsid w:val="00D92950"/>
    <w:rsid w:val="00D92C1D"/>
    <w:rsid w:val="00D92C5B"/>
    <w:rsid w:val="00D9306A"/>
    <w:rsid w:val="00D930F3"/>
    <w:rsid w:val="00D93605"/>
    <w:rsid w:val="00D938BB"/>
    <w:rsid w:val="00D94A8C"/>
    <w:rsid w:val="00D94E65"/>
    <w:rsid w:val="00D95525"/>
    <w:rsid w:val="00D9598C"/>
    <w:rsid w:val="00D96124"/>
    <w:rsid w:val="00D970B7"/>
    <w:rsid w:val="00D976EF"/>
    <w:rsid w:val="00D9770C"/>
    <w:rsid w:val="00D97894"/>
    <w:rsid w:val="00D97A56"/>
    <w:rsid w:val="00DA0487"/>
    <w:rsid w:val="00DA077E"/>
    <w:rsid w:val="00DA0FBB"/>
    <w:rsid w:val="00DA1A42"/>
    <w:rsid w:val="00DA2522"/>
    <w:rsid w:val="00DA3806"/>
    <w:rsid w:val="00DA3E05"/>
    <w:rsid w:val="00DA402C"/>
    <w:rsid w:val="00DA4D26"/>
    <w:rsid w:val="00DA5612"/>
    <w:rsid w:val="00DA58CB"/>
    <w:rsid w:val="00DA5CCB"/>
    <w:rsid w:val="00DA64AA"/>
    <w:rsid w:val="00DA66AD"/>
    <w:rsid w:val="00DA6827"/>
    <w:rsid w:val="00DA69E4"/>
    <w:rsid w:val="00DA7184"/>
    <w:rsid w:val="00DA7D1C"/>
    <w:rsid w:val="00DB020B"/>
    <w:rsid w:val="00DB06B5"/>
    <w:rsid w:val="00DB0CD7"/>
    <w:rsid w:val="00DB1075"/>
    <w:rsid w:val="00DB12E3"/>
    <w:rsid w:val="00DB1433"/>
    <w:rsid w:val="00DB16A2"/>
    <w:rsid w:val="00DB1732"/>
    <w:rsid w:val="00DB1CAA"/>
    <w:rsid w:val="00DB1DD2"/>
    <w:rsid w:val="00DB3781"/>
    <w:rsid w:val="00DB38BF"/>
    <w:rsid w:val="00DB3D2A"/>
    <w:rsid w:val="00DB4246"/>
    <w:rsid w:val="00DB4DF5"/>
    <w:rsid w:val="00DB5753"/>
    <w:rsid w:val="00DB5A41"/>
    <w:rsid w:val="00DB5F7B"/>
    <w:rsid w:val="00DB6841"/>
    <w:rsid w:val="00DB6EF6"/>
    <w:rsid w:val="00DB7BDA"/>
    <w:rsid w:val="00DB7FA8"/>
    <w:rsid w:val="00DC0050"/>
    <w:rsid w:val="00DC0522"/>
    <w:rsid w:val="00DC195F"/>
    <w:rsid w:val="00DC25D9"/>
    <w:rsid w:val="00DC29FD"/>
    <w:rsid w:val="00DC2B73"/>
    <w:rsid w:val="00DC2DF8"/>
    <w:rsid w:val="00DC3049"/>
    <w:rsid w:val="00DC33B7"/>
    <w:rsid w:val="00DC36C3"/>
    <w:rsid w:val="00DC376E"/>
    <w:rsid w:val="00DC390F"/>
    <w:rsid w:val="00DC3D0E"/>
    <w:rsid w:val="00DC42E0"/>
    <w:rsid w:val="00DC42F3"/>
    <w:rsid w:val="00DC44AE"/>
    <w:rsid w:val="00DC4529"/>
    <w:rsid w:val="00DC47F7"/>
    <w:rsid w:val="00DC4A9C"/>
    <w:rsid w:val="00DC5847"/>
    <w:rsid w:val="00DC587A"/>
    <w:rsid w:val="00DC5CEC"/>
    <w:rsid w:val="00DC5CF7"/>
    <w:rsid w:val="00DC5FA3"/>
    <w:rsid w:val="00DC747F"/>
    <w:rsid w:val="00DC768F"/>
    <w:rsid w:val="00DD09DD"/>
    <w:rsid w:val="00DD0AFA"/>
    <w:rsid w:val="00DD1E24"/>
    <w:rsid w:val="00DD2310"/>
    <w:rsid w:val="00DD2333"/>
    <w:rsid w:val="00DD3751"/>
    <w:rsid w:val="00DD3D76"/>
    <w:rsid w:val="00DD41F5"/>
    <w:rsid w:val="00DD43D9"/>
    <w:rsid w:val="00DD50CD"/>
    <w:rsid w:val="00DD5B89"/>
    <w:rsid w:val="00DD6489"/>
    <w:rsid w:val="00DD68A7"/>
    <w:rsid w:val="00DD6C07"/>
    <w:rsid w:val="00DD6CCA"/>
    <w:rsid w:val="00DD71DE"/>
    <w:rsid w:val="00DD7718"/>
    <w:rsid w:val="00DE0641"/>
    <w:rsid w:val="00DE070E"/>
    <w:rsid w:val="00DE0E1F"/>
    <w:rsid w:val="00DE1077"/>
    <w:rsid w:val="00DE1558"/>
    <w:rsid w:val="00DE161B"/>
    <w:rsid w:val="00DE195E"/>
    <w:rsid w:val="00DE2DA6"/>
    <w:rsid w:val="00DE2E8C"/>
    <w:rsid w:val="00DE4654"/>
    <w:rsid w:val="00DE47EA"/>
    <w:rsid w:val="00DE4D20"/>
    <w:rsid w:val="00DE50C0"/>
    <w:rsid w:val="00DE5111"/>
    <w:rsid w:val="00DE5368"/>
    <w:rsid w:val="00DE5863"/>
    <w:rsid w:val="00DE5CA2"/>
    <w:rsid w:val="00DE5D24"/>
    <w:rsid w:val="00DE5F5A"/>
    <w:rsid w:val="00DE605A"/>
    <w:rsid w:val="00DE65A1"/>
    <w:rsid w:val="00DE65B8"/>
    <w:rsid w:val="00DE6F71"/>
    <w:rsid w:val="00DE7726"/>
    <w:rsid w:val="00DF04A1"/>
    <w:rsid w:val="00DF0C9C"/>
    <w:rsid w:val="00DF0F09"/>
    <w:rsid w:val="00DF2145"/>
    <w:rsid w:val="00DF21EE"/>
    <w:rsid w:val="00DF282B"/>
    <w:rsid w:val="00DF2F78"/>
    <w:rsid w:val="00DF3336"/>
    <w:rsid w:val="00DF3CC5"/>
    <w:rsid w:val="00DF49D2"/>
    <w:rsid w:val="00DF505A"/>
    <w:rsid w:val="00DF5D07"/>
    <w:rsid w:val="00DF5DC6"/>
    <w:rsid w:val="00DF5DD9"/>
    <w:rsid w:val="00DF64B4"/>
    <w:rsid w:val="00DF6726"/>
    <w:rsid w:val="00DF6E84"/>
    <w:rsid w:val="00DF73B7"/>
    <w:rsid w:val="00DF7D5B"/>
    <w:rsid w:val="00E00DCB"/>
    <w:rsid w:val="00E0162A"/>
    <w:rsid w:val="00E02245"/>
    <w:rsid w:val="00E024B9"/>
    <w:rsid w:val="00E02A26"/>
    <w:rsid w:val="00E03400"/>
    <w:rsid w:val="00E034F3"/>
    <w:rsid w:val="00E04A91"/>
    <w:rsid w:val="00E0516D"/>
    <w:rsid w:val="00E05639"/>
    <w:rsid w:val="00E0578C"/>
    <w:rsid w:val="00E063A2"/>
    <w:rsid w:val="00E066BD"/>
    <w:rsid w:val="00E100A2"/>
    <w:rsid w:val="00E104E7"/>
    <w:rsid w:val="00E11039"/>
    <w:rsid w:val="00E114C9"/>
    <w:rsid w:val="00E11B60"/>
    <w:rsid w:val="00E12279"/>
    <w:rsid w:val="00E123A9"/>
    <w:rsid w:val="00E123F2"/>
    <w:rsid w:val="00E12D9F"/>
    <w:rsid w:val="00E13C0F"/>
    <w:rsid w:val="00E13F00"/>
    <w:rsid w:val="00E14FD6"/>
    <w:rsid w:val="00E15464"/>
    <w:rsid w:val="00E1597C"/>
    <w:rsid w:val="00E159F0"/>
    <w:rsid w:val="00E15DDB"/>
    <w:rsid w:val="00E1673E"/>
    <w:rsid w:val="00E16EF3"/>
    <w:rsid w:val="00E1724A"/>
    <w:rsid w:val="00E1763F"/>
    <w:rsid w:val="00E17D1E"/>
    <w:rsid w:val="00E17DBF"/>
    <w:rsid w:val="00E2007E"/>
    <w:rsid w:val="00E20922"/>
    <w:rsid w:val="00E20CD2"/>
    <w:rsid w:val="00E215E6"/>
    <w:rsid w:val="00E22217"/>
    <w:rsid w:val="00E229B1"/>
    <w:rsid w:val="00E22A82"/>
    <w:rsid w:val="00E22DFD"/>
    <w:rsid w:val="00E23396"/>
    <w:rsid w:val="00E233C3"/>
    <w:rsid w:val="00E23CE1"/>
    <w:rsid w:val="00E23F79"/>
    <w:rsid w:val="00E242F3"/>
    <w:rsid w:val="00E248CE"/>
    <w:rsid w:val="00E2518C"/>
    <w:rsid w:val="00E25C38"/>
    <w:rsid w:val="00E26961"/>
    <w:rsid w:val="00E27011"/>
    <w:rsid w:val="00E279C0"/>
    <w:rsid w:val="00E27C73"/>
    <w:rsid w:val="00E3083E"/>
    <w:rsid w:val="00E326A9"/>
    <w:rsid w:val="00E3287B"/>
    <w:rsid w:val="00E34963"/>
    <w:rsid w:val="00E34E6A"/>
    <w:rsid w:val="00E35373"/>
    <w:rsid w:val="00E35B78"/>
    <w:rsid w:val="00E35E4C"/>
    <w:rsid w:val="00E363DF"/>
    <w:rsid w:val="00E36CF6"/>
    <w:rsid w:val="00E36D6E"/>
    <w:rsid w:val="00E3750C"/>
    <w:rsid w:val="00E37B4B"/>
    <w:rsid w:val="00E4028E"/>
    <w:rsid w:val="00E410D1"/>
    <w:rsid w:val="00E42185"/>
    <w:rsid w:val="00E42465"/>
    <w:rsid w:val="00E4275B"/>
    <w:rsid w:val="00E42A6E"/>
    <w:rsid w:val="00E42AB7"/>
    <w:rsid w:val="00E43CB3"/>
    <w:rsid w:val="00E448CE"/>
    <w:rsid w:val="00E44B39"/>
    <w:rsid w:val="00E460DC"/>
    <w:rsid w:val="00E462A9"/>
    <w:rsid w:val="00E47244"/>
    <w:rsid w:val="00E47BA3"/>
    <w:rsid w:val="00E500C3"/>
    <w:rsid w:val="00E505A3"/>
    <w:rsid w:val="00E50622"/>
    <w:rsid w:val="00E50693"/>
    <w:rsid w:val="00E52093"/>
    <w:rsid w:val="00E52578"/>
    <w:rsid w:val="00E52894"/>
    <w:rsid w:val="00E53274"/>
    <w:rsid w:val="00E5449D"/>
    <w:rsid w:val="00E54B99"/>
    <w:rsid w:val="00E54D67"/>
    <w:rsid w:val="00E5559F"/>
    <w:rsid w:val="00E55782"/>
    <w:rsid w:val="00E55923"/>
    <w:rsid w:val="00E5645C"/>
    <w:rsid w:val="00E564C2"/>
    <w:rsid w:val="00E57242"/>
    <w:rsid w:val="00E57B00"/>
    <w:rsid w:val="00E60141"/>
    <w:rsid w:val="00E6031D"/>
    <w:rsid w:val="00E6036F"/>
    <w:rsid w:val="00E60682"/>
    <w:rsid w:val="00E606A7"/>
    <w:rsid w:val="00E60B7E"/>
    <w:rsid w:val="00E60D93"/>
    <w:rsid w:val="00E60E03"/>
    <w:rsid w:val="00E61C34"/>
    <w:rsid w:val="00E6243C"/>
    <w:rsid w:val="00E62C46"/>
    <w:rsid w:val="00E6348B"/>
    <w:rsid w:val="00E6507C"/>
    <w:rsid w:val="00E652EA"/>
    <w:rsid w:val="00E65951"/>
    <w:rsid w:val="00E65C17"/>
    <w:rsid w:val="00E65D80"/>
    <w:rsid w:val="00E66CE1"/>
    <w:rsid w:val="00E66FBF"/>
    <w:rsid w:val="00E6738D"/>
    <w:rsid w:val="00E67A10"/>
    <w:rsid w:val="00E67CA0"/>
    <w:rsid w:val="00E67E90"/>
    <w:rsid w:val="00E7090B"/>
    <w:rsid w:val="00E70B5F"/>
    <w:rsid w:val="00E70D20"/>
    <w:rsid w:val="00E71F91"/>
    <w:rsid w:val="00E72600"/>
    <w:rsid w:val="00E72690"/>
    <w:rsid w:val="00E72961"/>
    <w:rsid w:val="00E72FF8"/>
    <w:rsid w:val="00E73CD4"/>
    <w:rsid w:val="00E73EA1"/>
    <w:rsid w:val="00E741B7"/>
    <w:rsid w:val="00E7497D"/>
    <w:rsid w:val="00E74B43"/>
    <w:rsid w:val="00E7546B"/>
    <w:rsid w:val="00E75663"/>
    <w:rsid w:val="00E75838"/>
    <w:rsid w:val="00E762AF"/>
    <w:rsid w:val="00E76574"/>
    <w:rsid w:val="00E765A9"/>
    <w:rsid w:val="00E77344"/>
    <w:rsid w:val="00E774E8"/>
    <w:rsid w:val="00E776D0"/>
    <w:rsid w:val="00E80643"/>
    <w:rsid w:val="00E80827"/>
    <w:rsid w:val="00E8124B"/>
    <w:rsid w:val="00E813DA"/>
    <w:rsid w:val="00E81B08"/>
    <w:rsid w:val="00E81B79"/>
    <w:rsid w:val="00E82604"/>
    <w:rsid w:val="00E833D5"/>
    <w:rsid w:val="00E83D52"/>
    <w:rsid w:val="00E84B09"/>
    <w:rsid w:val="00E84C45"/>
    <w:rsid w:val="00E84F06"/>
    <w:rsid w:val="00E85760"/>
    <w:rsid w:val="00E8671D"/>
    <w:rsid w:val="00E86E54"/>
    <w:rsid w:val="00E900BF"/>
    <w:rsid w:val="00E90BCE"/>
    <w:rsid w:val="00E90C7C"/>
    <w:rsid w:val="00E90D88"/>
    <w:rsid w:val="00E92592"/>
    <w:rsid w:val="00E928C7"/>
    <w:rsid w:val="00E92D21"/>
    <w:rsid w:val="00E92F18"/>
    <w:rsid w:val="00E9372B"/>
    <w:rsid w:val="00E937E3"/>
    <w:rsid w:val="00E93D33"/>
    <w:rsid w:val="00E947A8"/>
    <w:rsid w:val="00E94E79"/>
    <w:rsid w:val="00E9548C"/>
    <w:rsid w:val="00E95F3F"/>
    <w:rsid w:val="00E963F5"/>
    <w:rsid w:val="00E969C8"/>
    <w:rsid w:val="00E96D72"/>
    <w:rsid w:val="00E976B4"/>
    <w:rsid w:val="00E9775E"/>
    <w:rsid w:val="00E978FB"/>
    <w:rsid w:val="00E97E7A"/>
    <w:rsid w:val="00EA0257"/>
    <w:rsid w:val="00EA0483"/>
    <w:rsid w:val="00EA0E91"/>
    <w:rsid w:val="00EA0FB5"/>
    <w:rsid w:val="00EA135E"/>
    <w:rsid w:val="00EA157A"/>
    <w:rsid w:val="00EA1779"/>
    <w:rsid w:val="00EA269F"/>
    <w:rsid w:val="00EA26AD"/>
    <w:rsid w:val="00EA3037"/>
    <w:rsid w:val="00EA3B84"/>
    <w:rsid w:val="00EA3DE8"/>
    <w:rsid w:val="00EA4841"/>
    <w:rsid w:val="00EA4DE3"/>
    <w:rsid w:val="00EA5577"/>
    <w:rsid w:val="00EA5CCD"/>
    <w:rsid w:val="00EA5DEC"/>
    <w:rsid w:val="00EA5FCF"/>
    <w:rsid w:val="00EA60FE"/>
    <w:rsid w:val="00EA610D"/>
    <w:rsid w:val="00EA7642"/>
    <w:rsid w:val="00EB0029"/>
    <w:rsid w:val="00EB0182"/>
    <w:rsid w:val="00EB16CF"/>
    <w:rsid w:val="00EB17C8"/>
    <w:rsid w:val="00EB2385"/>
    <w:rsid w:val="00EB253D"/>
    <w:rsid w:val="00EB28DA"/>
    <w:rsid w:val="00EB2C52"/>
    <w:rsid w:val="00EB3E6F"/>
    <w:rsid w:val="00EB43E6"/>
    <w:rsid w:val="00EB48DD"/>
    <w:rsid w:val="00EB58E5"/>
    <w:rsid w:val="00EB652C"/>
    <w:rsid w:val="00EB7D97"/>
    <w:rsid w:val="00EC05CA"/>
    <w:rsid w:val="00EC17B9"/>
    <w:rsid w:val="00EC18B5"/>
    <w:rsid w:val="00EC2124"/>
    <w:rsid w:val="00EC22C3"/>
    <w:rsid w:val="00EC27CD"/>
    <w:rsid w:val="00EC2D2C"/>
    <w:rsid w:val="00EC2DEF"/>
    <w:rsid w:val="00EC3289"/>
    <w:rsid w:val="00EC3768"/>
    <w:rsid w:val="00EC4CF3"/>
    <w:rsid w:val="00EC50EC"/>
    <w:rsid w:val="00EC60EB"/>
    <w:rsid w:val="00EC6FDB"/>
    <w:rsid w:val="00EC7FA4"/>
    <w:rsid w:val="00ED0234"/>
    <w:rsid w:val="00ED042D"/>
    <w:rsid w:val="00ED0922"/>
    <w:rsid w:val="00ED0C24"/>
    <w:rsid w:val="00ED0C7A"/>
    <w:rsid w:val="00ED166F"/>
    <w:rsid w:val="00ED1A19"/>
    <w:rsid w:val="00ED1DEF"/>
    <w:rsid w:val="00ED23CA"/>
    <w:rsid w:val="00ED2464"/>
    <w:rsid w:val="00ED2481"/>
    <w:rsid w:val="00ED3205"/>
    <w:rsid w:val="00ED337B"/>
    <w:rsid w:val="00ED3849"/>
    <w:rsid w:val="00ED4452"/>
    <w:rsid w:val="00ED48F8"/>
    <w:rsid w:val="00ED4972"/>
    <w:rsid w:val="00ED4A0D"/>
    <w:rsid w:val="00ED564A"/>
    <w:rsid w:val="00ED5ADB"/>
    <w:rsid w:val="00ED67C7"/>
    <w:rsid w:val="00ED7591"/>
    <w:rsid w:val="00ED7AE3"/>
    <w:rsid w:val="00ED7D36"/>
    <w:rsid w:val="00ED7EED"/>
    <w:rsid w:val="00EE0A8E"/>
    <w:rsid w:val="00EE0A93"/>
    <w:rsid w:val="00EE0D0C"/>
    <w:rsid w:val="00EE11C5"/>
    <w:rsid w:val="00EE19BB"/>
    <w:rsid w:val="00EE1BD0"/>
    <w:rsid w:val="00EE2CCE"/>
    <w:rsid w:val="00EE3C69"/>
    <w:rsid w:val="00EE3F90"/>
    <w:rsid w:val="00EE403D"/>
    <w:rsid w:val="00EE4D84"/>
    <w:rsid w:val="00EE525A"/>
    <w:rsid w:val="00EE53C2"/>
    <w:rsid w:val="00EE5455"/>
    <w:rsid w:val="00EE5540"/>
    <w:rsid w:val="00EE5969"/>
    <w:rsid w:val="00EE5A5B"/>
    <w:rsid w:val="00EE700C"/>
    <w:rsid w:val="00EE7338"/>
    <w:rsid w:val="00EE7447"/>
    <w:rsid w:val="00EE7CFA"/>
    <w:rsid w:val="00EE7FB8"/>
    <w:rsid w:val="00EF0714"/>
    <w:rsid w:val="00EF090C"/>
    <w:rsid w:val="00EF0CF3"/>
    <w:rsid w:val="00EF0ED4"/>
    <w:rsid w:val="00EF15D0"/>
    <w:rsid w:val="00EF3F02"/>
    <w:rsid w:val="00EF499A"/>
    <w:rsid w:val="00EF508D"/>
    <w:rsid w:val="00EF55B2"/>
    <w:rsid w:val="00EF595A"/>
    <w:rsid w:val="00EF5A42"/>
    <w:rsid w:val="00EF5AFB"/>
    <w:rsid w:val="00EF6ABD"/>
    <w:rsid w:val="00EF6C0A"/>
    <w:rsid w:val="00EF7145"/>
    <w:rsid w:val="00EF722E"/>
    <w:rsid w:val="00F019B0"/>
    <w:rsid w:val="00F0474D"/>
    <w:rsid w:val="00F0527D"/>
    <w:rsid w:val="00F0555A"/>
    <w:rsid w:val="00F05E75"/>
    <w:rsid w:val="00F06120"/>
    <w:rsid w:val="00F065EA"/>
    <w:rsid w:val="00F06A2D"/>
    <w:rsid w:val="00F06C54"/>
    <w:rsid w:val="00F06F62"/>
    <w:rsid w:val="00F07700"/>
    <w:rsid w:val="00F07D05"/>
    <w:rsid w:val="00F07DBF"/>
    <w:rsid w:val="00F07E2F"/>
    <w:rsid w:val="00F07E9E"/>
    <w:rsid w:val="00F07F2C"/>
    <w:rsid w:val="00F108E7"/>
    <w:rsid w:val="00F10C35"/>
    <w:rsid w:val="00F10CBD"/>
    <w:rsid w:val="00F11234"/>
    <w:rsid w:val="00F115AC"/>
    <w:rsid w:val="00F12311"/>
    <w:rsid w:val="00F12370"/>
    <w:rsid w:val="00F138F3"/>
    <w:rsid w:val="00F13D6A"/>
    <w:rsid w:val="00F13DE2"/>
    <w:rsid w:val="00F13DEE"/>
    <w:rsid w:val="00F14F0F"/>
    <w:rsid w:val="00F158FF"/>
    <w:rsid w:val="00F15F1A"/>
    <w:rsid w:val="00F1713B"/>
    <w:rsid w:val="00F17A30"/>
    <w:rsid w:val="00F17BB9"/>
    <w:rsid w:val="00F17CDC"/>
    <w:rsid w:val="00F2052B"/>
    <w:rsid w:val="00F20F0D"/>
    <w:rsid w:val="00F21AD6"/>
    <w:rsid w:val="00F21F80"/>
    <w:rsid w:val="00F229D6"/>
    <w:rsid w:val="00F23BBC"/>
    <w:rsid w:val="00F2406B"/>
    <w:rsid w:val="00F24104"/>
    <w:rsid w:val="00F24180"/>
    <w:rsid w:val="00F242CE"/>
    <w:rsid w:val="00F24654"/>
    <w:rsid w:val="00F248AB"/>
    <w:rsid w:val="00F24F37"/>
    <w:rsid w:val="00F25137"/>
    <w:rsid w:val="00F2589B"/>
    <w:rsid w:val="00F258FB"/>
    <w:rsid w:val="00F2679D"/>
    <w:rsid w:val="00F26AF0"/>
    <w:rsid w:val="00F27781"/>
    <w:rsid w:val="00F27820"/>
    <w:rsid w:val="00F278C9"/>
    <w:rsid w:val="00F3034B"/>
    <w:rsid w:val="00F30CE2"/>
    <w:rsid w:val="00F31578"/>
    <w:rsid w:val="00F31624"/>
    <w:rsid w:val="00F3300A"/>
    <w:rsid w:val="00F33247"/>
    <w:rsid w:val="00F33CB8"/>
    <w:rsid w:val="00F33CF2"/>
    <w:rsid w:val="00F33EF7"/>
    <w:rsid w:val="00F3400C"/>
    <w:rsid w:val="00F3419C"/>
    <w:rsid w:val="00F345DF"/>
    <w:rsid w:val="00F34613"/>
    <w:rsid w:val="00F347C8"/>
    <w:rsid w:val="00F34A32"/>
    <w:rsid w:val="00F34C2D"/>
    <w:rsid w:val="00F34E3B"/>
    <w:rsid w:val="00F3503D"/>
    <w:rsid w:val="00F364B6"/>
    <w:rsid w:val="00F3789D"/>
    <w:rsid w:val="00F379B5"/>
    <w:rsid w:val="00F40ACA"/>
    <w:rsid w:val="00F40B09"/>
    <w:rsid w:val="00F40CC9"/>
    <w:rsid w:val="00F418F4"/>
    <w:rsid w:val="00F41B50"/>
    <w:rsid w:val="00F424D3"/>
    <w:rsid w:val="00F42613"/>
    <w:rsid w:val="00F42ECB"/>
    <w:rsid w:val="00F43ABB"/>
    <w:rsid w:val="00F442FC"/>
    <w:rsid w:val="00F444C2"/>
    <w:rsid w:val="00F4467D"/>
    <w:rsid w:val="00F44CD7"/>
    <w:rsid w:val="00F46780"/>
    <w:rsid w:val="00F468A7"/>
    <w:rsid w:val="00F476C1"/>
    <w:rsid w:val="00F50101"/>
    <w:rsid w:val="00F5047C"/>
    <w:rsid w:val="00F5107C"/>
    <w:rsid w:val="00F513D6"/>
    <w:rsid w:val="00F51AB6"/>
    <w:rsid w:val="00F51D67"/>
    <w:rsid w:val="00F520BD"/>
    <w:rsid w:val="00F52280"/>
    <w:rsid w:val="00F52373"/>
    <w:rsid w:val="00F53047"/>
    <w:rsid w:val="00F5304C"/>
    <w:rsid w:val="00F530A9"/>
    <w:rsid w:val="00F53FF7"/>
    <w:rsid w:val="00F5421F"/>
    <w:rsid w:val="00F5493B"/>
    <w:rsid w:val="00F55BC9"/>
    <w:rsid w:val="00F55F67"/>
    <w:rsid w:val="00F572E2"/>
    <w:rsid w:val="00F57810"/>
    <w:rsid w:val="00F57B9F"/>
    <w:rsid w:val="00F606DD"/>
    <w:rsid w:val="00F606EA"/>
    <w:rsid w:val="00F607E3"/>
    <w:rsid w:val="00F61A2E"/>
    <w:rsid w:val="00F61E75"/>
    <w:rsid w:val="00F6278C"/>
    <w:rsid w:val="00F62968"/>
    <w:rsid w:val="00F62CB6"/>
    <w:rsid w:val="00F63366"/>
    <w:rsid w:val="00F634B2"/>
    <w:rsid w:val="00F63787"/>
    <w:rsid w:val="00F63D75"/>
    <w:rsid w:val="00F64CC3"/>
    <w:rsid w:val="00F655DE"/>
    <w:rsid w:val="00F659B0"/>
    <w:rsid w:val="00F65CDB"/>
    <w:rsid w:val="00F65D96"/>
    <w:rsid w:val="00F65F93"/>
    <w:rsid w:val="00F663CF"/>
    <w:rsid w:val="00F6640D"/>
    <w:rsid w:val="00F66599"/>
    <w:rsid w:val="00F665F7"/>
    <w:rsid w:val="00F67307"/>
    <w:rsid w:val="00F67452"/>
    <w:rsid w:val="00F67A45"/>
    <w:rsid w:val="00F67CDE"/>
    <w:rsid w:val="00F700A1"/>
    <w:rsid w:val="00F70309"/>
    <w:rsid w:val="00F704D3"/>
    <w:rsid w:val="00F71204"/>
    <w:rsid w:val="00F72A69"/>
    <w:rsid w:val="00F72D45"/>
    <w:rsid w:val="00F72FE5"/>
    <w:rsid w:val="00F732DB"/>
    <w:rsid w:val="00F73493"/>
    <w:rsid w:val="00F73AED"/>
    <w:rsid w:val="00F74090"/>
    <w:rsid w:val="00F74E1C"/>
    <w:rsid w:val="00F74E96"/>
    <w:rsid w:val="00F74FDF"/>
    <w:rsid w:val="00F7602B"/>
    <w:rsid w:val="00F76FDA"/>
    <w:rsid w:val="00F770F3"/>
    <w:rsid w:val="00F80539"/>
    <w:rsid w:val="00F8095A"/>
    <w:rsid w:val="00F812CA"/>
    <w:rsid w:val="00F81F5C"/>
    <w:rsid w:val="00F82ED5"/>
    <w:rsid w:val="00F835CC"/>
    <w:rsid w:val="00F83FF5"/>
    <w:rsid w:val="00F84237"/>
    <w:rsid w:val="00F84A2C"/>
    <w:rsid w:val="00F84E6F"/>
    <w:rsid w:val="00F852EE"/>
    <w:rsid w:val="00F853AF"/>
    <w:rsid w:val="00F854F6"/>
    <w:rsid w:val="00F85AA9"/>
    <w:rsid w:val="00F85B74"/>
    <w:rsid w:val="00F863E3"/>
    <w:rsid w:val="00F869D5"/>
    <w:rsid w:val="00F86EA7"/>
    <w:rsid w:val="00F87EFD"/>
    <w:rsid w:val="00F9133C"/>
    <w:rsid w:val="00F91A57"/>
    <w:rsid w:val="00F91E30"/>
    <w:rsid w:val="00F91F4F"/>
    <w:rsid w:val="00F92FC6"/>
    <w:rsid w:val="00F932BA"/>
    <w:rsid w:val="00F93BBD"/>
    <w:rsid w:val="00F93CF1"/>
    <w:rsid w:val="00F94AA4"/>
    <w:rsid w:val="00F95CD2"/>
    <w:rsid w:val="00F96A34"/>
    <w:rsid w:val="00F97CF6"/>
    <w:rsid w:val="00F97D58"/>
    <w:rsid w:val="00FA0204"/>
    <w:rsid w:val="00FA062B"/>
    <w:rsid w:val="00FA1364"/>
    <w:rsid w:val="00FA1387"/>
    <w:rsid w:val="00FA17D0"/>
    <w:rsid w:val="00FA18C9"/>
    <w:rsid w:val="00FA1A15"/>
    <w:rsid w:val="00FA1B45"/>
    <w:rsid w:val="00FA207A"/>
    <w:rsid w:val="00FA2FCC"/>
    <w:rsid w:val="00FA3719"/>
    <w:rsid w:val="00FA42AA"/>
    <w:rsid w:val="00FA44FD"/>
    <w:rsid w:val="00FA4B38"/>
    <w:rsid w:val="00FA4DBD"/>
    <w:rsid w:val="00FA5BCD"/>
    <w:rsid w:val="00FA5D27"/>
    <w:rsid w:val="00FA5D5F"/>
    <w:rsid w:val="00FA62B7"/>
    <w:rsid w:val="00FA659B"/>
    <w:rsid w:val="00FA6742"/>
    <w:rsid w:val="00FA6CC8"/>
    <w:rsid w:val="00FA71DE"/>
    <w:rsid w:val="00FB0872"/>
    <w:rsid w:val="00FB0A80"/>
    <w:rsid w:val="00FB0E85"/>
    <w:rsid w:val="00FB1394"/>
    <w:rsid w:val="00FB1F0B"/>
    <w:rsid w:val="00FB2406"/>
    <w:rsid w:val="00FB24F9"/>
    <w:rsid w:val="00FB292E"/>
    <w:rsid w:val="00FB2D92"/>
    <w:rsid w:val="00FB2E2E"/>
    <w:rsid w:val="00FB389D"/>
    <w:rsid w:val="00FB3B15"/>
    <w:rsid w:val="00FB4387"/>
    <w:rsid w:val="00FB5323"/>
    <w:rsid w:val="00FB546C"/>
    <w:rsid w:val="00FB5B13"/>
    <w:rsid w:val="00FB5D8C"/>
    <w:rsid w:val="00FB6157"/>
    <w:rsid w:val="00FB645E"/>
    <w:rsid w:val="00FB68FA"/>
    <w:rsid w:val="00FB6FF4"/>
    <w:rsid w:val="00FB70C0"/>
    <w:rsid w:val="00FB756F"/>
    <w:rsid w:val="00FC1ADC"/>
    <w:rsid w:val="00FC22A7"/>
    <w:rsid w:val="00FC28FD"/>
    <w:rsid w:val="00FC2AB2"/>
    <w:rsid w:val="00FC33DD"/>
    <w:rsid w:val="00FC3455"/>
    <w:rsid w:val="00FC353E"/>
    <w:rsid w:val="00FC35EE"/>
    <w:rsid w:val="00FC36C6"/>
    <w:rsid w:val="00FC3BA2"/>
    <w:rsid w:val="00FC468E"/>
    <w:rsid w:val="00FC594F"/>
    <w:rsid w:val="00FC5B5C"/>
    <w:rsid w:val="00FC5D31"/>
    <w:rsid w:val="00FC61FA"/>
    <w:rsid w:val="00FC62F8"/>
    <w:rsid w:val="00FC6A45"/>
    <w:rsid w:val="00FC705C"/>
    <w:rsid w:val="00FC7151"/>
    <w:rsid w:val="00FC71B9"/>
    <w:rsid w:val="00FD08EB"/>
    <w:rsid w:val="00FD0C96"/>
    <w:rsid w:val="00FD123D"/>
    <w:rsid w:val="00FD1FD9"/>
    <w:rsid w:val="00FD263A"/>
    <w:rsid w:val="00FD312D"/>
    <w:rsid w:val="00FD324E"/>
    <w:rsid w:val="00FD36F7"/>
    <w:rsid w:val="00FD38C9"/>
    <w:rsid w:val="00FD4874"/>
    <w:rsid w:val="00FD4A72"/>
    <w:rsid w:val="00FD5073"/>
    <w:rsid w:val="00FD5864"/>
    <w:rsid w:val="00FD5878"/>
    <w:rsid w:val="00FD60DC"/>
    <w:rsid w:val="00FD6499"/>
    <w:rsid w:val="00FD6E2C"/>
    <w:rsid w:val="00FD791A"/>
    <w:rsid w:val="00FE0293"/>
    <w:rsid w:val="00FE165D"/>
    <w:rsid w:val="00FE175D"/>
    <w:rsid w:val="00FE306B"/>
    <w:rsid w:val="00FE5C90"/>
    <w:rsid w:val="00FE60D2"/>
    <w:rsid w:val="00FE635D"/>
    <w:rsid w:val="00FE7255"/>
    <w:rsid w:val="00FE75F3"/>
    <w:rsid w:val="00FE7777"/>
    <w:rsid w:val="00FE7800"/>
    <w:rsid w:val="00FE7875"/>
    <w:rsid w:val="00FE7E06"/>
    <w:rsid w:val="00FF09CD"/>
    <w:rsid w:val="00FF0A8D"/>
    <w:rsid w:val="00FF0D76"/>
    <w:rsid w:val="00FF0E7B"/>
    <w:rsid w:val="00FF199F"/>
    <w:rsid w:val="00FF1CB3"/>
    <w:rsid w:val="00FF2372"/>
    <w:rsid w:val="00FF252D"/>
    <w:rsid w:val="00FF2A84"/>
    <w:rsid w:val="00FF3546"/>
    <w:rsid w:val="00FF3BBE"/>
    <w:rsid w:val="00FF40B7"/>
    <w:rsid w:val="00FF4660"/>
    <w:rsid w:val="00FF489E"/>
    <w:rsid w:val="00FF4BB1"/>
    <w:rsid w:val="00FF50F9"/>
    <w:rsid w:val="00FF5BD4"/>
    <w:rsid w:val="00FF5E47"/>
    <w:rsid w:val="00FF5F6F"/>
    <w:rsid w:val="00FF63AE"/>
    <w:rsid w:val="00FF6826"/>
    <w:rsid w:val="00FF6E9D"/>
    <w:rsid w:val="00FF75FB"/>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844612D-4E76-4220-8302-AB66D920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1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E27011"/>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E27011"/>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E27011"/>
    <w:pPr>
      <w:keepNext/>
      <w:keepLines/>
      <w:numPr>
        <w:ilvl w:val="2"/>
        <w:numId w:val="4"/>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E27011"/>
    <w:pPr>
      <w:keepNext/>
      <w:numPr>
        <w:ilvl w:val="3"/>
        <w:numId w:val="4"/>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E27011"/>
    <w:pPr>
      <w:keepNext/>
      <w:numPr>
        <w:ilvl w:val="4"/>
        <w:numId w:val="4"/>
      </w:numPr>
      <w:spacing w:before="120" w:after="120"/>
      <w:jc w:val="left"/>
      <w:outlineLvl w:val="4"/>
    </w:pPr>
    <w:rPr>
      <w:rFonts w:eastAsiaTheme="majorEastAsia"/>
      <w:i/>
      <w:iCs/>
    </w:rPr>
  </w:style>
  <w:style w:type="paragraph" w:styleId="Titre6">
    <w:name w:val="heading 6"/>
    <w:basedOn w:val="Normal"/>
    <w:next w:val="Normal"/>
    <w:link w:val="Titre6Car"/>
    <w:semiHidden/>
    <w:rsid w:val="00E27011"/>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E27011"/>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E27011"/>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E27011"/>
    <w:pPr>
      <w:keepNext/>
      <w:widowControl w:val="0"/>
      <w:numPr>
        <w:ilvl w:val="8"/>
        <w:numId w:val="5"/>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E27011"/>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E27011"/>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E27011"/>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E2701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unhideWhenUsed/>
    <w:qFormat/>
    <w:rsid w:val="00E27011"/>
    <w:pPr>
      <w:jc w:val="left"/>
    </w:pPr>
    <w:rPr>
      <w:sz w:val="18"/>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E27011"/>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E27011"/>
    <w:rPr>
      <w:vertAlign w:val="superscript"/>
      <w:lang w:val="en-GB"/>
    </w:rPr>
  </w:style>
  <w:style w:type="paragraph" w:customStyle="1" w:styleId="Footnote">
    <w:name w:val="Footnote"/>
    <w:basedOn w:val="Notedebasdepage"/>
    <w:qFormat/>
    <w:rsid w:val="00E27011"/>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Titre2Car">
    <w:name w:val="Titre 2 Car"/>
    <w:basedOn w:val="Policepardfaut"/>
    <w:link w:val="Titre2"/>
    <w:uiPriority w:val="9"/>
    <w:rsid w:val="00E27011"/>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Pieddepage">
    <w:name w:val="footer"/>
    <w:basedOn w:val="Normal"/>
    <w:link w:val="PieddepageCar"/>
    <w:uiPriority w:val="99"/>
    <w:rsid w:val="00E27011"/>
    <w:pPr>
      <w:tabs>
        <w:tab w:val="center" w:pos="4680"/>
        <w:tab w:val="right" w:pos="9360"/>
      </w:tabs>
    </w:pPr>
    <w:rPr>
      <w:sz w:val="20"/>
    </w:rPr>
  </w:style>
  <w:style w:type="character" w:customStyle="1" w:styleId="PieddepageCar">
    <w:name w:val="Pied de page Car"/>
    <w:basedOn w:val="Policepardfaut"/>
    <w:link w:val="Pieddepage"/>
    <w:uiPriority w:val="99"/>
    <w:rsid w:val="00E27011"/>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E27011"/>
    <w:rPr>
      <w:rFonts w:ascii="Times New Roman" w:eastAsiaTheme="majorEastAsia" w:hAnsi="Times New Roman" w:cs="Times New Roman"/>
      <w:b/>
      <w:bCs/>
      <w:kern w:val="0"/>
      <w:lang w:val="en-GB"/>
      <w14:ligatures w14:val="none"/>
    </w:rPr>
  </w:style>
  <w:style w:type="paragraph" w:customStyle="1" w:styleId="Para20">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E27011"/>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itre4Car">
    <w:name w:val="Titre 4 Car"/>
    <w:basedOn w:val="Policepardfaut"/>
    <w:link w:val="Titre4"/>
    <w:uiPriority w:val="9"/>
    <w:rsid w:val="00E27011"/>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E27011"/>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E27011"/>
    <w:rPr>
      <w:sz w:val="16"/>
      <w:szCs w:val="16"/>
      <w:lang w:val="en-GB"/>
    </w:rPr>
  </w:style>
  <w:style w:type="paragraph" w:styleId="Commentaire">
    <w:name w:val="annotation text"/>
    <w:basedOn w:val="Normal"/>
    <w:link w:val="CommentaireCar"/>
    <w:uiPriority w:val="99"/>
    <w:rsid w:val="00E27011"/>
    <w:rPr>
      <w:sz w:val="20"/>
      <w:szCs w:val="20"/>
    </w:rPr>
  </w:style>
  <w:style w:type="character" w:customStyle="1" w:styleId="CommentaireCar">
    <w:name w:val="Commentaire Car"/>
    <w:basedOn w:val="Policepardfaut"/>
    <w:link w:val="Commentaire"/>
    <w:uiPriority w:val="99"/>
    <w:rsid w:val="00E27011"/>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E27011"/>
    <w:rPr>
      <w:b/>
      <w:bCs/>
    </w:rPr>
  </w:style>
  <w:style w:type="character" w:customStyle="1" w:styleId="ObjetducommentaireCar">
    <w:name w:val="Objet du commentaire Car"/>
    <w:basedOn w:val="CommentaireCar"/>
    <w:link w:val="Objetducommentaire"/>
    <w:uiPriority w:val="99"/>
    <w:semiHidden/>
    <w:rsid w:val="00E27011"/>
    <w:rPr>
      <w:rFonts w:ascii="Times New Roman" w:eastAsia="SimSun" w:hAnsi="Times New Roman" w:cs="Times New Roman"/>
      <w:b/>
      <w:bCs/>
      <w:kern w:val="0"/>
      <w:sz w:val="20"/>
      <w:szCs w:val="20"/>
      <w:lang w:val="en-GB"/>
      <w14:ligatures w14:val="none"/>
    </w:rPr>
  </w:style>
  <w:style w:type="paragraph" w:styleId="Rvision">
    <w:name w:val="Revision"/>
    <w:hidden/>
    <w:uiPriority w:val="99"/>
    <w:semiHidden/>
    <w:rsid w:val="00E27011"/>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Numrodepage">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E27011"/>
    <w:rPr>
      <w:rFonts w:ascii="Times New Roman" w:hAnsi="Times New Roman"/>
      <w:color w:val="0563C1" w:themeColor="hyperlink"/>
      <w:u w:val="single"/>
      <w:lang w:val="en-GB"/>
    </w:rPr>
  </w:style>
  <w:style w:type="character" w:styleId="Mentionnonrsolue">
    <w:name w:val="Unresolved Mention"/>
    <w:basedOn w:val="Policepardfaut"/>
    <w:uiPriority w:val="99"/>
    <w:semiHidden/>
    <w:unhideWhenUsed/>
    <w:rsid w:val="00C664D3"/>
    <w:rPr>
      <w:color w:val="605E5C"/>
      <w:shd w:val="clear" w:color="auto" w:fill="E1DFDD"/>
      <w:lang w:val="en-GB"/>
    </w:rPr>
  </w:style>
  <w:style w:type="character" w:styleId="Lienhypertextesuivivisit">
    <w:name w:val="FollowedHyperlink"/>
    <w:basedOn w:val="Policepardfaut"/>
    <w:uiPriority w:val="99"/>
    <w:semiHidden/>
    <w:unhideWhenUsed/>
    <w:rsid w:val="00051B37"/>
    <w:rPr>
      <w:color w:val="954F72" w:themeColor="followedHyperlink"/>
      <w:u w:val="single"/>
      <w:lang w:val="en-GB"/>
    </w:rPr>
  </w:style>
  <w:style w:type="paragraph" w:styleId="Retraitcorpsdetexte">
    <w:name w:val="Body Text Indent"/>
    <w:basedOn w:val="Normal"/>
    <w:link w:val="RetraitcorpsdetexteCar"/>
    <w:uiPriority w:val="99"/>
    <w:semiHidden/>
    <w:unhideWhenUsed/>
    <w:rsid w:val="00435E81"/>
    <w:pPr>
      <w:spacing w:after="120"/>
      <w:ind w:left="360"/>
    </w:pPr>
  </w:style>
  <w:style w:type="character" w:customStyle="1" w:styleId="RetraitcorpsdetexteCar">
    <w:name w:val="Retrait corps de texte Car"/>
    <w:basedOn w:val="Policepardfaut"/>
    <w:link w:val="Retraitcorpsdetexte"/>
    <w:uiPriority w:val="99"/>
    <w:semiHidden/>
    <w:rsid w:val="00435E81"/>
    <w:rPr>
      <w:rFonts w:ascii="Times New Roman" w:eastAsia="SimSun" w:hAnsi="Times New Roman" w:cs="Times New Roman"/>
      <w:kern w:val="0"/>
      <w:lang w:val="en-GB"/>
      <w14:ligatures w14:val="none"/>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E27011"/>
    <w:pPr>
      <w:ind w:left="720"/>
      <w:contextualSpacing/>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SimSun" w:hAnsi="Times New Roman" w:cs="Times New Roman"/>
      <w:snapToGrid w:val="0"/>
      <w:kern w:val="0"/>
      <w:szCs w:val="18"/>
      <w:lang w:val="en-GB"/>
      <w14:ligatures w14:val="none"/>
    </w:rPr>
  </w:style>
  <w:style w:type="paragraph" w:styleId="En-tte">
    <w:name w:val="header"/>
    <w:basedOn w:val="Normal"/>
    <w:link w:val="En-tteCar"/>
    <w:rsid w:val="00E27011"/>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E27011"/>
    <w:rPr>
      <w:rFonts w:ascii="Times New Roman" w:eastAsia="SimSun" w:hAnsi="Times New Roman" w:cs="Times New Roman"/>
      <w:kern w:val="0"/>
      <w:sz w:val="20"/>
      <w:lang w:val="en-GB"/>
      <w14:ligatures w14:val="none"/>
    </w:rPr>
  </w:style>
  <w:style w:type="paragraph" w:styleId="NormalWeb">
    <w:name w:val="Normal (Web)"/>
    <w:basedOn w:val="Normal"/>
    <w:uiPriority w:val="99"/>
    <w:semiHidden/>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E27011"/>
    <w:pPr>
      <w:jc w:val="left"/>
    </w:pPr>
  </w:style>
  <w:style w:type="paragraph" w:customStyle="1" w:styleId="AASmallLogo">
    <w:name w:val="AA_SmallLogo"/>
    <w:basedOn w:val="AEDistrNormal"/>
    <w:unhideWhenUsed/>
    <w:rsid w:val="00E27011"/>
    <w:pPr>
      <w:spacing w:before="40"/>
    </w:pPr>
    <w:rPr>
      <w:sz w:val="4"/>
    </w:rPr>
  </w:style>
  <w:style w:type="paragraph" w:customStyle="1" w:styleId="ABSymbol">
    <w:name w:val="AB_Symbol"/>
    <w:basedOn w:val="Normal"/>
    <w:qFormat/>
    <w:rsid w:val="00E2701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Normal"/>
    <w:next w:val="AISpacer"/>
    <w:unhideWhenUsed/>
    <w:rsid w:val="00E27011"/>
    <w:pPr>
      <w:spacing w:before="120"/>
      <w:contextualSpacing/>
    </w:pPr>
    <w:rPr>
      <w:sz w:val="8"/>
    </w:rPr>
  </w:style>
  <w:style w:type="paragraph" w:customStyle="1" w:styleId="AEDistrNormal6pt">
    <w:name w:val="AE_DistrNormal6pt"/>
    <w:basedOn w:val="AEDistrNormal"/>
    <w:next w:val="AFCorNNormal"/>
    <w:unhideWhenUsed/>
    <w:qFormat/>
    <w:rsid w:val="00E27011"/>
    <w:pPr>
      <w:spacing w:before="120"/>
    </w:pPr>
  </w:style>
  <w:style w:type="paragraph" w:customStyle="1" w:styleId="AENormal">
    <w:name w:val="AE_Normal"/>
    <w:basedOn w:val="Normal"/>
    <w:rsid w:val="00E27011"/>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E2701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E27011"/>
    <w:pPr>
      <w:keepNext/>
      <w:keepLines/>
      <w:spacing w:before="240" w:after="120"/>
      <w:jc w:val="left"/>
    </w:pPr>
    <w:rPr>
      <w:b/>
      <w:sz w:val="24"/>
    </w:rPr>
  </w:style>
  <w:style w:type="paragraph" w:customStyle="1" w:styleId="CBDNormal">
    <w:name w:val="CBD_Normal"/>
    <w:unhideWhenUsed/>
    <w:qFormat/>
    <w:rsid w:val="00E2701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E27011"/>
    <w:pPr>
      <w:keepNext/>
      <w:keepLines/>
      <w:spacing w:after="240"/>
      <w:jc w:val="left"/>
    </w:pPr>
    <w:rPr>
      <w:b/>
      <w:sz w:val="28"/>
      <w:lang w:bidi="ar-SY"/>
    </w:rPr>
  </w:style>
  <w:style w:type="paragraph" w:customStyle="1" w:styleId="CBDDesicionAnnex">
    <w:name w:val="CBD_DesicionAnnex"/>
    <w:basedOn w:val="CBDNormal"/>
    <w:next w:val="CBDDesicionText"/>
    <w:qFormat/>
    <w:rsid w:val="00E2701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7011"/>
    <w:pPr>
      <w:spacing w:after="120"/>
      <w:ind w:left="567" w:firstLine="567"/>
    </w:pPr>
  </w:style>
  <w:style w:type="paragraph" w:customStyle="1" w:styleId="CBDFigureTitle">
    <w:name w:val="CBD_FigureTitle"/>
    <w:basedOn w:val="CBDNormal"/>
    <w:next w:val="CBDNormalNoNumber"/>
    <w:qFormat/>
    <w:rsid w:val="00E27011"/>
    <w:pPr>
      <w:keepNext/>
      <w:keepLines/>
      <w:spacing w:before="120" w:after="60"/>
      <w:ind w:left="567"/>
      <w:jc w:val="left"/>
    </w:pPr>
    <w:rPr>
      <w:b/>
    </w:rPr>
  </w:style>
  <w:style w:type="paragraph" w:customStyle="1" w:styleId="CBDFooter">
    <w:name w:val="CBD_Footer"/>
    <w:basedOn w:val="CBDNormal"/>
    <w:qFormat/>
    <w:rsid w:val="00E27011"/>
    <w:rPr>
      <w:sz w:val="20"/>
    </w:rPr>
  </w:style>
  <w:style w:type="paragraph" w:customStyle="1" w:styleId="CBDFootnoteText">
    <w:name w:val="CBD_Footnote_Text"/>
    <w:basedOn w:val="CBDNormal"/>
    <w:qFormat/>
    <w:rsid w:val="00E27011"/>
    <w:pPr>
      <w:jc w:val="left"/>
    </w:pPr>
    <w:rPr>
      <w:sz w:val="18"/>
    </w:rPr>
  </w:style>
  <w:style w:type="paragraph" w:customStyle="1" w:styleId="CBDH1">
    <w:name w:val="CBD_H1"/>
    <w:basedOn w:val="CBDNormal"/>
    <w:qFormat/>
    <w:rsid w:val="00E2701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E27011"/>
    <w:pPr>
      <w:numPr>
        <w:numId w:val="10"/>
      </w:numPr>
      <w:tabs>
        <w:tab w:val="left" w:pos="3969"/>
      </w:tabs>
      <w:spacing w:before="120" w:after="120"/>
    </w:pPr>
  </w:style>
  <w:style w:type="paragraph" w:customStyle="1" w:styleId="CBDH2">
    <w:name w:val="CBD_H2"/>
    <w:basedOn w:val="CBDNormalNumber"/>
    <w:qFormat/>
    <w:rsid w:val="00E27011"/>
    <w:pPr>
      <w:keepNext/>
      <w:keepLines/>
      <w:numPr>
        <w:numId w:val="0"/>
      </w:numPr>
      <w:ind w:left="567" w:hanging="567"/>
    </w:pPr>
    <w:rPr>
      <w:b/>
      <w:sz w:val="24"/>
    </w:rPr>
  </w:style>
  <w:style w:type="paragraph" w:customStyle="1" w:styleId="CBDH3">
    <w:name w:val="CBD_H3"/>
    <w:basedOn w:val="CBDNormal"/>
    <w:qFormat/>
    <w:rsid w:val="00E27011"/>
    <w:pPr>
      <w:keepNext/>
      <w:keepLines/>
      <w:spacing w:before="120" w:after="120"/>
      <w:ind w:left="567" w:hanging="567"/>
      <w:jc w:val="left"/>
    </w:pPr>
    <w:rPr>
      <w:b/>
    </w:rPr>
  </w:style>
  <w:style w:type="paragraph" w:customStyle="1" w:styleId="CBDH4">
    <w:name w:val="CBD_H4"/>
    <w:basedOn w:val="CBDNormal"/>
    <w:rsid w:val="00E27011"/>
    <w:pPr>
      <w:keepNext/>
      <w:keepLines/>
      <w:spacing w:before="120" w:after="120"/>
      <w:ind w:left="567" w:hanging="567"/>
      <w:jc w:val="left"/>
    </w:pPr>
    <w:rPr>
      <w:b/>
    </w:rPr>
  </w:style>
  <w:style w:type="paragraph" w:customStyle="1" w:styleId="CBDH5">
    <w:name w:val="CBD_H5"/>
    <w:basedOn w:val="CBDNormal"/>
    <w:qFormat/>
    <w:rsid w:val="00E27011"/>
    <w:pPr>
      <w:keepNext/>
      <w:keepLines/>
      <w:spacing w:before="120" w:after="120"/>
      <w:ind w:left="567" w:hanging="567"/>
      <w:jc w:val="left"/>
    </w:pPr>
    <w:rPr>
      <w:i/>
    </w:rPr>
  </w:style>
  <w:style w:type="paragraph" w:customStyle="1" w:styleId="CBDHeader">
    <w:name w:val="CBD_Header"/>
    <w:basedOn w:val="CBDNormal"/>
    <w:next w:val="CBDFooter"/>
    <w:qFormat/>
    <w:rsid w:val="00E27011"/>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E27011"/>
    <w:pPr>
      <w:numPr>
        <w:numId w:val="11"/>
      </w:numPr>
    </w:pPr>
  </w:style>
  <w:style w:type="numbering" w:customStyle="1" w:styleId="CBDHeadings">
    <w:name w:val="CBD_Headings"/>
    <w:basedOn w:val="ListCBD"/>
    <w:uiPriority w:val="99"/>
    <w:rsid w:val="00E27011"/>
    <w:pPr>
      <w:numPr>
        <w:numId w:val="4"/>
      </w:numPr>
    </w:pPr>
  </w:style>
  <w:style w:type="paragraph" w:customStyle="1" w:styleId="CBDNormalNoNumber">
    <w:name w:val="CBD_Normal_NoNumber"/>
    <w:basedOn w:val="CBDNormal"/>
    <w:qFormat/>
    <w:rsid w:val="00E27011"/>
    <w:pPr>
      <w:spacing w:after="120"/>
      <w:ind w:left="567"/>
    </w:pPr>
  </w:style>
  <w:style w:type="paragraph" w:customStyle="1" w:styleId="CBDSubTitle">
    <w:name w:val="CBD_SubTitle"/>
    <w:basedOn w:val="CBDNormal"/>
    <w:qFormat/>
    <w:rsid w:val="00E27011"/>
    <w:pPr>
      <w:keepNext/>
      <w:keepLines/>
      <w:spacing w:before="240" w:after="240"/>
      <w:ind w:left="567"/>
      <w:jc w:val="left"/>
    </w:pPr>
    <w:rPr>
      <w:b/>
    </w:rPr>
  </w:style>
  <w:style w:type="paragraph" w:customStyle="1" w:styleId="CBDTableNormal">
    <w:name w:val="CBD_TableNormal"/>
    <w:basedOn w:val="CBDNormal"/>
    <w:qFormat/>
    <w:rsid w:val="00E27011"/>
    <w:pPr>
      <w:spacing w:before="40" w:after="80"/>
      <w:jc w:val="left"/>
    </w:pPr>
    <w:rPr>
      <w:sz w:val="20"/>
    </w:rPr>
  </w:style>
  <w:style w:type="paragraph" w:customStyle="1" w:styleId="CBDTableTitle">
    <w:name w:val="CBD_TableTitle"/>
    <w:basedOn w:val="CBDNormal"/>
    <w:qFormat/>
    <w:rsid w:val="00E27011"/>
    <w:pPr>
      <w:keepNext/>
      <w:keepLines/>
      <w:spacing w:before="120" w:after="60"/>
      <w:ind w:left="567"/>
      <w:jc w:val="left"/>
    </w:pPr>
    <w:rPr>
      <w:b/>
    </w:rPr>
  </w:style>
  <w:style w:type="paragraph" w:customStyle="1" w:styleId="CBDTitle">
    <w:name w:val="CBD_Title"/>
    <w:basedOn w:val="CBDNormal"/>
    <w:next w:val="CBDSubTitle"/>
    <w:qFormat/>
    <w:rsid w:val="00E27011"/>
    <w:pPr>
      <w:keepNext/>
      <w:keepLines/>
      <w:spacing w:before="240" w:after="240"/>
      <w:ind w:left="567"/>
      <w:jc w:val="left"/>
    </w:pPr>
    <w:rPr>
      <w:b/>
      <w:sz w:val="28"/>
    </w:rPr>
  </w:style>
  <w:style w:type="character" w:customStyle="1" w:styleId="Titre6Car">
    <w:name w:val="Titre 6 Car"/>
    <w:basedOn w:val="Policepardfaut"/>
    <w:link w:val="Titre6"/>
    <w:semiHidden/>
    <w:rsid w:val="00E27011"/>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E27011"/>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E27011"/>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E27011"/>
    <w:rPr>
      <w:rFonts w:ascii="Times New Roman" w:eastAsia="SimSun" w:hAnsi="Times New Roman" w:cs="Times New Roman"/>
      <w:snapToGrid w:val="0"/>
      <w:kern w:val="0"/>
      <w:u w:val="single"/>
      <w:lang w:val="en-GB"/>
      <w14:ligatures w14:val="none"/>
    </w:rPr>
  </w:style>
  <w:style w:type="paragraph" w:styleId="Liste">
    <w:name w:val="List"/>
    <w:basedOn w:val="Normal"/>
    <w:semiHidden/>
    <w:rsid w:val="00E27011"/>
    <w:pPr>
      <w:contextualSpacing/>
    </w:pPr>
  </w:style>
  <w:style w:type="paragraph" w:styleId="Textedebulles">
    <w:name w:val="Balloon Text"/>
    <w:basedOn w:val="Normal"/>
    <w:link w:val="TextedebullesCar"/>
    <w:uiPriority w:val="99"/>
    <w:semiHidden/>
    <w:unhideWhenUsed/>
    <w:rsid w:val="00D85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A3"/>
    <w:rPr>
      <w:rFonts w:ascii="Segoe UI" w:eastAsia="SimSun" w:hAnsi="Segoe UI" w:cs="Segoe UI"/>
      <w:kern w:val="0"/>
      <w:sz w:val="18"/>
      <w:szCs w:val="18"/>
      <w:lang w:val="en-GB"/>
      <w14:ligatures w14:val="none"/>
    </w:rPr>
  </w:style>
  <w:style w:type="paragraph" w:customStyle="1" w:styleId="DarkList-Accent31">
    <w:name w:val="Dark List - Accent 31"/>
    <w:hidden/>
    <w:uiPriority w:val="99"/>
    <w:semiHidden/>
    <w:rsid w:val="00E27011"/>
    <w:pPr>
      <w:spacing w:after="0" w:line="240" w:lineRule="auto"/>
    </w:pPr>
    <w:rPr>
      <w:rFonts w:ascii="Times New Roman" w:eastAsia="SimSun" w:hAnsi="Times New Roman" w:cs="Times New Roman"/>
      <w:kern w:val="0"/>
      <w:lang w:val="en-GB" w:eastAsia="en-GB"/>
      <w14:ligatures w14:val="none"/>
    </w:rPr>
  </w:style>
  <w:style w:type="paragraph" w:styleId="Bibliographie">
    <w:name w:val="Bibliography"/>
    <w:basedOn w:val="Normal"/>
    <w:next w:val="Normal"/>
    <w:uiPriority w:val="37"/>
    <w:semiHidden/>
    <w:unhideWhenUsed/>
    <w:rsid w:val="00BE5C91"/>
  </w:style>
  <w:style w:type="paragraph" w:styleId="Normalcentr">
    <w:name w:val="Block Text"/>
    <w:basedOn w:val="Normal"/>
    <w:uiPriority w:val="99"/>
    <w:semiHidden/>
    <w:unhideWhenUsed/>
    <w:rsid w:val="00BE5C9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BE5C91"/>
    <w:pPr>
      <w:spacing w:after="120" w:line="480" w:lineRule="auto"/>
    </w:pPr>
  </w:style>
  <w:style w:type="character" w:customStyle="1" w:styleId="Corpsdetexte2Car">
    <w:name w:val="Corps de texte 2 Car"/>
    <w:basedOn w:val="Policepardfaut"/>
    <w:link w:val="Corpsdetexte2"/>
    <w:uiPriority w:val="99"/>
    <w:semiHidden/>
    <w:rsid w:val="00BE5C91"/>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BE5C91"/>
    <w:pPr>
      <w:spacing w:after="120"/>
    </w:pPr>
    <w:rPr>
      <w:sz w:val="16"/>
      <w:szCs w:val="16"/>
    </w:rPr>
  </w:style>
  <w:style w:type="character" w:customStyle="1" w:styleId="Corpsdetexte3Car">
    <w:name w:val="Corps de texte 3 Car"/>
    <w:basedOn w:val="Policepardfaut"/>
    <w:link w:val="Corpsdetexte3"/>
    <w:uiPriority w:val="99"/>
    <w:semiHidden/>
    <w:rsid w:val="00BE5C91"/>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BE5C9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BE5C91"/>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BE5C91"/>
    <w:pPr>
      <w:spacing w:after="0"/>
      <w:ind w:firstLine="360"/>
    </w:pPr>
  </w:style>
  <w:style w:type="character" w:customStyle="1" w:styleId="Retraitcorpset1religCar">
    <w:name w:val="Retrait corps et 1re lig. Car"/>
    <w:basedOn w:val="RetraitcorpsdetexteCar"/>
    <w:link w:val="Retraitcorpset1relig"/>
    <w:uiPriority w:val="99"/>
    <w:semiHidden/>
    <w:rsid w:val="00BE5C91"/>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BE5C91"/>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BE5C91"/>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BE5C91"/>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BE5C91"/>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BE5C91"/>
    <w:rPr>
      <w:b/>
      <w:bCs/>
      <w:i/>
      <w:iCs/>
      <w:spacing w:val="5"/>
      <w:lang w:val="en-GB"/>
    </w:rPr>
  </w:style>
  <w:style w:type="paragraph" w:styleId="Lgende">
    <w:name w:val="caption"/>
    <w:basedOn w:val="Normal"/>
    <w:next w:val="Normal"/>
    <w:uiPriority w:val="35"/>
    <w:semiHidden/>
    <w:unhideWhenUsed/>
    <w:qFormat/>
    <w:rsid w:val="00BE5C91"/>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BE5C91"/>
    <w:pPr>
      <w:ind w:left="4320"/>
    </w:pPr>
  </w:style>
  <w:style w:type="character" w:customStyle="1" w:styleId="FormuledepolitesseCar">
    <w:name w:val="Formule de politesse Car"/>
    <w:basedOn w:val="Policepardfaut"/>
    <w:link w:val="Formuledepolitesse"/>
    <w:uiPriority w:val="99"/>
    <w:semiHidden/>
    <w:rsid w:val="00BE5C91"/>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BE5C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BE5C9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BE5C9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BE5C9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BE5C91"/>
  </w:style>
  <w:style w:type="character" w:customStyle="1" w:styleId="DateCar">
    <w:name w:val="Date Car"/>
    <w:basedOn w:val="Policepardfaut"/>
    <w:link w:val="Date"/>
    <w:uiPriority w:val="99"/>
    <w:semiHidden/>
    <w:rsid w:val="00BE5C91"/>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BE5C9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BE5C91"/>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BE5C91"/>
  </w:style>
  <w:style w:type="character" w:customStyle="1" w:styleId="SignaturelectroniqueCar">
    <w:name w:val="Signature électronique Car"/>
    <w:basedOn w:val="Policepardfaut"/>
    <w:link w:val="Signaturelectronique"/>
    <w:uiPriority w:val="99"/>
    <w:semiHidden/>
    <w:rsid w:val="00BE5C91"/>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BE5C91"/>
    <w:rPr>
      <w:i/>
      <w:iCs/>
      <w:lang w:val="en-GB"/>
    </w:rPr>
  </w:style>
  <w:style w:type="character" w:styleId="Appeldenotedefin">
    <w:name w:val="endnote reference"/>
    <w:basedOn w:val="Policepardfaut"/>
    <w:uiPriority w:val="99"/>
    <w:semiHidden/>
    <w:unhideWhenUsed/>
    <w:rsid w:val="00BE5C91"/>
    <w:rPr>
      <w:vertAlign w:val="superscript"/>
      <w:lang w:val="en-GB"/>
    </w:rPr>
  </w:style>
  <w:style w:type="paragraph" w:styleId="Notedefin">
    <w:name w:val="endnote text"/>
    <w:basedOn w:val="Normal"/>
    <w:link w:val="NotedefinCar"/>
    <w:uiPriority w:val="99"/>
    <w:semiHidden/>
    <w:unhideWhenUsed/>
    <w:rsid w:val="00BE5C91"/>
    <w:rPr>
      <w:sz w:val="20"/>
      <w:szCs w:val="20"/>
    </w:rPr>
  </w:style>
  <w:style w:type="character" w:customStyle="1" w:styleId="NotedefinCar">
    <w:name w:val="Note de fin Car"/>
    <w:basedOn w:val="Policepardfaut"/>
    <w:link w:val="Notedefin"/>
    <w:uiPriority w:val="99"/>
    <w:semiHidden/>
    <w:rsid w:val="00BE5C91"/>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BE5C9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E5C91"/>
    <w:rPr>
      <w:rFonts w:asciiTheme="majorHAnsi" w:eastAsiaTheme="majorEastAsia" w:hAnsiTheme="majorHAnsi" w:cstheme="majorBidi"/>
      <w:sz w:val="20"/>
      <w:szCs w:val="20"/>
    </w:rPr>
  </w:style>
  <w:style w:type="table" w:styleId="TableauGrille1Clair">
    <w:name w:val="Grid Table 1 Light"/>
    <w:basedOn w:val="TableauNormal"/>
    <w:uiPriority w:val="46"/>
    <w:rsid w:val="00BE5C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BE5C9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BE5C9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BE5C9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BE5C9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E5C9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BE5C9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BE5C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BE5C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BE5C9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BE5C9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BE5C9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BE5C9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BE5C9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BE5C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BE5C9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BE5C9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BE5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BE5C9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BE5C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BE5C9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BE5C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BE5C9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BE5C9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BE5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BE5C9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BE5C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BE5C9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BE5C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BE5C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BE5C9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BE5C9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BE5C9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BE5C9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BE5C9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BE5C9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BE5C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BE5C9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BE5C9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BE5C9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BE5C9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BE5C9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BE5C9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BE5C91"/>
    <w:rPr>
      <w:color w:val="2B579A"/>
      <w:shd w:val="clear" w:color="auto" w:fill="E1DFDD"/>
      <w:lang w:val="en-GB"/>
    </w:rPr>
  </w:style>
  <w:style w:type="character" w:styleId="AcronymeHTML">
    <w:name w:val="HTML Acronym"/>
    <w:basedOn w:val="Policepardfaut"/>
    <w:uiPriority w:val="99"/>
    <w:semiHidden/>
    <w:unhideWhenUsed/>
    <w:rsid w:val="00BE5C91"/>
    <w:rPr>
      <w:lang w:val="en-GB"/>
    </w:rPr>
  </w:style>
  <w:style w:type="paragraph" w:styleId="AdresseHTML">
    <w:name w:val="HTML Address"/>
    <w:basedOn w:val="Normal"/>
    <w:link w:val="AdresseHTMLCar"/>
    <w:uiPriority w:val="99"/>
    <w:semiHidden/>
    <w:unhideWhenUsed/>
    <w:rsid w:val="00BE5C91"/>
    <w:rPr>
      <w:i/>
      <w:iCs/>
    </w:rPr>
  </w:style>
  <w:style w:type="character" w:customStyle="1" w:styleId="AdresseHTMLCar">
    <w:name w:val="Adresse HTML Car"/>
    <w:basedOn w:val="Policepardfaut"/>
    <w:link w:val="AdresseHTML"/>
    <w:uiPriority w:val="99"/>
    <w:semiHidden/>
    <w:rsid w:val="00BE5C91"/>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BE5C91"/>
    <w:rPr>
      <w:i/>
      <w:iCs/>
      <w:lang w:val="en-GB"/>
    </w:rPr>
  </w:style>
  <w:style w:type="character" w:styleId="CodeHTML">
    <w:name w:val="HTML Code"/>
    <w:basedOn w:val="Policepardfaut"/>
    <w:uiPriority w:val="99"/>
    <w:semiHidden/>
    <w:unhideWhenUsed/>
    <w:rsid w:val="00BE5C91"/>
    <w:rPr>
      <w:rFonts w:ascii="Consolas" w:hAnsi="Consolas"/>
      <w:sz w:val="20"/>
      <w:szCs w:val="20"/>
      <w:lang w:val="en-GB"/>
    </w:rPr>
  </w:style>
  <w:style w:type="character" w:styleId="DfinitionHTML">
    <w:name w:val="HTML Definition"/>
    <w:basedOn w:val="Policepardfaut"/>
    <w:uiPriority w:val="99"/>
    <w:semiHidden/>
    <w:unhideWhenUsed/>
    <w:rsid w:val="00BE5C91"/>
    <w:rPr>
      <w:i/>
      <w:iCs/>
      <w:lang w:val="en-GB"/>
    </w:rPr>
  </w:style>
  <w:style w:type="character" w:styleId="ClavierHTML">
    <w:name w:val="HTML Keyboard"/>
    <w:basedOn w:val="Policepardfaut"/>
    <w:uiPriority w:val="99"/>
    <w:semiHidden/>
    <w:unhideWhenUsed/>
    <w:rsid w:val="00BE5C91"/>
    <w:rPr>
      <w:rFonts w:ascii="Consolas" w:hAnsi="Consolas"/>
      <w:sz w:val="20"/>
      <w:szCs w:val="20"/>
      <w:lang w:val="en-GB"/>
    </w:rPr>
  </w:style>
  <w:style w:type="paragraph" w:styleId="PrformatHTML">
    <w:name w:val="HTML Preformatted"/>
    <w:basedOn w:val="Normal"/>
    <w:link w:val="PrformatHTMLCar"/>
    <w:uiPriority w:val="99"/>
    <w:semiHidden/>
    <w:unhideWhenUsed/>
    <w:rsid w:val="00BE5C91"/>
    <w:rPr>
      <w:rFonts w:ascii="Consolas" w:hAnsi="Consolas"/>
      <w:sz w:val="20"/>
      <w:szCs w:val="20"/>
    </w:rPr>
  </w:style>
  <w:style w:type="character" w:customStyle="1" w:styleId="PrformatHTMLCar">
    <w:name w:val="Préformaté HTML Car"/>
    <w:basedOn w:val="Policepardfaut"/>
    <w:link w:val="PrformatHTML"/>
    <w:uiPriority w:val="99"/>
    <w:semiHidden/>
    <w:rsid w:val="00BE5C91"/>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BE5C91"/>
    <w:rPr>
      <w:rFonts w:ascii="Consolas" w:hAnsi="Consolas"/>
      <w:sz w:val="24"/>
      <w:szCs w:val="24"/>
      <w:lang w:val="en-GB"/>
    </w:rPr>
  </w:style>
  <w:style w:type="character" w:styleId="MachinecrireHTML">
    <w:name w:val="HTML Typewriter"/>
    <w:basedOn w:val="Policepardfaut"/>
    <w:uiPriority w:val="99"/>
    <w:semiHidden/>
    <w:unhideWhenUsed/>
    <w:rsid w:val="00BE5C91"/>
    <w:rPr>
      <w:rFonts w:ascii="Consolas" w:hAnsi="Consolas"/>
      <w:sz w:val="20"/>
      <w:szCs w:val="20"/>
      <w:lang w:val="en-GB"/>
    </w:rPr>
  </w:style>
  <w:style w:type="character" w:styleId="VariableHTML">
    <w:name w:val="HTML Variable"/>
    <w:basedOn w:val="Policepardfaut"/>
    <w:uiPriority w:val="99"/>
    <w:semiHidden/>
    <w:unhideWhenUsed/>
    <w:rsid w:val="00BE5C91"/>
    <w:rPr>
      <w:i/>
      <w:iCs/>
      <w:lang w:val="en-GB"/>
    </w:rPr>
  </w:style>
  <w:style w:type="paragraph" w:styleId="Index1">
    <w:name w:val="index 1"/>
    <w:basedOn w:val="Normal"/>
    <w:next w:val="Normal"/>
    <w:autoRedefine/>
    <w:uiPriority w:val="99"/>
    <w:semiHidden/>
    <w:unhideWhenUsed/>
    <w:rsid w:val="00BE5C9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BE5C9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BE5C9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BE5C9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BE5C9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BE5C9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BE5C9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BE5C9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BE5C9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BE5C91"/>
    <w:rPr>
      <w:rFonts w:asciiTheme="majorHAnsi" w:eastAsiaTheme="majorEastAsia" w:hAnsiTheme="majorHAnsi" w:cstheme="majorBidi"/>
      <w:b/>
      <w:bCs/>
    </w:rPr>
  </w:style>
  <w:style w:type="character" w:styleId="Accentuationintense">
    <w:name w:val="Intense Emphasis"/>
    <w:basedOn w:val="Policepardfaut"/>
    <w:uiPriority w:val="21"/>
    <w:qFormat/>
    <w:rsid w:val="00BE5C91"/>
    <w:rPr>
      <w:i/>
      <w:iCs/>
      <w:color w:val="4472C4" w:themeColor="accent1"/>
      <w:lang w:val="en-GB"/>
    </w:rPr>
  </w:style>
  <w:style w:type="paragraph" w:styleId="Citationintense">
    <w:name w:val="Intense Quote"/>
    <w:basedOn w:val="Normal"/>
    <w:next w:val="Normal"/>
    <w:link w:val="CitationintenseCar"/>
    <w:uiPriority w:val="30"/>
    <w:qFormat/>
    <w:rsid w:val="00BE5C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E5C91"/>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BE5C91"/>
    <w:rPr>
      <w:b/>
      <w:bCs/>
      <w:smallCaps/>
      <w:color w:val="4472C4" w:themeColor="accent1"/>
      <w:spacing w:val="5"/>
      <w:lang w:val="en-GB"/>
    </w:rPr>
  </w:style>
  <w:style w:type="table" w:styleId="Grilleclaire">
    <w:name w:val="Light Grid"/>
    <w:basedOn w:val="TableauNormal"/>
    <w:uiPriority w:val="62"/>
    <w:semiHidden/>
    <w:unhideWhenUsed/>
    <w:rsid w:val="00BE5C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BE5C9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BE5C9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BE5C9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BE5C9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BE5C9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BE5C9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BE5C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BE5C9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BE5C9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BE5C9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BE5C9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BE5C9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BE5C9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BE5C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BE5C9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BE5C9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BE5C9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BE5C9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BE5C9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BE5C9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BE5C91"/>
    <w:rPr>
      <w:lang w:val="en-GB"/>
    </w:rPr>
  </w:style>
  <w:style w:type="paragraph" w:styleId="Liste2">
    <w:name w:val="List 2"/>
    <w:basedOn w:val="Normal"/>
    <w:uiPriority w:val="99"/>
    <w:semiHidden/>
    <w:unhideWhenUsed/>
    <w:rsid w:val="00BE5C91"/>
    <w:pPr>
      <w:ind w:left="720" w:hanging="360"/>
      <w:contextualSpacing/>
    </w:pPr>
  </w:style>
  <w:style w:type="paragraph" w:styleId="Liste3">
    <w:name w:val="List 3"/>
    <w:basedOn w:val="Normal"/>
    <w:uiPriority w:val="99"/>
    <w:semiHidden/>
    <w:unhideWhenUsed/>
    <w:rsid w:val="00BE5C91"/>
    <w:pPr>
      <w:ind w:left="1080" w:hanging="360"/>
      <w:contextualSpacing/>
    </w:pPr>
  </w:style>
  <w:style w:type="paragraph" w:styleId="Liste4">
    <w:name w:val="List 4"/>
    <w:basedOn w:val="Normal"/>
    <w:uiPriority w:val="99"/>
    <w:semiHidden/>
    <w:unhideWhenUsed/>
    <w:rsid w:val="00BE5C91"/>
    <w:pPr>
      <w:ind w:left="1440" w:hanging="360"/>
      <w:contextualSpacing/>
    </w:pPr>
  </w:style>
  <w:style w:type="paragraph" w:styleId="Liste5">
    <w:name w:val="List 5"/>
    <w:basedOn w:val="Normal"/>
    <w:uiPriority w:val="99"/>
    <w:semiHidden/>
    <w:unhideWhenUsed/>
    <w:rsid w:val="00BE5C91"/>
    <w:pPr>
      <w:ind w:left="1800" w:hanging="360"/>
      <w:contextualSpacing/>
    </w:pPr>
  </w:style>
  <w:style w:type="paragraph" w:styleId="Listepuces">
    <w:name w:val="List Bullet"/>
    <w:basedOn w:val="Normal"/>
    <w:uiPriority w:val="99"/>
    <w:semiHidden/>
    <w:unhideWhenUsed/>
    <w:rsid w:val="00BE5C91"/>
    <w:pPr>
      <w:tabs>
        <w:tab w:val="num" w:pos="360"/>
      </w:tabs>
      <w:ind w:left="360" w:hanging="360"/>
      <w:contextualSpacing/>
    </w:pPr>
  </w:style>
  <w:style w:type="paragraph" w:styleId="Listepuces2">
    <w:name w:val="List Bullet 2"/>
    <w:basedOn w:val="Normal"/>
    <w:uiPriority w:val="99"/>
    <w:semiHidden/>
    <w:unhideWhenUsed/>
    <w:rsid w:val="00BE5C91"/>
    <w:pPr>
      <w:tabs>
        <w:tab w:val="num" w:pos="643"/>
      </w:tabs>
      <w:ind w:left="643" w:hanging="360"/>
      <w:contextualSpacing/>
    </w:pPr>
  </w:style>
  <w:style w:type="paragraph" w:styleId="Listepuces3">
    <w:name w:val="List Bullet 3"/>
    <w:basedOn w:val="Normal"/>
    <w:uiPriority w:val="99"/>
    <w:semiHidden/>
    <w:unhideWhenUsed/>
    <w:rsid w:val="00BE5C91"/>
    <w:pPr>
      <w:tabs>
        <w:tab w:val="num" w:pos="926"/>
      </w:tabs>
      <w:ind w:left="926" w:hanging="360"/>
      <w:contextualSpacing/>
    </w:pPr>
  </w:style>
  <w:style w:type="paragraph" w:styleId="Listepuces4">
    <w:name w:val="List Bullet 4"/>
    <w:basedOn w:val="Normal"/>
    <w:uiPriority w:val="99"/>
    <w:semiHidden/>
    <w:unhideWhenUsed/>
    <w:rsid w:val="00BE5C91"/>
    <w:pPr>
      <w:tabs>
        <w:tab w:val="num" w:pos="1209"/>
      </w:tabs>
      <w:ind w:left="1209" w:hanging="360"/>
      <w:contextualSpacing/>
    </w:pPr>
  </w:style>
  <w:style w:type="paragraph" w:styleId="Listepuces5">
    <w:name w:val="List Bullet 5"/>
    <w:basedOn w:val="Normal"/>
    <w:uiPriority w:val="99"/>
    <w:semiHidden/>
    <w:unhideWhenUsed/>
    <w:rsid w:val="00BE5C91"/>
    <w:pPr>
      <w:tabs>
        <w:tab w:val="num" w:pos="1492"/>
      </w:tabs>
      <w:ind w:left="1492" w:hanging="360"/>
      <w:contextualSpacing/>
    </w:pPr>
  </w:style>
  <w:style w:type="paragraph" w:styleId="Listecontinue">
    <w:name w:val="List Continue"/>
    <w:basedOn w:val="Normal"/>
    <w:uiPriority w:val="99"/>
    <w:semiHidden/>
    <w:unhideWhenUsed/>
    <w:rsid w:val="00BE5C91"/>
    <w:pPr>
      <w:spacing w:after="120"/>
      <w:ind w:left="360"/>
      <w:contextualSpacing/>
    </w:pPr>
  </w:style>
  <w:style w:type="paragraph" w:styleId="Listecontinue2">
    <w:name w:val="List Continue 2"/>
    <w:basedOn w:val="Normal"/>
    <w:uiPriority w:val="99"/>
    <w:semiHidden/>
    <w:unhideWhenUsed/>
    <w:rsid w:val="00BE5C91"/>
    <w:pPr>
      <w:spacing w:after="120"/>
      <w:ind w:left="720"/>
      <w:contextualSpacing/>
    </w:pPr>
  </w:style>
  <w:style w:type="paragraph" w:styleId="Listecontinue3">
    <w:name w:val="List Continue 3"/>
    <w:basedOn w:val="Normal"/>
    <w:uiPriority w:val="99"/>
    <w:semiHidden/>
    <w:unhideWhenUsed/>
    <w:rsid w:val="00BE5C91"/>
    <w:pPr>
      <w:spacing w:after="120"/>
      <w:ind w:left="1080"/>
      <w:contextualSpacing/>
    </w:pPr>
  </w:style>
  <w:style w:type="paragraph" w:styleId="Listecontinue4">
    <w:name w:val="List Continue 4"/>
    <w:basedOn w:val="Normal"/>
    <w:uiPriority w:val="99"/>
    <w:semiHidden/>
    <w:unhideWhenUsed/>
    <w:rsid w:val="00BE5C91"/>
    <w:pPr>
      <w:spacing w:after="120"/>
      <w:ind w:left="1440"/>
      <w:contextualSpacing/>
    </w:pPr>
  </w:style>
  <w:style w:type="paragraph" w:styleId="Listecontinue5">
    <w:name w:val="List Continue 5"/>
    <w:basedOn w:val="Normal"/>
    <w:uiPriority w:val="99"/>
    <w:semiHidden/>
    <w:unhideWhenUsed/>
    <w:rsid w:val="00BE5C91"/>
    <w:pPr>
      <w:spacing w:after="120"/>
      <w:ind w:left="1800"/>
      <w:contextualSpacing/>
    </w:pPr>
  </w:style>
  <w:style w:type="paragraph" w:styleId="Listenumros">
    <w:name w:val="List Number"/>
    <w:basedOn w:val="Normal"/>
    <w:uiPriority w:val="99"/>
    <w:semiHidden/>
    <w:unhideWhenUsed/>
    <w:rsid w:val="00BE5C91"/>
    <w:pPr>
      <w:tabs>
        <w:tab w:val="num" w:pos="360"/>
      </w:tabs>
      <w:ind w:left="360" w:hanging="360"/>
      <w:contextualSpacing/>
    </w:pPr>
  </w:style>
  <w:style w:type="paragraph" w:styleId="Listenumros2">
    <w:name w:val="List Number 2"/>
    <w:basedOn w:val="Normal"/>
    <w:uiPriority w:val="99"/>
    <w:semiHidden/>
    <w:unhideWhenUsed/>
    <w:rsid w:val="00BE5C91"/>
    <w:pPr>
      <w:tabs>
        <w:tab w:val="num" w:pos="643"/>
      </w:tabs>
      <w:ind w:left="643" w:hanging="360"/>
      <w:contextualSpacing/>
    </w:pPr>
  </w:style>
  <w:style w:type="paragraph" w:styleId="Listenumros3">
    <w:name w:val="List Number 3"/>
    <w:basedOn w:val="Normal"/>
    <w:uiPriority w:val="99"/>
    <w:semiHidden/>
    <w:unhideWhenUsed/>
    <w:rsid w:val="00BE5C91"/>
    <w:pPr>
      <w:tabs>
        <w:tab w:val="num" w:pos="926"/>
      </w:tabs>
      <w:ind w:left="926" w:hanging="360"/>
      <w:contextualSpacing/>
    </w:pPr>
  </w:style>
  <w:style w:type="paragraph" w:styleId="Listenumros4">
    <w:name w:val="List Number 4"/>
    <w:basedOn w:val="Normal"/>
    <w:uiPriority w:val="99"/>
    <w:semiHidden/>
    <w:unhideWhenUsed/>
    <w:rsid w:val="00BE5C91"/>
    <w:pPr>
      <w:tabs>
        <w:tab w:val="num" w:pos="1209"/>
      </w:tabs>
      <w:ind w:left="1209" w:hanging="360"/>
      <w:contextualSpacing/>
    </w:pPr>
  </w:style>
  <w:style w:type="paragraph" w:styleId="Listenumros5">
    <w:name w:val="List Number 5"/>
    <w:basedOn w:val="Normal"/>
    <w:uiPriority w:val="99"/>
    <w:semiHidden/>
    <w:unhideWhenUsed/>
    <w:rsid w:val="00BE5C91"/>
    <w:pPr>
      <w:tabs>
        <w:tab w:val="num" w:pos="1800"/>
      </w:tabs>
      <w:ind w:left="1800" w:hanging="360"/>
      <w:contextualSpacing/>
    </w:pPr>
  </w:style>
  <w:style w:type="table" w:styleId="TableauListe1Clair">
    <w:name w:val="List Table 1 Light"/>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BE5C9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BE5C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BE5C9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BE5C9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BE5C9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BE5C9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BE5C9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BE5C9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BE5C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BE5C9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BE5C9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BE5C9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BE5C9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BE5C9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BE5C9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BE5C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BE5C9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BE5C9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BE5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BE5C9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BE5C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BE5C9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BE5C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BE5C9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BE5C9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BE5C9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BE5C9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BE5C9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BE5C9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BE5C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BE5C9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BE5C9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BE5C9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BE5C9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BE5C9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BE5C9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BE5C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BE5C9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BE5C9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BE5C9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BE5C9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BE5C9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BE5C9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BE5C9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BE5C91"/>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BE5C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BE5C9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BE5C9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BE5C9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BE5C9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BE5C9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BE5C9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BE5C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BE5C9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BE5C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BE5C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BE5C9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BE5C9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BE5C9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BE5C9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BE5C9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BE5C9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BE5C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BE5C91"/>
    <w:rPr>
      <w:color w:val="2B579A"/>
      <w:shd w:val="clear" w:color="auto" w:fill="E1DFDD"/>
      <w:lang w:val="en-GB"/>
    </w:rPr>
  </w:style>
  <w:style w:type="paragraph" w:styleId="En-ttedemessage">
    <w:name w:val="Message Header"/>
    <w:basedOn w:val="Normal"/>
    <w:link w:val="En-ttedemessageCar"/>
    <w:uiPriority w:val="99"/>
    <w:semiHidden/>
    <w:unhideWhenUsed/>
    <w:rsid w:val="00BE5C9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E5C91"/>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BE5C9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Retraitnormal">
    <w:name w:val="Normal Indent"/>
    <w:basedOn w:val="Normal"/>
    <w:uiPriority w:val="99"/>
    <w:semiHidden/>
    <w:unhideWhenUsed/>
    <w:rsid w:val="00BE5C91"/>
    <w:pPr>
      <w:ind w:left="720"/>
    </w:pPr>
  </w:style>
  <w:style w:type="paragraph" w:styleId="Titredenote">
    <w:name w:val="Note Heading"/>
    <w:basedOn w:val="Normal"/>
    <w:next w:val="Normal"/>
    <w:link w:val="TitredenoteCar"/>
    <w:uiPriority w:val="99"/>
    <w:semiHidden/>
    <w:unhideWhenUsed/>
    <w:rsid w:val="00BE5C91"/>
  </w:style>
  <w:style w:type="character" w:customStyle="1" w:styleId="TitredenoteCar">
    <w:name w:val="Titre de note Car"/>
    <w:basedOn w:val="Policepardfaut"/>
    <w:link w:val="Titredenote"/>
    <w:uiPriority w:val="99"/>
    <w:semiHidden/>
    <w:rsid w:val="00BE5C91"/>
    <w:rPr>
      <w:rFonts w:ascii="Times New Roman" w:eastAsia="SimSun" w:hAnsi="Times New Roman" w:cs="Times New Roman"/>
      <w:kern w:val="0"/>
      <w:lang w:val="en-GB"/>
      <w14:ligatures w14:val="none"/>
    </w:rPr>
  </w:style>
  <w:style w:type="table" w:styleId="Tableausimple1">
    <w:name w:val="Plain Table 1"/>
    <w:basedOn w:val="TableauNormal"/>
    <w:uiPriority w:val="41"/>
    <w:rsid w:val="00BE5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E5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BE5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BE5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BE5C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BE5C91"/>
    <w:rPr>
      <w:rFonts w:ascii="Consolas" w:hAnsi="Consolas"/>
      <w:sz w:val="21"/>
      <w:szCs w:val="21"/>
    </w:rPr>
  </w:style>
  <w:style w:type="character" w:customStyle="1" w:styleId="TextebrutCar">
    <w:name w:val="Texte brut Car"/>
    <w:basedOn w:val="Policepardfaut"/>
    <w:link w:val="Textebrut"/>
    <w:uiPriority w:val="99"/>
    <w:semiHidden/>
    <w:rsid w:val="00BE5C91"/>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BE5C9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E5C91"/>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BE5C91"/>
  </w:style>
  <w:style w:type="character" w:customStyle="1" w:styleId="SalutationsCar">
    <w:name w:val="Salutations Car"/>
    <w:basedOn w:val="Policepardfaut"/>
    <w:link w:val="Salutations"/>
    <w:uiPriority w:val="99"/>
    <w:semiHidden/>
    <w:rsid w:val="00BE5C91"/>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BE5C91"/>
    <w:pPr>
      <w:ind w:left="4320"/>
    </w:pPr>
  </w:style>
  <w:style w:type="character" w:customStyle="1" w:styleId="SignatureCar">
    <w:name w:val="Signature Car"/>
    <w:basedOn w:val="Policepardfaut"/>
    <w:link w:val="Signature"/>
    <w:uiPriority w:val="99"/>
    <w:semiHidden/>
    <w:rsid w:val="00BE5C91"/>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BE5C91"/>
    <w:rPr>
      <w:u w:val="dotted"/>
      <w:lang w:val="en-GB"/>
    </w:rPr>
  </w:style>
  <w:style w:type="character" w:styleId="SmartLink">
    <w:name w:val="Smart Link"/>
    <w:basedOn w:val="Policepardfaut"/>
    <w:uiPriority w:val="99"/>
    <w:semiHidden/>
    <w:unhideWhenUsed/>
    <w:rsid w:val="00BE5C91"/>
    <w:rPr>
      <w:color w:val="0000FF"/>
      <w:u w:val="single"/>
      <w:shd w:val="clear" w:color="auto" w:fill="F3F2F1"/>
      <w:lang w:val="en-GB"/>
    </w:rPr>
  </w:style>
  <w:style w:type="character" w:styleId="lev">
    <w:name w:val="Strong"/>
    <w:basedOn w:val="Policepardfaut"/>
    <w:uiPriority w:val="22"/>
    <w:qFormat/>
    <w:rsid w:val="00BE5C91"/>
    <w:rPr>
      <w:b/>
      <w:bCs/>
      <w:lang w:val="en-GB"/>
    </w:rPr>
  </w:style>
  <w:style w:type="character" w:styleId="Accentuationlgre">
    <w:name w:val="Subtle Emphasis"/>
    <w:basedOn w:val="Policepardfaut"/>
    <w:uiPriority w:val="19"/>
    <w:qFormat/>
    <w:rsid w:val="00BE5C91"/>
    <w:rPr>
      <w:i/>
      <w:iCs/>
      <w:color w:val="404040" w:themeColor="text1" w:themeTint="BF"/>
      <w:lang w:val="en-GB"/>
    </w:rPr>
  </w:style>
  <w:style w:type="character" w:styleId="Rfrencelgre">
    <w:name w:val="Subtle Reference"/>
    <w:basedOn w:val="Policepardfaut"/>
    <w:uiPriority w:val="31"/>
    <w:qFormat/>
    <w:rsid w:val="00BE5C91"/>
    <w:rPr>
      <w:smallCaps/>
      <w:color w:val="5A5A5A" w:themeColor="text1" w:themeTint="A5"/>
      <w:lang w:val="en-GB"/>
    </w:rPr>
  </w:style>
  <w:style w:type="table" w:styleId="Effetsdetableau3D1">
    <w:name w:val="Table 3D effects 1"/>
    <w:basedOn w:val="TableauNormal"/>
    <w:uiPriority w:val="99"/>
    <w:semiHidden/>
    <w:unhideWhenUsed/>
    <w:rsid w:val="00BE5C9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BE5C9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BE5C9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BE5C9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BE5C9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BE5C9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BE5C9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BE5C9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BE5C9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BE5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BE5C9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BE5C9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BE5C9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BE5C9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BE5C9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BE5C9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BE5C9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BE5C9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BE5C91"/>
    <w:pPr>
      <w:spacing w:before="120"/>
    </w:pPr>
    <w:rPr>
      <w:rFonts w:asciiTheme="majorHAnsi" w:eastAsiaTheme="majorEastAsia" w:hAnsiTheme="majorHAnsi" w:cstheme="majorBidi"/>
      <w:b/>
      <w:bCs/>
      <w:sz w:val="24"/>
      <w:szCs w:val="24"/>
    </w:rPr>
  </w:style>
  <w:style w:type="paragraph" w:styleId="TM1">
    <w:name w:val="toc 1"/>
    <w:basedOn w:val="CBDNormal"/>
    <w:next w:val="Normal"/>
    <w:autoRedefine/>
    <w:uiPriority w:val="39"/>
    <w:unhideWhenUsed/>
    <w:rsid w:val="00E2701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E2701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E2701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E2701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E2701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E270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E270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E270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E270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En-ttedetabledesmatires">
    <w:name w:val="TOC Heading"/>
    <w:basedOn w:val="Titre1"/>
    <w:next w:val="Normal"/>
    <w:uiPriority w:val="39"/>
    <w:semiHidden/>
    <w:unhideWhenUsed/>
    <w:qFormat/>
    <w:rsid w:val="00BE5C9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Para2">
    <w:name w:val="Para2"/>
    <w:basedOn w:val="Normal"/>
    <w:rsid w:val="00CD0549"/>
    <w:pPr>
      <w:numPr>
        <w:numId w:val="6"/>
      </w:numPr>
      <w:tabs>
        <w:tab w:val="clear" w:pos="567"/>
        <w:tab w:val="clear" w:pos="1134"/>
        <w:tab w:val="clear" w:pos="1701"/>
        <w:tab w:val="clear" w:pos="2268"/>
      </w:tabs>
      <w:autoSpaceDE w:val="0"/>
      <w:autoSpaceDN w:val="0"/>
      <w:spacing w:before="120" w:after="120"/>
    </w:pPr>
    <w:rPr>
      <w:rFonts w:eastAsia="Times New Roman"/>
      <w:szCs w:val="18"/>
    </w:rPr>
  </w:style>
  <w:style w:type="paragraph" w:customStyle="1" w:styleId="AFCorNNormal">
    <w:name w:val="AF_CorNNormal"/>
    <w:basedOn w:val="Normal"/>
    <w:unhideWhenUsed/>
    <w:rsid w:val="00E27011"/>
    <w:pPr>
      <w:jc w:val="left"/>
    </w:pPr>
  </w:style>
  <w:style w:type="paragraph" w:customStyle="1" w:styleId="AFCorNBold">
    <w:name w:val="AF_CorNBold"/>
    <w:basedOn w:val="AFCorNNormal"/>
    <w:next w:val="AFCorNNormal"/>
    <w:unhideWhenUsed/>
    <w:qFormat/>
    <w:rsid w:val="00E27011"/>
    <w:rPr>
      <w:b/>
    </w:rPr>
  </w:style>
  <w:style w:type="paragraph" w:customStyle="1" w:styleId="AFCorN12Bold">
    <w:name w:val="AF_CorN12Bold"/>
    <w:basedOn w:val="AFCorNNormal"/>
    <w:next w:val="AFCorNNormal"/>
    <w:unhideWhenUsed/>
    <w:qFormat/>
    <w:rsid w:val="00E27011"/>
    <w:rPr>
      <w:b/>
      <w:sz w:val="24"/>
    </w:rPr>
  </w:style>
  <w:style w:type="numbering" w:customStyle="1" w:styleId="ListCBD1">
    <w:name w:val="ListCBD1"/>
    <w:basedOn w:val="Aucuneliste"/>
    <w:uiPriority w:val="99"/>
    <w:rsid w:val="00651BEB"/>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651BEB"/>
    <w:rPr>
      <w:rFonts w:ascii="Times New Roman" w:eastAsia="SimSun" w:hAnsi="Times New Roman" w:cs="Times New Roman"/>
      <w:kern w:val="0"/>
      <w:lang w:val="en-GB"/>
      <w14:ligatures w14:val="none"/>
    </w:rPr>
  </w:style>
  <w:style w:type="character" w:customStyle="1" w:styleId="cf01">
    <w:name w:val="cf01"/>
    <w:basedOn w:val="Policepardfaut"/>
    <w:rsid w:val="00651B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6734">
      <w:bodyDiv w:val="1"/>
      <w:marLeft w:val="0"/>
      <w:marRight w:val="0"/>
      <w:marTop w:val="0"/>
      <w:marBottom w:val="0"/>
      <w:divBdr>
        <w:top w:val="none" w:sz="0" w:space="0" w:color="auto"/>
        <w:left w:val="none" w:sz="0" w:space="0" w:color="auto"/>
        <w:bottom w:val="none" w:sz="0" w:space="0" w:color="auto"/>
        <w:right w:val="none" w:sz="0" w:space="0" w:color="auto"/>
      </w:divBdr>
      <w:divsChild>
        <w:div w:id="1796757804">
          <w:marLeft w:val="0"/>
          <w:marRight w:val="0"/>
          <w:marTop w:val="0"/>
          <w:marBottom w:val="0"/>
          <w:divBdr>
            <w:top w:val="none" w:sz="0" w:space="0" w:color="auto"/>
            <w:left w:val="none" w:sz="0" w:space="0" w:color="auto"/>
            <w:bottom w:val="none" w:sz="0" w:space="0" w:color="auto"/>
            <w:right w:val="none" w:sz="0" w:space="0" w:color="auto"/>
          </w:divBdr>
        </w:div>
      </w:divsChild>
    </w:div>
    <w:div w:id="175466248">
      <w:bodyDiv w:val="1"/>
      <w:marLeft w:val="0"/>
      <w:marRight w:val="0"/>
      <w:marTop w:val="0"/>
      <w:marBottom w:val="0"/>
      <w:divBdr>
        <w:top w:val="none" w:sz="0" w:space="0" w:color="auto"/>
        <w:left w:val="none" w:sz="0" w:space="0" w:color="auto"/>
        <w:bottom w:val="none" w:sz="0" w:space="0" w:color="auto"/>
        <w:right w:val="none" w:sz="0" w:space="0" w:color="auto"/>
      </w:divBdr>
    </w:div>
    <w:div w:id="191040418">
      <w:bodyDiv w:val="1"/>
      <w:marLeft w:val="0"/>
      <w:marRight w:val="0"/>
      <w:marTop w:val="0"/>
      <w:marBottom w:val="0"/>
      <w:divBdr>
        <w:top w:val="none" w:sz="0" w:space="0" w:color="auto"/>
        <w:left w:val="none" w:sz="0" w:space="0" w:color="auto"/>
        <w:bottom w:val="none" w:sz="0" w:space="0" w:color="auto"/>
        <w:right w:val="none" w:sz="0" w:space="0" w:color="auto"/>
      </w:divBdr>
    </w:div>
    <w:div w:id="197087983">
      <w:bodyDiv w:val="1"/>
      <w:marLeft w:val="0"/>
      <w:marRight w:val="0"/>
      <w:marTop w:val="0"/>
      <w:marBottom w:val="0"/>
      <w:divBdr>
        <w:top w:val="none" w:sz="0" w:space="0" w:color="auto"/>
        <w:left w:val="none" w:sz="0" w:space="0" w:color="auto"/>
        <w:bottom w:val="none" w:sz="0" w:space="0" w:color="auto"/>
        <w:right w:val="none" w:sz="0" w:space="0" w:color="auto"/>
      </w:divBdr>
    </w:div>
    <w:div w:id="240287643">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408581865">
      <w:bodyDiv w:val="1"/>
      <w:marLeft w:val="0"/>
      <w:marRight w:val="0"/>
      <w:marTop w:val="0"/>
      <w:marBottom w:val="0"/>
      <w:divBdr>
        <w:top w:val="none" w:sz="0" w:space="0" w:color="auto"/>
        <w:left w:val="none" w:sz="0" w:space="0" w:color="auto"/>
        <w:bottom w:val="none" w:sz="0" w:space="0" w:color="auto"/>
        <w:right w:val="none" w:sz="0" w:space="0" w:color="auto"/>
      </w:divBdr>
    </w:div>
    <w:div w:id="766855024">
      <w:bodyDiv w:val="1"/>
      <w:marLeft w:val="0"/>
      <w:marRight w:val="0"/>
      <w:marTop w:val="0"/>
      <w:marBottom w:val="0"/>
      <w:divBdr>
        <w:top w:val="none" w:sz="0" w:space="0" w:color="auto"/>
        <w:left w:val="none" w:sz="0" w:space="0" w:color="auto"/>
        <w:bottom w:val="none" w:sz="0" w:space="0" w:color="auto"/>
        <w:right w:val="none" w:sz="0" w:space="0" w:color="auto"/>
      </w:divBdr>
    </w:div>
    <w:div w:id="1034381468">
      <w:bodyDiv w:val="1"/>
      <w:marLeft w:val="0"/>
      <w:marRight w:val="0"/>
      <w:marTop w:val="0"/>
      <w:marBottom w:val="0"/>
      <w:divBdr>
        <w:top w:val="none" w:sz="0" w:space="0" w:color="auto"/>
        <w:left w:val="none" w:sz="0" w:space="0" w:color="auto"/>
        <w:bottom w:val="none" w:sz="0" w:space="0" w:color="auto"/>
        <w:right w:val="none" w:sz="0" w:space="0" w:color="auto"/>
      </w:divBdr>
    </w:div>
    <w:div w:id="1236744472">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3581806">
      <w:bodyDiv w:val="1"/>
      <w:marLeft w:val="0"/>
      <w:marRight w:val="0"/>
      <w:marTop w:val="0"/>
      <w:marBottom w:val="0"/>
      <w:divBdr>
        <w:top w:val="none" w:sz="0" w:space="0" w:color="auto"/>
        <w:left w:val="none" w:sz="0" w:space="0" w:color="auto"/>
        <w:bottom w:val="none" w:sz="0" w:space="0" w:color="auto"/>
        <w:right w:val="none" w:sz="0" w:space="0" w:color="auto"/>
      </w:divBdr>
      <w:divsChild>
        <w:div w:id="1796872392">
          <w:marLeft w:val="0"/>
          <w:marRight w:val="0"/>
          <w:marTop w:val="0"/>
          <w:marBottom w:val="0"/>
          <w:divBdr>
            <w:top w:val="none" w:sz="0" w:space="0" w:color="auto"/>
            <w:left w:val="none" w:sz="0" w:space="0" w:color="auto"/>
            <w:bottom w:val="none" w:sz="0" w:space="0" w:color="auto"/>
            <w:right w:val="none" w:sz="0" w:space="0" w:color="auto"/>
          </w:divBdr>
        </w:div>
      </w:divsChild>
    </w:div>
    <w:div w:id="1533499645">
      <w:bodyDiv w:val="1"/>
      <w:marLeft w:val="0"/>
      <w:marRight w:val="0"/>
      <w:marTop w:val="0"/>
      <w:marBottom w:val="0"/>
      <w:divBdr>
        <w:top w:val="none" w:sz="0" w:space="0" w:color="auto"/>
        <w:left w:val="none" w:sz="0" w:space="0" w:color="auto"/>
        <w:bottom w:val="none" w:sz="0" w:space="0" w:color="auto"/>
        <w:right w:val="none" w:sz="0" w:space="0" w:color="auto"/>
      </w:divBdr>
    </w:div>
    <w:div w:id="1555699009">
      <w:bodyDiv w:val="1"/>
      <w:marLeft w:val="0"/>
      <w:marRight w:val="0"/>
      <w:marTop w:val="0"/>
      <w:marBottom w:val="0"/>
      <w:divBdr>
        <w:top w:val="none" w:sz="0" w:space="0" w:color="auto"/>
        <w:left w:val="none" w:sz="0" w:space="0" w:color="auto"/>
        <w:bottom w:val="none" w:sz="0" w:space="0" w:color="auto"/>
        <w:right w:val="none" w:sz="0" w:space="0" w:color="auto"/>
      </w:divBdr>
    </w:div>
    <w:div w:id="1592858874">
      <w:bodyDiv w:val="1"/>
      <w:marLeft w:val="0"/>
      <w:marRight w:val="0"/>
      <w:marTop w:val="0"/>
      <w:marBottom w:val="0"/>
      <w:divBdr>
        <w:top w:val="none" w:sz="0" w:space="0" w:color="auto"/>
        <w:left w:val="none" w:sz="0" w:space="0" w:color="auto"/>
        <w:bottom w:val="none" w:sz="0" w:space="0" w:color="auto"/>
        <w:right w:val="none" w:sz="0" w:space="0" w:color="auto"/>
      </w:divBdr>
    </w:div>
    <w:div w:id="1619603472">
      <w:bodyDiv w:val="1"/>
      <w:marLeft w:val="0"/>
      <w:marRight w:val="0"/>
      <w:marTop w:val="0"/>
      <w:marBottom w:val="0"/>
      <w:divBdr>
        <w:top w:val="none" w:sz="0" w:space="0" w:color="auto"/>
        <w:left w:val="none" w:sz="0" w:space="0" w:color="auto"/>
        <w:bottom w:val="none" w:sz="0" w:space="0" w:color="auto"/>
        <w:right w:val="none" w:sz="0" w:space="0" w:color="auto"/>
      </w:divBdr>
    </w:div>
    <w:div w:id="1627277799">
      <w:bodyDiv w:val="1"/>
      <w:marLeft w:val="0"/>
      <w:marRight w:val="0"/>
      <w:marTop w:val="0"/>
      <w:marBottom w:val="0"/>
      <w:divBdr>
        <w:top w:val="none" w:sz="0" w:space="0" w:color="auto"/>
        <w:left w:val="none" w:sz="0" w:space="0" w:color="auto"/>
        <w:bottom w:val="none" w:sz="0" w:space="0" w:color="auto"/>
        <w:right w:val="none" w:sz="0" w:space="0" w:color="auto"/>
      </w:divBdr>
    </w:div>
    <w:div w:id="17207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yperlink" Target="https://www.cbd.int/decisions/cop?m=cop-15" TargetMode="External"/><Relationship Id="rId39" Type="http://schemas.openxmlformats.org/officeDocument/2006/relationships/hyperlink" Target="https://www.cbd.int/convention/articles/default.shtml?a=cbd-20" TargetMode="External"/><Relationship Id="rId21" Type="http://schemas.openxmlformats.org/officeDocument/2006/relationships/hyperlink" Target="https://www.cbd.int/recommendations/sbi/?m=sbi-04" TargetMode="External"/><Relationship Id="rId34" Type="http://schemas.openxmlformats.org/officeDocument/2006/relationships/hyperlink" Target="https://www.cbd.int/decisions/?id=13648" TargetMode="External"/><Relationship Id="rId42" Type="http://schemas.openxmlformats.org/officeDocument/2006/relationships/hyperlink" Target="https://www.cbd.int/decisions/cop/?m=cop-1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legal/cbd-fr.pdf" TargetMode="External"/><Relationship Id="rId29" Type="http://schemas.openxmlformats.org/officeDocument/2006/relationships/hyperlink" Target="https://www.cbd.int/doc/legal/cbd-fr.pdf" TargetMode="External"/><Relationship Id="rId11" Type="http://schemas.openxmlformats.org/officeDocument/2006/relationships/image" Target="media/image1.emf"/><Relationship Id="rId24" Type="http://schemas.openxmlformats.org/officeDocument/2006/relationships/hyperlink" Target="https://www.cbd.int/decisions/?id=13366"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convention/articles/default.shtml?a=cbd-20" TargetMode="External"/><Relationship Id="rId40" Type="http://schemas.openxmlformats.org/officeDocument/2006/relationships/hyperlink" Target="https://www.cbd.int/convention/articles/default.shtml?a=cbd-20" TargetMode="External"/><Relationship Id="rId45" Type="http://schemas.openxmlformats.org/officeDocument/2006/relationships/hyperlink" Target="https://www.cbd.int/doc/decisions/cop-16/cop-16-dec-02-fr.pdf" TargetMode="External"/><Relationship Id="rId5" Type="http://schemas.openxmlformats.org/officeDocument/2006/relationships/numbering" Target="numbering.xml"/><Relationship Id="rId15" Type="http://schemas.openxmlformats.org/officeDocument/2006/relationships/hyperlink" Target="https://www.cbd.int/doc/legal/cbd-fr.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legal/cbd-fr.pdf" TargetMode="External"/><Relationship Id="rId36" Type="http://schemas.openxmlformats.org/officeDocument/2006/relationships/hyperlink" Target="https://www.cbd.int/decisions/cop/?m=cop-15"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4" Type="http://schemas.openxmlformats.org/officeDocument/2006/relationships/hyperlink" Target="https://www.cbd.int/decisions/?id=13366"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20" TargetMode="External"/><Relationship Id="rId22" Type="http://schemas.openxmlformats.org/officeDocument/2006/relationships/hyperlink" Target="https://www.cbd.int/convention/articles/default.shtml?a=cbd-20" TargetMode="External"/><Relationship Id="rId27" Type="http://schemas.openxmlformats.org/officeDocument/2006/relationships/hyperlink" Target="https://www.cbd.int/doc/legal/cbd-fr.pdf" TargetMode="External"/><Relationship Id="rId30" Type="http://schemas.openxmlformats.org/officeDocument/2006/relationships/hyperlink" Target="https://www.cbd.int/doc/legal/cbd-fr.pdf" TargetMode="External"/><Relationship Id="rId35" Type="http://schemas.openxmlformats.org/officeDocument/2006/relationships/hyperlink" Target="https://www.cbd.int/doc/legal/cbd-fr.pdf" TargetMode="External"/><Relationship Id="rId43" Type="http://schemas.openxmlformats.org/officeDocument/2006/relationships/hyperlink" Target="https://www.cbd.int/convention/articles/default.shtml?a=cbd-20"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hyperlink" Target="https://www.cbd.int/decision/cop/default.shtml?id=13648" TargetMode="External"/><Relationship Id="rId33" Type="http://schemas.openxmlformats.org/officeDocument/2006/relationships/hyperlink" Target="https://www.cbd.int/decisions/?id=13366" TargetMode="External"/><Relationship Id="rId38" Type="http://schemas.openxmlformats.org/officeDocument/2006/relationships/hyperlink" Target="https://www.cbd.int/doc/legal/cbd-fr.pdf" TargetMode="External"/><Relationship Id="rId46" Type="http://schemas.openxmlformats.org/officeDocument/2006/relationships/header" Target="header1.xml"/><Relationship Id="rId20" Type="http://schemas.openxmlformats.org/officeDocument/2006/relationships/hyperlink" Target="https://www.cbd.int/decisions/cop/?m=cop-15" TargetMode="External"/><Relationship Id="rId41" Type="http://schemas.openxmlformats.org/officeDocument/2006/relationships/hyperlink" Target="https://www.cbd.int/convention/articles/default.shtml?a=cbd-2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biofin.org/finance-solutions" TargetMode="External"/><Relationship Id="rId3" Type="http://schemas.openxmlformats.org/officeDocument/2006/relationships/hyperlink" Target="https://www.cbd.int/doc/decisions/cop-16/cop-16-dec-32-fr.pdf" TargetMode="External"/><Relationship Id="rId7" Type="http://schemas.openxmlformats.org/officeDocument/2006/relationships/hyperlink" Target="https://www.cbd.int/decisions/cop/?m=cop-16" TargetMode="External"/><Relationship Id="rId12" Type="http://schemas.openxmlformats.org/officeDocument/2006/relationships/hyperlink" Target="https://www.cbd.int/decisions/cop/?m=cop-15" TargetMode="External"/><Relationship Id="rId2" Type="http://schemas.openxmlformats.org/officeDocument/2006/relationships/hyperlink" Target="https://www.cbd.int/documents/CBD/SBI/4/INF/10"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notifications/2023/ntf-2023-132-rm-en.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notifications/2023/ntf-2023-063-rm-en.pdf" TargetMode="External"/><Relationship Id="rId15" Type="http://schemas.openxmlformats.org/officeDocument/2006/relationships/hyperlink" Target="https://www.cbd.int/decisions/cop/?m=cop-16" TargetMode="External"/><Relationship Id="rId10"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6/cop-16-dec-32-fr.pdf"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C:\Users\veronique.lefebvre\United Nations\MEA-CBD-Editing Team - Documents\Meeting documents\SBSTTA\SBSTTA-25\Status&amp;Templates\sbstta-template.dotm</Template>
  <TotalTime>4</TotalTime>
  <Pages>14</Pages>
  <Words>7395</Words>
  <Characters>40673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Draft proceedings of the meeting</vt:lpstr>
    </vt:vector>
  </TitlesOfParts>
  <Company/>
  <LinksUpToDate>false</LinksUpToDate>
  <CharactersWithSpaces>47973</CharactersWithSpaces>
  <SharedDoc>false</SharedDoc>
  <HLinks>
    <vt:vector size="78" baseType="variant">
      <vt:variant>
        <vt:i4>6488181</vt:i4>
      </vt:variant>
      <vt:variant>
        <vt:i4>33</vt:i4>
      </vt:variant>
      <vt:variant>
        <vt:i4>0</vt:i4>
      </vt:variant>
      <vt:variant>
        <vt:i4>5</vt:i4>
      </vt:variant>
      <vt:variant>
        <vt:lpwstr>https://www.cbd.int/documents/679245aac5696622ab011931</vt:lpwstr>
      </vt:variant>
      <vt:variant>
        <vt:lpwstr/>
      </vt:variant>
      <vt:variant>
        <vt:i4>7798901</vt:i4>
      </vt:variant>
      <vt:variant>
        <vt:i4>30</vt:i4>
      </vt:variant>
      <vt:variant>
        <vt:i4>0</vt:i4>
      </vt:variant>
      <vt:variant>
        <vt:i4>5</vt:i4>
      </vt:variant>
      <vt:variant>
        <vt:lpwstr>https://www.cbd.int/meetings/COP-16-R1</vt:lpwstr>
      </vt:variant>
      <vt:variant>
        <vt:lpwstr/>
      </vt:variant>
      <vt:variant>
        <vt:i4>7209068</vt:i4>
      </vt:variant>
      <vt:variant>
        <vt:i4>27</vt:i4>
      </vt:variant>
      <vt:variant>
        <vt:i4>0</vt:i4>
      </vt:variant>
      <vt:variant>
        <vt:i4>5</vt:i4>
      </vt:variant>
      <vt:variant>
        <vt:lpwstr>https://www.cbd.int/documents/CBD/COP/16/1/ADD5</vt:lpwstr>
      </vt:variant>
      <vt:variant>
        <vt:lpwstr/>
      </vt:variant>
      <vt:variant>
        <vt:i4>7209068</vt:i4>
      </vt:variant>
      <vt:variant>
        <vt:i4>24</vt:i4>
      </vt:variant>
      <vt:variant>
        <vt:i4>0</vt:i4>
      </vt:variant>
      <vt:variant>
        <vt:i4>5</vt:i4>
      </vt:variant>
      <vt:variant>
        <vt:lpwstr>https://www.cbd.int/documents/CBD/COP/16/1/ADD4</vt:lpwstr>
      </vt:variant>
      <vt:variant>
        <vt:lpwstr/>
      </vt:variant>
      <vt:variant>
        <vt:i4>20</vt:i4>
      </vt:variant>
      <vt:variant>
        <vt:i4>21</vt:i4>
      </vt:variant>
      <vt:variant>
        <vt:i4>0</vt:i4>
      </vt:variant>
      <vt:variant>
        <vt:i4>5</vt:i4>
      </vt:variant>
      <vt:variant>
        <vt:lpwstr>https://www.cbd.int/documents/CBD/COP/16/L36</vt:lpwstr>
      </vt:variant>
      <vt:variant>
        <vt:lpwstr/>
      </vt:variant>
      <vt:variant>
        <vt:i4>3080238</vt:i4>
      </vt:variant>
      <vt:variant>
        <vt:i4>18</vt:i4>
      </vt:variant>
      <vt:variant>
        <vt:i4>0</vt:i4>
      </vt:variant>
      <vt:variant>
        <vt:i4>5</vt:i4>
      </vt:variant>
      <vt:variant>
        <vt:lpwstr>https://www.cbd.int/documents/CBD/COP/16/L35/PART.A</vt:lpwstr>
      </vt:variant>
      <vt:variant>
        <vt:lpwstr/>
      </vt:variant>
      <vt:variant>
        <vt:i4>7209068</vt:i4>
      </vt:variant>
      <vt:variant>
        <vt:i4>15</vt:i4>
      </vt:variant>
      <vt:variant>
        <vt:i4>0</vt:i4>
      </vt:variant>
      <vt:variant>
        <vt:i4>5</vt:i4>
      </vt:variant>
      <vt:variant>
        <vt:lpwstr>https://www.cbd.int/documents/CBD/COP/16/1/ADD3</vt:lpwstr>
      </vt:variant>
      <vt:variant>
        <vt:lpwstr/>
      </vt:variant>
      <vt:variant>
        <vt:i4>4063277</vt:i4>
      </vt:variant>
      <vt:variant>
        <vt:i4>12</vt:i4>
      </vt:variant>
      <vt:variant>
        <vt:i4>0</vt:i4>
      </vt:variant>
      <vt:variant>
        <vt:i4>5</vt:i4>
      </vt:variant>
      <vt:variant>
        <vt:lpwstr>https://www.cbd.int/documents/674de2301cbd9b9b1ed6a93c</vt:lpwstr>
      </vt:variant>
      <vt:variant>
        <vt:lpwstr/>
      </vt:variant>
      <vt:variant>
        <vt:i4>5898309</vt:i4>
      </vt:variant>
      <vt:variant>
        <vt:i4>9</vt:i4>
      </vt:variant>
      <vt:variant>
        <vt:i4>0</vt:i4>
      </vt:variant>
      <vt:variant>
        <vt:i4>5</vt:i4>
      </vt:variant>
      <vt:variant>
        <vt:lpwstr>https://www.cbd.int/documents/CBD/COP/16/WGII/L1</vt:lpwstr>
      </vt:variant>
      <vt:variant>
        <vt:lpwstr/>
      </vt:variant>
      <vt:variant>
        <vt:i4>2621551</vt:i4>
      </vt:variant>
      <vt:variant>
        <vt:i4>6</vt:i4>
      </vt:variant>
      <vt:variant>
        <vt:i4>0</vt:i4>
      </vt:variant>
      <vt:variant>
        <vt:i4>5</vt:i4>
      </vt:variant>
      <vt:variant>
        <vt:lpwstr>https://www.cbd.int/documents/CBD/COP/16/WGI/L1</vt:lpwstr>
      </vt:variant>
      <vt:variant>
        <vt:lpwstr/>
      </vt:variant>
      <vt:variant>
        <vt:i4>1048595</vt:i4>
      </vt:variant>
      <vt:variant>
        <vt:i4>0</vt:i4>
      </vt:variant>
      <vt:variant>
        <vt:i4>0</vt:i4>
      </vt:variant>
      <vt:variant>
        <vt:i4>5</vt:i4>
      </vt:variant>
      <vt:variant>
        <vt:lpwstr>https://www.cbd.int/documents/CBD/COP/16/10/REV1</vt:lpwstr>
      </vt:variant>
      <vt:variant>
        <vt:lpwstr/>
      </vt:variant>
      <vt:variant>
        <vt:i4>262216</vt:i4>
      </vt:variant>
      <vt:variant>
        <vt:i4>3</vt:i4>
      </vt:variant>
      <vt:variant>
        <vt:i4>0</vt:i4>
      </vt:variant>
      <vt:variant>
        <vt:i4>5</vt:i4>
      </vt:variant>
      <vt:variant>
        <vt:lpwstr>https://www.cbd.int/doc/c/f441/c5e7/9c4ec7cc27ad74c3cd4a758a/cop16-wg2-nonpaper-item20-csu-v2-en.pdf</vt:lpwstr>
      </vt:variant>
      <vt:variant>
        <vt:lpwstr/>
      </vt:variant>
      <vt:variant>
        <vt:i4>327765</vt:i4>
      </vt:variant>
      <vt:variant>
        <vt:i4>0</vt:i4>
      </vt:variant>
      <vt:variant>
        <vt:i4>0</vt:i4>
      </vt:variant>
      <vt:variant>
        <vt:i4>5</vt:i4>
      </vt:variant>
      <vt:variant>
        <vt:lpwstr>https://webtv.un.org/en/asset/k15/k15zsogklo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de la réunion</dc:title>
  <dc:subject>CBD/COP/16/L.1/Rev.1</dc:subject>
  <dc:creator>Secretariat of the Convention on Biological Diversity</dc:creator>
  <cp:keywords/>
  <dc:description/>
  <cp:lastModifiedBy>Reviewer</cp:lastModifiedBy>
  <cp:revision>5</cp:revision>
  <cp:lastPrinted>2024-08-29T23:35:00Z</cp:lastPrinted>
  <dcterms:created xsi:type="dcterms:W3CDTF">2025-02-26T04:16:00Z</dcterms:created>
  <dcterms:modified xsi:type="dcterms:W3CDTF">2025-04-02T14:56:00Z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