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44"/>
        <w:gridCol w:w="5671"/>
      </w:tblGrid>
      <w:tr w:rsidR="0008479F" w:rsidRPr="00E06D4F" w14:paraId="41997DFB" w14:textId="77777777" w:rsidTr="0003255B">
        <w:trPr>
          <w:trHeight w:val="851"/>
        </w:trPr>
        <w:tc>
          <w:tcPr>
            <w:tcW w:w="465" w:type="pct"/>
            <w:tcBorders>
              <w:bottom w:val="single" w:sz="8" w:space="0" w:color="auto"/>
            </w:tcBorders>
            <w:vAlign w:val="bottom"/>
          </w:tcPr>
          <w:p w14:paraId="4B5D738B" w14:textId="77777777" w:rsidR="0008479F" w:rsidRPr="00E06D4F" w:rsidRDefault="0008479F" w:rsidP="0008479F">
            <w:pPr>
              <w:spacing w:after="120"/>
              <w:jc w:val="left"/>
            </w:pPr>
            <w:bookmarkStart w:id="0" w:name="_Hlk137651738"/>
            <w:r w:rsidRPr="00E06D4F">
              <w:rPr>
                <w:noProof/>
              </w:rPr>
              <w:drawing>
                <wp:inline distT="0" distB="0" distL="0" distR="0" wp14:anchorId="4A247F1A" wp14:editId="752CDE89">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5B267FE6" w14:textId="2078F972" w:rsidR="0008479F" w:rsidRPr="00E06D4F" w:rsidRDefault="0008479F" w:rsidP="0008479F">
            <w:pPr>
              <w:spacing w:after="120"/>
              <w:jc w:val="left"/>
            </w:pPr>
            <w:r w:rsidRPr="00E06D4F">
              <w:rPr>
                <w:noProof/>
                <w:lang w:eastAsia="fr-CA"/>
              </w:rPr>
              <w:drawing>
                <wp:inline distT="0" distB="0" distL="0" distR="0" wp14:anchorId="5C064CCD" wp14:editId="78BD2BC3">
                  <wp:extent cx="590550" cy="3619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p>
        </w:tc>
        <w:tc>
          <w:tcPr>
            <w:tcW w:w="2703" w:type="pct"/>
            <w:tcBorders>
              <w:bottom w:val="single" w:sz="8" w:space="0" w:color="auto"/>
            </w:tcBorders>
            <w:vAlign w:val="bottom"/>
          </w:tcPr>
          <w:p w14:paraId="6F0583AD" w14:textId="69548102" w:rsidR="0008479F" w:rsidRPr="00E06D4F" w:rsidRDefault="0008479F" w:rsidP="0008479F">
            <w:pPr>
              <w:spacing w:after="120"/>
              <w:ind w:left="2021"/>
              <w:jc w:val="right"/>
              <w:rPr>
                <w:szCs w:val="22"/>
              </w:rPr>
            </w:pPr>
            <w:r w:rsidRPr="00C81821">
              <w:rPr>
                <w:sz w:val="40"/>
                <w:szCs w:val="40"/>
                <w:lang w:val="en-GB"/>
              </w:rPr>
              <w:t>CBD</w:t>
            </w:r>
            <w:r w:rsidRPr="00C81821">
              <w:rPr>
                <w:szCs w:val="40"/>
                <w:lang w:val="en-GB"/>
              </w:rPr>
              <w:t>/COP/</w:t>
            </w:r>
            <w:r>
              <w:rPr>
                <w:szCs w:val="40"/>
                <w:lang w:val="en-GB"/>
              </w:rPr>
              <w:t>DEC/</w:t>
            </w:r>
            <w:r w:rsidRPr="00C81821">
              <w:rPr>
                <w:szCs w:val="40"/>
                <w:lang w:val="en-GB"/>
              </w:rPr>
              <w:t>16/</w:t>
            </w:r>
            <w:r>
              <w:rPr>
                <w:szCs w:val="40"/>
                <w:lang w:val="en-GB"/>
              </w:rPr>
              <w:t>35</w:t>
            </w:r>
          </w:p>
        </w:tc>
      </w:tr>
      <w:tr w:rsidR="00B3257F" w:rsidRPr="00E06D4F" w14:paraId="6CFBCF02" w14:textId="77777777" w:rsidTr="0003255B">
        <w:tc>
          <w:tcPr>
            <w:tcW w:w="2297" w:type="pct"/>
            <w:gridSpan w:val="2"/>
            <w:tcBorders>
              <w:top w:val="single" w:sz="8" w:space="0" w:color="auto"/>
              <w:bottom w:val="single" w:sz="12" w:space="0" w:color="auto"/>
            </w:tcBorders>
          </w:tcPr>
          <w:p w14:paraId="3882E305" w14:textId="0773C61D" w:rsidR="00B3257F" w:rsidRPr="00E06D4F" w:rsidRDefault="00C171BE" w:rsidP="0003255B">
            <w:pPr>
              <w:pStyle w:val="Cornernotation"/>
              <w:suppressLineNumbers/>
              <w:suppressAutoHyphens/>
              <w:spacing w:before="120" w:after="120"/>
              <w:ind w:right="0"/>
            </w:pPr>
            <w:r w:rsidRPr="00E06D4F">
              <w:rPr>
                <w:noProof/>
                <w:lang w:eastAsia="fr-CA"/>
              </w:rPr>
              <w:drawing>
                <wp:inline distT="0" distB="0" distL="0" distR="0" wp14:anchorId="7F84053F" wp14:editId="06CA435E">
                  <wp:extent cx="2857500" cy="1076325"/>
                  <wp:effectExtent l="0" t="0" r="0" b="9525"/>
                  <wp:docPr id="1" name="Image 1"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CBD_logo_fr-CMYK-black [Conver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2703" w:type="pct"/>
            <w:tcBorders>
              <w:top w:val="single" w:sz="8" w:space="0" w:color="auto"/>
              <w:bottom w:val="single" w:sz="12" w:space="0" w:color="auto"/>
            </w:tcBorders>
          </w:tcPr>
          <w:p w14:paraId="104C12AF" w14:textId="110375CB" w:rsidR="00B3257F" w:rsidRPr="00E06D4F" w:rsidRDefault="00B3257F" w:rsidP="0003255B">
            <w:pPr>
              <w:ind w:left="2584"/>
              <w:rPr>
                <w:sz w:val="22"/>
                <w:szCs w:val="22"/>
              </w:rPr>
            </w:pPr>
            <w:r w:rsidRPr="00E06D4F">
              <w:rPr>
                <w:sz w:val="22"/>
                <w:szCs w:val="22"/>
              </w:rPr>
              <w:t>Distr.</w:t>
            </w:r>
            <w:r w:rsidR="00C171BE" w:rsidRPr="00E06D4F">
              <w:rPr>
                <w:sz w:val="22"/>
                <w:szCs w:val="22"/>
              </w:rPr>
              <w:t> </w:t>
            </w:r>
            <w:r w:rsidRPr="00E06D4F">
              <w:rPr>
                <w:sz w:val="22"/>
                <w:szCs w:val="22"/>
              </w:rPr>
              <w:t xml:space="preserve">: </w:t>
            </w:r>
            <w:r w:rsidR="0008479F">
              <w:rPr>
                <w:sz w:val="22"/>
                <w:szCs w:val="22"/>
              </w:rPr>
              <w:t>générale</w:t>
            </w:r>
          </w:p>
          <w:p w14:paraId="51756B36" w14:textId="21EFF0A8" w:rsidR="00B3257F" w:rsidRPr="00E06D4F" w:rsidRDefault="00322F00" w:rsidP="0003255B">
            <w:pPr>
              <w:ind w:left="2584"/>
              <w:rPr>
                <w:sz w:val="22"/>
                <w:szCs w:val="22"/>
              </w:rPr>
            </w:pPr>
            <w:r w:rsidRPr="00E06D4F">
              <w:rPr>
                <w:sz w:val="22"/>
                <w:szCs w:val="22"/>
              </w:rPr>
              <w:t>27</w:t>
            </w:r>
            <w:r w:rsidR="00DA1D6B" w:rsidRPr="00E06D4F">
              <w:rPr>
                <w:sz w:val="22"/>
                <w:szCs w:val="22"/>
              </w:rPr>
              <w:t> </w:t>
            </w:r>
            <w:r w:rsidRPr="00E06D4F">
              <w:rPr>
                <w:sz w:val="22"/>
                <w:szCs w:val="22"/>
              </w:rPr>
              <w:t>février</w:t>
            </w:r>
            <w:r w:rsidR="00DA1D6B" w:rsidRPr="00E06D4F">
              <w:rPr>
                <w:sz w:val="22"/>
                <w:szCs w:val="22"/>
              </w:rPr>
              <w:t> 202</w:t>
            </w:r>
            <w:r w:rsidRPr="00E06D4F">
              <w:rPr>
                <w:sz w:val="22"/>
                <w:szCs w:val="22"/>
              </w:rPr>
              <w:t>5</w:t>
            </w:r>
          </w:p>
          <w:p w14:paraId="209ED3D5" w14:textId="5E197213" w:rsidR="00B3257F" w:rsidRPr="00E06D4F" w:rsidRDefault="00C171BE" w:rsidP="0003255B">
            <w:pPr>
              <w:ind w:left="2584"/>
              <w:rPr>
                <w:sz w:val="22"/>
                <w:szCs w:val="22"/>
              </w:rPr>
            </w:pPr>
            <w:r w:rsidRPr="00E06D4F">
              <w:rPr>
                <w:sz w:val="22"/>
                <w:szCs w:val="22"/>
              </w:rPr>
              <w:t>Français</w:t>
            </w:r>
          </w:p>
          <w:p w14:paraId="0831445C" w14:textId="007E3365" w:rsidR="00B3257F" w:rsidRPr="00E06D4F" w:rsidRDefault="00B3257F" w:rsidP="0003255B">
            <w:pPr>
              <w:ind w:left="2584"/>
              <w:rPr>
                <w:sz w:val="22"/>
                <w:szCs w:val="22"/>
              </w:rPr>
            </w:pPr>
            <w:r w:rsidRPr="00E06D4F">
              <w:rPr>
                <w:sz w:val="22"/>
                <w:szCs w:val="22"/>
              </w:rPr>
              <w:t xml:space="preserve">Original : </w:t>
            </w:r>
            <w:r w:rsidR="00C171BE" w:rsidRPr="00E06D4F">
              <w:rPr>
                <w:sz w:val="22"/>
                <w:szCs w:val="22"/>
              </w:rPr>
              <w:t>a</w:t>
            </w:r>
            <w:r w:rsidRPr="00E06D4F">
              <w:rPr>
                <w:sz w:val="22"/>
                <w:szCs w:val="22"/>
              </w:rPr>
              <w:t>nglais</w:t>
            </w:r>
          </w:p>
          <w:p w14:paraId="651836D1" w14:textId="77777777" w:rsidR="00B3257F" w:rsidRPr="00E06D4F" w:rsidRDefault="00B3257F" w:rsidP="0003255B"/>
        </w:tc>
      </w:tr>
    </w:tbl>
    <w:p w14:paraId="13416CD3" w14:textId="77777777" w:rsidR="00B3257F" w:rsidRPr="00E06D4F" w:rsidRDefault="00B3257F" w:rsidP="00B3257F">
      <w:pPr>
        <w:pStyle w:val="Cornernotation"/>
        <w:ind w:left="0" w:right="5250" w:firstLine="0"/>
      </w:pPr>
      <w:r w:rsidRPr="00E06D4F">
        <w:t>Conférence des Parties à la Convention sur la diversité biologique</w:t>
      </w:r>
    </w:p>
    <w:p w14:paraId="4FF8A01C" w14:textId="5D14C030" w:rsidR="00B3257F" w:rsidRPr="00E06D4F" w:rsidRDefault="00B3257F" w:rsidP="00B3257F">
      <w:pPr>
        <w:pStyle w:val="Cornernotation"/>
        <w:rPr>
          <w:sz w:val="22"/>
        </w:rPr>
      </w:pPr>
      <w:r w:rsidRPr="00E06D4F">
        <w:rPr>
          <w:sz w:val="22"/>
        </w:rPr>
        <w:t xml:space="preserve">Seizième réunion, deuxième reprise de session </w:t>
      </w:r>
    </w:p>
    <w:p w14:paraId="10233AA0" w14:textId="04801F2F" w:rsidR="00B3257F" w:rsidRPr="00E06D4F" w:rsidRDefault="009B137A" w:rsidP="00711A0C">
      <w:pPr>
        <w:pStyle w:val="Venuedate"/>
      </w:pPr>
      <w:r w:rsidRPr="00E06D4F">
        <w:t>Rome, 25–27 février 2025</w:t>
      </w:r>
    </w:p>
    <w:p w14:paraId="328CC78B" w14:textId="79B2CE74" w:rsidR="00B3257F" w:rsidRPr="00E06D4F" w:rsidRDefault="00B3257F" w:rsidP="00B3257F">
      <w:pPr>
        <w:pStyle w:val="Cornernotation-Item"/>
        <w:rPr>
          <w:b w:val="0"/>
        </w:rPr>
      </w:pPr>
      <w:r w:rsidRPr="00E06D4F">
        <w:rPr>
          <w:b w:val="0"/>
        </w:rPr>
        <w:t>Point 13 de l’ordre du jour</w:t>
      </w:r>
    </w:p>
    <w:p w14:paraId="5DCFFAE8" w14:textId="3A99B737" w:rsidR="00B3257F" w:rsidRPr="00E06D4F" w:rsidRDefault="00BC221A" w:rsidP="006F3F48">
      <w:pPr>
        <w:pStyle w:val="Cornernotation-Item"/>
        <w:ind w:left="0" w:firstLine="0"/>
      </w:pPr>
      <w:r w:rsidRPr="00E06D4F">
        <w:t>Coopération avec des organisations internationales et des organismes créés en vertu d’autres conventions</w:t>
      </w:r>
    </w:p>
    <w:bookmarkEnd w:id="0"/>
    <w:p w14:paraId="3F49212B" w14:textId="3490AD5D" w:rsidR="00A96B21" w:rsidRPr="00E06D4F" w:rsidRDefault="007C09F5" w:rsidP="001454DA">
      <w:pPr>
        <w:pStyle w:val="CBDTitle"/>
        <w:rPr>
          <w:lang w:val="fr-FR"/>
        </w:rPr>
      </w:pPr>
      <w:sdt>
        <w:sdtPr>
          <w:rPr>
            <w:szCs w:val="28"/>
            <w:lang w:val="fr-FR"/>
          </w:rPr>
          <w:alias w:val="Titre"/>
          <w:tag w:val=""/>
          <w:id w:val="-1975355689"/>
          <w:placeholder>
            <w:docPart w:val="CE78D6453E1E4F89A1372586409BE006"/>
          </w:placeholder>
          <w:dataBinding w:prefixMappings="xmlns:ns0='http://purl.org/dc/elements/1.1/' xmlns:ns1='http://schemas.openxmlformats.org/package/2006/metadata/core-properties' " w:xpath="/ns1:coreProperties[1]/ns0:title[1]" w:storeItemID="{6C3C8BC8-F283-45AE-878A-BAB7291924A1}"/>
          <w:text/>
        </w:sdtPr>
        <w:sdtEndPr/>
        <w:sdtContent>
          <w:r w:rsidR="0014630F">
            <w:rPr>
              <w:szCs w:val="28"/>
              <w:lang w:val="fr-FR"/>
            </w:rPr>
            <w:t>Décision adoptée par la Conférence des Parties à la Convention sur la diversité biologique le 27 février 2025</w:t>
          </w:r>
        </w:sdtContent>
      </w:sdt>
    </w:p>
    <w:p w14:paraId="1E6B528D" w14:textId="6A63CFBD" w:rsidR="0008479F" w:rsidRPr="0008479F" w:rsidRDefault="0008479F" w:rsidP="0008479F">
      <w:pPr>
        <w:pStyle w:val="CBDSubTitle"/>
        <w:rPr>
          <w:lang w:val="fr-FR"/>
        </w:rPr>
      </w:pPr>
      <w:r>
        <w:t>16/35.</w:t>
      </w:r>
      <w:r>
        <w:tab/>
      </w:r>
      <w:r>
        <w:tab/>
      </w:r>
      <w:r w:rsidRPr="0008479F">
        <w:rPr>
          <w:szCs w:val="28"/>
          <w:lang w:val="fr-FR"/>
        </w:rPr>
        <w:t>Coopération avec d’autres conventions et organisations internationales</w:t>
      </w:r>
    </w:p>
    <w:p w14:paraId="06C95E5D" w14:textId="052DC990" w:rsidR="00714B50" w:rsidRPr="00E06D4F" w:rsidRDefault="3F9D32D8" w:rsidP="004736EC">
      <w:pPr>
        <w:pStyle w:val="CBDDecisionText"/>
        <w:ind w:firstLine="567"/>
        <w:rPr>
          <w:lang w:val="fr-FR"/>
        </w:rPr>
      </w:pPr>
      <w:r w:rsidRPr="00E06D4F">
        <w:rPr>
          <w:i/>
          <w:iCs/>
          <w:lang w:val="fr-FR"/>
        </w:rPr>
        <w:t>La Conférence des Parties,</w:t>
      </w:r>
    </w:p>
    <w:p w14:paraId="41C6230A" w14:textId="2E002991" w:rsidR="00714B50" w:rsidRPr="00E06D4F" w:rsidRDefault="00714B50" w:rsidP="008E5890">
      <w:pPr>
        <w:pStyle w:val="CBDDecisionText"/>
        <w:ind w:firstLine="567"/>
        <w:rPr>
          <w:rFonts w:asciiTheme="majorBidi" w:eastAsia="Times New Roman" w:hAnsiTheme="majorBidi" w:cstheme="majorBidi"/>
          <w:i/>
          <w:iCs/>
          <w:szCs w:val="24"/>
          <w:lang w:val="fr-FR"/>
        </w:rPr>
      </w:pPr>
      <w:r w:rsidRPr="00E06D4F">
        <w:rPr>
          <w:rFonts w:asciiTheme="majorBidi" w:hAnsiTheme="majorBidi"/>
          <w:i/>
          <w:szCs w:val="24"/>
          <w:lang w:val="fr-FR"/>
        </w:rPr>
        <w:t xml:space="preserve">Rappelant </w:t>
      </w:r>
      <w:r w:rsidRPr="00E06D4F">
        <w:rPr>
          <w:rFonts w:asciiTheme="majorBidi" w:hAnsiTheme="majorBidi"/>
          <w:szCs w:val="24"/>
          <w:lang w:val="fr-FR"/>
        </w:rPr>
        <w:t>la Déclaration de Rio sur l’environnement et le développement</w:t>
      </w:r>
      <w:r w:rsidRPr="00E06D4F">
        <w:rPr>
          <w:rFonts w:asciiTheme="majorBidi" w:eastAsia="Times New Roman" w:hAnsiTheme="majorBidi" w:cstheme="majorBidi"/>
          <w:iCs/>
          <w:szCs w:val="24"/>
          <w:vertAlign w:val="superscript"/>
          <w:lang w:val="fr-FR"/>
        </w:rPr>
        <w:footnoteReference w:id="2"/>
      </w:r>
      <w:r w:rsidRPr="00E06D4F">
        <w:rPr>
          <w:rFonts w:asciiTheme="majorBidi" w:hAnsiTheme="majorBidi"/>
          <w:szCs w:val="24"/>
          <w:lang w:val="fr-FR"/>
        </w:rPr>
        <w:t xml:space="preserve">, </w:t>
      </w:r>
    </w:p>
    <w:p w14:paraId="2E29DC2B" w14:textId="0995F695" w:rsidR="00714B50" w:rsidRPr="00E06D4F" w:rsidRDefault="3F9D32D8" w:rsidP="004736EC">
      <w:pPr>
        <w:pStyle w:val="CBDDecisionText"/>
        <w:ind w:firstLine="567"/>
        <w:rPr>
          <w:rFonts w:asciiTheme="majorBidi" w:eastAsia="Times New Roman" w:hAnsiTheme="majorBidi"/>
          <w:lang w:val="fr-FR"/>
        </w:rPr>
      </w:pPr>
      <w:r w:rsidRPr="00E06D4F">
        <w:rPr>
          <w:rFonts w:asciiTheme="majorBidi" w:hAnsiTheme="majorBidi"/>
          <w:i/>
          <w:iCs/>
          <w:lang w:val="fr-FR"/>
        </w:rPr>
        <w:t xml:space="preserve">Rappelant également </w:t>
      </w:r>
      <w:r w:rsidRPr="00E06D4F">
        <w:rPr>
          <w:rFonts w:asciiTheme="majorBidi" w:hAnsiTheme="majorBidi"/>
          <w:lang w:val="fr-FR"/>
        </w:rPr>
        <w:t xml:space="preserve">ses décisions </w:t>
      </w:r>
      <w:hyperlink r:id="rId13" w:history="1">
        <w:r w:rsidRPr="00E06D4F">
          <w:rPr>
            <w:rStyle w:val="Hyperlink"/>
            <w:rFonts w:asciiTheme="majorBidi" w:hAnsiTheme="majorBidi"/>
            <w:lang w:val="fr-FR"/>
          </w:rPr>
          <w:t>XIII/24</w:t>
        </w:r>
      </w:hyperlink>
      <w:r w:rsidRPr="00E06D4F">
        <w:rPr>
          <w:rFonts w:asciiTheme="majorBidi" w:hAnsiTheme="majorBidi"/>
          <w:lang w:val="fr-FR"/>
        </w:rPr>
        <w:t xml:space="preserve"> du 17 décembre 2016, </w:t>
      </w:r>
      <w:hyperlink r:id="rId14" w:history="1">
        <w:r w:rsidRPr="00E06D4F">
          <w:rPr>
            <w:rStyle w:val="Hyperlink"/>
            <w:rFonts w:asciiTheme="majorBidi" w:hAnsiTheme="majorBidi"/>
            <w:lang w:val="fr-FR"/>
          </w:rPr>
          <w:t>14/30</w:t>
        </w:r>
      </w:hyperlink>
      <w:r w:rsidRPr="00E06D4F">
        <w:rPr>
          <w:rFonts w:asciiTheme="majorBidi" w:hAnsiTheme="majorBidi"/>
          <w:lang w:val="fr-FR"/>
        </w:rPr>
        <w:t xml:space="preserve"> du 29 novembre 2018 et </w:t>
      </w:r>
      <w:hyperlink r:id="rId15" w:history="1">
        <w:r w:rsidRPr="00E06D4F">
          <w:rPr>
            <w:rStyle w:val="Hyperlink"/>
            <w:rFonts w:asciiTheme="majorBidi" w:hAnsiTheme="majorBidi"/>
            <w:lang w:val="fr-FR"/>
          </w:rPr>
          <w:t>15/4</w:t>
        </w:r>
      </w:hyperlink>
      <w:r w:rsidRPr="00E06D4F">
        <w:rPr>
          <w:rFonts w:asciiTheme="majorBidi" w:hAnsiTheme="majorBidi"/>
          <w:lang w:val="fr-FR"/>
        </w:rPr>
        <w:t xml:space="preserve"> et </w:t>
      </w:r>
      <w:hyperlink r:id="rId16" w:history="1">
        <w:r w:rsidRPr="00E06D4F">
          <w:rPr>
            <w:rStyle w:val="Hyperlink"/>
            <w:rFonts w:asciiTheme="majorBidi" w:hAnsiTheme="majorBidi"/>
            <w:lang w:val="fr-FR"/>
          </w:rPr>
          <w:t>15/13</w:t>
        </w:r>
      </w:hyperlink>
      <w:r w:rsidRPr="00E06D4F">
        <w:rPr>
          <w:rFonts w:asciiTheme="majorBidi" w:hAnsiTheme="majorBidi"/>
          <w:lang w:val="fr-FR"/>
        </w:rPr>
        <w:t xml:space="preserve"> du 19 décembre 2022,</w:t>
      </w:r>
    </w:p>
    <w:p w14:paraId="16F01811" w14:textId="57064775" w:rsidR="00714B50" w:rsidRPr="00E06D4F" w:rsidRDefault="2C488E27" w:rsidP="004736EC">
      <w:pPr>
        <w:pStyle w:val="CBDDecisionText"/>
        <w:ind w:firstLine="567"/>
        <w:rPr>
          <w:rFonts w:asciiTheme="majorBidi" w:eastAsia="Times New Roman" w:hAnsiTheme="majorBidi" w:cstheme="majorBidi"/>
          <w:i/>
          <w:iCs/>
          <w:lang w:val="fr-FR"/>
        </w:rPr>
      </w:pPr>
      <w:r w:rsidRPr="00E06D4F">
        <w:rPr>
          <w:i/>
          <w:iCs/>
          <w:lang w:val="fr-FR"/>
        </w:rPr>
        <w:t xml:space="preserve">Prenant acte </w:t>
      </w:r>
      <w:r w:rsidRPr="00E06D4F">
        <w:rPr>
          <w:lang w:val="fr-FR"/>
        </w:rPr>
        <w:t>des conclusions de la sixième session de l’Assemblée des Nations Unies du Programme des Nations Unies pour l’environnement et de l’inscription à son ordre du jour d’un point relatif à la coopération avec les accords multilatéraux sur l’environnement,</w:t>
      </w:r>
    </w:p>
    <w:p w14:paraId="13D811BB" w14:textId="1F9574C0" w:rsidR="00714B50" w:rsidRPr="00E06D4F" w:rsidRDefault="00714B50" w:rsidP="00FC7043">
      <w:pPr>
        <w:pStyle w:val="CBDDecisionText"/>
        <w:ind w:firstLine="567"/>
        <w:rPr>
          <w:rFonts w:eastAsia="Times New Roman"/>
          <w:szCs w:val="24"/>
          <w:lang w:val="fr-FR"/>
        </w:rPr>
      </w:pPr>
      <w:r w:rsidRPr="00E06D4F">
        <w:rPr>
          <w:i/>
          <w:iCs/>
          <w:szCs w:val="24"/>
          <w:lang w:val="fr-FR"/>
        </w:rPr>
        <w:t>Prenant note</w:t>
      </w:r>
      <w:r w:rsidRPr="00E06D4F">
        <w:rPr>
          <w:lang w:val="fr-FR"/>
        </w:rPr>
        <w:t xml:space="preserve"> des travaux du Groupe de gestion de l’environnement des Nations Unies pour promouvoir une contribution de l’ensemble du système des Nations Unies au Cadre mondial biodiversité de Kunming-Montréal</w:t>
      </w:r>
      <w:r w:rsidR="00FC7043" w:rsidRPr="00E06D4F">
        <w:rPr>
          <w:rStyle w:val="FootnoteReference"/>
          <w:rFonts w:eastAsia="Times New Roman"/>
          <w:szCs w:val="24"/>
          <w:lang w:val="fr-FR" w:eastAsia="en-CA"/>
        </w:rPr>
        <w:footnoteReference w:id="3"/>
      </w:r>
      <w:r w:rsidRPr="00E06D4F">
        <w:rPr>
          <w:lang w:val="fr-FR"/>
        </w:rPr>
        <w:t>,</w:t>
      </w:r>
    </w:p>
    <w:p w14:paraId="632CE655" w14:textId="482BF8D7" w:rsidR="00714B50" w:rsidRPr="00E06D4F" w:rsidRDefault="3F9D32D8" w:rsidP="0004674F">
      <w:pPr>
        <w:pStyle w:val="CBDDecisionText"/>
        <w:ind w:firstLine="567"/>
        <w:rPr>
          <w:rFonts w:asciiTheme="majorBidi" w:eastAsia="Times New Roman" w:hAnsiTheme="majorBidi"/>
          <w:i/>
          <w:iCs/>
          <w:lang w:val="fr-FR"/>
        </w:rPr>
      </w:pPr>
      <w:r w:rsidRPr="00E06D4F">
        <w:rPr>
          <w:i/>
          <w:iCs/>
          <w:lang w:val="fr-FR"/>
        </w:rPr>
        <w:t xml:space="preserve">Prenant note également </w:t>
      </w:r>
      <w:r w:rsidRPr="00E06D4F">
        <w:rPr>
          <w:lang w:val="fr-FR"/>
        </w:rPr>
        <w:t>des travaux entrepris par l’Organisation des Nations Unies pour l’alimentation et l’agriculture, l’Organisation mondiale de la santé, l’Organisation mondiale de la santé animale et le Programme des Nations Unies pour l’environnement pour soutenir la mise en œuvre et le suivi du Cadre à tous les niveaux, y compris dans le contexte de la Décennie des Nations Unies pour la restauration des écosystèmes et de l’approche « Une seule santé »,</w:t>
      </w:r>
    </w:p>
    <w:p w14:paraId="4C8D3BF2" w14:textId="767D659C" w:rsidR="00714B50" w:rsidRPr="00E06D4F" w:rsidRDefault="00714B50" w:rsidP="0004674F">
      <w:pPr>
        <w:pStyle w:val="CBDDecisionText"/>
        <w:ind w:firstLine="567"/>
        <w:rPr>
          <w:rFonts w:eastAsia="Times New Roman"/>
          <w:i/>
          <w:iCs/>
          <w:lang w:val="fr-FR"/>
        </w:rPr>
      </w:pPr>
      <w:r w:rsidRPr="00E06D4F">
        <w:rPr>
          <w:i/>
          <w:iCs/>
          <w:lang w:val="fr-FR"/>
        </w:rPr>
        <w:t xml:space="preserve">Prenant note en outre </w:t>
      </w:r>
      <w:r w:rsidRPr="00E06D4F">
        <w:rPr>
          <w:lang w:val="fr-FR"/>
        </w:rPr>
        <w:t>de la pertinence du Programme sur l’</w:t>
      </w:r>
      <w:r w:rsidR="00A62DA2">
        <w:rPr>
          <w:lang w:val="fr-FR"/>
        </w:rPr>
        <w:t>H</w:t>
      </w:r>
      <w:r w:rsidRPr="00E06D4F">
        <w:rPr>
          <w:lang w:val="fr-FR"/>
        </w:rPr>
        <w:t>omme et la biosphère de l’Organisation des Nations Unies pour l’éducation, la science et la culture et des réserves de biosphère désignées dans le cadre de ce programme pour la mise en œuvre du Cadre, ainsi que pour l’amélioration, sur une base scientifique, de la relation entre les personnes et l’environnement,</w:t>
      </w:r>
    </w:p>
    <w:p w14:paraId="6141906C" w14:textId="630B613B" w:rsidR="00714B50" w:rsidRDefault="3F9D32D8" w:rsidP="0004674F">
      <w:pPr>
        <w:pStyle w:val="CBDDecisionText"/>
        <w:ind w:firstLine="567"/>
        <w:rPr>
          <w:lang w:val="fr-FR"/>
        </w:rPr>
      </w:pPr>
      <w:r w:rsidRPr="00E06D4F">
        <w:rPr>
          <w:i/>
          <w:iCs/>
          <w:lang w:val="fr-FR"/>
        </w:rPr>
        <w:t xml:space="preserve">Rappelant </w:t>
      </w:r>
      <w:r w:rsidRPr="00E06D4F">
        <w:rPr>
          <w:lang w:val="fr-FR"/>
        </w:rPr>
        <w:t>la résolution 77/334 du 1</w:t>
      </w:r>
      <w:r w:rsidRPr="00E06D4F">
        <w:rPr>
          <w:vertAlign w:val="superscript"/>
          <w:lang w:val="fr-FR"/>
        </w:rPr>
        <w:t xml:space="preserve">er </w:t>
      </w:r>
      <w:r w:rsidRPr="00E06D4F">
        <w:rPr>
          <w:lang w:val="fr-FR"/>
        </w:rPr>
        <w:t>septembre 2023 de l’Assemblée générale, et se félicitant de l’élaboration par le Secrétaire général de l</w:t>
      </w:r>
      <w:r w:rsidR="00A62DA2">
        <w:rPr>
          <w:lang w:val="fr-FR"/>
        </w:rPr>
        <w:t>a s</w:t>
      </w:r>
      <w:r w:rsidRPr="00E06D4F">
        <w:rPr>
          <w:lang w:val="fr-FR"/>
        </w:rPr>
        <w:t xml:space="preserve">tratégie du système des Nations Unies </w:t>
      </w:r>
      <w:r w:rsidR="00A62DA2">
        <w:rPr>
          <w:lang w:val="fr-FR"/>
        </w:rPr>
        <w:t>relative à</w:t>
      </w:r>
      <w:r w:rsidRPr="00E06D4F">
        <w:rPr>
          <w:lang w:val="fr-FR"/>
        </w:rPr>
        <w:t xml:space="preserve"> l’eau </w:t>
      </w:r>
      <w:r w:rsidRPr="00E06D4F">
        <w:rPr>
          <w:lang w:val="fr-FR"/>
        </w:rPr>
        <w:lastRenderedPageBreak/>
        <w:t xml:space="preserve">et </w:t>
      </w:r>
      <w:r w:rsidR="00A62DA2">
        <w:rPr>
          <w:lang w:val="fr-FR"/>
        </w:rPr>
        <w:t xml:space="preserve">à </w:t>
      </w:r>
      <w:r w:rsidRPr="00E06D4F">
        <w:rPr>
          <w:lang w:val="fr-FR"/>
        </w:rPr>
        <w:t xml:space="preserve">l’assainissement, qui vise à renforcer la coordination à l’échelle du système et la cohérence des politiques entre l’action dans le domaine de l’eau et les secteurs qui dépendent des ressources en eau et des écosystèmes liés à l’eau, </w:t>
      </w:r>
    </w:p>
    <w:p w14:paraId="41838D5A" w14:textId="2319211F" w:rsidR="003421F1" w:rsidRPr="0014630F" w:rsidRDefault="003421F1" w:rsidP="003421F1">
      <w:pPr>
        <w:pStyle w:val="CBDDecisionText"/>
        <w:ind w:firstLine="567"/>
        <w:rPr>
          <w:rFonts w:eastAsia="Times New Roman"/>
          <w:lang w:eastAsia="en-CA"/>
        </w:rPr>
      </w:pPr>
      <w:r>
        <w:rPr>
          <w:i/>
          <w:iCs/>
        </w:rPr>
        <w:t>Encourageant</w:t>
      </w:r>
      <w:r>
        <w:t xml:space="preserve"> le renforcement de la collaboration entre la Plateforme intergouvernementale scientifique et politique sur la biodiversité et les services écosystémiques, le Groupe d’experts intergouvernemental sur l’évolution du climat et l’interface science-politique de la Convention des Nations Unies sur la lutte contre la désertification dans les pays gravement touchés par la sécheresse et/ou la désertification, en particulier en Afrique</w:t>
      </w:r>
      <w:r w:rsidRPr="00854CCD">
        <w:rPr>
          <w:rStyle w:val="FootnoteReference"/>
          <w:rFonts w:eastAsia="Times New Roman"/>
          <w:lang w:val="en-GB" w:eastAsia="en-CA"/>
        </w:rPr>
        <w:footnoteReference w:id="4"/>
      </w:r>
      <w:r w:rsidR="00B2596B" w:rsidRPr="0014630F">
        <w:rPr>
          <w:rFonts w:eastAsia="Times New Roman"/>
          <w:lang w:eastAsia="en-CA"/>
        </w:rPr>
        <w:t>,</w:t>
      </w:r>
    </w:p>
    <w:p w14:paraId="4A05C831" w14:textId="3431F5A9" w:rsidR="00714B50" w:rsidRPr="00E06D4F" w:rsidRDefault="003F2D46" w:rsidP="00FF55AE">
      <w:pPr>
        <w:pStyle w:val="CBDDecisionText"/>
        <w:rPr>
          <w:lang w:val="fr-FR"/>
        </w:rPr>
      </w:pPr>
      <w:r w:rsidRPr="00E06D4F">
        <w:rPr>
          <w:i/>
          <w:iCs/>
          <w:lang w:val="fr-FR"/>
        </w:rPr>
        <w:tab/>
        <w:t>Se félicitant</w:t>
      </w:r>
      <w:r w:rsidRPr="00E06D4F">
        <w:rPr>
          <w:lang w:val="fr-FR"/>
        </w:rPr>
        <w:t xml:space="preserve"> des résultats de la vingt-huitième session de la Conférence des Parties à la Convention-cadre des Nations Unies sur les changements climatiques</w:t>
      </w:r>
      <w:r w:rsidR="00EA6654" w:rsidRPr="00E06D4F">
        <w:rPr>
          <w:rStyle w:val="FootnoteReference"/>
          <w:rFonts w:eastAsia="Times New Roman"/>
          <w:lang w:val="fr-FR" w:eastAsia="en-CA"/>
        </w:rPr>
        <w:footnoteReference w:id="5"/>
      </w:r>
      <w:r w:rsidRPr="00E06D4F">
        <w:rPr>
          <w:lang w:val="fr-FR"/>
        </w:rPr>
        <w:t xml:space="preserve"> et de la cinquième session de la Conférence des Parties siégeant en tant que Réunion des Parties à l’Accord de Paris</w:t>
      </w:r>
      <w:r w:rsidR="00ED2837" w:rsidRPr="00E06D4F">
        <w:rPr>
          <w:rStyle w:val="FootnoteReference"/>
          <w:rFonts w:eastAsia="Times New Roman"/>
          <w:lang w:val="fr-FR" w:eastAsia="en-CA"/>
        </w:rPr>
        <w:footnoteReference w:id="6"/>
      </w:r>
      <w:r w:rsidRPr="00E06D4F">
        <w:rPr>
          <w:lang w:val="fr-FR"/>
        </w:rPr>
        <w:t>, y compris la décision 1/CMA.5 sur le résultat du premier bilan mondial, en particulier l’importance de conserver, protéger et restaurer la nature et les écosystèmes en vue de la réalisation de l’Accord de Paris,</w:t>
      </w:r>
    </w:p>
    <w:p w14:paraId="460B16C9" w14:textId="6E70674C" w:rsidR="00851C74" w:rsidRPr="00E06D4F" w:rsidRDefault="003F2D46" w:rsidP="00FF55AE">
      <w:pPr>
        <w:pStyle w:val="CBDDecisionText"/>
        <w:rPr>
          <w:i/>
          <w:iCs/>
          <w:lang w:val="fr-FR"/>
        </w:rPr>
      </w:pPr>
      <w:r w:rsidRPr="00E06D4F">
        <w:rPr>
          <w:i/>
          <w:iCs/>
          <w:lang w:val="fr-FR"/>
        </w:rPr>
        <w:tab/>
        <w:t>Reconnaissant</w:t>
      </w:r>
      <w:r w:rsidRPr="00E06D4F">
        <w:rPr>
          <w:lang w:val="fr-FR"/>
        </w:rPr>
        <w:t xml:space="preserve"> la contribution des stratégies, cadres, plans et initiatives régionaux à la mise en œuvre du Cadre, </w:t>
      </w:r>
    </w:p>
    <w:p w14:paraId="3BE3186C" w14:textId="2288FABC" w:rsidR="00714B50" w:rsidRPr="00E06D4F" w:rsidRDefault="003F2D46" w:rsidP="00FF55AE">
      <w:pPr>
        <w:pStyle w:val="CBDDecisionText"/>
        <w:rPr>
          <w:lang w:val="fr-FR"/>
        </w:rPr>
      </w:pPr>
      <w:r w:rsidRPr="00E06D4F">
        <w:rPr>
          <w:i/>
          <w:iCs/>
          <w:lang w:val="fr-FR"/>
        </w:rPr>
        <w:tab/>
        <w:t xml:space="preserve">Insistant </w:t>
      </w:r>
      <w:r w:rsidRPr="00E06D4F">
        <w:rPr>
          <w:lang w:val="fr-FR"/>
        </w:rPr>
        <w:t>sur l’importance de renforcer la coopération et les synergies entre toutes les conventions, organisations et initiatives pertinentes, dans le respect de leurs mandats respectifs et avec la participation pleine et effective des peuples autochtones et communautés locales, des femmes et des jeunes, de contribuer à la mise en œuvre du Cadre, conformément à sa mission à l’horizon 2030</w:t>
      </w:r>
      <w:r w:rsidR="00716BD1">
        <w:rPr>
          <w:lang w:val="fr-FR"/>
        </w:rPr>
        <w:t>,</w:t>
      </w:r>
      <w:r w:rsidRPr="00E06D4F">
        <w:rPr>
          <w:lang w:val="fr-FR"/>
        </w:rPr>
        <w:t xml:space="preserve"> </w:t>
      </w:r>
      <w:r w:rsidR="00716BD1">
        <w:rPr>
          <w:lang w:val="fr-FR"/>
        </w:rPr>
        <w:t>ainsi que</w:t>
      </w:r>
      <w:r w:rsidRPr="00E06D4F">
        <w:rPr>
          <w:lang w:val="fr-FR"/>
        </w:rPr>
        <w:t xml:space="preserve"> de la Convention sur la diversité biologique</w:t>
      </w:r>
      <w:r w:rsidR="00716BD1" w:rsidRPr="00E06D4F">
        <w:rPr>
          <w:rStyle w:val="FootnoteReference"/>
          <w:rFonts w:asciiTheme="majorBidi" w:eastAsia="Times New Roman" w:hAnsiTheme="majorBidi" w:cstheme="majorBidi"/>
          <w:lang w:val="fr-FR"/>
        </w:rPr>
        <w:footnoteReference w:id="7"/>
      </w:r>
      <w:r w:rsidRPr="00E06D4F">
        <w:rPr>
          <w:lang w:val="fr-FR"/>
        </w:rPr>
        <w:t xml:space="preserve"> et de ses</w:t>
      </w:r>
      <w:r w:rsidR="00716BD1">
        <w:rPr>
          <w:lang w:val="fr-FR"/>
        </w:rPr>
        <w:t xml:space="preserve"> </w:t>
      </w:r>
      <w:r w:rsidRPr="00E06D4F">
        <w:rPr>
          <w:lang w:val="fr-FR"/>
        </w:rPr>
        <w:t>Protocoles</w:t>
      </w:r>
      <w:r w:rsidR="00716BD1">
        <w:rPr>
          <w:lang w:val="fr-FR"/>
        </w:rPr>
        <w:t xml:space="preserve"> </w:t>
      </w:r>
      <w:r w:rsidR="00716BD1" w:rsidRPr="00E06D4F">
        <w:rPr>
          <w:lang w:val="fr-FR"/>
        </w:rPr>
        <w:t>et d’en suivre les progrès</w:t>
      </w:r>
      <w:r w:rsidRPr="00E06D4F">
        <w:rPr>
          <w:lang w:val="fr-FR"/>
        </w:rPr>
        <w:t xml:space="preserve">, et </w:t>
      </w:r>
      <w:bookmarkStart w:id="1" w:name="_Hlk167773543"/>
      <w:r w:rsidR="00716BD1">
        <w:rPr>
          <w:lang w:val="fr-FR"/>
        </w:rPr>
        <w:t>de recenser</w:t>
      </w:r>
      <w:r w:rsidRPr="00E06D4F">
        <w:rPr>
          <w:lang w:val="fr-FR"/>
        </w:rPr>
        <w:t xml:space="preserve"> les </w:t>
      </w:r>
      <w:bookmarkEnd w:id="1"/>
      <w:r w:rsidR="00716BD1" w:rsidRPr="00716BD1">
        <w:rPr>
          <w:lang w:val="fr-FR"/>
        </w:rPr>
        <w:t>difficultés et les solutions communes en vue de la réalisation des objectifs mondiaux en matière de biodiversité</w:t>
      </w:r>
      <w:r w:rsidRPr="00E06D4F">
        <w:rPr>
          <w:lang w:val="fr-FR"/>
        </w:rPr>
        <w:t>,</w:t>
      </w:r>
    </w:p>
    <w:p w14:paraId="3246405D" w14:textId="6865158A" w:rsidR="638FD274" w:rsidRPr="00E06D4F" w:rsidRDefault="003F2D46" w:rsidP="00FF55AE">
      <w:pPr>
        <w:pStyle w:val="CBDDecisionText"/>
        <w:rPr>
          <w:i/>
          <w:iCs/>
          <w:lang w:val="fr-FR"/>
        </w:rPr>
      </w:pPr>
      <w:r w:rsidRPr="00E06D4F">
        <w:rPr>
          <w:i/>
          <w:iCs/>
          <w:lang w:val="fr-FR"/>
        </w:rPr>
        <w:tab/>
        <w:t xml:space="preserve">Prenant note </w:t>
      </w:r>
      <w:r w:rsidRPr="00E06D4F">
        <w:rPr>
          <w:lang w:val="fr-FR"/>
        </w:rPr>
        <w:t>des travaux importants réalisés par l’Instance permanente sur les questions autochtones et l’Instance permanente pour les personnes d’ascendance africaine sur les questions liées à la biodiversité et aux connaissances traditionnelles,</w:t>
      </w:r>
    </w:p>
    <w:p w14:paraId="4889F76A" w14:textId="1F8E43AA" w:rsidR="1BC262BF" w:rsidRPr="00E06D4F" w:rsidRDefault="003F2D46" w:rsidP="00FF55AE">
      <w:pPr>
        <w:pStyle w:val="CBDDecisionText"/>
        <w:rPr>
          <w:i/>
          <w:iCs/>
          <w:lang w:val="fr-FR"/>
        </w:rPr>
      </w:pPr>
      <w:r w:rsidRPr="00E06D4F">
        <w:rPr>
          <w:i/>
          <w:iCs/>
          <w:lang w:val="fr-FR"/>
        </w:rPr>
        <w:tab/>
        <w:t xml:space="preserve">Soulignant </w:t>
      </w:r>
      <w:r w:rsidRPr="00E06D4F">
        <w:rPr>
          <w:lang w:val="fr-FR"/>
        </w:rPr>
        <w:t xml:space="preserve">les objectifs et les cibles du Cadre, sa mission de faire cesser et d’inverser la perte de biodiversité d’ici 2030, et sa vision de vivre en harmonie avec la nature d’ici </w:t>
      </w:r>
      <w:r w:rsidR="00716BD1">
        <w:rPr>
          <w:lang w:val="fr-FR"/>
        </w:rPr>
        <w:t xml:space="preserve">à </w:t>
      </w:r>
      <w:r w:rsidRPr="00E06D4F">
        <w:rPr>
          <w:lang w:val="fr-FR"/>
        </w:rPr>
        <w:t>2050, qui appuient la conservation, la protection et la restauration de la nature et de l’intégrité de tous les écosystèmes, y compris ceux qui agissent comme puits et réservoirs de gaz à effet de serre,</w:t>
      </w:r>
    </w:p>
    <w:p w14:paraId="122CADF8" w14:textId="21432BC0" w:rsidR="00714B50" w:rsidRPr="00E06D4F" w:rsidRDefault="003F2D46" w:rsidP="00FF55AE">
      <w:pPr>
        <w:pStyle w:val="CBDDecisionText"/>
        <w:rPr>
          <w:szCs w:val="24"/>
          <w:lang w:val="fr-FR"/>
        </w:rPr>
      </w:pPr>
      <w:r w:rsidRPr="00E06D4F">
        <w:rPr>
          <w:i/>
          <w:szCs w:val="24"/>
          <w:lang w:val="fr-FR"/>
        </w:rPr>
        <w:tab/>
        <w:t xml:space="preserve">Prenant note avec satisfaction </w:t>
      </w:r>
      <w:r w:rsidRPr="00E06D4F">
        <w:rPr>
          <w:lang w:val="fr-FR"/>
        </w:rPr>
        <w:t xml:space="preserve">du soutien apporté par le gouvernement suisse et le rôle moteur joué par le Programme des Nations Unies pour l’environnement dans le processus de Berne, dans l’organisation de la Conférence de Berne III sur la coopération entre les conventions </w:t>
      </w:r>
      <w:r w:rsidR="00716BD1">
        <w:rPr>
          <w:lang w:val="fr-FR"/>
        </w:rPr>
        <w:t>liées</w:t>
      </w:r>
      <w:r w:rsidRPr="00E06D4F">
        <w:rPr>
          <w:lang w:val="fr-FR"/>
        </w:rPr>
        <w:t xml:space="preserve"> à la diversité biologique pour la mise en œuvre du Cadre et les activités de suivi,</w:t>
      </w:r>
    </w:p>
    <w:p w14:paraId="571AC88D" w14:textId="0A54657E" w:rsidR="00714B50" w:rsidRPr="00E06D4F" w:rsidRDefault="003F2D46" w:rsidP="00FF55AE">
      <w:pPr>
        <w:pStyle w:val="CBDDecisionText"/>
        <w:rPr>
          <w:i/>
          <w:szCs w:val="24"/>
          <w:lang w:val="fr-FR"/>
        </w:rPr>
      </w:pPr>
      <w:r w:rsidRPr="00E06D4F">
        <w:rPr>
          <w:lang w:val="fr-FR"/>
        </w:rPr>
        <w:tab/>
      </w:r>
      <w:r w:rsidRPr="00E06D4F">
        <w:rPr>
          <w:i/>
          <w:szCs w:val="24"/>
          <w:lang w:val="fr-FR"/>
        </w:rPr>
        <w:t xml:space="preserve">Prenant note en outre avec satisfaction </w:t>
      </w:r>
      <w:r w:rsidRPr="00E06D4F">
        <w:rPr>
          <w:lang w:val="fr-FR"/>
        </w:rPr>
        <w:t>du travail des coprésidents de la Conférence de Berne III et de la participation active des représentants des Parties aux conventions, des secrétariats de divers accords multilatéraux sur l’environnement, des organisations compétentes et des parties prenantes qui ont participé à la conférence,</w:t>
      </w:r>
    </w:p>
    <w:p w14:paraId="398CB1AC" w14:textId="315D216C" w:rsidR="00714B50" w:rsidRPr="00E06D4F" w:rsidRDefault="3F9D32D8" w:rsidP="0004674F">
      <w:pPr>
        <w:pStyle w:val="CBDDecisionText"/>
        <w:ind w:firstLine="567"/>
        <w:rPr>
          <w:rFonts w:eastAsiaTheme="minorEastAsia"/>
          <w:lang w:val="fr-FR"/>
        </w:rPr>
      </w:pPr>
      <w:r w:rsidRPr="00E06D4F">
        <w:rPr>
          <w:lang w:val="fr-FR"/>
        </w:rPr>
        <w:t>1.</w:t>
      </w:r>
      <w:r w:rsidRPr="00E06D4F">
        <w:rPr>
          <w:lang w:val="fr-FR"/>
        </w:rPr>
        <w:tab/>
      </w:r>
      <w:r w:rsidRPr="00E06D4F">
        <w:rPr>
          <w:i/>
          <w:iCs/>
          <w:lang w:val="fr-FR"/>
        </w:rPr>
        <w:t>Se félicite</w:t>
      </w:r>
      <w:r w:rsidRPr="00E06D4F">
        <w:rPr>
          <w:lang w:val="fr-FR"/>
        </w:rPr>
        <w:t xml:space="preserve"> des décisions prises par les organes directeurs d’autres conventions et organisations dans lesquelles ils reconnaissent, accueillent ou approuvent le Cadre mondial de la biodiversité de Kunming-Montréal</w:t>
      </w:r>
      <w:r w:rsidR="00714B50" w:rsidRPr="00E06D4F">
        <w:rPr>
          <w:rFonts w:eastAsiaTheme="minorEastAsia" w:cs="Calibri"/>
          <w:vertAlign w:val="superscript"/>
          <w:lang w:val="fr-FR" w:eastAsia="en-CA"/>
        </w:rPr>
        <w:footnoteReference w:id="8"/>
      </w:r>
      <w:r w:rsidRPr="00E06D4F">
        <w:rPr>
          <w:lang w:val="fr-FR"/>
        </w:rPr>
        <w:t xml:space="preserve"> et de la coordination de leurs stratégies et plans d’action vis-à-vis du Cadre, conformément au paragraphe 4 de la décision</w:t>
      </w:r>
      <w:r w:rsidR="00C171BE" w:rsidRPr="00E06D4F">
        <w:rPr>
          <w:lang w:val="fr-FR"/>
        </w:rPr>
        <w:t> </w:t>
      </w:r>
      <w:hyperlink r:id="rId17" w:history="1">
        <w:r w:rsidRPr="00E06D4F">
          <w:rPr>
            <w:rStyle w:val="Hyperlink"/>
            <w:lang w:val="fr-FR"/>
          </w:rPr>
          <w:t>15/13</w:t>
        </w:r>
      </w:hyperlink>
      <w:r w:rsidRPr="00E06D4F">
        <w:rPr>
          <w:lang w:val="fr-FR"/>
        </w:rPr>
        <w:t xml:space="preserve"> de la Conférence des Parties, et encourage les organes directeurs des autres conventions et organisations à faire de même ;</w:t>
      </w:r>
    </w:p>
    <w:p w14:paraId="6588F544" w14:textId="10644E41" w:rsidR="00714B50" w:rsidRPr="00E06D4F" w:rsidRDefault="3F9D32D8" w:rsidP="0004674F">
      <w:pPr>
        <w:pStyle w:val="CBDDecisionText"/>
        <w:ind w:firstLine="567"/>
        <w:rPr>
          <w:rFonts w:ascii="Calibri" w:eastAsiaTheme="minorEastAsia" w:hAnsi="Calibri" w:cs="Calibri"/>
          <w:lang w:val="fr-FR"/>
        </w:rPr>
      </w:pPr>
      <w:r w:rsidRPr="00E06D4F">
        <w:rPr>
          <w:lang w:val="fr-FR"/>
        </w:rPr>
        <w:lastRenderedPageBreak/>
        <w:t>2.</w:t>
      </w:r>
      <w:r w:rsidRPr="00E06D4F">
        <w:rPr>
          <w:lang w:val="fr-FR"/>
        </w:rPr>
        <w:tab/>
      </w:r>
      <w:r w:rsidRPr="00E06D4F">
        <w:rPr>
          <w:i/>
          <w:iCs/>
          <w:lang w:val="fr-FR"/>
        </w:rPr>
        <w:t xml:space="preserve">Prend note avec satisfaction </w:t>
      </w:r>
      <w:r w:rsidRPr="00E06D4F">
        <w:rPr>
          <w:lang w:val="fr-FR"/>
        </w:rPr>
        <w:t>de la contribution des entités des Nations Unies, d’autres accords et processus intergouvernementaux et des organisations internationales à l’élaboration d’outils et d’orientations sur la biodiversité et sur le Cadre ;</w:t>
      </w:r>
    </w:p>
    <w:p w14:paraId="52360D1D" w14:textId="6845AD24" w:rsidR="00714B50" w:rsidRPr="00E06D4F" w:rsidRDefault="3F9D32D8" w:rsidP="0004674F">
      <w:pPr>
        <w:pStyle w:val="CBDDecisionText"/>
        <w:ind w:firstLine="567"/>
        <w:rPr>
          <w:rFonts w:eastAsia="Times New Roman"/>
          <w:lang w:val="fr-FR"/>
        </w:rPr>
      </w:pPr>
      <w:r w:rsidRPr="00E06D4F">
        <w:rPr>
          <w:lang w:val="fr-FR"/>
        </w:rPr>
        <w:t>3.</w:t>
      </w:r>
      <w:r w:rsidRPr="00E06D4F">
        <w:rPr>
          <w:lang w:val="fr-FR"/>
        </w:rPr>
        <w:tab/>
      </w:r>
      <w:r w:rsidRPr="00E06D4F">
        <w:rPr>
          <w:i/>
          <w:iCs/>
          <w:lang w:val="fr-FR"/>
        </w:rPr>
        <w:t>Prend acte</w:t>
      </w:r>
      <w:r w:rsidRPr="00E06D4F">
        <w:rPr>
          <w:lang w:val="fr-FR"/>
        </w:rPr>
        <w:t xml:space="preserve"> des conclusions de la Conférence de Berne III à titre de contribution importante à la mise en œuvre effective du Cadre ; </w:t>
      </w:r>
    </w:p>
    <w:p w14:paraId="7EA20273" w14:textId="21D62526" w:rsidR="00714B50" w:rsidRPr="00E06D4F" w:rsidRDefault="3F9D32D8" w:rsidP="0004674F">
      <w:pPr>
        <w:pStyle w:val="CBDDecisionText"/>
        <w:ind w:firstLine="567"/>
        <w:rPr>
          <w:rFonts w:eastAsiaTheme="minorEastAsia"/>
          <w:i/>
          <w:iCs/>
          <w:lang w:val="fr-FR"/>
        </w:rPr>
      </w:pPr>
      <w:r w:rsidRPr="00E06D4F">
        <w:rPr>
          <w:lang w:val="fr-FR"/>
        </w:rPr>
        <w:t>4.</w:t>
      </w:r>
      <w:r w:rsidRPr="00E06D4F">
        <w:rPr>
          <w:lang w:val="fr-FR"/>
        </w:rPr>
        <w:tab/>
      </w:r>
      <w:r w:rsidRPr="00E06D4F">
        <w:rPr>
          <w:i/>
          <w:iCs/>
          <w:lang w:val="fr-FR"/>
        </w:rPr>
        <w:t>Prend note</w:t>
      </w:r>
      <w:r w:rsidRPr="00E06D4F">
        <w:rPr>
          <w:lang w:val="fr-FR"/>
        </w:rPr>
        <w:t xml:space="preserve"> des travaux du Groupe </w:t>
      </w:r>
      <w:r w:rsidR="006C6A26">
        <w:rPr>
          <w:lang w:val="fr-FR"/>
        </w:rPr>
        <w:t xml:space="preserve">mixte </w:t>
      </w:r>
      <w:r w:rsidRPr="00E06D4F">
        <w:rPr>
          <w:lang w:val="fr-FR"/>
        </w:rPr>
        <w:t>de liaison des conventions de Rio et du Groupe de liaison des conventions relatives à la biodiversité visant à renforcer la coopération et les synergies entre les conventions ;</w:t>
      </w:r>
    </w:p>
    <w:p w14:paraId="2844EBB7" w14:textId="521A111C" w:rsidR="00714B50" w:rsidRPr="00E06D4F" w:rsidRDefault="3F9D32D8" w:rsidP="0004674F">
      <w:pPr>
        <w:pStyle w:val="CBDDecisionText"/>
        <w:ind w:firstLine="567"/>
        <w:rPr>
          <w:rFonts w:eastAsia="Times New Roman"/>
          <w:lang w:val="fr-FR"/>
        </w:rPr>
      </w:pPr>
      <w:r w:rsidRPr="00E06D4F">
        <w:rPr>
          <w:lang w:val="fr-FR"/>
        </w:rPr>
        <w:t>5.</w:t>
      </w:r>
      <w:r w:rsidRPr="00E06D4F">
        <w:rPr>
          <w:lang w:val="fr-FR"/>
        </w:rPr>
        <w:tab/>
      </w:r>
      <w:r w:rsidRPr="00E06D4F">
        <w:rPr>
          <w:i/>
          <w:iCs/>
          <w:lang w:val="fr-FR"/>
        </w:rPr>
        <w:t xml:space="preserve">Invite </w:t>
      </w:r>
      <w:r w:rsidRPr="00E06D4F">
        <w:rPr>
          <w:lang w:val="fr-FR"/>
        </w:rPr>
        <w:t xml:space="preserve">les Parties aux conventions de Rio à renforcer les synergies et la coopération pour la mise en œuvre de chacune des conventions, selon les circonstances et les priorités nationales ; </w:t>
      </w:r>
    </w:p>
    <w:p w14:paraId="7713A1B8" w14:textId="32E4F8F8" w:rsidR="00714B50" w:rsidRPr="00E06D4F" w:rsidRDefault="3F9D32D8" w:rsidP="0004674F">
      <w:pPr>
        <w:pStyle w:val="CBDDecisionText"/>
        <w:ind w:firstLine="567"/>
        <w:rPr>
          <w:rFonts w:eastAsia="Times New Roman"/>
          <w:lang w:val="fr-FR"/>
        </w:rPr>
      </w:pPr>
      <w:r w:rsidRPr="00E06D4F">
        <w:rPr>
          <w:lang w:val="fr-FR"/>
        </w:rPr>
        <w:t>6.</w:t>
      </w:r>
      <w:r w:rsidRPr="00E06D4F">
        <w:rPr>
          <w:lang w:val="fr-FR"/>
        </w:rPr>
        <w:tab/>
      </w:r>
      <w:bookmarkStart w:id="2" w:name="_Hlk181225874"/>
      <w:r w:rsidRPr="00E06D4F">
        <w:rPr>
          <w:i/>
          <w:iCs/>
          <w:lang w:val="fr-FR"/>
        </w:rPr>
        <w:t>Invite</w:t>
      </w:r>
      <w:r w:rsidRPr="00E06D4F">
        <w:rPr>
          <w:lang w:val="fr-FR"/>
        </w:rPr>
        <w:t xml:space="preserve"> l’Organisation des Nations Unies pour l’alimentation et l’agriculture et le Programme des Nations Unies pour l’environnement, en collaboration avec </w:t>
      </w:r>
      <w:bookmarkEnd w:id="2"/>
      <w:r w:rsidRPr="00E06D4F">
        <w:rPr>
          <w:lang w:val="fr-FR"/>
        </w:rPr>
        <w:t>les conventions de Rio et les autres partenaires concernés, à poursuivre la mise en œuvre du Cadre, notamment au moyen de la feuille de route pour la cible 2</w:t>
      </w:r>
      <w:r w:rsidR="003D0DB8" w:rsidRPr="00E06D4F">
        <w:rPr>
          <w:rStyle w:val="FootnoteReference"/>
          <w:rFonts w:eastAsia="Times New Roman"/>
          <w:lang w:val="fr-FR"/>
        </w:rPr>
        <w:footnoteReference w:id="9"/>
      </w:r>
      <w:r w:rsidRPr="00E06D4F">
        <w:rPr>
          <w:lang w:val="fr-FR"/>
        </w:rPr>
        <w:t>, en concertation avec les Parties, les autres gouvernements, les peuples autochtones et les communautés locales, les groupes de femmes et de jeunes, les personnes vivant avec un handicap et les autres parties prenantes concernées ;</w:t>
      </w:r>
    </w:p>
    <w:p w14:paraId="473012AB" w14:textId="68B49B58" w:rsidR="00714B50" w:rsidRPr="00E06D4F" w:rsidRDefault="00A62DA2" w:rsidP="0004674F">
      <w:pPr>
        <w:pStyle w:val="CBDDecisionText"/>
        <w:ind w:firstLine="567"/>
        <w:rPr>
          <w:rFonts w:eastAsia="Times New Roman"/>
          <w:szCs w:val="24"/>
          <w:lang w:val="fr-FR"/>
        </w:rPr>
      </w:pPr>
      <w:r>
        <w:rPr>
          <w:lang w:val="fr-FR"/>
        </w:rPr>
        <w:t>7</w:t>
      </w:r>
      <w:r w:rsidR="00376A44" w:rsidRPr="00E06D4F">
        <w:rPr>
          <w:lang w:val="fr-FR"/>
        </w:rPr>
        <w:t>.</w:t>
      </w:r>
      <w:r w:rsidR="00376A44" w:rsidRPr="00E06D4F">
        <w:rPr>
          <w:lang w:val="fr-FR"/>
        </w:rPr>
        <w:tab/>
      </w:r>
      <w:r w:rsidR="00376A44" w:rsidRPr="00E06D4F">
        <w:rPr>
          <w:i/>
          <w:iCs/>
          <w:szCs w:val="24"/>
          <w:lang w:val="fr-FR"/>
        </w:rPr>
        <w:t>Invite</w:t>
      </w:r>
      <w:r w:rsidR="00376A44" w:rsidRPr="00E06D4F">
        <w:rPr>
          <w:lang w:val="fr-FR"/>
        </w:rPr>
        <w:t xml:space="preserve"> les Parties membres du Forum des Nations Unies sur les forêts, à examiner, le cas échéant, l’alignement des engagements et actions liés aux forêts dans leurs stratégies et plans d’action nationaux pour la biodiversité et leurs contributions nationales volontaires sur le plan stratégique des Nations Unies </w:t>
      </w:r>
      <w:r w:rsidR="00716BD1">
        <w:rPr>
          <w:lang w:val="fr-FR"/>
        </w:rPr>
        <w:t>sur</w:t>
      </w:r>
      <w:r w:rsidR="00376A44" w:rsidRPr="00E06D4F">
        <w:rPr>
          <w:lang w:val="fr-FR"/>
        </w:rPr>
        <w:t xml:space="preserve"> les forêts 2017-2030</w:t>
      </w:r>
      <w:r w:rsidR="00084612" w:rsidRPr="00E06D4F">
        <w:rPr>
          <w:rStyle w:val="FootnoteReference"/>
          <w:rFonts w:eastAsia="Times New Roman"/>
          <w:szCs w:val="24"/>
          <w:lang w:val="fr-FR"/>
        </w:rPr>
        <w:footnoteReference w:id="10"/>
      </w:r>
      <w:r w:rsidR="00376A44" w:rsidRPr="00E06D4F">
        <w:rPr>
          <w:lang w:val="fr-FR"/>
        </w:rPr>
        <w:t> ;</w:t>
      </w:r>
    </w:p>
    <w:p w14:paraId="1A4909A8" w14:textId="10154E97" w:rsidR="00714B50" w:rsidRPr="00E06D4F" w:rsidRDefault="00A62DA2" w:rsidP="0004674F">
      <w:pPr>
        <w:pStyle w:val="CBDDecisionText"/>
        <w:ind w:firstLine="567"/>
        <w:rPr>
          <w:rFonts w:eastAsia="Times New Roman"/>
          <w:lang w:val="fr-FR"/>
        </w:rPr>
      </w:pPr>
      <w:r>
        <w:rPr>
          <w:lang w:val="fr-FR"/>
        </w:rPr>
        <w:t>8</w:t>
      </w:r>
      <w:r w:rsidR="00376A44" w:rsidRPr="00E06D4F">
        <w:rPr>
          <w:lang w:val="fr-FR"/>
        </w:rPr>
        <w:t>.</w:t>
      </w:r>
      <w:r w:rsidR="00376A44" w:rsidRPr="00E06D4F">
        <w:rPr>
          <w:lang w:val="fr-FR"/>
        </w:rPr>
        <w:tab/>
      </w:r>
      <w:r w:rsidR="00376A44" w:rsidRPr="00E06D4F">
        <w:rPr>
          <w:i/>
          <w:iCs/>
          <w:lang w:val="fr-FR"/>
        </w:rPr>
        <w:t>Invite</w:t>
      </w:r>
      <w:r w:rsidR="00376A44" w:rsidRPr="00E06D4F">
        <w:rPr>
          <w:lang w:val="fr-FR"/>
        </w:rPr>
        <w:t xml:space="preserve"> les Parties à envisager, le cas échéant, d’aligner les engagements volontaires liés à l’eau et les actions du programme d’action pour l’eau </w:t>
      </w:r>
      <w:r w:rsidR="00CE23D8">
        <w:rPr>
          <w:lang w:val="fr-FR"/>
        </w:rPr>
        <w:t>lancé à</w:t>
      </w:r>
      <w:r w:rsidR="00376A44" w:rsidRPr="00E06D4F">
        <w:rPr>
          <w:lang w:val="fr-FR"/>
        </w:rPr>
        <w:t xml:space="preserve"> la Conférence des Nations Unies sur l’examen approfondi à mi-parcours de la mise en œuvre des objectifs de la Décennie internationale d’action « L’eau au service du développement durable », 2018-2028, sur leurs stratégies et plans d’action nationaux pour la biodiversité ;</w:t>
      </w:r>
    </w:p>
    <w:p w14:paraId="42027285" w14:textId="1F917B74" w:rsidR="3EA1DAF3" w:rsidRPr="00E06D4F" w:rsidRDefault="00A62DA2" w:rsidP="0004674F">
      <w:pPr>
        <w:pStyle w:val="CBDDecisionText"/>
        <w:ind w:firstLine="567"/>
        <w:rPr>
          <w:rFonts w:eastAsia="Times New Roman"/>
          <w:lang w:val="fr-FR"/>
        </w:rPr>
      </w:pPr>
      <w:r>
        <w:rPr>
          <w:lang w:val="fr-FR"/>
        </w:rPr>
        <w:t>9</w:t>
      </w:r>
      <w:r w:rsidR="00376A44" w:rsidRPr="00E06D4F">
        <w:rPr>
          <w:lang w:val="fr-FR"/>
        </w:rPr>
        <w:t>.</w:t>
      </w:r>
      <w:r w:rsidR="00376A44" w:rsidRPr="00E06D4F">
        <w:rPr>
          <w:lang w:val="fr-FR"/>
        </w:rPr>
        <w:tab/>
      </w:r>
      <w:r w:rsidR="00376A44" w:rsidRPr="00E06D4F">
        <w:rPr>
          <w:i/>
          <w:iCs/>
          <w:lang w:val="fr-FR"/>
        </w:rPr>
        <w:t xml:space="preserve">Accueille </w:t>
      </w:r>
      <w:r w:rsidR="00376A44" w:rsidRPr="00E06D4F">
        <w:rPr>
          <w:lang w:val="fr-FR"/>
        </w:rPr>
        <w:t>le sixième plan de travail conjoint, 2024-2030</w:t>
      </w:r>
      <w:r w:rsidR="009866F5" w:rsidRPr="00E06D4F">
        <w:rPr>
          <w:rStyle w:val="FootnoteReference"/>
          <w:rFonts w:eastAsia="Times New Roman"/>
          <w:lang w:val="fr-FR"/>
        </w:rPr>
        <w:footnoteReference w:id="11"/>
      </w:r>
      <w:r w:rsidR="00C171BE" w:rsidRPr="00E06D4F">
        <w:rPr>
          <w:lang w:val="fr-FR"/>
        </w:rPr>
        <w:t>,</w:t>
      </w:r>
      <w:r w:rsidR="00376A44" w:rsidRPr="00E06D4F">
        <w:rPr>
          <w:lang w:val="fr-FR"/>
        </w:rPr>
        <w:t xml:space="preserve"> de la </w:t>
      </w:r>
      <w:r w:rsidR="00CE23D8" w:rsidRPr="00CE23D8">
        <w:rPr>
          <w:lang w:val="fr-FR"/>
        </w:rPr>
        <w:t>Convention relative aux zones humides d'importance internationale particulièrement comme habitats des oiseaux d'eau</w:t>
      </w:r>
      <w:r w:rsidR="00274FF3" w:rsidRPr="00E06D4F">
        <w:rPr>
          <w:rStyle w:val="FootnoteReference"/>
          <w:rFonts w:eastAsia="Times New Roman"/>
          <w:lang w:val="fr-FR"/>
        </w:rPr>
        <w:footnoteReference w:id="12"/>
      </w:r>
      <w:r w:rsidR="00376A44" w:rsidRPr="00E06D4F">
        <w:rPr>
          <w:lang w:val="fr-FR"/>
        </w:rPr>
        <w:t> ;</w:t>
      </w:r>
    </w:p>
    <w:p w14:paraId="7F043C35" w14:textId="3465081B" w:rsidR="00714B50" w:rsidRPr="00E06D4F" w:rsidRDefault="00376A44" w:rsidP="0004674F">
      <w:pPr>
        <w:pStyle w:val="CBDDecisionText"/>
        <w:ind w:firstLine="567"/>
        <w:rPr>
          <w:rFonts w:eastAsia="Times New Roman"/>
          <w:lang w:val="fr-FR"/>
        </w:rPr>
      </w:pPr>
      <w:r w:rsidRPr="00E06D4F">
        <w:rPr>
          <w:lang w:val="fr-FR"/>
        </w:rPr>
        <w:t>1</w:t>
      </w:r>
      <w:r w:rsidR="00A62DA2">
        <w:rPr>
          <w:lang w:val="fr-FR"/>
        </w:rPr>
        <w:t>0</w:t>
      </w:r>
      <w:r w:rsidRPr="00E06D4F">
        <w:rPr>
          <w:lang w:val="fr-FR"/>
        </w:rPr>
        <w:t>.</w:t>
      </w:r>
      <w:r w:rsidRPr="00E06D4F">
        <w:rPr>
          <w:lang w:val="fr-FR"/>
        </w:rPr>
        <w:tab/>
      </w:r>
      <w:r w:rsidRPr="00E06D4F">
        <w:rPr>
          <w:i/>
          <w:iCs/>
          <w:lang w:val="fr-FR"/>
        </w:rPr>
        <w:t>Invite</w:t>
      </w:r>
      <w:r w:rsidRPr="00E06D4F">
        <w:rPr>
          <w:lang w:val="fr-FR"/>
        </w:rPr>
        <w:t xml:space="preserve"> le Programme des Nations Unies pour l’environnement à continuer à soutenir la coopération et la collaboration entre les conventions liées à la biodiversité et les accords multilatéraux sur l’environnement compétents, dans l’objectif de contribuer à l’application effective et efficace de la Convention sur la diversité biologique et de ses protocoles, ainsi que du Cadre ;</w:t>
      </w:r>
    </w:p>
    <w:p w14:paraId="00D8DBD9" w14:textId="408E5476" w:rsidR="2B2394BF" w:rsidRPr="00E06D4F" w:rsidRDefault="00FD5B85" w:rsidP="0004674F">
      <w:pPr>
        <w:pStyle w:val="CBDDecisionText"/>
        <w:ind w:firstLine="567"/>
        <w:rPr>
          <w:lang w:val="fr-FR"/>
        </w:rPr>
      </w:pPr>
      <w:r w:rsidRPr="00E06D4F">
        <w:rPr>
          <w:lang w:val="fr-FR"/>
        </w:rPr>
        <w:t>1</w:t>
      </w:r>
      <w:r w:rsidR="00A62DA2">
        <w:rPr>
          <w:lang w:val="fr-FR"/>
        </w:rPr>
        <w:t>1</w:t>
      </w:r>
      <w:r w:rsidRPr="00E06D4F">
        <w:rPr>
          <w:lang w:val="fr-FR"/>
        </w:rPr>
        <w:t>.</w:t>
      </w:r>
      <w:r w:rsidRPr="00E06D4F">
        <w:rPr>
          <w:lang w:val="fr-FR"/>
        </w:rPr>
        <w:tab/>
      </w:r>
      <w:r w:rsidRPr="00E06D4F">
        <w:rPr>
          <w:i/>
          <w:iCs/>
          <w:lang w:val="fr-FR"/>
        </w:rPr>
        <w:t>Invite également</w:t>
      </w:r>
      <w:r w:rsidRPr="00E06D4F">
        <w:rPr>
          <w:lang w:val="fr-FR"/>
        </w:rPr>
        <w:t xml:space="preserve"> le Programme des Nations Unies pour l’environnement à poursuivre ses travaux sur la primauté du droit de l’environnement, tout en tenant compte dans leur intégralité des différents systèmes de valeurs, comme décrits à la </w:t>
      </w:r>
      <w:r w:rsidR="00CE23D8">
        <w:rPr>
          <w:lang w:val="fr-FR"/>
        </w:rPr>
        <w:t>section</w:t>
      </w:r>
      <w:r w:rsidRPr="00E06D4F">
        <w:rPr>
          <w:lang w:val="fr-FR"/>
        </w:rPr>
        <w:t xml:space="preserve"> C du Cadre, qui comprennent, pour les pays qui les reconnaissent, les droits de la nature et les droits de la Terre nourricière </w:t>
      </w:r>
      <w:r w:rsidR="00CE23D8">
        <w:rPr>
          <w:lang w:val="fr-FR"/>
        </w:rPr>
        <w:t xml:space="preserve">en vue d’une </w:t>
      </w:r>
      <w:r w:rsidRPr="00E06D4F">
        <w:rPr>
          <w:lang w:val="fr-FR"/>
        </w:rPr>
        <w:t>vie en équilibre et en harmonie avec la Terre nourricière</w:t>
      </w:r>
      <w:r w:rsidR="001A619B" w:rsidRPr="00E06D4F">
        <w:rPr>
          <w:rStyle w:val="FootnoteReference"/>
          <w:rFonts w:eastAsia="Times New Roman"/>
          <w:lang w:val="fr-FR"/>
        </w:rPr>
        <w:footnoteReference w:id="13"/>
      </w:r>
      <w:r w:rsidRPr="00E06D4F">
        <w:rPr>
          <w:lang w:val="fr-FR"/>
        </w:rPr>
        <w:t> ;</w:t>
      </w:r>
    </w:p>
    <w:p w14:paraId="692A459C" w14:textId="0A950508" w:rsidR="003813E8" w:rsidRPr="00E06D4F" w:rsidRDefault="00685126" w:rsidP="00685126">
      <w:pPr>
        <w:pStyle w:val="CBDDecisionText"/>
        <w:ind w:firstLine="567"/>
        <w:rPr>
          <w:lang w:val="fr-FR"/>
        </w:rPr>
      </w:pPr>
      <w:r w:rsidRPr="00E06D4F">
        <w:rPr>
          <w:lang w:val="fr-FR"/>
        </w:rPr>
        <w:t>1</w:t>
      </w:r>
      <w:r w:rsidR="00A62DA2">
        <w:rPr>
          <w:lang w:val="fr-FR"/>
        </w:rPr>
        <w:t>2</w:t>
      </w:r>
      <w:r w:rsidRPr="00E06D4F">
        <w:rPr>
          <w:lang w:val="fr-FR"/>
        </w:rPr>
        <w:t>.</w:t>
      </w:r>
      <w:r w:rsidRPr="00E06D4F">
        <w:rPr>
          <w:lang w:val="fr-FR"/>
        </w:rPr>
        <w:tab/>
      </w:r>
      <w:r w:rsidRPr="00E06D4F">
        <w:rPr>
          <w:i/>
          <w:iCs/>
          <w:lang w:val="fr-FR"/>
        </w:rPr>
        <w:t>Invite en outre</w:t>
      </w:r>
      <w:r w:rsidRPr="00E06D4F">
        <w:rPr>
          <w:lang w:val="fr-FR"/>
        </w:rPr>
        <w:t xml:space="preserve"> le Programme des Nations Unies pour l’environnement à faciliter l’échange d’informations sur les initiatives et les expériences réalisées avec les </w:t>
      </w:r>
      <w:r w:rsidR="00787C85" w:rsidRPr="00E06D4F">
        <w:rPr>
          <w:lang w:val="fr-FR"/>
        </w:rPr>
        <w:t>secrétariats</w:t>
      </w:r>
      <w:r w:rsidRPr="00E06D4F">
        <w:rPr>
          <w:lang w:val="fr-FR"/>
        </w:rPr>
        <w:t xml:space="preserve"> d’autres conventions et le Programme des Nations Unies pour l’environnement pour contribuer à améliorer la visibilité et la diffusion de différents </w:t>
      </w:r>
      <w:r w:rsidR="00787C85" w:rsidRPr="00E06D4F">
        <w:rPr>
          <w:lang w:val="fr-FR"/>
        </w:rPr>
        <w:t>systèmes</w:t>
      </w:r>
      <w:r w:rsidRPr="00E06D4F">
        <w:rPr>
          <w:lang w:val="fr-FR"/>
        </w:rPr>
        <w:t xml:space="preserve"> de valeurs, d’autres </w:t>
      </w:r>
      <w:r w:rsidR="00787C85" w:rsidRPr="00E06D4F">
        <w:rPr>
          <w:lang w:val="fr-FR"/>
        </w:rPr>
        <w:t>systèmes</w:t>
      </w:r>
      <w:r w:rsidRPr="00E06D4F">
        <w:rPr>
          <w:lang w:val="fr-FR"/>
        </w:rPr>
        <w:t xml:space="preserve"> de connaissances, </w:t>
      </w:r>
      <w:r w:rsidR="00787C85" w:rsidRPr="00E06D4F">
        <w:rPr>
          <w:lang w:val="fr-FR"/>
        </w:rPr>
        <w:t>la</w:t>
      </w:r>
      <w:r w:rsidR="003813E8" w:rsidRPr="00E06D4F">
        <w:rPr>
          <w:lang w:val="fr-FR"/>
        </w:rPr>
        <w:t xml:space="preserve"> </w:t>
      </w:r>
      <w:r w:rsidR="00787C85" w:rsidRPr="00E06D4F">
        <w:rPr>
          <w:lang w:val="fr-FR"/>
        </w:rPr>
        <w:t>vie</w:t>
      </w:r>
      <w:r w:rsidR="003813E8" w:rsidRPr="00E06D4F">
        <w:rPr>
          <w:lang w:val="fr-FR"/>
        </w:rPr>
        <w:t xml:space="preserve"> en harmonie avec la nature, et pour les pays qui les reconnaissent</w:t>
      </w:r>
      <w:r w:rsidRPr="00E06D4F">
        <w:rPr>
          <w:lang w:val="fr-FR"/>
        </w:rPr>
        <w:t>,</w:t>
      </w:r>
      <w:r w:rsidR="00787C85" w:rsidRPr="00E06D4F">
        <w:rPr>
          <w:lang w:val="fr-FR"/>
        </w:rPr>
        <w:t xml:space="preserve"> la vie</w:t>
      </w:r>
      <w:r w:rsidR="003813E8" w:rsidRPr="00E06D4F">
        <w:rPr>
          <w:lang w:val="fr-FR"/>
        </w:rPr>
        <w:t xml:space="preserve"> en équilibre et en harmonie avec la Terre nourricière, les droits de la nature et les droits de la Terre nourricière</w:t>
      </w:r>
      <w:r w:rsidRPr="00E06D4F">
        <w:rPr>
          <w:lang w:val="fr-FR"/>
        </w:rPr>
        <w:t xml:space="preserve">, </w:t>
      </w:r>
      <w:r w:rsidR="003813E8" w:rsidRPr="00E06D4F">
        <w:rPr>
          <w:lang w:val="fr-FR"/>
        </w:rPr>
        <w:t>et</w:t>
      </w:r>
      <w:r w:rsidRPr="00E06D4F">
        <w:rPr>
          <w:lang w:val="fr-FR"/>
        </w:rPr>
        <w:t xml:space="preserve"> </w:t>
      </w:r>
      <w:r w:rsidR="003813E8" w:rsidRPr="00E06D4F">
        <w:rPr>
          <w:lang w:val="fr-FR"/>
        </w:rPr>
        <w:lastRenderedPageBreak/>
        <w:t xml:space="preserve">promouvoir le développement d’un dialogue interactif sur ces </w:t>
      </w:r>
      <w:r w:rsidR="00787C85" w:rsidRPr="00E06D4F">
        <w:rPr>
          <w:lang w:val="fr-FR"/>
        </w:rPr>
        <w:t>sujets</w:t>
      </w:r>
      <w:r w:rsidR="003813E8" w:rsidRPr="00E06D4F">
        <w:rPr>
          <w:lang w:val="fr-FR"/>
        </w:rPr>
        <w:t xml:space="preserve"> </w:t>
      </w:r>
      <w:r w:rsidR="00CE23D8">
        <w:rPr>
          <w:lang w:val="fr-FR"/>
        </w:rPr>
        <w:t>à</w:t>
      </w:r>
      <w:r w:rsidR="003813E8" w:rsidRPr="00E06D4F">
        <w:rPr>
          <w:lang w:val="fr-FR"/>
        </w:rPr>
        <w:t xml:space="preserve"> la dix-septième </w:t>
      </w:r>
      <w:r w:rsidR="00CE23D8">
        <w:rPr>
          <w:lang w:val="fr-FR"/>
        </w:rPr>
        <w:t xml:space="preserve">réunion de la </w:t>
      </w:r>
      <w:r w:rsidR="003813E8" w:rsidRPr="00E06D4F">
        <w:rPr>
          <w:lang w:val="fr-FR"/>
        </w:rPr>
        <w:t>Conférence des Parties </w:t>
      </w:r>
      <w:r w:rsidRPr="00E06D4F">
        <w:rPr>
          <w:lang w:val="fr-FR"/>
        </w:rPr>
        <w:t>;</w:t>
      </w:r>
    </w:p>
    <w:p w14:paraId="2FAC8356" w14:textId="5C9A797A" w:rsidR="00D92CC3" w:rsidRPr="00E06D4F" w:rsidRDefault="3F9D32D8" w:rsidP="00FF55AE">
      <w:pPr>
        <w:pStyle w:val="CBDDecisionText"/>
        <w:ind w:firstLine="567"/>
        <w:rPr>
          <w:rFonts w:eastAsia="Times New Roman"/>
          <w:lang w:val="fr-FR"/>
        </w:rPr>
      </w:pPr>
      <w:r w:rsidRPr="00E06D4F">
        <w:rPr>
          <w:lang w:val="fr-FR"/>
        </w:rPr>
        <w:t>1</w:t>
      </w:r>
      <w:r w:rsidR="00A62DA2">
        <w:rPr>
          <w:lang w:val="fr-FR"/>
        </w:rPr>
        <w:t>3</w:t>
      </w:r>
      <w:r w:rsidRPr="00E06D4F">
        <w:rPr>
          <w:lang w:val="fr-FR"/>
        </w:rPr>
        <w:t>.</w:t>
      </w:r>
      <w:r w:rsidRPr="00E06D4F">
        <w:rPr>
          <w:lang w:val="fr-FR"/>
        </w:rPr>
        <w:tab/>
      </w:r>
      <w:r w:rsidRPr="00E06D4F">
        <w:rPr>
          <w:i/>
          <w:iCs/>
          <w:lang w:val="fr-FR"/>
        </w:rPr>
        <w:t>Invite</w:t>
      </w:r>
      <w:r w:rsidRPr="00E06D4F">
        <w:rPr>
          <w:lang w:val="fr-FR"/>
        </w:rPr>
        <w:t xml:space="preserve"> les Parties à examiner le rapport de la conférence de Berne III</w:t>
      </w:r>
      <w:r w:rsidR="00B009C9" w:rsidRPr="00E06D4F">
        <w:rPr>
          <w:rStyle w:val="FootnoteReference"/>
          <w:rFonts w:eastAsia="Times New Roman"/>
          <w:lang w:val="fr-FR"/>
        </w:rPr>
        <w:footnoteReference w:id="14"/>
      </w:r>
      <w:r w:rsidRPr="00E06D4F">
        <w:rPr>
          <w:lang w:val="fr-FR"/>
        </w:rPr>
        <w:t> ;</w:t>
      </w:r>
    </w:p>
    <w:p w14:paraId="2B1C4EE4" w14:textId="20B81BC5" w:rsidR="00714B50" w:rsidRPr="00E06D4F" w:rsidRDefault="00714B50" w:rsidP="00FF55AE">
      <w:pPr>
        <w:pStyle w:val="CBDDecisionText"/>
        <w:ind w:firstLine="567"/>
        <w:rPr>
          <w:rFonts w:eastAsia="Times New Roman"/>
          <w:szCs w:val="24"/>
          <w:lang w:val="fr-FR"/>
        </w:rPr>
      </w:pPr>
      <w:r w:rsidRPr="00E06D4F">
        <w:rPr>
          <w:lang w:val="fr-FR"/>
        </w:rPr>
        <w:t>1</w:t>
      </w:r>
      <w:r w:rsidR="00A62DA2">
        <w:rPr>
          <w:lang w:val="fr-FR"/>
        </w:rPr>
        <w:t>4</w:t>
      </w:r>
      <w:r w:rsidRPr="00E06D4F">
        <w:rPr>
          <w:lang w:val="fr-FR"/>
        </w:rPr>
        <w:t>.</w:t>
      </w:r>
      <w:r w:rsidRPr="00E06D4F">
        <w:rPr>
          <w:lang w:val="fr-FR"/>
        </w:rPr>
        <w:tab/>
      </w:r>
      <w:r w:rsidRPr="00E06D4F">
        <w:rPr>
          <w:i/>
          <w:szCs w:val="24"/>
          <w:lang w:val="fr-FR"/>
        </w:rPr>
        <w:t>Encourage</w:t>
      </w:r>
      <w:r w:rsidRPr="00E06D4F">
        <w:rPr>
          <w:lang w:val="fr-FR"/>
        </w:rPr>
        <w:t xml:space="preserve"> les Parties, en fonction des priorités et des circonstances nationales, à sensibiliser le public au processus de mise à jour ou de révision des stratégies et plans d’action nationaux pour la biodiversité en cours dans le cadre de divers processus nationaux de politique et de planification, de stratégies de développement durable, y compris pour l’éradication de la pauvreté, et d’instruments politiques pertinents pour la mise en œuvre d’autres accords multilatéraux sur l’environnement ;</w:t>
      </w:r>
    </w:p>
    <w:p w14:paraId="780B5472" w14:textId="10F363DB" w:rsidR="00714B50" w:rsidRPr="00E06D4F" w:rsidRDefault="3F9D32D8" w:rsidP="0004674F">
      <w:pPr>
        <w:pStyle w:val="CBDDecisionText"/>
        <w:ind w:firstLine="567"/>
        <w:rPr>
          <w:rFonts w:eastAsia="Times New Roman"/>
          <w:b/>
          <w:bCs/>
          <w:lang w:val="fr-FR"/>
        </w:rPr>
      </w:pPr>
      <w:r w:rsidRPr="00E06D4F">
        <w:rPr>
          <w:lang w:val="fr-FR"/>
        </w:rPr>
        <w:t>1</w:t>
      </w:r>
      <w:r w:rsidR="00A62DA2">
        <w:rPr>
          <w:lang w:val="fr-FR"/>
        </w:rPr>
        <w:t>5</w:t>
      </w:r>
      <w:r w:rsidRPr="00E06D4F">
        <w:rPr>
          <w:lang w:val="fr-FR"/>
        </w:rPr>
        <w:t>.</w:t>
      </w:r>
      <w:r w:rsidRPr="00E06D4F">
        <w:rPr>
          <w:lang w:val="fr-FR"/>
        </w:rPr>
        <w:tab/>
      </w:r>
      <w:r w:rsidRPr="00E06D4F">
        <w:rPr>
          <w:i/>
          <w:iCs/>
          <w:lang w:val="fr-FR"/>
        </w:rPr>
        <w:t xml:space="preserve">Encourage également </w:t>
      </w:r>
      <w:r w:rsidRPr="00E06D4F">
        <w:rPr>
          <w:lang w:val="fr-FR"/>
        </w:rPr>
        <w:t xml:space="preserve">les Parties à améliorer la connaissance et la compréhension des avantages potentiels des synergies, de la coopération et de la collaboration </w:t>
      </w:r>
      <w:r w:rsidR="003A3134">
        <w:rPr>
          <w:lang w:val="fr-FR"/>
        </w:rPr>
        <w:t>pour</w:t>
      </w:r>
      <w:r w:rsidRPr="00E06D4F">
        <w:rPr>
          <w:lang w:val="fr-FR"/>
        </w:rPr>
        <w:t xml:space="preserve"> la mise en œuvre de la Convention et de ses Protocoles, notamment en redoublant d’efforts pour utiliser, collecter et partager les bonnes pratiques, et à favoriser l’échange d’informations, </w:t>
      </w:r>
      <w:r w:rsidR="003A3134" w:rsidRPr="003A3134">
        <w:rPr>
          <w:lang w:val="fr-FR"/>
        </w:rPr>
        <w:t xml:space="preserve">selon qu'il convient </w:t>
      </w:r>
      <w:r w:rsidRPr="00E06D4F">
        <w:rPr>
          <w:lang w:val="fr-FR"/>
        </w:rPr>
        <w:t> ;</w:t>
      </w:r>
    </w:p>
    <w:p w14:paraId="65B38E86" w14:textId="07B53B0C" w:rsidR="00714B50" w:rsidRPr="00E06D4F" w:rsidRDefault="3F9D32D8" w:rsidP="0004674F">
      <w:pPr>
        <w:pStyle w:val="CBDDecisionText"/>
        <w:ind w:firstLine="567"/>
        <w:rPr>
          <w:rFonts w:eastAsia="Times New Roman"/>
          <w:lang w:val="fr-FR"/>
        </w:rPr>
      </w:pPr>
      <w:r w:rsidRPr="00E06D4F">
        <w:rPr>
          <w:lang w:val="fr-FR"/>
        </w:rPr>
        <w:t>1</w:t>
      </w:r>
      <w:r w:rsidR="00A62DA2">
        <w:rPr>
          <w:lang w:val="fr-FR"/>
        </w:rPr>
        <w:t>6</w:t>
      </w:r>
      <w:r w:rsidRPr="00E06D4F">
        <w:rPr>
          <w:lang w:val="fr-FR"/>
        </w:rPr>
        <w:t>.</w:t>
      </w:r>
      <w:r w:rsidRPr="00E06D4F">
        <w:rPr>
          <w:lang w:val="fr-FR"/>
        </w:rPr>
        <w:tab/>
      </w:r>
      <w:r w:rsidRPr="00E06D4F">
        <w:rPr>
          <w:i/>
          <w:iCs/>
          <w:lang w:val="fr-FR"/>
        </w:rPr>
        <w:t>Invite</w:t>
      </w:r>
      <w:r w:rsidRPr="00E06D4F">
        <w:rPr>
          <w:lang w:val="fr-FR"/>
        </w:rPr>
        <w:t xml:space="preserve"> les Parties et les autres gouvernements à continuer de renforcer les synergies entre les conventions liées à la biodiversité, en tenant compte des possibilités d’action au niveau national prévues dans la décision</w:t>
      </w:r>
      <w:r w:rsidR="00C171BE" w:rsidRPr="00E06D4F">
        <w:rPr>
          <w:lang w:val="fr-FR"/>
        </w:rPr>
        <w:t> </w:t>
      </w:r>
      <w:hyperlink r:id="rId18" w:history="1">
        <w:r w:rsidRPr="00E06D4F">
          <w:rPr>
            <w:rStyle w:val="Hyperlink"/>
            <w:lang w:val="fr-FR"/>
          </w:rPr>
          <w:t>XIII/24</w:t>
        </w:r>
      </w:hyperlink>
      <w:r w:rsidRPr="00E06D4F">
        <w:rPr>
          <w:lang w:val="fr-FR"/>
        </w:rPr>
        <w:t>, conformément à leur situation et leurs priorités nationales ;</w:t>
      </w:r>
    </w:p>
    <w:p w14:paraId="346FA749" w14:textId="73F8F6ED" w:rsidR="00714B50" w:rsidRPr="00E06D4F" w:rsidRDefault="3F9D32D8" w:rsidP="0004674F">
      <w:pPr>
        <w:pStyle w:val="CBDDecisionText"/>
        <w:ind w:firstLine="567"/>
        <w:rPr>
          <w:rFonts w:eastAsia="Times New Roman"/>
          <w:lang w:val="fr-FR"/>
        </w:rPr>
      </w:pPr>
      <w:r w:rsidRPr="00E06D4F">
        <w:rPr>
          <w:lang w:val="fr-FR"/>
        </w:rPr>
        <w:t>1</w:t>
      </w:r>
      <w:r w:rsidR="00A62DA2">
        <w:rPr>
          <w:lang w:val="fr-FR"/>
        </w:rPr>
        <w:t>7</w:t>
      </w:r>
      <w:r w:rsidRPr="00E06D4F">
        <w:rPr>
          <w:lang w:val="fr-FR"/>
        </w:rPr>
        <w:t>.</w:t>
      </w:r>
      <w:r w:rsidRPr="00E06D4F">
        <w:rPr>
          <w:lang w:val="fr-FR"/>
        </w:rPr>
        <w:tab/>
      </w:r>
      <w:r w:rsidRPr="00E06D4F">
        <w:rPr>
          <w:i/>
          <w:iCs/>
          <w:lang w:val="fr-FR"/>
        </w:rPr>
        <w:t>Exhorte</w:t>
      </w:r>
      <w:r w:rsidRPr="00E06D4F">
        <w:rPr>
          <w:lang w:val="fr-FR"/>
        </w:rPr>
        <w:t xml:space="preserve"> les Parties, en fonction des priorités et des circonstances nationales, à mettre en place des processus, des mécanismes ou des approches de coordination efficaces aux niveaux national, régional et infrarégional afin de favoriser une collaboration étroite entre les correspondants nationaux de la Convention sur la diversité biologique et de ses Protocoles, et les correspondants nationaux d’autres conventions et processus internationaux pertinents pour la mise en œuvre du Cadre, dans le respect des objectifs spécifiques des différentes conventions et de leur caractère indépendant et autonome ; </w:t>
      </w:r>
    </w:p>
    <w:p w14:paraId="3A7177FB" w14:textId="4BBD2ED1" w:rsidR="00714B50" w:rsidRPr="00E06D4F" w:rsidRDefault="3F9D32D8" w:rsidP="00BF0D04">
      <w:pPr>
        <w:pStyle w:val="CBDDecisionText"/>
        <w:ind w:firstLine="567"/>
        <w:rPr>
          <w:rFonts w:eastAsia="Times New Roman"/>
          <w:lang w:val="fr-FR"/>
        </w:rPr>
      </w:pPr>
      <w:r w:rsidRPr="00E06D4F">
        <w:rPr>
          <w:lang w:val="fr-FR"/>
        </w:rPr>
        <w:t>1</w:t>
      </w:r>
      <w:r w:rsidR="00A62DA2">
        <w:rPr>
          <w:lang w:val="fr-FR"/>
        </w:rPr>
        <w:t>8</w:t>
      </w:r>
      <w:r w:rsidRPr="00E06D4F">
        <w:rPr>
          <w:lang w:val="fr-FR"/>
        </w:rPr>
        <w:t>.</w:t>
      </w:r>
      <w:r w:rsidRPr="00E06D4F">
        <w:rPr>
          <w:lang w:val="fr-FR"/>
        </w:rPr>
        <w:tab/>
      </w:r>
      <w:r w:rsidRPr="00E06D4F">
        <w:rPr>
          <w:i/>
          <w:iCs/>
          <w:lang w:val="fr-FR"/>
        </w:rPr>
        <w:t xml:space="preserve">Encourage </w:t>
      </w:r>
      <w:r w:rsidRPr="00E06D4F">
        <w:rPr>
          <w:lang w:val="fr-FR"/>
        </w:rPr>
        <w:t xml:space="preserve">les Parties à renforcer la coopération par une approche pangouvernementale et de l’ensemble de la société, notamment en encourageant </w:t>
      </w:r>
      <w:r w:rsidR="003A3134">
        <w:rPr>
          <w:lang w:val="fr-FR"/>
        </w:rPr>
        <w:t>une participation</w:t>
      </w:r>
      <w:r w:rsidRPr="00E06D4F">
        <w:rPr>
          <w:lang w:val="fr-FR"/>
        </w:rPr>
        <w:t xml:space="preserve"> acti</w:t>
      </w:r>
      <w:r w:rsidR="003A3134">
        <w:rPr>
          <w:lang w:val="fr-FR"/>
        </w:rPr>
        <w:t>ve</w:t>
      </w:r>
      <w:r w:rsidRPr="00E06D4F">
        <w:rPr>
          <w:lang w:val="fr-FR"/>
        </w:rPr>
        <w:t xml:space="preserve"> et en renforçant la capacité des gouvernements infranationaux et locaux à contribuer à l’application effective et efficace de la Convention, d’autres accords multilatéraux sur l’environnement et du Cadre au niveau national ; </w:t>
      </w:r>
    </w:p>
    <w:p w14:paraId="2E14B792" w14:textId="072A554F" w:rsidR="00714B50" w:rsidRPr="00E06D4F" w:rsidRDefault="00A62DA2" w:rsidP="0004674F">
      <w:pPr>
        <w:pStyle w:val="CBDDecisionText"/>
        <w:ind w:firstLine="567"/>
        <w:rPr>
          <w:rFonts w:eastAsia="Times New Roman"/>
          <w:u w:val="single"/>
          <w:lang w:val="fr-FR"/>
        </w:rPr>
      </w:pPr>
      <w:r>
        <w:rPr>
          <w:lang w:val="fr-FR"/>
        </w:rPr>
        <w:t>19</w:t>
      </w:r>
      <w:r w:rsidR="00A73143" w:rsidRPr="00E06D4F">
        <w:rPr>
          <w:lang w:val="fr-FR"/>
        </w:rPr>
        <w:t>.</w:t>
      </w:r>
      <w:r w:rsidR="00A73143" w:rsidRPr="00E06D4F">
        <w:rPr>
          <w:lang w:val="fr-FR"/>
        </w:rPr>
        <w:tab/>
      </w:r>
      <w:r w:rsidR="00A73143" w:rsidRPr="00E06D4F">
        <w:rPr>
          <w:i/>
          <w:iCs/>
          <w:lang w:val="fr-FR"/>
        </w:rPr>
        <w:t xml:space="preserve">Invite </w:t>
      </w:r>
      <w:r w:rsidR="00A73143" w:rsidRPr="00E06D4F">
        <w:rPr>
          <w:lang w:val="fr-FR"/>
        </w:rPr>
        <w:t xml:space="preserve">les organes directeurs des conventions </w:t>
      </w:r>
      <w:r w:rsidR="003A3134">
        <w:rPr>
          <w:lang w:val="fr-FR"/>
        </w:rPr>
        <w:t>relatives</w:t>
      </w:r>
      <w:r w:rsidR="00A73143" w:rsidRPr="00E06D4F">
        <w:rPr>
          <w:lang w:val="fr-FR"/>
        </w:rPr>
        <w:t xml:space="preserve"> </w:t>
      </w:r>
      <w:r w:rsidR="003A3134">
        <w:rPr>
          <w:lang w:val="fr-FR"/>
        </w:rPr>
        <w:t>aux</w:t>
      </w:r>
      <w:r w:rsidR="00A73143" w:rsidRPr="00E06D4F">
        <w:rPr>
          <w:lang w:val="fr-FR"/>
        </w:rPr>
        <w:t xml:space="preserve"> produits chimiques et </w:t>
      </w:r>
      <w:r w:rsidR="003A3134">
        <w:rPr>
          <w:lang w:val="fr-FR"/>
        </w:rPr>
        <w:t>aux</w:t>
      </w:r>
      <w:r w:rsidR="00A73143" w:rsidRPr="00E06D4F">
        <w:rPr>
          <w:lang w:val="fr-FR"/>
        </w:rPr>
        <w:t xml:space="preserve"> déchets</w:t>
      </w:r>
      <w:r w:rsidR="00714B50" w:rsidRPr="00E06D4F">
        <w:rPr>
          <w:rFonts w:eastAsia="Times New Roman"/>
          <w:vertAlign w:val="superscript"/>
          <w:lang w:val="fr-FR"/>
        </w:rPr>
        <w:footnoteReference w:id="15"/>
      </w:r>
      <w:r w:rsidR="00A73143" w:rsidRPr="00E06D4F">
        <w:rPr>
          <w:lang w:val="fr-FR"/>
        </w:rPr>
        <w:t>, de l’Organisation des Nations Unies pour l’alimentation et l’agriculture et des autres conventions et organisations concernées, y compris le Cadre mondial relatif aux produits chimiques – Pour une planète sans produits chimiques ni déchets nocifs, de collaborer avec les trois conventions de Rio en ce qui concerne la cible 7 du Cadre, qui porte sur la réduction de la pollution à des niveaux qui ne nuisent pas à la biodiversité, en consultation avec les Parties, les autres gouvernements, les peuples autochtones et communautés locales et les parties prenantes concernées ;</w:t>
      </w:r>
    </w:p>
    <w:p w14:paraId="01C4AD15" w14:textId="48EACD0B" w:rsidR="1A997C96" w:rsidRPr="00E06D4F" w:rsidRDefault="00DC1237" w:rsidP="0004674F">
      <w:pPr>
        <w:pStyle w:val="CBDDecisionText"/>
        <w:ind w:firstLine="567"/>
        <w:rPr>
          <w:rFonts w:eastAsia="Times New Roman"/>
          <w:lang w:val="fr-FR"/>
        </w:rPr>
      </w:pPr>
      <w:r w:rsidRPr="00E06D4F">
        <w:rPr>
          <w:lang w:val="fr-FR"/>
        </w:rPr>
        <w:t>2</w:t>
      </w:r>
      <w:r w:rsidR="00A62DA2">
        <w:rPr>
          <w:lang w:val="fr-FR"/>
        </w:rPr>
        <w:t>0</w:t>
      </w:r>
      <w:r w:rsidRPr="00E06D4F">
        <w:rPr>
          <w:lang w:val="fr-FR"/>
        </w:rPr>
        <w:t>.</w:t>
      </w:r>
      <w:r w:rsidRPr="00E06D4F">
        <w:rPr>
          <w:lang w:val="fr-FR"/>
        </w:rPr>
        <w:tab/>
      </w:r>
      <w:r w:rsidRPr="00E06D4F">
        <w:rPr>
          <w:i/>
          <w:iCs/>
          <w:lang w:val="fr-FR"/>
        </w:rPr>
        <w:t>Invite</w:t>
      </w:r>
      <w:r w:rsidRPr="00E06D4F">
        <w:rPr>
          <w:lang w:val="fr-FR"/>
        </w:rPr>
        <w:t xml:space="preserve"> le Haut-Commissariat des Nations Unies aux droits de l’</w:t>
      </w:r>
      <w:r w:rsidR="003A3134">
        <w:rPr>
          <w:lang w:val="fr-FR"/>
        </w:rPr>
        <w:t>h</w:t>
      </w:r>
      <w:r w:rsidRPr="00E06D4F">
        <w:rPr>
          <w:lang w:val="fr-FR"/>
        </w:rPr>
        <w:t xml:space="preserve">omme à élaborer des outils et </w:t>
      </w:r>
      <w:r w:rsidR="003A3134">
        <w:rPr>
          <w:lang w:val="fr-FR"/>
        </w:rPr>
        <w:t>des</w:t>
      </w:r>
      <w:r w:rsidRPr="00E06D4F">
        <w:rPr>
          <w:lang w:val="fr-FR"/>
        </w:rPr>
        <w:t xml:space="preserve"> orientation</w:t>
      </w:r>
      <w:r w:rsidR="003A3134">
        <w:rPr>
          <w:lang w:val="fr-FR"/>
        </w:rPr>
        <w:t>s</w:t>
      </w:r>
      <w:r w:rsidRPr="00E06D4F">
        <w:rPr>
          <w:lang w:val="fr-FR"/>
        </w:rPr>
        <w:t xml:space="preserve"> </w:t>
      </w:r>
      <w:r w:rsidR="006C6A26">
        <w:rPr>
          <w:lang w:val="fr-FR"/>
        </w:rPr>
        <w:t>concernant</w:t>
      </w:r>
      <w:r w:rsidRPr="00E06D4F">
        <w:rPr>
          <w:lang w:val="fr-FR"/>
        </w:rPr>
        <w:t xml:space="preserve"> une approche </w:t>
      </w:r>
      <w:r w:rsidR="006C6A26">
        <w:rPr>
          <w:lang w:val="fr-FR"/>
        </w:rPr>
        <w:t>fondée</w:t>
      </w:r>
      <w:r w:rsidRPr="00E06D4F">
        <w:rPr>
          <w:lang w:val="fr-FR"/>
        </w:rPr>
        <w:t xml:space="preserve"> sur les droits de la personne </w:t>
      </w:r>
      <w:r w:rsidR="006C6A26">
        <w:rPr>
          <w:lang w:val="fr-FR"/>
        </w:rPr>
        <w:t>pour</w:t>
      </w:r>
      <w:r w:rsidRPr="00E06D4F">
        <w:rPr>
          <w:lang w:val="fr-FR"/>
        </w:rPr>
        <w:t xml:space="preserve"> la mise en œuvre du Cadre et à transmettre les résultats au </w:t>
      </w:r>
      <w:r w:rsidR="003A3134">
        <w:rPr>
          <w:lang w:val="fr-FR"/>
        </w:rPr>
        <w:t>s</w:t>
      </w:r>
      <w:r w:rsidRPr="00E06D4F">
        <w:rPr>
          <w:lang w:val="fr-FR"/>
        </w:rPr>
        <w:t xml:space="preserve">ecrétariat ; </w:t>
      </w:r>
    </w:p>
    <w:p w14:paraId="43CB8FB9" w14:textId="365F2BDF" w:rsidR="002760B0" w:rsidRPr="00E06D4F" w:rsidRDefault="00102CBE" w:rsidP="0004674F">
      <w:pPr>
        <w:pStyle w:val="CBDDecisionText"/>
        <w:ind w:firstLine="567"/>
        <w:rPr>
          <w:rFonts w:eastAsia="Times New Roman"/>
          <w:lang w:val="fr-FR"/>
        </w:rPr>
      </w:pPr>
      <w:r w:rsidRPr="00E06D4F">
        <w:rPr>
          <w:lang w:val="fr-FR"/>
        </w:rPr>
        <w:t>2</w:t>
      </w:r>
      <w:r w:rsidR="00A62DA2">
        <w:rPr>
          <w:lang w:val="fr-FR"/>
        </w:rPr>
        <w:t>1</w:t>
      </w:r>
      <w:r w:rsidRPr="00E06D4F">
        <w:rPr>
          <w:lang w:val="fr-FR"/>
        </w:rPr>
        <w:t>.</w:t>
      </w:r>
      <w:r w:rsidRPr="00E06D4F">
        <w:rPr>
          <w:i/>
          <w:iCs/>
          <w:lang w:val="fr-FR"/>
        </w:rPr>
        <w:tab/>
        <w:t>Invite</w:t>
      </w:r>
      <w:r w:rsidRPr="00E06D4F">
        <w:rPr>
          <w:lang w:val="fr-FR"/>
        </w:rPr>
        <w:t xml:space="preserve"> les Parties à </w:t>
      </w:r>
      <w:r w:rsidR="003A3134">
        <w:rPr>
          <w:lang w:val="fr-FR"/>
        </w:rPr>
        <w:t>promouvoir</w:t>
      </w:r>
      <w:r w:rsidRPr="00E06D4F">
        <w:rPr>
          <w:lang w:val="fr-FR"/>
        </w:rPr>
        <w:t xml:space="preserve"> les synergies en échangeant de l’information entre les programmes, projets et activités existants d’autres </w:t>
      </w:r>
      <w:r w:rsidR="003A3134">
        <w:rPr>
          <w:lang w:val="fr-FR"/>
        </w:rPr>
        <w:t>organismes</w:t>
      </w:r>
      <w:r w:rsidRPr="00E06D4F">
        <w:rPr>
          <w:lang w:val="fr-FR"/>
        </w:rPr>
        <w:t xml:space="preserve"> des Nations Unies, afin d’améliorer conjointement et d’intégrer leur contribution au titre du programme de travail sur la diversité biologique marine et côtière</w:t>
      </w:r>
      <w:r w:rsidR="002760B0" w:rsidRPr="00E06D4F">
        <w:rPr>
          <w:rStyle w:val="FootnoteReference"/>
          <w:rFonts w:eastAsia="Times New Roman"/>
          <w:lang w:val="fr-FR"/>
        </w:rPr>
        <w:footnoteReference w:id="16"/>
      </w:r>
      <w:r w:rsidRPr="00E06D4F">
        <w:rPr>
          <w:lang w:val="fr-FR"/>
        </w:rPr>
        <w:t xml:space="preserve"> de la Convention, conformément aux cibles du Cadre ;</w:t>
      </w:r>
    </w:p>
    <w:p w14:paraId="66C7EDD4" w14:textId="30DEDB1A" w:rsidR="002760B0" w:rsidRPr="00E06D4F" w:rsidRDefault="00102CBE" w:rsidP="0004674F">
      <w:pPr>
        <w:pStyle w:val="CBDDecisionText"/>
        <w:ind w:firstLine="567"/>
        <w:rPr>
          <w:rFonts w:eastAsia="Times New Roman"/>
          <w:lang w:val="fr-FR"/>
        </w:rPr>
      </w:pPr>
      <w:r w:rsidRPr="00E06D4F">
        <w:rPr>
          <w:lang w:val="fr-FR"/>
        </w:rPr>
        <w:lastRenderedPageBreak/>
        <w:t>2</w:t>
      </w:r>
      <w:r w:rsidR="00A62DA2">
        <w:rPr>
          <w:lang w:val="fr-FR"/>
        </w:rPr>
        <w:t>2</w:t>
      </w:r>
      <w:r w:rsidRPr="00E06D4F">
        <w:rPr>
          <w:lang w:val="fr-FR"/>
        </w:rPr>
        <w:t>.</w:t>
      </w:r>
      <w:r w:rsidRPr="00E06D4F">
        <w:rPr>
          <w:i/>
          <w:iCs/>
          <w:lang w:val="fr-FR"/>
        </w:rPr>
        <w:tab/>
        <w:t>Invite également</w:t>
      </w:r>
      <w:r w:rsidRPr="00E06D4F">
        <w:rPr>
          <w:lang w:val="fr-FR"/>
        </w:rPr>
        <w:t xml:space="preserve"> les Parties à mettre en œuvre l’initiative internationale sur la biodiversité pour l’alimentation et la nutrition</w:t>
      </w:r>
      <w:r w:rsidR="002F31F3" w:rsidRPr="00E06D4F">
        <w:rPr>
          <w:rStyle w:val="FootnoteReference"/>
          <w:rFonts w:eastAsia="Times New Roman"/>
          <w:lang w:val="fr-FR"/>
        </w:rPr>
        <w:footnoteReference w:id="17"/>
      </w:r>
      <w:r w:rsidRPr="00E06D4F">
        <w:rPr>
          <w:lang w:val="fr-FR"/>
        </w:rPr>
        <w:t xml:space="preserve"> dans le contexte du Cadre et à collaborer avec l’Organisation des Nations Unies pour l’alimentation et l’agriculture à </w:t>
      </w:r>
      <w:r w:rsidR="006C6A26">
        <w:rPr>
          <w:lang w:val="fr-FR"/>
        </w:rPr>
        <w:t>l’élaboration</w:t>
      </w:r>
      <w:r w:rsidRPr="00E06D4F">
        <w:rPr>
          <w:lang w:val="fr-FR"/>
        </w:rPr>
        <w:t xml:space="preserve"> d’un plan d’action pour la mise en œuvre de l’initiative ;</w:t>
      </w:r>
    </w:p>
    <w:p w14:paraId="1C575D7F" w14:textId="3C49419B" w:rsidR="00714B50" w:rsidRPr="00E06D4F" w:rsidRDefault="00A971D2" w:rsidP="004736EC">
      <w:pPr>
        <w:pStyle w:val="CBDDecisionText"/>
        <w:ind w:firstLine="567"/>
        <w:rPr>
          <w:rFonts w:eastAsia="Times New Roman"/>
          <w:lang w:val="fr-FR"/>
        </w:rPr>
      </w:pPr>
      <w:r w:rsidRPr="00E06D4F">
        <w:rPr>
          <w:lang w:val="fr-FR"/>
        </w:rPr>
        <w:t>2</w:t>
      </w:r>
      <w:r w:rsidR="00A62DA2">
        <w:rPr>
          <w:lang w:val="fr-FR"/>
        </w:rPr>
        <w:t>3</w:t>
      </w:r>
      <w:r w:rsidRPr="00E06D4F">
        <w:rPr>
          <w:lang w:val="fr-FR"/>
        </w:rPr>
        <w:t>.</w:t>
      </w:r>
      <w:r w:rsidRPr="00E06D4F">
        <w:rPr>
          <w:lang w:val="fr-FR"/>
        </w:rPr>
        <w:tab/>
      </w:r>
      <w:r w:rsidRPr="00E06D4F">
        <w:rPr>
          <w:i/>
          <w:iCs/>
          <w:lang w:val="fr-FR"/>
        </w:rPr>
        <w:t>Prie</w:t>
      </w:r>
      <w:r w:rsidRPr="00E06D4F">
        <w:rPr>
          <w:lang w:val="fr-FR"/>
        </w:rPr>
        <w:t xml:space="preserve"> la Secrétaire exécutive, sous réserve de la disponibilité des ressources :</w:t>
      </w:r>
    </w:p>
    <w:p w14:paraId="5EAA94CC" w14:textId="54F59D8B" w:rsidR="00714B50" w:rsidRPr="00E06D4F" w:rsidRDefault="3F9D32D8" w:rsidP="004736EC">
      <w:pPr>
        <w:pStyle w:val="CBDDecisionText"/>
        <w:ind w:firstLine="567"/>
        <w:rPr>
          <w:rFonts w:eastAsia="Times New Roman"/>
          <w:lang w:val="fr-FR"/>
        </w:rPr>
      </w:pPr>
      <w:r w:rsidRPr="00E06D4F">
        <w:rPr>
          <w:lang w:val="fr-FR"/>
        </w:rPr>
        <w:t>a)</w:t>
      </w:r>
      <w:r w:rsidRPr="00E06D4F">
        <w:rPr>
          <w:lang w:val="fr-FR"/>
        </w:rPr>
        <w:tab/>
        <w:t xml:space="preserve">De continuer à collaborer avec les secrétariats d’autres conventions et le Programme des Nations Unies pour l’environnement pour appuyer la mise en œuvre de cibles </w:t>
      </w:r>
      <w:r w:rsidR="006C6A26">
        <w:rPr>
          <w:lang w:val="fr-FR"/>
        </w:rPr>
        <w:t>particulières</w:t>
      </w:r>
      <w:r w:rsidRPr="00E06D4F">
        <w:rPr>
          <w:lang w:val="fr-FR"/>
        </w:rPr>
        <w:t xml:space="preserve"> du Cadre, selon </w:t>
      </w:r>
      <w:r w:rsidR="006C6A26">
        <w:rPr>
          <w:lang w:val="fr-FR"/>
        </w:rPr>
        <w:t>qu’il convient</w:t>
      </w:r>
      <w:r w:rsidRPr="00E06D4F">
        <w:rPr>
          <w:lang w:val="fr-FR"/>
        </w:rPr>
        <w:t> ;</w:t>
      </w:r>
    </w:p>
    <w:p w14:paraId="7EE81406" w14:textId="50788CF1" w:rsidR="00F0531C" w:rsidRPr="00E06D4F" w:rsidRDefault="00024FCC" w:rsidP="00ED49D0">
      <w:pPr>
        <w:pStyle w:val="CBDDecisionText"/>
        <w:ind w:firstLine="567"/>
        <w:rPr>
          <w:rFonts w:eastAsia="Times New Roman"/>
          <w:lang w:val="fr-FR"/>
        </w:rPr>
      </w:pPr>
      <w:r w:rsidRPr="00E06D4F">
        <w:rPr>
          <w:lang w:val="fr-FR"/>
        </w:rPr>
        <w:t>b)</w:t>
      </w:r>
      <w:r w:rsidRPr="00E06D4F">
        <w:rPr>
          <w:lang w:val="fr-FR"/>
        </w:rPr>
        <w:tab/>
        <w:t xml:space="preserve">De poursuivre la collaboration avec les secrétariats de la Convention-cadre des Nations Unies sur les changements climatiques et de la Convention des Nations Unies sur la lutte contre la désertification dans les pays gravement touchés par la sécheresse et/ou la désertification, en particulier en Afrique, </w:t>
      </w:r>
      <w:r w:rsidR="006C6A26">
        <w:rPr>
          <w:lang w:val="fr-FR"/>
        </w:rPr>
        <w:t>au moyen</w:t>
      </w:r>
      <w:r w:rsidRPr="00E06D4F">
        <w:rPr>
          <w:lang w:val="fr-FR"/>
        </w:rPr>
        <w:t xml:space="preserve"> de modalités telles que le Groupe </w:t>
      </w:r>
      <w:r w:rsidR="006C6A26">
        <w:rPr>
          <w:lang w:val="fr-FR"/>
        </w:rPr>
        <w:t xml:space="preserve">mixte </w:t>
      </w:r>
      <w:r w:rsidRPr="00E06D4F">
        <w:rPr>
          <w:lang w:val="fr-FR"/>
        </w:rPr>
        <w:t>de liaison des conventions de Rio, conformément à leurs mandats et leurs modes de fonctionnement, afin d’identifier les possibilités de coopération, notamment en</w:t>
      </w:r>
      <w:bookmarkStart w:id="3" w:name="_Hlk187318592"/>
      <w:r w:rsidRPr="00E06D4F">
        <w:rPr>
          <w:lang w:val="fr-FR"/>
        </w:rPr>
        <w:t xml:space="preserve"> examinant la possibilité</w:t>
      </w:r>
      <w:bookmarkEnd w:id="3"/>
      <w:r w:rsidRPr="00E06D4F">
        <w:rPr>
          <w:lang w:val="fr-FR"/>
        </w:rPr>
        <w:t xml:space="preserve"> de créer un programme de travail conjoint entre les conventions de Rio, pour examen en vertu de la décision </w:t>
      </w:r>
      <w:hyperlink r:id="rId19" w:history="1">
        <w:r w:rsidRPr="004824F1">
          <w:rPr>
            <w:rStyle w:val="Hyperlink"/>
            <w:lang w:val="fr-FR"/>
          </w:rPr>
          <w:t>16</w:t>
        </w:r>
        <w:r w:rsidRPr="004824F1">
          <w:rPr>
            <w:rStyle w:val="Hyperlink"/>
            <w:lang w:val="fr-FR"/>
          </w:rPr>
          <w:t>/</w:t>
        </w:r>
        <w:r w:rsidRPr="004824F1">
          <w:rPr>
            <w:rStyle w:val="Hyperlink"/>
            <w:lang w:val="fr-FR"/>
          </w:rPr>
          <w:t>22</w:t>
        </w:r>
      </w:hyperlink>
      <w:r w:rsidRPr="00E06D4F">
        <w:rPr>
          <w:lang w:val="fr-FR"/>
        </w:rPr>
        <w:t xml:space="preserve"> du 1</w:t>
      </w:r>
      <w:r w:rsidRPr="00E06D4F">
        <w:rPr>
          <w:vertAlign w:val="superscript"/>
          <w:lang w:val="fr-FR"/>
        </w:rPr>
        <w:t>er</w:t>
      </w:r>
      <w:r w:rsidR="00C171BE" w:rsidRPr="00E06D4F">
        <w:rPr>
          <w:lang w:val="fr-FR"/>
        </w:rPr>
        <w:t> </w:t>
      </w:r>
      <w:r w:rsidRPr="00E06D4F">
        <w:rPr>
          <w:lang w:val="fr-FR"/>
        </w:rPr>
        <w:t>novembre 2024 par l’Organe subsidiaire chargé de fournir des avis scientifiques, techniques et technologiques à une réunion qui aura lieu avant la dix-septième réunion de la Conférence des Parties et par la Conférence des Parties à sa dix-septième réunion ;</w:t>
      </w:r>
    </w:p>
    <w:p w14:paraId="1B2AED87" w14:textId="70466E4B" w:rsidR="00714B50" w:rsidRPr="00E06D4F" w:rsidRDefault="00714B50" w:rsidP="004736EC">
      <w:pPr>
        <w:pStyle w:val="CBDDecisionText"/>
        <w:ind w:firstLine="567"/>
        <w:rPr>
          <w:rFonts w:eastAsia="Times New Roman"/>
          <w:lang w:val="fr-FR"/>
        </w:rPr>
      </w:pPr>
      <w:r w:rsidRPr="00E06D4F">
        <w:rPr>
          <w:lang w:val="fr-FR"/>
        </w:rPr>
        <w:t>c)</w:t>
      </w:r>
      <w:r w:rsidRPr="00E06D4F">
        <w:rPr>
          <w:lang w:val="fr-FR"/>
        </w:rPr>
        <w:tab/>
        <w:t xml:space="preserve">De poursuivre sa coopération avec les conventions relatives à la biodiversité, les conventions sur les produits chimiques et les déchets, les accords multilatéraux sur l’environnement, d’autres conventions et les organes scientifiques et politiques compétents, notamment </w:t>
      </w:r>
      <w:r w:rsidR="006C6A26">
        <w:rPr>
          <w:lang w:val="fr-FR"/>
        </w:rPr>
        <w:t>au moyen</w:t>
      </w:r>
      <w:r w:rsidRPr="00E06D4F">
        <w:rPr>
          <w:lang w:val="fr-FR"/>
        </w:rPr>
        <w:t xml:space="preserve"> d’activités conjointes et dans le respect de leurs mandats </w:t>
      </w:r>
      <w:r w:rsidR="006C6A26">
        <w:rPr>
          <w:lang w:val="fr-FR"/>
        </w:rPr>
        <w:t>précis</w:t>
      </w:r>
      <w:r w:rsidRPr="00E06D4F">
        <w:rPr>
          <w:lang w:val="fr-FR"/>
        </w:rPr>
        <w:t> ;</w:t>
      </w:r>
    </w:p>
    <w:p w14:paraId="58E72677" w14:textId="11B2009C" w:rsidR="00714B50" w:rsidRPr="00E06D4F" w:rsidRDefault="3F9D32D8" w:rsidP="004736EC">
      <w:pPr>
        <w:pStyle w:val="CBDDecisionText"/>
        <w:ind w:firstLine="567"/>
        <w:rPr>
          <w:rFonts w:eastAsia="Times New Roman"/>
          <w:lang w:val="fr-FR"/>
        </w:rPr>
      </w:pPr>
      <w:r w:rsidRPr="00E06D4F">
        <w:rPr>
          <w:lang w:val="fr-FR"/>
        </w:rPr>
        <w:t>d)</w:t>
      </w:r>
      <w:r w:rsidRPr="00E06D4F">
        <w:rPr>
          <w:lang w:val="fr-FR"/>
        </w:rPr>
        <w:tab/>
        <w:t xml:space="preserve">De renforcer la collaboration avec le Forum des Nations Unies sur les forêts et d’autres organisations compétentes, telles que l’Organisation internationale des bois tropicaux, et au sein du Partenariat de collaboration sur les forêts, afin de soutenir la mise en œuvre cohérente du plan stratégique des Nations Unies </w:t>
      </w:r>
      <w:r w:rsidR="0000400C">
        <w:rPr>
          <w:lang w:val="fr-FR"/>
        </w:rPr>
        <w:t>sur</w:t>
      </w:r>
      <w:r w:rsidRPr="00E06D4F">
        <w:rPr>
          <w:lang w:val="fr-FR"/>
        </w:rPr>
        <w:t xml:space="preserve"> les forêts 2017-2030, de la Convention et du Cadre ;</w:t>
      </w:r>
    </w:p>
    <w:p w14:paraId="059368AE" w14:textId="1C635526" w:rsidR="00714B50" w:rsidRPr="00E06D4F" w:rsidRDefault="00B378C7" w:rsidP="00FF55AE">
      <w:pPr>
        <w:pStyle w:val="CBDDecisionText"/>
        <w:rPr>
          <w:lang w:val="fr-FR"/>
        </w:rPr>
      </w:pPr>
      <w:r w:rsidRPr="00E06D4F">
        <w:rPr>
          <w:lang w:val="fr-FR"/>
        </w:rPr>
        <w:tab/>
      </w:r>
      <w:r w:rsidR="004824F1">
        <w:rPr>
          <w:lang w:val="fr-FR"/>
        </w:rPr>
        <w:t>e</w:t>
      </w:r>
      <w:r w:rsidRPr="00E06D4F">
        <w:rPr>
          <w:lang w:val="fr-FR"/>
        </w:rPr>
        <w:t>)</w:t>
      </w:r>
      <w:r w:rsidRPr="00E06D4F">
        <w:rPr>
          <w:lang w:val="fr-FR"/>
        </w:rPr>
        <w:tab/>
        <w:t xml:space="preserve">De rendre compte à l’Organe subsidiaire chargé de l’application, à une réunion qui se tiendra avant la dix-septième réunion de la Conférence des Parties, des activités de coopération susmentionnées </w:t>
      </w:r>
      <w:r w:rsidR="0000400C">
        <w:rPr>
          <w:lang w:val="fr-FR"/>
        </w:rPr>
        <w:t xml:space="preserve">menées </w:t>
      </w:r>
      <w:r w:rsidRPr="00E06D4F">
        <w:rPr>
          <w:lang w:val="fr-FR"/>
        </w:rPr>
        <w:t>à l’appui de la mise en œuvre de la Convention et du Cadre.</w:t>
      </w:r>
    </w:p>
    <w:p w14:paraId="01AB88C9" w14:textId="464AF6D1" w:rsidR="001A014C" w:rsidRPr="00E06D4F" w:rsidRDefault="00026883" w:rsidP="00026883">
      <w:pPr>
        <w:pStyle w:val="CBDNormal"/>
        <w:jc w:val="center"/>
        <w:rPr>
          <w:lang w:val="fr-FR"/>
        </w:rPr>
      </w:pPr>
      <w:r w:rsidRPr="00E06D4F">
        <w:rPr>
          <w:lang w:val="fr-FR"/>
        </w:rPr>
        <w:t>__________</w:t>
      </w:r>
    </w:p>
    <w:sectPr w:rsidR="001A014C" w:rsidRPr="00E06D4F" w:rsidSect="00387BD8">
      <w:headerReference w:type="even" r:id="rId20"/>
      <w:headerReference w:type="default" r:id="rId21"/>
      <w:footerReference w:type="even" r:id="rId22"/>
      <w:footerReference w:type="default" r:id="rId23"/>
      <w:pgSz w:w="12240" w:h="15840" w:code="1"/>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89269" w14:textId="77777777" w:rsidR="00750940" w:rsidRPr="00E06D4F" w:rsidRDefault="00750940" w:rsidP="00A96B21">
      <w:r w:rsidRPr="00E06D4F">
        <w:separator/>
      </w:r>
    </w:p>
  </w:endnote>
  <w:endnote w:type="continuationSeparator" w:id="0">
    <w:p w14:paraId="4CCFF394" w14:textId="77777777" w:rsidR="00750940" w:rsidRPr="00E06D4F" w:rsidRDefault="00750940" w:rsidP="00A96B21">
      <w:r w:rsidRPr="00E06D4F">
        <w:continuationSeparator/>
      </w:r>
    </w:p>
  </w:endnote>
  <w:endnote w:type="continuationNotice" w:id="1">
    <w:p w14:paraId="4FFFAAA3" w14:textId="77777777" w:rsidR="00750940" w:rsidRPr="00E06D4F" w:rsidRDefault="007509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2B8CC" w14:textId="4F8F17D3" w:rsidR="00387BD8" w:rsidRPr="00E06D4F" w:rsidRDefault="000F75A1">
    <w:pPr>
      <w:pStyle w:val="Footer"/>
    </w:pPr>
    <w:r w:rsidRPr="00E06D4F">
      <w:fldChar w:fldCharType="begin"/>
    </w:r>
    <w:r w:rsidRPr="00E06D4F">
      <w:instrText xml:space="preserve"> PAGE  \* Arabic  \* MERGEFORMAT </w:instrText>
    </w:r>
    <w:r w:rsidRPr="00E06D4F">
      <w:fldChar w:fldCharType="separate"/>
    </w:r>
    <w:r w:rsidRPr="00E06D4F">
      <w:t>2</w:t>
    </w:r>
    <w:r w:rsidRPr="00E06D4F">
      <w:fldChar w:fldCharType="end"/>
    </w:r>
    <w:r w:rsidRPr="00E06D4F">
      <w:t>/</w:t>
    </w:r>
    <w:fldSimple w:instr=" NUMPAGES   \* MERGEFORMAT ">
      <w:r w:rsidRPr="00E06D4F">
        <w:t>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093DF" w14:textId="5D75B1F0" w:rsidR="00387BD8" w:rsidRPr="00E06D4F" w:rsidRDefault="000F75A1" w:rsidP="000F75A1">
    <w:pPr>
      <w:pStyle w:val="Footer"/>
      <w:jc w:val="right"/>
    </w:pPr>
    <w:r w:rsidRPr="00E06D4F">
      <w:fldChar w:fldCharType="begin"/>
    </w:r>
    <w:r w:rsidRPr="00E06D4F">
      <w:instrText xml:space="preserve"> PAGE  \* Arabic  \* MERGEFORMAT </w:instrText>
    </w:r>
    <w:r w:rsidRPr="00E06D4F">
      <w:fldChar w:fldCharType="separate"/>
    </w:r>
    <w:r w:rsidRPr="00E06D4F">
      <w:t>2</w:t>
    </w:r>
    <w:r w:rsidRPr="00E06D4F">
      <w:fldChar w:fldCharType="end"/>
    </w:r>
    <w:r w:rsidRPr="00E06D4F">
      <w:t>/</w:t>
    </w:r>
    <w:fldSimple w:instr=" NUMPAGES   \* MERGEFORMAT ">
      <w:r w:rsidRPr="00E06D4F">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D41B9" w14:textId="77777777" w:rsidR="00750940" w:rsidRPr="00E06D4F" w:rsidRDefault="00750940" w:rsidP="00A96B21">
      <w:r w:rsidRPr="00E06D4F">
        <w:separator/>
      </w:r>
    </w:p>
  </w:footnote>
  <w:footnote w:type="continuationSeparator" w:id="0">
    <w:p w14:paraId="1F44C563" w14:textId="77777777" w:rsidR="00750940" w:rsidRPr="00E06D4F" w:rsidRDefault="00750940" w:rsidP="00A96B21">
      <w:r w:rsidRPr="00E06D4F">
        <w:continuationSeparator/>
      </w:r>
    </w:p>
  </w:footnote>
  <w:footnote w:type="continuationNotice" w:id="1">
    <w:p w14:paraId="5B22ED59" w14:textId="77777777" w:rsidR="00750940" w:rsidRPr="00E06D4F" w:rsidRDefault="00750940"/>
  </w:footnote>
  <w:footnote w:id="2">
    <w:p w14:paraId="17FFCF90" w14:textId="77777777" w:rsidR="00714B50" w:rsidRPr="00E06D4F" w:rsidRDefault="00714B50" w:rsidP="00714B50">
      <w:pPr>
        <w:pStyle w:val="FootnoteText"/>
        <w:rPr>
          <w:szCs w:val="18"/>
        </w:rPr>
      </w:pPr>
      <w:r w:rsidRPr="00E06D4F">
        <w:rPr>
          <w:rStyle w:val="FootnoteReference"/>
          <w:szCs w:val="18"/>
        </w:rPr>
        <w:footnoteRef/>
      </w:r>
      <w:r w:rsidRPr="00E06D4F">
        <w:t xml:space="preserve"> </w:t>
      </w:r>
      <w:r w:rsidRPr="00E06D4F">
        <w:rPr>
          <w:i/>
          <w:iCs/>
          <w:color w:val="000000"/>
          <w:szCs w:val="18"/>
        </w:rPr>
        <w:t>Rapport de la Conférence des Nations Unies sur 1’environnement et le développement, Rio de Janeiro, 3-14 juin 1992</w:t>
      </w:r>
      <w:r w:rsidRPr="00E06D4F">
        <w:rPr>
          <w:color w:val="000000"/>
          <w:szCs w:val="18"/>
        </w:rPr>
        <w:t xml:space="preserve">, vol. I, </w:t>
      </w:r>
      <w:r w:rsidRPr="00E06D4F">
        <w:rPr>
          <w:i/>
          <w:iCs/>
          <w:color w:val="000000"/>
          <w:szCs w:val="18"/>
        </w:rPr>
        <w:t xml:space="preserve">Résolutions adoptées par la Conférence </w:t>
      </w:r>
      <w:r w:rsidRPr="00E06D4F">
        <w:rPr>
          <w:color w:val="000000"/>
          <w:szCs w:val="18"/>
        </w:rPr>
        <w:t>(Publication des Nations Unies, numéro de vente E.93.I.8 et rectificatif), résolution 1, annexe I.</w:t>
      </w:r>
    </w:p>
  </w:footnote>
  <w:footnote w:id="3">
    <w:p w14:paraId="43ACB008" w14:textId="62A80407" w:rsidR="00FC7043" w:rsidRPr="00E06D4F" w:rsidRDefault="00FC7043">
      <w:pPr>
        <w:pStyle w:val="FootnoteText"/>
      </w:pPr>
      <w:r w:rsidRPr="00E06D4F">
        <w:rPr>
          <w:rStyle w:val="FootnoteReference"/>
        </w:rPr>
        <w:footnoteRef/>
      </w:r>
      <w:r w:rsidRPr="00E06D4F">
        <w:t xml:space="preserve"> Décision</w:t>
      </w:r>
      <w:r w:rsidR="00C171BE" w:rsidRPr="00E06D4F">
        <w:t> </w:t>
      </w:r>
      <w:hyperlink r:id="rId1" w:history="1">
        <w:r w:rsidRPr="00E06D4F">
          <w:rPr>
            <w:rStyle w:val="Hyperlink"/>
          </w:rPr>
          <w:t>15/4</w:t>
        </w:r>
      </w:hyperlink>
      <w:r w:rsidRPr="00E06D4F">
        <w:t>, annexe.</w:t>
      </w:r>
    </w:p>
  </w:footnote>
  <w:footnote w:id="4">
    <w:p w14:paraId="1D3C3167" w14:textId="3D6A2E29" w:rsidR="003421F1" w:rsidRDefault="003421F1" w:rsidP="003421F1">
      <w:pPr>
        <w:pStyle w:val="FootnoteText"/>
      </w:pPr>
      <w:r>
        <w:rPr>
          <w:rStyle w:val="FootnoteReference"/>
        </w:rPr>
        <w:footnoteRef/>
      </w:r>
      <w:r>
        <w:t xml:space="preserve"> </w:t>
      </w:r>
      <w:r w:rsidR="00BC2A1C">
        <w:t xml:space="preserve">Nations Unies, </w:t>
      </w:r>
      <w:r w:rsidR="00BC2A1C">
        <w:rPr>
          <w:i/>
          <w:iCs/>
        </w:rPr>
        <w:t>Recueil des Traités</w:t>
      </w:r>
      <w:r w:rsidRPr="0065668F">
        <w:t xml:space="preserve">, vol. 1954, </w:t>
      </w:r>
      <w:r w:rsidR="00BC2A1C">
        <w:t>n° </w:t>
      </w:r>
      <w:r w:rsidRPr="0065668F">
        <w:t>33480.</w:t>
      </w:r>
    </w:p>
  </w:footnote>
  <w:footnote w:id="5">
    <w:p w14:paraId="6B5B8C42" w14:textId="1B6ACAD0" w:rsidR="00EA6654" w:rsidRPr="00E06D4F" w:rsidRDefault="00EA6654">
      <w:pPr>
        <w:pStyle w:val="FootnoteText"/>
      </w:pPr>
      <w:r w:rsidRPr="00E06D4F">
        <w:rPr>
          <w:rStyle w:val="FootnoteReference"/>
        </w:rPr>
        <w:footnoteRef/>
      </w:r>
      <w:r w:rsidRPr="00E06D4F">
        <w:t xml:space="preserve"> </w:t>
      </w:r>
      <w:r w:rsidR="0014630F">
        <w:rPr>
          <w:rFonts w:eastAsia="Yu Mincho" w:hint="eastAsia"/>
          <w:lang w:eastAsia="ja-JP"/>
        </w:rPr>
        <w:t>Ibid</w:t>
      </w:r>
      <w:r w:rsidR="007C09F5">
        <w:rPr>
          <w:rFonts w:eastAsia="Yu Mincho" w:hint="eastAsia"/>
          <w:lang w:eastAsia="ja-JP"/>
        </w:rPr>
        <w:t>.</w:t>
      </w:r>
      <w:r w:rsidRPr="00E06D4F">
        <w:t>, vol.</w:t>
      </w:r>
      <w:r w:rsidR="00C171BE" w:rsidRPr="00E06D4F">
        <w:t> </w:t>
      </w:r>
      <w:r w:rsidRPr="00E06D4F">
        <w:t>1771, n</w:t>
      </w:r>
      <w:r w:rsidRPr="00E06D4F">
        <w:rPr>
          <w:vertAlign w:val="superscript"/>
        </w:rPr>
        <w:t>o</w:t>
      </w:r>
      <w:r w:rsidR="00C171BE" w:rsidRPr="00E06D4F">
        <w:t> </w:t>
      </w:r>
      <w:r w:rsidRPr="00E06D4F">
        <w:t>30822.</w:t>
      </w:r>
    </w:p>
  </w:footnote>
  <w:footnote w:id="6">
    <w:p w14:paraId="1C9E9748" w14:textId="672BE4E2" w:rsidR="00ED2837" w:rsidRPr="00E06D4F" w:rsidRDefault="00ED2837">
      <w:pPr>
        <w:pStyle w:val="FootnoteText"/>
      </w:pPr>
      <w:r w:rsidRPr="00E06D4F">
        <w:rPr>
          <w:rStyle w:val="FootnoteReference"/>
        </w:rPr>
        <w:footnoteRef/>
      </w:r>
      <w:r w:rsidRPr="00E06D4F">
        <w:t xml:space="preserve"> </w:t>
      </w:r>
      <w:r w:rsidR="000C396F" w:rsidRPr="00E06D4F">
        <w:t>Ibid.</w:t>
      </w:r>
      <w:r w:rsidRPr="00E06D4F">
        <w:t>, vol. 3156, n</w:t>
      </w:r>
      <w:r w:rsidRPr="00E06D4F">
        <w:rPr>
          <w:vertAlign w:val="superscript"/>
        </w:rPr>
        <w:t>o</w:t>
      </w:r>
      <w:r w:rsidR="00C171BE" w:rsidRPr="00E06D4F">
        <w:t> </w:t>
      </w:r>
      <w:r w:rsidRPr="00E06D4F">
        <w:t>54113.</w:t>
      </w:r>
    </w:p>
  </w:footnote>
  <w:footnote w:id="7">
    <w:p w14:paraId="063B809E" w14:textId="77777777" w:rsidR="00716BD1" w:rsidRPr="00E06D4F" w:rsidRDefault="00716BD1" w:rsidP="00716BD1">
      <w:pPr>
        <w:pStyle w:val="FootnoteText"/>
      </w:pPr>
      <w:r w:rsidRPr="00E06D4F">
        <w:rPr>
          <w:rStyle w:val="FootnoteReference"/>
        </w:rPr>
        <w:footnoteRef/>
      </w:r>
      <w:r w:rsidRPr="00E06D4F">
        <w:t xml:space="preserve"> Ibid., vol. 1760, n</w:t>
      </w:r>
      <w:r w:rsidRPr="00E06D4F">
        <w:rPr>
          <w:vertAlign w:val="superscript"/>
        </w:rPr>
        <w:t>o</w:t>
      </w:r>
      <w:r w:rsidRPr="00E06D4F">
        <w:t> 30619.</w:t>
      </w:r>
    </w:p>
  </w:footnote>
  <w:footnote w:id="8">
    <w:p w14:paraId="2D33DE6C" w14:textId="0A19AAAC" w:rsidR="00714B50" w:rsidRPr="00E06D4F" w:rsidRDefault="00714B50" w:rsidP="00714B50">
      <w:pPr>
        <w:pStyle w:val="FootnoteText"/>
        <w:rPr>
          <w:szCs w:val="18"/>
        </w:rPr>
      </w:pPr>
      <w:r w:rsidRPr="00E06D4F">
        <w:rPr>
          <w:rStyle w:val="FootnoteReference"/>
          <w:szCs w:val="18"/>
        </w:rPr>
        <w:footnoteRef/>
      </w:r>
      <w:r w:rsidRPr="00E06D4F">
        <w:t xml:space="preserve"> Voir l’annexe I du document</w:t>
      </w:r>
      <w:r w:rsidR="00C171BE" w:rsidRPr="00E06D4F">
        <w:t> </w:t>
      </w:r>
      <w:hyperlink r:id="rId2" w:history="1">
        <w:r w:rsidRPr="00E06D4F">
          <w:rPr>
            <w:rStyle w:val="Hyperlink"/>
          </w:rPr>
          <w:t>CBD/COP/16/10/Rev.1</w:t>
        </w:r>
      </w:hyperlink>
      <w:r w:rsidRPr="00E06D4F">
        <w:t>.</w:t>
      </w:r>
    </w:p>
  </w:footnote>
  <w:footnote w:id="9">
    <w:p w14:paraId="2767F24F" w14:textId="38E9E042" w:rsidR="003D0DB8" w:rsidRPr="00E06D4F" w:rsidRDefault="003D0DB8">
      <w:pPr>
        <w:pStyle w:val="FootnoteText"/>
      </w:pPr>
      <w:r w:rsidRPr="00E06D4F">
        <w:rPr>
          <w:rStyle w:val="FootnoteReference"/>
        </w:rPr>
        <w:footnoteRef/>
      </w:r>
      <w:r w:rsidRPr="00E06D4F">
        <w:t xml:space="preserve"> Voir </w:t>
      </w:r>
      <w:hyperlink r:id="rId3" w:history="1">
        <w:r w:rsidRPr="00E06D4F">
          <w:rPr>
            <w:rStyle w:val="Hyperlink"/>
          </w:rPr>
          <w:t>www.fao.org/ecosystem-restoration-monitoring/en</w:t>
        </w:r>
      </w:hyperlink>
      <w:r w:rsidRPr="00E06D4F">
        <w:t>.</w:t>
      </w:r>
    </w:p>
  </w:footnote>
  <w:footnote w:id="10">
    <w:p w14:paraId="53B0A03D" w14:textId="4FF23918" w:rsidR="00084612" w:rsidRPr="00E06D4F" w:rsidRDefault="00084612">
      <w:pPr>
        <w:pStyle w:val="FootnoteText"/>
      </w:pPr>
      <w:r w:rsidRPr="00E06D4F">
        <w:rPr>
          <w:rStyle w:val="FootnoteReference"/>
        </w:rPr>
        <w:footnoteRef/>
      </w:r>
      <w:r w:rsidRPr="00E06D4F">
        <w:t xml:space="preserve"> Voir la résolution 71/285 de l’Assemblée générale.</w:t>
      </w:r>
    </w:p>
  </w:footnote>
  <w:footnote w:id="11">
    <w:p w14:paraId="2A7D347F" w14:textId="48CC04C8" w:rsidR="009866F5" w:rsidRPr="00E06D4F" w:rsidRDefault="009866F5" w:rsidP="009866F5">
      <w:pPr>
        <w:pStyle w:val="FootnoteText"/>
      </w:pPr>
      <w:r w:rsidRPr="00E06D4F">
        <w:rPr>
          <w:rStyle w:val="FootnoteReference"/>
        </w:rPr>
        <w:footnoteRef/>
      </w:r>
      <w:r w:rsidRPr="00E06D4F">
        <w:t xml:space="preserve"> </w:t>
      </w:r>
      <w:hyperlink r:id="rId4" w:history="1">
        <w:r w:rsidRPr="00E06D4F">
          <w:rPr>
            <w:rStyle w:val="Hyperlink"/>
          </w:rPr>
          <w:t>CBD/COP/16/INF/19</w:t>
        </w:r>
      </w:hyperlink>
      <w:r w:rsidRPr="00E06D4F">
        <w:t>.</w:t>
      </w:r>
    </w:p>
  </w:footnote>
  <w:footnote w:id="12">
    <w:p w14:paraId="2C4DF374" w14:textId="5912283D" w:rsidR="00274FF3" w:rsidRPr="00E06D4F" w:rsidRDefault="00274FF3">
      <w:pPr>
        <w:pStyle w:val="FootnoteText"/>
      </w:pPr>
      <w:r w:rsidRPr="00E06D4F">
        <w:rPr>
          <w:rStyle w:val="FootnoteReference"/>
        </w:rPr>
        <w:footnoteRef/>
      </w:r>
      <w:r w:rsidRPr="00E06D4F">
        <w:t xml:space="preserve"> Nations Unies, </w:t>
      </w:r>
      <w:r w:rsidRPr="00E06D4F">
        <w:rPr>
          <w:i/>
          <w:iCs/>
        </w:rPr>
        <w:t>Recueil des Traités</w:t>
      </w:r>
      <w:r w:rsidRPr="00E06D4F">
        <w:t>, vol.</w:t>
      </w:r>
      <w:r w:rsidR="00C171BE" w:rsidRPr="00E06D4F">
        <w:t> </w:t>
      </w:r>
      <w:r w:rsidRPr="00E06D4F">
        <w:t>996, n</w:t>
      </w:r>
      <w:r w:rsidRPr="00E06D4F">
        <w:rPr>
          <w:vertAlign w:val="superscript"/>
        </w:rPr>
        <w:t>o</w:t>
      </w:r>
      <w:r w:rsidR="00C171BE" w:rsidRPr="00E06D4F">
        <w:t> </w:t>
      </w:r>
      <w:r w:rsidRPr="00E06D4F">
        <w:t>14583.</w:t>
      </w:r>
    </w:p>
  </w:footnote>
  <w:footnote w:id="13">
    <w:p w14:paraId="1F6D907E" w14:textId="2AB94DBC" w:rsidR="001A619B" w:rsidRPr="00E06D4F" w:rsidRDefault="001A619B" w:rsidP="001A619B">
      <w:pPr>
        <w:pStyle w:val="FootnoteText"/>
      </w:pPr>
      <w:r w:rsidRPr="00E06D4F">
        <w:rPr>
          <w:rStyle w:val="FootnoteReference"/>
        </w:rPr>
        <w:footnoteRef/>
      </w:r>
      <w:r w:rsidRPr="00E06D4F">
        <w:t xml:space="preserve"> </w:t>
      </w:r>
      <w:r w:rsidR="003813E8" w:rsidRPr="00E06D4F">
        <w:t>La</w:t>
      </w:r>
      <w:r w:rsidRPr="00E06D4F">
        <w:t xml:space="preserve"> </w:t>
      </w:r>
      <w:r w:rsidR="003813E8" w:rsidRPr="00E06D4F">
        <w:t>disposition</w:t>
      </w:r>
      <w:r w:rsidRPr="00E06D4F">
        <w:t xml:space="preserve"> </w:t>
      </w:r>
      <w:r w:rsidR="000B7419" w:rsidRPr="00E06D4F">
        <w:t>visée</w:t>
      </w:r>
      <w:r w:rsidR="003813E8" w:rsidRPr="00E06D4F">
        <w:t xml:space="preserve"> au paragraphe </w:t>
      </w:r>
      <w:r w:rsidRPr="00E06D4F">
        <w:t xml:space="preserve">12 </w:t>
      </w:r>
      <w:r w:rsidR="003813E8" w:rsidRPr="00E06D4F">
        <w:t xml:space="preserve">fait référence aux travaux menés par le Programme des Nations Unies pour l’environnement en réponse </w:t>
      </w:r>
      <w:r w:rsidR="000B7419" w:rsidRPr="00E06D4F">
        <w:t>à la demande formulée au paragraphe </w:t>
      </w:r>
      <w:r w:rsidRPr="00E06D4F">
        <w:t xml:space="preserve">4 </w:t>
      </w:r>
      <w:r w:rsidR="000B7419" w:rsidRPr="00E06D4F">
        <w:t>de la résolution 6/8 de l’Assemblée des Nations Unies pour l’environnement</w:t>
      </w:r>
      <w:r w:rsidRPr="00E06D4F">
        <w:t>.</w:t>
      </w:r>
    </w:p>
  </w:footnote>
  <w:footnote w:id="14">
    <w:p w14:paraId="59F1374D" w14:textId="3B22ABEA" w:rsidR="00B009C9" w:rsidRPr="00E06D4F" w:rsidRDefault="00B009C9" w:rsidP="00B009C9">
      <w:pPr>
        <w:pStyle w:val="FootnoteText"/>
      </w:pPr>
      <w:r w:rsidRPr="00E06D4F">
        <w:rPr>
          <w:rStyle w:val="FootnoteReference"/>
        </w:rPr>
        <w:footnoteRef/>
      </w:r>
      <w:r w:rsidRPr="00E06D4F">
        <w:t xml:space="preserve"> </w:t>
      </w:r>
      <w:hyperlink r:id="rId5" w:history="1">
        <w:r w:rsidRPr="004824F1">
          <w:rPr>
            <w:rStyle w:val="Hyperlink"/>
          </w:rPr>
          <w:t>CBD/SBI/4/INF/15</w:t>
        </w:r>
      </w:hyperlink>
      <w:r w:rsidRPr="00E06D4F">
        <w:t>.</w:t>
      </w:r>
    </w:p>
  </w:footnote>
  <w:footnote w:id="15">
    <w:p w14:paraId="2CDC513C" w14:textId="77777777" w:rsidR="00714B50" w:rsidRPr="00E06D4F" w:rsidRDefault="00714B50" w:rsidP="00714B50">
      <w:pPr>
        <w:pStyle w:val="FootnoteText"/>
        <w:rPr>
          <w:szCs w:val="18"/>
        </w:rPr>
      </w:pPr>
      <w:r w:rsidRPr="00E06D4F">
        <w:rPr>
          <w:rStyle w:val="FootnoteReference"/>
          <w:szCs w:val="18"/>
        </w:rPr>
        <w:footnoteRef/>
      </w:r>
      <w:r w:rsidRPr="00E06D4F">
        <w:t xml:space="preserve"> Y compris la Convention de Bâle sur le contrôle des mouvements transfrontières de déchets dangereux et de leur élimination, la Convention de Rotterdam sur la procédure de consentement préalable en connaissance de cause applicable à certains produits chimiques et pesticides dangereux qui font l’objet d’un commerce international, la Convention de Stockholm sur les polluants organiques persistants et la Convention de Minamata sur le mercure.</w:t>
      </w:r>
    </w:p>
  </w:footnote>
  <w:footnote w:id="16">
    <w:p w14:paraId="59F7E7DB" w14:textId="15B54335" w:rsidR="002760B0" w:rsidRPr="00E06D4F" w:rsidRDefault="002760B0" w:rsidP="00F611F1">
      <w:pPr>
        <w:pStyle w:val="FootnoteText"/>
      </w:pPr>
      <w:r w:rsidRPr="00E06D4F">
        <w:rPr>
          <w:rStyle w:val="FootnoteReference"/>
        </w:rPr>
        <w:footnoteRef/>
      </w:r>
      <w:r w:rsidRPr="00E06D4F">
        <w:t xml:space="preserve"> Annexe à la décision</w:t>
      </w:r>
      <w:r w:rsidR="00C171BE" w:rsidRPr="00E06D4F">
        <w:t> </w:t>
      </w:r>
      <w:hyperlink r:id="rId6" w:history="1">
        <w:r w:rsidRPr="00E06D4F">
          <w:rPr>
            <w:rStyle w:val="Hyperlink"/>
          </w:rPr>
          <w:t>IV/5</w:t>
        </w:r>
      </w:hyperlink>
      <w:r w:rsidRPr="00E06D4F">
        <w:t xml:space="preserve"> et annexe I à la décision</w:t>
      </w:r>
      <w:r w:rsidR="00C171BE" w:rsidRPr="00E06D4F">
        <w:t> </w:t>
      </w:r>
      <w:hyperlink r:id="rId7" w:history="1">
        <w:r w:rsidRPr="00E06D4F">
          <w:rPr>
            <w:rStyle w:val="Hyperlink"/>
          </w:rPr>
          <w:t>VII/5</w:t>
        </w:r>
      </w:hyperlink>
      <w:r w:rsidRPr="00E06D4F">
        <w:t>.</w:t>
      </w:r>
    </w:p>
  </w:footnote>
  <w:footnote w:id="17">
    <w:p w14:paraId="0E6C8BE0" w14:textId="5BA99389" w:rsidR="002F31F3" w:rsidRPr="00E06D4F" w:rsidRDefault="002F31F3" w:rsidP="002F31F3">
      <w:pPr>
        <w:pStyle w:val="FootnoteText"/>
      </w:pPr>
      <w:r w:rsidRPr="00E06D4F">
        <w:rPr>
          <w:rStyle w:val="FootnoteReference"/>
        </w:rPr>
        <w:footnoteRef/>
      </w:r>
      <w:r w:rsidRPr="00E06D4F">
        <w:t xml:space="preserve"> Décision</w:t>
      </w:r>
      <w:r w:rsidR="00C171BE" w:rsidRPr="00E06D4F">
        <w:t> </w:t>
      </w:r>
      <w:hyperlink r:id="rId8" w:history="1">
        <w:r w:rsidRPr="00E06D4F">
          <w:rPr>
            <w:rStyle w:val="Hyperlink"/>
          </w:rPr>
          <w:t>VIII/23</w:t>
        </w:r>
      </w:hyperlink>
      <w:r w:rsidRPr="00E06D4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EAA04" w14:textId="5F290032" w:rsidR="00387BD8" w:rsidRPr="00E06D4F" w:rsidRDefault="0008479F" w:rsidP="00B57449">
    <w:pPr>
      <w:pStyle w:val="CBDHeader"/>
      <w:rPr>
        <w:lang w:val="fr-FR"/>
      </w:rPr>
    </w:pPr>
    <w:r w:rsidRPr="00B57449">
      <w:rPr>
        <w:lang w:val="en-GB"/>
      </w:rPr>
      <w:t>CBD</w:t>
    </w:r>
    <w:r w:rsidRPr="009F5ADD">
      <w:rPr>
        <w:lang w:val="en-GB"/>
      </w:rPr>
      <w:t>/COP/</w:t>
    </w:r>
    <w:r>
      <w:rPr>
        <w:lang w:val="en-GB"/>
      </w:rPr>
      <w:t>DEC/</w:t>
    </w:r>
    <w:r w:rsidRPr="009F5ADD">
      <w:rPr>
        <w:lang w:val="en-GB"/>
      </w:rPr>
      <w:t>16/</w:t>
    </w:r>
    <w:r>
      <w:rPr>
        <w:lang w:val="en-GB"/>
      </w:rPr>
      <w:t>35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79347" w14:textId="59802C10" w:rsidR="00387BD8" w:rsidRPr="00E06D4F" w:rsidRDefault="0008479F" w:rsidP="00B57449">
    <w:pPr>
      <w:pStyle w:val="CBDHeader"/>
      <w:jc w:val="right"/>
      <w:rPr>
        <w:lang w:val="fr-FR"/>
      </w:rPr>
    </w:pPr>
    <w:r w:rsidRPr="00B57449">
      <w:rPr>
        <w:lang w:val="en-GB"/>
      </w:rPr>
      <w:t>CBD</w:t>
    </w:r>
    <w:r w:rsidRPr="009F5ADD">
      <w:rPr>
        <w:lang w:val="en-GB"/>
      </w:rPr>
      <w:t>/COP/</w:t>
    </w:r>
    <w:r>
      <w:rPr>
        <w:lang w:val="en-GB"/>
      </w:rPr>
      <w:t>DEC/</w:t>
    </w:r>
    <w:r w:rsidRPr="009F5ADD">
      <w:rPr>
        <w:lang w:val="en-GB"/>
      </w:rPr>
      <w:t>16/</w:t>
    </w:r>
    <w:r>
      <w:rPr>
        <w:lang w:val="en-GB"/>
      </w:rPr>
      <w:t>35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3"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467961CE"/>
    <w:multiLevelType w:val="hybridMultilevel"/>
    <w:tmpl w:val="231C3BB0"/>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6"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7" w15:restartNumberingAfterBreak="0">
    <w:nsid w:val="599F7710"/>
    <w:multiLevelType w:val="hybridMultilevel"/>
    <w:tmpl w:val="3604AC28"/>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5D943BEE"/>
    <w:multiLevelType w:val="multilevel"/>
    <w:tmpl w:val="7B2A96FA"/>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9"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10"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1"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2" w15:restartNumberingAfterBreak="0">
    <w:nsid w:val="68B70991"/>
    <w:multiLevelType w:val="hybridMultilevel"/>
    <w:tmpl w:val="900A58B2"/>
    <w:lvl w:ilvl="0" w:tplc="1EF4DB82">
      <w:start w:val="1"/>
      <w:numFmt w:val="decimal"/>
      <w:pStyle w:val="Para1"/>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3"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FF7321D"/>
    <w:multiLevelType w:val="multilevel"/>
    <w:tmpl w:val="2AEE3F60"/>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5"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6" w15:restartNumberingAfterBreak="0">
    <w:nsid w:val="7BFF494A"/>
    <w:multiLevelType w:val="hybridMultilevel"/>
    <w:tmpl w:val="B8C27F8A"/>
    <w:lvl w:ilvl="0" w:tplc="48DEED9E">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17742008">
    <w:abstractNumId w:val="4"/>
  </w:num>
  <w:num w:numId="2" w16cid:durableId="1464425450">
    <w:abstractNumId w:val="12"/>
  </w:num>
  <w:num w:numId="3" w16cid:durableId="901989410">
    <w:abstractNumId w:val="15"/>
  </w:num>
  <w:num w:numId="4" w16cid:durableId="254362720">
    <w:abstractNumId w:val="0"/>
  </w:num>
  <w:num w:numId="5" w16cid:durableId="1058016783">
    <w:abstractNumId w:val="1"/>
  </w:num>
  <w:num w:numId="6" w16cid:durableId="2088530576">
    <w:abstractNumId w:val="1"/>
  </w:num>
  <w:num w:numId="7" w16cid:durableId="2109421404">
    <w:abstractNumId w:val="3"/>
  </w:num>
  <w:num w:numId="8" w16cid:durableId="1579057133">
    <w:abstractNumId w:val="7"/>
  </w:num>
  <w:num w:numId="9" w16cid:durableId="592473758">
    <w:abstractNumId w:val="11"/>
  </w:num>
  <w:num w:numId="10" w16cid:durableId="1593390396">
    <w:abstractNumId w:val="10"/>
  </w:num>
  <w:num w:numId="11" w16cid:durableId="1888377172">
    <w:abstractNumId w:val="6"/>
  </w:num>
  <w:num w:numId="12" w16cid:durableId="446197945">
    <w:abstractNumId w:val="2"/>
  </w:num>
  <w:num w:numId="13" w16cid:durableId="579947391">
    <w:abstractNumId w:val="2"/>
    <w:lvlOverride w:ilvl="0">
      <w:startOverride w:val="1"/>
    </w:lvlOverride>
  </w:num>
  <w:num w:numId="14" w16cid:durableId="1994095784">
    <w:abstractNumId w:val="9"/>
  </w:num>
  <w:num w:numId="15" w16cid:durableId="879630982">
    <w:abstractNumId w:val="9"/>
    <w:lvlOverride w:ilvl="0">
      <w:startOverride w:val="1"/>
    </w:lvlOverride>
  </w:num>
  <w:num w:numId="16" w16cid:durableId="1184829901">
    <w:abstractNumId w:val="12"/>
    <w:lvlOverride w:ilvl="0">
      <w:startOverride w:val="1"/>
    </w:lvlOverride>
  </w:num>
  <w:num w:numId="17" w16cid:durableId="1234199423">
    <w:abstractNumId w:val="9"/>
    <w:lvlOverride w:ilvl="0">
      <w:startOverride w:val="1"/>
    </w:lvlOverride>
  </w:num>
  <w:num w:numId="18" w16cid:durableId="1510949497">
    <w:abstractNumId w:val="16"/>
  </w:num>
  <w:num w:numId="19" w16cid:durableId="1708752580">
    <w:abstractNumId w:val="12"/>
    <w:lvlOverride w:ilvl="0">
      <w:startOverride w:val="1"/>
    </w:lvlOverride>
  </w:num>
  <w:num w:numId="20" w16cid:durableId="1136803298">
    <w:abstractNumId w:val="12"/>
    <w:lvlOverride w:ilvl="0">
      <w:startOverride w:val="1"/>
    </w:lvlOverride>
  </w:num>
  <w:num w:numId="21" w16cid:durableId="1765608187">
    <w:abstractNumId w:val="8"/>
  </w:num>
  <w:num w:numId="22" w16cid:durableId="1383022006">
    <w:abstractNumId w:val="5"/>
  </w:num>
  <w:num w:numId="23" w16cid:durableId="796726513">
    <w:abstractNumId w:val="13"/>
  </w:num>
  <w:num w:numId="24" w16cid:durableId="216402311">
    <w:abstractNumId w:val="13"/>
  </w:num>
  <w:num w:numId="25" w16cid:durableId="313535707">
    <w:abstractNumId w:val="13"/>
  </w:num>
  <w:num w:numId="26" w16cid:durableId="1044989020">
    <w:abstractNumId w:val="13"/>
  </w:num>
  <w:num w:numId="27" w16cid:durableId="241837775">
    <w:abstractNumId w:val="13"/>
  </w:num>
  <w:num w:numId="28" w16cid:durableId="149949017">
    <w:abstractNumId w:val="13"/>
  </w:num>
  <w:num w:numId="29" w16cid:durableId="1430664766">
    <w:abstractNumId w:val="14"/>
  </w:num>
  <w:num w:numId="30" w16cid:durableId="2055735698">
    <w:abstractNumId w:val="14"/>
  </w:num>
  <w:num w:numId="31" w16cid:durableId="896672607">
    <w:abstractNumId w:val="14"/>
  </w:num>
  <w:num w:numId="32" w16cid:durableId="466123707">
    <w:abstractNumId w:val="14"/>
  </w:num>
  <w:num w:numId="33" w16cid:durableId="1000503353">
    <w:abstractNumId w:val="5"/>
  </w:num>
  <w:num w:numId="34" w16cid:durableId="269361421">
    <w:abstractNumId w:val="5"/>
  </w:num>
  <w:num w:numId="35" w16cid:durableId="2097088829">
    <w:abstractNumId w:val="5"/>
  </w:num>
  <w:num w:numId="36" w16cid:durableId="2125539509">
    <w:abstractNumId w:val="5"/>
  </w:num>
  <w:num w:numId="37" w16cid:durableId="1974556318">
    <w:abstractNumId w:val="5"/>
  </w:num>
  <w:num w:numId="38" w16cid:durableId="1189292450">
    <w:abstractNumId w:val="5"/>
  </w:num>
  <w:num w:numId="39" w16cid:durableId="332149408">
    <w:abstractNumId w:val="5"/>
  </w:num>
  <w:num w:numId="40" w16cid:durableId="20690619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29"/>
    <w:rsid w:val="00001F4D"/>
    <w:rsid w:val="0000400C"/>
    <w:rsid w:val="00007795"/>
    <w:rsid w:val="00012207"/>
    <w:rsid w:val="00012210"/>
    <w:rsid w:val="00012B30"/>
    <w:rsid w:val="00013144"/>
    <w:rsid w:val="000141AB"/>
    <w:rsid w:val="00015751"/>
    <w:rsid w:val="00022665"/>
    <w:rsid w:val="00023B82"/>
    <w:rsid w:val="00024FCC"/>
    <w:rsid w:val="00026883"/>
    <w:rsid w:val="00031B4A"/>
    <w:rsid w:val="00037EFA"/>
    <w:rsid w:val="00040585"/>
    <w:rsid w:val="00040598"/>
    <w:rsid w:val="00040D0B"/>
    <w:rsid w:val="00041075"/>
    <w:rsid w:val="000426AD"/>
    <w:rsid w:val="000439F1"/>
    <w:rsid w:val="00043F8B"/>
    <w:rsid w:val="0004674F"/>
    <w:rsid w:val="000651A1"/>
    <w:rsid w:val="00066B22"/>
    <w:rsid w:val="0006764E"/>
    <w:rsid w:val="000705B6"/>
    <w:rsid w:val="0007404E"/>
    <w:rsid w:val="00082A8E"/>
    <w:rsid w:val="00083A87"/>
    <w:rsid w:val="00084612"/>
    <w:rsid w:val="0008479F"/>
    <w:rsid w:val="000847F3"/>
    <w:rsid w:val="00085F5F"/>
    <w:rsid w:val="00086AEA"/>
    <w:rsid w:val="00091182"/>
    <w:rsid w:val="00091221"/>
    <w:rsid w:val="00091D10"/>
    <w:rsid w:val="000932DB"/>
    <w:rsid w:val="0009495F"/>
    <w:rsid w:val="000A159F"/>
    <w:rsid w:val="000A15F8"/>
    <w:rsid w:val="000A3241"/>
    <w:rsid w:val="000B1E29"/>
    <w:rsid w:val="000B2D31"/>
    <w:rsid w:val="000B65E0"/>
    <w:rsid w:val="000B7419"/>
    <w:rsid w:val="000B7680"/>
    <w:rsid w:val="000C17E1"/>
    <w:rsid w:val="000C396F"/>
    <w:rsid w:val="000C46B2"/>
    <w:rsid w:val="000D2362"/>
    <w:rsid w:val="000D25A6"/>
    <w:rsid w:val="000D7F4D"/>
    <w:rsid w:val="000E1E22"/>
    <w:rsid w:val="000E2859"/>
    <w:rsid w:val="000E5FE9"/>
    <w:rsid w:val="000E6B99"/>
    <w:rsid w:val="000E71CC"/>
    <w:rsid w:val="000E7BAA"/>
    <w:rsid w:val="000F1FB5"/>
    <w:rsid w:val="000F2234"/>
    <w:rsid w:val="000F26D3"/>
    <w:rsid w:val="000F31DA"/>
    <w:rsid w:val="000F66FD"/>
    <w:rsid w:val="000F72E2"/>
    <w:rsid w:val="000F75A1"/>
    <w:rsid w:val="00101294"/>
    <w:rsid w:val="00102CBE"/>
    <w:rsid w:val="00105112"/>
    <w:rsid w:val="00107FE8"/>
    <w:rsid w:val="001131CD"/>
    <w:rsid w:val="00131C7B"/>
    <w:rsid w:val="0013236B"/>
    <w:rsid w:val="00132581"/>
    <w:rsid w:val="00135BC7"/>
    <w:rsid w:val="00136841"/>
    <w:rsid w:val="001403E3"/>
    <w:rsid w:val="00140939"/>
    <w:rsid w:val="001454DA"/>
    <w:rsid w:val="0014630F"/>
    <w:rsid w:val="001513CC"/>
    <w:rsid w:val="001540E2"/>
    <w:rsid w:val="001559C8"/>
    <w:rsid w:val="00155BA4"/>
    <w:rsid w:val="001561BF"/>
    <w:rsid w:val="00157A6D"/>
    <w:rsid w:val="00160EF6"/>
    <w:rsid w:val="001623AD"/>
    <w:rsid w:val="00165C8D"/>
    <w:rsid w:val="001661DF"/>
    <w:rsid w:val="001662BF"/>
    <w:rsid w:val="0017108D"/>
    <w:rsid w:val="0017573C"/>
    <w:rsid w:val="00175CFD"/>
    <w:rsid w:val="001779C3"/>
    <w:rsid w:val="00184909"/>
    <w:rsid w:val="00184C79"/>
    <w:rsid w:val="0018592E"/>
    <w:rsid w:val="00190E47"/>
    <w:rsid w:val="00192581"/>
    <w:rsid w:val="00192919"/>
    <w:rsid w:val="0019463B"/>
    <w:rsid w:val="00197462"/>
    <w:rsid w:val="0019795B"/>
    <w:rsid w:val="001A014C"/>
    <w:rsid w:val="001A2527"/>
    <w:rsid w:val="001A2699"/>
    <w:rsid w:val="001A504A"/>
    <w:rsid w:val="001A619B"/>
    <w:rsid w:val="001A6D7B"/>
    <w:rsid w:val="001B26AF"/>
    <w:rsid w:val="001B5F1C"/>
    <w:rsid w:val="001B7F42"/>
    <w:rsid w:val="001C08D0"/>
    <w:rsid w:val="001C2DEB"/>
    <w:rsid w:val="001C42B0"/>
    <w:rsid w:val="001D5D15"/>
    <w:rsid w:val="001D7501"/>
    <w:rsid w:val="001E0982"/>
    <w:rsid w:val="001E4E16"/>
    <w:rsid w:val="001E518E"/>
    <w:rsid w:val="001F13D4"/>
    <w:rsid w:val="00204DF9"/>
    <w:rsid w:val="00205E46"/>
    <w:rsid w:val="00206E79"/>
    <w:rsid w:val="0021721B"/>
    <w:rsid w:val="0024503B"/>
    <w:rsid w:val="0025055C"/>
    <w:rsid w:val="00250DE9"/>
    <w:rsid w:val="002515D1"/>
    <w:rsid w:val="002515D2"/>
    <w:rsid w:val="0025591B"/>
    <w:rsid w:val="00262CA1"/>
    <w:rsid w:val="00271CD9"/>
    <w:rsid w:val="00272A98"/>
    <w:rsid w:val="00274FF3"/>
    <w:rsid w:val="00275ED0"/>
    <w:rsid w:val="002760B0"/>
    <w:rsid w:val="0029012C"/>
    <w:rsid w:val="00296AC8"/>
    <w:rsid w:val="00297025"/>
    <w:rsid w:val="002B00CA"/>
    <w:rsid w:val="002B4903"/>
    <w:rsid w:val="002B559C"/>
    <w:rsid w:val="002C2479"/>
    <w:rsid w:val="002C7190"/>
    <w:rsid w:val="002D1D6F"/>
    <w:rsid w:val="002D452F"/>
    <w:rsid w:val="002D4A97"/>
    <w:rsid w:val="002D5902"/>
    <w:rsid w:val="002E4D93"/>
    <w:rsid w:val="002E68B4"/>
    <w:rsid w:val="002E6FE3"/>
    <w:rsid w:val="002F0DD7"/>
    <w:rsid w:val="002F20CC"/>
    <w:rsid w:val="002F31F3"/>
    <w:rsid w:val="002F475B"/>
    <w:rsid w:val="002F5294"/>
    <w:rsid w:val="0030041C"/>
    <w:rsid w:val="003012D5"/>
    <w:rsid w:val="00303F0B"/>
    <w:rsid w:val="00310608"/>
    <w:rsid w:val="00310C12"/>
    <w:rsid w:val="00311A04"/>
    <w:rsid w:val="0031323C"/>
    <w:rsid w:val="00314608"/>
    <w:rsid w:val="00314A4C"/>
    <w:rsid w:val="00315964"/>
    <w:rsid w:val="00316399"/>
    <w:rsid w:val="00322F00"/>
    <w:rsid w:val="00323636"/>
    <w:rsid w:val="00323F22"/>
    <w:rsid w:val="00325304"/>
    <w:rsid w:val="00331339"/>
    <w:rsid w:val="00333E1D"/>
    <w:rsid w:val="00341275"/>
    <w:rsid w:val="003421F1"/>
    <w:rsid w:val="003476A9"/>
    <w:rsid w:val="00352272"/>
    <w:rsid w:val="00354CAB"/>
    <w:rsid w:val="003640E5"/>
    <w:rsid w:val="00372B70"/>
    <w:rsid w:val="00376A44"/>
    <w:rsid w:val="003813E8"/>
    <w:rsid w:val="0038160C"/>
    <w:rsid w:val="00382DB0"/>
    <w:rsid w:val="00383935"/>
    <w:rsid w:val="003843F5"/>
    <w:rsid w:val="00386EA8"/>
    <w:rsid w:val="00387BD8"/>
    <w:rsid w:val="00387F44"/>
    <w:rsid w:val="00390ADF"/>
    <w:rsid w:val="003926FD"/>
    <w:rsid w:val="00392DA8"/>
    <w:rsid w:val="003A3134"/>
    <w:rsid w:val="003A3F71"/>
    <w:rsid w:val="003B4D20"/>
    <w:rsid w:val="003C081F"/>
    <w:rsid w:val="003C3310"/>
    <w:rsid w:val="003C3D80"/>
    <w:rsid w:val="003C5271"/>
    <w:rsid w:val="003C5E4C"/>
    <w:rsid w:val="003C6F10"/>
    <w:rsid w:val="003D09C5"/>
    <w:rsid w:val="003D0CA2"/>
    <w:rsid w:val="003D0DB8"/>
    <w:rsid w:val="003D1B7B"/>
    <w:rsid w:val="003D5C3F"/>
    <w:rsid w:val="003E0F1C"/>
    <w:rsid w:val="003E3B4C"/>
    <w:rsid w:val="003E6165"/>
    <w:rsid w:val="003F274C"/>
    <w:rsid w:val="003F2899"/>
    <w:rsid w:val="003F2D46"/>
    <w:rsid w:val="003F461A"/>
    <w:rsid w:val="003F4666"/>
    <w:rsid w:val="0040038E"/>
    <w:rsid w:val="00403610"/>
    <w:rsid w:val="00404268"/>
    <w:rsid w:val="004060E9"/>
    <w:rsid w:val="0041070A"/>
    <w:rsid w:val="00414030"/>
    <w:rsid w:val="004230D3"/>
    <w:rsid w:val="00426FDB"/>
    <w:rsid w:val="00427E29"/>
    <w:rsid w:val="00432F6F"/>
    <w:rsid w:val="00435976"/>
    <w:rsid w:val="004402E3"/>
    <w:rsid w:val="00441498"/>
    <w:rsid w:val="00444DC4"/>
    <w:rsid w:val="00445AE3"/>
    <w:rsid w:val="004540AA"/>
    <w:rsid w:val="004701EE"/>
    <w:rsid w:val="004736EC"/>
    <w:rsid w:val="00475B3A"/>
    <w:rsid w:val="0047614B"/>
    <w:rsid w:val="00480A8D"/>
    <w:rsid w:val="004816D7"/>
    <w:rsid w:val="00481E2A"/>
    <w:rsid w:val="004824F1"/>
    <w:rsid w:val="0048370D"/>
    <w:rsid w:val="0048785C"/>
    <w:rsid w:val="004A1A9C"/>
    <w:rsid w:val="004A20C8"/>
    <w:rsid w:val="004A2551"/>
    <w:rsid w:val="004A2A2D"/>
    <w:rsid w:val="004A5739"/>
    <w:rsid w:val="004B0E5D"/>
    <w:rsid w:val="004B3F3C"/>
    <w:rsid w:val="004C0242"/>
    <w:rsid w:val="004C181D"/>
    <w:rsid w:val="004C2496"/>
    <w:rsid w:val="004C5EB1"/>
    <w:rsid w:val="004C6544"/>
    <w:rsid w:val="004C7DDA"/>
    <w:rsid w:val="004E41A1"/>
    <w:rsid w:val="004E4C9A"/>
    <w:rsid w:val="004E62B3"/>
    <w:rsid w:val="004E68B6"/>
    <w:rsid w:val="004E7BA2"/>
    <w:rsid w:val="004F07F8"/>
    <w:rsid w:val="004F161A"/>
    <w:rsid w:val="004F4099"/>
    <w:rsid w:val="00501C8F"/>
    <w:rsid w:val="005056E7"/>
    <w:rsid w:val="005077FD"/>
    <w:rsid w:val="00517904"/>
    <w:rsid w:val="005228B8"/>
    <w:rsid w:val="0052562B"/>
    <w:rsid w:val="00531372"/>
    <w:rsid w:val="00532459"/>
    <w:rsid w:val="00532CD2"/>
    <w:rsid w:val="00533ED4"/>
    <w:rsid w:val="00534CCF"/>
    <w:rsid w:val="00537248"/>
    <w:rsid w:val="00543170"/>
    <w:rsid w:val="00547E12"/>
    <w:rsid w:val="005505D9"/>
    <w:rsid w:val="00552F61"/>
    <w:rsid w:val="00554F37"/>
    <w:rsid w:val="005557DA"/>
    <w:rsid w:val="0056111F"/>
    <w:rsid w:val="00561F01"/>
    <w:rsid w:val="00565DE3"/>
    <w:rsid w:val="005660DB"/>
    <w:rsid w:val="00572CC9"/>
    <w:rsid w:val="00572F64"/>
    <w:rsid w:val="00575FDC"/>
    <w:rsid w:val="0058099E"/>
    <w:rsid w:val="00587C98"/>
    <w:rsid w:val="005882FD"/>
    <w:rsid w:val="00590CFE"/>
    <w:rsid w:val="00595A79"/>
    <w:rsid w:val="00596108"/>
    <w:rsid w:val="005A12D2"/>
    <w:rsid w:val="005A206E"/>
    <w:rsid w:val="005A2551"/>
    <w:rsid w:val="005A3CE1"/>
    <w:rsid w:val="005A5134"/>
    <w:rsid w:val="005A73E5"/>
    <w:rsid w:val="005A74A3"/>
    <w:rsid w:val="005A7C57"/>
    <w:rsid w:val="005C0058"/>
    <w:rsid w:val="005C33D1"/>
    <w:rsid w:val="005C6F48"/>
    <w:rsid w:val="005D343A"/>
    <w:rsid w:val="005D775D"/>
    <w:rsid w:val="005E2605"/>
    <w:rsid w:val="005E3031"/>
    <w:rsid w:val="005F568D"/>
    <w:rsid w:val="005F5F33"/>
    <w:rsid w:val="005F6E43"/>
    <w:rsid w:val="00600388"/>
    <w:rsid w:val="0060424E"/>
    <w:rsid w:val="00606367"/>
    <w:rsid w:val="00611DB2"/>
    <w:rsid w:val="00614FB3"/>
    <w:rsid w:val="00616A11"/>
    <w:rsid w:val="0061736C"/>
    <w:rsid w:val="00635ABF"/>
    <w:rsid w:val="00635BC6"/>
    <w:rsid w:val="00635E4B"/>
    <w:rsid w:val="0063666C"/>
    <w:rsid w:val="00643CA7"/>
    <w:rsid w:val="00643F87"/>
    <w:rsid w:val="00655D89"/>
    <w:rsid w:val="0065668F"/>
    <w:rsid w:val="00656D4A"/>
    <w:rsid w:val="00657ED6"/>
    <w:rsid w:val="00660A6C"/>
    <w:rsid w:val="00661920"/>
    <w:rsid w:val="00664978"/>
    <w:rsid w:val="00666D3B"/>
    <w:rsid w:val="006756F2"/>
    <w:rsid w:val="00677552"/>
    <w:rsid w:val="006775CC"/>
    <w:rsid w:val="00681A45"/>
    <w:rsid w:val="00685126"/>
    <w:rsid w:val="00685AEB"/>
    <w:rsid w:val="0068791D"/>
    <w:rsid w:val="006948D7"/>
    <w:rsid w:val="006A0581"/>
    <w:rsid w:val="006A3AA2"/>
    <w:rsid w:val="006A4ACC"/>
    <w:rsid w:val="006A6B3B"/>
    <w:rsid w:val="006B293D"/>
    <w:rsid w:val="006B6153"/>
    <w:rsid w:val="006C19B5"/>
    <w:rsid w:val="006C1A51"/>
    <w:rsid w:val="006C1D1D"/>
    <w:rsid w:val="006C27B0"/>
    <w:rsid w:val="006C483B"/>
    <w:rsid w:val="006C4C8F"/>
    <w:rsid w:val="006C6370"/>
    <w:rsid w:val="006C6A26"/>
    <w:rsid w:val="006C71B9"/>
    <w:rsid w:val="006D0923"/>
    <w:rsid w:val="006D40C7"/>
    <w:rsid w:val="006E2D09"/>
    <w:rsid w:val="006E5B6F"/>
    <w:rsid w:val="006E5F8B"/>
    <w:rsid w:val="006E76AA"/>
    <w:rsid w:val="006F0F6E"/>
    <w:rsid w:val="006F1E81"/>
    <w:rsid w:val="006F3F48"/>
    <w:rsid w:val="006F705A"/>
    <w:rsid w:val="00701003"/>
    <w:rsid w:val="0070698C"/>
    <w:rsid w:val="00711A0C"/>
    <w:rsid w:val="00713AEF"/>
    <w:rsid w:val="00714B50"/>
    <w:rsid w:val="00716BD1"/>
    <w:rsid w:val="007209A6"/>
    <w:rsid w:val="00722EAF"/>
    <w:rsid w:val="00724CEA"/>
    <w:rsid w:val="00726DB2"/>
    <w:rsid w:val="007320FF"/>
    <w:rsid w:val="00734C08"/>
    <w:rsid w:val="00734F31"/>
    <w:rsid w:val="00736130"/>
    <w:rsid w:val="00737A0C"/>
    <w:rsid w:val="007403D5"/>
    <w:rsid w:val="0074252B"/>
    <w:rsid w:val="007435C0"/>
    <w:rsid w:val="00744CF8"/>
    <w:rsid w:val="0075018F"/>
    <w:rsid w:val="00750940"/>
    <w:rsid w:val="00751031"/>
    <w:rsid w:val="00756B61"/>
    <w:rsid w:val="00763287"/>
    <w:rsid w:val="00764DCB"/>
    <w:rsid w:val="007656CE"/>
    <w:rsid w:val="0076622F"/>
    <w:rsid w:val="0077066D"/>
    <w:rsid w:val="00771329"/>
    <w:rsid w:val="00771F29"/>
    <w:rsid w:val="00774C2B"/>
    <w:rsid w:val="00777C9A"/>
    <w:rsid w:val="00780D66"/>
    <w:rsid w:val="007817FD"/>
    <w:rsid w:val="00783CB8"/>
    <w:rsid w:val="00785FF6"/>
    <w:rsid w:val="00787C85"/>
    <w:rsid w:val="0079252C"/>
    <w:rsid w:val="007A0183"/>
    <w:rsid w:val="007A0B27"/>
    <w:rsid w:val="007A2668"/>
    <w:rsid w:val="007A32B0"/>
    <w:rsid w:val="007B2FCE"/>
    <w:rsid w:val="007B409A"/>
    <w:rsid w:val="007B5BD0"/>
    <w:rsid w:val="007B6496"/>
    <w:rsid w:val="007B7901"/>
    <w:rsid w:val="007C09F5"/>
    <w:rsid w:val="007C35CF"/>
    <w:rsid w:val="007C77BC"/>
    <w:rsid w:val="007D41F2"/>
    <w:rsid w:val="007D4562"/>
    <w:rsid w:val="007D4D97"/>
    <w:rsid w:val="007D7481"/>
    <w:rsid w:val="007E154C"/>
    <w:rsid w:val="00801524"/>
    <w:rsid w:val="00810EA9"/>
    <w:rsid w:val="00811922"/>
    <w:rsid w:val="00815860"/>
    <w:rsid w:val="00816D01"/>
    <w:rsid w:val="00820B74"/>
    <w:rsid w:val="008232A9"/>
    <w:rsid w:val="00826E81"/>
    <w:rsid w:val="00827ACA"/>
    <w:rsid w:val="00833AFA"/>
    <w:rsid w:val="00842B50"/>
    <w:rsid w:val="00847B98"/>
    <w:rsid w:val="00851C74"/>
    <w:rsid w:val="00852795"/>
    <w:rsid w:val="00855B60"/>
    <w:rsid w:val="00860755"/>
    <w:rsid w:val="00860BF7"/>
    <w:rsid w:val="008673DD"/>
    <w:rsid w:val="00874541"/>
    <w:rsid w:val="0087582D"/>
    <w:rsid w:val="008766C4"/>
    <w:rsid w:val="00876CDD"/>
    <w:rsid w:val="00880330"/>
    <w:rsid w:val="0088321E"/>
    <w:rsid w:val="008878F4"/>
    <w:rsid w:val="00891579"/>
    <w:rsid w:val="00894949"/>
    <w:rsid w:val="008A276A"/>
    <w:rsid w:val="008B679C"/>
    <w:rsid w:val="008B6DCC"/>
    <w:rsid w:val="008C0FF0"/>
    <w:rsid w:val="008C18FA"/>
    <w:rsid w:val="008C6DC8"/>
    <w:rsid w:val="008E0581"/>
    <w:rsid w:val="008E5890"/>
    <w:rsid w:val="008F0A05"/>
    <w:rsid w:val="008F1899"/>
    <w:rsid w:val="008F3861"/>
    <w:rsid w:val="0090017B"/>
    <w:rsid w:val="00900978"/>
    <w:rsid w:val="00900F52"/>
    <w:rsid w:val="00902FAF"/>
    <w:rsid w:val="00905044"/>
    <w:rsid w:val="00914057"/>
    <w:rsid w:val="00926488"/>
    <w:rsid w:val="00930D5F"/>
    <w:rsid w:val="00935461"/>
    <w:rsid w:val="009425E7"/>
    <w:rsid w:val="0094486C"/>
    <w:rsid w:val="009459E3"/>
    <w:rsid w:val="0094630A"/>
    <w:rsid w:val="00946640"/>
    <w:rsid w:val="009662A6"/>
    <w:rsid w:val="00974B8F"/>
    <w:rsid w:val="0097731C"/>
    <w:rsid w:val="00980CFD"/>
    <w:rsid w:val="00982511"/>
    <w:rsid w:val="009866F5"/>
    <w:rsid w:val="0099004A"/>
    <w:rsid w:val="00992F6C"/>
    <w:rsid w:val="00995446"/>
    <w:rsid w:val="00995DDC"/>
    <w:rsid w:val="009A46C1"/>
    <w:rsid w:val="009B03B0"/>
    <w:rsid w:val="009B137A"/>
    <w:rsid w:val="009B2A0F"/>
    <w:rsid w:val="009B2DBB"/>
    <w:rsid w:val="009B3511"/>
    <w:rsid w:val="009C1114"/>
    <w:rsid w:val="009C1ABA"/>
    <w:rsid w:val="009C2C27"/>
    <w:rsid w:val="009C7824"/>
    <w:rsid w:val="009D3F7B"/>
    <w:rsid w:val="009F084A"/>
    <w:rsid w:val="009F4E49"/>
    <w:rsid w:val="00A00234"/>
    <w:rsid w:val="00A01550"/>
    <w:rsid w:val="00A056B1"/>
    <w:rsid w:val="00A241A4"/>
    <w:rsid w:val="00A27465"/>
    <w:rsid w:val="00A275B0"/>
    <w:rsid w:val="00A277E2"/>
    <w:rsid w:val="00A3029F"/>
    <w:rsid w:val="00A31DC5"/>
    <w:rsid w:val="00A349E1"/>
    <w:rsid w:val="00A34FE3"/>
    <w:rsid w:val="00A36CBE"/>
    <w:rsid w:val="00A453FF"/>
    <w:rsid w:val="00A46882"/>
    <w:rsid w:val="00A54FA0"/>
    <w:rsid w:val="00A62694"/>
    <w:rsid w:val="00A62DA2"/>
    <w:rsid w:val="00A643AE"/>
    <w:rsid w:val="00A67EE6"/>
    <w:rsid w:val="00A73143"/>
    <w:rsid w:val="00A75093"/>
    <w:rsid w:val="00A7552D"/>
    <w:rsid w:val="00A802CB"/>
    <w:rsid w:val="00A82B6A"/>
    <w:rsid w:val="00A842BE"/>
    <w:rsid w:val="00A862A1"/>
    <w:rsid w:val="00A91E98"/>
    <w:rsid w:val="00A921E1"/>
    <w:rsid w:val="00A93D29"/>
    <w:rsid w:val="00A95DE9"/>
    <w:rsid w:val="00A9611D"/>
    <w:rsid w:val="00A9679A"/>
    <w:rsid w:val="00A967A6"/>
    <w:rsid w:val="00A96B21"/>
    <w:rsid w:val="00A971D2"/>
    <w:rsid w:val="00AA3D1B"/>
    <w:rsid w:val="00AA698F"/>
    <w:rsid w:val="00AA72BA"/>
    <w:rsid w:val="00AB2D80"/>
    <w:rsid w:val="00AB3DF2"/>
    <w:rsid w:val="00AB64FA"/>
    <w:rsid w:val="00AC1516"/>
    <w:rsid w:val="00AC1ADF"/>
    <w:rsid w:val="00AC443B"/>
    <w:rsid w:val="00AC51A7"/>
    <w:rsid w:val="00AD02F3"/>
    <w:rsid w:val="00AD08A7"/>
    <w:rsid w:val="00AD339A"/>
    <w:rsid w:val="00AD40C9"/>
    <w:rsid w:val="00AD4E27"/>
    <w:rsid w:val="00AD5115"/>
    <w:rsid w:val="00AD5A05"/>
    <w:rsid w:val="00AD64E7"/>
    <w:rsid w:val="00AE184D"/>
    <w:rsid w:val="00AE1A95"/>
    <w:rsid w:val="00AF24F1"/>
    <w:rsid w:val="00AF3139"/>
    <w:rsid w:val="00AF35A3"/>
    <w:rsid w:val="00AF5A4C"/>
    <w:rsid w:val="00AF6046"/>
    <w:rsid w:val="00AF6CCC"/>
    <w:rsid w:val="00B009C9"/>
    <w:rsid w:val="00B0786B"/>
    <w:rsid w:val="00B115B6"/>
    <w:rsid w:val="00B11B75"/>
    <w:rsid w:val="00B13469"/>
    <w:rsid w:val="00B14278"/>
    <w:rsid w:val="00B17A32"/>
    <w:rsid w:val="00B2028C"/>
    <w:rsid w:val="00B24B53"/>
    <w:rsid w:val="00B2596B"/>
    <w:rsid w:val="00B25ED6"/>
    <w:rsid w:val="00B3257F"/>
    <w:rsid w:val="00B35584"/>
    <w:rsid w:val="00B36EA9"/>
    <w:rsid w:val="00B378C7"/>
    <w:rsid w:val="00B40BE5"/>
    <w:rsid w:val="00B41BF6"/>
    <w:rsid w:val="00B46AB8"/>
    <w:rsid w:val="00B47BB1"/>
    <w:rsid w:val="00B50353"/>
    <w:rsid w:val="00B51B99"/>
    <w:rsid w:val="00B51D42"/>
    <w:rsid w:val="00B52CFC"/>
    <w:rsid w:val="00B563AF"/>
    <w:rsid w:val="00B57449"/>
    <w:rsid w:val="00B577CD"/>
    <w:rsid w:val="00B67094"/>
    <w:rsid w:val="00B67207"/>
    <w:rsid w:val="00B70A17"/>
    <w:rsid w:val="00B71B52"/>
    <w:rsid w:val="00B809C6"/>
    <w:rsid w:val="00B8133B"/>
    <w:rsid w:val="00B852C7"/>
    <w:rsid w:val="00B8645F"/>
    <w:rsid w:val="00B90119"/>
    <w:rsid w:val="00B93533"/>
    <w:rsid w:val="00B955BD"/>
    <w:rsid w:val="00BA2A21"/>
    <w:rsid w:val="00BA4136"/>
    <w:rsid w:val="00BA7655"/>
    <w:rsid w:val="00BB60F0"/>
    <w:rsid w:val="00BB6E9D"/>
    <w:rsid w:val="00BC221A"/>
    <w:rsid w:val="00BC2A1C"/>
    <w:rsid w:val="00BC34AC"/>
    <w:rsid w:val="00BC483F"/>
    <w:rsid w:val="00BD5257"/>
    <w:rsid w:val="00BD63FD"/>
    <w:rsid w:val="00BE0030"/>
    <w:rsid w:val="00BE091B"/>
    <w:rsid w:val="00BE4F69"/>
    <w:rsid w:val="00BE6C19"/>
    <w:rsid w:val="00BF0D04"/>
    <w:rsid w:val="00BF6A23"/>
    <w:rsid w:val="00C02A2A"/>
    <w:rsid w:val="00C04774"/>
    <w:rsid w:val="00C118D8"/>
    <w:rsid w:val="00C12F37"/>
    <w:rsid w:val="00C168F7"/>
    <w:rsid w:val="00C171BE"/>
    <w:rsid w:val="00C2354A"/>
    <w:rsid w:val="00C31E57"/>
    <w:rsid w:val="00C33A04"/>
    <w:rsid w:val="00C346AE"/>
    <w:rsid w:val="00C350EB"/>
    <w:rsid w:val="00C35D54"/>
    <w:rsid w:val="00C52DFA"/>
    <w:rsid w:val="00C54E98"/>
    <w:rsid w:val="00C55EC6"/>
    <w:rsid w:val="00C57074"/>
    <w:rsid w:val="00C67117"/>
    <w:rsid w:val="00C757DA"/>
    <w:rsid w:val="00C81821"/>
    <w:rsid w:val="00C96E05"/>
    <w:rsid w:val="00CA674C"/>
    <w:rsid w:val="00CA6C28"/>
    <w:rsid w:val="00CA7757"/>
    <w:rsid w:val="00CB0D9D"/>
    <w:rsid w:val="00CB1976"/>
    <w:rsid w:val="00CB54C4"/>
    <w:rsid w:val="00CB7540"/>
    <w:rsid w:val="00CC55BC"/>
    <w:rsid w:val="00CC683E"/>
    <w:rsid w:val="00CD0C62"/>
    <w:rsid w:val="00CD3463"/>
    <w:rsid w:val="00CD533D"/>
    <w:rsid w:val="00CE017F"/>
    <w:rsid w:val="00CE23D8"/>
    <w:rsid w:val="00CE28EE"/>
    <w:rsid w:val="00CE411D"/>
    <w:rsid w:val="00CE4ADE"/>
    <w:rsid w:val="00CE6FB5"/>
    <w:rsid w:val="00CE7CC5"/>
    <w:rsid w:val="00CF1114"/>
    <w:rsid w:val="00CF117C"/>
    <w:rsid w:val="00CF6A4B"/>
    <w:rsid w:val="00CF70AB"/>
    <w:rsid w:val="00CF761A"/>
    <w:rsid w:val="00D04FA4"/>
    <w:rsid w:val="00D070FA"/>
    <w:rsid w:val="00D1015A"/>
    <w:rsid w:val="00D13EFD"/>
    <w:rsid w:val="00D14B2E"/>
    <w:rsid w:val="00D16A20"/>
    <w:rsid w:val="00D208BA"/>
    <w:rsid w:val="00D20DF3"/>
    <w:rsid w:val="00D23AD2"/>
    <w:rsid w:val="00D23AFA"/>
    <w:rsid w:val="00D3059B"/>
    <w:rsid w:val="00D3106B"/>
    <w:rsid w:val="00D34764"/>
    <w:rsid w:val="00D37178"/>
    <w:rsid w:val="00D373E7"/>
    <w:rsid w:val="00D408B3"/>
    <w:rsid w:val="00D41C88"/>
    <w:rsid w:val="00D423F0"/>
    <w:rsid w:val="00D47EB0"/>
    <w:rsid w:val="00D50E29"/>
    <w:rsid w:val="00D60046"/>
    <w:rsid w:val="00D63A63"/>
    <w:rsid w:val="00D64F28"/>
    <w:rsid w:val="00D7035E"/>
    <w:rsid w:val="00D71FFB"/>
    <w:rsid w:val="00D805EA"/>
    <w:rsid w:val="00D8088E"/>
    <w:rsid w:val="00D815A6"/>
    <w:rsid w:val="00D847E4"/>
    <w:rsid w:val="00D84969"/>
    <w:rsid w:val="00D84DF5"/>
    <w:rsid w:val="00D87B99"/>
    <w:rsid w:val="00D92CC3"/>
    <w:rsid w:val="00D94521"/>
    <w:rsid w:val="00DA0646"/>
    <w:rsid w:val="00DA1D6B"/>
    <w:rsid w:val="00DA20C8"/>
    <w:rsid w:val="00DA28B4"/>
    <w:rsid w:val="00DB45A3"/>
    <w:rsid w:val="00DB5012"/>
    <w:rsid w:val="00DC1237"/>
    <w:rsid w:val="00DC13B2"/>
    <w:rsid w:val="00DC169B"/>
    <w:rsid w:val="00DC2F52"/>
    <w:rsid w:val="00DC4DBB"/>
    <w:rsid w:val="00DC5EFB"/>
    <w:rsid w:val="00DD48A4"/>
    <w:rsid w:val="00DD49F3"/>
    <w:rsid w:val="00DD4E60"/>
    <w:rsid w:val="00DD5A35"/>
    <w:rsid w:val="00DD7F56"/>
    <w:rsid w:val="00DE5B2E"/>
    <w:rsid w:val="00DF20C3"/>
    <w:rsid w:val="00DF2DFF"/>
    <w:rsid w:val="00DF3A7A"/>
    <w:rsid w:val="00DF4F3E"/>
    <w:rsid w:val="00E00908"/>
    <w:rsid w:val="00E0100C"/>
    <w:rsid w:val="00E021AD"/>
    <w:rsid w:val="00E02C4C"/>
    <w:rsid w:val="00E04074"/>
    <w:rsid w:val="00E0667E"/>
    <w:rsid w:val="00E06D4F"/>
    <w:rsid w:val="00E06D8D"/>
    <w:rsid w:val="00E1597C"/>
    <w:rsid w:val="00E17B5F"/>
    <w:rsid w:val="00E27ACE"/>
    <w:rsid w:val="00E30824"/>
    <w:rsid w:val="00E30A22"/>
    <w:rsid w:val="00E30E97"/>
    <w:rsid w:val="00E338CE"/>
    <w:rsid w:val="00E348AD"/>
    <w:rsid w:val="00E4325C"/>
    <w:rsid w:val="00E476EF"/>
    <w:rsid w:val="00E5031B"/>
    <w:rsid w:val="00E5087F"/>
    <w:rsid w:val="00E52E9B"/>
    <w:rsid w:val="00E54F69"/>
    <w:rsid w:val="00E571C5"/>
    <w:rsid w:val="00E61A25"/>
    <w:rsid w:val="00E672C3"/>
    <w:rsid w:val="00E7219F"/>
    <w:rsid w:val="00E740AC"/>
    <w:rsid w:val="00E75876"/>
    <w:rsid w:val="00E76344"/>
    <w:rsid w:val="00E77531"/>
    <w:rsid w:val="00E82E9E"/>
    <w:rsid w:val="00E84547"/>
    <w:rsid w:val="00E84B3F"/>
    <w:rsid w:val="00E872BF"/>
    <w:rsid w:val="00E903B3"/>
    <w:rsid w:val="00E93D6F"/>
    <w:rsid w:val="00E96BC9"/>
    <w:rsid w:val="00EA5D0F"/>
    <w:rsid w:val="00EA6654"/>
    <w:rsid w:val="00EA6F52"/>
    <w:rsid w:val="00EB3C28"/>
    <w:rsid w:val="00EB6D49"/>
    <w:rsid w:val="00EC3128"/>
    <w:rsid w:val="00EC511F"/>
    <w:rsid w:val="00ED2837"/>
    <w:rsid w:val="00ED293A"/>
    <w:rsid w:val="00ED3849"/>
    <w:rsid w:val="00ED49D0"/>
    <w:rsid w:val="00EF2BA7"/>
    <w:rsid w:val="00F0122F"/>
    <w:rsid w:val="00F02DBE"/>
    <w:rsid w:val="00F0531C"/>
    <w:rsid w:val="00F07C57"/>
    <w:rsid w:val="00F10556"/>
    <w:rsid w:val="00F12F0C"/>
    <w:rsid w:val="00F13094"/>
    <w:rsid w:val="00F15164"/>
    <w:rsid w:val="00F1726A"/>
    <w:rsid w:val="00F20F08"/>
    <w:rsid w:val="00F239D9"/>
    <w:rsid w:val="00F24098"/>
    <w:rsid w:val="00F258FB"/>
    <w:rsid w:val="00F40077"/>
    <w:rsid w:val="00F41644"/>
    <w:rsid w:val="00F41B85"/>
    <w:rsid w:val="00F44988"/>
    <w:rsid w:val="00F452A8"/>
    <w:rsid w:val="00F5710A"/>
    <w:rsid w:val="00F611F1"/>
    <w:rsid w:val="00F64097"/>
    <w:rsid w:val="00F65927"/>
    <w:rsid w:val="00F66A4E"/>
    <w:rsid w:val="00F74041"/>
    <w:rsid w:val="00F74826"/>
    <w:rsid w:val="00F75F90"/>
    <w:rsid w:val="00F76AF7"/>
    <w:rsid w:val="00F77DA9"/>
    <w:rsid w:val="00F84493"/>
    <w:rsid w:val="00F84998"/>
    <w:rsid w:val="00F876FE"/>
    <w:rsid w:val="00F92B3D"/>
    <w:rsid w:val="00F97125"/>
    <w:rsid w:val="00F9719F"/>
    <w:rsid w:val="00FA163E"/>
    <w:rsid w:val="00FA18C9"/>
    <w:rsid w:val="00FA43BB"/>
    <w:rsid w:val="00FA494D"/>
    <w:rsid w:val="00FA530E"/>
    <w:rsid w:val="00FB6400"/>
    <w:rsid w:val="00FC6A26"/>
    <w:rsid w:val="00FC7043"/>
    <w:rsid w:val="00FD5B85"/>
    <w:rsid w:val="00FD5FE8"/>
    <w:rsid w:val="00FD6736"/>
    <w:rsid w:val="00FD6CD8"/>
    <w:rsid w:val="00FE0B22"/>
    <w:rsid w:val="00FE1D74"/>
    <w:rsid w:val="00FE209D"/>
    <w:rsid w:val="00FE2581"/>
    <w:rsid w:val="00FE2E36"/>
    <w:rsid w:val="00FF358E"/>
    <w:rsid w:val="00FF390C"/>
    <w:rsid w:val="00FF55AE"/>
    <w:rsid w:val="00FF5988"/>
    <w:rsid w:val="010A63BC"/>
    <w:rsid w:val="0151C1FA"/>
    <w:rsid w:val="024FCEE6"/>
    <w:rsid w:val="02555CE0"/>
    <w:rsid w:val="025ED1D6"/>
    <w:rsid w:val="02DC9161"/>
    <w:rsid w:val="036156B7"/>
    <w:rsid w:val="05511B97"/>
    <w:rsid w:val="06073E2F"/>
    <w:rsid w:val="0617CD9F"/>
    <w:rsid w:val="065C8A2C"/>
    <w:rsid w:val="0660BBD9"/>
    <w:rsid w:val="06A6C501"/>
    <w:rsid w:val="07AA6B58"/>
    <w:rsid w:val="08738844"/>
    <w:rsid w:val="08BF9270"/>
    <w:rsid w:val="08C77A86"/>
    <w:rsid w:val="08E113DF"/>
    <w:rsid w:val="0941B3C4"/>
    <w:rsid w:val="09D392F4"/>
    <w:rsid w:val="0B5E954C"/>
    <w:rsid w:val="0BEDCA2B"/>
    <w:rsid w:val="0C129225"/>
    <w:rsid w:val="0C1BCB2A"/>
    <w:rsid w:val="0CFE0FB6"/>
    <w:rsid w:val="0D1ABDE6"/>
    <w:rsid w:val="0D44D936"/>
    <w:rsid w:val="0D5F0BB4"/>
    <w:rsid w:val="0DA4E308"/>
    <w:rsid w:val="0DA9BEE2"/>
    <w:rsid w:val="0EFED4AB"/>
    <w:rsid w:val="0F0AF49D"/>
    <w:rsid w:val="0FDE82CB"/>
    <w:rsid w:val="0FE66992"/>
    <w:rsid w:val="1025E4F3"/>
    <w:rsid w:val="108819FF"/>
    <w:rsid w:val="1092148A"/>
    <w:rsid w:val="11332B3E"/>
    <w:rsid w:val="1186CA10"/>
    <w:rsid w:val="125C0E83"/>
    <w:rsid w:val="126BBEAB"/>
    <w:rsid w:val="12F6C2CB"/>
    <w:rsid w:val="12FBBD38"/>
    <w:rsid w:val="1306EDDE"/>
    <w:rsid w:val="135DD3FB"/>
    <w:rsid w:val="1360D7CC"/>
    <w:rsid w:val="1384D2E1"/>
    <w:rsid w:val="13E6D8D8"/>
    <w:rsid w:val="14033B8F"/>
    <w:rsid w:val="145BA232"/>
    <w:rsid w:val="1477CBE2"/>
    <w:rsid w:val="14904930"/>
    <w:rsid w:val="14C3902B"/>
    <w:rsid w:val="14FDA778"/>
    <w:rsid w:val="15C245E2"/>
    <w:rsid w:val="15D02EC8"/>
    <w:rsid w:val="164E5BB1"/>
    <w:rsid w:val="16744F6F"/>
    <w:rsid w:val="1676F431"/>
    <w:rsid w:val="16D05710"/>
    <w:rsid w:val="1797079D"/>
    <w:rsid w:val="17B169E4"/>
    <w:rsid w:val="1810B74C"/>
    <w:rsid w:val="18151F30"/>
    <w:rsid w:val="18C44126"/>
    <w:rsid w:val="198976D0"/>
    <w:rsid w:val="19AAE79E"/>
    <w:rsid w:val="19ECA54A"/>
    <w:rsid w:val="19F870F2"/>
    <w:rsid w:val="1A329C00"/>
    <w:rsid w:val="1A79271D"/>
    <w:rsid w:val="1A997C96"/>
    <w:rsid w:val="1AAEB822"/>
    <w:rsid w:val="1ABC865A"/>
    <w:rsid w:val="1B4D373F"/>
    <w:rsid w:val="1B9ADCFE"/>
    <w:rsid w:val="1B9B5094"/>
    <w:rsid w:val="1BC262BF"/>
    <w:rsid w:val="1BCEE5B6"/>
    <w:rsid w:val="1C50254A"/>
    <w:rsid w:val="1C7BA4DB"/>
    <w:rsid w:val="1C9B285B"/>
    <w:rsid w:val="1CC03CCB"/>
    <w:rsid w:val="1D027035"/>
    <w:rsid w:val="1D5D7639"/>
    <w:rsid w:val="1D6534E9"/>
    <w:rsid w:val="1D7836FA"/>
    <w:rsid w:val="1DE154AA"/>
    <w:rsid w:val="1E1DBAC0"/>
    <w:rsid w:val="1E40D8B0"/>
    <w:rsid w:val="1E7A3D4F"/>
    <w:rsid w:val="1EA48EA8"/>
    <w:rsid w:val="1EAEC0CF"/>
    <w:rsid w:val="1EDED3BD"/>
    <w:rsid w:val="1F85648F"/>
    <w:rsid w:val="1FD588AF"/>
    <w:rsid w:val="1FFD44D1"/>
    <w:rsid w:val="203CE09B"/>
    <w:rsid w:val="2042E2A3"/>
    <w:rsid w:val="20674866"/>
    <w:rsid w:val="209966A0"/>
    <w:rsid w:val="20B27A2C"/>
    <w:rsid w:val="21287B7B"/>
    <w:rsid w:val="216548EB"/>
    <w:rsid w:val="22988C8A"/>
    <w:rsid w:val="229E8868"/>
    <w:rsid w:val="229FBFCC"/>
    <w:rsid w:val="230F3CE1"/>
    <w:rsid w:val="239B126B"/>
    <w:rsid w:val="23E19D04"/>
    <w:rsid w:val="240A985C"/>
    <w:rsid w:val="241E5B7E"/>
    <w:rsid w:val="243F573F"/>
    <w:rsid w:val="24407EA0"/>
    <w:rsid w:val="247D8135"/>
    <w:rsid w:val="24910A70"/>
    <w:rsid w:val="249D14CB"/>
    <w:rsid w:val="24EB5889"/>
    <w:rsid w:val="2506CA63"/>
    <w:rsid w:val="2521E17B"/>
    <w:rsid w:val="2532CC76"/>
    <w:rsid w:val="25E0A895"/>
    <w:rsid w:val="26A0BCAF"/>
    <w:rsid w:val="26C05317"/>
    <w:rsid w:val="26D2F1A6"/>
    <w:rsid w:val="26D9B4F4"/>
    <w:rsid w:val="26E193D7"/>
    <w:rsid w:val="2792F8EB"/>
    <w:rsid w:val="27C2432A"/>
    <w:rsid w:val="281BD486"/>
    <w:rsid w:val="2874C625"/>
    <w:rsid w:val="287664C9"/>
    <w:rsid w:val="288FCA50"/>
    <w:rsid w:val="28E2CF4F"/>
    <w:rsid w:val="290A9108"/>
    <w:rsid w:val="29C5050C"/>
    <w:rsid w:val="29E16927"/>
    <w:rsid w:val="29FC0632"/>
    <w:rsid w:val="2A0D953B"/>
    <w:rsid w:val="2A2520D0"/>
    <w:rsid w:val="2A3B5682"/>
    <w:rsid w:val="2A5655FA"/>
    <w:rsid w:val="2A5943DB"/>
    <w:rsid w:val="2AB93FF8"/>
    <w:rsid w:val="2AFA6BF6"/>
    <w:rsid w:val="2B0EFEA6"/>
    <w:rsid w:val="2B12E8EE"/>
    <w:rsid w:val="2B2394BF"/>
    <w:rsid w:val="2B34B478"/>
    <w:rsid w:val="2B3BBE8D"/>
    <w:rsid w:val="2B7F2414"/>
    <w:rsid w:val="2BBCAEF2"/>
    <w:rsid w:val="2BC455CB"/>
    <w:rsid w:val="2BF01471"/>
    <w:rsid w:val="2C488E27"/>
    <w:rsid w:val="2CAA1ECC"/>
    <w:rsid w:val="2D376F9B"/>
    <w:rsid w:val="2D47E6C5"/>
    <w:rsid w:val="2D802541"/>
    <w:rsid w:val="2D885E7E"/>
    <w:rsid w:val="2DB7453A"/>
    <w:rsid w:val="2DE7DC2D"/>
    <w:rsid w:val="2E30C656"/>
    <w:rsid w:val="2F3F845D"/>
    <w:rsid w:val="2FD62E0F"/>
    <w:rsid w:val="2FD7D77C"/>
    <w:rsid w:val="2FE8030B"/>
    <w:rsid w:val="306450BE"/>
    <w:rsid w:val="31403A7E"/>
    <w:rsid w:val="3154EFB9"/>
    <w:rsid w:val="31C321D1"/>
    <w:rsid w:val="328FE4FC"/>
    <w:rsid w:val="33D84BDA"/>
    <w:rsid w:val="33F96A9F"/>
    <w:rsid w:val="33FF56B3"/>
    <w:rsid w:val="3441D1AF"/>
    <w:rsid w:val="34877EB1"/>
    <w:rsid w:val="349A93A6"/>
    <w:rsid w:val="35024A28"/>
    <w:rsid w:val="350CE6D7"/>
    <w:rsid w:val="35658159"/>
    <w:rsid w:val="3596596F"/>
    <w:rsid w:val="359D0132"/>
    <w:rsid w:val="35B92733"/>
    <w:rsid w:val="35E4CE14"/>
    <w:rsid w:val="35FADA00"/>
    <w:rsid w:val="360E8FB0"/>
    <w:rsid w:val="36885961"/>
    <w:rsid w:val="36C22FD8"/>
    <w:rsid w:val="36E3B07A"/>
    <w:rsid w:val="3719F411"/>
    <w:rsid w:val="378B1D2D"/>
    <w:rsid w:val="3898E6E2"/>
    <w:rsid w:val="3912BD7A"/>
    <w:rsid w:val="391EFBE9"/>
    <w:rsid w:val="3957DF99"/>
    <w:rsid w:val="396BE924"/>
    <w:rsid w:val="399194DF"/>
    <w:rsid w:val="3994A7E8"/>
    <w:rsid w:val="3A380F8C"/>
    <w:rsid w:val="3A8BE5AD"/>
    <w:rsid w:val="3A9E440F"/>
    <w:rsid w:val="3B0C7A37"/>
    <w:rsid w:val="3B3305D5"/>
    <w:rsid w:val="3B5B1F1E"/>
    <w:rsid w:val="3B95CD5E"/>
    <w:rsid w:val="3C570D2E"/>
    <w:rsid w:val="3D81695C"/>
    <w:rsid w:val="3DA1ACA3"/>
    <w:rsid w:val="3E04157F"/>
    <w:rsid w:val="3E63D0AF"/>
    <w:rsid w:val="3E940C72"/>
    <w:rsid w:val="3EA1DAF3"/>
    <w:rsid w:val="3ECF5FA3"/>
    <w:rsid w:val="3F1446CF"/>
    <w:rsid w:val="3F9D32D8"/>
    <w:rsid w:val="3FC985DA"/>
    <w:rsid w:val="3FEAADF3"/>
    <w:rsid w:val="3FFB3B4C"/>
    <w:rsid w:val="401A4BC3"/>
    <w:rsid w:val="402EFFA7"/>
    <w:rsid w:val="4069B92C"/>
    <w:rsid w:val="41B14A37"/>
    <w:rsid w:val="4254D8B6"/>
    <w:rsid w:val="42B78F71"/>
    <w:rsid w:val="42DF1B39"/>
    <w:rsid w:val="4363B57B"/>
    <w:rsid w:val="44077B21"/>
    <w:rsid w:val="44971E65"/>
    <w:rsid w:val="44A2B460"/>
    <w:rsid w:val="44D73933"/>
    <w:rsid w:val="4635C819"/>
    <w:rsid w:val="4745BEE2"/>
    <w:rsid w:val="481AF58B"/>
    <w:rsid w:val="48445DDB"/>
    <w:rsid w:val="4870C863"/>
    <w:rsid w:val="4879AC59"/>
    <w:rsid w:val="48F63747"/>
    <w:rsid w:val="496C0F6D"/>
    <w:rsid w:val="4A2D5AB2"/>
    <w:rsid w:val="4A4B289E"/>
    <w:rsid w:val="4AABB06F"/>
    <w:rsid w:val="4AEB1A77"/>
    <w:rsid w:val="4B21D140"/>
    <w:rsid w:val="4B64D9EE"/>
    <w:rsid w:val="4B7960E9"/>
    <w:rsid w:val="4BA984BE"/>
    <w:rsid w:val="4C78BC4D"/>
    <w:rsid w:val="4C7C2C00"/>
    <w:rsid w:val="4CD9A3C6"/>
    <w:rsid w:val="4D3CE652"/>
    <w:rsid w:val="4D557E12"/>
    <w:rsid w:val="4D73121A"/>
    <w:rsid w:val="4E050004"/>
    <w:rsid w:val="4E781905"/>
    <w:rsid w:val="4FC5F3DE"/>
    <w:rsid w:val="50072BA1"/>
    <w:rsid w:val="508E9A68"/>
    <w:rsid w:val="512ABF19"/>
    <w:rsid w:val="51412D35"/>
    <w:rsid w:val="5163A058"/>
    <w:rsid w:val="51AD4972"/>
    <w:rsid w:val="520D67D1"/>
    <w:rsid w:val="521CD55E"/>
    <w:rsid w:val="52892F37"/>
    <w:rsid w:val="52D88B7F"/>
    <w:rsid w:val="5323E94F"/>
    <w:rsid w:val="5356C057"/>
    <w:rsid w:val="535C1FB3"/>
    <w:rsid w:val="53603E50"/>
    <w:rsid w:val="53915D0D"/>
    <w:rsid w:val="53BBEDDC"/>
    <w:rsid w:val="53BCEA8A"/>
    <w:rsid w:val="53F64561"/>
    <w:rsid w:val="541A8A67"/>
    <w:rsid w:val="54510DF3"/>
    <w:rsid w:val="546E7F2E"/>
    <w:rsid w:val="54848F92"/>
    <w:rsid w:val="54B5E68E"/>
    <w:rsid w:val="54C8FB89"/>
    <w:rsid w:val="550702D2"/>
    <w:rsid w:val="5539BE13"/>
    <w:rsid w:val="5561BA0B"/>
    <w:rsid w:val="56827A6E"/>
    <w:rsid w:val="56C7B827"/>
    <w:rsid w:val="572A228B"/>
    <w:rsid w:val="57305C4B"/>
    <w:rsid w:val="57606914"/>
    <w:rsid w:val="57831557"/>
    <w:rsid w:val="57CE6148"/>
    <w:rsid w:val="57FE455F"/>
    <w:rsid w:val="582B3AFD"/>
    <w:rsid w:val="586D41F2"/>
    <w:rsid w:val="58D4BC7A"/>
    <w:rsid w:val="58DEE6F8"/>
    <w:rsid w:val="58FC862F"/>
    <w:rsid w:val="59031DAB"/>
    <w:rsid w:val="596A172C"/>
    <w:rsid w:val="59871F44"/>
    <w:rsid w:val="5A67D5C6"/>
    <w:rsid w:val="5A721556"/>
    <w:rsid w:val="5A7C1D9E"/>
    <w:rsid w:val="5A918403"/>
    <w:rsid w:val="5AD71963"/>
    <w:rsid w:val="5B1414F6"/>
    <w:rsid w:val="5B292E93"/>
    <w:rsid w:val="5B43F2C7"/>
    <w:rsid w:val="5BC84190"/>
    <w:rsid w:val="5BCB36D8"/>
    <w:rsid w:val="5BCF2870"/>
    <w:rsid w:val="5BE3A050"/>
    <w:rsid w:val="5C581B41"/>
    <w:rsid w:val="5D1D6C87"/>
    <w:rsid w:val="5D712076"/>
    <w:rsid w:val="5D81E1A9"/>
    <w:rsid w:val="5E5EA070"/>
    <w:rsid w:val="5EC06D8C"/>
    <w:rsid w:val="5EF0D3DF"/>
    <w:rsid w:val="5F18F94B"/>
    <w:rsid w:val="5F48B0AD"/>
    <w:rsid w:val="5F5CF82A"/>
    <w:rsid w:val="60637EEA"/>
    <w:rsid w:val="6081B019"/>
    <w:rsid w:val="60E6EFD1"/>
    <w:rsid w:val="61370C2F"/>
    <w:rsid w:val="615C05CF"/>
    <w:rsid w:val="617BBAC1"/>
    <w:rsid w:val="61B947BC"/>
    <w:rsid w:val="62E3272D"/>
    <w:rsid w:val="6357AF39"/>
    <w:rsid w:val="63735F26"/>
    <w:rsid w:val="6384F2ED"/>
    <w:rsid w:val="638FD274"/>
    <w:rsid w:val="63A78AB2"/>
    <w:rsid w:val="63C97F15"/>
    <w:rsid w:val="63EE791A"/>
    <w:rsid w:val="640E342B"/>
    <w:rsid w:val="644256B1"/>
    <w:rsid w:val="646FC44F"/>
    <w:rsid w:val="6481A8BF"/>
    <w:rsid w:val="6483F6EC"/>
    <w:rsid w:val="653EBB71"/>
    <w:rsid w:val="654773FB"/>
    <w:rsid w:val="657049D5"/>
    <w:rsid w:val="658A3272"/>
    <w:rsid w:val="663A02D0"/>
    <w:rsid w:val="6681311D"/>
    <w:rsid w:val="669EA843"/>
    <w:rsid w:val="66DC6317"/>
    <w:rsid w:val="66E8003B"/>
    <w:rsid w:val="671C9901"/>
    <w:rsid w:val="673F8ED4"/>
    <w:rsid w:val="67658B55"/>
    <w:rsid w:val="686997C5"/>
    <w:rsid w:val="686E4CA8"/>
    <w:rsid w:val="68C8244B"/>
    <w:rsid w:val="68C93AF1"/>
    <w:rsid w:val="68D04F71"/>
    <w:rsid w:val="6929E097"/>
    <w:rsid w:val="69CD38BF"/>
    <w:rsid w:val="6A4CA997"/>
    <w:rsid w:val="6A60008B"/>
    <w:rsid w:val="6AB70348"/>
    <w:rsid w:val="6AFC6280"/>
    <w:rsid w:val="6B07C810"/>
    <w:rsid w:val="6B27E535"/>
    <w:rsid w:val="6B44BA5F"/>
    <w:rsid w:val="6B5E1D35"/>
    <w:rsid w:val="6C2E4CC7"/>
    <w:rsid w:val="6C39A2B3"/>
    <w:rsid w:val="6C7FE45B"/>
    <w:rsid w:val="6C8FA7D3"/>
    <w:rsid w:val="6CBA3A87"/>
    <w:rsid w:val="6D02ABD0"/>
    <w:rsid w:val="6D69A7DE"/>
    <w:rsid w:val="6DEEE625"/>
    <w:rsid w:val="6E507462"/>
    <w:rsid w:val="6E76DD03"/>
    <w:rsid w:val="6E7CB104"/>
    <w:rsid w:val="6F4E5D34"/>
    <w:rsid w:val="6F5D5845"/>
    <w:rsid w:val="6F63D1F0"/>
    <w:rsid w:val="6FE7DE10"/>
    <w:rsid w:val="700FB572"/>
    <w:rsid w:val="7013BC4F"/>
    <w:rsid w:val="701E0946"/>
    <w:rsid w:val="703118AD"/>
    <w:rsid w:val="70A4B1E0"/>
    <w:rsid w:val="70D19E7C"/>
    <w:rsid w:val="714C4C64"/>
    <w:rsid w:val="73B15C09"/>
    <w:rsid w:val="73B4330B"/>
    <w:rsid w:val="74325650"/>
    <w:rsid w:val="744DF6B8"/>
    <w:rsid w:val="745EA1B6"/>
    <w:rsid w:val="7492E228"/>
    <w:rsid w:val="74CC96BD"/>
    <w:rsid w:val="75A381AA"/>
    <w:rsid w:val="764BF30A"/>
    <w:rsid w:val="769B8E74"/>
    <w:rsid w:val="76A58D16"/>
    <w:rsid w:val="774FBC78"/>
    <w:rsid w:val="784D0344"/>
    <w:rsid w:val="785820C4"/>
    <w:rsid w:val="78741F1D"/>
    <w:rsid w:val="789188DB"/>
    <w:rsid w:val="78985EA0"/>
    <w:rsid w:val="78A70B0A"/>
    <w:rsid w:val="799EAF3A"/>
    <w:rsid w:val="79AB838E"/>
    <w:rsid w:val="7A4C5218"/>
    <w:rsid w:val="7A62B93C"/>
    <w:rsid w:val="7A62E3AF"/>
    <w:rsid w:val="7A67FA98"/>
    <w:rsid w:val="7ACD2778"/>
    <w:rsid w:val="7AF722CD"/>
    <w:rsid w:val="7B02859B"/>
    <w:rsid w:val="7B11F325"/>
    <w:rsid w:val="7B177101"/>
    <w:rsid w:val="7B1DCCE1"/>
    <w:rsid w:val="7B3C91FF"/>
    <w:rsid w:val="7B9F5B5B"/>
    <w:rsid w:val="7BD8234C"/>
    <w:rsid w:val="7C06AF63"/>
    <w:rsid w:val="7CA1ED75"/>
    <w:rsid w:val="7CB07580"/>
    <w:rsid w:val="7D38B046"/>
    <w:rsid w:val="7D9F441D"/>
    <w:rsid w:val="7DED1E49"/>
    <w:rsid w:val="7DFE5141"/>
    <w:rsid w:val="7E06BD20"/>
    <w:rsid w:val="7E9A467E"/>
    <w:rsid w:val="7ECA548C"/>
    <w:rsid w:val="7ED6570E"/>
    <w:rsid w:val="7F386560"/>
    <w:rsid w:val="7FA15F16"/>
    <w:rsid w:val="7FAFF2BD"/>
    <w:rsid w:val="7FC40E26"/>
    <w:rsid w:val="7FDF32FB"/>
    <w:rsid w:val="7FF6D8BF"/>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1988C"/>
  <w15:chartTrackingRefBased/>
  <w15:docId w15:val="{EF173574-0529-4D73-AA75-AD55A7EAA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533"/>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fr-FR"/>
      <w14:ligatures w14:val="none"/>
    </w:rPr>
  </w:style>
  <w:style w:type="paragraph" w:styleId="Heading1">
    <w:name w:val="heading 1"/>
    <w:basedOn w:val="Normal"/>
    <w:next w:val="Heading2"/>
    <w:link w:val="Heading1Char"/>
    <w:uiPriority w:val="9"/>
    <w:qFormat/>
    <w:rsid w:val="00B93533"/>
    <w:pPr>
      <w:keepNext/>
      <w:keepLines/>
      <w:numPr>
        <w:numId w:val="28"/>
      </w:numPr>
      <w:tabs>
        <w:tab w:val="clear" w:pos="567"/>
      </w:tabs>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B93533"/>
    <w:pPr>
      <w:keepNext/>
      <w:keepLines/>
      <w:numPr>
        <w:ilvl w:val="1"/>
        <w:numId w:val="28"/>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B93533"/>
    <w:pPr>
      <w:keepNext/>
      <w:keepLines/>
      <w:numPr>
        <w:ilvl w:val="2"/>
        <w:numId w:val="28"/>
      </w:numPr>
      <w:tabs>
        <w:tab w:val="clear" w:pos="567"/>
      </w:tabs>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B93533"/>
    <w:pPr>
      <w:keepNext/>
      <w:numPr>
        <w:ilvl w:val="3"/>
        <w:numId w:val="28"/>
      </w:numPr>
      <w:tabs>
        <w:tab w:val="clear" w:pos="567"/>
      </w:tabs>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B93533"/>
    <w:pPr>
      <w:keepNext/>
      <w:numPr>
        <w:ilvl w:val="4"/>
        <w:numId w:val="28"/>
      </w:numPr>
      <w:spacing w:before="120" w:after="120"/>
      <w:jc w:val="left"/>
      <w:outlineLvl w:val="4"/>
    </w:pPr>
    <w:rPr>
      <w:rFonts w:eastAsiaTheme="majorEastAsia"/>
      <w:i/>
      <w:iCs/>
    </w:rPr>
  </w:style>
  <w:style w:type="paragraph" w:styleId="Heading6">
    <w:name w:val="heading 6"/>
    <w:basedOn w:val="Normal"/>
    <w:next w:val="Normal"/>
    <w:link w:val="Heading6Char"/>
    <w:semiHidden/>
    <w:rsid w:val="00B93533"/>
    <w:pPr>
      <w:keepNext/>
      <w:keepLines/>
      <w:numPr>
        <w:ilvl w:val="5"/>
        <w:numId w:val="32"/>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B93533"/>
    <w:pPr>
      <w:keepNext/>
      <w:keepLines/>
      <w:widowControl w:val="0"/>
      <w:numPr>
        <w:ilvl w:val="6"/>
        <w:numId w:val="32"/>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B93533"/>
    <w:pPr>
      <w:keepNext/>
      <w:keepLines/>
      <w:widowControl w:val="0"/>
      <w:numPr>
        <w:ilvl w:val="7"/>
        <w:numId w:val="32"/>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B93533"/>
    <w:pPr>
      <w:keepNext/>
      <w:widowControl w:val="0"/>
      <w:numPr>
        <w:ilvl w:val="8"/>
        <w:numId w:val="32"/>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B93533"/>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semiHidden/>
    <w:unhideWhenUsed/>
    <w:rsid w:val="00B93533"/>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B93533"/>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fr-CA"/>
    </w:rPr>
  </w:style>
  <w:style w:type="character" w:customStyle="1" w:styleId="Heading1Char">
    <w:name w:val="Heading 1 Char"/>
    <w:basedOn w:val="DefaultParagraphFont"/>
    <w:link w:val="Heading1"/>
    <w:uiPriority w:val="9"/>
    <w:rsid w:val="00B93533"/>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qFormat/>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unhideWhenUsed/>
    <w:qFormat/>
    <w:rsid w:val="00B93533"/>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B93533"/>
    <w:rPr>
      <w:rFonts w:ascii="Times New Roman" w:eastAsia="SimSun" w:hAnsi="Times New Roman" w:cs="Times New Roman"/>
      <w:kern w:val="0"/>
      <w:sz w:val="18"/>
      <w:szCs w:val="20"/>
      <w:lang w:val="fr-CA"/>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basedOn w:val="DefaultParagraphFont"/>
    <w:link w:val="BVIfnrChar"/>
    <w:uiPriority w:val="99"/>
    <w:unhideWhenUsed/>
    <w:qFormat/>
    <w:rsid w:val="00B93533"/>
    <w:rPr>
      <w:vertAlign w:val="superscript"/>
    </w:rPr>
  </w:style>
  <w:style w:type="paragraph" w:customStyle="1" w:styleId="Footnote">
    <w:name w:val="Footnote"/>
    <w:basedOn w:val="FootnoteText"/>
    <w:qFormat/>
    <w:rsid w:val="00B93533"/>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fr-CA"/>
      <w14:ligatures w14:val="none"/>
    </w:rPr>
  </w:style>
  <w:style w:type="paragraph" w:customStyle="1" w:styleId="Para1">
    <w:name w:val="Para 1"/>
    <w:basedOn w:val="Normal"/>
    <w:qFormat/>
    <w:rsid w:val="00480A8D"/>
    <w:pPr>
      <w:numPr>
        <w:numId w:val="2"/>
      </w:numPr>
      <w:spacing w:before="120" w:after="120"/>
      <w:ind w:left="567" w:firstLine="0"/>
    </w:pPr>
  </w:style>
  <w:style w:type="character" w:customStyle="1" w:styleId="Heading2Char">
    <w:name w:val="Heading 2 Char"/>
    <w:basedOn w:val="DefaultParagraphFont"/>
    <w:link w:val="Heading2"/>
    <w:uiPriority w:val="9"/>
    <w:rsid w:val="00B93533"/>
    <w:rPr>
      <w:rFonts w:ascii="Times New Roman Bold" w:eastAsiaTheme="majorEastAsia" w:hAnsi="Times New Roman Bold" w:cstheme="majorBidi"/>
      <w:b/>
      <w:kern w:val="0"/>
      <w:sz w:val="24"/>
      <w:szCs w:val="26"/>
      <w:lang w:val="fr-CA"/>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rsid w:val="00B93533"/>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B93533"/>
    <w:rPr>
      <w:rFonts w:ascii="Times New Roman" w:eastAsia="SimSun" w:hAnsi="Times New Roman" w:cs="Times New Roman"/>
      <w:kern w:val="0"/>
      <w:sz w:val="20"/>
      <w:lang w:val="fr-CA"/>
      <w14:ligatures w14:val="none"/>
    </w:rPr>
  </w:style>
  <w:style w:type="paragraph" w:styleId="Footer">
    <w:name w:val="footer"/>
    <w:basedOn w:val="Normal"/>
    <w:link w:val="FooterChar"/>
    <w:uiPriority w:val="99"/>
    <w:rsid w:val="00B93533"/>
    <w:pPr>
      <w:tabs>
        <w:tab w:val="center" w:pos="4680"/>
        <w:tab w:val="right" w:pos="9360"/>
      </w:tabs>
    </w:pPr>
    <w:rPr>
      <w:sz w:val="20"/>
    </w:rPr>
  </w:style>
  <w:style w:type="character" w:customStyle="1" w:styleId="FooterChar">
    <w:name w:val="Footer Char"/>
    <w:basedOn w:val="DefaultParagraphFont"/>
    <w:link w:val="Footer"/>
    <w:uiPriority w:val="99"/>
    <w:rsid w:val="00B93533"/>
    <w:rPr>
      <w:rFonts w:ascii="Times New Roman" w:eastAsia="SimSun" w:hAnsi="Times New Roman" w:cs="Times New Roman"/>
      <w:kern w:val="0"/>
      <w:sz w:val="20"/>
      <w:lang w:val="fr-CA"/>
      <w14:ligatures w14:val="none"/>
    </w:rPr>
  </w:style>
  <w:style w:type="character" w:customStyle="1" w:styleId="Heading3Char">
    <w:name w:val="Heading 3 Char"/>
    <w:basedOn w:val="DefaultParagraphFont"/>
    <w:link w:val="Heading3"/>
    <w:uiPriority w:val="9"/>
    <w:rsid w:val="00B93533"/>
    <w:rPr>
      <w:rFonts w:ascii="Times New Roman" w:eastAsiaTheme="majorEastAsia" w:hAnsi="Times New Roman" w:cs="Times New Roman"/>
      <w:b/>
      <w:bCs/>
      <w:kern w:val="0"/>
      <w:lang w:val="fr-CA"/>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B93533"/>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B93533"/>
    <w:rPr>
      <w:rFonts w:ascii="Times New Roman" w:eastAsiaTheme="majorEastAsia" w:hAnsi="Times New Roman" w:cs="Times New Roman"/>
      <w:b/>
      <w:bCs/>
      <w:kern w:val="0"/>
      <w:lang w:val="fr-CA"/>
      <w14:ligatures w14:val="none"/>
    </w:rPr>
  </w:style>
  <w:style w:type="character" w:customStyle="1" w:styleId="Heading5Char">
    <w:name w:val="Heading 5 Char"/>
    <w:basedOn w:val="DefaultParagraphFont"/>
    <w:link w:val="Heading5"/>
    <w:uiPriority w:val="9"/>
    <w:rsid w:val="00B93533"/>
    <w:rPr>
      <w:rFonts w:ascii="Times New Roman" w:eastAsiaTheme="majorEastAsia" w:hAnsi="Times New Roman" w:cs="Times New Roman"/>
      <w:i/>
      <w:iCs/>
      <w:kern w:val="0"/>
      <w:lang w:val="fr-CA"/>
      <w14:ligatures w14:val="none"/>
    </w:rPr>
  </w:style>
  <w:style w:type="character" w:styleId="CommentReference">
    <w:name w:val="annotation reference"/>
    <w:basedOn w:val="DefaultParagraphFont"/>
    <w:uiPriority w:val="99"/>
    <w:semiHidden/>
    <w:unhideWhenUsed/>
    <w:rsid w:val="00B93533"/>
    <w:rPr>
      <w:sz w:val="16"/>
      <w:szCs w:val="16"/>
    </w:rPr>
  </w:style>
  <w:style w:type="paragraph" w:styleId="CommentText">
    <w:name w:val="annotation text"/>
    <w:basedOn w:val="Normal"/>
    <w:link w:val="CommentTextChar"/>
    <w:uiPriority w:val="99"/>
    <w:qFormat/>
    <w:rsid w:val="00B93533"/>
    <w:rPr>
      <w:sz w:val="20"/>
      <w:szCs w:val="20"/>
    </w:rPr>
  </w:style>
  <w:style w:type="character" w:customStyle="1" w:styleId="CommentTextChar">
    <w:name w:val="Comment Text Char"/>
    <w:basedOn w:val="DefaultParagraphFont"/>
    <w:link w:val="CommentText"/>
    <w:uiPriority w:val="99"/>
    <w:qFormat/>
    <w:rsid w:val="00B93533"/>
    <w:rPr>
      <w:rFonts w:ascii="Times New Roman" w:eastAsia="SimSun" w:hAnsi="Times New Roman" w:cs="Times New Roman"/>
      <w:kern w:val="0"/>
      <w:sz w:val="20"/>
      <w:szCs w:val="20"/>
      <w:lang w:val="fr-CA"/>
      <w14:ligatures w14:val="none"/>
    </w:rPr>
  </w:style>
  <w:style w:type="paragraph" w:styleId="CommentSubject">
    <w:name w:val="annotation subject"/>
    <w:basedOn w:val="CommentText"/>
    <w:next w:val="CommentText"/>
    <w:link w:val="CommentSubjectChar"/>
    <w:uiPriority w:val="99"/>
    <w:semiHidden/>
    <w:unhideWhenUsed/>
    <w:rsid w:val="00B93533"/>
    <w:rPr>
      <w:b/>
      <w:bCs/>
    </w:rPr>
  </w:style>
  <w:style w:type="character" w:customStyle="1" w:styleId="CommentSubjectChar">
    <w:name w:val="Comment Subject Char"/>
    <w:basedOn w:val="CommentTextChar"/>
    <w:link w:val="CommentSubject"/>
    <w:uiPriority w:val="99"/>
    <w:semiHidden/>
    <w:rsid w:val="00B93533"/>
    <w:rPr>
      <w:rFonts w:ascii="Times New Roman" w:eastAsia="SimSun" w:hAnsi="Times New Roman" w:cs="Times New Roman"/>
      <w:b/>
      <w:bCs/>
      <w:kern w:val="0"/>
      <w:sz w:val="20"/>
      <w:szCs w:val="20"/>
      <w:lang w:val="fr-CA"/>
      <w14:ligatures w14:val="none"/>
    </w:rPr>
  </w:style>
  <w:style w:type="paragraph" w:customStyle="1" w:styleId="AEDistrNormal">
    <w:name w:val="AE_DistrNormal"/>
    <w:basedOn w:val="Normal"/>
    <w:unhideWhenUsed/>
    <w:rsid w:val="00B93533"/>
    <w:pPr>
      <w:jc w:val="left"/>
    </w:pPr>
  </w:style>
  <w:style w:type="paragraph" w:customStyle="1" w:styleId="AASmallLogo">
    <w:name w:val="AA_SmallLogo"/>
    <w:basedOn w:val="AEDistrNormal"/>
    <w:unhideWhenUsed/>
    <w:rsid w:val="00B93533"/>
    <w:pPr>
      <w:spacing w:before="40"/>
    </w:pPr>
    <w:rPr>
      <w:sz w:val="4"/>
    </w:rPr>
  </w:style>
  <w:style w:type="paragraph" w:customStyle="1" w:styleId="ABSymbol">
    <w:name w:val="AB_Symbol"/>
    <w:basedOn w:val="Normal"/>
    <w:qFormat/>
    <w:rsid w:val="00B93533"/>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B93533"/>
  </w:style>
  <w:style w:type="paragraph" w:customStyle="1" w:styleId="ACLargeLogo">
    <w:name w:val="AC_LargeLogo"/>
    <w:basedOn w:val="AFCorNotNormal"/>
    <w:next w:val="Normal"/>
    <w:unhideWhenUsed/>
    <w:rsid w:val="00B93533"/>
    <w:pPr>
      <w:spacing w:before="120"/>
      <w:contextualSpacing/>
      <w:jc w:val="left"/>
    </w:pPr>
    <w:rPr>
      <w:sz w:val="8"/>
    </w:rPr>
  </w:style>
  <w:style w:type="paragraph" w:customStyle="1" w:styleId="AEDistrNormal6pt">
    <w:name w:val="AE_DistrNormal6pt"/>
    <w:basedOn w:val="AEDistrNormal"/>
    <w:next w:val="AFCorNotNormal"/>
    <w:unhideWhenUsed/>
    <w:qFormat/>
    <w:rsid w:val="00B93533"/>
    <w:pPr>
      <w:spacing w:before="120"/>
    </w:pPr>
  </w:style>
  <w:style w:type="paragraph" w:customStyle="1" w:styleId="AENormal">
    <w:name w:val="AE_Normal"/>
    <w:basedOn w:val="Normal"/>
    <w:rsid w:val="00B93533"/>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B93533"/>
    <w:pPr>
      <w:spacing w:after="0" w:line="240" w:lineRule="auto"/>
    </w:pPr>
    <w:rPr>
      <w:rFonts w:ascii="Times New Roman" w:eastAsia="SimSun" w:hAnsi="Times New Roman" w:cs="Times New Roman"/>
      <w:kern w:val="0"/>
      <w:sz w:val="2"/>
      <w14:ligatures w14:val="none"/>
    </w:rPr>
  </w:style>
  <w:style w:type="paragraph" w:customStyle="1" w:styleId="CBDAgendaItem">
    <w:name w:val="CBD_AgendaItem"/>
    <w:basedOn w:val="Normal"/>
    <w:qFormat/>
    <w:rsid w:val="00B93533"/>
    <w:pPr>
      <w:keepNext/>
      <w:keepLines/>
      <w:spacing w:before="240" w:after="120"/>
      <w:jc w:val="left"/>
    </w:pPr>
    <w:rPr>
      <w:b/>
      <w:sz w:val="24"/>
    </w:rPr>
  </w:style>
  <w:style w:type="paragraph" w:customStyle="1" w:styleId="CBDNormal">
    <w:name w:val="CBD_Normal"/>
    <w:unhideWhenUsed/>
    <w:qFormat/>
    <w:rsid w:val="00B93533"/>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14:ligatures w14:val="none"/>
    </w:rPr>
  </w:style>
  <w:style w:type="paragraph" w:customStyle="1" w:styleId="CBDAnnex">
    <w:name w:val="CBD_Annex"/>
    <w:basedOn w:val="CBDNormal"/>
    <w:next w:val="Normal"/>
    <w:qFormat/>
    <w:rsid w:val="00B93533"/>
    <w:pPr>
      <w:keepNext/>
      <w:keepLines/>
      <w:spacing w:after="240"/>
      <w:jc w:val="left"/>
    </w:pPr>
    <w:rPr>
      <w:b/>
      <w:sz w:val="28"/>
      <w:lang w:bidi="ar-SY"/>
    </w:rPr>
  </w:style>
  <w:style w:type="paragraph" w:customStyle="1" w:styleId="CBDDecisionAnnex">
    <w:name w:val="CBD_DecisionAnnex"/>
    <w:basedOn w:val="CBDNormal"/>
    <w:next w:val="Normal"/>
    <w:qFormat/>
    <w:rsid w:val="00B93533"/>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cisionText">
    <w:name w:val="CBD_DecisionText"/>
    <w:basedOn w:val="CBDNormal"/>
    <w:qFormat/>
    <w:rsid w:val="00B93533"/>
    <w:pPr>
      <w:spacing w:after="120"/>
      <w:ind w:left="567"/>
    </w:pPr>
  </w:style>
  <w:style w:type="paragraph" w:customStyle="1" w:styleId="CBDFigureTitle">
    <w:name w:val="CBD_FigureTitle"/>
    <w:basedOn w:val="CBDNormal"/>
    <w:next w:val="Normal"/>
    <w:qFormat/>
    <w:rsid w:val="00B93533"/>
    <w:pPr>
      <w:keepNext/>
      <w:keepLines/>
      <w:spacing w:before="120" w:after="60"/>
      <w:ind w:left="567"/>
      <w:jc w:val="left"/>
    </w:pPr>
    <w:rPr>
      <w:b/>
    </w:rPr>
  </w:style>
  <w:style w:type="paragraph" w:customStyle="1" w:styleId="CBDFooter">
    <w:name w:val="CBD_Footer"/>
    <w:basedOn w:val="CBDNormal"/>
    <w:qFormat/>
    <w:rsid w:val="00B93533"/>
    <w:rPr>
      <w:sz w:val="20"/>
    </w:rPr>
  </w:style>
  <w:style w:type="paragraph" w:customStyle="1" w:styleId="CBDFootnoteText">
    <w:name w:val="CBD_Footnote_Text"/>
    <w:basedOn w:val="CBDNormal"/>
    <w:qFormat/>
    <w:rsid w:val="00B93533"/>
    <w:pPr>
      <w:jc w:val="left"/>
    </w:pPr>
    <w:rPr>
      <w:sz w:val="18"/>
    </w:rPr>
  </w:style>
  <w:style w:type="paragraph" w:customStyle="1" w:styleId="CBDH1">
    <w:name w:val="CBD_H1"/>
    <w:basedOn w:val="CBDNormal"/>
    <w:qFormat/>
    <w:rsid w:val="00B93533"/>
    <w:pPr>
      <w:keepNext/>
      <w:keepLines/>
      <w:spacing w:before="240" w:after="120"/>
      <w:ind w:left="567" w:hanging="567"/>
      <w:jc w:val="left"/>
    </w:pPr>
    <w:rPr>
      <w:b/>
      <w:sz w:val="28"/>
    </w:rPr>
  </w:style>
  <w:style w:type="paragraph" w:customStyle="1" w:styleId="CBDNormalNumber">
    <w:name w:val="CBD_Normal_Number"/>
    <w:basedOn w:val="CBDNormal"/>
    <w:qFormat/>
    <w:rsid w:val="00B93533"/>
    <w:pPr>
      <w:numPr>
        <w:numId w:val="22"/>
      </w:numPr>
      <w:tabs>
        <w:tab w:val="left" w:pos="3969"/>
      </w:tabs>
      <w:spacing w:after="120"/>
    </w:pPr>
  </w:style>
  <w:style w:type="paragraph" w:customStyle="1" w:styleId="CBDH2">
    <w:name w:val="CBD_H2"/>
    <w:basedOn w:val="CBDNormalNumber"/>
    <w:qFormat/>
    <w:rsid w:val="00B93533"/>
    <w:pPr>
      <w:keepNext/>
      <w:keepLines/>
      <w:numPr>
        <w:numId w:val="0"/>
      </w:numPr>
      <w:spacing w:before="120"/>
      <w:ind w:left="567" w:hanging="567"/>
    </w:pPr>
    <w:rPr>
      <w:b/>
      <w:sz w:val="24"/>
    </w:rPr>
  </w:style>
  <w:style w:type="paragraph" w:customStyle="1" w:styleId="CBDH3">
    <w:name w:val="CBD_H3"/>
    <w:basedOn w:val="CBDNormal"/>
    <w:qFormat/>
    <w:rsid w:val="00B93533"/>
    <w:pPr>
      <w:keepNext/>
      <w:keepLines/>
      <w:spacing w:before="120" w:after="120"/>
      <w:ind w:left="567" w:hanging="567"/>
      <w:jc w:val="left"/>
    </w:pPr>
    <w:rPr>
      <w:b/>
    </w:rPr>
  </w:style>
  <w:style w:type="paragraph" w:customStyle="1" w:styleId="CBDH4">
    <w:name w:val="CBD_H4"/>
    <w:basedOn w:val="CBDNormal"/>
    <w:rsid w:val="00B93533"/>
    <w:pPr>
      <w:keepNext/>
      <w:keepLines/>
      <w:spacing w:before="120" w:after="120"/>
      <w:ind w:left="567" w:hanging="567"/>
      <w:jc w:val="left"/>
    </w:pPr>
    <w:rPr>
      <w:b/>
    </w:rPr>
  </w:style>
  <w:style w:type="paragraph" w:customStyle="1" w:styleId="CBDH5">
    <w:name w:val="CBD_H5"/>
    <w:basedOn w:val="CBDNormal"/>
    <w:qFormat/>
    <w:rsid w:val="00B93533"/>
    <w:pPr>
      <w:keepNext/>
      <w:keepLines/>
      <w:spacing w:before="120" w:after="120"/>
      <w:ind w:left="567" w:hanging="567"/>
      <w:jc w:val="left"/>
    </w:pPr>
    <w:rPr>
      <w:i/>
    </w:rPr>
  </w:style>
  <w:style w:type="paragraph" w:customStyle="1" w:styleId="CBDHeader">
    <w:name w:val="CBD_Header"/>
    <w:basedOn w:val="CBDNormal"/>
    <w:next w:val="CBDFooter"/>
    <w:qFormat/>
    <w:rsid w:val="00B93533"/>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B93533"/>
    <w:pPr>
      <w:numPr>
        <w:numId w:val="22"/>
      </w:numPr>
    </w:pPr>
  </w:style>
  <w:style w:type="numbering" w:customStyle="1" w:styleId="CBDHeadings">
    <w:name w:val="CBD_Headings"/>
    <w:basedOn w:val="ListCBD"/>
    <w:uiPriority w:val="99"/>
    <w:rsid w:val="00B93533"/>
    <w:pPr>
      <w:numPr>
        <w:numId w:val="23"/>
      </w:numPr>
    </w:pPr>
  </w:style>
  <w:style w:type="paragraph" w:customStyle="1" w:styleId="CBDNormalNoNumber">
    <w:name w:val="CBD_Normal_NoNumber"/>
    <w:basedOn w:val="CBDNormal"/>
    <w:qFormat/>
    <w:rsid w:val="00B93533"/>
    <w:pPr>
      <w:spacing w:after="120"/>
    </w:pPr>
  </w:style>
  <w:style w:type="paragraph" w:customStyle="1" w:styleId="CBDSubTitle">
    <w:name w:val="CBD_SubTitle"/>
    <w:basedOn w:val="CBDNormal"/>
    <w:qFormat/>
    <w:rsid w:val="00B93533"/>
    <w:pPr>
      <w:keepNext/>
      <w:keepLines/>
      <w:spacing w:before="240" w:after="240"/>
      <w:ind w:left="567"/>
      <w:jc w:val="left"/>
    </w:pPr>
    <w:rPr>
      <w:b/>
    </w:rPr>
  </w:style>
  <w:style w:type="paragraph" w:customStyle="1" w:styleId="CBDTableNormal">
    <w:name w:val="CBD_TableNormal"/>
    <w:basedOn w:val="CBDNormal"/>
    <w:qFormat/>
    <w:rsid w:val="00B93533"/>
    <w:pPr>
      <w:spacing w:before="40" w:after="80"/>
      <w:jc w:val="left"/>
    </w:pPr>
    <w:rPr>
      <w:sz w:val="20"/>
    </w:rPr>
  </w:style>
  <w:style w:type="paragraph" w:customStyle="1" w:styleId="CBDTableTitle">
    <w:name w:val="CBD_TableTitle"/>
    <w:basedOn w:val="CBDNormal"/>
    <w:qFormat/>
    <w:rsid w:val="00B93533"/>
    <w:pPr>
      <w:keepNext/>
      <w:keepLines/>
      <w:spacing w:before="120" w:after="60"/>
      <w:ind w:left="567"/>
      <w:jc w:val="left"/>
    </w:pPr>
    <w:rPr>
      <w:b/>
    </w:rPr>
  </w:style>
  <w:style w:type="paragraph" w:customStyle="1" w:styleId="CBDTitle">
    <w:name w:val="CBD_Title"/>
    <w:basedOn w:val="CBDNormal"/>
    <w:next w:val="CBDSubTitle"/>
    <w:qFormat/>
    <w:rsid w:val="00B93533"/>
    <w:pPr>
      <w:keepNext/>
      <w:keepLines/>
      <w:spacing w:before="240" w:after="240"/>
      <w:ind w:left="567"/>
      <w:jc w:val="left"/>
    </w:pPr>
    <w:rPr>
      <w:b/>
      <w:sz w:val="28"/>
    </w:rPr>
  </w:style>
  <w:style w:type="character" w:customStyle="1" w:styleId="Heading6Char">
    <w:name w:val="Heading 6 Char"/>
    <w:basedOn w:val="DefaultParagraphFont"/>
    <w:link w:val="Heading6"/>
    <w:semiHidden/>
    <w:rsid w:val="00B93533"/>
    <w:rPr>
      <w:rFonts w:ascii="Times New Roman" w:eastAsia="SimSun" w:hAnsi="Times New Roman" w:cs="Times New Roman"/>
      <w:bCs/>
      <w:kern w:val="0"/>
      <w:sz w:val="24"/>
      <w:lang w:val="fr-CA"/>
      <w14:ligatures w14:val="none"/>
    </w:rPr>
  </w:style>
  <w:style w:type="character" w:customStyle="1" w:styleId="Heading7Char">
    <w:name w:val="Heading 7 Char"/>
    <w:basedOn w:val="DefaultParagraphFont"/>
    <w:link w:val="Heading7"/>
    <w:semiHidden/>
    <w:rsid w:val="00B93533"/>
    <w:rPr>
      <w:rFonts w:ascii="Times New Roman" w:eastAsia="SimSun" w:hAnsi="Times New Roman" w:cs="Times New Roman"/>
      <w:b/>
      <w:snapToGrid w:val="0"/>
      <w:kern w:val="0"/>
      <w:u w:val="single"/>
      <w:lang w:val="fr-CA"/>
      <w14:ligatures w14:val="none"/>
    </w:rPr>
  </w:style>
  <w:style w:type="character" w:customStyle="1" w:styleId="Heading8Char">
    <w:name w:val="Heading 8 Char"/>
    <w:basedOn w:val="DefaultParagraphFont"/>
    <w:link w:val="Heading8"/>
    <w:semiHidden/>
    <w:rsid w:val="00B93533"/>
    <w:rPr>
      <w:rFonts w:ascii="Times New Roman" w:eastAsia="SimSun" w:hAnsi="Times New Roman" w:cs="Times New Roman"/>
      <w:b/>
      <w:snapToGrid w:val="0"/>
      <w:kern w:val="0"/>
      <w:u w:val="single"/>
      <w:lang w:val="fr-CA"/>
      <w14:ligatures w14:val="none"/>
    </w:rPr>
  </w:style>
  <w:style w:type="character" w:customStyle="1" w:styleId="Heading9Char">
    <w:name w:val="Heading 9 Char"/>
    <w:basedOn w:val="DefaultParagraphFont"/>
    <w:link w:val="Heading9"/>
    <w:semiHidden/>
    <w:rsid w:val="00B93533"/>
    <w:rPr>
      <w:rFonts w:ascii="Times New Roman" w:eastAsia="SimSun" w:hAnsi="Times New Roman" w:cs="Times New Roman"/>
      <w:snapToGrid w:val="0"/>
      <w:kern w:val="0"/>
      <w:u w:val="single"/>
      <w:lang w:val="fr-CA"/>
      <w14:ligatures w14:val="none"/>
    </w:rPr>
  </w:style>
  <w:style w:type="character" w:styleId="Hyperlink">
    <w:name w:val="Hyperlink"/>
    <w:basedOn w:val="DefaultParagraphFont"/>
    <w:uiPriority w:val="99"/>
    <w:unhideWhenUsed/>
    <w:rsid w:val="00B93533"/>
    <w:rPr>
      <w:rFonts w:ascii="Times New Roman" w:hAnsi="Times New Roman"/>
      <w:color w:val="0563C1" w:themeColor="hyperlink"/>
      <w:u w:val="single"/>
    </w:rPr>
  </w:style>
  <w:style w:type="paragraph" w:styleId="List">
    <w:name w:val="List"/>
    <w:basedOn w:val="Normal"/>
    <w:semiHidden/>
    <w:rsid w:val="00B93533"/>
    <w:pPr>
      <w:contextualSpacing/>
    </w:p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B93533"/>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1A014C"/>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14:ligatures w14:val="standardContextual"/>
    </w:rPr>
  </w:style>
  <w:style w:type="numbering" w:customStyle="1" w:styleId="CurrentList21">
    <w:name w:val="Current List21"/>
    <w:uiPriority w:val="99"/>
    <w:rsid w:val="001A014C"/>
  </w:style>
  <w:style w:type="paragraph" w:customStyle="1" w:styleId="paragraph">
    <w:name w:val="paragraph"/>
    <w:basedOn w:val="Normal"/>
    <w:rsid w:val="00554F37"/>
    <w:pPr>
      <w:spacing w:before="100" w:beforeAutospacing="1" w:after="100" w:afterAutospacing="1"/>
      <w:jc w:val="left"/>
    </w:pPr>
    <w:rPr>
      <w:sz w:val="24"/>
      <w:lang w:eastAsia="zh-CN"/>
    </w:rPr>
  </w:style>
  <w:style w:type="paragraph" w:customStyle="1" w:styleId="Para10">
    <w:name w:val="Para1"/>
    <w:basedOn w:val="Normal"/>
    <w:link w:val="Para1Char"/>
    <w:qFormat/>
    <w:rsid w:val="00554F37"/>
    <w:pPr>
      <w:spacing w:before="120" w:after="120"/>
    </w:pPr>
    <w:rPr>
      <w:snapToGrid w:val="0"/>
      <w:szCs w:val="18"/>
    </w:rPr>
  </w:style>
  <w:style w:type="character" w:customStyle="1" w:styleId="Para1Char">
    <w:name w:val="Para1 Char"/>
    <w:link w:val="Para10"/>
    <w:qFormat/>
    <w:locked/>
    <w:rsid w:val="00554F37"/>
    <w:rPr>
      <w:rFonts w:ascii="Times New Roman" w:eastAsia="SimSun" w:hAnsi="Times New Roman" w:cs="Times New Roman"/>
      <w:snapToGrid w:val="0"/>
      <w:kern w:val="0"/>
      <w:szCs w:val="18"/>
      <w:lang w:val="fr-CA"/>
      <w14:ligatures w14:val="none"/>
    </w:rPr>
  </w:style>
  <w:style w:type="paragraph" w:styleId="NormalWeb">
    <w:name w:val="Normal (Web)"/>
    <w:basedOn w:val="Normal"/>
    <w:uiPriority w:val="99"/>
    <w:unhideWhenUsed/>
    <w:rsid w:val="00554F37"/>
    <w:pPr>
      <w:spacing w:before="100" w:beforeAutospacing="1" w:after="100" w:afterAutospacing="1"/>
      <w:jc w:val="left"/>
    </w:pPr>
    <w:rPr>
      <w:sz w:val="24"/>
      <w:lang w:eastAsia="ko-KR"/>
    </w:rPr>
  </w:style>
  <w:style w:type="character" w:customStyle="1" w:styleId="normaltextrun">
    <w:name w:val="normaltextrun"/>
    <w:basedOn w:val="DefaultParagraphFont"/>
    <w:rsid w:val="00554F37"/>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554F37"/>
    <w:rPr>
      <w:rFonts w:ascii="Times New Roman" w:eastAsia="SimSun" w:hAnsi="Times New Roman" w:cs="Times New Roman"/>
      <w:kern w:val="0"/>
      <w:lang w:val="fr-CA"/>
      <w14:ligatures w14:val="none"/>
    </w:rPr>
  </w:style>
  <w:style w:type="paragraph" w:styleId="Revision">
    <w:name w:val="Revision"/>
    <w:hidden/>
    <w:uiPriority w:val="99"/>
    <w:semiHidden/>
    <w:rsid w:val="007A2668"/>
    <w:pPr>
      <w:spacing w:after="0" w:line="240" w:lineRule="auto"/>
    </w:pPr>
    <w:rPr>
      <w:rFonts w:ascii="Times New Roman" w:eastAsia="SimSun" w:hAnsi="Times New Roman" w:cs="Times New Roman"/>
      <w:kern w:val="0"/>
      <w14:ligatures w14:val="none"/>
    </w:rPr>
  </w:style>
  <w:style w:type="paragraph" w:styleId="BalloonText">
    <w:name w:val="Balloon Text"/>
    <w:basedOn w:val="Normal"/>
    <w:link w:val="BalloonTextChar"/>
    <w:uiPriority w:val="99"/>
    <w:semiHidden/>
    <w:unhideWhenUsed/>
    <w:rsid w:val="009448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86C"/>
    <w:rPr>
      <w:rFonts w:ascii="Segoe UI" w:eastAsia="SimSun" w:hAnsi="Segoe UI" w:cs="Segoe UI"/>
      <w:kern w:val="0"/>
      <w:sz w:val="18"/>
      <w:szCs w:val="18"/>
      <w:lang w:val="fr-CA"/>
      <w14:ligatures w14:val="none"/>
    </w:rPr>
  </w:style>
  <w:style w:type="character" w:styleId="UnresolvedMention">
    <w:name w:val="Unresolved Mention"/>
    <w:basedOn w:val="DefaultParagraphFont"/>
    <w:uiPriority w:val="99"/>
    <w:semiHidden/>
    <w:unhideWhenUsed/>
    <w:rsid w:val="00DA28B4"/>
    <w:rPr>
      <w:color w:val="605E5C"/>
      <w:shd w:val="clear" w:color="auto" w:fill="E1DFDD"/>
    </w:rPr>
  </w:style>
  <w:style w:type="character" w:styleId="FollowedHyperlink">
    <w:name w:val="FollowedHyperlink"/>
    <w:basedOn w:val="DefaultParagraphFont"/>
    <w:uiPriority w:val="99"/>
    <w:semiHidden/>
    <w:unhideWhenUsed/>
    <w:rsid w:val="006042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255686">
      <w:bodyDiv w:val="1"/>
      <w:marLeft w:val="0"/>
      <w:marRight w:val="0"/>
      <w:marTop w:val="0"/>
      <w:marBottom w:val="0"/>
      <w:divBdr>
        <w:top w:val="none" w:sz="0" w:space="0" w:color="auto"/>
        <w:left w:val="none" w:sz="0" w:space="0" w:color="auto"/>
        <w:bottom w:val="none" w:sz="0" w:space="0" w:color="auto"/>
        <w:right w:val="none" w:sz="0" w:space="0" w:color="auto"/>
      </w:divBdr>
    </w:div>
    <w:div w:id="1143960407">
      <w:bodyDiv w:val="1"/>
      <w:marLeft w:val="0"/>
      <w:marRight w:val="0"/>
      <w:marTop w:val="0"/>
      <w:marBottom w:val="0"/>
      <w:divBdr>
        <w:top w:val="none" w:sz="0" w:space="0" w:color="auto"/>
        <w:left w:val="none" w:sz="0" w:space="0" w:color="auto"/>
        <w:bottom w:val="none" w:sz="0" w:space="0" w:color="auto"/>
        <w:right w:val="none" w:sz="0" w:space="0" w:color="auto"/>
      </w:divBdr>
    </w:div>
    <w:div w:id="1202594383">
      <w:bodyDiv w:val="1"/>
      <w:marLeft w:val="0"/>
      <w:marRight w:val="0"/>
      <w:marTop w:val="0"/>
      <w:marBottom w:val="0"/>
      <w:divBdr>
        <w:top w:val="none" w:sz="0" w:space="0" w:color="auto"/>
        <w:left w:val="none" w:sz="0" w:space="0" w:color="auto"/>
        <w:bottom w:val="none" w:sz="0" w:space="0" w:color="auto"/>
        <w:right w:val="none" w:sz="0" w:space="0" w:color="auto"/>
      </w:divBdr>
    </w:div>
    <w:div w:id="1282539938">
      <w:bodyDiv w:val="1"/>
      <w:marLeft w:val="0"/>
      <w:marRight w:val="0"/>
      <w:marTop w:val="0"/>
      <w:marBottom w:val="0"/>
      <w:divBdr>
        <w:top w:val="none" w:sz="0" w:space="0" w:color="auto"/>
        <w:left w:val="none" w:sz="0" w:space="0" w:color="auto"/>
        <w:bottom w:val="none" w:sz="0" w:space="0" w:color="auto"/>
        <w:right w:val="none" w:sz="0" w:space="0" w:color="auto"/>
      </w:divBdr>
    </w:div>
    <w:div w:id="1631324055">
      <w:bodyDiv w:val="1"/>
      <w:marLeft w:val="0"/>
      <w:marRight w:val="0"/>
      <w:marTop w:val="0"/>
      <w:marBottom w:val="0"/>
      <w:divBdr>
        <w:top w:val="none" w:sz="0" w:space="0" w:color="auto"/>
        <w:left w:val="none" w:sz="0" w:space="0" w:color="auto"/>
        <w:bottom w:val="none" w:sz="0" w:space="0" w:color="auto"/>
        <w:right w:val="none" w:sz="0" w:space="0" w:color="auto"/>
      </w:divBdr>
    </w:div>
    <w:div w:id="188070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bd.int/doc/decisions/cop-13/cop-13-dec-24-fr.pdf" TargetMode="External"/><Relationship Id="rId18" Type="http://schemas.openxmlformats.org/officeDocument/2006/relationships/hyperlink" Target="https://www.cbd.int/doc/decisions/cop-13/cop-13-dec-24-fr.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cbd.int/decisions/cop/?m=cop-15"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cbd.int/decisions/cop/?m=cop-15"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cbd.int/decisions/cop/?m=cop-15" TargetMode="External"/><Relationship Id="rId23"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hyperlink" Target="https://www.cbd.int/decisions/cop/?m=cop-1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bd.int/doc/decisions/cop-14/cop-14-dec-30-fr.pdf"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decisions/cop-08/cop-08-dec-23-en.pdf" TargetMode="External"/><Relationship Id="rId3" Type="http://schemas.openxmlformats.org/officeDocument/2006/relationships/hyperlink" Target="https://www.fao.org/ecosystem-restoration-monitoring/en" TargetMode="External"/><Relationship Id="rId7" Type="http://schemas.openxmlformats.org/officeDocument/2006/relationships/hyperlink" Target="https://www.cbd.int/doc/decisions/cop-07/cop-07-dec-05-en.pdf" TargetMode="External"/><Relationship Id="rId2" Type="http://schemas.openxmlformats.org/officeDocument/2006/relationships/hyperlink" Target="https://www.cbd.int/doc/c/f038/d427/a673696bc0d95da9f501a52d/cop-16-10-rev1-fr.pdf" TargetMode="External"/><Relationship Id="rId1" Type="http://schemas.openxmlformats.org/officeDocument/2006/relationships/hyperlink" Target="https://www.cbd.int/decisions/cop/?m=cop-15" TargetMode="External"/><Relationship Id="rId6" Type="http://schemas.openxmlformats.org/officeDocument/2006/relationships/hyperlink" Target="https://www.cbd.int/decision/cop/default.shtml?id=7128" TargetMode="External"/><Relationship Id="rId5" Type="http://schemas.openxmlformats.org/officeDocument/2006/relationships/hyperlink" Target="https://www.cbd.int/meetings/SBI-04?doc=6634f88269840fbce4bc2fa6" TargetMode="External"/><Relationship Id="rId4" Type="http://schemas.openxmlformats.org/officeDocument/2006/relationships/hyperlink" Target="https://www.cbd.int/documents/CBD/COP/16/INF/1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ntal.robichaud\Downloads\template-cop-16-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78D6453E1E4F89A1372586409BE006"/>
        <w:category>
          <w:name w:val="General"/>
          <w:gallery w:val="placeholder"/>
        </w:category>
        <w:types>
          <w:type w:val="bbPlcHdr"/>
        </w:types>
        <w:behaviors>
          <w:behavior w:val="content"/>
        </w:behaviors>
        <w:guid w:val="{8443C973-6933-4F5B-A75C-907658040D56}"/>
      </w:docPartPr>
      <w:docPartBody>
        <w:p w:rsidR="00811444" w:rsidRDefault="00811444">
          <w:pPr>
            <w:pStyle w:val="CE78D6453E1E4F89A1372586409BE006"/>
          </w:pPr>
          <w:r w:rsidRPr="009B5A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DF4"/>
    <w:rsid w:val="00040D0B"/>
    <w:rsid w:val="000439F1"/>
    <w:rsid w:val="00160EF6"/>
    <w:rsid w:val="001749BE"/>
    <w:rsid w:val="00275ED0"/>
    <w:rsid w:val="002C7190"/>
    <w:rsid w:val="002D1F36"/>
    <w:rsid w:val="00303F0B"/>
    <w:rsid w:val="00333E1D"/>
    <w:rsid w:val="003A7BCA"/>
    <w:rsid w:val="003F4105"/>
    <w:rsid w:val="00445AE3"/>
    <w:rsid w:val="00455BE2"/>
    <w:rsid w:val="004D7EE5"/>
    <w:rsid w:val="004F156D"/>
    <w:rsid w:val="005B13CE"/>
    <w:rsid w:val="00616A11"/>
    <w:rsid w:val="0064645A"/>
    <w:rsid w:val="006C1F96"/>
    <w:rsid w:val="00711565"/>
    <w:rsid w:val="007435C0"/>
    <w:rsid w:val="00764DF4"/>
    <w:rsid w:val="00771329"/>
    <w:rsid w:val="00811444"/>
    <w:rsid w:val="00833AFA"/>
    <w:rsid w:val="00905044"/>
    <w:rsid w:val="00937FC0"/>
    <w:rsid w:val="00A02E43"/>
    <w:rsid w:val="00A241A4"/>
    <w:rsid w:val="00A4257F"/>
    <w:rsid w:val="00A95DE9"/>
    <w:rsid w:val="00B35399"/>
    <w:rsid w:val="00B41BF6"/>
    <w:rsid w:val="00B577CD"/>
    <w:rsid w:val="00BC34AC"/>
    <w:rsid w:val="00BE091B"/>
    <w:rsid w:val="00CA126B"/>
    <w:rsid w:val="00CE017F"/>
    <w:rsid w:val="00CE28EE"/>
    <w:rsid w:val="00CF1114"/>
    <w:rsid w:val="00D805EA"/>
    <w:rsid w:val="00DB0856"/>
    <w:rsid w:val="00DF20C3"/>
    <w:rsid w:val="00EA69B2"/>
    <w:rsid w:val="00F92B3D"/>
    <w:rsid w:val="00FF0AAF"/>
    <w:rsid w:val="00FF5F7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69B2"/>
    <w:rPr>
      <w:color w:val="808080"/>
    </w:rPr>
  </w:style>
  <w:style w:type="paragraph" w:customStyle="1" w:styleId="CE78D6453E1E4F89A1372586409BE006">
    <w:name w:val="CE78D6453E1E4F89A1372586409BE0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4793D-6811-4322-83AE-49E118692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B6236A82-6653-481B-82BB-A54307ACFB53}">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template-cop-16-en.dotm</Template>
  <TotalTime>39</TotalTime>
  <Pages>5</Pages>
  <Words>2460</Words>
  <Characters>14026</Characters>
  <Application>Microsoft Office Word</Application>
  <DocSecurity>0</DocSecurity>
  <Lines>116</Lines>
  <Paragraphs>32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Coopération avec d’autres conventions et organisations internationales</vt:lpstr>
      <vt:lpstr>Cooperation with other conventions and international organizations</vt:lpstr>
    </vt:vector>
  </TitlesOfParts>
  <Company/>
  <LinksUpToDate>false</LinksUpToDate>
  <CharactersWithSpaces>16454</CharactersWithSpaces>
  <SharedDoc>false</SharedDoc>
  <HLinks>
    <vt:vector size="6" baseType="variant">
      <vt:variant>
        <vt:i4>7667750</vt:i4>
      </vt:variant>
      <vt:variant>
        <vt:i4>0</vt:i4>
      </vt:variant>
      <vt:variant>
        <vt:i4>0</vt:i4>
      </vt:variant>
      <vt:variant>
        <vt:i4>5</vt:i4>
      </vt:variant>
      <vt:variant>
        <vt:lpwstr>https://www.cbd.int/internal/doc/editorial/dates-adoption-decisions-COP.pdf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Décision adoptée par la Conférence des Parties à la Convention sur la diversité biologique le 27 février 2025</dc:title>
  <dc:subject>CBD/COP/16/L.30</dc:subject>
  <dc:creator>Secretariat of the Convention on Biological Diversity</dc:creator>
  <cp:keywords>Conference of the Parties to the Convention on Biological Diversity</cp:keywords>
  <dc:description/>
  <cp:lastModifiedBy>Mariko Nishi</cp:lastModifiedBy>
  <cp:revision>6</cp:revision>
  <cp:lastPrinted>2024-10-29T00:02:00Z</cp:lastPrinted>
  <dcterms:created xsi:type="dcterms:W3CDTF">2025-03-14T06:21:00Z</dcterms:created>
  <dcterms:modified xsi:type="dcterms:W3CDTF">2025-03-14T18:59:00Z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Language">
    <vt:lpwstr>EN</vt:lpwstr>
  </property>
  <property fmtid="{D5CDD505-2E9C-101B-9397-08002B2CF9AE}" pid="3" name="CBD-Generator">
    <vt:lpwstr>0</vt:lpwstr>
  </property>
</Properties>
</file>