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2FD00814" w14:textId="77777777" w:rsidTr="00CF1848">
        <w:trPr>
          <w:trHeight w:val="709"/>
        </w:trPr>
        <w:tc>
          <w:tcPr>
            <w:tcW w:w="976" w:type="dxa"/>
            <w:tcBorders>
              <w:bottom w:val="single" w:sz="12" w:space="0" w:color="auto"/>
            </w:tcBorders>
          </w:tcPr>
          <w:p w14:paraId="2FD00811" w14:textId="77777777" w:rsidR="00C9161D" w:rsidRDefault="00C9161D">
            <w:r>
              <w:rPr>
                <w:noProof/>
                <w:lang w:val="fr-FR" w:eastAsia="fr-FR"/>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Default="00C9161D">
            <w:r>
              <w:rPr>
                <w:noProof/>
                <w:lang w:val="fr-FR" w:eastAsia="fr-FR"/>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2C2CA2" w14:paraId="2FD0081E" w14:textId="77777777" w:rsidTr="00CF1848">
        <w:tc>
          <w:tcPr>
            <w:tcW w:w="6117" w:type="dxa"/>
            <w:gridSpan w:val="2"/>
            <w:tcBorders>
              <w:top w:val="single" w:sz="12" w:space="0" w:color="auto"/>
              <w:bottom w:val="single" w:sz="36" w:space="0" w:color="auto"/>
            </w:tcBorders>
            <w:vAlign w:val="center"/>
          </w:tcPr>
          <w:p w14:paraId="2FD00815" w14:textId="1B724EB2" w:rsidR="00C9161D" w:rsidRDefault="00083AE3" w:rsidP="00C9161D">
            <w:r w:rsidRPr="00685FD3">
              <w:rPr>
                <w:noProof/>
                <w:snapToGrid w:val="0"/>
                <w:kern w:val="22"/>
                <w:szCs w:val="22"/>
                <w:lang w:val="fr-FR" w:eastAsia="fr-FR"/>
              </w:rPr>
              <w:drawing>
                <wp:inline distT="0" distB="0" distL="0" distR="0" wp14:anchorId="0B41C069" wp14:editId="747F2308">
                  <wp:extent cx="2857500" cy="1076325"/>
                  <wp:effectExtent l="0" t="0" r="0" b="9525"/>
                  <wp:docPr id="5"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524EE3" w:rsidRDefault="00C9161D" w:rsidP="00176CEE">
            <w:pPr>
              <w:ind w:left="1215"/>
              <w:rPr>
                <w:szCs w:val="22"/>
                <w:lang w:val="en-AU"/>
              </w:rPr>
            </w:pPr>
            <w:r w:rsidRPr="00524EE3">
              <w:rPr>
                <w:szCs w:val="22"/>
                <w:lang w:val="en-AU"/>
              </w:rPr>
              <w:t>Distr.</w:t>
            </w:r>
          </w:p>
          <w:p w14:paraId="2FD00817" w14:textId="54EF76C1" w:rsidR="00C9161D" w:rsidRPr="002C2CA2" w:rsidRDefault="009E70A7" w:rsidP="00176CEE">
            <w:pPr>
              <w:ind w:left="1215"/>
              <w:rPr>
                <w:szCs w:val="22"/>
                <w:lang w:val="en-AU"/>
              </w:rPr>
            </w:pPr>
            <w:sdt>
              <w:sdtPr>
                <w:rPr>
                  <w:caps/>
                  <w:szCs w:val="22"/>
                  <w:lang w:val="en-AU"/>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C2CA2" w:rsidRPr="002C2CA2">
                  <w:rPr>
                    <w:caps/>
                    <w:szCs w:val="22"/>
                    <w:lang w:val="en-AU"/>
                  </w:rPr>
                  <w:t>general</w:t>
                </w:r>
                <w:r w:rsidR="00083AE3" w:rsidRPr="002C2CA2">
                  <w:rPr>
                    <w:caps/>
                    <w:szCs w:val="22"/>
                    <w:lang w:val="en-AU"/>
                  </w:rPr>
                  <w:t>E</w:t>
                </w:r>
              </w:sdtContent>
            </w:sdt>
          </w:p>
          <w:p w14:paraId="2FD00818" w14:textId="77777777" w:rsidR="00C9161D" w:rsidRPr="002C2CA2" w:rsidRDefault="00C9161D" w:rsidP="00176CEE">
            <w:pPr>
              <w:ind w:left="1215"/>
              <w:rPr>
                <w:szCs w:val="22"/>
                <w:lang w:val="en-AU"/>
              </w:rPr>
            </w:pPr>
          </w:p>
          <w:p w14:paraId="2FD00819" w14:textId="2BD5A413" w:rsidR="00C9161D" w:rsidRPr="002C2CA2" w:rsidRDefault="009E70A7" w:rsidP="00176CEE">
            <w:pPr>
              <w:ind w:left="1215"/>
              <w:rPr>
                <w:szCs w:val="22"/>
                <w:lang w:val="en-AU"/>
              </w:rPr>
            </w:pPr>
            <w:sdt>
              <w:sdtPr>
                <w:rPr>
                  <w:lang w:val="en-AU"/>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D72FA" w:rsidRPr="002C2CA2">
                  <w:rPr>
                    <w:lang w:val="en-AU"/>
                  </w:rPr>
                  <w:t>CBD/C</w:t>
                </w:r>
                <w:r w:rsidR="00273079" w:rsidRPr="002C2CA2">
                  <w:rPr>
                    <w:lang w:val="en-AU"/>
                  </w:rPr>
                  <w:t>P</w:t>
                </w:r>
                <w:r w:rsidR="004F62C7" w:rsidRPr="002C2CA2">
                  <w:rPr>
                    <w:lang w:val="en-AU"/>
                  </w:rPr>
                  <w:t>/</w:t>
                </w:r>
                <w:r w:rsidR="00ED72FA" w:rsidRPr="002C2CA2">
                  <w:rPr>
                    <w:lang w:val="en-AU"/>
                  </w:rPr>
                  <w:t>MOP/</w:t>
                </w:r>
                <w:r w:rsidR="002C2CA2" w:rsidRPr="002C2CA2">
                  <w:rPr>
                    <w:lang w:val="en-AU"/>
                  </w:rPr>
                  <w:t>DEC/</w:t>
                </w:r>
                <w:r w:rsidR="00ED72FA" w:rsidRPr="002C2CA2">
                  <w:rPr>
                    <w:lang w:val="en-AU"/>
                  </w:rPr>
                  <w:t>9</w:t>
                </w:r>
                <w:r w:rsidR="002C2CA2" w:rsidRPr="002C2CA2">
                  <w:rPr>
                    <w:lang w:val="en-AU"/>
                  </w:rPr>
                  <w:t>/1</w:t>
                </w:r>
              </w:sdtContent>
            </w:sdt>
          </w:p>
          <w:p w14:paraId="2FD0081A" w14:textId="7F65AEBD" w:rsidR="00C9161D" w:rsidRPr="002C2CA2" w:rsidRDefault="002C2CA2" w:rsidP="00176CEE">
            <w:pPr>
              <w:ind w:left="1215"/>
              <w:rPr>
                <w:szCs w:val="22"/>
                <w:lang w:val="fr-FR"/>
              </w:rPr>
            </w:pPr>
            <w:r>
              <w:rPr>
                <w:szCs w:val="22"/>
                <w:lang w:val="fr-FR"/>
              </w:rPr>
              <w:t>30</w:t>
            </w:r>
            <w:r w:rsidR="00F6586C" w:rsidRPr="002C2CA2">
              <w:rPr>
                <w:szCs w:val="22"/>
                <w:lang w:val="fr-FR"/>
              </w:rPr>
              <w:t xml:space="preserve"> </w:t>
            </w:r>
            <w:r w:rsidR="00083AE3" w:rsidRPr="002C2CA2">
              <w:rPr>
                <w:szCs w:val="22"/>
                <w:lang w:val="fr-FR"/>
              </w:rPr>
              <w:t>novemb</w:t>
            </w:r>
            <w:r w:rsidR="00ED72FA" w:rsidRPr="002C2CA2">
              <w:rPr>
                <w:szCs w:val="22"/>
                <w:lang w:val="fr-FR"/>
              </w:rPr>
              <w:t>r</w:t>
            </w:r>
            <w:r w:rsidR="00083AE3" w:rsidRPr="002C2CA2">
              <w:rPr>
                <w:szCs w:val="22"/>
                <w:lang w:val="fr-FR"/>
              </w:rPr>
              <w:t>e</w:t>
            </w:r>
            <w:r w:rsidR="00F6586C" w:rsidRPr="002C2CA2">
              <w:rPr>
                <w:szCs w:val="22"/>
                <w:lang w:val="fr-FR"/>
              </w:rPr>
              <w:t xml:space="preserve"> 2018</w:t>
            </w:r>
          </w:p>
          <w:p w14:paraId="2FD0081B" w14:textId="77777777" w:rsidR="00C9161D" w:rsidRPr="002C2CA2" w:rsidRDefault="00C9161D" w:rsidP="00176CEE">
            <w:pPr>
              <w:ind w:left="1215"/>
              <w:rPr>
                <w:szCs w:val="22"/>
                <w:lang w:val="fr-FR"/>
              </w:rPr>
            </w:pPr>
          </w:p>
          <w:p w14:paraId="20ED65A3" w14:textId="0E8BB2E0" w:rsidR="00083AE3" w:rsidRPr="002C2CA2" w:rsidRDefault="00083AE3" w:rsidP="00176CEE">
            <w:pPr>
              <w:ind w:left="1215"/>
              <w:rPr>
                <w:szCs w:val="22"/>
                <w:lang w:val="fr-FR"/>
              </w:rPr>
            </w:pPr>
            <w:r w:rsidRPr="002C2CA2">
              <w:rPr>
                <w:szCs w:val="22"/>
                <w:lang w:val="fr-FR"/>
              </w:rPr>
              <w:t>FRANÇAIS</w:t>
            </w:r>
          </w:p>
          <w:p w14:paraId="2FD0081C" w14:textId="69CEFA2B" w:rsidR="00C9161D" w:rsidRPr="00083AE3" w:rsidRDefault="006B2290" w:rsidP="00176CEE">
            <w:pPr>
              <w:ind w:left="1215"/>
              <w:rPr>
                <w:szCs w:val="22"/>
                <w:lang w:val="fr-FR"/>
              </w:rPr>
            </w:pPr>
            <w:r w:rsidRPr="002C2CA2">
              <w:rPr>
                <w:szCs w:val="22"/>
                <w:lang w:val="fr-FR"/>
              </w:rPr>
              <w:t>ORIGINAL</w:t>
            </w:r>
            <w:r w:rsidR="00083AE3" w:rsidRPr="002C2CA2">
              <w:rPr>
                <w:szCs w:val="22"/>
                <w:lang w:val="fr-FR"/>
              </w:rPr>
              <w:t xml:space="preserve"> </w:t>
            </w:r>
            <w:r w:rsidRPr="002C2CA2">
              <w:rPr>
                <w:szCs w:val="22"/>
                <w:lang w:val="fr-FR"/>
              </w:rPr>
              <w:t xml:space="preserve">: </w:t>
            </w:r>
            <w:r w:rsidR="00083AE3" w:rsidRPr="002C2CA2">
              <w:rPr>
                <w:szCs w:val="22"/>
                <w:lang w:val="fr-FR"/>
              </w:rPr>
              <w:t>A</w:t>
            </w:r>
            <w:r w:rsidR="00C9161D" w:rsidRPr="002C2CA2">
              <w:rPr>
                <w:szCs w:val="22"/>
                <w:lang w:val="fr-FR"/>
              </w:rPr>
              <w:t>NGL</w:t>
            </w:r>
            <w:r w:rsidR="00083AE3" w:rsidRPr="002C2CA2">
              <w:rPr>
                <w:szCs w:val="22"/>
                <w:lang w:val="fr-FR"/>
              </w:rPr>
              <w:t>AIS</w:t>
            </w:r>
          </w:p>
          <w:p w14:paraId="2FD0081D" w14:textId="77777777" w:rsidR="00C9161D" w:rsidRPr="002C2CA2" w:rsidRDefault="00C9161D">
            <w:pPr>
              <w:rPr>
                <w:lang w:val="fr-FR"/>
              </w:rPr>
            </w:pPr>
          </w:p>
        </w:tc>
      </w:tr>
    </w:tbl>
    <w:p w14:paraId="582C6DE4" w14:textId="77777777" w:rsidR="00083AE3" w:rsidRPr="00083AE3" w:rsidRDefault="00083AE3" w:rsidP="00083AE3">
      <w:pPr>
        <w:suppressLineNumbers/>
        <w:suppressAutoHyphens/>
        <w:kinsoku w:val="0"/>
        <w:overflowPunct w:val="0"/>
        <w:autoSpaceDE w:val="0"/>
        <w:autoSpaceDN w:val="0"/>
        <w:spacing w:before="60"/>
        <w:ind w:left="227" w:right="3780" w:hanging="227"/>
        <w:jc w:val="left"/>
        <w:rPr>
          <w:snapToGrid w:val="0"/>
          <w:kern w:val="22"/>
          <w:szCs w:val="22"/>
          <w:lang w:val="fr-FR"/>
        </w:rPr>
      </w:pPr>
      <w:bookmarkStart w:id="0" w:name="_Hlk530040340"/>
      <w:r w:rsidRPr="00083AE3">
        <w:rPr>
          <w:snapToGrid w:val="0"/>
          <w:kern w:val="22"/>
          <w:szCs w:val="22"/>
          <w:lang w:val="fr-FR"/>
        </w:rPr>
        <w:t>CONFÉRENCE DES PARTIES À LA CONVE</w:t>
      </w:r>
      <w:bookmarkStart w:id="1" w:name="_GoBack"/>
      <w:bookmarkEnd w:id="1"/>
      <w:r w:rsidRPr="00083AE3">
        <w:rPr>
          <w:snapToGrid w:val="0"/>
          <w:kern w:val="22"/>
          <w:szCs w:val="22"/>
          <w:lang w:val="fr-FR"/>
        </w:rPr>
        <w:t>NTION SUR LA DIVERSITÉ BIOLOGIQUE SIÉGEANT EN TANT QUE RÉUNION DES PARTIES AU PROTOCOLE DE CARTAGENA SUR LA PRÉVENTION DES RISQUES BIOTECHNOLOGIQUES</w:t>
      </w:r>
    </w:p>
    <w:p w14:paraId="3B80B725" w14:textId="77777777" w:rsidR="00083AE3" w:rsidRPr="00083AE3" w:rsidRDefault="00083AE3" w:rsidP="00083AE3">
      <w:pPr>
        <w:suppressLineNumbers/>
        <w:suppressAutoHyphens/>
        <w:kinsoku w:val="0"/>
        <w:overflowPunct w:val="0"/>
        <w:autoSpaceDE w:val="0"/>
        <w:autoSpaceDN w:val="0"/>
        <w:ind w:right="4512"/>
        <w:jc w:val="left"/>
        <w:rPr>
          <w:snapToGrid w:val="0"/>
          <w:kern w:val="22"/>
          <w:szCs w:val="22"/>
          <w:lang w:val="fr-FR"/>
        </w:rPr>
      </w:pPr>
      <w:r w:rsidRPr="00083AE3">
        <w:rPr>
          <w:snapToGrid w:val="0"/>
          <w:kern w:val="22"/>
          <w:szCs w:val="22"/>
          <w:lang w:val="fr-FR"/>
        </w:rPr>
        <w:t>Neuvième réunion</w:t>
      </w:r>
    </w:p>
    <w:p w14:paraId="53FECED2" w14:textId="77777777" w:rsidR="00083AE3" w:rsidRPr="00083AE3" w:rsidRDefault="00083AE3" w:rsidP="00083AE3">
      <w:pPr>
        <w:suppressLineNumbers/>
        <w:suppressAutoHyphens/>
        <w:kinsoku w:val="0"/>
        <w:overflowPunct w:val="0"/>
        <w:autoSpaceDE w:val="0"/>
        <w:autoSpaceDN w:val="0"/>
        <w:rPr>
          <w:snapToGrid w:val="0"/>
          <w:kern w:val="22"/>
          <w:szCs w:val="22"/>
          <w:lang w:val="fr-FR" w:eastAsia="nb-NO"/>
        </w:rPr>
      </w:pPr>
      <w:r w:rsidRPr="00083AE3">
        <w:rPr>
          <w:snapToGrid w:val="0"/>
          <w:kern w:val="22"/>
          <w:szCs w:val="22"/>
          <w:lang w:val="fr-FR" w:eastAsia="nb-NO"/>
        </w:rPr>
        <w:t>Sharm El-Sheikh, Egypte, 17-29 novembre 2018</w:t>
      </w:r>
    </w:p>
    <w:p w14:paraId="715139F5" w14:textId="77777777" w:rsidR="00083AE3" w:rsidRPr="00083AE3" w:rsidRDefault="00083AE3" w:rsidP="00C81E23">
      <w:pPr>
        <w:spacing w:after="360"/>
        <w:rPr>
          <w:kern w:val="22"/>
          <w:szCs w:val="22"/>
          <w:lang w:val="fr-FR"/>
        </w:rPr>
      </w:pPr>
      <w:r w:rsidRPr="00083AE3">
        <w:rPr>
          <w:kern w:val="22"/>
          <w:szCs w:val="22"/>
          <w:lang w:val="fr-FR"/>
        </w:rPr>
        <w:t>Point 5 de l’ordre du jour</w:t>
      </w:r>
    </w:p>
    <w:p w14:paraId="54296CE1" w14:textId="2FF51622" w:rsidR="00083AE3" w:rsidRPr="00083AE3" w:rsidRDefault="002C2CA2" w:rsidP="00524EE3">
      <w:pPr>
        <w:spacing w:before="240" w:after="480"/>
        <w:jc w:val="center"/>
        <w:rPr>
          <w:b/>
          <w:caps/>
          <w:kern w:val="22"/>
          <w:szCs w:val="22"/>
          <w:lang w:val="fr-FR"/>
        </w:rPr>
      </w:pPr>
      <w:r>
        <w:rPr>
          <w:b/>
          <w:caps/>
          <w:kern w:val="22"/>
          <w:szCs w:val="22"/>
          <w:lang w:val="fr-FR"/>
        </w:rPr>
        <w:t>DÉCISION ADOPTÉE PAR LES PARTIES AU PROTOCOLE DE CARTAGENA SUR LA PRÉVENTION DES RISQUES BIOTECHNOLOGIQUES</w:t>
      </w:r>
    </w:p>
    <w:p w14:paraId="5442DDC3" w14:textId="1B4E6F34" w:rsidR="00083AE3" w:rsidRPr="002C2CA2" w:rsidRDefault="009E70A7" w:rsidP="002C2CA2">
      <w:pPr>
        <w:spacing w:before="120" w:after="240"/>
        <w:jc w:val="center"/>
        <w:rPr>
          <w:b/>
          <w:kern w:val="22"/>
          <w:szCs w:val="22"/>
          <w:lang w:val="fr-FR"/>
        </w:rPr>
      </w:pPr>
      <w:sdt>
        <w:sdtPr>
          <w:rPr>
            <w:b/>
            <w:caps/>
            <w:kern w:val="22"/>
            <w:szCs w:val="22"/>
            <w:lang w:val="fr-FR"/>
          </w:rPr>
          <w:alias w:val="Title"/>
          <w:tag w:val=""/>
          <w:id w:val="439418208"/>
          <w:placeholder>
            <w:docPart w:val="2BACD8EB48804B1B8D27FB83BB157782"/>
          </w:placeholder>
          <w:dataBinding w:prefixMappings="xmlns:ns0='http://purl.org/dc/elements/1.1/' xmlns:ns1='http://schemas.openxmlformats.org/package/2006/metadata/core-properties' " w:xpath="/ns1:coreProperties[1]/ns0:title[1]" w:storeItemID="{6C3C8BC8-F283-45AE-878A-BAB7291924A1}"/>
          <w:text/>
        </w:sdtPr>
        <w:sdtEndPr/>
        <w:sdtContent>
          <w:r w:rsidR="002C2CA2">
            <w:rPr>
              <w:b/>
              <w:caps/>
              <w:kern w:val="22"/>
              <w:szCs w:val="22"/>
              <w:lang w:val="fr-FR"/>
            </w:rPr>
            <w:t xml:space="preserve">9/1.    </w:t>
          </w:r>
          <w:r w:rsidR="002C2CA2">
            <w:rPr>
              <w:b/>
              <w:kern w:val="22"/>
              <w:szCs w:val="22"/>
              <w:lang w:val="fr-FR"/>
            </w:rPr>
            <w:t>Respect des obligations</w:t>
          </w:r>
        </w:sdtContent>
      </w:sdt>
    </w:p>
    <w:p w14:paraId="24425C81" w14:textId="77777777" w:rsidR="00083AE3" w:rsidRPr="00083AE3" w:rsidRDefault="00083AE3" w:rsidP="00083AE3">
      <w:pPr>
        <w:shd w:val="clear" w:color="auto" w:fill="FFFFFF" w:themeFill="background1"/>
        <w:spacing w:before="120" w:after="120"/>
        <w:ind w:firstLine="720"/>
        <w:rPr>
          <w:iCs/>
          <w:kern w:val="22"/>
          <w:szCs w:val="22"/>
          <w:lang w:val="fr-FR"/>
        </w:rPr>
      </w:pPr>
      <w:r w:rsidRPr="00083AE3">
        <w:rPr>
          <w:i/>
          <w:kern w:val="22"/>
          <w:szCs w:val="22"/>
          <w:lang w:val="fr-FR"/>
        </w:rPr>
        <w:t xml:space="preserve">La Conférence des Parties siégeant en tant que réunion des Parties au Protocole de </w:t>
      </w:r>
      <w:r w:rsidRPr="00083AE3">
        <w:rPr>
          <w:i/>
          <w:iCs/>
          <w:kern w:val="22"/>
          <w:szCs w:val="22"/>
          <w:lang w:val="fr-FR" w:eastAsia="ko-KR"/>
        </w:rPr>
        <w:t>Cartagena sur la prévention des risques biotechnologiques</w:t>
      </w:r>
      <w:r w:rsidRPr="00083AE3">
        <w:rPr>
          <w:i/>
          <w:kern w:val="22"/>
          <w:szCs w:val="22"/>
          <w:lang w:val="fr-FR"/>
        </w:rPr>
        <w:t>,</w:t>
      </w:r>
    </w:p>
    <w:p w14:paraId="20E39276" w14:textId="77777777" w:rsidR="00083AE3" w:rsidRPr="00083AE3" w:rsidRDefault="00083AE3" w:rsidP="00C81E23">
      <w:pPr>
        <w:spacing w:after="120"/>
        <w:ind w:firstLine="720"/>
        <w:rPr>
          <w:kern w:val="22"/>
          <w:szCs w:val="22"/>
          <w:lang w:val="fr-FR"/>
        </w:rPr>
      </w:pPr>
      <w:r w:rsidRPr="00083AE3">
        <w:rPr>
          <w:i/>
          <w:kern w:val="22"/>
          <w:szCs w:val="22"/>
          <w:lang w:val="fr-FR"/>
        </w:rPr>
        <w:t xml:space="preserve">Se félicitant </w:t>
      </w:r>
      <w:r w:rsidRPr="00083AE3">
        <w:rPr>
          <w:kern w:val="22"/>
          <w:szCs w:val="22"/>
          <w:lang w:val="fr-FR"/>
        </w:rPr>
        <w:t xml:space="preserve">des activités entreprises par le Comité chargé du respect des obligations au cours de la dernière période biennale, conformément à son rôle de soutien à l’application du Protocole de Cartagena sur la prévention des risques biotechnologiques, et </w:t>
      </w:r>
      <w:r w:rsidRPr="00083AE3">
        <w:rPr>
          <w:i/>
          <w:kern w:val="22"/>
          <w:szCs w:val="22"/>
          <w:lang w:val="fr-FR"/>
        </w:rPr>
        <w:t xml:space="preserve">prenant note </w:t>
      </w:r>
      <w:r w:rsidRPr="00083AE3">
        <w:rPr>
          <w:kern w:val="22"/>
          <w:szCs w:val="22"/>
          <w:lang w:val="fr-FR"/>
        </w:rPr>
        <w:t>de ses recommandations figurant à l’annexe de son rapport</w:t>
      </w:r>
      <w:r w:rsidRPr="00083AE3">
        <w:rPr>
          <w:kern w:val="22"/>
          <w:szCs w:val="22"/>
          <w:vertAlign w:val="superscript"/>
        </w:rPr>
        <w:footnoteReference w:id="1"/>
      </w:r>
      <w:r w:rsidRPr="00083AE3">
        <w:rPr>
          <w:kern w:val="22"/>
          <w:szCs w:val="22"/>
          <w:lang w:val="fr-FR"/>
        </w:rPr>
        <w:t xml:space="preserve">, </w:t>
      </w:r>
    </w:p>
    <w:p w14:paraId="55768B4A" w14:textId="354A5E0F"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 xml:space="preserve">Rappelle </w:t>
      </w:r>
      <w:r w:rsidR="00EE6081">
        <w:rPr>
          <w:snapToGrid w:val="0"/>
          <w:kern w:val="22"/>
          <w:szCs w:val="18"/>
          <w:lang w:val="fr-FR"/>
        </w:rPr>
        <w:t xml:space="preserve">aux Parties la </w:t>
      </w:r>
      <w:r w:rsidRPr="00083AE3">
        <w:rPr>
          <w:snapToGrid w:val="0"/>
          <w:kern w:val="22"/>
          <w:szCs w:val="18"/>
          <w:lang w:val="fr-FR"/>
        </w:rPr>
        <w:t>responsabilité et l’obligation qui leur incombent de prendre les mesures nécessaires et pertinentes, notamment d’un point de vue juridique et administratif, pour appliquer le Protocole;</w:t>
      </w:r>
    </w:p>
    <w:p w14:paraId="3FCA683B" w14:textId="73CD68A4"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Rappelle également</w:t>
      </w:r>
      <w:r w:rsidR="00EE6081">
        <w:rPr>
          <w:snapToGrid w:val="0"/>
          <w:kern w:val="22"/>
          <w:szCs w:val="18"/>
          <w:lang w:val="fr-FR"/>
        </w:rPr>
        <w:t xml:space="preserve"> aux</w:t>
      </w:r>
      <w:r w:rsidRPr="00083AE3">
        <w:rPr>
          <w:snapToGrid w:val="0"/>
          <w:kern w:val="22"/>
          <w:szCs w:val="18"/>
          <w:lang w:val="fr-FR"/>
        </w:rPr>
        <w:t xml:space="preserve"> Parties l’obligat</w:t>
      </w:r>
      <w:r w:rsidR="00524EE3">
        <w:rPr>
          <w:snapToGrid w:val="0"/>
          <w:kern w:val="22"/>
          <w:szCs w:val="18"/>
          <w:lang w:val="fr-FR"/>
        </w:rPr>
        <w:t>ion qui leur incombe d’assurer un suivi de</w:t>
      </w:r>
      <w:r w:rsidRPr="00083AE3">
        <w:rPr>
          <w:snapToGrid w:val="0"/>
          <w:kern w:val="22"/>
          <w:szCs w:val="18"/>
          <w:lang w:val="fr-FR"/>
        </w:rPr>
        <w:t xml:space="preserve"> l’application des dispositions fixées par le Protocole, conformément à l’article 33;</w:t>
      </w:r>
    </w:p>
    <w:p w14:paraId="530D6AD0" w14:textId="0B84B711"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 xml:space="preserve">Rappelle </w:t>
      </w:r>
      <w:r w:rsidRPr="00083AE3">
        <w:rPr>
          <w:snapToGrid w:val="0"/>
          <w:kern w:val="22"/>
          <w:szCs w:val="18"/>
          <w:lang w:val="fr-FR"/>
        </w:rPr>
        <w:t>que les Parties ayant du mal à respecter une ou plusieurs obligations fixées par le Protocole sont encouragées à demander l’assistance du Comité</w:t>
      </w:r>
      <w:r w:rsidR="00883A94">
        <w:rPr>
          <w:snapToGrid w:val="0"/>
          <w:kern w:val="22"/>
          <w:szCs w:val="18"/>
          <w:lang w:val="fr-FR"/>
        </w:rPr>
        <w:t xml:space="preserve"> chargé du respect des obligations</w:t>
      </w:r>
      <w:r w:rsidRPr="00083AE3">
        <w:rPr>
          <w:snapToGrid w:val="0"/>
          <w:kern w:val="22"/>
          <w:szCs w:val="18"/>
          <w:lang w:val="fr-FR"/>
        </w:rPr>
        <w:t>;</w:t>
      </w:r>
    </w:p>
    <w:p w14:paraId="44C77D10" w14:textId="77777777"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Prie</w:t>
      </w:r>
      <w:r w:rsidRPr="00083AE3">
        <w:rPr>
          <w:snapToGrid w:val="0"/>
          <w:kern w:val="22"/>
          <w:szCs w:val="18"/>
          <w:lang w:val="fr-FR"/>
        </w:rPr>
        <w:t xml:space="preserve"> les Parties de collaborer sans réserve lorsqu’elles sont invitées à fournir des informations sur leur respect des obligations fixées par le Protocole;</w:t>
      </w:r>
    </w:p>
    <w:p w14:paraId="34159DF0" w14:textId="5CBCE4F2"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Invite</w:t>
      </w:r>
      <w:r w:rsidRPr="00083AE3">
        <w:rPr>
          <w:snapToGrid w:val="0"/>
          <w:kern w:val="22"/>
          <w:szCs w:val="18"/>
          <w:lang w:val="fr-FR"/>
        </w:rPr>
        <w:t xml:space="preserve"> les Parties qui ont accompli des progrès dans le r</w:t>
      </w:r>
      <w:r w:rsidR="00524EE3">
        <w:rPr>
          <w:snapToGrid w:val="0"/>
          <w:kern w:val="22"/>
          <w:szCs w:val="18"/>
          <w:lang w:val="fr-FR"/>
        </w:rPr>
        <w:t>espect de certaines obligations</w:t>
      </w:r>
      <w:r w:rsidRPr="00083AE3">
        <w:rPr>
          <w:snapToGrid w:val="0"/>
          <w:kern w:val="22"/>
          <w:szCs w:val="18"/>
          <w:lang w:val="fr-FR"/>
        </w:rPr>
        <w:t xml:space="preserve"> à communiquer des informations pertinentes sur les circonstances qui les ont permis, dans les </w:t>
      </w:r>
      <w:r w:rsidR="00F32D2C">
        <w:rPr>
          <w:snapToGrid w:val="0"/>
          <w:kern w:val="22"/>
          <w:szCs w:val="18"/>
          <w:lang w:val="fr-FR"/>
        </w:rPr>
        <w:t>champs</w:t>
      </w:r>
      <w:r w:rsidRPr="00083AE3">
        <w:rPr>
          <w:snapToGrid w:val="0"/>
          <w:kern w:val="22"/>
          <w:szCs w:val="18"/>
          <w:lang w:val="fr-FR"/>
        </w:rPr>
        <w:t xml:space="preserve"> </w:t>
      </w:r>
      <w:r w:rsidR="00883A94">
        <w:rPr>
          <w:rFonts w:eastAsia="SimSun"/>
          <w:snapToGrid w:val="0"/>
          <w:kern w:val="22"/>
          <w:szCs w:val="18"/>
          <w:lang w:val="fr-FR" w:eastAsia="zh-CN"/>
        </w:rPr>
        <w:t>à texte lib</w:t>
      </w:r>
      <w:r w:rsidR="00F32D2C">
        <w:rPr>
          <w:rFonts w:eastAsia="SimSun"/>
          <w:snapToGrid w:val="0"/>
          <w:kern w:val="22"/>
          <w:szCs w:val="18"/>
          <w:lang w:val="fr-FR" w:eastAsia="zh-CN"/>
        </w:rPr>
        <w:t>re du modèle de rapport pour le quatrième rapport</w:t>
      </w:r>
      <w:r w:rsidRPr="00083AE3">
        <w:rPr>
          <w:rFonts w:eastAsia="SimSun"/>
          <w:snapToGrid w:val="0"/>
          <w:kern w:val="22"/>
          <w:szCs w:val="18"/>
          <w:lang w:val="fr-FR" w:eastAsia="zh-CN"/>
        </w:rPr>
        <w:t xml:space="preserve"> </w:t>
      </w:r>
      <w:r w:rsidR="00F32D2C">
        <w:rPr>
          <w:snapToGrid w:val="0"/>
          <w:kern w:val="22"/>
          <w:szCs w:val="18"/>
          <w:lang w:val="fr-FR"/>
        </w:rPr>
        <w:t>national</w:t>
      </w:r>
      <w:r w:rsidRPr="00083AE3">
        <w:rPr>
          <w:snapToGrid w:val="0"/>
          <w:kern w:val="22"/>
          <w:szCs w:val="18"/>
          <w:lang w:val="fr-FR"/>
        </w:rPr>
        <w:t xml:space="preserve"> ou dans le cadre des coopérations bilatérales ou régionales;</w:t>
      </w:r>
    </w:p>
    <w:p w14:paraId="3C58D2D5" w14:textId="5E967CE3"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 xml:space="preserve">Encourage </w:t>
      </w:r>
      <w:r w:rsidRPr="00083AE3">
        <w:rPr>
          <w:snapToGrid w:val="0"/>
          <w:kern w:val="22"/>
          <w:szCs w:val="18"/>
          <w:lang w:val="fr-FR"/>
        </w:rPr>
        <w:t>les</w:t>
      </w:r>
      <w:r w:rsidR="00883A94">
        <w:rPr>
          <w:snapToGrid w:val="0"/>
          <w:kern w:val="22"/>
          <w:szCs w:val="18"/>
          <w:lang w:val="fr-FR"/>
        </w:rPr>
        <w:t xml:space="preserve"> Parties à utiliser les </w:t>
      </w:r>
      <w:r w:rsidR="00F32D2C">
        <w:rPr>
          <w:snapToGrid w:val="0"/>
          <w:kern w:val="22"/>
          <w:szCs w:val="18"/>
          <w:lang w:val="fr-FR"/>
        </w:rPr>
        <w:t>champs</w:t>
      </w:r>
      <w:r w:rsidRPr="00083AE3">
        <w:rPr>
          <w:snapToGrid w:val="0"/>
          <w:kern w:val="22"/>
          <w:szCs w:val="18"/>
          <w:lang w:val="fr-FR"/>
        </w:rPr>
        <w:t xml:space="preserve"> </w:t>
      </w:r>
      <w:r w:rsidRPr="00083AE3">
        <w:rPr>
          <w:rFonts w:eastAsia="SimSun"/>
          <w:snapToGrid w:val="0"/>
          <w:kern w:val="22"/>
          <w:szCs w:val="18"/>
          <w:lang w:val="fr-FR" w:eastAsia="zh-CN"/>
        </w:rPr>
        <w:t xml:space="preserve">à texte libre du modèle de rapport </w:t>
      </w:r>
      <w:r w:rsidR="00F32D2C">
        <w:rPr>
          <w:rFonts w:eastAsia="SimSun"/>
          <w:snapToGrid w:val="0"/>
          <w:kern w:val="22"/>
          <w:szCs w:val="18"/>
          <w:lang w:val="fr-FR" w:eastAsia="zh-CN"/>
        </w:rPr>
        <w:t>pour le quatrième rapport national</w:t>
      </w:r>
      <w:r w:rsidR="00883A94">
        <w:rPr>
          <w:rFonts w:eastAsia="SimSun"/>
          <w:snapToGrid w:val="0"/>
          <w:kern w:val="22"/>
          <w:szCs w:val="18"/>
          <w:lang w:val="fr-FR" w:eastAsia="zh-CN"/>
        </w:rPr>
        <w:t xml:space="preserve">, afin de </w:t>
      </w:r>
      <w:r w:rsidRPr="00083AE3">
        <w:rPr>
          <w:rFonts w:eastAsia="SimSun"/>
          <w:snapToGrid w:val="0"/>
          <w:kern w:val="22"/>
          <w:szCs w:val="18"/>
          <w:lang w:val="fr-FR" w:eastAsia="zh-CN"/>
        </w:rPr>
        <w:t xml:space="preserve">fournir des explications sur les réponses apportées, et </w:t>
      </w:r>
      <w:r w:rsidRPr="00083AE3">
        <w:rPr>
          <w:rFonts w:eastAsia="SimSun"/>
          <w:i/>
          <w:snapToGrid w:val="0"/>
          <w:kern w:val="22"/>
          <w:szCs w:val="18"/>
          <w:lang w:val="fr-FR" w:eastAsia="zh-CN"/>
        </w:rPr>
        <w:t>invite</w:t>
      </w:r>
      <w:r w:rsidRPr="00083AE3">
        <w:rPr>
          <w:rFonts w:eastAsia="SimSun"/>
          <w:snapToGrid w:val="0"/>
          <w:kern w:val="22"/>
          <w:szCs w:val="18"/>
          <w:lang w:val="fr-FR" w:eastAsia="zh-CN"/>
        </w:rPr>
        <w:t xml:space="preserve"> les Parties </w:t>
      </w:r>
      <w:r w:rsidRPr="00083AE3">
        <w:rPr>
          <w:snapToGrid w:val="0"/>
          <w:kern w:val="22"/>
          <w:szCs w:val="18"/>
          <w:lang w:val="fr-FR"/>
        </w:rPr>
        <w:lastRenderedPageBreak/>
        <w:t xml:space="preserve">ayant du mal à </w:t>
      </w:r>
      <w:r w:rsidR="00F32D2C">
        <w:rPr>
          <w:snapToGrid w:val="0"/>
          <w:kern w:val="22"/>
          <w:szCs w:val="18"/>
          <w:lang w:val="fr-FR"/>
        </w:rPr>
        <w:t>respecter certaines obligations</w:t>
      </w:r>
      <w:r w:rsidRPr="00083AE3">
        <w:rPr>
          <w:snapToGrid w:val="0"/>
          <w:kern w:val="22"/>
          <w:szCs w:val="18"/>
          <w:lang w:val="fr-FR"/>
        </w:rPr>
        <w:t xml:space="preserve"> à communiquer des informations sur les obstacles rencontrés da</w:t>
      </w:r>
      <w:r w:rsidR="00883A94">
        <w:rPr>
          <w:snapToGrid w:val="0"/>
          <w:kern w:val="22"/>
          <w:szCs w:val="18"/>
          <w:lang w:val="fr-FR"/>
        </w:rPr>
        <w:t xml:space="preserve">ns les </w:t>
      </w:r>
      <w:r w:rsidR="00F32D2C">
        <w:rPr>
          <w:snapToGrid w:val="0"/>
          <w:kern w:val="22"/>
          <w:szCs w:val="18"/>
          <w:lang w:val="fr-FR"/>
        </w:rPr>
        <w:t>champs</w:t>
      </w:r>
      <w:r w:rsidR="00883A94">
        <w:rPr>
          <w:snapToGrid w:val="0"/>
          <w:kern w:val="22"/>
          <w:szCs w:val="18"/>
          <w:lang w:val="fr-FR"/>
        </w:rPr>
        <w:t xml:space="preserve"> à texte libre du modèle de rapport pour le</w:t>
      </w:r>
      <w:r w:rsidR="00F32D2C">
        <w:rPr>
          <w:snapToGrid w:val="0"/>
          <w:kern w:val="22"/>
          <w:szCs w:val="18"/>
          <w:lang w:val="fr-FR"/>
        </w:rPr>
        <w:t xml:space="preserve"> quatrième rapport national</w:t>
      </w:r>
      <w:r w:rsidRPr="00083AE3">
        <w:rPr>
          <w:snapToGrid w:val="0"/>
          <w:kern w:val="22"/>
          <w:szCs w:val="18"/>
          <w:lang w:val="fr-FR"/>
        </w:rPr>
        <w:t>;</w:t>
      </w:r>
    </w:p>
    <w:p w14:paraId="369D1CA2" w14:textId="77777777"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22"/>
          <w:lang w:val="fr-FR"/>
        </w:rPr>
        <w:t>Prend note</w:t>
      </w:r>
      <w:r w:rsidRPr="00083AE3">
        <w:rPr>
          <w:snapToGrid w:val="0"/>
          <w:kern w:val="22"/>
          <w:szCs w:val="22"/>
          <w:lang w:val="fr-FR"/>
        </w:rPr>
        <w:t xml:space="preserve"> avec satisfaction des efforts déployés par les Parties pour respecter l’obligation qui leur incombe au titre du Protocole de fournir des informations au Centre d’échange pour la prévention des risques biotechnologiques;</w:t>
      </w:r>
    </w:p>
    <w:p w14:paraId="446031DE" w14:textId="567AEDD2"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Invite instamment</w:t>
      </w:r>
      <w:r w:rsidRPr="00083AE3">
        <w:rPr>
          <w:snapToGrid w:val="0"/>
          <w:kern w:val="22"/>
          <w:szCs w:val="18"/>
          <w:lang w:val="fr-FR"/>
        </w:rPr>
        <w:t xml:space="preserve"> les Parties à adresser, en temps voulu, toutes les informations requises au Centre d’échange pour la prévention des risques biotechnologiques, en particulier les évaluations de risques et les décisions finales relatives au premier mouvement intentionnel transfrontière d’organismes </w:t>
      </w:r>
      <w:r w:rsidRPr="00083AE3">
        <w:rPr>
          <w:rFonts w:eastAsia="SimSun"/>
          <w:snapToGrid w:val="0"/>
          <w:kern w:val="22"/>
          <w:szCs w:val="22"/>
          <w:lang w:val="fr-FR" w:eastAsia="zh-CN"/>
        </w:rPr>
        <w:t>vivants modifiés destinés à être introduits intentionnellement d</w:t>
      </w:r>
      <w:r w:rsidR="00F32D2C">
        <w:rPr>
          <w:rFonts w:eastAsia="SimSun"/>
          <w:snapToGrid w:val="0"/>
          <w:kern w:val="22"/>
          <w:szCs w:val="22"/>
          <w:lang w:val="fr-FR" w:eastAsia="zh-CN"/>
        </w:rPr>
        <w:t>ans l’environnement, notamment l</w:t>
      </w:r>
      <w:r w:rsidRPr="00083AE3">
        <w:rPr>
          <w:rFonts w:eastAsia="SimSun"/>
          <w:snapToGrid w:val="0"/>
          <w:kern w:val="22"/>
          <w:szCs w:val="22"/>
          <w:lang w:val="fr-FR" w:eastAsia="zh-CN"/>
        </w:rPr>
        <w:t>es organismes vivants modifiés destinés à des essais sur le terrain;</w:t>
      </w:r>
    </w:p>
    <w:p w14:paraId="3965E246" w14:textId="77777777"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 xml:space="preserve">Rappelle </w:t>
      </w:r>
      <w:r w:rsidRPr="00083AE3">
        <w:rPr>
          <w:snapToGrid w:val="0"/>
          <w:kern w:val="22"/>
          <w:szCs w:val="18"/>
          <w:lang w:val="fr-FR"/>
        </w:rPr>
        <w:t>aux Parties la nécessité de mettre continuellement à jour les coordonnées de leurs correspondants nationaux sur le site du Centre d’échange pour la prévention des risques biotechnologiques;</w:t>
      </w:r>
    </w:p>
    <w:p w14:paraId="14A65BFE" w14:textId="58F98EB3"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Invite instamment</w:t>
      </w:r>
      <w:r w:rsidR="00E60C63">
        <w:rPr>
          <w:snapToGrid w:val="0"/>
          <w:kern w:val="22"/>
          <w:szCs w:val="18"/>
          <w:lang w:val="fr-FR"/>
        </w:rPr>
        <w:t xml:space="preserve"> les Pa</w:t>
      </w:r>
      <w:r w:rsidRPr="00083AE3">
        <w:rPr>
          <w:snapToGrid w:val="0"/>
          <w:kern w:val="22"/>
          <w:szCs w:val="18"/>
          <w:lang w:val="fr-FR"/>
        </w:rPr>
        <w:t>rties à coordonner, à l’échelle nationale, les informations fournies dans les rapports nationaux et au Centre d’échange pour la prévention des risques biotechnologiques, afin d</w:t>
      </w:r>
      <w:r w:rsidR="00CA5CD2">
        <w:rPr>
          <w:snapToGrid w:val="0"/>
          <w:kern w:val="22"/>
          <w:szCs w:val="18"/>
          <w:lang w:val="fr-FR"/>
        </w:rPr>
        <w:t xml:space="preserve">’éviter toute incohérence, et </w:t>
      </w:r>
      <w:r w:rsidR="00CA5CD2" w:rsidRPr="00CA5CD2">
        <w:rPr>
          <w:i/>
          <w:snapToGrid w:val="0"/>
          <w:kern w:val="22"/>
          <w:szCs w:val="18"/>
          <w:lang w:val="fr-FR"/>
        </w:rPr>
        <w:t>encourage</w:t>
      </w:r>
      <w:r w:rsidR="00CA5CD2">
        <w:rPr>
          <w:snapToGrid w:val="0"/>
          <w:kern w:val="22"/>
          <w:szCs w:val="18"/>
          <w:lang w:val="fr-FR"/>
        </w:rPr>
        <w:t xml:space="preserve"> une</w:t>
      </w:r>
      <w:r w:rsidRPr="00083AE3">
        <w:rPr>
          <w:snapToGrid w:val="0"/>
          <w:kern w:val="22"/>
          <w:szCs w:val="18"/>
          <w:lang w:val="fr-FR"/>
        </w:rPr>
        <w:t xml:space="preserve"> communication entre les correspondants nationaux et les autorités nationales compétentes;</w:t>
      </w:r>
    </w:p>
    <w:p w14:paraId="4D23DA77" w14:textId="3A1F2BDD"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 xml:space="preserve">Rappelle </w:t>
      </w:r>
      <w:r w:rsidR="00E60C63">
        <w:rPr>
          <w:snapToGrid w:val="0"/>
          <w:kern w:val="22"/>
          <w:szCs w:val="18"/>
          <w:lang w:val="fr-FR"/>
        </w:rPr>
        <w:t xml:space="preserve">aux </w:t>
      </w:r>
      <w:r w:rsidRPr="00083AE3">
        <w:rPr>
          <w:snapToGrid w:val="0"/>
          <w:kern w:val="22"/>
          <w:szCs w:val="18"/>
          <w:lang w:val="fr-FR"/>
        </w:rPr>
        <w:t>Parties l’importance de nouer un dialogue constructif avec l’ensemble des parties prenantes, y compris les entreprises industrielles, le grand public, les peuples autochtones et communautés locales, et les femmes, afin d’assurer l’application effective du Protocole;</w:t>
      </w:r>
    </w:p>
    <w:p w14:paraId="7380F419" w14:textId="77777777"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Encourage</w:t>
      </w:r>
      <w:r w:rsidRPr="00083AE3">
        <w:rPr>
          <w:snapToGrid w:val="0"/>
          <w:kern w:val="22"/>
          <w:szCs w:val="18"/>
          <w:lang w:val="fr-FR"/>
        </w:rPr>
        <w:t xml:space="preserve"> les Parties à intégrer la </w:t>
      </w:r>
      <w:r w:rsidRPr="00083AE3">
        <w:rPr>
          <w:kern w:val="22"/>
          <w:szCs w:val="18"/>
          <w:lang w:val="fr-FR" w:eastAsia="en-CA"/>
        </w:rPr>
        <w:t xml:space="preserve">prévention des risques biotechnologiques </w:t>
      </w:r>
      <w:r w:rsidRPr="00083AE3">
        <w:rPr>
          <w:snapToGrid w:val="0"/>
          <w:kern w:val="22"/>
          <w:szCs w:val="18"/>
          <w:lang w:val="fr-FR"/>
        </w:rPr>
        <w:t>dans leurs systèmes éducatifs;</w:t>
      </w:r>
    </w:p>
    <w:p w14:paraId="3521605D" w14:textId="78E45D9D"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Invite instamment</w:t>
      </w:r>
      <w:r w:rsidRPr="00083AE3">
        <w:rPr>
          <w:snapToGrid w:val="0"/>
          <w:kern w:val="22"/>
          <w:szCs w:val="18"/>
          <w:lang w:val="fr-FR"/>
        </w:rPr>
        <w:t xml:space="preserve"> les Parties et</w:t>
      </w:r>
      <w:r w:rsidRPr="00083AE3">
        <w:rPr>
          <w:i/>
          <w:snapToGrid w:val="0"/>
          <w:kern w:val="22"/>
          <w:szCs w:val="18"/>
          <w:lang w:val="fr-FR"/>
        </w:rPr>
        <w:t xml:space="preserve"> invite</w:t>
      </w:r>
      <w:r w:rsidRPr="00083AE3">
        <w:rPr>
          <w:snapToGrid w:val="0"/>
          <w:kern w:val="22"/>
          <w:szCs w:val="18"/>
          <w:lang w:val="fr-FR"/>
        </w:rPr>
        <w:t xml:space="preserve"> les autres gouvernements à fournir des financements volontaires, afin d’aider les Parties </w:t>
      </w:r>
      <w:r w:rsidR="00CA5CD2">
        <w:rPr>
          <w:snapToGrid w:val="0"/>
          <w:kern w:val="22"/>
          <w:szCs w:val="18"/>
          <w:lang w:val="fr-FR"/>
        </w:rPr>
        <w:t xml:space="preserve">qui ont été </w:t>
      </w:r>
      <w:r w:rsidRPr="00083AE3">
        <w:rPr>
          <w:snapToGrid w:val="0"/>
          <w:kern w:val="22"/>
          <w:szCs w:val="18"/>
          <w:lang w:val="fr-FR"/>
        </w:rPr>
        <w:t xml:space="preserve">priées par le Comité d’élaborer et de mettre en œuvre des plans d’action sur </w:t>
      </w:r>
      <w:r w:rsidRPr="00083AE3">
        <w:rPr>
          <w:snapToGrid w:val="0"/>
          <w:kern w:val="22"/>
          <w:szCs w:val="22"/>
          <w:lang w:val="fr-FR"/>
        </w:rPr>
        <w:t>le respect des obligations;</w:t>
      </w:r>
    </w:p>
    <w:p w14:paraId="5C7A9E3C" w14:textId="77777777" w:rsidR="00083AE3" w:rsidRPr="00083AE3" w:rsidRDefault="00083AE3" w:rsidP="00083AE3">
      <w:pPr>
        <w:numPr>
          <w:ilvl w:val="0"/>
          <w:numId w:val="2"/>
        </w:numPr>
        <w:tabs>
          <w:tab w:val="clear" w:pos="360"/>
        </w:tabs>
        <w:spacing w:before="120" w:after="120"/>
        <w:ind w:firstLine="709"/>
        <w:rPr>
          <w:snapToGrid w:val="0"/>
          <w:kern w:val="22"/>
          <w:szCs w:val="18"/>
          <w:lang w:val="fr-FR"/>
        </w:rPr>
      </w:pPr>
      <w:r w:rsidRPr="00083AE3">
        <w:rPr>
          <w:i/>
          <w:snapToGrid w:val="0"/>
          <w:kern w:val="22"/>
          <w:szCs w:val="18"/>
          <w:lang w:val="fr-FR"/>
        </w:rPr>
        <w:t>Encourage</w:t>
      </w:r>
      <w:r w:rsidRPr="00083AE3">
        <w:rPr>
          <w:snapToGrid w:val="0"/>
          <w:kern w:val="22"/>
          <w:szCs w:val="18"/>
          <w:lang w:val="fr-FR"/>
        </w:rPr>
        <w:t xml:space="preserve"> les Parties à consacrer des crédits à la </w:t>
      </w:r>
      <w:r w:rsidRPr="00083AE3">
        <w:rPr>
          <w:kern w:val="22"/>
          <w:szCs w:val="18"/>
          <w:lang w:val="fr-FR" w:eastAsia="en-CA"/>
        </w:rPr>
        <w:t xml:space="preserve">prévention des risques biotechnologiques </w:t>
      </w:r>
      <w:r w:rsidRPr="00083AE3">
        <w:rPr>
          <w:snapToGrid w:val="0"/>
          <w:kern w:val="22"/>
          <w:szCs w:val="18"/>
          <w:lang w:val="fr-FR"/>
        </w:rPr>
        <w:t>dans leurs budgets nationaux, dans la mesure du possible;</w:t>
      </w:r>
    </w:p>
    <w:p w14:paraId="67154474" w14:textId="77777777" w:rsidR="00083AE3" w:rsidRPr="00083AE3" w:rsidRDefault="00083AE3" w:rsidP="00083AE3">
      <w:pPr>
        <w:numPr>
          <w:ilvl w:val="0"/>
          <w:numId w:val="2"/>
        </w:numPr>
        <w:tabs>
          <w:tab w:val="clear" w:pos="360"/>
          <w:tab w:val="num" w:pos="709"/>
        </w:tabs>
        <w:spacing w:before="120" w:after="120"/>
        <w:ind w:firstLine="709"/>
        <w:rPr>
          <w:snapToGrid w:val="0"/>
          <w:szCs w:val="18"/>
          <w:lang w:val="fr-FR"/>
        </w:rPr>
      </w:pPr>
      <w:r w:rsidRPr="00083AE3">
        <w:rPr>
          <w:i/>
          <w:snapToGrid w:val="0"/>
          <w:szCs w:val="18"/>
          <w:lang w:val="fr-FR"/>
        </w:rPr>
        <w:t>Constate avec regret</w:t>
      </w:r>
      <w:r w:rsidRPr="00083AE3">
        <w:rPr>
          <w:snapToGrid w:val="0"/>
          <w:szCs w:val="18"/>
          <w:lang w:val="fr-FR"/>
        </w:rPr>
        <w:t xml:space="preserve"> qu’une Partie n’a pas remis ses rapports nationaux pendant plusieurs cycles d’établissement de rapports;</w:t>
      </w:r>
    </w:p>
    <w:p w14:paraId="35EFFC1E" w14:textId="483E9E38" w:rsidR="00083AE3" w:rsidRPr="00083AE3" w:rsidRDefault="00083AE3" w:rsidP="00083AE3">
      <w:pPr>
        <w:numPr>
          <w:ilvl w:val="0"/>
          <w:numId w:val="2"/>
        </w:numPr>
        <w:tabs>
          <w:tab w:val="clear" w:pos="360"/>
          <w:tab w:val="num" w:pos="709"/>
        </w:tabs>
        <w:spacing w:before="120" w:after="120"/>
        <w:ind w:firstLine="709"/>
        <w:rPr>
          <w:snapToGrid w:val="0"/>
          <w:szCs w:val="18"/>
          <w:lang w:val="fr-FR"/>
        </w:rPr>
      </w:pPr>
      <w:r w:rsidRPr="00083AE3">
        <w:rPr>
          <w:i/>
          <w:snapToGrid w:val="0"/>
          <w:szCs w:val="18"/>
          <w:lang w:val="fr-FR"/>
        </w:rPr>
        <w:t>Constate également</w:t>
      </w:r>
      <w:r w:rsidRPr="00083AE3">
        <w:rPr>
          <w:snapToGrid w:val="0"/>
          <w:szCs w:val="18"/>
          <w:lang w:val="fr-FR"/>
        </w:rPr>
        <w:t xml:space="preserve"> que le Comité chargé du respect des obligations et la Secrétaire exécutive ont contacté la Partie dont il est question au paragraphe 15 ci-dessus à de multiples occasions, conformément à la décision BS-V/1, en lui offra</w:t>
      </w:r>
      <w:r w:rsidR="00883A94">
        <w:rPr>
          <w:snapToGrid w:val="0"/>
          <w:szCs w:val="18"/>
          <w:lang w:val="fr-FR"/>
        </w:rPr>
        <w:t>n</w:t>
      </w:r>
      <w:r w:rsidR="00CA5CD2">
        <w:rPr>
          <w:snapToGrid w:val="0"/>
          <w:szCs w:val="18"/>
          <w:lang w:val="fr-FR"/>
        </w:rPr>
        <w:t xml:space="preserve">t notamment une assistance à </w:t>
      </w:r>
      <w:r w:rsidR="00883A94">
        <w:rPr>
          <w:snapToGrid w:val="0"/>
          <w:szCs w:val="18"/>
          <w:lang w:val="fr-FR"/>
        </w:rPr>
        <w:t xml:space="preserve">la préparation de </w:t>
      </w:r>
      <w:r w:rsidRPr="00083AE3">
        <w:rPr>
          <w:snapToGrid w:val="0"/>
          <w:szCs w:val="18"/>
          <w:lang w:val="fr-FR"/>
        </w:rPr>
        <w:t>ses rapports;</w:t>
      </w:r>
    </w:p>
    <w:p w14:paraId="52A7ECE7" w14:textId="77777777" w:rsidR="00083AE3" w:rsidRPr="00083AE3" w:rsidRDefault="00083AE3" w:rsidP="00083AE3">
      <w:pPr>
        <w:numPr>
          <w:ilvl w:val="0"/>
          <w:numId w:val="2"/>
        </w:numPr>
        <w:tabs>
          <w:tab w:val="clear" w:pos="360"/>
          <w:tab w:val="num" w:pos="709"/>
        </w:tabs>
        <w:spacing w:before="120" w:after="120"/>
        <w:ind w:firstLine="709"/>
        <w:rPr>
          <w:snapToGrid w:val="0"/>
          <w:szCs w:val="18"/>
          <w:lang w:val="fr-FR"/>
        </w:rPr>
      </w:pPr>
      <w:r w:rsidRPr="00083AE3">
        <w:rPr>
          <w:i/>
          <w:snapToGrid w:val="0"/>
          <w:szCs w:val="18"/>
          <w:lang w:val="fr-FR"/>
        </w:rPr>
        <w:t xml:space="preserve">Demande </w:t>
      </w:r>
      <w:r w:rsidRPr="00083AE3">
        <w:rPr>
          <w:snapToGrid w:val="0"/>
          <w:szCs w:val="18"/>
          <w:lang w:val="fr-FR"/>
        </w:rPr>
        <w:t>à la Partie dont il est question au paragraphe 15 ci-dessus de remettre son troisième rapport national de toute urgence;</w:t>
      </w:r>
    </w:p>
    <w:p w14:paraId="0F384A3D" w14:textId="22DAEC39" w:rsidR="00083AE3" w:rsidRPr="00083AE3" w:rsidRDefault="00083AE3" w:rsidP="00083AE3">
      <w:pPr>
        <w:numPr>
          <w:ilvl w:val="0"/>
          <w:numId w:val="2"/>
        </w:numPr>
        <w:tabs>
          <w:tab w:val="clear" w:pos="360"/>
          <w:tab w:val="num" w:pos="709"/>
        </w:tabs>
        <w:spacing w:before="120" w:after="360"/>
        <w:ind w:firstLine="709"/>
        <w:rPr>
          <w:snapToGrid w:val="0"/>
          <w:szCs w:val="18"/>
          <w:lang w:val="fr-FR"/>
        </w:rPr>
      </w:pPr>
      <w:r w:rsidRPr="00083AE3">
        <w:rPr>
          <w:i/>
          <w:snapToGrid w:val="0"/>
          <w:szCs w:val="18"/>
          <w:lang w:val="fr-FR"/>
        </w:rPr>
        <w:t>Encourage</w:t>
      </w:r>
      <w:r w:rsidRPr="00083AE3">
        <w:rPr>
          <w:iCs/>
          <w:snapToGrid w:val="0"/>
          <w:szCs w:val="18"/>
          <w:lang w:val="fr-FR"/>
        </w:rPr>
        <w:t xml:space="preserve"> la</w:t>
      </w:r>
      <w:r w:rsidRPr="00083AE3">
        <w:rPr>
          <w:snapToGrid w:val="0"/>
          <w:szCs w:val="18"/>
          <w:lang w:val="fr-FR"/>
        </w:rPr>
        <w:t xml:space="preserve"> Partie dont il est question au paragraphe 15 ci-dessus à demander l’assistance du Comité chargé du respect des obligations, conformément à la décision BS-V/1, si elle a bes</w:t>
      </w:r>
      <w:r w:rsidR="00CA5CD2">
        <w:rPr>
          <w:snapToGrid w:val="0"/>
          <w:szCs w:val="18"/>
          <w:lang w:val="fr-FR"/>
        </w:rPr>
        <w:t>oin d’une aide pour préparer ses</w:t>
      </w:r>
      <w:r w:rsidRPr="00083AE3">
        <w:rPr>
          <w:snapToGrid w:val="0"/>
          <w:szCs w:val="18"/>
          <w:lang w:val="fr-FR"/>
        </w:rPr>
        <w:t xml:space="preserve"> rapport</w:t>
      </w:r>
      <w:r w:rsidR="00CA5CD2">
        <w:rPr>
          <w:snapToGrid w:val="0"/>
          <w:szCs w:val="18"/>
          <w:lang w:val="fr-FR"/>
        </w:rPr>
        <w:t>s</w:t>
      </w:r>
      <w:r w:rsidRPr="00083AE3">
        <w:rPr>
          <w:snapToGrid w:val="0"/>
          <w:szCs w:val="18"/>
          <w:lang w:val="fr-FR"/>
        </w:rPr>
        <w:t>.</w:t>
      </w:r>
    </w:p>
    <w:bookmarkEnd w:id="0"/>
    <w:p w14:paraId="2FD00827" w14:textId="7B1A034D" w:rsidR="00B3369F" w:rsidRPr="00083AE3" w:rsidRDefault="002641E6" w:rsidP="00083AE3">
      <w:pPr>
        <w:spacing w:before="120" w:after="120"/>
        <w:jc w:val="center"/>
        <w:rPr>
          <w:kern w:val="22"/>
          <w:szCs w:val="22"/>
        </w:rPr>
      </w:pPr>
      <w:r w:rsidRPr="00977281">
        <w:rPr>
          <w:kern w:val="22"/>
          <w:szCs w:val="22"/>
        </w:rPr>
        <w:t>__________</w:t>
      </w:r>
    </w:p>
    <w:sectPr w:rsidR="00B3369F" w:rsidRPr="00083AE3"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568D3" w14:textId="77777777" w:rsidR="009E70A7" w:rsidRDefault="009E70A7" w:rsidP="00CF1848">
      <w:r>
        <w:separator/>
      </w:r>
    </w:p>
  </w:endnote>
  <w:endnote w:type="continuationSeparator" w:id="0">
    <w:p w14:paraId="5A5DFFBF" w14:textId="77777777" w:rsidR="009E70A7" w:rsidRDefault="009E70A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5E57B" w14:textId="77777777" w:rsidR="009E70A7" w:rsidRDefault="009E70A7" w:rsidP="00CF1848">
      <w:r>
        <w:separator/>
      </w:r>
    </w:p>
  </w:footnote>
  <w:footnote w:type="continuationSeparator" w:id="0">
    <w:p w14:paraId="634099F2" w14:textId="77777777" w:rsidR="009E70A7" w:rsidRDefault="009E70A7" w:rsidP="00CF1848">
      <w:r>
        <w:continuationSeparator/>
      </w:r>
    </w:p>
  </w:footnote>
  <w:footnote w:id="1">
    <w:p w14:paraId="2909CB4C" w14:textId="77777777" w:rsidR="00083AE3" w:rsidRPr="00CD2950" w:rsidRDefault="00083AE3" w:rsidP="00F32D2C">
      <w:pPr>
        <w:pStyle w:val="FootnoteText"/>
        <w:ind w:firstLine="0"/>
        <w:rPr>
          <w:lang w:val="en-CA"/>
        </w:rPr>
      </w:pPr>
      <w:r>
        <w:rPr>
          <w:rStyle w:val="FootnoteReference"/>
        </w:rPr>
        <w:footnoteRef/>
      </w:r>
      <w:r>
        <w:t xml:space="preserve"> </w:t>
      </w:r>
      <w:r>
        <w:rPr>
          <w:lang w:val="en-CA"/>
        </w:rPr>
        <w:t>CBD/CP/MOP/9/2.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43F585E3" w:rsidR="00534681" w:rsidRPr="007B078D" w:rsidRDefault="002C2CA2" w:rsidP="00534681">
        <w:pPr>
          <w:pStyle w:val="Header"/>
          <w:rPr>
            <w:lang w:val="fr-FR"/>
          </w:rPr>
        </w:pPr>
        <w:r>
          <w:rPr>
            <w:lang w:val="fr-FR"/>
          </w:rPr>
          <w:t>CBD/CP/MOP/DEC/9/1</w:t>
        </w:r>
      </w:p>
    </w:sdtContent>
  </w:sdt>
  <w:p w14:paraId="2FD00833" w14:textId="77777777" w:rsidR="00534681" w:rsidRPr="007B078D" w:rsidRDefault="00534681" w:rsidP="00534681">
    <w:pPr>
      <w:pStyle w:val="Header"/>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EE6081">
      <w:rPr>
        <w:noProof/>
        <w:lang w:val="fr-FR"/>
      </w:rPr>
      <w:t>2</w:t>
    </w:r>
    <w:r>
      <w:rPr>
        <w:noProof/>
      </w:rPr>
      <w:fldChar w:fldCharType="end"/>
    </w:r>
  </w:p>
  <w:p w14:paraId="2FD00834" w14:textId="77777777" w:rsidR="00534681" w:rsidRPr="007B078D"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49B918A1" w:rsidR="009505C9" w:rsidRPr="007B078D" w:rsidRDefault="002C2CA2" w:rsidP="009505C9">
        <w:pPr>
          <w:pStyle w:val="Header"/>
          <w:jc w:val="right"/>
          <w:rPr>
            <w:lang w:val="fr-FR"/>
          </w:rPr>
        </w:pPr>
        <w:r>
          <w:rPr>
            <w:lang w:val="fr-FR"/>
          </w:rPr>
          <w:t>CBD/CP/MOP/DEC/9/1</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083AE3">
      <w:rPr>
        <w:noProof/>
        <w:lang w:val="fr-FR"/>
      </w:rPr>
      <w:t>3</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6D74"/>
    <w:rsid w:val="00083AE3"/>
    <w:rsid w:val="000B6F3E"/>
    <w:rsid w:val="000E673A"/>
    <w:rsid w:val="000F4914"/>
    <w:rsid w:val="000F74F5"/>
    <w:rsid w:val="00105372"/>
    <w:rsid w:val="00131E7A"/>
    <w:rsid w:val="0014645A"/>
    <w:rsid w:val="00172AF6"/>
    <w:rsid w:val="00176CEE"/>
    <w:rsid w:val="00186DD8"/>
    <w:rsid w:val="002641E6"/>
    <w:rsid w:val="00273079"/>
    <w:rsid w:val="002C2CA2"/>
    <w:rsid w:val="00372F74"/>
    <w:rsid w:val="003D6DF7"/>
    <w:rsid w:val="003F7224"/>
    <w:rsid w:val="00427D21"/>
    <w:rsid w:val="004644C2"/>
    <w:rsid w:val="00467F9C"/>
    <w:rsid w:val="004F62C7"/>
    <w:rsid w:val="00524EE3"/>
    <w:rsid w:val="00534681"/>
    <w:rsid w:val="00544BEB"/>
    <w:rsid w:val="006122BA"/>
    <w:rsid w:val="0068672C"/>
    <w:rsid w:val="006B2290"/>
    <w:rsid w:val="006C47B1"/>
    <w:rsid w:val="00717D88"/>
    <w:rsid w:val="0077626F"/>
    <w:rsid w:val="007942D3"/>
    <w:rsid w:val="007B078D"/>
    <w:rsid w:val="007B6C09"/>
    <w:rsid w:val="007E09DA"/>
    <w:rsid w:val="008178B6"/>
    <w:rsid w:val="00865B74"/>
    <w:rsid w:val="00883A94"/>
    <w:rsid w:val="00930BA1"/>
    <w:rsid w:val="0093169E"/>
    <w:rsid w:val="009505C9"/>
    <w:rsid w:val="009E70A7"/>
    <w:rsid w:val="00AC3393"/>
    <w:rsid w:val="00B31C0E"/>
    <w:rsid w:val="00B3369F"/>
    <w:rsid w:val="00C443BD"/>
    <w:rsid w:val="00C81E23"/>
    <w:rsid w:val="00C9161D"/>
    <w:rsid w:val="00CA5CD2"/>
    <w:rsid w:val="00CF1848"/>
    <w:rsid w:val="00D12044"/>
    <w:rsid w:val="00D76A18"/>
    <w:rsid w:val="00DD118C"/>
    <w:rsid w:val="00E47AB3"/>
    <w:rsid w:val="00E60C63"/>
    <w:rsid w:val="00E66235"/>
    <w:rsid w:val="00E83C24"/>
    <w:rsid w:val="00E9318D"/>
    <w:rsid w:val="00ED72FA"/>
    <w:rsid w:val="00EE6081"/>
    <w:rsid w:val="00F05E33"/>
    <w:rsid w:val="00F32D2C"/>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641E6"/>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BACD8EB48804B1B8D27FB83BB157782"/>
        <w:category>
          <w:name w:val="General"/>
          <w:gallery w:val="placeholder"/>
        </w:category>
        <w:types>
          <w:type w:val="bbPlcHdr"/>
        </w:types>
        <w:behaviors>
          <w:behavior w:val="content"/>
        </w:behaviors>
        <w:guid w:val="{1ED39D5F-96EC-465A-9F61-468374BAF8DA}"/>
      </w:docPartPr>
      <w:docPartBody>
        <w:p w:rsidR="00D64F44" w:rsidRDefault="002714C7" w:rsidP="002714C7">
          <w:pPr>
            <w:pStyle w:val="2BACD8EB48804B1B8D27FB83BB15778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714C7"/>
    <w:rsid w:val="00387435"/>
    <w:rsid w:val="004837ED"/>
    <w:rsid w:val="00500A2B"/>
    <w:rsid w:val="0058288D"/>
    <w:rsid w:val="005B222A"/>
    <w:rsid w:val="006801B3"/>
    <w:rsid w:val="007663B1"/>
    <w:rsid w:val="007C5262"/>
    <w:rsid w:val="00810A55"/>
    <w:rsid w:val="008C6619"/>
    <w:rsid w:val="008D420E"/>
    <w:rsid w:val="0098642F"/>
    <w:rsid w:val="00AB48DD"/>
    <w:rsid w:val="00D6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2714C7"/>
    <w:rPr>
      <w:color w:val="808080"/>
    </w:rPr>
  </w:style>
  <w:style w:type="paragraph" w:customStyle="1" w:styleId="AE509BF74A8746A487E2A3C4880FE421">
    <w:name w:val="AE509BF74A8746A487E2A3C4880FE421"/>
    <w:rsid w:val="005B222A"/>
    <w:pPr>
      <w:spacing w:after="160" w:line="259" w:lineRule="auto"/>
    </w:pPr>
    <w:rPr>
      <w:lang w:val="fr-FR" w:eastAsia="fr-FR"/>
    </w:rPr>
  </w:style>
  <w:style w:type="paragraph" w:customStyle="1" w:styleId="2BACD8EB48804B1B8D27FB83BB157782">
    <w:name w:val="2BACD8EB48804B1B8D27FB83BB157782"/>
    <w:rsid w:val="002714C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ADA99A-3E16-48DB-94E1-65475D5A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804</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9/1.    Respect des obligations</vt:lpstr>
    </vt:vector>
  </TitlesOfParts>
  <Company>SCBD</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Respect des obligations</dc:title>
  <dc:subject>CBD/CP/MOP/DEC/9/1</dc:subject>
  <dc:creator>SCBD</dc:creator>
  <cp:lastModifiedBy>Finn Kinley</cp:lastModifiedBy>
  <cp:revision>12</cp:revision>
  <dcterms:created xsi:type="dcterms:W3CDTF">2018-11-26T07:27:00Z</dcterms:created>
  <dcterms:modified xsi:type="dcterms:W3CDTF">2019-01-28T23:52:00Z</dcterms:modified>
  <cp:contentStatus>generalE</cp:contentStatus>
</cp:coreProperties>
</file>