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B61207" w14:paraId="2FD00814" w14:textId="77777777" w:rsidTr="00CF1848">
        <w:trPr>
          <w:trHeight w:val="709"/>
        </w:trPr>
        <w:tc>
          <w:tcPr>
            <w:tcW w:w="976" w:type="dxa"/>
            <w:tcBorders>
              <w:bottom w:val="single" w:sz="12" w:space="0" w:color="auto"/>
            </w:tcBorders>
          </w:tcPr>
          <w:p w14:paraId="2FD00811" w14:textId="77777777" w:rsidR="00C9161D" w:rsidRPr="00B61207" w:rsidRDefault="00C9161D">
            <w:pPr>
              <w:rPr>
                <w:kern w:val="22"/>
              </w:rPr>
            </w:pPr>
            <w:r w:rsidRPr="00B61207">
              <w:rPr>
                <w:noProof/>
                <w:kern w:val="22"/>
                <w:lang w:eastAsia="en-CA"/>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B61207" w:rsidRDefault="00C9161D">
            <w:pPr>
              <w:rPr>
                <w:kern w:val="22"/>
              </w:rPr>
            </w:pPr>
            <w:r w:rsidRPr="00B61207">
              <w:rPr>
                <w:noProof/>
                <w:kern w:val="22"/>
                <w:lang w:eastAsia="en-CA"/>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B61207" w:rsidRDefault="00C9161D" w:rsidP="00C9161D">
            <w:pPr>
              <w:jc w:val="right"/>
              <w:rPr>
                <w:rFonts w:ascii="Arial" w:hAnsi="Arial" w:cs="Arial"/>
                <w:b/>
                <w:kern w:val="22"/>
                <w:sz w:val="32"/>
                <w:szCs w:val="32"/>
              </w:rPr>
            </w:pPr>
            <w:r w:rsidRPr="00B61207">
              <w:rPr>
                <w:rFonts w:ascii="Arial" w:hAnsi="Arial" w:cs="Arial"/>
                <w:b/>
                <w:kern w:val="22"/>
                <w:sz w:val="32"/>
                <w:szCs w:val="32"/>
              </w:rPr>
              <w:t>CBD</w:t>
            </w:r>
          </w:p>
        </w:tc>
      </w:tr>
      <w:tr w:rsidR="00C9161D" w:rsidRPr="00B61207"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B61207" w:rsidRDefault="00C9161D" w:rsidP="00C9161D">
            <w:pPr>
              <w:rPr>
                <w:kern w:val="22"/>
              </w:rPr>
            </w:pPr>
            <w:r w:rsidRPr="00B61207">
              <w:rPr>
                <w:noProof/>
                <w:kern w:val="22"/>
                <w:lang w:eastAsia="en-CA"/>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B61207" w:rsidRDefault="00C9161D" w:rsidP="00176CEE">
            <w:pPr>
              <w:ind w:left="1215"/>
              <w:rPr>
                <w:kern w:val="22"/>
                <w:szCs w:val="22"/>
              </w:rPr>
            </w:pPr>
            <w:r w:rsidRPr="00B61207">
              <w:rPr>
                <w:kern w:val="22"/>
                <w:szCs w:val="22"/>
              </w:rPr>
              <w:t>Distr.</w:t>
            </w:r>
          </w:p>
          <w:p w14:paraId="2FD00817" w14:textId="509F1A56" w:rsidR="00C9161D" w:rsidRPr="00B61207" w:rsidRDefault="0000418E" w:rsidP="00176CEE">
            <w:pPr>
              <w:ind w:left="1215"/>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198E" w:rsidRPr="00C5136F">
                  <w:rPr>
                    <w:kern w:val="22"/>
                    <w:szCs w:val="22"/>
                  </w:rPr>
                  <w:t>GENERAL</w:t>
                </w:r>
              </w:sdtContent>
            </w:sdt>
          </w:p>
          <w:p w14:paraId="2FD00818" w14:textId="77777777" w:rsidR="00C9161D" w:rsidRPr="00B61207" w:rsidRDefault="00C9161D" w:rsidP="00176CEE">
            <w:pPr>
              <w:ind w:left="1215"/>
              <w:rPr>
                <w:kern w:val="22"/>
                <w:szCs w:val="22"/>
              </w:rPr>
            </w:pPr>
          </w:p>
          <w:p w14:paraId="2FD00819" w14:textId="64852E11" w:rsidR="00C9161D" w:rsidRPr="00B61207" w:rsidRDefault="0000418E" w:rsidP="00176CEE">
            <w:pPr>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0198E" w:rsidRPr="00C5136F">
                  <w:rPr>
                    <w:kern w:val="22"/>
                  </w:rPr>
                  <w:t>CBD/CP/MOP/</w:t>
                </w:r>
                <w:r w:rsidR="0026098B" w:rsidRPr="00C5136F">
                  <w:rPr>
                    <w:kern w:val="22"/>
                  </w:rPr>
                  <w:t>DEC/9/2</w:t>
                </w:r>
              </w:sdtContent>
            </w:sdt>
          </w:p>
          <w:p w14:paraId="2FD0081A" w14:textId="7559E67E" w:rsidR="00C9161D" w:rsidRPr="00B61207" w:rsidRDefault="00A0198E" w:rsidP="00176CEE">
            <w:pPr>
              <w:ind w:left="1215"/>
              <w:rPr>
                <w:kern w:val="22"/>
                <w:szCs w:val="22"/>
              </w:rPr>
            </w:pPr>
            <w:r w:rsidRPr="00B61207">
              <w:rPr>
                <w:kern w:val="22"/>
                <w:szCs w:val="22"/>
              </w:rPr>
              <w:t xml:space="preserve">30 </w:t>
            </w:r>
            <w:r w:rsidR="00ED72FA" w:rsidRPr="00B61207">
              <w:rPr>
                <w:kern w:val="22"/>
                <w:szCs w:val="22"/>
              </w:rPr>
              <w:t>November</w:t>
            </w:r>
            <w:r w:rsidR="00F6586C" w:rsidRPr="00B61207">
              <w:rPr>
                <w:kern w:val="22"/>
                <w:szCs w:val="22"/>
              </w:rPr>
              <w:t xml:space="preserve"> 2018</w:t>
            </w:r>
          </w:p>
          <w:p w14:paraId="2FD0081B" w14:textId="77777777" w:rsidR="00C9161D" w:rsidRPr="00B61207" w:rsidRDefault="00C9161D" w:rsidP="00176CEE">
            <w:pPr>
              <w:ind w:left="1215"/>
              <w:rPr>
                <w:kern w:val="22"/>
                <w:szCs w:val="22"/>
              </w:rPr>
            </w:pPr>
          </w:p>
          <w:p w14:paraId="2FD0081C" w14:textId="77777777" w:rsidR="00C9161D" w:rsidRPr="00B61207" w:rsidRDefault="006B2290" w:rsidP="00176CEE">
            <w:pPr>
              <w:ind w:left="1215"/>
              <w:rPr>
                <w:kern w:val="22"/>
                <w:szCs w:val="22"/>
              </w:rPr>
            </w:pPr>
            <w:r w:rsidRPr="00B61207">
              <w:rPr>
                <w:kern w:val="22"/>
                <w:szCs w:val="22"/>
              </w:rPr>
              <w:t xml:space="preserve">ORIGINAL: </w:t>
            </w:r>
            <w:r w:rsidR="00C9161D" w:rsidRPr="00B61207">
              <w:rPr>
                <w:kern w:val="22"/>
                <w:szCs w:val="22"/>
              </w:rPr>
              <w:t>ENGLISH</w:t>
            </w:r>
          </w:p>
          <w:p w14:paraId="2FD0081D" w14:textId="77777777" w:rsidR="00C9161D" w:rsidRPr="00B61207" w:rsidRDefault="00C9161D">
            <w:pPr>
              <w:rPr>
                <w:kern w:val="22"/>
              </w:rPr>
            </w:pPr>
          </w:p>
        </w:tc>
      </w:tr>
    </w:tbl>
    <w:p w14:paraId="006161E7" w14:textId="070230D4" w:rsidR="00AC3393" w:rsidRPr="00B61207" w:rsidRDefault="00AC3393" w:rsidP="00AC3393">
      <w:pPr>
        <w:pStyle w:val="Cornernotation"/>
        <w:suppressLineNumbers/>
        <w:suppressAutoHyphens/>
        <w:kinsoku w:val="0"/>
        <w:overflowPunct w:val="0"/>
        <w:autoSpaceDE w:val="0"/>
        <w:autoSpaceDN w:val="0"/>
        <w:spacing w:before="60"/>
        <w:ind w:left="227" w:right="3780" w:hanging="227"/>
        <w:rPr>
          <w:snapToGrid w:val="0"/>
          <w:kern w:val="22"/>
        </w:rPr>
      </w:pPr>
      <w:bookmarkStart w:id="0" w:name="_Hlk530040340"/>
      <w:r w:rsidRPr="00C5136F">
        <w:rPr>
          <w:snapToGrid w:val="0"/>
          <w:kern w:val="22"/>
        </w:rPr>
        <w:t xml:space="preserve">CONFERENCE OF THE PARTIES TO THE CONVENTION ON BIOLOGICAL DIVERSITY </w:t>
      </w:r>
      <w:r w:rsidRPr="005151CC">
        <w:rPr>
          <w:snapToGrid w:val="0"/>
          <w:kern w:val="22"/>
        </w:rPr>
        <w:t>SERVING AS THE MEETING OF THE PARTIES TO THE</w:t>
      </w:r>
      <w:r w:rsidR="00F4051A" w:rsidRPr="00B61207">
        <w:rPr>
          <w:snapToGrid w:val="0"/>
          <w:kern w:val="22"/>
        </w:rPr>
        <w:t xml:space="preserve"> CARTAGENA PROTOCOL ON BIOSAFET</w:t>
      </w:r>
      <w:r w:rsidR="00F95F50" w:rsidRPr="00B61207">
        <w:rPr>
          <w:snapToGrid w:val="0"/>
          <w:kern w:val="22"/>
        </w:rPr>
        <w:t>Y</w:t>
      </w:r>
    </w:p>
    <w:p w14:paraId="32F58AE0" w14:textId="77777777" w:rsidR="00AC3393" w:rsidRPr="00B61207" w:rsidRDefault="00AC3393" w:rsidP="00AC3393">
      <w:pPr>
        <w:pStyle w:val="Cornernotation"/>
        <w:suppressLineNumbers/>
        <w:suppressAutoHyphens/>
        <w:kinsoku w:val="0"/>
        <w:overflowPunct w:val="0"/>
        <w:autoSpaceDE w:val="0"/>
        <w:autoSpaceDN w:val="0"/>
        <w:ind w:left="0" w:right="4512" w:firstLine="0"/>
        <w:rPr>
          <w:snapToGrid w:val="0"/>
          <w:kern w:val="22"/>
        </w:rPr>
      </w:pPr>
      <w:r w:rsidRPr="00B61207">
        <w:rPr>
          <w:snapToGrid w:val="0"/>
          <w:kern w:val="22"/>
        </w:rPr>
        <w:t>Ninth meeting</w:t>
      </w:r>
    </w:p>
    <w:p w14:paraId="10DD7072" w14:textId="77777777" w:rsidR="00AC3393" w:rsidRPr="00B61207" w:rsidRDefault="00AC3393" w:rsidP="00AC3393">
      <w:pPr>
        <w:suppressLineNumbers/>
        <w:suppressAutoHyphens/>
        <w:kinsoku w:val="0"/>
        <w:overflowPunct w:val="0"/>
        <w:autoSpaceDE w:val="0"/>
        <w:autoSpaceDN w:val="0"/>
        <w:rPr>
          <w:snapToGrid w:val="0"/>
          <w:kern w:val="22"/>
          <w:szCs w:val="22"/>
          <w:lang w:eastAsia="nb-NO"/>
        </w:rPr>
      </w:pPr>
      <w:bookmarkStart w:id="1" w:name="_Hlk505863673"/>
      <w:r w:rsidRPr="00B61207">
        <w:rPr>
          <w:snapToGrid w:val="0"/>
          <w:kern w:val="22"/>
          <w:szCs w:val="22"/>
          <w:lang w:eastAsia="nb-NO"/>
        </w:rPr>
        <w:t>Sharm El-Sheikh, Egypt</w:t>
      </w:r>
      <w:bookmarkEnd w:id="1"/>
      <w:r w:rsidRPr="00B61207">
        <w:rPr>
          <w:snapToGrid w:val="0"/>
          <w:kern w:val="22"/>
          <w:szCs w:val="22"/>
          <w:lang w:eastAsia="nb-NO"/>
        </w:rPr>
        <w:t>, 17-29 November 2018</w:t>
      </w:r>
    </w:p>
    <w:bookmarkEnd w:id="0"/>
    <w:p w14:paraId="2FD00822" w14:textId="43B80F13" w:rsidR="00172AF6" w:rsidRPr="00B61207" w:rsidRDefault="00F6586C" w:rsidP="00172AF6">
      <w:pPr>
        <w:pStyle w:val="Cornernotation"/>
        <w:ind w:right="3973"/>
        <w:rPr>
          <w:kern w:val="22"/>
        </w:rPr>
      </w:pPr>
      <w:r w:rsidRPr="00B61207">
        <w:rPr>
          <w:color w:val="000000"/>
          <w:kern w:val="22"/>
        </w:rPr>
        <w:t xml:space="preserve">Agenda item </w:t>
      </w:r>
      <w:r w:rsidR="00C20995" w:rsidRPr="00B61207">
        <w:rPr>
          <w:color w:val="000000"/>
          <w:kern w:val="22"/>
        </w:rPr>
        <w:t>9</w:t>
      </w:r>
    </w:p>
    <w:p w14:paraId="63AB530B" w14:textId="419BEEA8" w:rsidR="00A0198E" w:rsidRPr="00B61207" w:rsidRDefault="00C07FAE" w:rsidP="00B61207">
      <w:pPr>
        <w:pStyle w:val="HEADINGNOTFORTOC"/>
        <w:tabs>
          <w:tab w:val="clear" w:pos="720"/>
        </w:tabs>
        <w:snapToGrid w:val="0"/>
        <w:spacing w:before="120"/>
        <w:rPr>
          <w:rFonts w:ascii="Times New Roman Bold" w:hAnsi="Times New Roman Bold"/>
          <w:bCs/>
          <w:kern w:val="22"/>
          <w:szCs w:val="22"/>
        </w:rPr>
      </w:pPr>
      <w:bookmarkStart w:id="2" w:name="_Toc403662936"/>
      <w:r w:rsidRPr="00B61207">
        <w:rPr>
          <w:rFonts w:ascii="Times New Roman Bold" w:hAnsi="Times New Roman Bold"/>
          <w:kern w:val="22"/>
          <w:szCs w:val="22"/>
        </w:rPr>
        <w:t>Decision adopted by the Parties to the Cartagena Protocol on Biosafety</w:t>
      </w:r>
      <w:bookmarkEnd w:id="2"/>
    </w:p>
    <w:p w14:paraId="2FD00824" w14:textId="19026CAE" w:rsidR="00C9161D" w:rsidRPr="00B61207" w:rsidRDefault="0000418E" w:rsidP="00B61207">
      <w:pPr>
        <w:pStyle w:val="recommendationheader"/>
        <w:rPr>
          <w:kern w:val="22"/>
          <w:szCs w:val="22"/>
        </w:rPr>
      </w:pPr>
      <w:sdt>
        <w:sdtPr>
          <w:rPr>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Pr>
              <w:kern w:val="22"/>
              <w:szCs w:val="22"/>
            </w:rPr>
            <w:t>9</w:t>
          </w:r>
          <w:r w:rsidR="00A0198E" w:rsidRPr="00C5136F">
            <w:rPr>
              <w:kern w:val="22"/>
              <w:szCs w:val="22"/>
            </w:rPr>
            <w:t>/2.</w:t>
          </w:r>
          <w:r w:rsidR="00A0198E" w:rsidRPr="00C5136F">
            <w:rPr>
              <w:kern w:val="22"/>
              <w:szCs w:val="22"/>
            </w:rPr>
            <w:tab/>
            <w:t>Operation and activities of the Biosafety Clearing-</w:t>
          </w:r>
          <w:r w:rsidR="00105E1B" w:rsidRPr="00C5136F">
            <w:rPr>
              <w:kern w:val="22"/>
              <w:szCs w:val="22"/>
            </w:rPr>
            <w:t>H</w:t>
          </w:r>
          <w:r w:rsidR="00A0198E" w:rsidRPr="00C5136F">
            <w:rPr>
              <w:kern w:val="22"/>
              <w:szCs w:val="22"/>
            </w:rPr>
            <w:t>ouse</w:t>
          </w:r>
        </w:sdtContent>
      </w:sdt>
      <w:r w:rsidR="00A47D13" w:rsidRPr="00C5136F">
        <w:rPr>
          <w:kern w:val="22"/>
          <w:szCs w:val="22"/>
        </w:rPr>
        <w:t xml:space="preserve"> (Article 20)</w:t>
      </w:r>
    </w:p>
    <w:p w14:paraId="7A33D836" w14:textId="77777777" w:rsidR="00C20995" w:rsidRPr="00B61207" w:rsidRDefault="00C20995" w:rsidP="00B61207">
      <w:pPr>
        <w:pStyle w:val="Para1"/>
        <w:numPr>
          <w:ilvl w:val="0"/>
          <w:numId w:val="0"/>
        </w:numPr>
        <w:suppressLineNumbers/>
        <w:suppressAutoHyphens/>
        <w:ind w:firstLine="720"/>
        <w:rPr>
          <w:rStyle w:val="None"/>
          <w:i/>
          <w:iCs/>
          <w:kern w:val="22"/>
          <w:szCs w:val="22"/>
        </w:rPr>
      </w:pPr>
      <w:r w:rsidRPr="00C5136F">
        <w:rPr>
          <w:rStyle w:val="None"/>
          <w:i/>
          <w:iCs/>
          <w:kern w:val="22"/>
          <w:szCs w:val="22"/>
        </w:rPr>
        <w:t>The Conference of the Parties serving as the meeting of the Parties to the Cartagena Protocol on Biosafety,</w:t>
      </w:r>
    </w:p>
    <w:p w14:paraId="31FA7C1D" w14:textId="2BAD6D46" w:rsidR="00C20995" w:rsidRPr="005151CC" w:rsidRDefault="00C20995" w:rsidP="00B61207">
      <w:pPr>
        <w:pStyle w:val="Para1"/>
        <w:numPr>
          <w:ilvl w:val="0"/>
          <w:numId w:val="0"/>
        </w:numPr>
        <w:suppressLineNumbers/>
        <w:suppressAutoHyphens/>
        <w:ind w:firstLine="720"/>
        <w:rPr>
          <w:rStyle w:val="None"/>
          <w:i/>
          <w:iCs/>
          <w:kern w:val="22"/>
          <w:szCs w:val="22"/>
        </w:rPr>
      </w:pPr>
      <w:r w:rsidRPr="00C5136F">
        <w:rPr>
          <w:rStyle w:val="None"/>
          <w:i/>
          <w:iCs/>
          <w:kern w:val="22"/>
          <w:szCs w:val="22"/>
        </w:rPr>
        <w:t xml:space="preserve">Noting with concern </w:t>
      </w:r>
      <w:r w:rsidRPr="00C5136F">
        <w:rPr>
          <w:kern w:val="22"/>
          <w:szCs w:val="22"/>
        </w:rPr>
        <w:t xml:space="preserve">that important activities requested in decision </w:t>
      </w:r>
      <w:hyperlink r:id="rId12" w:history="1">
        <w:r w:rsidRPr="00B61207">
          <w:rPr>
            <w:rStyle w:val="Hyperlink"/>
            <w:kern w:val="22"/>
            <w:sz w:val="22"/>
          </w:rPr>
          <w:t>CP-VIII/2</w:t>
        </w:r>
      </w:hyperlink>
      <w:r w:rsidRPr="00C5136F">
        <w:rPr>
          <w:kern w:val="22"/>
          <w:szCs w:val="22"/>
        </w:rPr>
        <w:t xml:space="preserve"> have not been undertaken,</w:t>
      </w:r>
    </w:p>
    <w:p w14:paraId="71783EF9" w14:textId="47F9D234" w:rsidR="00C20995" w:rsidRPr="00B61207" w:rsidRDefault="00C20995">
      <w:pPr>
        <w:pStyle w:val="Para1"/>
        <w:numPr>
          <w:ilvl w:val="0"/>
          <w:numId w:val="2"/>
        </w:numPr>
        <w:suppressLineNumbers/>
        <w:suppressAutoHyphens/>
        <w:snapToGrid w:val="0"/>
        <w:ind w:firstLine="720"/>
        <w:rPr>
          <w:kern w:val="22"/>
          <w:szCs w:val="22"/>
        </w:rPr>
      </w:pPr>
      <w:r w:rsidRPr="00B61207">
        <w:rPr>
          <w:rStyle w:val="None"/>
          <w:i/>
          <w:iCs/>
          <w:kern w:val="22"/>
          <w:szCs w:val="22"/>
        </w:rPr>
        <w:t>Welcomes</w:t>
      </w:r>
      <w:r w:rsidRPr="00B61207">
        <w:rPr>
          <w:kern w:val="22"/>
          <w:szCs w:val="22"/>
        </w:rPr>
        <w:t xml:space="preserve"> the continued efforts by Parties, other Governments and relevant organizations in supporting the implementation of the Biosafety Clearing-House and carrying out related capacity-building activities, and </w:t>
      </w:r>
      <w:r w:rsidRPr="00B61207">
        <w:rPr>
          <w:rStyle w:val="None"/>
          <w:i/>
          <w:iCs/>
          <w:kern w:val="22"/>
          <w:szCs w:val="22"/>
        </w:rPr>
        <w:t>invites</w:t>
      </w:r>
      <w:r w:rsidRPr="00B61207">
        <w:rPr>
          <w:kern w:val="22"/>
          <w:szCs w:val="22"/>
        </w:rPr>
        <w:t xml:space="preserve"> them to continue doing so with a view to further strengthening the role of the Biosafety Clearing-House in the implementation of the Cartagena Protocol</w:t>
      </w:r>
      <w:r w:rsidR="00A47D13" w:rsidRPr="00B61207">
        <w:rPr>
          <w:kern w:val="22"/>
          <w:szCs w:val="22"/>
        </w:rPr>
        <w:t xml:space="preserve"> on Biosafety</w:t>
      </w:r>
      <w:r w:rsidRPr="00B61207">
        <w:rPr>
          <w:kern w:val="22"/>
          <w:szCs w:val="22"/>
        </w:rPr>
        <w:t>;</w:t>
      </w:r>
    </w:p>
    <w:p w14:paraId="2D14B984" w14:textId="77777777" w:rsidR="00C20995" w:rsidRPr="00B61207" w:rsidRDefault="00C20995">
      <w:pPr>
        <w:pStyle w:val="Para1"/>
        <w:numPr>
          <w:ilvl w:val="0"/>
          <w:numId w:val="2"/>
        </w:numPr>
        <w:suppressLineNumbers/>
        <w:suppressAutoHyphens/>
        <w:snapToGrid w:val="0"/>
        <w:ind w:firstLine="720"/>
        <w:rPr>
          <w:rStyle w:val="None"/>
          <w:kern w:val="22"/>
          <w:szCs w:val="22"/>
        </w:rPr>
      </w:pPr>
      <w:r w:rsidRPr="00B61207">
        <w:rPr>
          <w:rStyle w:val="None"/>
          <w:i/>
          <w:kern w:val="22"/>
          <w:szCs w:val="22"/>
        </w:rPr>
        <w:t>Welcomes</w:t>
      </w:r>
      <w:r w:rsidRPr="00B61207">
        <w:rPr>
          <w:rStyle w:val="None"/>
          <w:kern w:val="22"/>
          <w:szCs w:val="22"/>
        </w:rPr>
        <w:t xml:space="preserve"> the implementation of the United Nations Environment Programme–Global Environment Facility “Project for Sustainable Capacity Building for Effective Participation in the Biosafety Clearing-House” (BCH III Project), and </w:t>
      </w:r>
      <w:r w:rsidRPr="00B61207">
        <w:rPr>
          <w:rStyle w:val="None"/>
          <w:i/>
          <w:kern w:val="22"/>
          <w:szCs w:val="22"/>
        </w:rPr>
        <w:t>invites</w:t>
      </w:r>
      <w:r w:rsidRPr="00B61207">
        <w:rPr>
          <w:rStyle w:val="None"/>
          <w:kern w:val="22"/>
          <w:szCs w:val="22"/>
        </w:rPr>
        <w:t xml:space="preserve"> the United Nations Environment Programme to continue facilitating regional collaboration and capacity-building on the use of the Biosafety Clearing-House;</w:t>
      </w:r>
    </w:p>
    <w:p w14:paraId="0F1DB587" w14:textId="77777777" w:rsidR="00C20995" w:rsidRPr="00B61207" w:rsidRDefault="00C20995">
      <w:pPr>
        <w:pStyle w:val="Para1"/>
        <w:numPr>
          <w:ilvl w:val="0"/>
          <w:numId w:val="2"/>
        </w:numPr>
        <w:suppressLineNumbers/>
        <w:suppressAutoHyphens/>
        <w:snapToGrid w:val="0"/>
        <w:ind w:firstLine="720"/>
        <w:rPr>
          <w:kern w:val="22"/>
          <w:szCs w:val="22"/>
        </w:rPr>
      </w:pPr>
      <w:r w:rsidRPr="00B61207">
        <w:rPr>
          <w:rStyle w:val="None"/>
          <w:i/>
          <w:iCs/>
          <w:kern w:val="22"/>
          <w:szCs w:val="22"/>
        </w:rPr>
        <w:t>Decides</w:t>
      </w:r>
      <w:r w:rsidRPr="00B61207">
        <w:rPr>
          <w:kern w:val="22"/>
          <w:szCs w:val="22"/>
        </w:rPr>
        <w:t xml:space="preserve"> that the Informal Advisory Committee on the Biosafety Clearing-House will hold at least one meeting, and informal online discussions as needed, and report on the outcomes of its work to the Conference of the Parties serving as the meeting of the Parties to the Cartagena Protocol at its tenth meeting;</w:t>
      </w:r>
    </w:p>
    <w:p w14:paraId="01C9B4D8" w14:textId="46BDE8F7" w:rsidR="00C20995" w:rsidRPr="00C5136F" w:rsidRDefault="00C20995">
      <w:pPr>
        <w:pStyle w:val="Para1"/>
        <w:numPr>
          <w:ilvl w:val="0"/>
          <w:numId w:val="2"/>
        </w:numPr>
        <w:suppressLineNumbers/>
        <w:suppressAutoHyphens/>
        <w:snapToGrid w:val="0"/>
        <w:ind w:firstLine="720"/>
        <w:rPr>
          <w:kern w:val="22"/>
          <w:szCs w:val="22"/>
        </w:rPr>
      </w:pPr>
      <w:r w:rsidRPr="00B61207">
        <w:rPr>
          <w:rStyle w:val="None"/>
          <w:i/>
          <w:iCs/>
          <w:kern w:val="22"/>
          <w:szCs w:val="22"/>
        </w:rPr>
        <w:t>Endorses</w:t>
      </w:r>
      <w:r w:rsidRPr="00B61207">
        <w:rPr>
          <w:kern w:val="22"/>
          <w:szCs w:val="22"/>
        </w:rPr>
        <w:t xml:space="preserve"> the joint modalities of operation for the clearing-house mechanism of the Convention, the Biosafety Clearing-House and the Access and Benefit-sharing Clearing-House, contained in the annex to decision </w:t>
      </w:r>
      <w:r w:rsidR="0005573C" w:rsidRPr="00B61207">
        <w:rPr>
          <w:kern w:val="22"/>
          <w:szCs w:val="22"/>
        </w:rPr>
        <w:t>14</w:t>
      </w:r>
      <w:r w:rsidRPr="00B61207">
        <w:rPr>
          <w:kern w:val="22"/>
          <w:szCs w:val="22"/>
        </w:rPr>
        <w:t>/</w:t>
      </w:r>
      <w:r w:rsidR="00A0198E" w:rsidRPr="00B61207">
        <w:rPr>
          <w:kern w:val="22"/>
          <w:szCs w:val="22"/>
        </w:rPr>
        <w:t>25</w:t>
      </w:r>
      <w:r w:rsidRPr="00B61207">
        <w:rPr>
          <w:kern w:val="22"/>
          <w:szCs w:val="22"/>
        </w:rPr>
        <w:t xml:space="preserve"> of the Conference of the Parties</w:t>
      </w:r>
      <w:r w:rsidRPr="00C5136F">
        <w:rPr>
          <w:kern w:val="22"/>
          <w:szCs w:val="22"/>
        </w:rPr>
        <w:t xml:space="preserve">, which are complementary </w:t>
      </w:r>
      <w:r w:rsidRPr="00C5136F">
        <w:rPr>
          <w:rStyle w:val="Hyperlink1"/>
          <w:rFonts w:eastAsiaTheme="majorEastAsia"/>
          <w:szCs w:val="22"/>
        </w:rPr>
        <w:t xml:space="preserve">to the modalities of operation of the Biosafety Clearing-House adopted in decision </w:t>
      </w:r>
      <w:hyperlink r:id="rId13" w:history="1">
        <w:r w:rsidRPr="00B61207">
          <w:rPr>
            <w:rStyle w:val="Hyperlink0"/>
            <w:rFonts w:eastAsiaTheme="majorEastAsia"/>
          </w:rPr>
          <w:t>BS-I/3</w:t>
        </w:r>
      </w:hyperlink>
      <w:r w:rsidRPr="00C5136F">
        <w:rPr>
          <w:kern w:val="22"/>
          <w:szCs w:val="22"/>
        </w:rPr>
        <w:t>;</w:t>
      </w:r>
    </w:p>
    <w:p w14:paraId="322B69CF" w14:textId="77777777" w:rsidR="00C20995" w:rsidRPr="00B61207" w:rsidRDefault="00C20995">
      <w:pPr>
        <w:pStyle w:val="Para1"/>
        <w:numPr>
          <w:ilvl w:val="0"/>
          <w:numId w:val="2"/>
        </w:numPr>
        <w:suppressLineNumbers/>
        <w:suppressAutoHyphens/>
        <w:snapToGrid w:val="0"/>
        <w:ind w:firstLine="720"/>
        <w:rPr>
          <w:kern w:val="22"/>
          <w:szCs w:val="22"/>
        </w:rPr>
      </w:pPr>
      <w:r w:rsidRPr="005151CC">
        <w:rPr>
          <w:rStyle w:val="None"/>
          <w:i/>
          <w:iCs/>
          <w:kern w:val="22"/>
          <w:szCs w:val="22"/>
        </w:rPr>
        <w:t xml:space="preserve">Recalls </w:t>
      </w:r>
      <w:r w:rsidRPr="005151CC">
        <w:rPr>
          <w:kern w:val="22"/>
          <w:szCs w:val="22"/>
        </w:rPr>
        <w:t xml:space="preserve">decision CP-VIII/2, and </w:t>
      </w:r>
      <w:r w:rsidRPr="00B61207">
        <w:rPr>
          <w:rStyle w:val="None"/>
          <w:i/>
          <w:iCs/>
          <w:kern w:val="22"/>
          <w:szCs w:val="22"/>
        </w:rPr>
        <w:t xml:space="preserve">requests </w:t>
      </w:r>
      <w:r w:rsidRPr="00B61207">
        <w:rPr>
          <w:kern w:val="22"/>
          <w:szCs w:val="22"/>
        </w:rPr>
        <w:t>the Executive Secretary, as a matter of priority, to act upon the requests in decision CP-VIII/2 and, in particular:</w:t>
      </w:r>
    </w:p>
    <w:p w14:paraId="4686EB8A" w14:textId="77777777" w:rsidR="00C20995" w:rsidRPr="00B61207" w:rsidRDefault="00C20995">
      <w:pPr>
        <w:pStyle w:val="ListParagraph"/>
        <w:suppressLineNumbers/>
        <w:suppressAutoHyphens/>
        <w:spacing w:before="120" w:after="120"/>
        <w:ind w:left="0" w:firstLine="720"/>
        <w:contextualSpacing w:val="0"/>
        <w:rPr>
          <w:kern w:val="22"/>
          <w:szCs w:val="22"/>
        </w:rPr>
      </w:pPr>
      <w:r w:rsidRPr="00B61207">
        <w:rPr>
          <w:kern w:val="22"/>
          <w:szCs w:val="22"/>
        </w:rPr>
        <w:t>(a)</w:t>
      </w:r>
      <w:r w:rsidRPr="00B61207">
        <w:rPr>
          <w:kern w:val="22"/>
          <w:szCs w:val="22"/>
        </w:rPr>
        <w:tab/>
        <w:t>To allocate adequate and specific resources, both human and financial, for the management, improvement and maintenance of the Biosafety Clearing-House;</w:t>
      </w:r>
    </w:p>
    <w:p w14:paraId="4106E699" w14:textId="38490538" w:rsidR="00C20995" w:rsidRPr="00B61207" w:rsidRDefault="00C20995">
      <w:pPr>
        <w:pStyle w:val="ListParagraph"/>
        <w:suppressLineNumbers/>
        <w:suppressAutoHyphens/>
        <w:spacing w:before="120" w:after="120"/>
        <w:ind w:left="0" w:firstLine="720"/>
        <w:contextualSpacing w:val="0"/>
        <w:rPr>
          <w:kern w:val="22"/>
          <w:szCs w:val="22"/>
        </w:rPr>
      </w:pPr>
      <w:r w:rsidRPr="00B61207">
        <w:rPr>
          <w:kern w:val="22"/>
          <w:szCs w:val="22"/>
        </w:rPr>
        <w:t>(b)</w:t>
      </w:r>
      <w:r w:rsidRPr="00B61207">
        <w:rPr>
          <w:kern w:val="22"/>
          <w:szCs w:val="22"/>
        </w:rPr>
        <w:tab/>
        <w:t>To complete the migration of the Biosafety Clearing-House to its new platform and to continue collaborating with other biosafety databases and platforms;</w:t>
      </w:r>
    </w:p>
    <w:p w14:paraId="40C950C7" w14:textId="77777777" w:rsidR="00C20995" w:rsidRPr="00B61207" w:rsidRDefault="00C20995">
      <w:pPr>
        <w:pStyle w:val="Body"/>
        <w:suppressLineNumbers/>
        <w:suppressAutoHyphens/>
        <w:spacing w:before="120" w:after="120"/>
        <w:ind w:firstLine="720"/>
        <w:rPr>
          <w:kern w:val="22"/>
          <w:lang w:val="en-GB"/>
        </w:rPr>
      </w:pPr>
      <w:r w:rsidRPr="00B61207">
        <w:rPr>
          <w:kern w:val="22"/>
          <w:lang w:val="en-GB"/>
        </w:rPr>
        <w:t>(c)</w:t>
      </w:r>
      <w:r w:rsidRPr="00B61207">
        <w:rPr>
          <w:kern w:val="22"/>
          <w:lang w:val="en-GB"/>
        </w:rPr>
        <w:tab/>
        <w:t>To continue making improvements to the central portal of the Biosafety Clearing-House and following up on the recommendations of the Informal Advisory Committee on the Biosafety Clearing-House at its tenth meeting;</w:t>
      </w:r>
    </w:p>
    <w:p w14:paraId="062CA9EE" w14:textId="77777777" w:rsidR="00C20995" w:rsidRPr="00B61207" w:rsidRDefault="00C20995">
      <w:pPr>
        <w:pStyle w:val="Body"/>
        <w:suppressLineNumbers/>
        <w:suppressAutoHyphens/>
        <w:spacing w:before="120" w:after="120"/>
        <w:ind w:firstLine="720"/>
        <w:rPr>
          <w:kern w:val="22"/>
          <w:lang w:val="en-GB"/>
        </w:rPr>
      </w:pPr>
      <w:r w:rsidRPr="00B61207">
        <w:rPr>
          <w:kern w:val="22"/>
          <w:lang w:val="en-GB"/>
        </w:rPr>
        <w:lastRenderedPageBreak/>
        <w:t>(d)</w:t>
      </w:r>
      <w:r w:rsidRPr="00B61207">
        <w:rPr>
          <w:kern w:val="22"/>
          <w:lang w:val="en-GB"/>
        </w:rPr>
        <w:tab/>
        <w:t>To facilitate the development, in collaboration with the United Nations Environment Programme through the BCH III Project, of training materials, including online training, based on the new platform and user interface;</w:t>
      </w:r>
    </w:p>
    <w:p w14:paraId="7A7FB572" w14:textId="77777777" w:rsidR="00C20995" w:rsidRPr="00B61207" w:rsidRDefault="00C20995" w:rsidP="00B61207">
      <w:pPr>
        <w:pStyle w:val="Para1"/>
        <w:numPr>
          <w:ilvl w:val="0"/>
          <w:numId w:val="2"/>
        </w:numPr>
        <w:suppressLineNumbers/>
        <w:tabs>
          <w:tab w:val="clear" w:pos="360"/>
        </w:tabs>
        <w:suppressAutoHyphens/>
        <w:snapToGrid w:val="0"/>
        <w:ind w:firstLine="720"/>
        <w:rPr>
          <w:rStyle w:val="None"/>
          <w:i/>
          <w:iCs/>
          <w:kern w:val="22"/>
          <w:szCs w:val="22"/>
        </w:rPr>
      </w:pPr>
      <w:r w:rsidRPr="00B61207">
        <w:rPr>
          <w:rStyle w:val="None"/>
          <w:i/>
          <w:iCs/>
          <w:kern w:val="22"/>
          <w:szCs w:val="22"/>
        </w:rPr>
        <w:t xml:space="preserve">Invites </w:t>
      </w:r>
      <w:r w:rsidRPr="00B61207">
        <w:rPr>
          <w:rStyle w:val="None"/>
          <w:iCs/>
          <w:kern w:val="22"/>
          <w:szCs w:val="22"/>
        </w:rPr>
        <w:t xml:space="preserve">Parties, other Governments and relevant organizations to submit to the Executive Secretary views on the changes made as a result of the migration and improvements referred to in paragraph 5 above, particularly with regard to the procedure for registering information, the tools for the analysis of search results, and the graphical representations of data, and </w:t>
      </w:r>
      <w:r w:rsidRPr="00B61207">
        <w:rPr>
          <w:rStyle w:val="None"/>
          <w:i/>
          <w:iCs/>
          <w:kern w:val="22"/>
          <w:szCs w:val="22"/>
        </w:rPr>
        <w:t>requests</w:t>
      </w:r>
      <w:r w:rsidRPr="00B61207">
        <w:rPr>
          <w:rStyle w:val="None"/>
          <w:iCs/>
          <w:kern w:val="22"/>
          <w:szCs w:val="22"/>
        </w:rPr>
        <w:t xml:space="preserve"> the Executive Secretary to take these views into account for the further improvement of the Biosafety Clearing-House and to submit a report for consideration by the Conference of the Parties serving as the meeting of the Parties to the Protocol at its tenth meeting;</w:t>
      </w:r>
    </w:p>
    <w:p w14:paraId="5877387A" w14:textId="7E9F36CD" w:rsidR="008D74B8" w:rsidRPr="00B61207" w:rsidRDefault="00C20995" w:rsidP="00B61207">
      <w:pPr>
        <w:pStyle w:val="Para1"/>
        <w:ind w:firstLine="720"/>
        <w:rPr>
          <w:kern w:val="22"/>
        </w:rPr>
      </w:pPr>
      <w:r w:rsidRPr="00B61207">
        <w:rPr>
          <w:i/>
          <w:kern w:val="22"/>
        </w:rPr>
        <w:t xml:space="preserve">Requests </w:t>
      </w:r>
      <w:r w:rsidRPr="00B61207">
        <w:rPr>
          <w:kern w:val="22"/>
        </w:rPr>
        <w:t xml:space="preserve">the Executive Secretary to explore how the </w:t>
      </w:r>
      <w:proofErr w:type="spellStart"/>
      <w:r w:rsidRPr="00B61207">
        <w:rPr>
          <w:kern w:val="22"/>
        </w:rPr>
        <w:t>Bioland</w:t>
      </w:r>
      <w:proofErr w:type="spellEnd"/>
      <w:r w:rsidRPr="00B61207">
        <w:rPr>
          <w:kern w:val="22"/>
        </w:rPr>
        <w:t xml:space="preserve"> Tool for National Clearing</w:t>
      </w:r>
      <w:r w:rsidR="00B004A2" w:rsidRPr="00C5136F">
        <w:rPr>
          <w:kern w:val="22"/>
        </w:rPr>
        <w:t>-</w:t>
      </w:r>
      <w:r w:rsidRPr="00B61207">
        <w:rPr>
          <w:kern w:val="22"/>
        </w:rPr>
        <w:t xml:space="preserve">House Mechanisms could be used to facilitate the exchange </w:t>
      </w:r>
      <w:r w:rsidR="00A47D13" w:rsidRPr="00C5136F">
        <w:rPr>
          <w:kern w:val="22"/>
        </w:rPr>
        <w:t xml:space="preserve">of </w:t>
      </w:r>
      <w:r w:rsidRPr="00B61207">
        <w:rPr>
          <w:kern w:val="22"/>
        </w:rPr>
        <w:t>information related to biosafety.</w:t>
      </w:r>
    </w:p>
    <w:p w14:paraId="70BE8ACA" w14:textId="77777777" w:rsidR="008D74B8" w:rsidRPr="005151CC" w:rsidRDefault="008D74B8" w:rsidP="008D74B8">
      <w:pPr>
        <w:jc w:val="center"/>
        <w:rPr>
          <w:kern w:val="22"/>
        </w:rPr>
      </w:pPr>
      <w:r w:rsidRPr="00C5136F">
        <w:rPr>
          <w:kern w:val="22"/>
        </w:rPr>
        <w:t>__________</w:t>
      </w:r>
    </w:p>
    <w:p w14:paraId="2FD00827" w14:textId="77777777" w:rsidR="00B3369F" w:rsidRPr="00B61207" w:rsidRDefault="00B3369F" w:rsidP="00C5136F">
      <w:pPr>
        <w:rPr>
          <w:kern w:val="22"/>
        </w:rPr>
      </w:pPr>
    </w:p>
    <w:sectPr w:rsidR="00B3369F" w:rsidRPr="00B61207" w:rsidSect="007B078D">
      <w:headerReference w:type="even" r:id="rId14"/>
      <w:headerReference w:type="default" r:id="rId15"/>
      <w:footerReference w:type="even" r:id="rId16"/>
      <w:footerReference w:type="firs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617F3" w14:textId="77777777" w:rsidR="003F6760" w:rsidRDefault="003F6760" w:rsidP="00CF1848">
      <w:r>
        <w:separator/>
      </w:r>
    </w:p>
  </w:endnote>
  <w:endnote w:type="continuationSeparator" w:id="0">
    <w:p w14:paraId="4CFF1DFB" w14:textId="77777777" w:rsidR="003F6760" w:rsidRDefault="003F676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EC33" w14:textId="77777777" w:rsidR="00105E1B" w:rsidRDefault="00105E1B" w:rsidP="00B61207">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465D" w14:textId="77777777" w:rsidR="00105E1B" w:rsidRDefault="00105E1B" w:rsidP="00B61207">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C1A5" w14:textId="77777777" w:rsidR="003F6760" w:rsidRDefault="003F6760" w:rsidP="00CF1848">
      <w:r>
        <w:separator/>
      </w:r>
    </w:p>
  </w:footnote>
  <w:footnote w:type="continuationSeparator" w:id="0">
    <w:p w14:paraId="00BE1DC4" w14:textId="77777777" w:rsidR="003F6760" w:rsidRDefault="003F6760"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1D6511A7" w:rsidR="00534681" w:rsidRPr="00B61207" w:rsidRDefault="0026098B" w:rsidP="00B61207">
        <w:pPr>
          <w:pStyle w:val="Header"/>
          <w:tabs>
            <w:tab w:val="clear" w:pos="4320"/>
            <w:tab w:val="clear" w:pos="8640"/>
          </w:tabs>
          <w:jc w:val="left"/>
          <w:rPr>
            <w:noProof/>
            <w:lang w:val="fr-FR"/>
          </w:rPr>
        </w:pPr>
        <w:r w:rsidRPr="00B61207">
          <w:rPr>
            <w:noProof/>
            <w:lang w:val="fr-FR"/>
          </w:rPr>
          <w:t>CBD/CP/MOP/DEC/9/2</w:t>
        </w:r>
      </w:p>
    </w:sdtContent>
  </w:sdt>
  <w:p w14:paraId="2FD00833" w14:textId="77777777" w:rsidR="00534681" w:rsidRPr="00B61207" w:rsidRDefault="00534681" w:rsidP="00B61207">
    <w:pPr>
      <w:pStyle w:val="Header"/>
      <w:tabs>
        <w:tab w:val="clear" w:pos="4320"/>
        <w:tab w:val="clear" w:pos="8640"/>
      </w:tabs>
      <w:jc w:val="left"/>
      <w:rPr>
        <w:noProof/>
        <w:lang w:val="fr-FR"/>
      </w:rPr>
    </w:pPr>
    <w:r w:rsidRPr="00B61207">
      <w:rPr>
        <w:noProof/>
        <w:lang w:val="fr-FR"/>
      </w:rPr>
      <w:t xml:space="preserve">Page </w:t>
    </w:r>
    <w:r w:rsidRPr="00B61207">
      <w:rPr>
        <w:noProof/>
      </w:rPr>
      <w:fldChar w:fldCharType="begin"/>
    </w:r>
    <w:r w:rsidRPr="00B61207">
      <w:rPr>
        <w:noProof/>
        <w:lang w:val="fr-FR"/>
      </w:rPr>
      <w:instrText xml:space="preserve"> PAGE   \* MERGEFORMAT </w:instrText>
    </w:r>
    <w:r w:rsidRPr="00B61207">
      <w:rPr>
        <w:noProof/>
      </w:rPr>
      <w:fldChar w:fldCharType="separate"/>
    </w:r>
    <w:r w:rsidR="00F4051A" w:rsidRPr="00A47D13">
      <w:rPr>
        <w:noProof/>
        <w:lang w:val="fr-FR"/>
      </w:rPr>
      <w:t>2</w:t>
    </w:r>
    <w:r w:rsidRPr="00B61207">
      <w:rPr>
        <w:noProof/>
      </w:rPr>
      <w:fldChar w:fldCharType="end"/>
    </w:r>
  </w:p>
  <w:p w14:paraId="2FD00834" w14:textId="77777777" w:rsidR="00534681" w:rsidRPr="00B61207" w:rsidRDefault="00534681" w:rsidP="00B61207">
    <w:pPr>
      <w:pStyle w:val="Header"/>
      <w:tabs>
        <w:tab w:val="clear" w:pos="4320"/>
        <w:tab w:val="clear" w:pos="8640"/>
      </w:tabs>
      <w:jc w:val="left"/>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4962F707" w:rsidR="009505C9" w:rsidRPr="007B078D" w:rsidRDefault="0026098B" w:rsidP="009505C9">
        <w:pPr>
          <w:pStyle w:val="Header"/>
          <w:jc w:val="right"/>
          <w:rPr>
            <w:lang w:val="fr-FR"/>
          </w:rPr>
        </w:pPr>
        <w:r>
          <w:rPr>
            <w:lang w:val="fr-FR"/>
          </w:rPr>
          <w:t>CBD/CP/MOP/DEC/9/2</w:t>
        </w:r>
      </w:p>
    </w:sdtContent>
  </w:sdt>
  <w:p w14:paraId="2FD00836" w14:textId="77777777" w:rsidR="009505C9" w:rsidRPr="007B078D" w:rsidRDefault="009505C9"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7B078D">
      <w:rPr>
        <w:noProof/>
        <w:lang w:val="fr-FR"/>
      </w:rPr>
      <w:t>1</w:t>
    </w:r>
    <w:r>
      <w:rPr>
        <w:noProof/>
      </w:rPr>
      <w:fldChar w:fldCharType="end"/>
    </w:r>
  </w:p>
  <w:p w14:paraId="2FD00837" w14:textId="77777777" w:rsidR="009505C9" w:rsidRPr="007B078D"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5D154C"/>
    <w:multiLevelType w:val="multilevel"/>
    <w:tmpl w:val="8982DC1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Letter"/>
      <w:lvlText w:val="(%3)"/>
      <w:lvlJc w:val="lef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418E"/>
    <w:rsid w:val="0005573C"/>
    <w:rsid w:val="000A6670"/>
    <w:rsid w:val="000E673A"/>
    <w:rsid w:val="000F4914"/>
    <w:rsid w:val="000F74F5"/>
    <w:rsid w:val="00105372"/>
    <w:rsid w:val="00105E1B"/>
    <w:rsid w:val="00131E7A"/>
    <w:rsid w:val="0016171D"/>
    <w:rsid w:val="00172AF6"/>
    <w:rsid w:val="00176CEE"/>
    <w:rsid w:val="001814EE"/>
    <w:rsid w:val="00186DD8"/>
    <w:rsid w:val="0026098B"/>
    <w:rsid w:val="00273079"/>
    <w:rsid w:val="002A79EC"/>
    <w:rsid w:val="002C7FAB"/>
    <w:rsid w:val="002D003D"/>
    <w:rsid w:val="00372F74"/>
    <w:rsid w:val="003765CB"/>
    <w:rsid w:val="003A0C69"/>
    <w:rsid w:val="003D6DF7"/>
    <w:rsid w:val="003F6760"/>
    <w:rsid w:val="003F7224"/>
    <w:rsid w:val="004018AD"/>
    <w:rsid w:val="00427D21"/>
    <w:rsid w:val="004644C2"/>
    <w:rsid w:val="00467F9C"/>
    <w:rsid w:val="005151CC"/>
    <w:rsid w:val="00534681"/>
    <w:rsid w:val="00541ABC"/>
    <w:rsid w:val="006122BA"/>
    <w:rsid w:val="00662D96"/>
    <w:rsid w:val="0068672C"/>
    <w:rsid w:val="006B2290"/>
    <w:rsid w:val="006D2216"/>
    <w:rsid w:val="006F1D59"/>
    <w:rsid w:val="00717D88"/>
    <w:rsid w:val="007758AD"/>
    <w:rsid w:val="007942D3"/>
    <w:rsid w:val="007A1C8C"/>
    <w:rsid w:val="007B078D"/>
    <w:rsid w:val="007B6C09"/>
    <w:rsid w:val="007E09DA"/>
    <w:rsid w:val="00802187"/>
    <w:rsid w:val="008178B6"/>
    <w:rsid w:val="008228AB"/>
    <w:rsid w:val="00865B74"/>
    <w:rsid w:val="00871B7F"/>
    <w:rsid w:val="008B7D32"/>
    <w:rsid w:val="008C2410"/>
    <w:rsid w:val="008D74B8"/>
    <w:rsid w:val="00930BA1"/>
    <w:rsid w:val="0093169E"/>
    <w:rsid w:val="009505C9"/>
    <w:rsid w:val="0096276D"/>
    <w:rsid w:val="0096486C"/>
    <w:rsid w:val="009B53B4"/>
    <w:rsid w:val="00A0198E"/>
    <w:rsid w:val="00A47D13"/>
    <w:rsid w:val="00AC3393"/>
    <w:rsid w:val="00B004A2"/>
    <w:rsid w:val="00B3369F"/>
    <w:rsid w:val="00B61207"/>
    <w:rsid w:val="00BE794D"/>
    <w:rsid w:val="00C07FAE"/>
    <w:rsid w:val="00C20995"/>
    <w:rsid w:val="00C443BD"/>
    <w:rsid w:val="00C5136F"/>
    <w:rsid w:val="00C9161D"/>
    <w:rsid w:val="00CF1848"/>
    <w:rsid w:val="00D12044"/>
    <w:rsid w:val="00D76A18"/>
    <w:rsid w:val="00DD118C"/>
    <w:rsid w:val="00E55A52"/>
    <w:rsid w:val="00E66235"/>
    <w:rsid w:val="00E81459"/>
    <w:rsid w:val="00E83C24"/>
    <w:rsid w:val="00E9318D"/>
    <w:rsid w:val="00ED72FA"/>
    <w:rsid w:val="00F27C67"/>
    <w:rsid w:val="00F4051A"/>
    <w:rsid w:val="00F555DA"/>
    <w:rsid w:val="00F6586C"/>
    <w:rsid w:val="00F94774"/>
    <w:rsid w:val="00F95F50"/>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FD00811"/>
  <w15:docId w15:val="{0F1C5702-D8D6-4005-9695-DD0E17D2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C20995"/>
    <w:pPr>
      <w:spacing w:after="160" w:line="240" w:lineRule="exact"/>
      <w:jc w:val="left"/>
    </w:pPr>
    <w:rPr>
      <w:rFonts w:asciiTheme="minorHAnsi" w:eastAsiaTheme="minorEastAsia" w:hAnsiTheme="minorHAnsi" w:cstheme="minorBidi"/>
      <w:vertAlign w:val="superscript"/>
      <w:lang w:val="fr-CA"/>
    </w:rPr>
  </w:style>
  <w:style w:type="paragraph" w:customStyle="1" w:styleId="Body">
    <w:name w:val="Body"/>
    <w:rsid w:val="00C20995"/>
    <w:pPr>
      <w:jc w:val="both"/>
    </w:pPr>
    <w:rPr>
      <w:rFonts w:ascii="Times New Roman" w:eastAsia="Times New Roman" w:hAnsi="Times New Roman" w:cs="Times New Roman"/>
      <w:color w:val="000000"/>
      <w:sz w:val="22"/>
      <w:szCs w:val="22"/>
      <w:u w:color="000000"/>
      <w:lang w:val="en-CA" w:eastAsia="en-CA"/>
    </w:rPr>
  </w:style>
  <w:style w:type="character" w:customStyle="1" w:styleId="Hyperlink0">
    <w:name w:val="Hyperlink.0"/>
    <w:basedOn w:val="DefaultParagraphFont"/>
    <w:rsid w:val="00C20995"/>
    <w:rPr>
      <w:color w:val="0000FF"/>
      <w:kern w:val="22"/>
      <w:sz w:val="22"/>
      <w:szCs w:val="22"/>
      <w:u w:val="single" w:color="0000FF"/>
    </w:rPr>
  </w:style>
  <w:style w:type="character" w:customStyle="1" w:styleId="Hyperlink1">
    <w:name w:val="Hyperlink.1"/>
    <w:basedOn w:val="DefaultParagraphFont"/>
    <w:rsid w:val="00C20995"/>
    <w:rPr>
      <w:kern w:val="22"/>
    </w:rPr>
  </w:style>
  <w:style w:type="character" w:customStyle="1" w:styleId="None">
    <w:name w:val="None"/>
    <w:rsid w:val="00C20995"/>
  </w:style>
  <w:style w:type="character" w:customStyle="1" w:styleId="ListParagraphChar">
    <w:name w:val="List Paragraph Char"/>
    <w:link w:val="ListParagraph"/>
    <w:uiPriority w:val="34"/>
    <w:locked/>
    <w:rsid w:val="00C20995"/>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7A1C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 w:id="464932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ch.cbd.int/protocol/decisions/?decisionID=828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ch.cbd.int/protocol/decisions/?decisionID=1351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82DA6"/>
    <w:rsid w:val="00250B11"/>
    <w:rsid w:val="00500A2B"/>
    <w:rsid w:val="0058288D"/>
    <w:rsid w:val="0065085F"/>
    <w:rsid w:val="006801B3"/>
    <w:rsid w:val="006F4D99"/>
    <w:rsid w:val="00810A55"/>
    <w:rsid w:val="008C6619"/>
    <w:rsid w:val="008D420E"/>
    <w:rsid w:val="0098642F"/>
    <w:rsid w:val="009A0CAE"/>
    <w:rsid w:val="00D773E9"/>
    <w:rsid w:val="00F6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D99"/>
  </w:style>
  <w:style w:type="paragraph" w:customStyle="1" w:styleId="3347A196BEA743CBA826CB5B667EA688">
    <w:name w:val="3347A196BEA743CBA826CB5B667EA688"/>
    <w:rsid w:val="006F4D99"/>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F664F-9569-4DA9-A1E4-572B1455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3/2.	Operation and activities of the Biosafety Clearing-House</vt:lpstr>
    </vt:vector>
  </TitlesOfParts>
  <Company>SCBD</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	Operation and activities of the Biosafety Clearing-House</dc:title>
  <dc:subject>CBD/CP/MOP/DEC/9/2</dc:subject>
  <dc:creator>CP MOP 9</dc:creator>
  <cp:keywords>Biosafety Clearing-House, Cartagena Protocol on Biosafety, Convention on Biological Diversity</cp:keywords>
  <cp:lastModifiedBy>Xiaoguang Liang</cp:lastModifiedBy>
  <cp:revision>3</cp:revision>
  <cp:lastPrinted>2019-01-18T16:14:00Z</cp:lastPrinted>
  <dcterms:created xsi:type="dcterms:W3CDTF">2019-01-17T22:46:00Z</dcterms:created>
  <dcterms:modified xsi:type="dcterms:W3CDTF">2019-01-18T16:16:00Z</dcterms:modified>
  <cp:contentStatus>GENERAL</cp:contentStatus>
</cp:coreProperties>
</file>