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DB2E9E">
        <w:trPr>
          <w:trHeight w:val="709"/>
        </w:trPr>
        <w:tc>
          <w:tcPr>
            <w:tcW w:w="976" w:type="dxa"/>
            <w:tcBorders>
              <w:bottom w:val="single" w:sz="12" w:space="0" w:color="auto"/>
            </w:tcBorders>
          </w:tcPr>
          <w:p w:rsidR="00DB2E9E" w:rsidRDefault="00831CA8">
            <w:pPr>
              <w:suppressLineNumbers/>
              <w:suppressAutoHyphens/>
              <w:rPr>
                <w:kern w:val="22"/>
                <w:lang w:val="es-ES"/>
              </w:rPr>
            </w:pPr>
            <w:r>
              <w:rPr>
                <w:noProof/>
                <w:snapToGrid/>
                <w:kern w:val="22"/>
                <w:lang w:val="es-UY" w:eastAsia="es-UY"/>
              </w:rPr>
              <w:drawing>
                <wp:inline distT="0" distB="0" distL="0" distR="0">
                  <wp:extent cx="429895" cy="361950"/>
                  <wp:effectExtent l="19050" t="0" r="8255"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29895"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DB2E9E" w:rsidRDefault="00831CA8">
            <w:pPr>
              <w:suppressLineNumbers/>
              <w:suppressAutoHyphens/>
              <w:rPr>
                <w:kern w:val="22"/>
                <w:lang w:val="es-ES"/>
              </w:rPr>
            </w:pPr>
            <w:r>
              <w:rPr>
                <w:noProof/>
                <w:snapToGrid/>
                <w:kern w:val="22"/>
                <w:lang w:val="es-UY" w:eastAsia="es-UY"/>
              </w:rPr>
              <w:drawing>
                <wp:inline distT="0" distB="0" distL="0" distR="0">
                  <wp:extent cx="334645" cy="395605"/>
                  <wp:effectExtent l="19050" t="0" r="8255"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34645" cy="39560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B2E9E" w:rsidRDefault="00DB2E9E">
            <w:pPr>
              <w:suppressLineNumbers/>
              <w:suppressAutoHyphens/>
              <w:jc w:val="right"/>
              <w:rPr>
                <w:rFonts w:ascii="Arial" w:hAnsi="Arial"/>
                <w:b/>
                <w:kern w:val="22"/>
                <w:sz w:val="32"/>
                <w:lang w:val="es-ES"/>
              </w:rPr>
            </w:pPr>
            <w:r>
              <w:rPr>
                <w:rFonts w:ascii="Arial" w:hAnsi="Arial"/>
                <w:b/>
                <w:noProof/>
                <w:kern w:val="22"/>
                <w:sz w:val="32"/>
                <w:lang w:val="es-ES"/>
              </w:rPr>
              <w:t>CBD</w:t>
            </w:r>
          </w:p>
        </w:tc>
      </w:tr>
      <w:tr w:rsidR="00DB2E9E">
        <w:tc>
          <w:tcPr>
            <w:tcW w:w="6117" w:type="dxa"/>
            <w:gridSpan w:val="2"/>
            <w:tcBorders>
              <w:top w:val="single" w:sz="12" w:space="0" w:color="auto"/>
              <w:bottom w:val="single" w:sz="36" w:space="0" w:color="auto"/>
            </w:tcBorders>
            <w:vAlign w:val="center"/>
          </w:tcPr>
          <w:p w:rsidR="00DB2E9E" w:rsidRDefault="00831CA8">
            <w:pPr>
              <w:suppressLineNumbers/>
              <w:suppressAutoHyphens/>
              <w:rPr>
                <w:kern w:val="22"/>
                <w:lang w:val="es-ES"/>
              </w:rPr>
            </w:pPr>
            <w:r>
              <w:rPr>
                <w:noProof/>
                <w:snapToGrid/>
                <w:kern w:val="22"/>
                <w:lang w:val="es-UY" w:eastAsia="es-UY"/>
              </w:rPr>
              <w:drawing>
                <wp:inline distT="0" distB="0" distL="0" distR="0">
                  <wp:extent cx="2900045" cy="104394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0045" cy="104394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B2E9E" w:rsidRDefault="00DB2E9E">
            <w:pPr>
              <w:suppressLineNumbers/>
              <w:suppressAutoHyphens/>
              <w:ind w:left="1215"/>
              <w:rPr>
                <w:kern w:val="22"/>
                <w:lang w:val="es-ES"/>
              </w:rPr>
            </w:pPr>
            <w:r>
              <w:rPr>
                <w:noProof/>
                <w:kern w:val="22"/>
                <w:lang w:val="es-ES"/>
              </w:rPr>
              <w:t>Distr.</w:t>
            </w:r>
          </w:p>
          <w:p w:rsidR="00DB2E9E" w:rsidRDefault="00DB2E9E">
            <w:pPr>
              <w:suppressLineNumbers/>
              <w:suppressAutoHyphens/>
              <w:ind w:left="1215"/>
              <w:rPr>
                <w:kern w:val="22"/>
                <w:lang w:val="es-ES"/>
              </w:rPr>
            </w:pPr>
            <w:r>
              <w:rPr>
                <w:noProof/>
                <w:kern w:val="22"/>
                <w:lang w:val="es-ES"/>
              </w:rPr>
              <w:t>GENERAL</w:t>
            </w:r>
          </w:p>
          <w:p w:rsidR="00DB2E9E" w:rsidRDefault="00DB2E9E">
            <w:pPr>
              <w:suppressLineNumbers/>
              <w:suppressAutoHyphens/>
              <w:ind w:left="1215"/>
              <w:rPr>
                <w:kern w:val="22"/>
                <w:lang w:val="es-ES"/>
              </w:rPr>
            </w:pPr>
          </w:p>
          <w:p w:rsidR="00DB2E9E" w:rsidRDefault="00DB2E9E">
            <w:pPr>
              <w:suppressLineNumbers/>
              <w:suppressAutoHyphens/>
              <w:ind w:left="1215"/>
              <w:rPr>
                <w:kern w:val="22"/>
                <w:lang w:val="es-ES"/>
              </w:rPr>
            </w:pPr>
            <w:r>
              <w:rPr>
                <w:noProof/>
                <w:kern w:val="22"/>
                <w:lang w:val="es-ES"/>
              </w:rPr>
              <w:t>CBD/CP/MOP/DEC/9/3</w:t>
            </w:r>
          </w:p>
          <w:p w:rsidR="00DB2E9E" w:rsidRDefault="00DB2E9E">
            <w:pPr>
              <w:suppressLineNumbers/>
              <w:suppressAutoHyphens/>
              <w:ind w:left="1215"/>
              <w:rPr>
                <w:kern w:val="22"/>
                <w:lang w:val="es-ES"/>
              </w:rPr>
            </w:pPr>
            <w:r>
              <w:rPr>
                <w:noProof/>
                <w:kern w:val="22"/>
                <w:lang w:val="es-ES"/>
              </w:rPr>
              <w:t>30 de noviembre de 2018</w:t>
            </w:r>
          </w:p>
          <w:p w:rsidR="00DB2E9E" w:rsidRDefault="00DB2E9E">
            <w:pPr>
              <w:suppressLineNumbers/>
              <w:suppressAutoHyphens/>
              <w:ind w:left="1215"/>
              <w:rPr>
                <w:kern w:val="22"/>
                <w:lang w:val="es-ES"/>
              </w:rPr>
            </w:pPr>
          </w:p>
          <w:p w:rsidR="00DB2E9E" w:rsidRDefault="00DB2E9E">
            <w:pPr>
              <w:suppressLineNumbers/>
              <w:suppressAutoHyphens/>
              <w:ind w:left="1215"/>
              <w:rPr>
                <w:kern w:val="22"/>
                <w:lang w:val="es-ES"/>
              </w:rPr>
            </w:pPr>
            <w:r>
              <w:rPr>
                <w:noProof/>
                <w:kern w:val="22"/>
                <w:lang w:val="es-ES"/>
              </w:rPr>
              <w:t>ESPAÑOL</w:t>
            </w:r>
          </w:p>
          <w:p w:rsidR="00DB2E9E" w:rsidRDefault="00DB2E9E">
            <w:pPr>
              <w:suppressLineNumbers/>
              <w:suppressAutoHyphens/>
              <w:ind w:left="1215"/>
              <w:rPr>
                <w:kern w:val="22"/>
                <w:lang w:val="es-ES"/>
              </w:rPr>
            </w:pPr>
            <w:r>
              <w:rPr>
                <w:noProof/>
                <w:kern w:val="22"/>
                <w:lang w:val="es-ES"/>
              </w:rPr>
              <w:t>ORIGINAL:</w:t>
            </w:r>
            <w:r>
              <w:rPr>
                <w:kern w:val="22"/>
                <w:lang w:val="es-ES"/>
              </w:rPr>
              <w:t xml:space="preserve"> </w:t>
            </w:r>
            <w:r>
              <w:rPr>
                <w:noProof/>
                <w:kern w:val="22"/>
                <w:lang w:val="es-ES"/>
              </w:rPr>
              <w:t>INGLÉS</w:t>
            </w:r>
          </w:p>
          <w:p w:rsidR="00DB2E9E" w:rsidRDefault="00DB2E9E">
            <w:pPr>
              <w:suppressLineNumbers/>
              <w:suppressAutoHyphens/>
              <w:rPr>
                <w:kern w:val="22"/>
                <w:lang w:val="es-ES"/>
              </w:rPr>
            </w:pPr>
          </w:p>
        </w:tc>
      </w:tr>
    </w:tbl>
    <w:p w:rsidR="00DB2E9E" w:rsidRDefault="00DB2E9E">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DB2E9E" w:rsidRDefault="00DB2E9E">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DB2E9E" w:rsidRDefault="00DB2E9E">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DB2E9E" w:rsidRDefault="00DB2E9E">
      <w:pPr>
        <w:pStyle w:val="Cornernotation"/>
        <w:suppressLineNumbers/>
        <w:suppressAutoHyphens/>
        <w:ind w:right="3973"/>
        <w:rPr>
          <w:kern w:val="22"/>
          <w:lang w:val="es-ES"/>
        </w:rPr>
      </w:pPr>
      <w:r>
        <w:rPr>
          <w:noProof/>
          <w:color w:val="000000"/>
          <w:kern w:val="22"/>
          <w:lang w:val="es-ES"/>
        </w:rPr>
        <w:t>Tema 8 del programa</w:t>
      </w:r>
    </w:p>
    <w:p w:rsidR="00DB2E9E" w:rsidRDefault="00DB2E9E">
      <w:pPr>
        <w:pStyle w:val="HEADINGNOTFORTOC"/>
        <w:keepNext w:val="0"/>
        <w:suppressLineNumbers/>
        <w:tabs>
          <w:tab w:val="clear" w:pos="720"/>
        </w:tabs>
        <w:suppressAutoHyphens/>
        <w:snapToGrid w:val="0"/>
        <w:spacing w:before="120"/>
        <w:rPr>
          <w:rFonts w:ascii="Times New Roman Bold" w:hAnsi="Times New Roman Bold"/>
          <w:kern w:val="22"/>
          <w:lang w:val="es-ES"/>
        </w:rPr>
      </w:pPr>
      <w:r>
        <w:rPr>
          <w:rFonts w:ascii="Times New Roman Bold" w:hAnsi="Times New Roman Bold"/>
          <w:noProof/>
          <w:kern w:val="22"/>
          <w:lang w:val="es-ES"/>
        </w:rPr>
        <w:t>DECISIÓN ADOPTADA POR LAS PARTES EN EL PROTOCOLO DE CARTAGENA SOBRE SEGURIDAD DE LA BIOTECNOLOGÍA</w:t>
      </w:r>
    </w:p>
    <w:p w:rsidR="00DB2E9E" w:rsidRDefault="00DB2E9E">
      <w:pPr>
        <w:pStyle w:val="recommendationheader"/>
        <w:keepNext w:val="0"/>
        <w:suppressLineNumbers/>
        <w:suppressAutoHyphens/>
        <w:rPr>
          <w:bCs w:val="0"/>
          <w:iCs w:val="0"/>
          <w:caps/>
          <w:kern w:val="22"/>
          <w:lang w:val="es-ES"/>
        </w:rPr>
      </w:pPr>
      <w:r>
        <w:rPr>
          <w:bCs w:val="0"/>
          <w:iCs w:val="0"/>
          <w:kern w:val="22"/>
          <w:lang w:val="es-ES"/>
        </w:rPr>
        <w:t>9/3.</w:t>
      </w:r>
      <w:r>
        <w:rPr>
          <w:bCs w:val="0"/>
          <w:iCs w:val="0"/>
          <w:kern w:val="22"/>
          <w:lang w:val="es-ES"/>
        </w:rPr>
        <w:tab/>
        <w:t>Creación de capacidad (artículo 22)</w:t>
      </w:r>
    </w:p>
    <w:p w:rsidR="00DB2E9E" w:rsidRPr="00831CA8" w:rsidRDefault="00DB2E9E">
      <w:pPr>
        <w:pStyle w:val="Para1"/>
        <w:numPr>
          <w:ilvl w:val="0"/>
          <w:numId w:val="0"/>
        </w:numPr>
        <w:suppressLineNumbers/>
        <w:suppressAutoHyphens/>
        <w:kinsoku w:val="0"/>
        <w:overflowPunct w:val="0"/>
        <w:autoSpaceDE w:val="0"/>
        <w:autoSpaceDN w:val="0"/>
        <w:adjustRightInd w:val="0"/>
        <w:snapToGrid w:val="0"/>
        <w:ind w:firstLine="720"/>
        <w:rPr>
          <w:i/>
          <w:kern w:val="22"/>
          <w:szCs w:val="22"/>
          <w:lang w:val="es-ES"/>
        </w:rPr>
      </w:pPr>
      <w:r w:rsidRPr="00831CA8">
        <w:rPr>
          <w:i/>
          <w:kern w:val="22"/>
          <w:szCs w:val="22"/>
          <w:lang w:val="es-ES"/>
        </w:rPr>
        <w:t>La Conferencia de las Partes que actúa como reunión de las Partes en el Protocolo de Cartagena sobre Seguridad de la Biotecnología,</w:t>
      </w:r>
    </w:p>
    <w:p w:rsidR="00DB2E9E" w:rsidRPr="00831CA8" w:rsidRDefault="00DB2E9E">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831CA8">
        <w:rPr>
          <w:i/>
          <w:szCs w:val="22"/>
          <w:lang w:val="es-ES"/>
        </w:rPr>
        <w:t>Recordando</w:t>
      </w:r>
      <w:r w:rsidRPr="00831CA8">
        <w:rPr>
          <w:szCs w:val="22"/>
          <w:lang w:val="es-ES"/>
        </w:rPr>
        <w:t xml:space="preserve"> las decisiones </w:t>
      </w:r>
      <w:hyperlink r:id="rId10" w:history="1">
        <w:r w:rsidRPr="00831CA8">
          <w:rPr>
            <w:rStyle w:val="Hyperlink"/>
            <w:sz w:val="22"/>
            <w:szCs w:val="22"/>
            <w:lang w:val="es-ES"/>
          </w:rPr>
          <w:t>BS-VI/3</w:t>
        </w:r>
      </w:hyperlink>
      <w:r w:rsidRPr="00831CA8">
        <w:rPr>
          <w:szCs w:val="22"/>
          <w:lang w:val="es-ES"/>
        </w:rPr>
        <w:t xml:space="preserve"> y </w:t>
      </w:r>
      <w:hyperlink r:id="rId11" w:history="1">
        <w:r w:rsidRPr="00831CA8">
          <w:rPr>
            <w:rStyle w:val="Hyperlink"/>
            <w:sz w:val="22"/>
            <w:szCs w:val="22"/>
            <w:lang w:val="es-ES"/>
          </w:rPr>
          <w:t>CP-VIII/3</w:t>
        </w:r>
      </w:hyperlink>
      <w:r w:rsidRPr="00831CA8">
        <w:rPr>
          <w:szCs w:val="22"/>
          <w:lang w:val="es-ES"/>
        </w:rPr>
        <w:t>,</w:t>
      </w:r>
    </w:p>
    <w:p w:rsidR="00DB2E9E" w:rsidRDefault="00DB2E9E">
      <w:pPr>
        <w:pStyle w:val="Para1"/>
        <w:numPr>
          <w:ilvl w:val="0"/>
          <w:numId w:val="21"/>
        </w:numPr>
        <w:suppressLineNumbers/>
        <w:tabs>
          <w:tab w:val="clear" w:pos="360"/>
          <w:tab w:val="num" w:pos="1276"/>
        </w:tabs>
        <w:suppressAutoHyphens/>
        <w:kinsoku w:val="0"/>
        <w:overflowPunct w:val="0"/>
        <w:autoSpaceDE w:val="0"/>
        <w:autoSpaceDN w:val="0"/>
        <w:adjustRightInd w:val="0"/>
        <w:snapToGrid w:val="0"/>
        <w:ind w:firstLine="720"/>
        <w:rPr>
          <w:kern w:val="22"/>
          <w:szCs w:val="24"/>
          <w:lang w:val="es-ES"/>
        </w:rPr>
      </w:pPr>
      <w:r>
        <w:rPr>
          <w:i/>
          <w:kern w:val="22"/>
          <w:szCs w:val="24"/>
          <w:lang w:val="es-ES"/>
        </w:rPr>
        <w:t>Toma nota</w:t>
      </w:r>
      <w:r>
        <w:rPr>
          <w:kern w:val="22"/>
          <w:szCs w:val="24"/>
          <w:lang w:val="es-ES"/>
        </w:rPr>
        <w:t xml:space="preserve"> del informe sobre los progresos alcanzados en la implementación del plan de acción a corto plazo (2017-2020) para mejorar y apoyar la creación de capacidad para la aplicación del Convenio y sus Protocolos</w:t>
      </w:r>
      <w:r>
        <w:rPr>
          <w:rStyle w:val="StyleFootnoteReferencenumberFootnoteReferenceSuperscript-EF"/>
          <w:sz w:val="22"/>
          <w:szCs w:val="24"/>
          <w:lang w:val="es-ES"/>
        </w:rPr>
        <w:footnoteReference w:id="1"/>
      </w:r>
      <w:r>
        <w:rPr>
          <w:kern w:val="22"/>
          <w:szCs w:val="24"/>
          <w:lang w:val="es-ES"/>
        </w:rPr>
        <w:t>;</w:t>
      </w:r>
    </w:p>
    <w:p w:rsidR="00DB2E9E" w:rsidRDefault="00DB2E9E">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4"/>
          <w:lang w:val="es-ES"/>
        </w:rPr>
      </w:pPr>
      <w:r>
        <w:rPr>
          <w:i/>
          <w:kern w:val="22"/>
          <w:szCs w:val="24"/>
          <w:lang w:val="es-ES"/>
        </w:rPr>
        <w:t xml:space="preserve">Toma nota también </w:t>
      </w:r>
      <w:r>
        <w:rPr>
          <w:kern w:val="22"/>
          <w:szCs w:val="24"/>
          <w:lang w:val="es-ES"/>
        </w:rPr>
        <w:t>de la situación de aplicación del Marco y Plan de Acción para la Creación de Capacidad para la Aplicación Efectiva del Protocolo de Cartagena sobre Seguridad de la Biotecnología (2012-2020)</w:t>
      </w:r>
      <w:r>
        <w:rPr>
          <w:rStyle w:val="FootnoteReference"/>
          <w:kern w:val="22"/>
          <w:szCs w:val="24"/>
          <w:lang w:val="es-ES"/>
        </w:rPr>
        <w:footnoteReference w:id="2"/>
      </w:r>
      <w:r>
        <w:rPr>
          <w:kern w:val="22"/>
          <w:szCs w:val="24"/>
          <w:lang w:val="es-ES"/>
        </w:rPr>
        <w:t>;</w:t>
      </w:r>
    </w:p>
    <w:p w:rsidR="00DB2E9E" w:rsidRDefault="00DB2E9E">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4"/>
          <w:lang w:val="es-ES"/>
        </w:rPr>
      </w:pPr>
      <w:r>
        <w:rPr>
          <w:i/>
          <w:kern w:val="22"/>
          <w:szCs w:val="24"/>
          <w:lang w:val="es-ES"/>
        </w:rPr>
        <w:t>Insta</w:t>
      </w:r>
      <w:r>
        <w:rPr>
          <w:kern w:val="22"/>
          <w:szCs w:val="24"/>
          <w:lang w:val="es-ES"/>
        </w:rPr>
        <w:t xml:space="preserve"> a las Partes a que, </w:t>
      </w:r>
      <w:r w:rsidR="006875D4">
        <w:rPr>
          <w:kern w:val="22"/>
          <w:szCs w:val="24"/>
          <w:lang w:val="es-ES"/>
        </w:rPr>
        <w:t>en</w:t>
      </w:r>
      <w:r>
        <w:rPr>
          <w:kern w:val="22"/>
          <w:szCs w:val="24"/>
          <w:lang w:val="es-ES"/>
        </w:rPr>
        <w:t xml:space="preserve"> el período que resta del Marco y Plan de Acción, den prioridad y se concentren, según proceda, en los objetivos operativos relacionados con la formulación de legislación nacional en materia de seguridad de la biotecnología, </w:t>
      </w:r>
      <w:r w:rsidR="00DD412A">
        <w:rPr>
          <w:kern w:val="22"/>
          <w:szCs w:val="24"/>
          <w:lang w:val="es-ES"/>
        </w:rPr>
        <w:t xml:space="preserve">la </w:t>
      </w:r>
      <w:r>
        <w:rPr>
          <w:kern w:val="22"/>
          <w:szCs w:val="24"/>
          <w:lang w:val="es-ES"/>
        </w:rPr>
        <w:t xml:space="preserve">evaluación del riesgo, </w:t>
      </w:r>
      <w:r w:rsidR="00DD412A">
        <w:rPr>
          <w:kern w:val="22"/>
          <w:szCs w:val="24"/>
          <w:lang w:val="es-ES"/>
        </w:rPr>
        <w:t xml:space="preserve">la </w:t>
      </w:r>
      <w:r>
        <w:rPr>
          <w:kern w:val="22"/>
          <w:szCs w:val="24"/>
          <w:lang w:val="es-ES"/>
        </w:rPr>
        <w:t xml:space="preserve">detección e identificación </w:t>
      </w:r>
      <w:r w:rsidR="00DD412A">
        <w:rPr>
          <w:kern w:val="22"/>
          <w:szCs w:val="24"/>
          <w:lang w:val="es-ES"/>
        </w:rPr>
        <w:t>de organismos vivos modificados</w:t>
      </w:r>
      <w:r>
        <w:rPr>
          <w:kern w:val="22"/>
          <w:szCs w:val="24"/>
          <w:lang w:val="es-ES"/>
        </w:rPr>
        <w:t xml:space="preserve"> y </w:t>
      </w:r>
      <w:r w:rsidR="00DD412A">
        <w:rPr>
          <w:kern w:val="22"/>
          <w:szCs w:val="24"/>
          <w:lang w:val="es-ES"/>
        </w:rPr>
        <w:t xml:space="preserve">la </w:t>
      </w:r>
      <w:r>
        <w:rPr>
          <w:kern w:val="22"/>
          <w:szCs w:val="24"/>
          <w:lang w:val="es-ES"/>
        </w:rPr>
        <w:t xml:space="preserve">concienciación, educación y participación del público, y </w:t>
      </w:r>
      <w:r>
        <w:rPr>
          <w:i/>
          <w:kern w:val="22"/>
          <w:szCs w:val="24"/>
          <w:lang w:val="es-ES"/>
        </w:rPr>
        <w:t>toma nota</w:t>
      </w:r>
      <w:r>
        <w:rPr>
          <w:kern w:val="22"/>
          <w:szCs w:val="24"/>
          <w:lang w:val="es-ES"/>
        </w:rPr>
        <w:t xml:space="preserve"> de la importancia de la integración de la seguridad de la biotecnología y </w:t>
      </w:r>
      <w:r w:rsidR="00DD412A">
        <w:rPr>
          <w:kern w:val="22"/>
          <w:szCs w:val="24"/>
          <w:lang w:val="es-ES"/>
        </w:rPr>
        <w:t>d</w:t>
      </w:r>
      <w:r>
        <w:rPr>
          <w:kern w:val="22"/>
          <w:szCs w:val="24"/>
          <w:lang w:val="es-ES"/>
        </w:rPr>
        <w:t>el intercambio de información y experiencias para continuar fortaleciendo los marcos nacionales de seguridad de la biotecnología en el período que resta del Marco y Plan de Acción y después;</w:t>
      </w:r>
    </w:p>
    <w:p w:rsidR="00DB2E9E" w:rsidRDefault="00DB2E9E">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4"/>
          <w:lang w:val="es-ES"/>
        </w:rPr>
      </w:pPr>
      <w:r>
        <w:rPr>
          <w:i/>
          <w:kern w:val="22"/>
          <w:szCs w:val="24"/>
          <w:lang w:val="es-ES"/>
        </w:rPr>
        <w:t xml:space="preserve">Insta también </w:t>
      </w:r>
      <w:r>
        <w:rPr>
          <w:kern w:val="22"/>
          <w:szCs w:val="24"/>
          <w:lang w:val="es-ES"/>
        </w:rPr>
        <w:t xml:space="preserve">a las Partes a </w:t>
      </w:r>
      <w:r w:rsidR="00DD412A">
        <w:rPr>
          <w:kern w:val="22"/>
          <w:szCs w:val="24"/>
          <w:lang w:val="es-ES"/>
        </w:rPr>
        <w:t xml:space="preserve">que </w:t>
      </w:r>
      <w:r w:rsidR="006875D4">
        <w:rPr>
          <w:kern w:val="22"/>
          <w:szCs w:val="24"/>
          <w:lang w:val="es-ES"/>
        </w:rPr>
        <w:t>d</w:t>
      </w:r>
      <w:r w:rsidR="00DD412A">
        <w:rPr>
          <w:kern w:val="22"/>
          <w:szCs w:val="24"/>
          <w:lang w:val="es-ES"/>
        </w:rPr>
        <w:t>en</w:t>
      </w:r>
      <w:r>
        <w:rPr>
          <w:kern w:val="22"/>
          <w:szCs w:val="24"/>
          <w:lang w:val="es-ES"/>
        </w:rPr>
        <w:t xml:space="preserve"> prioridad, según proceda, a las actividades de creación de capacidad sobre responsabilidad y compensación planteadas en el área de atención 4 del Marco y Plan de Acción, durante el período que resta del Marco y Plan de Acción, en vista de la reciente entrada en vigor del Protocolo Suplementario de Nagoya – Kuala Lumpur sobre Responsabilidad y Compensación;</w:t>
      </w:r>
    </w:p>
    <w:p w:rsidR="00DB2E9E" w:rsidRDefault="00DB2E9E">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4"/>
          <w:lang w:val="es-ES"/>
        </w:rPr>
      </w:pPr>
      <w:r>
        <w:rPr>
          <w:i/>
          <w:kern w:val="22"/>
          <w:szCs w:val="24"/>
          <w:lang w:val="es-ES"/>
        </w:rPr>
        <w:t>Invita</w:t>
      </w:r>
      <w:r>
        <w:rPr>
          <w:kern w:val="22"/>
          <w:szCs w:val="24"/>
          <w:lang w:val="es-ES"/>
        </w:rPr>
        <w:t xml:space="preserve"> a las Partes, otros Gobiernos y organizaciones pertinentes que estén en condiciones de hacerlo a proporcionar apoyo financiero y técnico adicional para que las Partes que son países en desarrollo, en particular los países menos adelantados y los pequeños Estados insulares en desarrollo entre ellos, y las Partes con economías en transición, puedan continuar aplicando el Marco y Plan de Acción;</w:t>
      </w:r>
    </w:p>
    <w:p w:rsidR="00DB2E9E" w:rsidRDefault="00DB2E9E">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4"/>
          <w:lang w:val="es-ES"/>
        </w:rPr>
      </w:pPr>
      <w:r>
        <w:rPr>
          <w:i/>
          <w:kern w:val="22"/>
          <w:szCs w:val="24"/>
          <w:lang w:val="es-ES"/>
        </w:rPr>
        <w:lastRenderedPageBreak/>
        <w:t>Toma nota</w:t>
      </w:r>
      <w:r>
        <w:rPr>
          <w:kern w:val="22"/>
          <w:szCs w:val="24"/>
          <w:lang w:val="es-ES"/>
        </w:rPr>
        <w:t xml:space="preserve"> de los resultados de la 12ª reunión del Grupo de Enlace sobre Creación de Capacidad para la Seguridad de la Biotecnología, </w:t>
      </w:r>
      <w:r>
        <w:rPr>
          <w:i/>
          <w:kern w:val="22"/>
          <w:szCs w:val="24"/>
          <w:lang w:val="es-ES"/>
        </w:rPr>
        <w:t>reconoce</w:t>
      </w:r>
      <w:r>
        <w:rPr>
          <w:kern w:val="22"/>
          <w:szCs w:val="24"/>
          <w:lang w:val="es-ES"/>
        </w:rPr>
        <w:t xml:space="preserve"> la necesidad de un plan de acción específico </w:t>
      </w:r>
      <w:r w:rsidR="00431CA5">
        <w:rPr>
          <w:kern w:val="22"/>
          <w:szCs w:val="24"/>
          <w:lang w:val="es-ES"/>
        </w:rPr>
        <w:t>para</w:t>
      </w:r>
      <w:r>
        <w:rPr>
          <w:kern w:val="22"/>
          <w:szCs w:val="24"/>
          <w:lang w:val="es-ES"/>
        </w:rPr>
        <w:t xml:space="preserve"> </w:t>
      </w:r>
      <w:r w:rsidR="00431CA5">
        <w:rPr>
          <w:kern w:val="22"/>
          <w:szCs w:val="24"/>
          <w:lang w:val="es-ES"/>
        </w:rPr>
        <w:t xml:space="preserve">la </w:t>
      </w:r>
      <w:r>
        <w:rPr>
          <w:kern w:val="22"/>
          <w:szCs w:val="24"/>
          <w:lang w:val="es-ES"/>
        </w:rPr>
        <w:t xml:space="preserve">creación de capacidad para la aplicación del Protocolo de Cartagena y su Protocolo Suplementario que esté </w:t>
      </w:r>
      <w:r w:rsidR="009C2CC9">
        <w:rPr>
          <w:kern w:val="22"/>
          <w:szCs w:val="24"/>
          <w:lang w:val="es-ES"/>
        </w:rPr>
        <w:t>en armonía</w:t>
      </w:r>
      <w:r>
        <w:rPr>
          <w:kern w:val="22"/>
          <w:szCs w:val="24"/>
          <w:lang w:val="es-ES"/>
        </w:rPr>
        <w:t xml:space="preserve"> con el instrumento específico que sucederá al Plan Estratégico para el Protocolo de Cartagena sobre Seguridad de la Biotecnología y sea complementario al marco estratégico a largo plazo para la creación de capacidad después de 2020 y </w:t>
      </w:r>
      <w:r>
        <w:rPr>
          <w:i/>
          <w:kern w:val="22"/>
          <w:szCs w:val="24"/>
          <w:lang w:val="es-ES"/>
        </w:rPr>
        <w:t>acoge con satisfacción</w:t>
      </w:r>
      <w:r>
        <w:rPr>
          <w:kern w:val="22"/>
          <w:szCs w:val="24"/>
          <w:lang w:val="es-ES"/>
        </w:rPr>
        <w:t xml:space="preserve"> el calendario indicativo de actividades para la elaboración del plan de acción específico</w:t>
      </w:r>
      <w:r w:rsidR="006875D4">
        <w:rPr>
          <w:kern w:val="22"/>
          <w:szCs w:val="24"/>
          <w:lang w:val="es-ES"/>
        </w:rPr>
        <w:t>,</w:t>
      </w:r>
      <w:r>
        <w:rPr>
          <w:kern w:val="22"/>
          <w:szCs w:val="24"/>
          <w:lang w:val="es-ES"/>
        </w:rPr>
        <w:t xml:space="preserve"> que figura en el anexo de la presente decisión;</w:t>
      </w:r>
    </w:p>
    <w:p w:rsidR="00DB2E9E" w:rsidRDefault="00DB2E9E">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4"/>
          <w:lang w:val="es-ES"/>
        </w:rPr>
      </w:pPr>
      <w:r>
        <w:rPr>
          <w:i/>
          <w:kern w:val="22"/>
          <w:szCs w:val="24"/>
          <w:lang w:val="es-ES"/>
        </w:rPr>
        <w:t>Toma nota</w:t>
      </w:r>
      <w:r>
        <w:rPr>
          <w:kern w:val="22"/>
          <w:szCs w:val="24"/>
          <w:lang w:val="es-ES"/>
        </w:rPr>
        <w:t xml:space="preserve"> de la decisión 14/24, </w:t>
      </w:r>
      <w:r w:rsidR="006875D4">
        <w:rPr>
          <w:kern w:val="22"/>
          <w:szCs w:val="24"/>
          <w:lang w:val="es-ES"/>
        </w:rPr>
        <w:t>en</w:t>
      </w:r>
      <w:r>
        <w:rPr>
          <w:kern w:val="22"/>
          <w:szCs w:val="24"/>
          <w:lang w:val="es-ES"/>
        </w:rPr>
        <w:t xml:space="preserve"> la que la Conferencia de las Partes pide a la Secretaria Ejecutiva que encargue un estudio, con sujeción a la disponibilidad de recursos, para proporcionar una base de información para la preparación de un marco estratégico a largo plazo para la creación de capacidad después de 2020, </w:t>
      </w:r>
      <w:r>
        <w:rPr>
          <w:i/>
          <w:kern w:val="22"/>
          <w:szCs w:val="24"/>
          <w:lang w:val="es-ES"/>
        </w:rPr>
        <w:t>acoge con satisfacción</w:t>
      </w:r>
      <w:r>
        <w:rPr>
          <w:kern w:val="22"/>
          <w:szCs w:val="24"/>
          <w:lang w:val="es-ES"/>
        </w:rPr>
        <w:t xml:space="preserve"> el mandato para el estudio, que figura en el anexo de esa decisión, y </w:t>
      </w:r>
      <w:r>
        <w:rPr>
          <w:i/>
          <w:kern w:val="22"/>
          <w:szCs w:val="24"/>
          <w:lang w:val="es-ES"/>
        </w:rPr>
        <w:t>pide</w:t>
      </w:r>
      <w:r>
        <w:rPr>
          <w:kern w:val="22"/>
          <w:szCs w:val="24"/>
          <w:lang w:val="es-ES"/>
        </w:rPr>
        <w:t xml:space="preserve"> que en el estudio se tengan en cuenta aspectos pertinentes al Protocolo de Cartagena;</w:t>
      </w:r>
    </w:p>
    <w:p w:rsidR="00DB2E9E" w:rsidRDefault="00DB2E9E">
      <w:pPr>
        <w:pStyle w:val="Para1"/>
        <w:numPr>
          <w:ilvl w:val="0"/>
          <w:numId w:val="2"/>
        </w:numPr>
        <w:suppressLineNumbers/>
        <w:tabs>
          <w:tab w:val="clear" w:pos="360"/>
          <w:tab w:val="num" w:pos="1418"/>
        </w:tabs>
        <w:suppressAutoHyphens/>
        <w:kinsoku w:val="0"/>
        <w:overflowPunct w:val="0"/>
        <w:autoSpaceDE w:val="0"/>
        <w:autoSpaceDN w:val="0"/>
        <w:adjustRightInd w:val="0"/>
        <w:snapToGrid w:val="0"/>
        <w:spacing w:before="0" w:after="0"/>
        <w:ind w:firstLine="720"/>
        <w:rPr>
          <w:kern w:val="22"/>
          <w:szCs w:val="24"/>
          <w:lang w:val="es-ES"/>
        </w:rPr>
      </w:pPr>
      <w:r>
        <w:rPr>
          <w:i/>
          <w:kern w:val="22"/>
          <w:szCs w:val="24"/>
          <w:lang w:val="es-ES"/>
        </w:rPr>
        <w:t>Invita</w:t>
      </w:r>
      <w:r>
        <w:rPr>
          <w:kern w:val="22"/>
          <w:szCs w:val="24"/>
          <w:lang w:val="es-ES"/>
        </w:rPr>
        <w:t xml:space="preserve"> a las Partes, pueblos indígenas y comunidades locales y organizaciones pertinentes a presentar a la Secretaria Ejecutiva opiniones y sugerencias sobre los posibles elementos del marco estratégico a largo plazo para la creación de capacidad después de 2020 así como posibles elementos de un plan de acción específico para la creación de capacidad sobre seguridad de la biotecnología, </w:t>
      </w:r>
      <w:r w:rsidR="006875D4">
        <w:rPr>
          <w:kern w:val="22"/>
          <w:szCs w:val="24"/>
          <w:lang w:val="es-ES"/>
        </w:rPr>
        <w:t xml:space="preserve">que </w:t>
      </w:r>
      <w:r>
        <w:rPr>
          <w:kern w:val="22"/>
          <w:szCs w:val="24"/>
          <w:lang w:val="es-ES"/>
        </w:rPr>
        <w:t>abar</w:t>
      </w:r>
      <w:r w:rsidR="006875D4">
        <w:rPr>
          <w:kern w:val="22"/>
          <w:szCs w:val="24"/>
          <w:lang w:val="es-ES"/>
        </w:rPr>
        <w:t>que</w:t>
      </w:r>
      <w:r>
        <w:rPr>
          <w:kern w:val="22"/>
          <w:szCs w:val="24"/>
          <w:lang w:val="es-ES"/>
        </w:rPr>
        <w:t xml:space="preserve"> el Protocolo de Cartagena y su Protocolo Suplementario;</w:t>
      </w:r>
    </w:p>
    <w:p w:rsidR="00DB2E9E" w:rsidRDefault="00DB2E9E">
      <w:pPr>
        <w:pStyle w:val="Para1"/>
        <w:numPr>
          <w:ilvl w:val="0"/>
          <w:numId w:val="2"/>
        </w:numPr>
        <w:suppressLineNumbers/>
        <w:tabs>
          <w:tab w:val="clear" w:pos="360"/>
          <w:tab w:val="num" w:pos="1418"/>
        </w:tabs>
        <w:suppressAutoHyphens/>
        <w:kinsoku w:val="0"/>
        <w:overflowPunct w:val="0"/>
        <w:autoSpaceDE w:val="0"/>
        <w:autoSpaceDN w:val="0"/>
        <w:adjustRightInd w:val="0"/>
        <w:snapToGrid w:val="0"/>
        <w:ind w:firstLine="720"/>
        <w:rPr>
          <w:kern w:val="22"/>
          <w:szCs w:val="24"/>
          <w:lang w:val="es-ES"/>
        </w:rPr>
      </w:pPr>
      <w:r>
        <w:rPr>
          <w:i/>
          <w:kern w:val="22"/>
          <w:szCs w:val="24"/>
          <w:lang w:val="es-ES"/>
        </w:rPr>
        <w:t>Invita</w:t>
      </w:r>
      <w:r>
        <w:rPr>
          <w:kern w:val="22"/>
          <w:szCs w:val="24"/>
          <w:lang w:val="es-ES"/>
        </w:rPr>
        <w:t xml:space="preserve"> </w:t>
      </w:r>
      <w:r>
        <w:rPr>
          <w:i/>
          <w:kern w:val="22"/>
          <w:szCs w:val="24"/>
          <w:lang w:val="es-ES"/>
        </w:rPr>
        <w:t>también</w:t>
      </w:r>
      <w:r>
        <w:rPr>
          <w:kern w:val="22"/>
          <w:szCs w:val="24"/>
          <w:lang w:val="es-ES"/>
        </w:rPr>
        <w:t xml:space="preserve"> a las Partes, así como a pueblos indígenas y comunidades locales y organizaciones pertinentes, a particip</w:t>
      </w:r>
      <w:r w:rsidR="006875D4">
        <w:rPr>
          <w:kern w:val="22"/>
          <w:szCs w:val="24"/>
          <w:lang w:val="es-ES"/>
        </w:rPr>
        <w:t>ar</w:t>
      </w:r>
      <w:r>
        <w:rPr>
          <w:kern w:val="22"/>
          <w:szCs w:val="24"/>
          <w:lang w:val="es-ES"/>
        </w:rPr>
        <w:t xml:space="preserve"> en los talleres consultivos y foros de discusión en línea sobre el proyecto de marco estratégico a largo plazo para la creación de capacidad </w:t>
      </w:r>
      <w:r w:rsidR="006875D4">
        <w:rPr>
          <w:kern w:val="22"/>
          <w:szCs w:val="24"/>
          <w:lang w:val="es-ES"/>
        </w:rPr>
        <w:t>después de</w:t>
      </w:r>
      <w:r>
        <w:rPr>
          <w:kern w:val="22"/>
          <w:szCs w:val="24"/>
          <w:lang w:val="es-ES"/>
        </w:rPr>
        <w:t xml:space="preserve"> 2020, conjuntamente con el proceso de preparación para el marco mundial de la diversidad biológica posterior a 2020;</w:t>
      </w:r>
    </w:p>
    <w:p w:rsidR="00DB2E9E" w:rsidRDefault="00DB2E9E">
      <w:pPr>
        <w:pStyle w:val="Para1"/>
        <w:numPr>
          <w:ilvl w:val="0"/>
          <w:numId w:val="2"/>
        </w:numPr>
        <w:suppressLineNumbers/>
        <w:tabs>
          <w:tab w:val="clear" w:pos="360"/>
          <w:tab w:val="num" w:pos="1418"/>
        </w:tabs>
        <w:suppressAutoHyphens/>
        <w:kinsoku w:val="0"/>
        <w:overflowPunct w:val="0"/>
        <w:autoSpaceDE w:val="0"/>
        <w:autoSpaceDN w:val="0"/>
        <w:adjustRightInd w:val="0"/>
        <w:snapToGrid w:val="0"/>
        <w:ind w:firstLine="720"/>
        <w:rPr>
          <w:kern w:val="22"/>
          <w:szCs w:val="24"/>
          <w:lang w:val="es-ES"/>
        </w:rPr>
      </w:pPr>
      <w:r>
        <w:rPr>
          <w:i/>
          <w:color w:val="000000"/>
          <w:kern w:val="22"/>
          <w:szCs w:val="24"/>
          <w:lang w:val="es-ES"/>
        </w:rPr>
        <w:t>Pide</w:t>
      </w:r>
      <w:r>
        <w:rPr>
          <w:color w:val="000000"/>
          <w:kern w:val="22"/>
          <w:szCs w:val="24"/>
          <w:lang w:val="es-ES"/>
        </w:rPr>
        <w:t xml:space="preserve"> al Grupo de Enlace </w:t>
      </w:r>
      <w:r w:rsidR="00D60148">
        <w:rPr>
          <w:color w:val="000000"/>
          <w:kern w:val="22"/>
          <w:szCs w:val="24"/>
          <w:lang w:val="es-ES"/>
        </w:rPr>
        <w:t>d</w:t>
      </w:r>
      <w:r>
        <w:rPr>
          <w:color w:val="000000"/>
          <w:kern w:val="22"/>
          <w:szCs w:val="24"/>
          <w:lang w:val="es-ES"/>
        </w:rPr>
        <w:t>el Protocolo de Cartagena sobre Seguridad de la Biotecnología</w:t>
      </w:r>
      <w:r>
        <w:rPr>
          <w:rStyle w:val="FootnoteReference"/>
          <w:color w:val="000000"/>
          <w:kern w:val="22"/>
          <w:szCs w:val="24"/>
          <w:lang w:val="es-ES"/>
        </w:rPr>
        <w:footnoteReference w:id="3"/>
      </w:r>
      <w:r>
        <w:rPr>
          <w:color w:val="000000"/>
          <w:kern w:val="22"/>
          <w:szCs w:val="24"/>
          <w:lang w:val="es-ES"/>
        </w:rPr>
        <w:t xml:space="preserve"> que en su 13ª reunión contribuya a la elaboración de </w:t>
      </w:r>
      <w:r>
        <w:rPr>
          <w:kern w:val="22"/>
          <w:szCs w:val="24"/>
          <w:lang w:val="es-ES"/>
        </w:rPr>
        <w:t xml:space="preserve">a) el proyecto de plan de acción </w:t>
      </w:r>
      <w:r w:rsidR="003431FA">
        <w:rPr>
          <w:kern w:val="22"/>
          <w:szCs w:val="24"/>
          <w:lang w:val="es-ES"/>
        </w:rPr>
        <w:t>para la</w:t>
      </w:r>
      <w:r>
        <w:rPr>
          <w:kern w:val="22"/>
          <w:szCs w:val="24"/>
          <w:lang w:val="es-ES"/>
        </w:rPr>
        <w:t xml:space="preserve"> creación de capacidad para la aplicación del Protocolo de Cartagena y su Protocolo Suplementario y b) el proyecto de marco estratégico a largo plazo para la creación de capacidad después de </w:t>
      </w:r>
      <w:r>
        <w:rPr>
          <w:color w:val="000000"/>
          <w:kern w:val="22"/>
          <w:szCs w:val="24"/>
          <w:lang w:val="es-ES"/>
        </w:rPr>
        <w:t xml:space="preserve">2020, según proceda, y que, en su 14ª reunión, </w:t>
      </w:r>
      <w:r>
        <w:rPr>
          <w:kern w:val="22"/>
          <w:szCs w:val="24"/>
          <w:lang w:val="es-ES"/>
        </w:rPr>
        <w:t>revise el proyecto final del plan de acción para la creación de capacidad sobre seguridad de la biotecnología, teniendo en cuenta la información proporcionada en los cuartos informes nacionales presentados en el marco del Protocolo de Cartagena</w:t>
      </w:r>
      <w:r>
        <w:rPr>
          <w:color w:val="000000"/>
          <w:kern w:val="22"/>
          <w:szCs w:val="24"/>
          <w:lang w:val="es-ES"/>
        </w:rPr>
        <w:t>;</w:t>
      </w:r>
    </w:p>
    <w:p w:rsidR="00DB2E9E" w:rsidRDefault="00DB2E9E">
      <w:pPr>
        <w:pStyle w:val="Para1"/>
        <w:numPr>
          <w:ilvl w:val="0"/>
          <w:numId w:val="2"/>
        </w:numPr>
        <w:suppressLineNumbers/>
        <w:tabs>
          <w:tab w:val="clear" w:pos="360"/>
        </w:tabs>
        <w:suppressAutoHyphens/>
        <w:kinsoku w:val="0"/>
        <w:overflowPunct w:val="0"/>
        <w:autoSpaceDE w:val="0"/>
        <w:autoSpaceDN w:val="0"/>
        <w:adjustRightInd w:val="0"/>
        <w:snapToGrid w:val="0"/>
        <w:ind w:firstLine="720"/>
        <w:rPr>
          <w:kern w:val="22"/>
          <w:szCs w:val="24"/>
          <w:lang w:val="es-ES"/>
        </w:rPr>
      </w:pPr>
      <w:r>
        <w:rPr>
          <w:i/>
          <w:kern w:val="22"/>
          <w:szCs w:val="24"/>
          <w:lang w:val="es-ES"/>
        </w:rPr>
        <w:t>Pide</w:t>
      </w:r>
      <w:r>
        <w:rPr>
          <w:kern w:val="22"/>
          <w:szCs w:val="24"/>
          <w:lang w:val="es-ES"/>
        </w:rPr>
        <w:t xml:space="preserve"> a la Secretaria Ejecutiva que:</w:t>
      </w:r>
    </w:p>
    <w:p w:rsidR="00DB2E9E" w:rsidRDefault="00DB2E9E">
      <w:pPr>
        <w:pStyle w:val="Para1"/>
        <w:numPr>
          <w:ilvl w:val="0"/>
          <w:numId w:val="0"/>
        </w:numPr>
        <w:suppressLineNumbers/>
        <w:suppressAutoHyphens/>
        <w:kinsoku w:val="0"/>
        <w:overflowPunct w:val="0"/>
        <w:autoSpaceDE w:val="0"/>
        <w:autoSpaceDN w:val="0"/>
        <w:adjustRightInd w:val="0"/>
        <w:snapToGrid w:val="0"/>
        <w:ind w:firstLine="720"/>
        <w:rPr>
          <w:szCs w:val="24"/>
          <w:lang w:val="es-ES"/>
        </w:rPr>
      </w:pPr>
      <w:r>
        <w:rPr>
          <w:kern w:val="22"/>
          <w:szCs w:val="24"/>
          <w:lang w:val="es-ES"/>
        </w:rPr>
        <w:t>a)</w:t>
      </w:r>
      <w:r>
        <w:rPr>
          <w:kern w:val="22"/>
          <w:szCs w:val="24"/>
          <w:lang w:val="en-US"/>
        </w:rPr>
        <w:tab/>
      </w:r>
      <w:r>
        <w:rPr>
          <w:kern w:val="22"/>
          <w:szCs w:val="24"/>
          <w:lang w:val="es-ES"/>
        </w:rPr>
        <w:t>Recopile las opiniones y sugerencias de las Partes, pueblos indígenas y comunidades locales y organizaciones pertinentes que se mencionan en el párrafo 8 de la presente decisión;</w:t>
      </w:r>
    </w:p>
    <w:p w:rsidR="00DB2E9E" w:rsidRDefault="00DB2E9E">
      <w:pPr>
        <w:pStyle w:val="Para1"/>
        <w:numPr>
          <w:ilvl w:val="0"/>
          <w:numId w:val="0"/>
        </w:numPr>
        <w:suppressLineNumbers/>
        <w:suppressAutoHyphens/>
        <w:kinsoku w:val="0"/>
        <w:overflowPunct w:val="0"/>
        <w:autoSpaceDE w:val="0"/>
        <w:autoSpaceDN w:val="0"/>
        <w:adjustRightInd w:val="0"/>
        <w:snapToGrid w:val="0"/>
        <w:ind w:firstLine="720"/>
        <w:rPr>
          <w:szCs w:val="24"/>
          <w:lang w:val="es-ES"/>
        </w:rPr>
      </w:pPr>
      <w:r>
        <w:rPr>
          <w:noProof/>
          <w:kern w:val="22"/>
          <w:szCs w:val="24"/>
        </w:rPr>
        <w:t>b)</w:t>
      </w:r>
      <w:r>
        <w:rPr>
          <w:kern w:val="22"/>
          <w:szCs w:val="24"/>
          <w:lang w:val="en-US"/>
        </w:rPr>
        <w:tab/>
      </w:r>
      <w:r>
        <w:rPr>
          <w:kern w:val="22"/>
          <w:szCs w:val="24"/>
          <w:lang w:val="es-ES"/>
        </w:rPr>
        <w:t xml:space="preserve">Garantice un nivel adecuado de participación de expertos en seguridad de la biotecnología, incluidos quienes tengan experiencia en el Protocolo Suplementario, en las consultas que se mantengan a </w:t>
      </w:r>
      <w:r w:rsidR="003431FA">
        <w:rPr>
          <w:kern w:val="22"/>
          <w:szCs w:val="24"/>
          <w:lang w:val="es-ES"/>
        </w:rPr>
        <w:t xml:space="preserve">lo largo de </w:t>
      </w:r>
      <w:r>
        <w:rPr>
          <w:kern w:val="22"/>
          <w:szCs w:val="24"/>
          <w:lang w:val="es-ES"/>
        </w:rPr>
        <w:t>la elaboración del marco estratégico para la creación de capacidad después de 2020;</w:t>
      </w:r>
    </w:p>
    <w:p w:rsidR="00DB2E9E" w:rsidRDefault="00DB2E9E">
      <w:pPr>
        <w:pStyle w:val="Para1"/>
        <w:numPr>
          <w:ilvl w:val="0"/>
          <w:numId w:val="0"/>
        </w:numPr>
        <w:suppressLineNumbers/>
        <w:suppressAutoHyphens/>
        <w:kinsoku w:val="0"/>
        <w:overflowPunct w:val="0"/>
        <w:autoSpaceDE w:val="0"/>
        <w:autoSpaceDN w:val="0"/>
        <w:adjustRightInd w:val="0"/>
        <w:snapToGrid w:val="0"/>
        <w:ind w:firstLine="720"/>
        <w:rPr>
          <w:szCs w:val="24"/>
          <w:lang w:val="es-ES"/>
        </w:rPr>
      </w:pPr>
      <w:r>
        <w:rPr>
          <w:kern w:val="22"/>
          <w:szCs w:val="24"/>
          <w:lang w:val="es-ES"/>
        </w:rPr>
        <w:t>c)</w:t>
      </w:r>
      <w:r>
        <w:rPr>
          <w:kern w:val="22"/>
          <w:szCs w:val="24"/>
          <w:lang w:val="en-US"/>
        </w:rPr>
        <w:tab/>
      </w:r>
      <w:r>
        <w:rPr>
          <w:kern w:val="22"/>
          <w:szCs w:val="24"/>
          <w:lang w:val="es-ES"/>
        </w:rPr>
        <w:t xml:space="preserve">Presente i) un proyecto de plan de acción </w:t>
      </w:r>
      <w:r w:rsidR="003431FA">
        <w:rPr>
          <w:kern w:val="22"/>
          <w:szCs w:val="24"/>
          <w:lang w:val="es-ES"/>
        </w:rPr>
        <w:t>para la</w:t>
      </w:r>
      <w:r>
        <w:rPr>
          <w:kern w:val="22"/>
          <w:szCs w:val="24"/>
          <w:lang w:val="es-ES"/>
        </w:rPr>
        <w:t xml:space="preserve"> creación de capacidad para la aplicación del Protocolo de Cartagena y su Protocolo Suplementario y ii) un proyecto de marco estratégico a largo plazo para la creación de capacidad después de 2020</w:t>
      </w:r>
      <w:r>
        <w:rPr>
          <w:rStyle w:val="FootnoteReference"/>
          <w:kern w:val="22"/>
          <w:szCs w:val="24"/>
          <w:lang w:val="es-ES"/>
        </w:rPr>
        <w:footnoteReference w:id="4"/>
      </w:r>
      <w:r>
        <w:rPr>
          <w:kern w:val="22"/>
          <w:szCs w:val="24"/>
          <w:lang w:val="es-ES"/>
        </w:rPr>
        <w:t xml:space="preserve">, para consideración </w:t>
      </w:r>
      <w:r w:rsidR="00D60148">
        <w:rPr>
          <w:kern w:val="22"/>
          <w:szCs w:val="24"/>
          <w:lang w:val="es-ES"/>
        </w:rPr>
        <w:t>d</w:t>
      </w:r>
      <w:r>
        <w:rPr>
          <w:kern w:val="22"/>
          <w:szCs w:val="24"/>
          <w:lang w:val="es-ES"/>
        </w:rPr>
        <w:t xml:space="preserve">el Órgano Subsidiario sobre la Aplicación en su tercera reunión y para posterior consideración </w:t>
      </w:r>
      <w:r w:rsidR="00D60148">
        <w:rPr>
          <w:kern w:val="22"/>
          <w:szCs w:val="24"/>
          <w:lang w:val="es-ES"/>
        </w:rPr>
        <w:t>de</w:t>
      </w:r>
      <w:r>
        <w:rPr>
          <w:kern w:val="22"/>
          <w:szCs w:val="24"/>
          <w:lang w:val="es-ES"/>
        </w:rPr>
        <w:t xml:space="preserve"> la Conferencia de las Partes que actúa como reunión de las Partes en el Protocolo de Cartagena sobre Seguridad de la Biotecnología en su décima reunión;</w:t>
      </w:r>
    </w:p>
    <w:p w:rsidR="00DB2E9E" w:rsidRDefault="00DB2E9E">
      <w:pPr>
        <w:pStyle w:val="Para1"/>
        <w:numPr>
          <w:ilvl w:val="0"/>
          <w:numId w:val="2"/>
        </w:numPr>
        <w:suppressLineNumbers/>
        <w:tabs>
          <w:tab w:val="clear" w:pos="360"/>
        </w:tabs>
        <w:suppressAutoHyphens/>
        <w:ind w:firstLine="720"/>
        <w:rPr>
          <w:kern w:val="22"/>
          <w:szCs w:val="24"/>
          <w:lang w:val="es-ES"/>
        </w:rPr>
      </w:pPr>
      <w:r>
        <w:rPr>
          <w:i/>
          <w:kern w:val="22"/>
          <w:szCs w:val="24"/>
          <w:lang w:val="es-ES"/>
        </w:rPr>
        <w:t xml:space="preserve">Pide también </w:t>
      </w:r>
      <w:r>
        <w:rPr>
          <w:kern w:val="22"/>
          <w:szCs w:val="24"/>
          <w:lang w:val="es-ES"/>
        </w:rPr>
        <w:t xml:space="preserve">a la Secretaria Ejecutiva que, con sujeción a la disponibilidad de recursos y en colaboración con organizaciones pertinentes, facilite y apoye la realización de las actividades prioritarias de creación de capacidad en apoyo a la aplicación del Protocolo incluidas en el Marco y Plan </w:t>
      </w:r>
      <w:r>
        <w:rPr>
          <w:kern w:val="22"/>
          <w:szCs w:val="24"/>
          <w:lang w:val="es-ES"/>
        </w:rPr>
        <w:lastRenderedPageBreak/>
        <w:t xml:space="preserve">de Acción </w:t>
      </w:r>
      <w:r w:rsidR="003431FA">
        <w:rPr>
          <w:kern w:val="22"/>
          <w:szCs w:val="24"/>
          <w:lang w:val="es-ES"/>
        </w:rPr>
        <w:t>para la</w:t>
      </w:r>
      <w:r>
        <w:rPr>
          <w:kern w:val="22"/>
          <w:szCs w:val="24"/>
          <w:lang w:val="es-ES"/>
        </w:rPr>
        <w:t xml:space="preserve"> Creación de Capacidad para la Aplicación Efectiva del Protocolo de Cartagena sobre Seguridad de la Biotecnología (2012-2020), que figuran en el anexo I de la decisión BS-VI/3, y de conformidad con el Plan de Acción a Corto Plazo (2017-2020) para Mejorar y Apoyar la Creación de Capacidad para la Aplicación del Convenio y sus Protocolos, que figura en el anexo de la decisión XIII/23 de la Conferencia de las Partes.</w:t>
      </w:r>
    </w:p>
    <w:p w:rsidR="00DB2E9E" w:rsidRDefault="00DB2E9E">
      <w:pPr>
        <w:keepNext/>
        <w:suppressLineNumbers/>
        <w:suppressAutoHyphens/>
        <w:kinsoku w:val="0"/>
        <w:overflowPunct w:val="0"/>
        <w:autoSpaceDE w:val="0"/>
        <w:autoSpaceDN w:val="0"/>
        <w:snapToGrid w:val="0"/>
        <w:spacing w:before="240" w:after="120"/>
        <w:jc w:val="center"/>
        <w:rPr>
          <w:i/>
          <w:kern w:val="22"/>
          <w:lang w:val="es-ES"/>
        </w:rPr>
      </w:pPr>
      <w:r>
        <w:rPr>
          <w:i/>
          <w:kern w:val="22"/>
          <w:lang w:val="es-ES"/>
        </w:rPr>
        <w:t>Anexo</w:t>
      </w:r>
    </w:p>
    <w:p w:rsidR="00DB2E9E" w:rsidRDefault="00DB2E9E">
      <w:pPr>
        <w:keepNext/>
        <w:suppressLineNumbers/>
        <w:suppressAutoHyphens/>
        <w:spacing w:before="120" w:after="120"/>
        <w:jc w:val="center"/>
        <w:rPr>
          <w:rFonts w:ascii="Calibri" w:hAnsi="Calibri"/>
          <w:color w:val="000000"/>
          <w:kern w:val="22"/>
          <w:lang w:val="es-ES"/>
        </w:rPr>
      </w:pPr>
      <w:r>
        <w:rPr>
          <w:b/>
          <w:color w:val="000000"/>
          <w:kern w:val="22"/>
          <w:lang w:val="es-ES"/>
        </w:rPr>
        <w:t>CALENDARIO INDICATIVO DE ACTIVIDADES</w:t>
      </w:r>
    </w:p>
    <w:p w:rsidR="00DB2E9E" w:rsidRDefault="00DB2E9E">
      <w:pPr>
        <w:pStyle w:val="Para1"/>
        <w:numPr>
          <w:ilvl w:val="0"/>
          <w:numId w:val="0"/>
        </w:numPr>
        <w:suppressLineNumbers/>
        <w:suppressAutoHyphens/>
        <w:kinsoku w:val="0"/>
        <w:overflowPunct w:val="0"/>
        <w:autoSpaceDE w:val="0"/>
        <w:autoSpaceDN w:val="0"/>
        <w:adjustRightInd w:val="0"/>
        <w:snapToGrid w:val="0"/>
        <w:spacing w:before="0" w:after="0"/>
        <w:rPr>
          <w:kern w:val="22"/>
          <w:szCs w:val="24"/>
          <w:lang w:val="es-ES"/>
        </w:rPr>
      </w:pPr>
      <w:r>
        <w:rPr>
          <w:kern w:val="22"/>
          <w:szCs w:val="24"/>
          <w:lang w:val="es-ES"/>
        </w:rPr>
        <w:tab/>
        <w:t xml:space="preserve">El proceso para la elaboración de un plan de acción específico </w:t>
      </w:r>
      <w:r w:rsidR="00431CA5">
        <w:rPr>
          <w:kern w:val="22"/>
          <w:szCs w:val="24"/>
          <w:lang w:val="es-ES"/>
        </w:rPr>
        <w:t>para la</w:t>
      </w:r>
      <w:r>
        <w:rPr>
          <w:kern w:val="22"/>
          <w:szCs w:val="24"/>
          <w:lang w:val="es-ES"/>
        </w:rPr>
        <w:t xml:space="preserve"> creación de capacidad para la aplicación del Protocolo de Cartagena y su Protocolo Suplementario que esté en armonía con el instrumento específico que sucederá al Plan Estratégico para el Protocolo de Cartagena sobre Seguridad de la Biotecnología y sea complementario al marco estratégico a largo plazo para la creación de capacidad después de 2020 incluirá las siguientes actividades, que se articularán con el calendario para la elaboración del instrumento que sucederá al Plan Estratégico para la Diversidad Biológica 2011-2020:</w:t>
      </w:r>
    </w:p>
    <w:p w:rsidR="00DB2E9E" w:rsidRDefault="00DB2E9E">
      <w:pPr>
        <w:pStyle w:val="Para1"/>
        <w:numPr>
          <w:ilvl w:val="0"/>
          <w:numId w:val="0"/>
        </w:numPr>
        <w:suppressLineNumbers/>
        <w:suppressAutoHyphens/>
        <w:kinsoku w:val="0"/>
        <w:overflowPunct w:val="0"/>
        <w:autoSpaceDE w:val="0"/>
        <w:autoSpaceDN w:val="0"/>
        <w:adjustRightInd w:val="0"/>
        <w:snapToGrid w:val="0"/>
        <w:spacing w:before="0" w:after="0"/>
        <w:rPr>
          <w:snapToGrid w:val="0"/>
          <w:kern w:val="22"/>
          <w:szCs w:val="24"/>
          <w:lang w:val="es-ES"/>
        </w:rPr>
      </w:pPr>
    </w:p>
    <w:tbl>
      <w:tblPr>
        <w:tblW w:w="9598" w:type="dxa"/>
        <w:jc w:val="center"/>
        <w:tblLayout w:type="fixed"/>
        <w:tblLook w:val="01E0"/>
      </w:tblPr>
      <w:tblGrid>
        <w:gridCol w:w="5030"/>
        <w:gridCol w:w="1984"/>
        <w:gridCol w:w="2584"/>
      </w:tblGrid>
      <w:tr w:rsidR="00DB2E9E" w:rsidTr="00831CA8">
        <w:trPr>
          <w:cantSplit/>
          <w:tblHeader/>
          <w:jc w:val="center"/>
        </w:trPr>
        <w:tc>
          <w:tcPr>
            <w:tcW w:w="5030"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rPr>
                <w:szCs w:val="24"/>
              </w:rPr>
            </w:pPr>
            <w:r>
              <w:rPr>
                <w:i/>
                <w:kern w:val="22"/>
                <w:szCs w:val="24"/>
                <w:lang w:val="es-ES"/>
              </w:rPr>
              <w:t>Actividad/Tarea</w:t>
            </w:r>
          </w:p>
        </w:tc>
        <w:tc>
          <w:tcPr>
            <w:tcW w:w="19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rPr>
                <w:szCs w:val="24"/>
              </w:rPr>
            </w:pPr>
            <w:r>
              <w:rPr>
                <w:i/>
                <w:kern w:val="22"/>
                <w:szCs w:val="24"/>
                <w:lang w:val="es-ES"/>
              </w:rPr>
              <w:t>Marco temporal</w:t>
            </w: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i/>
                <w:kern w:val="22"/>
                <w:szCs w:val="24"/>
                <w:lang w:val="es-ES"/>
              </w:rPr>
              <w:t>Responsabilidad</w:t>
            </w:r>
          </w:p>
        </w:tc>
      </w:tr>
      <w:tr w:rsidR="00DB2E9E" w:rsidTr="00831CA8">
        <w:trPr>
          <w:cantSplit/>
          <w:jc w:val="center"/>
        </w:trPr>
        <w:tc>
          <w:tcPr>
            <w:tcW w:w="5030" w:type="dxa"/>
          </w:tcPr>
          <w:p w:rsidR="00DB2E9E" w:rsidRDefault="00DB2E9E" w:rsidP="009C2CC9">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zCs w:val="24"/>
              </w:rPr>
            </w:pPr>
            <w:r>
              <w:rPr>
                <w:kern w:val="22"/>
                <w:szCs w:val="24"/>
                <w:lang w:val="es-ES"/>
              </w:rPr>
              <w:t>1.</w:t>
            </w:r>
            <w:r>
              <w:rPr>
                <w:kern w:val="22"/>
                <w:szCs w:val="24"/>
                <w:lang w:val="es-ES"/>
              </w:rPr>
              <w:tab/>
              <w:t xml:space="preserve">Invitación a las Partes en el Protocolo de Cartagena, pueblos indígenas y comunidades locales y organizaciones pertinentes a </w:t>
            </w:r>
            <w:r w:rsidR="00431CA5">
              <w:rPr>
                <w:kern w:val="22"/>
                <w:szCs w:val="24"/>
                <w:lang w:val="es-ES"/>
              </w:rPr>
              <w:t>brindar</w:t>
            </w:r>
            <w:r>
              <w:rPr>
                <w:kern w:val="22"/>
                <w:szCs w:val="24"/>
                <w:lang w:val="es-ES"/>
              </w:rPr>
              <w:t xml:space="preserve"> opiniones y sugerencias sobre los posibles elementos de un plan de acción específico </w:t>
            </w:r>
            <w:r w:rsidR="00431CA5">
              <w:rPr>
                <w:kern w:val="22"/>
                <w:szCs w:val="24"/>
                <w:lang w:val="es-ES"/>
              </w:rPr>
              <w:t>para la</w:t>
            </w:r>
            <w:r>
              <w:rPr>
                <w:kern w:val="22"/>
                <w:szCs w:val="24"/>
                <w:lang w:val="es-ES"/>
              </w:rPr>
              <w:t xml:space="preserve"> creación de capacidad sobre seguridad de la biotecnología, </w:t>
            </w:r>
            <w:r w:rsidR="00431CA5">
              <w:rPr>
                <w:kern w:val="22"/>
                <w:szCs w:val="24"/>
                <w:lang w:val="es-ES"/>
              </w:rPr>
              <w:t xml:space="preserve">que </w:t>
            </w:r>
            <w:r>
              <w:rPr>
                <w:kern w:val="22"/>
                <w:szCs w:val="24"/>
                <w:lang w:val="es-ES"/>
              </w:rPr>
              <w:t>abar</w:t>
            </w:r>
            <w:r w:rsidR="00431CA5">
              <w:rPr>
                <w:kern w:val="22"/>
                <w:szCs w:val="24"/>
                <w:lang w:val="es-ES"/>
              </w:rPr>
              <w:t>que</w:t>
            </w:r>
            <w:r>
              <w:rPr>
                <w:kern w:val="22"/>
                <w:szCs w:val="24"/>
                <w:lang w:val="es-ES"/>
              </w:rPr>
              <w:t xml:space="preserve"> </w:t>
            </w:r>
            <w:r w:rsidR="009C2CC9">
              <w:rPr>
                <w:kern w:val="22"/>
                <w:szCs w:val="24"/>
                <w:lang w:val="es-ES"/>
              </w:rPr>
              <w:t>e</w:t>
            </w:r>
            <w:r>
              <w:rPr>
                <w:kern w:val="22"/>
                <w:szCs w:val="24"/>
                <w:lang w:val="es-ES"/>
              </w:rPr>
              <w:t>l Protocolo de Cartagena y su Protocolo Suplementario, y recopilación de esa información por la Secretaría</w:t>
            </w:r>
          </w:p>
        </w:tc>
        <w:tc>
          <w:tcPr>
            <w:tcW w:w="1984" w:type="dxa"/>
          </w:tcPr>
          <w:p w:rsidR="00DB2E9E" w:rsidRPr="00831CA8" w:rsidRDefault="00DB2E9E">
            <w:pPr>
              <w:pStyle w:val="Para1"/>
              <w:numPr>
                <w:ilvl w:val="0"/>
                <w:numId w:val="0"/>
              </w:numPr>
              <w:suppressLineNumbers/>
              <w:suppressAutoHyphens/>
              <w:kinsoku w:val="0"/>
              <w:overflowPunct w:val="0"/>
              <w:autoSpaceDE w:val="0"/>
              <w:autoSpaceDN w:val="0"/>
              <w:adjustRightInd w:val="0"/>
              <w:snapToGrid w:val="0"/>
              <w:spacing w:before="60" w:after="60"/>
              <w:rPr>
                <w:spacing w:val="-4"/>
                <w:kern w:val="22"/>
                <w:szCs w:val="24"/>
                <w:lang w:val="es-ES"/>
              </w:rPr>
            </w:pPr>
            <w:r w:rsidRPr="00831CA8">
              <w:rPr>
                <w:spacing w:val="-4"/>
                <w:kern w:val="22"/>
                <w:szCs w:val="24"/>
                <w:lang w:val="es-ES"/>
              </w:rPr>
              <w:t>diciembre de 2018 -</w:t>
            </w:r>
          </w:p>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rPr>
                <w:szCs w:val="24"/>
              </w:rPr>
            </w:pPr>
            <w:r w:rsidRPr="00831CA8">
              <w:rPr>
                <w:spacing w:val="-4"/>
                <w:kern w:val="22"/>
                <w:szCs w:val="24"/>
                <w:lang w:val="es-ES"/>
              </w:rPr>
              <w:t>febrero de 2019</w:t>
            </w: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Secretaría; Partes, pueblos indígenas y comunidades locales y organizaciones pertinentes</w:t>
            </w:r>
          </w:p>
        </w:tc>
      </w:tr>
      <w:tr w:rsidR="00DB2E9E" w:rsidTr="00831CA8">
        <w:trPr>
          <w:cantSplit/>
          <w:jc w:val="center"/>
        </w:trPr>
        <w:tc>
          <w:tcPr>
            <w:tcW w:w="5030" w:type="dxa"/>
          </w:tcPr>
          <w:p w:rsidR="00DB2E9E" w:rsidRDefault="00DB2E9E" w:rsidP="00431CA5">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zCs w:val="24"/>
              </w:rPr>
            </w:pPr>
            <w:r>
              <w:rPr>
                <w:kern w:val="22"/>
                <w:szCs w:val="24"/>
                <w:lang w:val="es-ES"/>
              </w:rPr>
              <w:t>2.</w:t>
            </w:r>
            <w:r>
              <w:rPr>
                <w:kern w:val="22"/>
                <w:szCs w:val="24"/>
                <w:lang w:val="es-ES"/>
              </w:rPr>
              <w:tab/>
              <w:t xml:space="preserve">Contribución del Grupo de Enlace a la elaboración del proyecto de plan de acción </w:t>
            </w:r>
            <w:r w:rsidR="00431CA5">
              <w:rPr>
                <w:kern w:val="22"/>
                <w:szCs w:val="24"/>
                <w:lang w:val="es-ES"/>
              </w:rPr>
              <w:t>para la</w:t>
            </w:r>
            <w:r>
              <w:rPr>
                <w:kern w:val="22"/>
                <w:szCs w:val="24"/>
                <w:lang w:val="es-ES"/>
              </w:rPr>
              <w:t xml:space="preserve"> creación de capacidad para la aplicación del Protocolo de Cartagena y su Protocolo Suplementario, teniendo en cuenta las opiniones y sugerencias </w:t>
            </w:r>
            <w:r w:rsidR="00431CA5">
              <w:rPr>
                <w:kern w:val="22"/>
                <w:szCs w:val="24"/>
                <w:lang w:val="es-ES"/>
              </w:rPr>
              <w:t>br</w:t>
            </w:r>
            <w:r>
              <w:rPr>
                <w:kern w:val="22"/>
                <w:szCs w:val="24"/>
                <w:lang w:val="es-ES"/>
              </w:rPr>
              <w:t>in</w:t>
            </w:r>
            <w:r w:rsidR="00431CA5">
              <w:rPr>
                <w:kern w:val="22"/>
                <w:szCs w:val="24"/>
                <w:lang w:val="es-ES"/>
              </w:rPr>
              <w:t>d</w:t>
            </w:r>
            <w:r>
              <w:rPr>
                <w:kern w:val="22"/>
                <w:szCs w:val="24"/>
                <w:lang w:val="es-ES"/>
              </w:rPr>
              <w:t>adas por las Partes</w:t>
            </w:r>
          </w:p>
        </w:tc>
        <w:tc>
          <w:tcPr>
            <w:tcW w:w="19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marzo -</w:t>
            </w:r>
            <w:r w:rsidR="009C2CC9">
              <w:rPr>
                <w:kern w:val="22"/>
                <w:szCs w:val="24"/>
                <w:lang w:val="es-ES"/>
              </w:rPr>
              <w:t xml:space="preserve"> </w:t>
            </w:r>
            <w:r>
              <w:rPr>
                <w:kern w:val="22"/>
                <w:szCs w:val="24"/>
                <w:lang w:val="es-ES"/>
              </w:rPr>
              <w:t>septiembre de 2019</w:t>
            </w: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Grupo de enlace; Secretaría</w:t>
            </w:r>
          </w:p>
        </w:tc>
      </w:tr>
      <w:tr w:rsidR="00DB2E9E" w:rsidTr="00831CA8">
        <w:trPr>
          <w:cantSplit/>
          <w:jc w:val="center"/>
        </w:trPr>
        <w:tc>
          <w:tcPr>
            <w:tcW w:w="5030" w:type="dxa"/>
          </w:tcPr>
          <w:p w:rsidR="00DB2E9E" w:rsidRDefault="00DB2E9E" w:rsidP="00431CA5">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zCs w:val="24"/>
              </w:rPr>
            </w:pPr>
            <w:r>
              <w:rPr>
                <w:kern w:val="22"/>
                <w:szCs w:val="24"/>
                <w:lang w:val="es-ES"/>
              </w:rPr>
              <w:t>3.</w:t>
            </w:r>
            <w:r>
              <w:rPr>
                <w:kern w:val="22"/>
                <w:szCs w:val="24"/>
                <w:lang w:val="es-ES"/>
              </w:rPr>
              <w:tab/>
            </w:r>
            <w:r w:rsidR="00431CA5">
              <w:rPr>
                <w:kern w:val="22"/>
                <w:szCs w:val="24"/>
                <w:lang w:val="es-ES"/>
              </w:rPr>
              <w:t>P</w:t>
            </w:r>
            <w:r>
              <w:rPr>
                <w:kern w:val="22"/>
                <w:szCs w:val="24"/>
                <w:lang w:val="es-ES"/>
              </w:rPr>
              <w:t>r</w:t>
            </w:r>
            <w:r w:rsidR="00431CA5">
              <w:rPr>
                <w:kern w:val="22"/>
                <w:szCs w:val="24"/>
                <w:lang w:val="es-ES"/>
              </w:rPr>
              <w:t>epar</w:t>
            </w:r>
            <w:r>
              <w:rPr>
                <w:kern w:val="22"/>
                <w:szCs w:val="24"/>
                <w:lang w:val="es-ES"/>
              </w:rPr>
              <w:t xml:space="preserve">ación de un proyecto de plan de acción </w:t>
            </w:r>
            <w:r w:rsidR="00431CA5">
              <w:rPr>
                <w:kern w:val="22"/>
                <w:szCs w:val="24"/>
                <w:lang w:val="es-ES"/>
              </w:rPr>
              <w:t>para la</w:t>
            </w:r>
            <w:r>
              <w:rPr>
                <w:kern w:val="22"/>
                <w:szCs w:val="24"/>
                <w:lang w:val="es-ES"/>
              </w:rPr>
              <w:t xml:space="preserve"> creación de capacidad para la aplicación del Protocolo de Cartagena y su Protocolo Suplementario</w:t>
            </w:r>
          </w:p>
        </w:tc>
        <w:tc>
          <w:tcPr>
            <w:tcW w:w="19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octubre -</w:t>
            </w:r>
            <w:r w:rsidR="009C2CC9">
              <w:rPr>
                <w:kern w:val="22"/>
                <w:szCs w:val="24"/>
                <w:lang w:val="es-ES"/>
              </w:rPr>
              <w:t xml:space="preserve"> </w:t>
            </w:r>
            <w:r>
              <w:rPr>
                <w:kern w:val="22"/>
                <w:szCs w:val="24"/>
                <w:lang w:val="es-ES"/>
              </w:rPr>
              <w:t>diciembre de 2019</w:t>
            </w: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Secretaría</w:t>
            </w:r>
          </w:p>
        </w:tc>
      </w:tr>
      <w:tr w:rsidR="00DB2E9E" w:rsidTr="00831CA8">
        <w:trPr>
          <w:cantSplit/>
          <w:jc w:val="center"/>
        </w:trPr>
        <w:tc>
          <w:tcPr>
            <w:tcW w:w="5030" w:type="dxa"/>
          </w:tcPr>
          <w:p w:rsidR="00DB2E9E" w:rsidRDefault="00DB2E9E" w:rsidP="00431CA5">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zCs w:val="24"/>
              </w:rPr>
            </w:pPr>
            <w:r>
              <w:rPr>
                <w:kern w:val="22"/>
                <w:szCs w:val="24"/>
                <w:lang w:val="es-ES"/>
              </w:rPr>
              <w:t>4.</w:t>
            </w:r>
            <w:r>
              <w:rPr>
                <w:kern w:val="22"/>
                <w:szCs w:val="24"/>
                <w:lang w:val="es-ES"/>
              </w:rPr>
              <w:tab/>
              <w:t xml:space="preserve">Revisión del proyecto de plan de acción </w:t>
            </w:r>
            <w:r w:rsidR="00431CA5">
              <w:rPr>
                <w:kern w:val="22"/>
                <w:szCs w:val="24"/>
                <w:lang w:val="es-ES"/>
              </w:rPr>
              <w:t>para la</w:t>
            </w:r>
            <w:r>
              <w:rPr>
                <w:kern w:val="22"/>
                <w:szCs w:val="24"/>
                <w:lang w:val="es-ES"/>
              </w:rPr>
              <w:t xml:space="preserve"> creación de capacidad sobre seguridad de la biotecnología por el Grupo de Enlace, teniendo en cuenta la información proporcionada en los cuartos informes nacionales presentados en el marco del Protocolo de Cartagena</w:t>
            </w:r>
          </w:p>
        </w:tc>
        <w:tc>
          <w:tcPr>
            <w:tcW w:w="19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rPr>
                <w:szCs w:val="24"/>
              </w:rPr>
            </w:pPr>
            <w:r>
              <w:rPr>
                <w:kern w:val="22"/>
                <w:szCs w:val="24"/>
                <w:lang w:val="es-ES"/>
              </w:rPr>
              <w:t>febrero - marzo de 2020</w:t>
            </w: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Grupo de Enlace</w:t>
            </w:r>
          </w:p>
        </w:tc>
      </w:tr>
      <w:tr w:rsidR="00DB2E9E" w:rsidTr="00831CA8">
        <w:trPr>
          <w:cantSplit/>
          <w:trHeight w:val="1222"/>
          <w:jc w:val="center"/>
        </w:trPr>
        <w:tc>
          <w:tcPr>
            <w:tcW w:w="5030" w:type="dxa"/>
          </w:tcPr>
          <w:p w:rsidR="00DB2E9E" w:rsidRDefault="00DB2E9E" w:rsidP="00431CA5">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zCs w:val="24"/>
              </w:rPr>
            </w:pPr>
            <w:r>
              <w:rPr>
                <w:kern w:val="22"/>
                <w:szCs w:val="24"/>
                <w:lang w:val="es-ES"/>
              </w:rPr>
              <w:t>5.</w:t>
            </w:r>
            <w:r>
              <w:rPr>
                <w:kern w:val="22"/>
                <w:szCs w:val="24"/>
                <w:lang w:val="es-ES"/>
              </w:rPr>
              <w:tab/>
              <w:t xml:space="preserve">Notificación invitando a presentar opiniones sobre la versión final del proyecto de plan de acción </w:t>
            </w:r>
            <w:r w:rsidR="00431CA5">
              <w:rPr>
                <w:kern w:val="22"/>
                <w:szCs w:val="24"/>
                <w:lang w:val="es-ES"/>
              </w:rPr>
              <w:t>para la</w:t>
            </w:r>
            <w:r>
              <w:rPr>
                <w:kern w:val="22"/>
                <w:szCs w:val="24"/>
                <w:lang w:val="es-ES"/>
              </w:rPr>
              <w:t xml:space="preserve"> creación de capacidad para la aplicación del Protocolo de Cartagena y su Protocolo Suplementario y recopilación de opiniones por la Secretaría</w:t>
            </w:r>
          </w:p>
        </w:tc>
        <w:tc>
          <w:tcPr>
            <w:tcW w:w="1984" w:type="dxa"/>
          </w:tcPr>
          <w:p w:rsidR="00DB2E9E" w:rsidRPr="00831CA8" w:rsidRDefault="00DB2E9E">
            <w:pPr>
              <w:pStyle w:val="Para1"/>
              <w:numPr>
                <w:ilvl w:val="0"/>
                <w:numId w:val="0"/>
              </w:numPr>
              <w:suppressLineNumbers/>
              <w:suppressAutoHyphens/>
              <w:kinsoku w:val="0"/>
              <w:overflowPunct w:val="0"/>
              <w:autoSpaceDE w:val="0"/>
              <w:autoSpaceDN w:val="0"/>
              <w:adjustRightInd w:val="0"/>
              <w:snapToGrid w:val="0"/>
              <w:spacing w:before="60" w:after="60"/>
              <w:rPr>
                <w:spacing w:val="-4"/>
                <w:kern w:val="22"/>
                <w:szCs w:val="24"/>
                <w:lang w:val="es-ES"/>
              </w:rPr>
            </w:pPr>
            <w:r w:rsidRPr="00831CA8">
              <w:rPr>
                <w:spacing w:val="-4"/>
                <w:kern w:val="22"/>
                <w:szCs w:val="24"/>
                <w:lang w:val="es-ES"/>
              </w:rPr>
              <w:t>abril - mayo de 2020</w:t>
            </w:r>
          </w:p>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rPr>
                <w:snapToGrid w:val="0"/>
                <w:kern w:val="22"/>
                <w:szCs w:val="24"/>
                <w:lang w:val="es-ES"/>
              </w:rPr>
            </w:pP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Secretaría; Partes, pueblos indígenas y comunidades locales y organizaciones pertinentes</w:t>
            </w:r>
          </w:p>
        </w:tc>
      </w:tr>
      <w:tr w:rsidR="00DB2E9E" w:rsidTr="00831CA8">
        <w:trPr>
          <w:cantSplit/>
          <w:jc w:val="center"/>
        </w:trPr>
        <w:tc>
          <w:tcPr>
            <w:tcW w:w="5030" w:type="dxa"/>
          </w:tcPr>
          <w:p w:rsidR="00DB2E9E" w:rsidRDefault="00DB2E9E">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ind w:left="357" w:hanging="357"/>
              <w:rPr>
                <w:szCs w:val="24"/>
              </w:rPr>
            </w:pPr>
            <w:r>
              <w:rPr>
                <w:kern w:val="22"/>
                <w:szCs w:val="24"/>
                <w:lang w:val="es-ES"/>
              </w:rPr>
              <w:lastRenderedPageBreak/>
              <w:t>6.</w:t>
            </w:r>
            <w:r>
              <w:rPr>
                <w:kern w:val="22"/>
                <w:szCs w:val="24"/>
                <w:lang w:val="es-ES"/>
              </w:rPr>
              <w:tab/>
              <w:t xml:space="preserve">Examen de la versión final del proyecto de plan de acción </w:t>
            </w:r>
            <w:r w:rsidR="00431CA5">
              <w:rPr>
                <w:kern w:val="22"/>
                <w:szCs w:val="24"/>
                <w:lang w:val="es-ES"/>
              </w:rPr>
              <w:t>para la</w:t>
            </w:r>
            <w:r>
              <w:rPr>
                <w:kern w:val="22"/>
                <w:szCs w:val="24"/>
                <w:lang w:val="es-ES"/>
              </w:rPr>
              <w:t xml:space="preserve"> creación de capacidad para la aplicación del Protocolo de Cartagena y su Protocolo Suplementario por el Órgano Subsidiario sobre la Aplicación en su tercera reunión</w:t>
            </w:r>
          </w:p>
          <w:p w:rsidR="00DB2E9E" w:rsidRDefault="00DB2E9E">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ind w:left="357" w:hanging="357"/>
              <w:rPr>
                <w:snapToGrid w:val="0"/>
                <w:kern w:val="22"/>
                <w:szCs w:val="24"/>
                <w:lang w:val="es-ES"/>
              </w:rPr>
            </w:pPr>
          </w:p>
        </w:tc>
        <w:tc>
          <w:tcPr>
            <w:tcW w:w="19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rPr>
                <w:szCs w:val="24"/>
              </w:rPr>
            </w:pPr>
            <w:r>
              <w:rPr>
                <w:kern w:val="22"/>
                <w:szCs w:val="24"/>
                <w:lang w:val="es-ES"/>
              </w:rPr>
              <w:t>junio de 2020</w:t>
            </w: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Órgano Subsidiario sobre la Aplicación, tercera reunión</w:t>
            </w:r>
          </w:p>
        </w:tc>
      </w:tr>
      <w:tr w:rsidR="00DB2E9E" w:rsidTr="00831CA8">
        <w:trPr>
          <w:cantSplit/>
          <w:jc w:val="center"/>
        </w:trPr>
        <w:tc>
          <w:tcPr>
            <w:tcW w:w="5030" w:type="dxa"/>
          </w:tcPr>
          <w:p w:rsidR="00DB2E9E" w:rsidRDefault="00DB2E9E" w:rsidP="00195DC1">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zCs w:val="24"/>
              </w:rPr>
            </w:pPr>
            <w:r>
              <w:rPr>
                <w:kern w:val="22"/>
                <w:szCs w:val="24"/>
                <w:lang w:val="es-ES"/>
              </w:rPr>
              <w:t>7.</w:t>
            </w:r>
            <w:r>
              <w:rPr>
                <w:kern w:val="22"/>
                <w:szCs w:val="24"/>
                <w:lang w:val="es-ES"/>
              </w:rPr>
              <w:tab/>
            </w:r>
            <w:r w:rsidR="00A50FB9">
              <w:rPr>
                <w:kern w:val="22"/>
                <w:szCs w:val="24"/>
                <w:lang w:val="es-ES"/>
              </w:rPr>
              <w:t>Consideración</w:t>
            </w:r>
            <w:r>
              <w:rPr>
                <w:kern w:val="22"/>
                <w:szCs w:val="24"/>
                <w:lang w:val="es-ES"/>
              </w:rPr>
              <w:t xml:space="preserve"> del proyecto de plan de acción por la Conferencia de las Partes que actúa como reunión de las Partes en el Protocolo de Cartagena sobre Seguridad de la Biotecnología </w:t>
            </w:r>
            <w:r w:rsidR="00195DC1">
              <w:rPr>
                <w:kern w:val="22"/>
                <w:szCs w:val="24"/>
                <w:lang w:val="es-ES"/>
              </w:rPr>
              <w:t>con miras a</w:t>
            </w:r>
            <w:r>
              <w:rPr>
                <w:kern w:val="22"/>
                <w:szCs w:val="24"/>
                <w:lang w:val="es-ES"/>
              </w:rPr>
              <w:t xml:space="preserve"> su posible adopción, teniendo en cuenta la recomendación del Órgano Subsidiario sobre la Aplicación</w:t>
            </w:r>
          </w:p>
        </w:tc>
        <w:tc>
          <w:tcPr>
            <w:tcW w:w="19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rPr>
                <w:szCs w:val="24"/>
              </w:rPr>
            </w:pPr>
            <w:r>
              <w:rPr>
                <w:kern w:val="22"/>
                <w:szCs w:val="24"/>
                <w:lang w:val="es-ES"/>
              </w:rPr>
              <w:t>octubre de 2020</w:t>
            </w:r>
          </w:p>
        </w:tc>
        <w:tc>
          <w:tcPr>
            <w:tcW w:w="2584" w:type="dxa"/>
          </w:tcPr>
          <w:p w:rsidR="00DB2E9E" w:rsidRDefault="00DB2E9E">
            <w:pPr>
              <w:pStyle w:val="Para1"/>
              <w:numPr>
                <w:ilvl w:val="0"/>
                <w:numId w:val="0"/>
              </w:numPr>
              <w:suppressLineNumbers/>
              <w:suppressAutoHyphens/>
              <w:kinsoku w:val="0"/>
              <w:overflowPunct w:val="0"/>
              <w:autoSpaceDE w:val="0"/>
              <w:autoSpaceDN w:val="0"/>
              <w:adjustRightInd w:val="0"/>
              <w:snapToGrid w:val="0"/>
              <w:spacing w:before="60" w:after="60"/>
              <w:jc w:val="left"/>
              <w:rPr>
                <w:szCs w:val="24"/>
              </w:rPr>
            </w:pPr>
            <w:r>
              <w:rPr>
                <w:kern w:val="22"/>
                <w:szCs w:val="24"/>
                <w:lang w:val="es-ES"/>
              </w:rPr>
              <w:t>Conferencia de las Partes que actúa como reunión de las Partes en el Protocolo de Cartagena sobre Seguridad de la Biotecnología, décima reunión</w:t>
            </w:r>
          </w:p>
        </w:tc>
      </w:tr>
    </w:tbl>
    <w:p w:rsidR="00DB2E9E" w:rsidRDefault="00DB2E9E">
      <w:pPr>
        <w:suppressLineNumbers/>
        <w:suppressAutoHyphens/>
        <w:jc w:val="center"/>
        <w:rPr>
          <w:kern w:val="22"/>
          <w:lang w:val="es-ES"/>
        </w:rPr>
      </w:pPr>
    </w:p>
    <w:p w:rsidR="00DB2E9E" w:rsidRDefault="00DB2E9E">
      <w:pPr>
        <w:suppressLineNumbers/>
        <w:suppressAutoHyphens/>
        <w:jc w:val="center"/>
        <w:rPr>
          <w:kern w:val="22"/>
          <w:lang w:val="es-ES"/>
        </w:rPr>
      </w:pPr>
      <w:r>
        <w:rPr>
          <w:kern w:val="22"/>
          <w:lang w:val="es-ES"/>
        </w:rPr>
        <w:t>__________</w:t>
      </w:r>
    </w:p>
    <w:p w:rsidR="00DB2E9E" w:rsidRDefault="00DB2E9E">
      <w:pPr>
        <w:suppressLineNumbers/>
        <w:suppressAutoHyphens/>
        <w:rPr>
          <w:kern w:val="22"/>
          <w:lang w:val="es-ES"/>
        </w:rPr>
      </w:pPr>
    </w:p>
    <w:p w:rsidR="00DB2E9E" w:rsidRDefault="00DB2E9E">
      <w:pPr>
        <w:suppressLineNumbers/>
        <w:suppressAutoHyphens/>
        <w:spacing w:before="120" w:after="240"/>
        <w:jc w:val="center"/>
        <w:rPr>
          <w:b/>
          <w:caps/>
          <w:kern w:val="22"/>
          <w:lang w:val="es-ES"/>
        </w:rPr>
      </w:pPr>
    </w:p>
    <w:p w:rsidR="00DB2E9E" w:rsidRDefault="00DB2E9E">
      <w:pPr>
        <w:suppressLineNumbers/>
        <w:suppressAutoHyphens/>
        <w:rPr>
          <w:kern w:val="22"/>
          <w:lang w:val="es-ES"/>
        </w:rPr>
      </w:pPr>
    </w:p>
    <w:sectPr w:rsidR="00DB2E9E" w:rsidSect="00010FE6">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DD1" w:rsidRDefault="00D52DD1">
      <w:r>
        <w:separator/>
      </w:r>
    </w:p>
  </w:endnote>
  <w:endnote w:type="continuationSeparator" w:id="0">
    <w:p w:rsidR="00D52DD1" w:rsidRDefault="00D52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phemia">
    <w:panose1 w:val="020B0503040102020104"/>
    <w:charset w:val="00"/>
    <w:family w:val="swiss"/>
    <w:pitch w:val="variable"/>
    <w:sig w:usb0="8000006F" w:usb1="0000004A" w:usb2="00002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DD1" w:rsidRDefault="00D52DD1">
      <w:r>
        <w:separator/>
      </w:r>
    </w:p>
  </w:footnote>
  <w:footnote w:type="continuationSeparator" w:id="0">
    <w:p w:rsidR="00D52DD1" w:rsidRDefault="00D52DD1">
      <w:r>
        <w:continuationSeparator/>
      </w:r>
    </w:p>
  </w:footnote>
  <w:footnote w:id="1">
    <w:p w:rsidR="00DB2E9E" w:rsidRDefault="00DB2E9E">
      <w:pPr>
        <w:pStyle w:val="FootnoteText"/>
        <w:suppressLineNumbers/>
        <w:suppressAutoHyphens/>
        <w:kinsoku w:val="0"/>
        <w:overflowPunct w:val="0"/>
        <w:autoSpaceDE w:val="0"/>
        <w:autoSpaceDN w:val="0"/>
        <w:ind w:firstLine="0"/>
        <w:jc w:val="left"/>
      </w:pPr>
      <w:r>
        <w:rPr>
          <w:rStyle w:val="FootnoteReference"/>
          <w:kern w:val="18"/>
        </w:rPr>
        <w:footnoteRef/>
      </w:r>
      <w:r>
        <w:rPr>
          <w:kern w:val="18"/>
        </w:rPr>
        <w:t xml:space="preserve"> </w:t>
      </w:r>
      <w:r>
        <w:rPr>
          <w:kern w:val="18"/>
          <w:lang w:val="es-ES"/>
        </w:rPr>
        <w:t>El informe actualizado está disponible en el documento de información CBD/COP/14/INF/10.</w:t>
      </w:r>
    </w:p>
  </w:footnote>
  <w:footnote w:id="2">
    <w:p w:rsidR="00DB2E9E" w:rsidRDefault="00DB2E9E">
      <w:pPr>
        <w:pStyle w:val="FootnoteText"/>
        <w:suppressLineNumbers/>
        <w:suppressAutoHyphens/>
        <w:ind w:firstLine="0"/>
        <w:jc w:val="left"/>
      </w:pPr>
      <w:r>
        <w:rPr>
          <w:rStyle w:val="FootnoteReference"/>
          <w:kern w:val="18"/>
        </w:rPr>
        <w:footnoteRef/>
      </w:r>
      <w:r>
        <w:rPr>
          <w:kern w:val="18"/>
        </w:rPr>
        <w:t xml:space="preserve"> </w:t>
      </w:r>
      <w:r>
        <w:rPr>
          <w:kern w:val="18"/>
          <w:lang w:val="es-ES"/>
        </w:rPr>
        <w:t>CBD/CP/MOP/9/3, secc. II.</w:t>
      </w:r>
    </w:p>
  </w:footnote>
  <w:footnote w:id="3">
    <w:p w:rsidR="00DB2E9E" w:rsidRDefault="00DB2E9E">
      <w:pPr>
        <w:pStyle w:val="FootnoteText"/>
        <w:suppressLineNumbers/>
        <w:suppressAutoHyphens/>
        <w:ind w:firstLine="0"/>
        <w:jc w:val="left"/>
      </w:pPr>
      <w:r>
        <w:rPr>
          <w:rStyle w:val="FootnoteReference"/>
        </w:rPr>
        <w:footnoteRef/>
      </w:r>
      <w:r>
        <w:t xml:space="preserve"> </w:t>
      </w:r>
      <w:r>
        <w:rPr>
          <w:lang w:val="es-ES"/>
        </w:rPr>
        <w:t>Antes llamado Grupo de Enlace sobre Creación de Capacidad</w:t>
      </w:r>
      <w:r>
        <w:rPr>
          <w:rStyle w:val="CommentReference"/>
          <w:lang w:val="es-ES"/>
        </w:rPr>
        <w:t>.</w:t>
      </w:r>
    </w:p>
  </w:footnote>
  <w:footnote w:id="4">
    <w:p w:rsidR="00DB2E9E" w:rsidRDefault="00DB2E9E">
      <w:pPr>
        <w:pStyle w:val="FootnoteText"/>
        <w:suppressLineNumbers/>
        <w:suppressAutoHyphens/>
        <w:ind w:firstLine="0"/>
        <w:jc w:val="left"/>
      </w:pPr>
      <w:r>
        <w:rPr>
          <w:rStyle w:val="FootnoteReference"/>
        </w:rPr>
        <w:footnoteRef/>
      </w:r>
      <w:r>
        <w:t xml:space="preserve"> </w:t>
      </w:r>
      <w:r>
        <w:rPr>
          <w:lang w:val="es-ES"/>
        </w:rPr>
        <w:t>Véase la decisión 14/24, párr. 1 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9E" w:rsidRDefault="00DB2E9E">
    <w:pPr>
      <w:pStyle w:val="Header"/>
      <w:tabs>
        <w:tab w:val="clear" w:pos="4320"/>
        <w:tab w:val="clear" w:pos="8640"/>
      </w:tabs>
      <w:jc w:val="left"/>
      <w:rPr>
        <w:kern w:val="22"/>
        <w:lang w:val="es-ES"/>
      </w:rPr>
    </w:pPr>
    <w:r>
      <w:rPr>
        <w:kern w:val="22"/>
        <w:lang w:val="es-ES"/>
      </w:rPr>
      <w:t>CBD/CP/MOP/DEC/9/3</w:t>
    </w:r>
  </w:p>
  <w:p w:rsidR="00DB2E9E" w:rsidRDefault="00DB2E9E">
    <w:pPr>
      <w:pStyle w:val="Header"/>
      <w:tabs>
        <w:tab w:val="clear" w:pos="4320"/>
        <w:tab w:val="clear" w:pos="8640"/>
      </w:tabs>
      <w:jc w:val="left"/>
      <w:rPr>
        <w:kern w:val="22"/>
        <w:lang w:val="es-ES"/>
      </w:rPr>
    </w:pPr>
    <w:r>
      <w:rPr>
        <w:kern w:val="22"/>
        <w:lang w:val="es-ES"/>
      </w:rPr>
      <w:t xml:space="preserve">Página </w:t>
    </w:r>
    <w:r w:rsidR="004A1FD5">
      <w:rPr>
        <w:kern w:val="22"/>
        <w:lang w:val="es-ES"/>
      </w:rPr>
      <w:fldChar w:fldCharType="begin"/>
    </w:r>
    <w:r>
      <w:rPr>
        <w:kern w:val="22"/>
        <w:lang w:val="es-ES"/>
      </w:rPr>
      <w:instrText xml:space="preserve"> PAGE   \* MERGEFORMAT </w:instrText>
    </w:r>
    <w:r w:rsidR="004A1FD5">
      <w:rPr>
        <w:kern w:val="22"/>
        <w:lang w:val="es-ES"/>
      </w:rPr>
      <w:fldChar w:fldCharType="separate"/>
    </w:r>
    <w:r w:rsidR="00A72C44" w:rsidRPr="00A72C44">
      <w:rPr>
        <w:noProof/>
        <w:kern w:val="22"/>
      </w:rPr>
      <w:t>4</w:t>
    </w:r>
    <w:r w:rsidR="004A1FD5">
      <w:rPr>
        <w:kern w:val="22"/>
        <w:lang w:val="es-ES"/>
      </w:rPr>
      <w:fldChar w:fldCharType="end"/>
    </w:r>
  </w:p>
  <w:p w:rsidR="00DB2E9E" w:rsidRDefault="00DB2E9E">
    <w:pPr>
      <w:pStyle w:val="Header"/>
      <w:tabs>
        <w:tab w:val="clear" w:pos="4320"/>
        <w:tab w:val="clear" w:pos="8640"/>
      </w:tabs>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9E" w:rsidRDefault="00DB2E9E">
    <w:pPr>
      <w:pStyle w:val="Header"/>
      <w:tabs>
        <w:tab w:val="clear" w:pos="4320"/>
        <w:tab w:val="clear" w:pos="8640"/>
      </w:tabs>
      <w:jc w:val="right"/>
      <w:rPr>
        <w:kern w:val="22"/>
        <w:lang w:val="es-ES"/>
      </w:rPr>
    </w:pPr>
    <w:r>
      <w:rPr>
        <w:kern w:val="22"/>
        <w:lang w:val="es-ES"/>
      </w:rPr>
      <w:t>CBD/CP/MOP/DEC/9/3</w:t>
    </w:r>
  </w:p>
  <w:p w:rsidR="00DB2E9E" w:rsidRDefault="00DB2E9E">
    <w:pPr>
      <w:pStyle w:val="Header"/>
      <w:tabs>
        <w:tab w:val="clear" w:pos="4320"/>
        <w:tab w:val="clear" w:pos="8640"/>
      </w:tabs>
      <w:jc w:val="right"/>
      <w:rPr>
        <w:kern w:val="22"/>
        <w:lang w:val="es-ES"/>
      </w:rPr>
    </w:pPr>
    <w:r>
      <w:rPr>
        <w:kern w:val="22"/>
        <w:lang w:val="es-ES"/>
      </w:rPr>
      <w:t xml:space="preserve">Página </w:t>
    </w:r>
    <w:r w:rsidR="004A1FD5">
      <w:rPr>
        <w:kern w:val="22"/>
        <w:lang w:val="es-ES"/>
      </w:rPr>
      <w:fldChar w:fldCharType="begin"/>
    </w:r>
    <w:r>
      <w:rPr>
        <w:kern w:val="22"/>
        <w:lang w:val="es-ES"/>
      </w:rPr>
      <w:instrText xml:space="preserve"> PAGE   \* MERGEFORMAT </w:instrText>
    </w:r>
    <w:r w:rsidR="004A1FD5">
      <w:rPr>
        <w:kern w:val="22"/>
        <w:lang w:val="es-ES"/>
      </w:rPr>
      <w:fldChar w:fldCharType="separate"/>
    </w:r>
    <w:r w:rsidR="00A72C44" w:rsidRPr="00A72C44">
      <w:rPr>
        <w:noProof/>
        <w:kern w:val="22"/>
      </w:rPr>
      <w:t>3</w:t>
    </w:r>
    <w:r w:rsidR="004A1FD5">
      <w:rPr>
        <w:kern w:val="22"/>
        <w:lang w:val="es-ES"/>
      </w:rPr>
      <w:fldChar w:fldCharType="end"/>
    </w:r>
  </w:p>
  <w:p w:rsidR="00DB2E9E" w:rsidRDefault="00DB2E9E">
    <w:pPr>
      <w:pStyle w:val="Header"/>
      <w:tabs>
        <w:tab w:val="clear" w:pos="4320"/>
        <w:tab w:val="clear" w:pos="8640"/>
      </w:tabs>
      <w:jc w:val="right"/>
      <w:rPr>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D747D2A"/>
    <w:multiLevelType w:val="multilevel"/>
    <w:tmpl w:val="8136640E"/>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Euphemia" w:hAnsi="Euphemia" w:cs="Euphemia" w:hint="default"/>
        <w:b w:val="0"/>
        <w:i w:val="0"/>
        <w:sz w:val="22"/>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38E32E7C"/>
    <w:multiLevelType w:val="multilevel"/>
    <w:tmpl w:val="648A5808"/>
    <w:lvl w:ilvl="0">
      <w:start w:val="1"/>
      <w:numFmt w:val="lowerLetter"/>
      <w:lvlText w:val="%1)"/>
      <w:lvlJc w:val="left"/>
      <w:pPr>
        <w:tabs>
          <w:tab w:val="num" w:pos="1440"/>
        </w:tabs>
        <w:ind w:left="2160" w:hanging="360"/>
      </w:pPr>
      <w:rPr>
        <w:rFonts w:ascii="Euphemia" w:hAnsi="Euphemia" w:cs="Euphemia" w:hint="default"/>
        <w:b w:val="0"/>
        <w:i w:val="0"/>
        <w:sz w:val="22"/>
      </w:rPr>
    </w:lvl>
    <w:lvl w:ilvl="1">
      <w:start w:val="1"/>
      <w:numFmt w:val="lowerLetter"/>
      <w:lvlText w:val="%2)"/>
      <w:lvlJc w:val="left"/>
      <w:pPr>
        <w:tabs>
          <w:tab w:val="num" w:pos="1440"/>
        </w:tabs>
        <w:ind w:left="2160" w:hanging="360"/>
      </w:pPr>
      <w:rPr>
        <w:rFonts w:ascii="Wingdings" w:hAnsi="Wingdings" w:cs="Wingdings" w:hint="default"/>
        <w:b w:val="0"/>
        <w:i w:val="0"/>
        <w:caps w:val="0"/>
        <w:strike w:val="0"/>
        <w:dstrike w:val="0"/>
        <w:outline w:val="0"/>
        <w:shadow w:val="0"/>
        <w:emboss w:val="0"/>
        <w:imprint w:val="0"/>
        <w:vanish w:val="0"/>
        <w:sz w:val="22"/>
        <w:vertAlign w:val="baseline"/>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nsid w:val="3D3B4B6F"/>
    <w:multiLevelType w:val="multilevel"/>
    <w:tmpl w:val="F746D18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Wingdings" w:hAnsi="Wingdings" w:cs="Wingdings" w:hint="default"/>
        <w:b w:val="0"/>
        <w:i w:val="0"/>
        <w:caps w:val="0"/>
        <w:strike w:val="0"/>
        <w:dstrike w:val="0"/>
        <w:outline w:val="0"/>
        <w:shadow w:val="0"/>
        <w:emboss w:val="0"/>
        <w:imprint w:val="0"/>
        <w:vanish w:val="0"/>
        <w:sz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E0442B4"/>
    <w:multiLevelType w:val="multilevel"/>
    <w:tmpl w:val="F746D180"/>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Wingdings" w:hAnsi="Wingdings" w:cs="Wingdings" w:hint="default"/>
        <w:b w:val="0"/>
        <w:i w:val="0"/>
        <w:caps w:val="0"/>
        <w:strike w:val="0"/>
        <w:dstrike w:val="0"/>
        <w:outline w:val="0"/>
        <w:shadow w:val="0"/>
        <w:emboss w:val="0"/>
        <w:imprint w:val="0"/>
        <w:vanish w:val="0"/>
        <w:sz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E5D154C"/>
    <w:multiLevelType w:val="multilevel"/>
    <w:tmpl w:val="8982DC1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Letter"/>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579B2015"/>
    <w:multiLevelType w:val="multilevel"/>
    <w:tmpl w:val="02722FAA"/>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Wingdings" w:hAnsi="Wingdings" w:cs="Wingdings" w:hint="default"/>
        <w:b w:val="0"/>
        <w:i w:val="0"/>
        <w:caps w:val="0"/>
        <w:strike w:val="0"/>
        <w:dstrike w:val="0"/>
        <w:outline w:val="0"/>
        <w:shadow w:val="0"/>
        <w:emboss w:val="0"/>
        <w:imprint w:val="0"/>
        <w:vanish w:val="0"/>
        <w:sz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A886A10"/>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9180583"/>
    <w:multiLevelType w:val="multilevel"/>
    <w:tmpl w:val="2884BE6E"/>
    <w:lvl w:ilvl="0">
      <w:start w:val="1"/>
      <w:numFmt w:val="lowerLetter"/>
      <w:lvlText w:val="%1)"/>
      <w:lvlJc w:val="left"/>
      <w:pPr>
        <w:tabs>
          <w:tab w:val="num" w:pos="1440"/>
        </w:tabs>
        <w:ind w:left="2160" w:hanging="360"/>
      </w:pPr>
      <w:rPr>
        <w:rFonts w:ascii="Euphemia" w:hAnsi="Euphemia" w:cs="Euphemia" w:hint="default"/>
        <w:b w:val="0"/>
        <w:i w:val="0"/>
        <w:sz w:val="22"/>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0E7D9F"/>
    <w:multiLevelType w:val="hybridMultilevel"/>
    <w:tmpl w:val="648A5808"/>
    <w:lvl w:ilvl="0" w:tplc="0D642C3A">
      <w:start w:val="1"/>
      <w:numFmt w:val="lowerLetter"/>
      <w:lvlText w:val="%1)"/>
      <w:lvlJc w:val="left"/>
      <w:pPr>
        <w:tabs>
          <w:tab w:val="num" w:pos="1440"/>
        </w:tabs>
        <w:ind w:left="2160" w:hanging="360"/>
      </w:pPr>
      <w:rPr>
        <w:rFonts w:ascii="Euphemia" w:hAnsi="Euphemia" w:cs="Euphemia" w:hint="default"/>
        <w:b w:val="0"/>
        <w:i w:val="0"/>
        <w:sz w:val="22"/>
      </w:rPr>
    </w:lvl>
    <w:lvl w:ilvl="1" w:tplc="87CAB59E">
      <w:start w:val="1"/>
      <w:numFmt w:val="lowerLetter"/>
      <w:lvlText w:val="%2)"/>
      <w:lvlJc w:val="left"/>
      <w:pPr>
        <w:tabs>
          <w:tab w:val="num" w:pos="1440"/>
        </w:tabs>
        <w:ind w:left="2160" w:hanging="360"/>
      </w:pPr>
      <w:rPr>
        <w:rFonts w:ascii="Wingdings" w:hAnsi="Wingdings" w:cs="Wingdings" w:hint="default"/>
        <w:b w:val="0"/>
        <w:i w:val="0"/>
        <w:caps w:val="0"/>
        <w:strike w:val="0"/>
        <w:dstrike w:val="0"/>
        <w:outline w:val="0"/>
        <w:shadow w:val="0"/>
        <w:emboss w:val="0"/>
        <w:imprint w:val="0"/>
        <w:vanish w:val="0"/>
        <w:sz w:val="22"/>
        <w:vertAlign w:val="baseline"/>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9">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7"/>
  </w:num>
  <w:num w:numId="4">
    <w:abstractNumId w:val="9"/>
  </w:num>
  <w:num w:numId="5">
    <w:abstractNumId w:val="8"/>
  </w:num>
  <w:num w:numId="6">
    <w:abstractNumId w:val="0"/>
  </w:num>
  <w:num w:numId="7">
    <w:abstractNumId w:val="2"/>
  </w:num>
  <w:num w:numId="8">
    <w:abstractNumId w:val="7"/>
    <w:lvlOverride w:ilvl="0">
      <w:startOverride w:val="1"/>
    </w:lvlOverride>
  </w:num>
  <w:num w:numId="9">
    <w:abstractNumId w:val="16"/>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4"/>
  </w:num>
  <w:num w:numId="15">
    <w:abstractNumId w:val="12"/>
  </w:num>
  <w:num w:numId="16">
    <w:abstractNumId w:val="1"/>
  </w:num>
  <w:num w:numId="17">
    <w:abstractNumId w:val="17"/>
  </w:num>
  <w:num w:numId="18">
    <w:abstractNumId w:val="19"/>
  </w:num>
  <w:num w:numId="1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
  </w:num>
  <w:num w:numId="24">
    <w:abstractNumId w:val="11"/>
  </w:num>
  <w:num w:numId="25">
    <w:abstractNumId w:val="6"/>
  </w:num>
  <w:num w:numId="26">
    <w:abstractNumId w:val="18"/>
  </w:num>
  <w:num w:numId="27">
    <w:abstractNumId w:val="15"/>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10FE6"/>
    <w:rsid w:val="0007009E"/>
    <w:rsid w:val="000E46ED"/>
    <w:rsid w:val="000E673A"/>
    <w:rsid w:val="000F4804"/>
    <w:rsid w:val="000F4914"/>
    <w:rsid w:val="000F74F5"/>
    <w:rsid w:val="00100FB1"/>
    <w:rsid w:val="00105372"/>
    <w:rsid w:val="00131E7A"/>
    <w:rsid w:val="0016171D"/>
    <w:rsid w:val="00172AF6"/>
    <w:rsid w:val="00176CEE"/>
    <w:rsid w:val="00186DD8"/>
    <w:rsid w:val="001907B1"/>
    <w:rsid w:val="00195DC1"/>
    <w:rsid w:val="001A616B"/>
    <w:rsid w:val="002013A5"/>
    <w:rsid w:val="002102BB"/>
    <w:rsid w:val="00245717"/>
    <w:rsid w:val="00273079"/>
    <w:rsid w:val="002A05E0"/>
    <w:rsid w:val="002A3AFC"/>
    <w:rsid w:val="002B1F33"/>
    <w:rsid w:val="002B37B6"/>
    <w:rsid w:val="002D0825"/>
    <w:rsid w:val="00330037"/>
    <w:rsid w:val="003363A9"/>
    <w:rsid w:val="003365C1"/>
    <w:rsid w:val="003431FA"/>
    <w:rsid w:val="00372F74"/>
    <w:rsid w:val="00391E64"/>
    <w:rsid w:val="003B50A0"/>
    <w:rsid w:val="003D6DF7"/>
    <w:rsid w:val="003F7224"/>
    <w:rsid w:val="004018AD"/>
    <w:rsid w:val="0042506A"/>
    <w:rsid w:val="00427D21"/>
    <w:rsid w:val="00431CA5"/>
    <w:rsid w:val="004644C2"/>
    <w:rsid w:val="00467F9C"/>
    <w:rsid w:val="004A1FD5"/>
    <w:rsid w:val="0050225C"/>
    <w:rsid w:val="0052405A"/>
    <w:rsid w:val="00534681"/>
    <w:rsid w:val="00541ABC"/>
    <w:rsid w:val="0055575E"/>
    <w:rsid w:val="005942A9"/>
    <w:rsid w:val="005D7973"/>
    <w:rsid w:val="006122BA"/>
    <w:rsid w:val="00640196"/>
    <w:rsid w:val="006507C4"/>
    <w:rsid w:val="0068672C"/>
    <w:rsid w:val="006875D4"/>
    <w:rsid w:val="00692207"/>
    <w:rsid w:val="006B2290"/>
    <w:rsid w:val="006F11AE"/>
    <w:rsid w:val="006F6D8E"/>
    <w:rsid w:val="007049E5"/>
    <w:rsid w:val="007069F6"/>
    <w:rsid w:val="0071435D"/>
    <w:rsid w:val="00717D88"/>
    <w:rsid w:val="0074304C"/>
    <w:rsid w:val="00755776"/>
    <w:rsid w:val="00760F11"/>
    <w:rsid w:val="007942D3"/>
    <w:rsid w:val="00795A87"/>
    <w:rsid w:val="007A7694"/>
    <w:rsid w:val="007B078D"/>
    <w:rsid w:val="007B67D4"/>
    <w:rsid w:val="007B6C09"/>
    <w:rsid w:val="007E09DA"/>
    <w:rsid w:val="007E43C5"/>
    <w:rsid w:val="007F1803"/>
    <w:rsid w:val="007F403C"/>
    <w:rsid w:val="008178B6"/>
    <w:rsid w:val="008228AB"/>
    <w:rsid w:val="0082555F"/>
    <w:rsid w:val="00831CA8"/>
    <w:rsid w:val="00836A08"/>
    <w:rsid w:val="00865B74"/>
    <w:rsid w:val="008702F8"/>
    <w:rsid w:val="0087130E"/>
    <w:rsid w:val="00892F11"/>
    <w:rsid w:val="008B7D32"/>
    <w:rsid w:val="008C2410"/>
    <w:rsid w:val="008D74B8"/>
    <w:rsid w:val="008E7BA6"/>
    <w:rsid w:val="00930BA1"/>
    <w:rsid w:val="0093169E"/>
    <w:rsid w:val="0093466A"/>
    <w:rsid w:val="009505C9"/>
    <w:rsid w:val="009C2CC9"/>
    <w:rsid w:val="00A32159"/>
    <w:rsid w:val="00A50FB9"/>
    <w:rsid w:val="00A7107B"/>
    <w:rsid w:val="00A72C44"/>
    <w:rsid w:val="00A73468"/>
    <w:rsid w:val="00AC3393"/>
    <w:rsid w:val="00AD3A04"/>
    <w:rsid w:val="00B13667"/>
    <w:rsid w:val="00B21BE4"/>
    <w:rsid w:val="00B30A82"/>
    <w:rsid w:val="00B3369F"/>
    <w:rsid w:val="00B554E4"/>
    <w:rsid w:val="00B60999"/>
    <w:rsid w:val="00BE794D"/>
    <w:rsid w:val="00C20995"/>
    <w:rsid w:val="00C443BD"/>
    <w:rsid w:val="00C563FA"/>
    <w:rsid w:val="00C9161D"/>
    <w:rsid w:val="00CC19B5"/>
    <w:rsid w:val="00CC4C8E"/>
    <w:rsid w:val="00CD6744"/>
    <w:rsid w:val="00CF1848"/>
    <w:rsid w:val="00CF21DA"/>
    <w:rsid w:val="00D00C59"/>
    <w:rsid w:val="00D12044"/>
    <w:rsid w:val="00D160CC"/>
    <w:rsid w:val="00D361C3"/>
    <w:rsid w:val="00D52DD1"/>
    <w:rsid w:val="00D60148"/>
    <w:rsid w:val="00D64C5F"/>
    <w:rsid w:val="00D7262D"/>
    <w:rsid w:val="00D76A18"/>
    <w:rsid w:val="00D9356F"/>
    <w:rsid w:val="00DB2E9E"/>
    <w:rsid w:val="00DC1B30"/>
    <w:rsid w:val="00DD01BB"/>
    <w:rsid w:val="00DD118C"/>
    <w:rsid w:val="00DD412A"/>
    <w:rsid w:val="00E34FBE"/>
    <w:rsid w:val="00E66235"/>
    <w:rsid w:val="00E83C24"/>
    <w:rsid w:val="00E86E84"/>
    <w:rsid w:val="00E9318D"/>
    <w:rsid w:val="00ED72FA"/>
    <w:rsid w:val="00ED7C68"/>
    <w:rsid w:val="00F0021B"/>
    <w:rsid w:val="00F17263"/>
    <w:rsid w:val="00F4051A"/>
    <w:rsid w:val="00F52D49"/>
    <w:rsid w:val="00F6586C"/>
    <w:rsid w:val="00F94774"/>
    <w:rsid w:val="00FC53DB"/>
    <w:rsid w:val="00FF47A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1"/>
    <w:qFormat/>
    <w:rsid w:val="00010FE6"/>
    <w:pPr>
      <w:jc w:val="both"/>
    </w:pPr>
    <w:rPr>
      <w:snapToGrid w:val="0"/>
      <w:sz w:val="22"/>
      <w:szCs w:val="24"/>
      <w:lang w:val="en-GB" w:eastAsia="es-ES"/>
    </w:rPr>
  </w:style>
  <w:style w:type="paragraph" w:styleId="Heading1">
    <w:name w:val="heading 1"/>
    <w:basedOn w:val="Normal"/>
    <w:next w:val="Heading2"/>
    <w:qFormat/>
    <w:rsid w:val="00010FE6"/>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010FE6"/>
    <w:pPr>
      <w:keepNext/>
      <w:tabs>
        <w:tab w:val="left" w:pos="720"/>
      </w:tabs>
      <w:spacing w:before="120" w:after="120"/>
      <w:jc w:val="center"/>
      <w:outlineLvl w:val="1"/>
    </w:pPr>
    <w:rPr>
      <w:b/>
      <w:bCs/>
      <w:iCs/>
    </w:rPr>
  </w:style>
  <w:style w:type="paragraph" w:styleId="Heading3">
    <w:name w:val="heading 3"/>
    <w:basedOn w:val="Normal"/>
    <w:next w:val="Normal"/>
    <w:qFormat/>
    <w:rsid w:val="00010FE6"/>
    <w:pPr>
      <w:keepNext/>
      <w:tabs>
        <w:tab w:val="left" w:pos="567"/>
      </w:tabs>
      <w:spacing w:before="120" w:after="120"/>
      <w:jc w:val="center"/>
      <w:outlineLvl w:val="2"/>
    </w:pPr>
    <w:rPr>
      <w:i/>
      <w:iCs/>
    </w:rPr>
  </w:style>
  <w:style w:type="paragraph" w:styleId="Heading4">
    <w:name w:val="heading 4"/>
    <w:basedOn w:val="Normal"/>
    <w:qFormat/>
    <w:rsid w:val="00010FE6"/>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010FE6"/>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010FE6"/>
    <w:pPr>
      <w:keepNext/>
      <w:spacing w:after="240" w:line="240" w:lineRule="exact"/>
      <w:ind w:left="720"/>
      <w:outlineLvl w:val="5"/>
    </w:pPr>
    <w:rPr>
      <w:u w:val="single"/>
    </w:rPr>
  </w:style>
  <w:style w:type="paragraph" w:styleId="Heading7">
    <w:name w:val="heading 7"/>
    <w:basedOn w:val="Normal"/>
    <w:next w:val="Normal"/>
    <w:qFormat/>
    <w:rsid w:val="00010FE6"/>
    <w:pPr>
      <w:keepNext/>
      <w:jc w:val="right"/>
      <w:outlineLvl w:val="6"/>
    </w:pPr>
    <w:rPr>
      <w:b/>
      <w:sz w:val="28"/>
    </w:rPr>
  </w:style>
  <w:style w:type="paragraph" w:styleId="Heading8">
    <w:name w:val="heading 8"/>
    <w:basedOn w:val="Normal"/>
    <w:next w:val="Normal"/>
    <w:qFormat/>
    <w:rsid w:val="00010FE6"/>
    <w:pPr>
      <w:keepNext/>
      <w:jc w:val="right"/>
      <w:outlineLvl w:val="7"/>
    </w:pPr>
    <w:rPr>
      <w:b/>
      <w:sz w:val="32"/>
    </w:rPr>
  </w:style>
  <w:style w:type="paragraph" w:styleId="Heading9">
    <w:name w:val="heading 9"/>
    <w:basedOn w:val="Normal"/>
    <w:next w:val="Normal"/>
    <w:qFormat/>
    <w:rsid w:val="00010FE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0FE6"/>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10FE6"/>
    <w:rPr>
      <w:sz w:val="18"/>
      <w:szCs w:val="18"/>
    </w:rPr>
  </w:style>
  <w:style w:type="character" w:customStyle="1" w:styleId="CharChar9">
    <w:name w:val="Char Char9"/>
    <w:basedOn w:val="DefaultParagraphFont"/>
    <w:semiHidden/>
    <w:locked/>
    <w:rsid w:val="00010FE6"/>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010FE6"/>
    <w:rPr>
      <w:rFonts w:cs="Times New Roman"/>
      <w:color w:val="808080"/>
    </w:rPr>
  </w:style>
  <w:style w:type="paragraph" w:styleId="Header">
    <w:name w:val="header"/>
    <w:basedOn w:val="Normal"/>
    <w:rsid w:val="00010FE6"/>
    <w:pPr>
      <w:tabs>
        <w:tab w:val="center" w:pos="4320"/>
        <w:tab w:val="right" w:pos="8640"/>
      </w:tabs>
    </w:pPr>
  </w:style>
  <w:style w:type="character" w:customStyle="1" w:styleId="CharChar8">
    <w:name w:val="Char Char8"/>
    <w:basedOn w:val="DefaultParagraphFont"/>
    <w:locked/>
    <w:rsid w:val="00010FE6"/>
    <w:rPr>
      <w:rFonts w:ascii="Times New Roman" w:eastAsia="Times New Roman" w:hAnsi="Times New Roman" w:cs="Times New Roman"/>
      <w:sz w:val="22"/>
      <w:lang w:val="en-GB"/>
    </w:rPr>
  </w:style>
  <w:style w:type="paragraph" w:styleId="Footer">
    <w:name w:val="footer"/>
    <w:basedOn w:val="Normal"/>
    <w:rsid w:val="00010FE6"/>
    <w:pPr>
      <w:tabs>
        <w:tab w:val="center" w:pos="4320"/>
        <w:tab w:val="right" w:pos="8640"/>
      </w:tabs>
      <w:ind w:firstLine="720"/>
      <w:jc w:val="right"/>
    </w:pPr>
  </w:style>
  <w:style w:type="character" w:customStyle="1" w:styleId="CharChar7">
    <w:name w:val="Char Char7"/>
    <w:basedOn w:val="DefaultParagraphFont"/>
    <w:locked/>
    <w:rsid w:val="00010FE6"/>
    <w:rPr>
      <w:rFonts w:ascii="Times New Roman" w:eastAsia="Times New Roman" w:hAnsi="Times New Roman" w:cs="Times New Roman"/>
      <w:sz w:val="22"/>
      <w:lang w:val="en-GB"/>
    </w:rPr>
  </w:style>
  <w:style w:type="paragraph" w:customStyle="1" w:styleId="meetingname">
    <w:name w:val="meeting name"/>
    <w:basedOn w:val="Normal"/>
    <w:rsid w:val="00010FE6"/>
    <w:pPr>
      <w:ind w:left="142" w:right="4218" w:hanging="142"/>
    </w:pPr>
    <w:rPr>
      <w:caps/>
      <w:szCs w:val="22"/>
    </w:rPr>
  </w:style>
  <w:style w:type="paragraph" w:styleId="Title">
    <w:name w:val="Title"/>
    <w:basedOn w:val="Normal"/>
    <w:next w:val="Normal"/>
    <w:qFormat/>
    <w:rsid w:val="00010FE6"/>
    <w:pPr>
      <w:pBdr>
        <w:bottom w:val="single" w:sz="8" w:space="4" w:color="4F81BD"/>
      </w:pBdr>
      <w:spacing w:after="300"/>
      <w:contextualSpacing/>
    </w:pPr>
    <w:rPr>
      <w:rFonts w:ascii="Calibri" w:hAnsi="Calibri"/>
      <w:color w:val="17365D"/>
      <w:spacing w:val="5"/>
      <w:kern w:val="28"/>
      <w:sz w:val="52"/>
      <w:szCs w:val="52"/>
    </w:rPr>
  </w:style>
  <w:style w:type="character" w:customStyle="1" w:styleId="CommentSubjectChar">
    <w:name w:val="Comment Subject Char"/>
    <w:basedOn w:val="DefaultParagraphFont"/>
    <w:link w:val="CommentSubject"/>
    <w:locked/>
    <w:rsid w:val="00010FE6"/>
    <w:rPr>
      <w:rFonts w:ascii="Calibri" w:eastAsia="Times New Roman" w:hAnsi="Calibri" w:cs="Times New Roman"/>
      <w:color w:val="17365D"/>
      <w:spacing w:val="5"/>
      <w:kern w:val="28"/>
      <w:sz w:val="52"/>
      <w:szCs w:val="52"/>
      <w:lang w:val="en-US"/>
    </w:rPr>
  </w:style>
  <w:style w:type="paragraph" w:styleId="Subtitle">
    <w:name w:val="Subtitle"/>
    <w:basedOn w:val="Normal"/>
    <w:next w:val="Normal"/>
    <w:qFormat/>
    <w:rsid w:val="00010FE6"/>
    <w:pPr>
      <w:numPr>
        <w:ilvl w:val="1"/>
      </w:numPr>
    </w:pPr>
    <w:rPr>
      <w:rFonts w:ascii="Calibri" w:hAnsi="Calibri"/>
      <w:i/>
      <w:iCs/>
      <w:color w:val="4F81BD"/>
      <w:spacing w:val="15"/>
      <w:sz w:val="24"/>
    </w:rPr>
  </w:style>
  <w:style w:type="character" w:customStyle="1" w:styleId="CharChar5">
    <w:name w:val="Char Char5"/>
    <w:basedOn w:val="DefaultParagraphFont"/>
    <w:locked/>
    <w:rsid w:val="00010FE6"/>
    <w:rPr>
      <w:rFonts w:ascii="Calibri" w:eastAsia="Times New Roman" w:hAnsi="Calibri" w:cs="Times New Roman"/>
      <w:i/>
      <w:iCs/>
      <w:color w:val="4F81BD"/>
      <w:spacing w:val="15"/>
      <w:lang w:val="en-US"/>
    </w:rPr>
  </w:style>
  <w:style w:type="character" w:customStyle="1" w:styleId="CharChar18">
    <w:name w:val="Char Char18"/>
    <w:basedOn w:val="DefaultParagraphFont"/>
    <w:locked/>
    <w:rsid w:val="00010FE6"/>
    <w:rPr>
      <w:rFonts w:ascii="Times New Roman" w:eastAsia="Times New Roman" w:hAnsi="Times New Roman" w:cs="Times New Roman"/>
      <w:b/>
      <w:caps/>
      <w:sz w:val="22"/>
      <w:lang w:val="en-GB"/>
    </w:rPr>
  </w:style>
  <w:style w:type="paragraph" w:styleId="BodyText">
    <w:name w:val="Body Text"/>
    <w:basedOn w:val="Normal"/>
    <w:rsid w:val="00010FE6"/>
    <w:pPr>
      <w:spacing w:before="120" w:after="120"/>
      <w:ind w:firstLine="720"/>
    </w:pPr>
    <w:rPr>
      <w:iCs/>
    </w:rPr>
  </w:style>
  <w:style w:type="character" w:customStyle="1" w:styleId="CharChar4">
    <w:name w:val="Char Char4"/>
    <w:basedOn w:val="DefaultParagraphFont"/>
    <w:locked/>
    <w:rsid w:val="00010FE6"/>
    <w:rPr>
      <w:rFonts w:ascii="Times New Roman" w:eastAsia="Times New Roman" w:hAnsi="Times New Roman" w:cs="Times New Roman"/>
      <w:iCs/>
      <w:sz w:val="22"/>
      <w:lang w:val="en-GB"/>
    </w:rPr>
  </w:style>
  <w:style w:type="paragraph" w:styleId="BodyTextIndent">
    <w:name w:val="Body Text Indent"/>
    <w:basedOn w:val="Normal"/>
    <w:rsid w:val="00010FE6"/>
    <w:pPr>
      <w:spacing w:before="120" w:after="120"/>
      <w:ind w:left="1440" w:hanging="720"/>
      <w:jc w:val="left"/>
    </w:pPr>
  </w:style>
  <w:style w:type="character" w:customStyle="1" w:styleId="CharChar3">
    <w:name w:val="Char Char3"/>
    <w:basedOn w:val="DefaultParagraphFont"/>
    <w:locked/>
    <w:rsid w:val="00010FE6"/>
    <w:rPr>
      <w:rFonts w:ascii="Times New Roman" w:eastAsia="Times New Roman" w:hAnsi="Times New Roman" w:cs="Times New Roman"/>
      <w:sz w:val="22"/>
      <w:lang w:val="en-GB"/>
    </w:rPr>
  </w:style>
  <w:style w:type="character" w:styleId="CommentReference">
    <w:name w:val="annotation reference"/>
    <w:basedOn w:val="DefaultParagraphFont"/>
    <w:semiHidden/>
    <w:rsid w:val="00010FE6"/>
    <w:rPr>
      <w:sz w:val="16"/>
    </w:rPr>
  </w:style>
  <w:style w:type="paragraph" w:styleId="CommentText">
    <w:name w:val="annotation text"/>
    <w:basedOn w:val="Normal"/>
    <w:semiHidden/>
    <w:rsid w:val="00010FE6"/>
    <w:pPr>
      <w:spacing w:after="120" w:line="240" w:lineRule="exact"/>
    </w:pPr>
  </w:style>
  <w:style w:type="character" w:customStyle="1" w:styleId="CharChar2">
    <w:name w:val="Char Char2"/>
    <w:basedOn w:val="DefaultParagraphFont"/>
    <w:semiHidden/>
    <w:locked/>
    <w:rsid w:val="00010FE6"/>
    <w:rPr>
      <w:rFonts w:ascii="Times New Roman" w:eastAsia="Times New Roman" w:hAnsi="Times New Roman" w:cs="Times New Roman"/>
      <w:sz w:val="22"/>
      <w:lang w:val="en-GB"/>
    </w:rPr>
  </w:style>
  <w:style w:type="paragraph" w:customStyle="1" w:styleId="Cornernotation">
    <w:name w:val="Corner notation"/>
    <w:basedOn w:val="Normal"/>
    <w:rsid w:val="00010FE6"/>
    <w:pPr>
      <w:ind w:left="170" w:right="3119" w:hanging="170"/>
      <w:jc w:val="left"/>
    </w:pPr>
  </w:style>
  <w:style w:type="character" w:styleId="EndnoteReference">
    <w:name w:val="endnote reference"/>
    <w:basedOn w:val="DefaultParagraphFont"/>
    <w:semiHidden/>
    <w:rsid w:val="00010FE6"/>
    <w:rPr>
      <w:vertAlign w:val="superscript"/>
    </w:rPr>
  </w:style>
  <w:style w:type="paragraph" w:styleId="EndnoteText">
    <w:name w:val="endnote text"/>
    <w:basedOn w:val="Normal"/>
    <w:semiHidden/>
    <w:rsid w:val="00010FE6"/>
    <w:pPr>
      <w:widowControl w:val="0"/>
      <w:tabs>
        <w:tab w:val="left" w:pos="-720"/>
      </w:tabs>
      <w:suppressAutoHyphens/>
    </w:pPr>
    <w:rPr>
      <w:rFonts w:ascii="Courier New" w:hAnsi="Courier New"/>
    </w:rPr>
  </w:style>
  <w:style w:type="character" w:customStyle="1" w:styleId="CharChar1">
    <w:name w:val="Char Char1"/>
    <w:basedOn w:val="DefaultParagraphFont"/>
    <w:semiHidden/>
    <w:locked/>
    <w:rsid w:val="00010FE6"/>
    <w:rPr>
      <w:rFonts w:ascii="Courier New" w:eastAsia="Times New Roman" w:hAnsi="Courier New" w:cs="Times New Roman"/>
      <w:sz w:val="22"/>
      <w:lang w:val="en-GB"/>
    </w:rPr>
  </w:style>
  <w:style w:type="character" w:styleId="FollowedHyperlink">
    <w:name w:val="FollowedHyperlink"/>
    <w:basedOn w:val="DefaultParagraphFont"/>
    <w:rsid w:val="00010FE6"/>
    <w:rPr>
      <w:color w:val="800080"/>
      <w:u w:val="single"/>
    </w:rPr>
  </w:style>
  <w:style w:type="character" w:styleId="FootnoteReference">
    <w:name w:val="footnote reference"/>
    <w:aliases w:val="BVI fnr Char Char Char,BVI fnr Car Car Char Char Char,BVI fnr Car Char Char Char,BVI fnr Car Car Car Car Char Char Char Char,BVI fnr Car Car Car Car Char Char1 Char,BVI fnr Car Car Car Char Char Char"/>
    <w:basedOn w:val="DefaultParagraphFont"/>
    <w:locked/>
    <w:rsid w:val="00010FE6"/>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rsid w:val="00010FE6"/>
    <w:pPr>
      <w:keepLines/>
      <w:spacing w:after="60"/>
      <w:ind w:firstLine="720"/>
    </w:pPr>
    <w:rPr>
      <w:sz w:val="18"/>
    </w:rPr>
  </w:style>
  <w:style w:type="character" w:customStyle="1" w:styleId="fnChar">
    <w:name w:val="fn Char"/>
    <w:aliases w:val="Geneva 9 Char,Font: Geneva 9 Char,Boston 10 Char,f Char,ft Char1,Fotnotstext Char Char,ft Char Char,single space Char,footnote text Char,FOOTNOTES Char,ADB Char,single space1 Char,footnote text1 Char,FOOTNOTES1 Char,fn1 Char,ADB1 Char,fn2 Char"/>
    <w:basedOn w:val="DefaultParagraphFont"/>
    <w:locked/>
    <w:rsid w:val="00010FE6"/>
    <w:rPr>
      <w:rFonts w:ascii="Times New Roman" w:eastAsia="Times New Roman" w:hAnsi="Times New Roman" w:cs="Times New Roman"/>
      <w:sz w:val="18"/>
      <w:lang w:val="en-GB"/>
    </w:rPr>
  </w:style>
  <w:style w:type="paragraph" w:customStyle="1" w:styleId="HEADING">
    <w:name w:val="HEADING"/>
    <w:basedOn w:val="Normal"/>
    <w:rsid w:val="00010FE6"/>
    <w:pPr>
      <w:keepNext/>
      <w:spacing w:before="240" w:after="120"/>
      <w:jc w:val="center"/>
    </w:pPr>
    <w:rPr>
      <w:b/>
      <w:bCs/>
      <w:caps/>
    </w:rPr>
  </w:style>
  <w:style w:type="character" w:customStyle="1" w:styleId="CharChar17">
    <w:name w:val="Char Char17"/>
    <w:basedOn w:val="DefaultParagraphFont"/>
    <w:locked/>
    <w:rsid w:val="00010FE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010FE6"/>
  </w:style>
  <w:style w:type="paragraph" w:customStyle="1" w:styleId="Heading1longmultiline">
    <w:name w:val="Heading 1 (long multiline)"/>
    <w:basedOn w:val="Heading1"/>
    <w:rsid w:val="00010FE6"/>
    <w:pPr>
      <w:ind w:left="1843" w:hanging="1134"/>
      <w:jc w:val="left"/>
    </w:pPr>
  </w:style>
  <w:style w:type="paragraph" w:customStyle="1" w:styleId="Heading1multiline">
    <w:name w:val="Heading 1 (multiline)"/>
    <w:basedOn w:val="Heading1"/>
    <w:rsid w:val="00010FE6"/>
    <w:pPr>
      <w:ind w:left="1843" w:right="996" w:hanging="567"/>
      <w:jc w:val="left"/>
    </w:pPr>
  </w:style>
  <w:style w:type="paragraph" w:customStyle="1" w:styleId="Heading2multiline">
    <w:name w:val="Heading 2 (multiline)"/>
    <w:basedOn w:val="Heading1"/>
    <w:next w:val="Normal"/>
    <w:rsid w:val="00010FE6"/>
    <w:pPr>
      <w:spacing w:before="120"/>
      <w:ind w:left="1843" w:right="998" w:hanging="567"/>
      <w:jc w:val="left"/>
    </w:pPr>
    <w:rPr>
      <w:i/>
      <w:iCs/>
      <w:caps w:val="0"/>
    </w:rPr>
  </w:style>
  <w:style w:type="paragraph" w:customStyle="1" w:styleId="Heading2longmultiline">
    <w:name w:val="Heading 2 (long multiline)"/>
    <w:basedOn w:val="Heading2multiline"/>
    <w:rsid w:val="00010FE6"/>
    <w:pPr>
      <w:ind w:left="2127" w:hanging="1276"/>
    </w:pPr>
  </w:style>
  <w:style w:type="character" w:customStyle="1" w:styleId="CharChar16">
    <w:name w:val="Char Char16"/>
    <w:basedOn w:val="DefaultParagraphFont"/>
    <w:locked/>
    <w:rsid w:val="00010FE6"/>
    <w:rPr>
      <w:rFonts w:ascii="Times New Roman" w:eastAsia="Times New Roman" w:hAnsi="Times New Roman" w:cs="Times New Roman"/>
      <w:i/>
      <w:iCs/>
      <w:sz w:val="22"/>
      <w:lang w:val="en-GB"/>
    </w:rPr>
  </w:style>
  <w:style w:type="paragraph" w:customStyle="1" w:styleId="heading2notforTOC">
    <w:name w:val="heading 2 not for TOC"/>
    <w:basedOn w:val="Heading3"/>
    <w:rsid w:val="00010FE6"/>
  </w:style>
  <w:style w:type="paragraph" w:customStyle="1" w:styleId="Heading3multiline">
    <w:name w:val="Heading 3 (multiline)"/>
    <w:basedOn w:val="Heading3"/>
    <w:next w:val="Normal"/>
    <w:rsid w:val="00010FE6"/>
    <w:pPr>
      <w:ind w:left="1418" w:hanging="425"/>
      <w:jc w:val="left"/>
    </w:pPr>
  </w:style>
  <w:style w:type="character" w:customStyle="1" w:styleId="CharChar15">
    <w:name w:val="Char Char15"/>
    <w:basedOn w:val="DefaultParagraphFont"/>
    <w:locked/>
    <w:rsid w:val="00010FE6"/>
    <w:rPr>
      <w:rFonts w:ascii="Times New Roman Bold" w:eastAsia="Times New Roman" w:hAnsi="Times New Roman Bold" w:cs="Arial"/>
      <w:b/>
      <w:bCs/>
      <w:i/>
      <w:sz w:val="22"/>
      <w:lang w:val="en-GB"/>
    </w:rPr>
  </w:style>
  <w:style w:type="paragraph" w:customStyle="1" w:styleId="Heading4indent">
    <w:name w:val="Heading 4 indent"/>
    <w:basedOn w:val="Heading4"/>
    <w:rsid w:val="00010FE6"/>
    <w:pPr>
      <w:ind w:left="720"/>
      <w:outlineLvl w:val="9"/>
    </w:pPr>
    <w:rPr>
      <w:rFonts w:ascii="Times New Roman" w:hAnsi="Times New Roman"/>
    </w:rPr>
  </w:style>
  <w:style w:type="character" w:customStyle="1" w:styleId="CharChar14">
    <w:name w:val="Char Char14"/>
    <w:basedOn w:val="DefaultParagraphFont"/>
    <w:locked/>
    <w:rsid w:val="00010FE6"/>
    <w:rPr>
      <w:rFonts w:ascii="Times New Roman" w:eastAsia="Times New Roman" w:hAnsi="Times New Roman" w:cs="Times New Roman"/>
      <w:bCs/>
      <w:i/>
      <w:sz w:val="26"/>
      <w:szCs w:val="26"/>
      <w:lang w:val="en-CA"/>
    </w:rPr>
  </w:style>
  <w:style w:type="character" w:customStyle="1" w:styleId="CharChar13">
    <w:name w:val="Char Char13"/>
    <w:basedOn w:val="DefaultParagraphFont"/>
    <w:locked/>
    <w:rsid w:val="00010FE6"/>
    <w:rPr>
      <w:rFonts w:ascii="Times New Roman" w:eastAsia="Times New Roman" w:hAnsi="Times New Roman" w:cs="Times New Roman"/>
      <w:sz w:val="22"/>
      <w:u w:val="single"/>
      <w:lang w:val="en-GB"/>
    </w:rPr>
  </w:style>
  <w:style w:type="character" w:customStyle="1" w:styleId="CharChar12">
    <w:name w:val="Char Char12"/>
    <w:basedOn w:val="DefaultParagraphFont"/>
    <w:locked/>
    <w:rsid w:val="00010FE6"/>
    <w:rPr>
      <w:rFonts w:ascii="Times New Roman" w:eastAsia="Times New Roman" w:hAnsi="Times New Roman" w:cs="Times New Roman"/>
      <w:b/>
      <w:sz w:val="28"/>
      <w:lang w:val="en-GB"/>
    </w:rPr>
  </w:style>
  <w:style w:type="character" w:customStyle="1" w:styleId="CharChar11">
    <w:name w:val="Char Char11"/>
    <w:basedOn w:val="DefaultParagraphFont"/>
    <w:locked/>
    <w:rsid w:val="00010FE6"/>
    <w:rPr>
      <w:rFonts w:ascii="Times New Roman" w:eastAsia="Times New Roman" w:hAnsi="Times New Roman" w:cs="Times New Roman"/>
      <w:b/>
      <w:sz w:val="32"/>
      <w:lang w:val="en-GB"/>
    </w:rPr>
  </w:style>
  <w:style w:type="character" w:customStyle="1" w:styleId="CharChar10">
    <w:name w:val="Char Char10"/>
    <w:basedOn w:val="DefaultParagraphFont"/>
    <w:locked/>
    <w:rsid w:val="00010FE6"/>
    <w:rPr>
      <w:rFonts w:ascii="Times New Roman" w:eastAsia="Times New Roman" w:hAnsi="Times New Roman" w:cs="Times New Roman"/>
      <w:i/>
      <w:iCs/>
      <w:sz w:val="22"/>
      <w:lang w:val="en-GB"/>
    </w:rPr>
  </w:style>
  <w:style w:type="character" w:styleId="PageNumber">
    <w:name w:val="page number"/>
    <w:basedOn w:val="DefaultParagraphFont"/>
    <w:rsid w:val="00010FE6"/>
    <w:rPr>
      <w:rFonts w:ascii="Times New Roman" w:hAnsi="Times New Roman"/>
      <w:sz w:val="22"/>
    </w:rPr>
  </w:style>
  <w:style w:type="paragraph" w:customStyle="1" w:styleId="Para1">
    <w:name w:val="Para1"/>
    <w:basedOn w:val="Normal"/>
    <w:rsid w:val="00010FE6"/>
    <w:pPr>
      <w:numPr>
        <w:numId w:val="4"/>
      </w:numPr>
      <w:tabs>
        <w:tab w:val="clear" w:pos="360"/>
      </w:tabs>
      <w:spacing w:before="120" w:after="120"/>
    </w:pPr>
    <w:rPr>
      <w:snapToGrid/>
      <w:szCs w:val="18"/>
    </w:rPr>
  </w:style>
  <w:style w:type="paragraph" w:customStyle="1" w:styleId="Para2">
    <w:name w:val="Para2"/>
    <w:basedOn w:val="Para1"/>
    <w:rsid w:val="00010FE6"/>
    <w:pPr>
      <w:numPr>
        <w:numId w:val="0"/>
      </w:numPr>
      <w:autoSpaceDE w:val="0"/>
      <w:autoSpaceDN w:val="0"/>
    </w:pPr>
  </w:style>
  <w:style w:type="paragraph" w:customStyle="1" w:styleId="Para3">
    <w:name w:val="Para3"/>
    <w:basedOn w:val="Normal"/>
    <w:rsid w:val="00010FE6"/>
    <w:pPr>
      <w:numPr>
        <w:ilvl w:val="3"/>
        <w:numId w:val="5"/>
      </w:numPr>
      <w:tabs>
        <w:tab w:val="left" w:pos="1980"/>
      </w:tabs>
      <w:spacing w:before="80" w:after="80"/>
    </w:pPr>
    <w:rPr>
      <w:szCs w:val="20"/>
    </w:rPr>
  </w:style>
  <w:style w:type="paragraph" w:customStyle="1" w:styleId="para4">
    <w:name w:val="para4"/>
    <w:basedOn w:val="Normal"/>
    <w:rsid w:val="00010FE6"/>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010FE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010FE6"/>
    <w:pPr>
      <w:spacing w:before="120" w:after="120"/>
      <w:ind w:left="720" w:right="720"/>
    </w:pPr>
    <w:rPr>
      <w:bCs/>
    </w:rPr>
  </w:style>
  <w:style w:type="paragraph" w:customStyle="1" w:styleId="recommendationheader">
    <w:name w:val="recommendation header"/>
    <w:basedOn w:val="Heading2"/>
    <w:rsid w:val="00010FE6"/>
  </w:style>
  <w:style w:type="paragraph" w:customStyle="1" w:styleId="recommendationheaderlong">
    <w:name w:val="recommendation header long"/>
    <w:basedOn w:val="Heading2longmultiline"/>
    <w:rsid w:val="00010FE6"/>
  </w:style>
  <w:style w:type="paragraph" w:customStyle="1" w:styleId="reference">
    <w:name w:val="reference"/>
    <w:basedOn w:val="Heading9"/>
    <w:rsid w:val="00010FE6"/>
    <w:rPr>
      <w:i w:val="0"/>
      <w:sz w:val="18"/>
    </w:rPr>
  </w:style>
  <w:style w:type="character" w:customStyle="1" w:styleId="StyleFootnoteReferenceNounderline">
    <w:name w:val="Style Footnote Reference + No underline"/>
    <w:rsid w:val="00010FE6"/>
    <w:rPr>
      <w:sz w:val="18"/>
      <w:u w:val="none"/>
      <w:vertAlign w:val="baseline"/>
    </w:rPr>
  </w:style>
  <w:style w:type="paragraph" w:customStyle="1" w:styleId="tabletitle">
    <w:name w:val="table title"/>
    <w:basedOn w:val="Heading2"/>
    <w:rsid w:val="00010FE6"/>
    <w:pPr>
      <w:jc w:val="left"/>
      <w:outlineLvl w:val="9"/>
    </w:pPr>
    <w:rPr>
      <w:i/>
    </w:rPr>
  </w:style>
  <w:style w:type="paragraph" w:styleId="TOAHeading">
    <w:name w:val="toa heading"/>
    <w:basedOn w:val="Normal"/>
    <w:next w:val="Normal"/>
    <w:semiHidden/>
    <w:rsid w:val="00010FE6"/>
    <w:pPr>
      <w:spacing w:before="120"/>
    </w:pPr>
    <w:rPr>
      <w:rFonts w:cs="Arial"/>
      <w:b/>
      <w:bCs/>
      <w:sz w:val="24"/>
    </w:rPr>
  </w:style>
  <w:style w:type="paragraph" w:styleId="TOC1">
    <w:name w:val="toc 1"/>
    <w:basedOn w:val="Normal"/>
    <w:next w:val="Normal"/>
    <w:autoRedefine/>
    <w:semiHidden/>
    <w:rsid w:val="00010FE6"/>
    <w:pPr>
      <w:ind w:left="720" w:hanging="720"/>
    </w:pPr>
    <w:rPr>
      <w:caps/>
    </w:rPr>
  </w:style>
  <w:style w:type="paragraph" w:styleId="TOC2">
    <w:name w:val="toc 2"/>
    <w:basedOn w:val="Normal"/>
    <w:next w:val="Normal"/>
    <w:autoRedefine/>
    <w:semiHidden/>
    <w:rsid w:val="00010FE6"/>
    <w:pPr>
      <w:tabs>
        <w:tab w:val="right" w:leader="dot" w:pos="9356"/>
      </w:tabs>
      <w:ind w:left="1440" w:hanging="720"/>
    </w:pPr>
    <w:rPr>
      <w:noProof/>
      <w:szCs w:val="22"/>
      <w:lang w:val="es-ES"/>
    </w:rPr>
  </w:style>
  <w:style w:type="paragraph" w:styleId="TOC3">
    <w:name w:val="toc 3"/>
    <w:basedOn w:val="Normal"/>
    <w:next w:val="Normal"/>
    <w:autoRedefine/>
    <w:semiHidden/>
    <w:rsid w:val="00010FE6"/>
    <w:pPr>
      <w:ind w:left="2160" w:hanging="720"/>
    </w:pPr>
  </w:style>
  <w:style w:type="paragraph" w:styleId="TOC4">
    <w:name w:val="toc 4"/>
    <w:basedOn w:val="Normal"/>
    <w:next w:val="Normal"/>
    <w:autoRedefine/>
    <w:semiHidden/>
    <w:rsid w:val="00010FE6"/>
    <w:pPr>
      <w:spacing w:before="120" w:after="120"/>
      <w:ind w:left="660"/>
      <w:jc w:val="left"/>
    </w:pPr>
  </w:style>
  <w:style w:type="paragraph" w:styleId="TOC5">
    <w:name w:val="toc 5"/>
    <w:basedOn w:val="Normal"/>
    <w:next w:val="Normal"/>
    <w:autoRedefine/>
    <w:semiHidden/>
    <w:rsid w:val="00010FE6"/>
    <w:pPr>
      <w:spacing w:before="120" w:after="120"/>
      <w:ind w:left="880"/>
      <w:jc w:val="left"/>
    </w:pPr>
  </w:style>
  <w:style w:type="paragraph" w:styleId="TOC6">
    <w:name w:val="toc 6"/>
    <w:basedOn w:val="Normal"/>
    <w:next w:val="Normal"/>
    <w:autoRedefine/>
    <w:semiHidden/>
    <w:rsid w:val="00010FE6"/>
    <w:pPr>
      <w:spacing w:before="120" w:after="120"/>
      <w:ind w:left="1100"/>
      <w:jc w:val="left"/>
    </w:pPr>
  </w:style>
  <w:style w:type="paragraph" w:styleId="TOC7">
    <w:name w:val="toc 7"/>
    <w:basedOn w:val="Normal"/>
    <w:next w:val="Normal"/>
    <w:autoRedefine/>
    <w:semiHidden/>
    <w:rsid w:val="00010FE6"/>
    <w:pPr>
      <w:spacing w:before="120" w:after="120"/>
      <w:ind w:left="1320"/>
      <w:jc w:val="left"/>
    </w:pPr>
  </w:style>
  <w:style w:type="paragraph" w:styleId="TOC8">
    <w:name w:val="toc 8"/>
    <w:basedOn w:val="Normal"/>
    <w:next w:val="Normal"/>
    <w:autoRedefine/>
    <w:semiHidden/>
    <w:rsid w:val="00010FE6"/>
    <w:pPr>
      <w:spacing w:before="120" w:after="120"/>
      <w:ind w:left="1540"/>
      <w:jc w:val="left"/>
    </w:pPr>
  </w:style>
  <w:style w:type="paragraph" w:styleId="TOC9">
    <w:name w:val="toc 9"/>
    <w:basedOn w:val="Normal"/>
    <w:next w:val="Normal"/>
    <w:autoRedefine/>
    <w:semiHidden/>
    <w:rsid w:val="00010FE6"/>
    <w:pPr>
      <w:spacing w:before="120" w:after="120"/>
      <w:ind w:left="1760"/>
      <w:jc w:val="left"/>
    </w:pPr>
  </w:style>
  <w:style w:type="character" w:styleId="Hyperlink">
    <w:name w:val="Hyperlink"/>
    <w:basedOn w:val="DefaultParagraphFont"/>
    <w:rsid w:val="00010FE6"/>
    <w:rPr>
      <w:color w:val="0000FF"/>
      <w:sz w:val="18"/>
      <w:u w:val="single"/>
    </w:rPr>
  </w:style>
  <w:style w:type="character" w:customStyle="1" w:styleId="Para1Char">
    <w:name w:val="Para1 Char"/>
    <w:locked/>
    <w:rsid w:val="00010FE6"/>
    <w:rPr>
      <w:rFonts w:ascii="Times New Roman" w:eastAsia="Times New Roman" w:hAnsi="Times New Roman"/>
      <w:snapToGrid w:val="0"/>
      <w:sz w:val="18"/>
      <w:lang w:val="en-GB"/>
    </w:rPr>
  </w:style>
  <w:style w:type="paragraph" w:customStyle="1" w:styleId="CBD-Doc-Type">
    <w:name w:val="CBD-Doc-Type"/>
    <w:basedOn w:val="Normal"/>
    <w:rsid w:val="00010FE6"/>
    <w:pPr>
      <w:keepLines/>
      <w:spacing w:before="240" w:after="120"/>
    </w:pPr>
    <w:rPr>
      <w:b/>
      <w:i/>
      <w:sz w:val="24"/>
    </w:rPr>
  </w:style>
  <w:style w:type="paragraph" w:customStyle="1" w:styleId="CBD-Doc">
    <w:name w:val="CBD-Doc"/>
    <w:basedOn w:val="Normal"/>
    <w:rsid w:val="00010FE6"/>
    <w:pPr>
      <w:keepLines/>
      <w:numPr>
        <w:numId w:val="9"/>
      </w:numPr>
      <w:spacing w:after="120"/>
    </w:pPr>
  </w:style>
  <w:style w:type="paragraph" w:styleId="ListParagraph">
    <w:name w:val="List Paragraph"/>
    <w:basedOn w:val="Normal"/>
    <w:qFormat/>
    <w:rsid w:val="00010FE6"/>
    <w:pPr>
      <w:ind w:left="720"/>
      <w:contextualSpacing/>
    </w:pPr>
    <w:rPr>
      <w:szCs w:val="20"/>
    </w:rPr>
  </w:style>
  <w:style w:type="paragraph" w:styleId="Caption">
    <w:name w:val="caption"/>
    <w:basedOn w:val="Normal"/>
    <w:next w:val="Normal"/>
    <w:qFormat/>
    <w:rsid w:val="00010FE6"/>
    <w:pPr>
      <w:keepNext/>
      <w:keepLines/>
      <w:spacing w:after="200"/>
    </w:pPr>
    <w:rPr>
      <w:b/>
      <w:iCs/>
      <w:szCs w:val="18"/>
    </w:rPr>
  </w:style>
  <w:style w:type="paragraph" w:customStyle="1" w:styleId="Style1">
    <w:name w:val="Style1"/>
    <w:basedOn w:val="Heading2"/>
    <w:rsid w:val="00010FE6"/>
    <w:rPr>
      <w:i/>
    </w:rPr>
  </w:style>
  <w:style w:type="paragraph" w:styleId="NoSpacing">
    <w:name w:val="No Spacing"/>
    <w:qFormat/>
    <w:rsid w:val="00010FE6"/>
    <w:rPr>
      <w:rFonts w:ascii="Calibri" w:hAnsi="Calibri"/>
      <w:snapToGrid w:val="0"/>
      <w:sz w:val="22"/>
      <w:szCs w:val="22"/>
      <w:lang w:val="en-US" w:eastAsia="es-ES"/>
    </w:rPr>
  </w:style>
  <w:style w:type="character" w:customStyle="1" w:styleId="NoSpacingChar">
    <w:name w:val="No Spacing Char"/>
    <w:basedOn w:val="DefaultParagraphFont"/>
    <w:locked/>
    <w:rsid w:val="00010FE6"/>
    <w:rPr>
      <w:rFonts w:ascii="Calibri" w:eastAsia="Times New Roman" w:hAnsi="Calibri" w:cs="Times New Roman"/>
      <w:sz w:val="22"/>
      <w:szCs w:val="22"/>
      <w:lang w:val="en-US" w:bidi="ar-SA"/>
    </w:rPr>
  </w:style>
  <w:style w:type="paragraph" w:customStyle="1" w:styleId="BVIfnrCharChar">
    <w:name w:val="BVI fnr Char Char"/>
    <w:aliases w:val="BVI fnr Car Car Char Char,BVI fnr Car Char Char,BVI fnr Car Car Car Car Char Char Char,BVI fnr Car Car Car Car Char Char1,BVI fnr Car Car Car Char Char,BVI fnr Car Car Car Car Car Char Char"/>
    <w:basedOn w:val="Normal"/>
    <w:rsid w:val="00010FE6"/>
    <w:pPr>
      <w:spacing w:after="160" w:line="240" w:lineRule="exact"/>
      <w:jc w:val="left"/>
    </w:pPr>
    <w:rPr>
      <w:szCs w:val="20"/>
      <w:vertAlign w:val="superscript"/>
      <w:lang w:val="es-ES"/>
    </w:rPr>
  </w:style>
  <w:style w:type="paragraph" w:customStyle="1" w:styleId="Body">
    <w:name w:val="Body"/>
    <w:rsid w:val="00010FE6"/>
    <w:pPr>
      <w:jc w:val="both"/>
    </w:pPr>
    <w:rPr>
      <w:snapToGrid w:val="0"/>
      <w:color w:val="000000"/>
      <w:sz w:val="22"/>
      <w:szCs w:val="22"/>
      <w:u w:color="000000"/>
      <w:lang w:val="en-CA" w:eastAsia="es-ES"/>
    </w:rPr>
  </w:style>
  <w:style w:type="character" w:customStyle="1" w:styleId="Hyperlink0">
    <w:name w:val="Hyperlink.0"/>
    <w:basedOn w:val="DefaultParagraphFont"/>
    <w:rsid w:val="00010FE6"/>
    <w:rPr>
      <w:rFonts w:cs="Times New Roman"/>
      <w:color w:val="0000FF"/>
      <w:kern w:val="22"/>
      <w:sz w:val="22"/>
      <w:szCs w:val="22"/>
      <w:u w:val="single" w:color="0000FF"/>
    </w:rPr>
  </w:style>
  <w:style w:type="character" w:customStyle="1" w:styleId="Hyperlink1">
    <w:name w:val="Hyperlink.1"/>
    <w:basedOn w:val="DefaultParagraphFont"/>
    <w:rsid w:val="00010FE6"/>
    <w:rPr>
      <w:rFonts w:cs="Times New Roman"/>
      <w:kern w:val="22"/>
    </w:rPr>
  </w:style>
  <w:style w:type="character" w:customStyle="1" w:styleId="None">
    <w:name w:val="None"/>
    <w:rsid w:val="00010FE6"/>
  </w:style>
  <w:style w:type="character" w:customStyle="1" w:styleId="ListParagraphChar">
    <w:name w:val="List Paragraph Char"/>
    <w:locked/>
    <w:rsid w:val="00010FE6"/>
    <w:rPr>
      <w:rFonts w:ascii="Times New Roman" w:eastAsia="Times New Roman" w:hAnsi="Times New Roman"/>
      <w:sz w:val="22"/>
      <w:lang w:val="en-GB"/>
    </w:rPr>
  </w:style>
  <w:style w:type="character" w:customStyle="1" w:styleId="StyleFootnoteReferencenumberFootnoteReferenceSuperscript-EF">
    <w:name w:val="Style Footnote ReferencenumberFootnote Reference Superscript-E F..."/>
    <w:rsid w:val="00010FE6"/>
    <w:rPr>
      <w:kern w:val="22"/>
      <w:sz w:val="18"/>
      <w:u w:val="none"/>
      <w:effect w:val="none"/>
      <w:vertAlign w:val="superscript"/>
    </w:rPr>
  </w:style>
  <w:style w:type="paragraph" w:styleId="CommentSubject">
    <w:name w:val="annotation subject"/>
    <w:basedOn w:val="CommentText"/>
    <w:next w:val="CommentText"/>
    <w:link w:val="CommentSubjectChar"/>
    <w:semiHidden/>
    <w:rsid w:val="00010FE6"/>
    <w:pPr>
      <w:spacing w:after="0" w:line="240" w:lineRule="auto"/>
    </w:pPr>
    <w:rPr>
      <w:b/>
      <w:bCs/>
      <w:sz w:val="20"/>
      <w:szCs w:val="20"/>
    </w:rPr>
  </w:style>
  <w:style w:type="character" w:customStyle="1" w:styleId="CharChar">
    <w:name w:val="Char Char"/>
    <w:basedOn w:val="CharChar2"/>
    <w:semiHidden/>
    <w:locked/>
    <w:rsid w:val="00010FE6"/>
    <w:rPr>
      <w:b/>
      <w:bCs/>
      <w:sz w:val="20"/>
      <w:szCs w:val="20"/>
    </w:rPr>
  </w:style>
  <w:style w:type="character" w:customStyle="1" w:styleId="tw4winMark">
    <w:name w:val="tw4winMark"/>
    <w:rsid w:val="00010FE6"/>
    <w:rPr>
      <w:rFonts w:ascii="Courier New" w:hAnsi="Courier New"/>
      <w:vanish/>
      <w:color w:val="800080"/>
      <w:sz w:val="24"/>
      <w:vertAlign w:val="subscript"/>
    </w:rPr>
  </w:style>
  <w:style w:type="character" w:customStyle="1" w:styleId="tw4winError">
    <w:name w:val="tw4winError"/>
    <w:rsid w:val="00010FE6"/>
    <w:rPr>
      <w:rFonts w:ascii="Courier New" w:hAnsi="Courier New"/>
      <w:color w:val="00FF00"/>
      <w:sz w:val="40"/>
    </w:rPr>
  </w:style>
  <w:style w:type="character" w:customStyle="1" w:styleId="tw4winTerm">
    <w:name w:val="tw4winTerm"/>
    <w:rsid w:val="00010FE6"/>
    <w:rPr>
      <w:color w:val="0000FF"/>
    </w:rPr>
  </w:style>
  <w:style w:type="character" w:customStyle="1" w:styleId="tw4winPopup">
    <w:name w:val="tw4winPopup"/>
    <w:rsid w:val="00010FE6"/>
    <w:rPr>
      <w:rFonts w:ascii="Courier New" w:hAnsi="Courier New"/>
      <w:noProof/>
      <w:color w:val="008000"/>
    </w:rPr>
  </w:style>
  <w:style w:type="character" w:customStyle="1" w:styleId="tw4winJump">
    <w:name w:val="tw4winJump"/>
    <w:rsid w:val="00010FE6"/>
    <w:rPr>
      <w:rFonts w:ascii="Courier New" w:hAnsi="Courier New"/>
      <w:noProof/>
      <w:color w:val="008080"/>
    </w:rPr>
  </w:style>
  <w:style w:type="character" w:customStyle="1" w:styleId="tw4winExternal">
    <w:name w:val="tw4winExternal"/>
    <w:rsid w:val="00010FE6"/>
    <w:rPr>
      <w:rFonts w:ascii="Courier New" w:hAnsi="Courier New"/>
      <w:noProof/>
      <w:color w:val="808080"/>
    </w:rPr>
  </w:style>
  <w:style w:type="character" w:customStyle="1" w:styleId="tw4winInternal">
    <w:name w:val="tw4winInternal"/>
    <w:rsid w:val="00010FE6"/>
    <w:rPr>
      <w:rFonts w:ascii="Courier New" w:hAnsi="Courier New"/>
      <w:noProof/>
      <w:color w:val="FF0000"/>
    </w:rPr>
  </w:style>
  <w:style w:type="character" w:customStyle="1" w:styleId="DONOTTRANSLATE">
    <w:name w:val="DO_NOT_TRANSLATE"/>
    <w:rsid w:val="00010FE6"/>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mop-08/mop-08-dec-03-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doc/decisions/mop-06/full/mop-06-dec-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1662</Words>
  <Characters>8759</Characters>
  <Application>Microsoft Office Word</Application>
  <DocSecurity>0</DocSecurity>
  <Lines>194</Lines>
  <Paragraphs>70</Paragraphs>
  <ScaleCrop>false</ScaleCrop>
  <HeadingPairs>
    <vt:vector size="2" baseType="variant">
      <vt:variant>
        <vt:lpstr>Title</vt:lpstr>
      </vt:variant>
      <vt:variant>
        <vt:i4>1</vt:i4>
      </vt:variant>
    </vt:vector>
  </HeadingPairs>
  <TitlesOfParts>
    <vt:vector size="1" baseType="lpstr">
      <vt:lpstr>9/3.	Capacity-building (Article 22)</vt:lpstr>
    </vt:vector>
  </TitlesOfParts>
  <Company>SCBD</Company>
  <LinksUpToDate>false</LinksUpToDate>
  <CharactersWithSpaces>10351</CharactersWithSpaces>
  <SharedDoc>false</SharedDoc>
  <HLinks>
    <vt:vector size="12" baseType="variant">
      <vt:variant>
        <vt:i4>983124</vt:i4>
      </vt:variant>
      <vt:variant>
        <vt:i4>3</vt:i4>
      </vt:variant>
      <vt:variant>
        <vt:i4>0</vt:i4>
      </vt:variant>
      <vt:variant>
        <vt:i4>5</vt:i4>
      </vt:variant>
      <vt:variant>
        <vt:lpwstr>https://www.cbd.int/doc/decisions/mop-08/mop-08-dec-03-es.pdf</vt:lpwstr>
      </vt:variant>
      <vt:variant>
        <vt:lpwstr/>
      </vt:variant>
      <vt:variant>
        <vt:i4>2883685</vt:i4>
      </vt:variant>
      <vt:variant>
        <vt:i4>0</vt:i4>
      </vt:variant>
      <vt:variant>
        <vt:i4>0</vt:i4>
      </vt:variant>
      <vt:variant>
        <vt:i4>5</vt:i4>
      </vt:variant>
      <vt:variant>
        <vt:lpwstr>https://www.cbd.int/doc/decisions/mop-06/full/mop-06-dec-es.pdf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	Capacity-building (Article 22)</dc:title>
  <dc:subject>CBD/CP/MOP/DEC/9/3</dc:subject>
  <dc:creator>CP MOP 9</dc:creator>
  <cp:keywords>Capacity-building (Article 22), Cartagena Protocol on Biosafety, Convention on Biological Diversity</cp:keywords>
  <cp:lastModifiedBy>Laura Perez</cp:lastModifiedBy>
  <cp:revision>5</cp:revision>
  <dcterms:created xsi:type="dcterms:W3CDTF">2019-02-01T01:50:00Z</dcterms:created>
  <dcterms:modified xsi:type="dcterms:W3CDTF">2019-02-01T14:33:00Z</dcterms:modified>
</cp:coreProperties>
</file>