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A1250" w14:paraId="7AD2D1DF" w14:textId="77777777" w:rsidTr="00CB2537">
        <w:trPr>
          <w:trHeight w:val="709"/>
        </w:trPr>
        <w:tc>
          <w:tcPr>
            <w:tcW w:w="976" w:type="dxa"/>
            <w:tcBorders>
              <w:bottom w:val="single" w:sz="12" w:space="0" w:color="auto"/>
            </w:tcBorders>
          </w:tcPr>
          <w:p w14:paraId="23ED7263" w14:textId="77777777" w:rsidR="001A1250" w:rsidRDefault="001A1250" w:rsidP="00CB2537">
            <w:bookmarkStart w:id="0" w:name="_Hlk530914254"/>
            <w:r>
              <w:rPr>
                <w:noProof/>
                <w:lang w:val="fr-FR" w:eastAsia="fr-FR"/>
              </w:rPr>
              <w:drawing>
                <wp:inline distT="0" distB="0" distL="0" distR="0" wp14:anchorId="70618172" wp14:editId="67AFF87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674A0D4A" w14:textId="77777777" w:rsidR="001A1250" w:rsidRDefault="001A1250" w:rsidP="00CB2537">
            <w:r>
              <w:rPr>
                <w:noProof/>
                <w:lang w:val="fr-FR" w:eastAsia="fr-FR"/>
              </w:rPr>
              <w:drawing>
                <wp:inline distT="0" distB="0" distL="0" distR="0" wp14:anchorId="64DB9F0E" wp14:editId="5871D445">
                  <wp:extent cx="343700" cy="403200"/>
                  <wp:effectExtent l="0" t="0" r="12065" b="381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EECBB1C" w14:textId="77777777" w:rsidR="001A1250" w:rsidRPr="00C9161D" w:rsidRDefault="001A1250" w:rsidP="00CB2537">
            <w:pPr>
              <w:jc w:val="right"/>
              <w:rPr>
                <w:rFonts w:ascii="Arial" w:hAnsi="Arial" w:cs="Arial"/>
                <w:b/>
                <w:sz w:val="32"/>
                <w:szCs w:val="32"/>
              </w:rPr>
            </w:pPr>
            <w:r>
              <w:rPr>
                <w:rFonts w:ascii="Arial" w:hAnsi="Arial" w:cs="Arial"/>
                <w:b/>
                <w:sz w:val="32"/>
                <w:szCs w:val="32"/>
              </w:rPr>
              <w:t>CBD</w:t>
            </w:r>
          </w:p>
        </w:tc>
      </w:tr>
      <w:tr w:rsidR="009E7591" w:rsidRPr="00022657" w14:paraId="37771D7E" w14:textId="77777777" w:rsidTr="00CB2537">
        <w:tc>
          <w:tcPr>
            <w:tcW w:w="6117" w:type="dxa"/>
            <w:gridSpan w:val="2"/>
            <w:tcBorders>
              <w:top w:val="single" w:sz="12" w:space="0" w:color="auto"/>
              <w:bottom w:val="single" w:sz="36" w:space="0" w:color="auto"/>
            </w:tcBorders>
            <w:vAlign w:val="center"/>
          </w:tcPr>
          <w:p w14:paraId="04CA5AC4" w14:textId="77777777" w:rsidR="009E7591" w:rsidRDefault="009E7591" w:rsidP="009E7591">
            <w:r w:rsidRPr="00FC4798">
              <w:rPr>
                <w:noProof/>
                <w:lang w:val="fr-FR" w:eastAsia="fr-FR"/>
              </w:rPr>
              <w:drawing>
                <wp:inline distT="0" distB="0" distL="0" distR="0" wp14:anchorId="21E94265" wp14:editId="0CA4E2AE">
                  <wp:extent cx="2876550" cy="1076325"/>
                  <wp:effectExtent l="0" t="0" r="0" b="9525"/>
                  <wp:docPr id="3" name="Image 3"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D5CBE36" w14:textId="77777777" w:rsidR="009E7591" w:rsidRPr="00854769" w:rsidRDefault="009E7591" w:rsidP="009E7591">
            <w:pPr>
              <w:ind w:left="1215"/>
              <w:rPr>
                <w:szCs w:val="22"/>
                <w:lang w:val="en-AU"/>
              </w:rPr>
            </w:pPr>
            <w:r w:rsidRPr="00854769">
              <w:rPr>
                <w:szCs w:val="22"/>
                <w:lang w:val="en-AU"/>
              </w:rPr>
              <w:t>Distr.</w:t>
            </w:r>
          </w:p>
          <w:p w14:paraId="49FA167A" w14:textId="4BE76944" w:rsidR="009E7591" w:rsidRPr="00022657" w:rsidRDefault="00C06D04" w:rsidP="009E7591">
            <w:pPr>
              <w:ind w:left="1215"/>
              <w:rPr>
                <w:szCs w:val="22"/>
                <w:lang w:val="en-AU"/>
              </w:rPr>
            </w:pPr>
            <w:sdt>
              <w:sdtPr>
                <w:rPr>
                  <w:caps/>
                  <w:szCs w:val="22"/>
                  <w:lang w:val="en-AU"/>
                </w:rPr>
                <w:alias w:val="Status"/>
                <w:tag w:val=""/>
                <w:id w:val="307985777"/>
                <w:placeholder>
                  <w:docPart w:val="D315211591EA4912A44830EB9B84C357"/>
                </w:placeholder>
                <w:dataBinding w:prefixMappings="xmlns:ns0='http://purl.org/dc/elements/1.1/' xmlns:ns1='http://schemas.openxmlformats.org/package/2006/metadata/core-properties' " w:xpath="/ns1:coreProperties[1]/ns1:contentStatus[1]" w:storeItemID="{6C3C8BC8-F283-45AE-878A-BAB7291924A1}"/>
                <w:text/>
              </w:sdtPr>
              <w:sdtEndPr/>
              <w:sdtContent>
                <w:r w:rsidR="00022657" w:rsidRPr="00022657">
                  <w:rPr>
                    <w:caps/>
                    <w:szCs w:val="22"/>
                    <w:lang w:val="en-AU"/>
                  </w:rPr>
                  <w:t>general</w:t>
                </w:r>
                <w:r w:rsidR="009E7591" w:rsidRPr="00022657">
                  <w:rPr>
                    <w:caps/>
                    <w:szCs w:val="22"/>
                    <w:lang w:val="en-AU"/>
                  </w:rPr>
                  <w:t>E</w:t>
                </w:r>
              </w:sdtContent>
            </w:sdt>
          </w:p>
          <w:p w14:paraId="0F331C83" w14:textId="77777777" w:rsidR="005E1461" w:rsidRPr="00022657" w:rsidRDefault="005E1461" w:rsidP="005E1461">
            <w:pPr>
              <w:ind w:left="1215"/>
              <w:rPr>
                <w:szCs w:val="22"/>
                <w:lang w:val="en-AU"/>
              </w:rPr>
            </w:pPr>
          </w:p>
          <w:p w14:paraId="36D98E67" w14:textId="535F4CC4" w:rsidR="005E1461" w:rsidRPr="00022657" w:rsidRDefault="00C06D04" w:rsidP="005E1461">
            <w:pPr>
              <w:ind w:left="1215"/>
              <w:rPr>
                <w:szCs w:val="22"/>
                <w:lang w:val="en-AU"/>
              </w:rPr>
            </w:pPr>
            <w:sdt>
              <w:sdtPr>
                <w:rPr>
                  <w:lang w:val="en-AU"/>
                </w:rPr>
                <w:alias w:val="Subject"/>
                <w:tag w:val=""/>
                <w:id w:val="2137136483"/>
                <w:placeholder>
                  <w:docPart w:val="2196AFC1EDA44DF3BE69A9434B8372F8"/>
                </w:placeholder>
                <w:dataBinding w:prefixMappings="xmlns:ns0='http://purl.org/dc/elements/1.1/' xmlns:ns1='http://schemas.openxmlformats.org/package/2006/metadata/core-properties' " w:xpath="/ns1:coreProperties[1]/ns0:subject[1]" w:storeItemID="{6C3C8BC8-F283-45AE-878A-BAB7291924A1}"/>
                <w:text/>
              </w:sdtPr>
              <w:sdtEndPr/>
              <w:sdtContent>
                <w:r w:rsidR="00A514FF" w:rsidRPr="00022657">
                  <w:rPr>
                    <w:lang w:val="en-AU"/>
                  </w:rPr>
                  <w:t>CBD/CP/MOP/</w:t>
                </w:r>
                <w:r w:rsidR="00022657" w:rsidRPr="00022657">
                  <w:rPr>
                    <w:lang w:val="en-AU"/>
                  </w:rPr>
                  <w:t>DEC/9/3</w:t>
                </w:r>
              </w:sdtContent>
            </w:sdt>
          </w:p>
          <w:p w14:paraId="5338E3D4" w14:textId="3E7B08D9" w:rsidR="005E1461" w:rsidRPr="00A514FF" w:rsidRDefault="00022657" w:rsidP="005E1461">
            <w:pPr>
              <w:ind w:left="1215"/>
              <w:rPr>
                <w:szCs w:val="22"/>
                <w:lang w:val="fr-FR"/>
              </w:rPr>
            </w:pPr>
            <w:r>
              <w:rPr>
                <w:szCs w:val="22"/>
                <w:lang w:val="fr-FR"/>
              </w:rPr>
              <w:t>30</w:t>
            </w:r>
            <w:r w:rsidR="005E1461" w:rsidRPr="00A514FF">
              <w:rPr>
                <w:szCs w:val="22"/>
                <w:lang w:val="fr-FR"/>
              </w:rPr>
              <w:t xml:space="preserve"> novembre 2018</w:t>
            </w:r>
          </w:p>
          <w:p w14:paraId="7133B2FB" w14:textId="77777777" w:rsidR="009E7591" w:rsidRPr="00A514FF" w:rsidRDefault="009E7591" w:rsidP="009E7591">
            <w:pPr>
              <w:ind w:left="1215"/>
              <w:rPr>
                <w:szCs w:val="22"/>
                <w:lang w:val="fr-FR"/>
              </w:rPr>
            </w:pPr>
          </w:p>
          <w:p w14:paraId="67662B96" w14:textId="3A970E40" w:rsidR="009E7591" w:rsidRPr="009E7591" w:rsidRDefault="00F252E4" w:rsidP="009E7591">
            <w:pPr>
              <w:ind w:left="1215"/>
              <w:rPr>
                <w:szCs w:val="22"/>
                <w:lang w:val="fr-FR"/>
              </w:rPr>
            </w:pPr>
            <w:r w:rsidRPr="009E7591">
              <w:rPr>
                <w:szCs w:val="22"/>
                <w:lang w:val="fr-FR"/>
              </w:rPr>
              <w:t>FRANÇAIS</w:t>
            </w:r>
            <w:r w:rsidR="009E7591" w:rsidRPr="009E7591">
              <w:rPr>
                <w:szCs w:val="22"/>
                <w:lang w:val="fr-FR"/>
              </w:rPr>
              <w:br/>
              <w:t xml:space="preserve">ORIGINAL: </w:t>
            </w:r>
            <w:r w:rsidR="009E7591">
              <w:rPr>
                <w:szCs w:val="22"/>
                <w:lang w:val="fr-FR"/>
              </w:rPr>
              <w:t>ANGLAIS</w:t>
            </w:r>
          </w:p>
          <w:p w14:paraId="073FD911" w14:textId="77777777" w:rsidR="009E7591" w:rsidRPr="00387269" w:rsidRDefault="009E7591" w:rsidP="009E7591">
            <w:pPr>
              <w:rPr>
                <w:lang w:val="fr-FR"/>
              </w:rPr>
            </w:pPr>
          </w:p>
        </w:tc>
      </w:tr>
    </w:tbl>
    <w:p w14:paraId="6FB34D14" w14:textId="77777777" w:rsidR="001A1250" w:rsidRPr="001A1250" w:rsidRDefault="001A1250" w:rsidP="001A1250">
      <w:pPr>
        <w:pStyle w:val="Cornernotation"/>
        <w:suppressLineNumbers/>
        <w:suppressAutoHyphens/>
        <w:kinsoku w:val="0"/>
        <w:overflowPunct w:val="0"/>
        <w:autoSpaceDE w:val="0"/>
        <w:autoSpaceDN w:val="0"/>
        <w:spacing w:before="60"/>
        <w:ind w:left="227" w:right="3780" w:hanging="227"/>
        <w:rPr>
          <w:snapToGrid w:val="0"/>
          <w:kern w:val="22"/>
          <w:lang w:val="fr-FR"/>
        </w:rPr>
      </w:pPr>
      <w:bookmarkStart w:id="1" w:name="_Hlk530040340"/>
      <w:bookmarkEnd w:id="0"/>
      <w:r w:rsidRPr="001A1250">
        <w:rPr>
          <w:snapToGrid w:val="0"/>
          <w:kern w:val="22"/>
          <w:lang w:val="fr-FR"/>
        </w:rPr>
        <w:t>CONFÉRENCE DES PARTIES À LA CONVENTION SUR LA DIVERSITÉ BIOLOGIQUE SIÉGEANT EN TANT QUE RÉUNION DES PARTIES AU PROTOCOLE DE CARTAGENA SUR LA PRÉVENTION DES RISQUES BIOTECHNOLOGIQUES</w:t>
      </w:r>
    </w:p>
    <w:p w14:paraId="4CA0DE18" w14:textId="77777777" w:rsidR="001A1250" w:rsidRPr="001A1250" w:rsidRDefault="001A1250" w:rsidP="001A1250">
      <w:pPr>
        <w:pStyle w:val="Cornernotation"/>
        <w:suppressLineNumbers/>
        <w:suppressAutoHyphens/>
        <w:kinsoku w:val="0"/>
        <w:overflowPunct w:val="0"/>
        <w:autoSpaceDE w:val="0"/>
        <w:autoSpaceDN w:val="0"/>
        <w:ind w:left="0" w:right="4512" w:firstLine="0"/>
        <w:rPr>
          <w:snapToGrid w:val="0"/>
          <w:kern w:val="22"/>
          <w:lang w:val="fr-FR"/>
        </w:rPr>
      </w:pPr>
      <w:r w:rsidRPr="001A1250">
        <w:rPr>
          <w:snapToGrid w:val="0"/>
          <w:kern w:val="22"/>
          <w:lang w:val="fr-FR"/>
        </w:rPr>
        <w:t>Neuvième réunion</w:t>
      </w:r>
    </w:p>
    <w:p w14:paraId="527512DD" w14:textId="77777777" w:rsidR="001A1250" w:rsidRPr="001A1250" w:rsidRDefault="001A1250" w:rsidP="001A1250">
      <w:pPr>
        <w:suppressLineNumbers/>
        <w:suppressAutoHyphens/>
        <w:kinsoku w:val="0"/>
        <w:overflowPunct w:val="0"/>
        <w:autoSpaceDE w:val="0"/>
        <w:autoSpaceDN w:val="0"/>
        <w:rPr>
          <w:snapToGrid w:val="0"/>
          <w:kern w:val="22"/>
          <w:szCs w:val="22"/>
          <w:lang w:val="fr-FR" w:eastAsia="nb-NO"/>
        </w:rPr>
      </w:pPr>
      <w:bookmarkStart w:id="2" w:name="_Hlk505863673"/>
      <w:r w:rsidRPr="001A1250">
        <w:rPr>
          <w:snapToGrid w:val="0"/>
          <w:kern w:val="22"/>
          <w:szCs w:val="22"/>
          <w:lang w:val="fr-FR"/>
        </w:rPr>
        <w:t>Sharm El-Sheikh, Égypte</w:t>
      </w:r>
      <w:bookmarkEnd w:id="2"/>
      <w:r w:rsidRPr="001A1250">
        <w:rPr>
          <w:snapToGrid w:val="0"/>
          <w:kern w:val="22"/>
          <w:szCs w:val="22"/>
          <w:lang w:val="fr-FR"/>
        </w:rPr>
        <w:t>, 17-29 novembre 2018</w:t>
      </w:r>
    </w:p>
    <w:bookmarkEnd w:id="1"/>
    <w:p w14:paraId="110F38D0" w14:textId="2CFAB476" w:rsidR="00022657" w:rsidRDefault="00E6309B" w:rsidP="005D108E">
      <w:pPr>
        <w:rPr>
          <w:snapToGrid w:val="0"/>
          <w:kern w:val="22"/>
          <w:szCs w:val="22"/>
          <w:lang w:val="fr-FR"/>
        </w:rPr>
      </w:pPr>
      <w:r>
        <w:rPr>
          <w:snapToGrid w:val="0"/>
          <w:kern w:val="22"/>
          <w:szCs w:val="22"/>
          <w:lang w:val="fr-FR"/>
        </w:rPr>
        <w:t>Point 8</w:t>
      </w:r>
      <w:r w:rsidR="005D108E" w:rsidRPr="005D108E">
        <w:rPr>
          <w:snapToGrid w:val="0"/>
          <w:kern w:val="22"/>
          <w:szCs w:val="22"/>
          <w:lang w:val="fr-FR"/>
        </w:rPr>
        <w:t xml:space="preserve"> de l’ordre du jour provisoire</w:t>
      </w:r>
    </w:p>
    <w:p w14:paraId="348091DB" w14:textId="0B3C8D05" w:rsidR="00022657" w:rsidRPr="00022657" w:rsidRDefault="00022657" w:rsidP="00854769">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14:paraId="70A9BE08" w14:textId="6B179C67" w:rsidR="00C9161D" w:rsidRPr="005D108E" w:rsidRDefault="00C06D04" w:rsidP="00172AF6">
      <w:pPr>
        <w:spacing w:before="120" w:after="240"/>
        <w:jc w:val="center"/>
        <w:rPr>
          <w:b/>
          <w:caps/>
          <w:lang w:val="fr-FR"/>
        </w:rPr>
      </w:pPr>
      <w:sdt>
        <w:sdtPr>
          <w:rPr>
            <w:rStyle w:val="Heading2Char"/>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022657">
            <w:rPr>
              <w:rStyle w:val="Heading2Char"/>
              <w:lang w:val="fr-FR"/>
            </w:rPr>
            <w:t>9/3.   R</w:t>
          </w:r>
          <w:r w:rsidR="00022657" w:rsidRPr="001A1250">
            <w:rPr>
              <w:rStyle w:val="Heading2Char"/>
              <w:lang w:val="fr-FR"/>
            </w:rPr>
            <w:t xml:space="preserve">enforcement des capacités </w:t>
          </w:r>
          <w:r w:rsidR="003E54B9" w:rsidRPr="001A1250">
            <w:rPr>
              <w:rStyle w:val="Heading2Char"/>
              <w:lang w:val="fr-FR"/>
            </w:rPr>
            <w:t>(article 22)</w:t>
          </w:r>
        </w:sdtContent>
      </w:sdt>
      <w:r w:rsidR="00105372" w:rsidRPr="005D108E">
        <w:rPr>
          <w:b/>
          <w:caps/>
          <w:lang w:val="fr-FR"/>
        </w:rPr>
        <w:t xml:space="preserve"> </w:t>
      </w:r>
    </w:p>
    <w:p w14:paraId="6E1BDD82" w14:textId="77777777" w:rsidR="006D00FB" w:rsidRPr="00414731" w:rsidRDefault="006D00FB" w:rsidP="006D00FB">
      <w:pPr>
        <w:pStyle w:val="Para1"/>
        <w:numPr>
          <w:ilvl w:val="0"/>
          <w:numId w:val="0"/>
        </w:numPr>
        <w:suppressLineNumbers/>
        <w:suppressAutoHyphens/>
        <w:kinsoku w:val="0"/>
        <w:overflowPunct w:val="0"/>
        <w:autoSpaceDE w:val="0"/>
        <w:autoSpaceDN w:val="0"/>
        <w:adjustRightInd w:val="0"/>
        <w:snapToGrid w:val="0"/>
        <w:ind w:firstLine="709"/>
        <w:rPr>
          <w:i/>
          <w:snapToGrid/>
          <w:kern w:val="22"/>
          <w:szCs w:val="22"/>
          <w:lang w:val="fr-FR"/>
        </w:rPr>
      </w:pPr>
      <w:r w:rsidRPr="00414731">
        <w:rPr>
          <w:i/>
          <w:snapToGrid/>
          <w:kern w:val="22"/>
          <w:szCs w:val="22"/>
          <w:lang w:val="fr-FR"/>
        </w:rPr>
        <w:t xml:space="preserve">La Conférence des Parties siégeant en tant que </w:t>
      </w:r>
      <w:r>
        <w:rPr>
          <w:i/>
          <w:snapToGrid/>
          <w:kern w:val="22"/>
          <w:szCs w:val="22"/>
          <w:lang w:val="fr-FR"/>
        </w:rPr>
        <w:t>réunion des Parties au Pro</w:t>
      </w:r>
      <w:r w:rsidRPr="00414731">
        <w:rPr>
          <w:i/>
          <w:snapToGrid/>
          <w:kern w:val="22"/>
          <w:szCs w:val="22"/>
          <w:lang w:val="fr-FR"/>
        </w:rPr>
        <w:t xml:space="preserve">tocole de Cartagena </w:t>
      </w:r>
      <w:r>
        <w:rPr>
          <w:i/>
          <w:snapToGrid/>
          <w:kern w:val="22"/>
          <w:szCs w:val="22"/>
          <w:lang w:val="fr-FR"/>
        </w:rPr>
        <w:t>sur la prévention des risques biotechnologiques</w:t>
      </w:r>
      <w:r w:rsidRPr="00414731">
        <w:rPr>
          <w:i/>
          <w:snapToGrid/>
          <w:kern w:val="22"/>
          <w:szCs w:val="22"/>
          <w:lang w:val="fr-FR"/>
        </w:rPr>
        <w:t>,</w:t>
      </w:r>
    </w:p>
    <w:p w14:paraId="3E0DA961" w14:textId="73878101" w:rsidR="006D00FB" w:rsidRPr="006D00FB" w:rsidRDefault="006D00FB" w:rsidP="006D00FB">
      <w:pPr>
        <w:pStyle w:val="Para1"/>
        <w:numPr>
          <w:ilvl w:val="0"/>
          <w:numId w:val="0"/>
        </w:numPr>
        <w:suppressLineNumbers/>
        <w:suppressAutoHyphens/>
        <w:kinsoku w:val="0"/>
        <w:overflowPunct w:val="0"/>
        <w:autoSpaceDE w:val="0"/>
        <w:autoSpaceDN w:val="0"/>
        <w:adjustRightInd w:val="0"/>
        <w:snapToGrid w:val="0"/>
        <w:ind w:left="720"/>
        <w:rPr>
          <w:snapToGrid/>
          <w:kern w:val="22"/>
          <w:szCs w:val="22"/>
          <w:lang w:val="fr-FR"/>
        </w:rPr>
      </w:pPr>
      <w:r w:rsidRPr="008A3B21">
        <w:rPr>
          <w:i/>
          <w:iCs/>
          <w:snapToGrid/>
          <w:kern w:val="22"/>
          <w:szCs w:val="22"/>
          <w:lang w:val="fr-FR"/>
        </w:rPr>
        <w:t xml:space="preserve">Rappelant </w:t>
      </w:r>
      <w:r w:rsidRPr="008A3B21">
        <w:rPr>
          <w:snapToGrid/>
          <w:kern w:val="22"/>
          <w:szCs w:val="22"/>
          <w:lang w:val="fr-FR"/>
        </w:rPr>
        <w:t xml:space="preserve">les décisions </w:t>
      </w:r>
      <w:hyperlink r:id="rId12" w:history="1">
        <w:r w:rsidRPr="006D00FB">
          <w:rPr>
            <w:rStyle w:val="Hyperlink"/>
            <w:snapToGrid/>
            <w:kern w:val="22"/>
            <w:sz w:val="22"/>
            <w:szCs w:val="22"/>
            <w:lang w:val="fr-FR"/>
          </w:rPr>
          <w:t>BS-VI/3</w:t>
        </w:r>
      </w:hyperlink>
      <w:r w:rsidRPr="006D00FB">
        <w:rPr>
          <w:snapToGrid/>
          <w:kern w:val="22"/>
          <w:szCs w:val="22"/>
          <w:lang w:val="fr-FR"/>
        </w:rPr>
        <w:t xml:space="preserve"> et </w:t>
      </w:r>
      <w:hyperlink r:id="rId13" w:history="1">
        <w:r w:rsidRPr="006D00FB">
          <w:rPr>
            <w:rStyle w:val="Hyperlink"/>
            <w:snapToGrid/>
            <w:kern w:val="22"/>
            <w:sz w:val="22"/>
            <w:szCs w:val="22"/>
            <w:lang w:val="fr-FR"/>
          </w:rPr>
          <w:t>CP-VIII/3</w:t>
        </w:r>
      </w:hyperlink>
      <w:r w:rsidRPr="006D00FB">
        <w:rPr>
          <w:snapToGrid/>
          <w:kern w:val="22"/>
          <w:szCs w:val="22"/>
          <w:lang w:val="fr-FR"/>
        </w:rPr>
        <w:t>,</w:t>
      </w:r>
    </w:p>
    <w:p w14:paraId="2D27D052" w14:textId="72EBA10C" w:rsidR="006D00FB" w:rsidRPr="008A3B21" w:rsidRDefault="006D00FB" w:rsidP="006D00FB">
      <w:pPr>
        <w:pStyle w:val="Para1"/>
        <w:numPr>
          <w:ilvl w:val="0"/>
          <w:numId w:val="19"/>
        </w:numPr>
        <w:suppressLineNumbers/>
        <w:tabs>
          <w:tab w:val="clear" w:pos="1211"/>
          <w:tab w:val="num" w:pos="0"/>
        </w:tabs>
        <w:suppressAutoHyphens/>
        <w:kinsoku w:val="0"/>
        <w:overflowPunct w:val="0"/>
        <w:autoSpaceDE w:val="0"/>
        <w:autoSpaceDN w:val="0"/>
        <w:adjustRightInd w:val="0"/>
        <w:snapToGrid w:val="0"/>
        <w:ind w:left="0" w:firstLine="709"/>
        <w:rPr>
          <w:snapToGrid/>
          <w:kern w:val="22"/>
          <w:szCs w:val="22"/>
          <w:lang w:val="fr-FR"/>
        </w:rPr>
      </w:pPr>
      <w:r w:rsidRPr="008A3B21">
        <w:rPr>
          <w:i/>
          <w:kern w:val="22"/>
          <w:szCs w:val="22"/>
          <w:lang w:val="fr-FR"/>
        </w:rPr>
        <w:t>Prend note</w:t>
      </w:r>
      <w:r w:rsidRPr="008A3B21">
        <w:rPr>
          <w:kern w:val="22"/>
          <w:szCs w:val="22"/>
          <w:lang w:val="fr-FR"/>
        </w:rPr>
        <w:t xml:space="preserve"> du rapport d'activité sur la mise en œuvre du plan d'action à court terme (2017-2020) pour améliorer et appuyer le renfo</w:t>
      </w:r>
      <w:r>
        <w:rPr>
          <w:kern w:val="22"/>
          <w:szCs w:val="22"/>
          <w:lang w:val="fr-FR"/>
        </w:rPr>
        <w:t xml:space="preserve">rcement des capacités en vue </w:t>
      </w:r>
      <w:r w:rsidRPr="008A3B21">
        <w:rPr>
          <w:kern w:val="22"/>
          <w:szCs w:val="22"/>
          <w:lang w:val="fr-FR"/>
        </w:rPr>
        <w:t xml:space="preserve">de l’application de la </w:t>
      </w:r>
      <w:r w:rsidR="00854769">
        <w:rPr>
          <w:kern w:val="22"/>
          <w:szCs w:val="22"/>
          <w:lang w:val="fr-FR"/>
        </w:rPr>
        <w:t>Convention et de ses P</w:t>
      </w:r>
      <w:r w:rsidRPr="008A3B21">
        <w:rPr>
          <w:kern w:val="22"/>
          <w:szCs w:val="22"/>
          <w:lang w:val="fr-FR"/>
        </w:rPr>
        <w:t>rotocoles</w:t>
      </w:r>
      <w:r w:rsidRPr="00875FEB">
        <w:rPr>
          <w:rStyle w:val="StyleFootnoteReferencenumberFootnoteReferenceSuperscript-EF"/>
          <w:snapToGrid/>
          <w:szCs w:val="22"/>
        </w:rPr>
        <w:footnoteReference w:id="1"/>
      </w:r>
      <w:r w:rsidR="005A562A">
        <w:rPr>
          <w:kern w:val="22"/>
          <w:szCs w:val="22"/>
          <w:lang w:val="fr-FR"/>
        </w:rPr>
        <w:t>;</w:t>
      </w:r>
    </w:p>
    <w:p w14:paraId="6B6FAAB6" w14:textId="548E4E0E" w:rsidR="006D00FB" w:rsidRPr="00D2711C" w:rsidRDefault="006D00FB" w:rsidP="00A928C4">
      <w:pPr>
        <w:pStyle w:val="Para1"/>
        <w:numPr>
          <w:ilvl w:val="0"/>
          <w:numId w:val="2"/>
        </w:numPr>
        <w:suppressLineNumbers/>
        <w:tabs>
          <w:tab w:val="clear" w:pos="1211"/>
          <w:tab w:val="num" w:pos="360"/>
        </w:tabs>
        <w:suppressAutoHyphens/>
        <w:kinsoku w:val="0"/>
        <w:overflowPunct w:val="0"/>
        <w:autoSpaceDE w:val="0"/>
        <w:autoSpaceDN w:val="0"/>
        <w:adjustRightInd w:val="0"/>
        <w:snapToGrid w:val="0"/>
        <w:ind w:left="0" w:firstLine="720"/>
        <w:rPr>
          <w:snapToGrid/>
          <w:kern w:val="22"/>
          <w:szCs w:val="22"/>
          <w:lang w:val="fr-FR"/>
        </w:rPr>
      </w:pPr>
      <w:r w:rsidRPr="00D2711C">
        <w:rPr>
          <w:i/>
          <w:snapToGrid/>
          <w:kern w:val="22"/>
          <w:szCs w:val="22"/>
          <w:lang w:val="fr-FR"/>
        </w:rPr>
        <w:t>Pre</w:t>
      </w:r>
      <w:bookmarkStart w:id="3" w:name="_GoBack"/>
      <w:bookmarkEnd w:id="3"/>
      <w:r w:rsidRPr="00D2711C">
        <w:rPr>
          <w:i/>
          <w:snapToGrid/>
          <w:kern w:val="22"/>
          <w:szCs w:val="22"/>
          <w:lang w:val="fr-FR"/>
        </w:rPr>
        <w:t>nd note également</w:t>
      </w:r>
      <w:r>
        <w:rPr>
          <w:snapToGrid/>
          <w:kern w:val="22"/>
          <w:szCs w:val="22"/>
          <w:lang w:val="fr-FR"/>
        </w:rPr>
        <w:t xml:space="preserve"> des progrès accomplis dans la mise en œuvre du Cadre et P</w:t>
      </w:r>
      <w:r w:rsidRPr="00D2711C">
        <w:rPr>
          <w:snapToGrid/>
          <w:kern w:val="22"/>
          <w:szCs w:val="22"/>
          <w:lang w:val="fr-FR"/>
        </w:rPr>
        <w:t xml:space="preserve">lan d’action </w:t>
      </w:r>
      <w:r>
        <w:rPr>
          <w:snapToGrid/>
          <w:kern w:val="22"/>
          <w:szCs w:val="22"/>
          <w:lang w:val="fr-FR"/>
        </w:rPr>
        <w:t xml:space="preserve">pour le renforcement des capacités en vue de l’application effective du </w:t>
      </w:r>
      <w:r w:rsidRPr="00D2711C">
        <w:rPr>
          <w:kern w:val="22"/>
          <w:szCs w:val="22"/>
          <w:lang w:val="fr-FR" w:eastAsia="x-none"/>
        </w:rPr>
        <w:t>Protocole de Cartagena sur la prévention des risques biotechnologiques</w:t>
      </w:r>
      <w:r w:rsidR="005A562A">
        <w:rPr>
          <w:kern w:val="22"/>
          <w:szCs w:val="22"/>
          <w:lang w:val="fr-FR" w:eastAsia="x-none"/>
        </w:rPr>
        <w:t xml:space="preserve"> (2012-2020)</w:t>
      </w:r>
      <w:r w:rsidR="00022657">
        <w:rPr>
          <w:rStyle w:val="FootnoteReference"/>
          <w:kern w:val="22"/>
          <w:szCs w:val="22"/>
          <w:lang w:val="fr-FR" w:eastAsia="x-none"/>
        </w:rPr>
        <w:footnoteReference w:id="2"/>
      </w:r>
      <w:r w:rsidR="005A562A">
        <w:rPr>
          <w:kern w:val="22"/>
          <w:szCs w:val="22"/>
          <w:lang w:val="fr-FR" w:eastAsia="x-none"/>
        </w:rPr>
        <w:t>;</w:t>
      </w:r>
    </w:p>
    <w:p w14:paraId="35F4E88D" w14:textId="51CC62D2" w:rsidR="006D00FB" w:rsidRPr="00D2711C" w:rsidRDefault="006D00FB" w:rsidP="00A928C4">
      <w:pPr>
        <w:pStyle w:val="Para1"/>
        <w:numPr>
          <w:ilvl w:val="0"/>
          <w:numId w:val="2"/>
        </w:numPr>
        <w:suppressLineNumbers/>
        <w:tabs>
          <w:tab w:val="clear" w:pos="1211"/>
          <w:tab w:val="num" w:pos="360"/>
        </w:tabs>
        <w:suppressAutoHyphens/>
        <w:kinsoku w:val="0"/>
        <w:overflowPunct w:val="0"/>
        <w:autoSpaceDE w:val="0"/>
        <w:autoSpaceDN w:val="0"/>
        <w:adjustRightInd w:val="0"/>
        <w:snapToGrid w:val="0"/>
        <w:ind w:left="0" w:firstLine="720"/>
        <w:rPr>
          <w:snapToGrid/>
          <w:kern w:val="22"/>
          <w:szCs w:val="22"/>
          <w:lang w:val="fr-FR"/>
        </w:rPr>
      </w:pPr>
      <w:r w:rsidRPr="00D2711C">
        <w:rPr>
          <w:i/>
          <w:kern w:val="22"/>
          <w:lang w:val="fr-FR"/>
        </w:rPr>
        <w:t xml:space="preserve">Prie instamment </w:t>
      </w:r>
      <w:r w:rsidRPr="00D2711C">
        <w:rPr>
          <w:kern w:val="22"/>
          <w:lang w:val="fr-FR"/>
        </w:rPr>
        <w:t xml:space="preserve">les Parties, </w:t>
      </w:r>
      <w:r>
        <w:rPr>
          <w:kern w:val="22"/>
          <w:lang w:val="fr-FR"/>
        </w:rPr>
        <w:t>pendant le reste</w:t>
      </w:r>
      <w:r w:rsidRPr="00D2711C">
        <w:rPr>
          <w:kern w:val="22"/>
          <w:lang w:val="fr-FR"/>
        </w:rPr>
        <w:t xml:space="preserve"> de la pé</w:t>
      </w:r>
      <w:r>
        <w:rPr>
          <w:kern w:val="22"/>
          <w:lang w:val="fr-FR"/>
        </w:rPr>
        <w:t>riode couverte par le Cadre et P</w:t>
      </w:r>
      <w:r w:rsidRPr="00D2711C">
        <w:rPr>
          <w:kern w:val="22"/>
          <w:lang w:val="fr-FR"/>
        </w:rPr>
        <w:t>lan d’action, d’accorder un</w:t>
      </w:r>
      <w:r>
        <w:rPr>
          <w:kern w:val="22"/>
          <w:lang w:val="fr-FR"/>
        </w:rPr>
        <w:t xml:space="preserve">e priorité et de cibler, selon qu’il convient, </w:t>
      </w:r>
      <w:r w:rsidRPr="00D2711C">
        <w:rPr>
          <w:kern w:val="22"/>
          <w:lang w:val="fr-FR"/>
        </w:rPr>
        <w:t>les objectifs o</w:t>
      </w:r>
      <w:r>
        <w:rPr>
          <w:kern w:val="22"/>
          <w:lang w:val="fr-FR"/>
        </w:rPr>
        <w:t>pérationnels relatifs à</w:t>
      </w:r>
      <w:r w:rsidRPr="00D2711C">
        <w:rPr>
          <w:kern w:val="22"/>
          <w:lang w:val="fr-FR"/>
        </w:rPr>
        <w:t xml:space="preserve"> l’élaboration d’une législation</w:t>
      </w:r>
      <w:r>
        <w:rPr>
          <w:kern w:val="22"/>
          <w:lang w:val="fr-FR"/>
        </w:rPr>
        <w:t xml:space="preserve"> </w:t>
      </w:r>
      <w:r w:rsidRPr="00D2711C">
        <w:rPr>
          <w:kern w:val="22"/>
          <w:lang w:val="fr-FR"/>
        </w:rPr>
        <w:t>national</w:t>
      </w:r>
      <w:r>
        <w:rPr>
          <w:kern w:val="22"/>
          <w:lang w:val="fr-FR"/>
        </w:rPr>
        <w:t>e sur la prévention des risques biotechnologiques, l’évaluation des risques</w:t>
      </w:r>
      <w:r w:rsidRPr="00D2711C">
        <w:rPr>
          <w:kern w:val="22"/>
          <w:lang w:val="fr-FR"/>
        </w:rPr>
        <w:t xml:space="preserve">, </w:t>
      </w:r>
      <w:r>
        <w:rPr>
          <w:kern w:val="22"/>
          <w:lang w:val="fr-FR"/>
        </w:rPr>
        <w:t>la détection et l’</w:t>
      </w:r>
      <w:r w:rsidRPr="00D2711C">
        <w:rPr>
          <w:kern w:val="22"/>
          <w:lang w:val="fr-FR"/>
        </w:rPr>
        <w:t xml:space="preserve">identification </w:t>
      </w:r>
      <w:r>
        <w:rPr>
          <w:kern w:val="22"/>
          <w:lang w:val="fr-FR"/>
        </w:rPr>
        <w:t xml:space="preserve">des organismes vivants modifiés, et la sensibilisation, l’éducation et la </w:t>
      </w:r>
      <w:r w:rsidRPr="00D2711C">
        <w:rPr>
          <w:kern w:val="22"/>
          <w:lang w:val="fr-FR"/>
        </w:rPr>
        <w:t>participation</w:t>
      </w:r>
      <w:r>
        <w:rPr>
          <w:kern w:val="22"/>
          <w:lang w:val="fr-FR"/>
        </w:rPr>
        <w:t xml:space="preserve"> du public, et</w:t>
      </w:r>
      <w:r w:rsidRPr="00D2711C">
        <w:rPr>
          <w:kern w:val="22"/>
          <w:lang w:val="fr-FR"/>
        </w:rPr>
        <w:t xml:space="preserve"> </w:t>
      </w:r>
      <w:r>
        <w:rPr>
          <w:i/>
          <w:kern w:val="22"/>
          <w:lang w:val="fr-FR"/>
        </w:rPr>
        <w:t>prend</w:t>
      </w:r>
      <w:r w:rsidRPr="00D2711C">
        <w:rPr>
          <w:i/>
          <w:kern w:val="22"/>
          <w:lang w:val="fr-FR"/>
        </w:rPr>
        <w:t xml:space="preserve"> note</w:t>
      </w:r>
      <w:r>
        <w:rPr>
          <w:kern w:val="22"/>
          <w:lang w:val="fr-FR"/>
        </w:rPr>
        <w:t xml:space="preserve"> de l’</w:t>
      </w:r>
      <w:r w:rsidRPr="00D2711C">
        <w:rPr>
          <w:kern w:val="22"/>
          <w:lang w:val="fr-FR"/>
        </w:rPr>
        <w:t xml:space="preserve">importance </w:t>
      </w:r>
      <w:r w:rsidR="00854769">
        <w:rPr>
          <w:kern w:val="22"/>
          <w:lang w:val="fr-FR"/>
        </w:rPr>
        <w:t>de l’</w:t>
      </w:r>
      <w:r>
        <w:rPr>
          <w:kern w:val="22"/>
          <w:lang w:val="fr-FR"/>
        </w:rPr>
        <w:t>intégration de la prévention des risques biotechnologiques et du partage</w:t>
      </w:r>
      <w:r w:rsidRPr="00D2711C">
        <w:rPr>
          <w:kern w:val="22"/>
          <w:lang w:val="fr-FR"/>
        </w:rPr>
        <w:t xml:space="preserve"> </w:t>
      </w:r>
      <w:r>
        <w:rPr>
          <w:kern w:val="22"/>
          <w:lang w:val="fr-FR"/>
        </w:rPr>
        <w:t>d’</w:t>
      </w:r>
      <w:r w:rsidRPr="00D2711C">
        <w:rPr>
          <w:kern w:val="22"/>
          <w:lang w:val="fr-FR"/>
        </w:rPr>
        <w:t>information</w:t>
      </w:r>
      <w:r w:rsidR="00854769">
        <w:rPr>
          <w:kern w:val="22"/>
          <w:lang w:val="fr-FR"/>
        </w:rPr>
        <w:t>s</w:t>
      </w:r>
      <w:r>
        <w:rPr>
          <w:kern w:val="22"/>
          <w:lang w:val="fr-FR"/>
        </w:rPr>
        <w:t xml:space="preserve"> et d’expérience</w:t>
      </w:r>
      <w:r w:rsidR="00854769">
        <w:rPr>
          <w:kern w:val="22"/>
          <w:lang w:val="fr-FR"/>
        </w:rPr>
        <w:t>s</w:t>
      </w:r>
      <w:r w:rsidRPr="00D2711C">
        <w:rPr>
          <w:kern w:val="22"/>
          <w:lang w:val="fr-FR"/>
        </w:rPr>
        <w:t xml:space="preserve"> </w:t>
      </w:r>
      <w:r>
        <w:rPr>
          <w:kern w:val="22"/>
          <w:lang w:val="fr-FR"/>
        </w:rPr>
        <w:t>afin d’améliorer d</w:t>
      </w:r>
      <w:r w:rsidR="00854769">
        <w:rPr>
          <w:kern w:val="22"/>
          <w:lang w:val="fr-FR"/>
        </w:rPr>
        <w:t>avantage les cadres nationaux sur la</w:t>
      </w:r>
      <w:r>
        <w:rPr>
          <w:kern w:val="22"/>
          <w:lang w:val="fr-FR"/>
        </w:rPr>
        <w:t xml:space="preserve"> prévention des risques biotechnologiques</w:t>
      </w:r>
      <w:r w:rsidRPr="00D2711C">
        <w:rPr>
          <w:kern w:val="22"/>
          <w:lang w:val="fr-FR"/>
        </w:rPr>
        <w:t xml:space="preserve"> </w:t>
      </w:r>
      <w:r>
        <w:rPr>
          <w:kern w:val="22"/>
          <w:lang w:val="fr-FR"/>
        </w:rPr>
        <w:t>pendant le reste de la période couverte par le Cadre et Plan d’action et par la suite</w:t>
      </w:r>
      <w:r w:rsidR="005A562A">
        <w:rPr>
          <w:kern w:val="22"/>
          <w:lang w:val="fr-FR"/>
        </w:rPr>
        <w:t>;</w:t>
      </w:r>
    </w:p>
    <w:p w14:paraId="0F8A3A60" w14:textId="1BE74D64" w:rsidR="006D00FB" w:rsidRPr="00D2711C" w:rsidRDefault="006D00FB" w:rsidP="00A928C4">
      <w:pPr>
        <w:pStyle w:val="Para1"/>
        <w:numPr>
          <w:ilvl w:val="0"/>
          <w:numId w:val="2"/>
        </w:numPr>
        <w:suppressLineNumbers/>
        <w:tabs>
          <w:tab w:val="clear" w:pos="1211"/>
          <w:tab w:val="num" w:pos="360"/>
        </w:tabs>
        <w:suppressAutoHyphens/>
        <w:kinsoku w:val="0"/>
        <w:overflowPunct w:val="0"/>
        <w:autoSpaceDE w:val="0"/>
        <w:autoSpaceDN w:val="0"/>
        <w:adjustRightInd w:val="0"/>
        <w:snapToGrid w:val="0"/>
        <w:ind w:left="0" w:firstLine="720"/>
        <w:rPr>
          <w:kern w:val="22"/>
          <w:lang w:val="fr-FR"/>
        </w:rPr>
      </w:pPr>
      <w:r w:rsidRPr="00D2711C">
        <w:rPr>
          <w:i/>
          <w:kern w:val="22"/>
          <w:lang w:val="fr-FR"/>
        </w:rPr>
        <w:t>Prie instamment également</w:t>
      </w:r>
      <w:r w:rsidRPr="00D2711C">
        <w:rPr>
          <w:kern w:val="22"/>
          <w:lang w:val="fr-FR"/>
        </w:rPr>
        <w:t xml:space="preserve"> les Parties d’accorder une priorité</w:t>
      </w:r>
      <w:r>
        <w:rPr>
          <w:kern w:val="22"/>
          <w:lang w:val="fr-FR"/>
        </w:rPr>
        <w:t>, selon qu’il convient,</w:t>
      </w:r>
      <w:r w:rsidRPr="00D2711C">
        <w:rPr>
          <w:kern w:val="22"/>
          <w:lang w:val="fr-FR"/>
        </w:rPr>
        <w:t xml:space="preserve"> aux activités de </w:t>
      </w:r>
      <w:r>
        <w:rPr>
          <w:kern w:val="22"/>
          <w:lang w:val="fr-FR"/>
        </w:rPr>
        <w:t>renforcement des capacités en matière de responsabilité et de</w:t>
      </w:r>
      <w:r w:rsidRPr="00D2711C">
        <w:rPr>
          <w:kern w:val="22"/>
          <w:lang w:val="fr-FR"/>
        </w:rPr>
        <w:t xml:space="preserve"> </w:t>
      </w:r>
      <w:r>
        <w:rPr>
          <w:kern w:val="22"/>
          <w:lang w:val="fr-FR"/>
        </w:rPr>
        <w:t>ré</w:t>
      </w:r>
      <w:r w:rsidRPr="00D2711C">
        <w:rPr>
          <w:kern w:val="22"/>
          <w:lang w:val="fr-FR"/>
        </w:rPr>
        <w:t>paration, tell</w:t>
      </w:r>
      <w:r>
        <w:rPr>
          <w:kern w:val="22"/>
          <w:lang w:val="fr-FR"/>
        </w:rPr>
        <w:t>e</w:t>
      </w:r>
      <w:r w:rsidRPr="00D2711C">
        <w:rPr>
          <w:kern w:val="22"/>
          <w:lang w:val="fr-FR"/>
        </w:rPr>
        <w:t>s qu’</w:t>
      </w:r>
      <w:r w:rsidR="00854769">
        <w:rPr>
          <w:kern w:val="22"/>
          <w:lang w:val="fr-FR"/>
        </w:rPr>
        <w:t>énonc</w:t>
      </w:r>
      <w:r w:rsidRPr="00D2711C">
        <w:rPr>
          <w:kern w:val="22"/>
          <w:lang w:val="fr-FR"/>
        </w:rPr>
        <w:t>ées dans le domaine d’</w:t>
      </w:r>
      <w:r>
        <w:rPr>
          <w:kern w:val="22"/>
          <w:lang w:val="fr-FR"/>
        </w:rPr>
        <w:t>intervention 4 du Cadre et P</w:t>
      </w:r>
      <w:r w:rsidRPr="00D2711C">
        <w:rPr>
          <w:kern w:val="22"/>
          <w:lang w:val="fr-FR"/>
        </w:rPr>
        <w:t>lan d’action, pendant le reste de la période couverte par le Cadre et Plan d’action, eu é</w:t>
      </w:r>
      <w:r>
        <w:rPr>
          <w:kern w:val="22"/>
          <w:lang w:val="fr-FR"/>
        </w:rPr>
        <w:t>gard à l’</w:t>
      </w:r>
      <w:r w:rsidRPr="00D2711C">
        <w:rPr>
          <w:kern w:val="22"/>
          <w:lang w:val="fr-FR"/>
        </w:rPr>
        <w:t xml:space="preserve">entrée en vigueur </w:t>
      </w:r>
      <w:r>
        <w:rPr>
          <w:kern w:val="22"/>
          <w:lang w:val="fr-FR"/>
        </w:rPr>
        <w:t xml:space="preserve">récente </w:t>
      </w:r>
      <w:r w:rsidRPr="00D2711C">
        <w:rPr>
          <w:kern w:val="22"/>
          <w:lang w:val="fr-FR"/>
        </w:rPr>
        <w:t xml:space="preserve">du Protocole additionnel </w:t>
      </w:r>
      <w:r>
        <w:rPr>
          <w:kern w:val="22"/>
          <w:lang w:val="fr-FR"/>
        </w:rPr>
        <w:t xml:space="preserve">de </w:t>
      </w:r>
      <w:r w:rsidRPr="00D2711C">
        <w:rPr>
          <w:kern w:val="22"/>
          <w:lang w:val="fr-FR"/>
        </w:rPr>
        <w:t xml:space="preserve">Nagoya – Kuala Lumpur </w:t>
      </w:r>
      <w:r>
        <w:rPr>
          <w:kern w:val="22"/>
          <w:lang w:val="fr-FR"/>
        </w:rPr>
        <w:t>sur la responsabilité et la réparation</w:t>
      </w:r>
      <w:r w:rsidR="005A562A">
        <w:rPr>
          <w:kern w:val="22"/>
          <w:lang w:val="fr-FR"/>
        </w:rPr>
        <w:t>;</w:t>
      </w:r>
    </w:p>
    <w:p w14:paraId="44EE1D7C" w14:textId="133D122E" w:rsidR="006D00FB" w:rsidRPr="00D2711C" w:rsidRDefault="006D00FB" w:rsidP="00A928C4">
      <w:pPr>
        <w:pStyle w:val="Para1"/>
        <w:numPr>
          <w:ilvl w:val="0"/>
          <w:numId w:val="2"/>
        </w:numPr>
        <w:suppressLineNumbers/>
        <w:tabs>
          <w:tab w:val="clear" w:pos="1211"/>
          <w:tab w:val="num" w:pos="360"/>
        </w:tabs>
        <w:suppressAutoHyphens/>
        <w:kinsoku w:val="0"/>
        <w:overflowPunct w:val="0"/>
        <w:autoSpaceDE w:val="0"/>
        <w:autoSpaceDN w:val="0"/>
        <w:adjustRightInd w:val="0"/>
        <w:snapToGrid w:val="0"/>
        <w:ind w:left="0" w:firstLine="720"/>
        <w:rPr>
          <w:kern w:val="22"/>
          <w:lang w:val="fr-FR"/>
        </w:rPr>
      </w:pPr>
      <w:r w:rsidRPr="00D2711C">
        <w:rPr>
          <w:i/>
          <w:kern w:val="22"/>
          <w:szCs w:val="22"/>
          <w:lang w:val="fr-FR"/>
        </w:rPr>
        <w:lastRenderedPageBreak/>
        <w:t xml:space="preserve">Invite </w:t>
      </w:r>
      <w:r w:rsidRPr="00D2711C">
        <w:rPr>
          <w:kern w:val="22"/>
          <w:szCs w:val="22"/>
          <w:lang w:val="fr-FR"/>
        </w:rPr>
        <w:t xml:space="preserve">les Parties, les autres gouvernements et les organisations compétentes qui </w:t>
      </w:r>
      <w:r>
        <w:rPr>
          <w:kern w:val="22"/>
          <w:szCs w:val="22"/>
          <w:lang w:val="fr-FR"/>
        </w:rPr>
        <w:t>son</w:t>
      </w:r>
      <w:r w:rsidRPr="00D2711C">
        <w:rPr>
          <w:kern w:val="22"/>
          <w:szCs w:val="22"/>
          <w:lang w:val="fr-FR"/>
        </w:rPr>
        <w:t>t</w:t>
      </w:r>
      <w:r>
        <w:rPr>
          <w:kern w:val="22"/>
          <w:szCs w:val="22"/>
          <w:lang w:val="fr-FR"/>
        </w:rPr>
        <w:t xml:space="preserve"> </w:t>
      </w:r>
      <w:r w:rsidRPr="00D2711C">
        <w:rPr>
          <w:kern w:val="22"/>
          <w:szCs w:val="22"/>
          <w:lang w:val="fr-FR"/>
        </w:rPr>
        <w:t>en mesure de le f</w:t>
      </w:r>
      <w:r>
        <w:rPr>
          <w:kern w:val="22"/>
          <w:szCs w:val="22"/>
          <w:lang w:val="fr-FR"/>
        </w:rPr>
        <w:t>aire à</w:t>
      </w:r>
      <w:r w:rsidRPr="00D2711C">
        <w:rPr>
          <w:kern w:val="22"/>
          <w:szCs w:val="22"/>
          <w:lang w:val="fr-FR"/>
        </w:rPr>
        <w:t xml:space="preserve"> fournir une assi</w:t>
      </w:r>
      <w:r>
        <w:rPr>
          <w:kern w:val="22"/>
          <w:szCs w:val="22"/>
          <w:lang w:val="fr-FR"/>
        </w:rPr>
        <w:t>stance financière et technique supplémentaire</w:t>
      </w:r>
      <w:r w:rsidRPr="00D2711C">
        <w:rPr>
          <w:kern w:val="22"/>
          <w:szCs w:val="22"/>
          <w:lang w:val="fr-FR"/>
        </w:rPr>
        <w:t xml:space="preserve"> pour permettre aux pays en développement </w:t>
      </w:r>
      <w:r>
        <w:rPr>
          <w:kern w:val="22"/>
          <w:szCs w:val="22"/>
          <w:lang w:val="fr-FR"/>
        </w:rPr>
        <w:t>Parties, en particulie</w:t>
      </w:r>
      <w:r w:rsidRPr="00D2711C">
        <w:rPr>
          <w:kern w:val="22"/>
          <w:szCs w:val="22"/>
          <w:lang w:val="fr-FR"/>
        </w:rPr>
        <w:t>r</w:t>
      </w:r>
      <w:r>
        <w:rPr>
          <w:kern w:val="22"/>
          <w:szCs w:val="22"/>
          <w:lang w:val="fr-FR"/>
        </w:rPr>
        <w:t xml:space="preserve"> les pays les moins avancés et les petits Etats insulaires en développement parmi eux, et aux Parties à</w:t>
      </w:r>
      <w:r w:rsidRPr="00D2711C">
        <w:rPr>
          <w:kern w:val="22"/>
          <w:szCs w:val="22"/>
          <w:lang w:val="fr-FR"/>
        </w:rPr>
        <w:t xml:space="preserve"> </w:t>
      </w:r>
      <w:r>
        <w:rPr>
          <w:kern w:val="22"/>
          <w:szCs w:val="22"/>
          <w:lang w:val="fr-FR"/>
        </w:rPr>
        <w:t>économie e</w:t>
      </w:r>
      <w:r w:rsidRPr="00D2711C">
        <w:rPr>
          <w:kern w:val="22"/>
          <w:szCs w:val="22"/>
          <w:lang w:val="fr-FR"/>
        </w:rPr>
        <w:t xml:space="preserve">n transition, </w:t>
      </w:r>
      <w:r>
        <w:rPr>
          <w:kern w:val="22"/>
          <w:szCs w:val="22"/>
          <w:lang w:val="fr-FR"/>
        </w:rPr>
        <w:t>de mettre en œuvre plus avant le Cadre et Plan d’action</w:t>
      </w:r>
      <w:r w:rsidR="005A562A">
        <w:rPr>
          <w:kern w:val="22"/>
          <w:szCs w:val="22"/>
          <w:lang w:val="fr-FR"/>
        </w:rPr>
        <w:t> ;</w:t>
      </w:r>
    </w:p>
    <w:p w14:paraId="7DEE091E" w14:textId="770D7304" w:rsidR="006D00FB" w:rsidRPr="00172E35" w:rsidRDefault="006D00FB" w:rsidP="00A928C4">
      <w:pPr>
        <w:pStyle w:val="Para1"/>
        <w:numPr>
          <w:ilvl w:val="0"/>
          <w:numId w:val="2"/>
        </w:numPr>
        <w:suppressLineNumbers/>
        <w:tabs>
          <w:tab w:val="clear" w:pos="1211"/>
          <w:tab w:val="num" w:pos="360"/>
        </w:tabs>
        <w:suppressAutoHyphens/>
        <w:kinsoku w:val="0"/>
        <w:overflowPunct w:val="0"/>
        <w:autoSpaceDE w:val="0"/>
        <w:autoSpaceDN w:val="0"/>
        <w:adjustRightInd w:val="0"/>
        <w:snapToGrid w:val="0"/>
        <w:ind w:left="0" w:firstLine="720"/>
        <w:rPr>
          <w:snapToGrid/>
          <w:kern w:val="22"/>
          <w:szCs w:val="22"/>
          <w:lang w:val="fr-FR"/>
        </w:rPr>
      </w:pPr>
      <w:r w:rsidRPr="00172E35">
        <w:rPr>
          <w:i/>
          <w:snapToGrid/>
          <w:kern w:val="22"/>
          <w:szCs w:val="22"/>
          <w:lang w:val="fr-FR"/>
        </w:rPr>
        <w:t>Prend note</w:t>
      </w:r>
      <w:r w:rsidRPr="00172E35">
        <w:rPr>
          <w:snapToGrid/>
          <w:kern w:val="22"/>
          <w:szCs w:val="22"/>
          <w:lang w:val="fr-FR"/>
        </w:rPr>
        <w:t xml:space="preserve"> des résultats de la douzième réunion du Groupe de liaison sur le renforcement des capacités pour la prévention des risques biotechnologiques,</w:t>
      </w:r>
      <w:r w:rsidR="003E54B9">
        <w:rPr>
          <w:i/>
          <w:snapToGrid/>
          <w:kern w:val="22"/>
          <w:szCs w:val="22"/>
          <w:lang w:val="fr-FR"/>
        </w:rPr>
        <w:t xml:space="preserve"> reconnaît</w:t>
      </w:r>
      <w:r w:rsidRPr="00172E35">
        <w:rPr>
          <w:snapToGrid/>
          <w:kern w:val="22"/>
          <w:szCs w:val="22"/>
          <w:lang w:val="fr-FR"/>
        </w:rPr>
        <w:t xml:space="preserve"> la nécessité d’élaborer un plan d’action spécifique pour le renforcement des capacités en vue de l’application du </w:t>
      </w:r>
      <w:r w:rsidRPr="00172E35">
        <w:rPr>
          <w:kern w:val="22"/>
          <w:lang w:val="fr-FR"/>
        </w:rPr>
        <w:t xml:space="preserve">Protocole de Cartagena et de son Protocole additionnel, </w:t>
      </w:r>
      <w:r>
        <w:rPr>
          <w:kern w:val="22"/>
          <w:lang w:val="fr-FR"/>
        </w:rPr>
        <w:t xml:space="preserve">qui soit </w:t>
      </w:r>
      <w:r w:rsidRPr="00172E35">
        <w:rPr>
          <w:kern w:val="22"/>
          <w:lang w:val="fr-FR"/>
        </w:rPr>
        <w:t>compatible avec le texte qui donnera suite au Plan stratégique du Protocole de Cartagena sur la prévention des risques biotechnologiques</w:t>
      </w:r>
      <w:r w:rsidR="00D82EE9">
        <w:rPr>
          <w:kern w:val="22"/>
          <w:lang w:val="fr-FR"/>
        </w:rPr>
        <w:t>, et complémentaire du</w:t>
      </w:r>
      <w:r>
        <w:rPr>
          <w:kern w:val="22"/>
          <w:lang w:val="fr-FR"/>
        </w:rPr>
        <w:t xml:space="preserve"> cadre stratégique à long terme pour le renfor</w:t>
      </w:r>
      <w:r w:rsidR="00D82EE9">
        <w:rPr>
          <w:kern w:val="22"/>
          <w:lang w:val="fr-FR"/>
        </w:rPr>
        <w:t xml:space="preserve">cement des capacités après </w:t>
      </w:r>
      <w:r w:rsidRPr="00172E35">
        <w:rPr>
          <w:snapToGrid/>
          <w:kern w:val="22"/>
          <w:szCs w:val="22"/>
          <w:lang w:val="fr-FR"/>
        </w:rPr>
        <w:t>2020</w:t>
      </w:r>
      <w:r w:rsidR="00D82EE9">
        <w:rPr>
          <w:snapToGrid/>
          <w:kern w:val="22"/>
          <w:szCs w:val="22"/>
          <w:lang w:val="fr-FR"/>
        </w:rPr>
        <w:t>,</w:t>
      </w:r>
      <w:r>
        <w:rPr>
          <w:kern w:val="22"/>
          <w:lang w:val="fr-FR"/>
        </w:rPr>
        <w:t xml:space="preserve"> et </w:t>
      </w:r>
      <w:r>
        <w:rPr>
          <w:i/>
          <w:kern w:val="22"/>
          <w:lang w:val="fr-FR"/>
        </w:rPr>
        <w:t>accueille</w:t>
      </w:r>
      <w:r>
        <w:rPr>
          <w:kern w:val="22"/>
          <w:lang w:val="fr-FR"/>
        </w:rPr>
        <w:t xml:space="preserve"> </w:t>
      </w:r>
      <w:r w:rsidRPr="00D82EE9">
        <w:rPr>
          <w:i/>
          <w:kern w:val="22"/>
          <w:lang w:val="fr-FR"/>
        </w:rPr>
        <w:t>avec satisfaction</w:t>
      </w:r>
      <w:r>
        <w:rPr>
          <w:kern w:val="22"/>
          <w:lang w:val="fr-FR"/>
        </w:rPr>
        <w:t xml:space="preserve"> le calen</w:t>
      </w:r>
      <w:r w:rsidR="00D82EE9">
        <w:rPr>
          <w:kern w:val="22"/>
          <w:lang w:val="fr-FR"/>
        </w:rPr>
        <w:t>drier indicatif des activités concernant l’</w:t>
      </w:r>
      <w:r>
        <w:rPr>
          <w:kern w:val="22"/>
          <w:lang w:val="fr-FR"/>
        </w:rPr>
        <w:t>élaboration du plan d’action spécifique</w:t>
      </w:r>
      <w:r w:rsidR="00D82EE9">
        <w:rPr>
          <w:kern w:val="22"/>
          <w:lang w:val="fr-FR"/>
        </w:rPr>
        <w:t>,</w:t>
      </w:r>
      <w:r>
        <w:rPr>
          <w:kern w:val="22"/>
          <w:lang w:val="fr-FR"/>
        </w:rPr>
        <w:t xml:space="preserve"> qui figure à l</w:t>
      </w:r>
      <w:r w:rsidR="00D82EE9">
        <w:rPr>
          <w:kern w:val="22"/>
          <w:lang w:val="fr-FR"/>
        </w:rPr>
        <w:t>’annexe de la présente décision</w:t>
      </w:r>
      <w:r>
        <w:rPr>
          <w:kern w:val="22"/>
          <w:lang w:val="fr-FR"/>
        </w:rPr>
        <w:t>;</w:t>
      </w:r>
    </w:p>
    <w:p w14:paraId="2FE0B365" w14:textId="19104DFC" w:rsidR="006D00FB" w:rsidRPr="00BB71A9" w:rsidRDefault="006D00FB" w:rsidP="006D00FB">
      <w:pPr>
        <w:pStyle w:val="Para1"/>
        <w:numPr>
          <w:ilvl w:val="0"/>
          <w:numId w:val="2"/>
        </w:numPr>
        <w:suppressLineNumbers/>
        <w:tabs>
          <w:tab w:val="clear" w:pos="1211"/>
          <w:tab w:val="num" w:pos="360"/>
        </w:tabs>
        <w:suppressAutoHyphens/>
        <w:kinsoku w:val="0"/>
        <w:overflowPunct w:val="0"/>
        <w:autoSpaceDE w:val="0"/>
        <w:autoSpaceDN w:val="0"/>
        <w:adjustRightInd w:val="0"/>
        <w:snapToGrid w:val="0"/>
        <w:ind w:left="0" w:firstLine="720"/>
        <w:rPr>
          <w:snapToGrid/>
          <w:kern w:val="22"/>
          <w:szCs w:val="22"/>
          <w:lang w:val="fr-FR"/>
        </w:rPr>
      </w:pPr>
      <w:r w:rsidRPr="00BB71A9">
        <w:rPr>
          <w:i/>
          <w:kern w:val="22"/>
          <w:lang w:val="fr-FR"/>
        </w:rPr>
        <w:t xml:space="preserve">Prend </w:t>
      </w:r>
      <w:r w:rsidRPr="00BB71A9">
        <w:rPr>
          <w:i/>
          <w:iCs/>
          <w:kern w:val="22"/>
          <w:lang w:val="fr-FR"/>
        </w:rPr>
        <w:t>note</w:t>
      </w:r>
      <w:r w:rsidR="00022657">
        <w:rPr>
          <w:kern w:val="22"/>
          <w:lang w:val="fr-FR"/>
        </w:rPr>
        <w:t xml:space="preserve"> de la décision 14/24</w:t>
      </w:r>
      <w:r w:rsidR="003E54B9">
        <w:rPr>
          <w:kern w:val="22"/>
          <w:lang w:val="fr-FR"/>
        </w:rPr>
        <w:t>,</w:t>
      </w:r>
      <w:r w:rsidRPr="00BB71A9">
        <w:rPr>
          <w:kern w:val="22"/>
          <w:lang w:val="fr-FR"/>
        </w:rPr>
        <w:t xml:space="preserve"> dans laquelle la Conférence des Parties </w:t>
      </w:r>
      <w:r w:rsidR="003E54B9">
        <w:rPr>
          <w:kern w:val="22"/>
          <w:lang w:val="fr-FR"/>
        </w:rPr>
        <w:t xml:space="preserve">a </w:t>
      </w:r>
      <w:r w:rsidRPr="00BB71A9">
        <w:rPr>
          <w:snapToGrid/>
          <w:kern w:val="20"/>
          <w:szCs w:val="22"/>
          <w:lang w:val="fr-FR"/>
        </w:rPr>
        <w:t>demandé à la Secrétaire exécutive de commander une étude, dans la limite d</w:t>
      </w:r>
      <w:r w:rsidR="00D82EE9">
        <w:rPr>
          <w:snapToGrid/>
          <w:kern w:val="20"/>
          <w:szCs w:val="22"/>
          <w:lang w:val="fr-FR"/>
        </w:rPr>
        <w:t xml:space="preserve">es ressources disponibles, en vue de </w:t>
      </w:r>
      <w:r w:rsidRPr="00BB71A9">
        <w:rPr>
          <w:snapToGrid/>
          <w:kern w:val="20"/>
          <w:szCs w:val="22"/>
          <w:lang w:val="fr-FR"/>
        </w:rPr>
        <w:t xml:space="preserve">fournir une base d’information pour l’élaboration d’un cadre stratégique à long terme pour le renforcement des capacités après 2020, </w:t>
      </w:r>
      <w:r w:rsidRPr="00D82EE9">
        <w:rPr>
          <w:i/>
          <w:snapToGrid/>
          <w:kern w:val="20"/>
          <w:szCs w:val="22"/>
          <w:lang w:val="fr-FR"/>
        </w:rPr>
        <w:t>accueille favorablement</w:t>
      </w:r>
      <w:r w:rsidRPr="00BB71A9">
        <w:rPr>
          <w:snapToGrid/>
          <w:kern w:val="20"/>
          <w:szCs w:val="22"/>
          <w:lang w:val="fr-FR"/>
        </w:rPr>
        <w:t xml:space="preserve"> le mandat pour cette étude qui figure dans l’annexe à cette </w:t>
      </w:r>
      <w:r>
        <w:rPr>
          <w:snapToGrid/>
          <w:kern w:val="20"/>
          <w:szCs w:val="22"/>
          <w:lang w:val="fr-FR"/>
        </w:rPr>
        <w:t>dé</w:t>
      </w:r>
      <w:r w:rsidRPr="00BB71A9">
        <w:rPr>
          <w:snapToGrid/>
          <w:kern w:val="20"/>
          <w:szCs w:val="22"/>
          <w:lang w:val="fr-FR"/>
        </w:rPr>
        <w:t xml:space="preserve">cision, et </w:t>
      </w:r>
      <w:r w:rsidRPr="00BB71A9">
        <w:rPr>
          <w:i/>
          <w:snapToGrid/>
          <w:kern w:val="20"/>
          <w:szCs w:val="22"/>
          <w:lang w:val="fr-FR"/>
        </w:rPr>
        <w:t>demande</w:t>
      </w:r>
      <w:r w:rsidR="00D82EE9">
        <w:rPr>
          <w:snapToGrid/>
          <w:kern w:val="20"/>
          <w:szCs w:val="22"/>
          <w:lang w:val="fr-FR"/>
        </w:rPr>
        <w:t xml:space="preserve"> que les aspects relatifs au </w:t>
      </w:r>
      <w:r w:rsidRPr="00BB71A9">
        <w:rPr>
          <w:snapToGrid/>
          <w:kern w:val="20"/>
          <w:szCs w:val="22"/>
          <w:lang w:val="fr-FR"/>
        </w:rPr>
        <w:t>Protocole de Cartagena soient examinés dans cette étude</w:t>
      </w:r>
      <w:r w:rsidR="005A562A">
        <w:rPr>
          <w:kern w:val="22"/>
          <w:lang w:val="fr-FR"/>
        </w:rPr>
        <w:t>;</w:t>
      </w:r>
    </w:p>
    <w:p w14:paraId="5A4EE7F5" w14:textId="0CD2E3FE" w:rsidR="006D00FB" w:rsidRPr="00BB71A9" w:rsidRDefault="006D00FB" w:rsidP="005A562A">
      <w:pPr>
        <w:pStyle w:val="Para1"/>
        <w:numPr>
          <w:ilvl w:val="0"/>
          <w:numId w:val="2"/>
        </w:numPr>
        <w:suppressLineNumbers/>
        <w:tabs>
          <w:tab w:val="clear" w:pos="1211"/>
        </w:tabs>
        <w:suppressAutoHyphens/>
        <w:kinsoku w:val="0"/>
        <w:overflowPunct w:val="0"/>
        <w:autoSpaceDE w:val="0"/>
        <w:autoSpaceDN w:val="0"/>
        <w:adjustRightInd w:val="0"/>
        <w:snapToGrid w:val="0"/>
        <w:ind w:left="0" w:firstLine="720"/>
        <w:rPr>
          <w:snapToGrid/>
          <w:kern w:val="22"/>
          <w:szCs w:val="22"/>
          <w:lang w:val="fr-FR"/>
        </w:rPr>
      </w:pPr>
      <w:r w:rsidRPr="00BB71A9">
        <w:rPr>
          <w:i/>
          <w:snapToGrid/>
          <w:kern w:val="20"/>
          <w:szCs w:val="22"/>
          <w:lang w:val="fr-FR"/>
        </w:rPr>
        <w:t>Invite</w:t>
      </w:r>
      <w:r w:rsidRPr="00BB71A9">
        <w:rPr>
          <w:snapToGrid/>
          <w:kern w:val="20"/>
          <w:szCs w:val="22"/>
          <w:lang w:val="fr-FR"/>
        </w:rPr>
        <w:t xml:space="preserve"> les Parties, les peuples autochtones et communautés locales et les organisations compétentes à communiquer à la Secrétaire exécutive leurs observations et leurs propositions sur les éléments éventuels </w:t>
      </w:r>
      <w:r w:rsidR="00A928C4">
        <w:rPr>
          <w:snapToGrid/>
          <w:kern w:val="22"/>
          <w:szCs w:val="22"/>
          <w:lang w:val="fr-FR"/>
        </w:rPr>
        <w:t>du</w:t>
      </w:r>
      <w:r w:rsidR="0033073E">
        <w:rPr>
          <w:snapToGrid/>
          <w:kern w:val="22"/>
          <w:szCs w:val="22"/>
          <w:lang w:val="fr-FR"/>
        </w:rPr>
        <w:t xml:space="preserve"> cadre stratégique</w:t>
      </w:r>
      <w:r w:rsidRPr="00BB71A9">
        <w:rPr>
          <w:kern w:val="22"/>
          <w:lang w:val="fr-FR"/>
        </w:rPr>
        <w:t xml:space="preserve"> </w:t>
      </w:r>
      <w:r w:rsidR="00A928C4">
        <w:rPr>
          <w:kern w:val="22"/>
          <w:lang w:val="fr-FR"/>
        </w:rPr>
        <w:t xml:space="preserve">à long terme </w:t>
      </w:r>
      <w:r w:rsidRPr="00BB71A9">
        <w:rPr>
          <w:kern w:val="22"/>
          <w:lang w:val="fr-FR"/>
        </w:rPr>
        <w:t>pou</w:t>
      </w:r>
      <w:r w:rsidR="0033073E">
        <w:rPr>
          <w:kern w:val="22"/>
          <w:lang w:val="fr-FR"/>
        </w:rPr>
        <w:t>r le renforcement des capacités après</w:t>
      </w:r>
      <w:r w:rsidR="00A928C4">
        <w:rPr>
          <w:kern w:val="22"/>
          <w:lang w:val="fr-FR"/>
        </w:rPr>
        <w:t xml:space="preserve"> 2020</w:t>
      </w:r>
      <w:r w:rsidR="0033073E">
        <w:rPr>
          <w:kern w:val="22"/>
          <w:lang w:val="fr-FR"/>
        </w:rPr>
        <w:t>, ainsi que l</w:t>
      </w:r>
      <w:r w:rsidR="00A928C4">
        <w:rPr>
          <w:kern w:val="22"/>
          <w:lang w:val="fr-FR"/>
        </w:rPr>
        <w:t xml:space="preserve">es éléments éventuels </w:t>
      </w:r>
      <w:r w:rsidR="005A562A">
        <w:rPr>
          <w:kern w:val="22"/>
          <w:lang w:val="fr-FR"/>
        </w:rPr>
        <w:t xml:space="preserve">d’un plan d’action spécifique pour le renforcement des capacités </w:t>
      </w:r>
      <w:r w:rsidR="0033073E">
        <w:rPr>
          <w:kern w:val="22"/>
          <w:lang w:val="fr-FR"/>
        </w:rPr>
        <w:t xml:space="preserve">en matière de </w:t>
      </w:r>
      <w:r w:rsidRPr="00BB71A9">
        <w:rPr>
          <w:kern w:val="22"/>
          <w:lang w:val="fr-FR"/>
        </w:rPr>
        <w:t>prévention des risques biotechnologiques</w:t>
      </w:r>
      <w:r>
        <w:rPr>
          <w:kern w:val="22"/>
          <w:lang w:val="fr-FR"/>
        </w:rPr>
        <w:t xml:space="preserve">, couvrant le </w:t>
      </w:r>
      <w:r w:rsidRPr="00BB71A9">
        <w:rPr>
          <w:kern w:val="22"/>
          <w:lang w:val="fr-FR"/>
        </w:rPr>
        <w:t xml:space="preserve">Protocole de Cartagena </w:t>
      </w:r>
      <w:r>
        <w:rPr>
          <w:kern w:val="22"/>
          <w:lang w:val="fr-FR"/>
        </w:rPr>
        <w:t>et son Protocole additionnel</w:t>
      </w:r>
      <w:r w:rsidR="005A562A">
        <w:rPr>
          <w:kern w:val="22"/>
          <w:lang w:val="fr-FR"/>
        </w:rPr>
        <w:t>;</w:t>
      </w:r>
    </w:p>
    <w:p w14:paraId="202579AC" w14:textId="11813DD3" w:rsidR="006D00FB" w:rsidRPr="00BB71A9" w:rsidRDefault="006D00FB" w:rsidP="006D00FB">
      <w:pPr>
        <w:pStyle w:val="Para1"/>
        <w:numPr>
          <w:ilvl w:val="0"/>
          <w:numId w:val="2"/>
        </w:numPr>
        <w:suppressLineNumbers/>
        <w:tabs>
          <w:tab w:val="clear" w:pos="1211"/>
          <w:tab w:val="num" w:pos="360"/>
        </w:tabs>
        <w:suppressAutoHyphens/>
        <w:kinsoku w:val="0"/>
        <w:overflowPunct w:val="0"/>
        <w:autoSpaceDE w:val="0"/>
        <w:autoSpaceDN w:val="0"/>
        <w:adjustRightInd w:val="0"/>
        <w:snapToGrid w:val="0"/>
        <w:ind w:left="0" w:firstLine="720"/>
        <w:rPr>
          <w:snapToGrid/>
          <w:kern w:val="22"/>
          <w:szCs w:val="22"/>
          <w:lang w:val="fr-FR"/>
        </w:rPr>
      </w:pPr>
      <w:r w:rsidRPr="00BB71A9">
        <w:rPr>
          <w:i/>
          <w:snapToGrid/>
          <w:kern w:val="20"/>
          <w:szCs w:val="22"/>
          <w:lang w:val="fr-FR"/>
        </w:rPr>
        <w:t>Invite aussi</w:t>
      </w:r>
      <w:r w:rsidRPr="00BB71A9">
        <w:rPr>
          <w:snapToGrid/>
          <w:kern w:val="20"/>
          <w:szCs w:val="22"/>
          <w:lang w:val="fr-FR"/>
        </w:rPr>
        <w:t xml:space="preserve"> les Parties, les peuples autochtones et communautés locales et les organisations compétentes à participer aux ateliers consultatifs et aux forums de discussion en ligne consacrés au projet de cadre stratégique à long terme pour le renforcement des capacités après 2020, en parallèle au processus d’élaboration du cadre mondial de la biodiversité pour l’après-2020</w:t>
      </w:r>
      <w:r w:rsidR="005A562A">
        <w:rPr>
          <w:snapToGrid/>
          <w:kern w:val="22"/>
          <w:szCs w:val="22"/>
          <w:lang w:val="fr-FR"/>
        </w:rPr>
        <w:t>;</w:t>
      </w:r>
    </w:p>
    <w:p w14:paraId="58B982E4" w14:textId="44D8DB88" w:rsidR="006D00FB" w:rsidRPr="00BB71A9" w:rsidRDefault="006D00FB" w:rsidP="006D00FB">
      <w:pPr>
        <w:pStyle w:val="Para1"/>
        <w:numPr>
          <w:ilvl w:val="0"/>
          <w:numId w:val="2"/>
        </w:numPr>
        <w:suppressLineNumbers/>
        <w:tabs>
          <w:tab w:val="clear" w:pos="1211"/>
          <w:tab w:val="num" w:pos="360"/>
        </w:tabs>
        <w:suppressAutoHyphens/>
        <w:kinsoku w:val="0"/>
        <w:overflowPunct w:val="0"/>
        <w:autoSpaceDE w:val="0"/>
        <w:autoSpaceDN w:val="0"/>
        <w:adjustRightInd w:val="0"/>
        <w:snapToGrid w:val="0"/>
        <w:ind w:left="0" w:firstLine="720"/>
        <w:rPr>
          <w:snapToGrid/>
          <w:kern w:val="22"/>
          <w:szCs w:val="22"/>
          <w:lang w:val="fr-FR"/>
        </w:rPr>
      </w:pPr>
      <w:r w:rsidRPr="00BB71A9">
        <w:rPr>
          <w:i/>
          <w:snapToGrid/>
          <w:kern w:val="20"/>
          <w:szCs w:val="22"/>
          <w:lang w:val="fr-FR"/>
        </w:rPr>
        <w:t xml:space="preserve">Prie </w:t>
      </w:r>
      <w:r w:rsidRPr="00BB71A9">
        <w:rPr>
          <w:snapToGrid/>
          <w:kern w:val="20"/>
          <w:szCs w:val="22"/>
          <w:lang w:val="fr-FR"/>
        </w:rPr>
        <w:t>le Groupe de liaison su</w:t>
      </w:r>
      <w:r w:rsidR="00022657">
        <w:rPr>
          <w:snapToGrid/>
          <w:kern w:val="20"/>
          <w:szCs w:val="22"/>
          <w:lang w:val="fr-FR"/>
        </w:rPr>
        <w:t xml:space="preserve">r le Protocole de Cartagena </w:t>
      </w:r>
      <w:r w:rsidRPr="00BB71A9">
        <w:rPr>
          <w:snapToGrid/>
          <w:kern w:val="20"/>
          <w:szCs w:val="22"/>
          <w:lang w:val="fr-FR"/>
        </w:rPr>
        <w:t>pour la prévention des risques biotechnologiques</w:t>
      </w:r>
      <w:r w:rsidR="00B45C46">
        <w:rPr>
          <w:rStyle w:val="FootnoteReference"/>
          <w:snapToGrid/>
          <w:kern w:val="20"/>
          <w:szCs w:val="22"/>
          <w:lang w:val="fr-FR"/>
        </w:rPr>
        <w:footnoteReference w:id="3"/>
      </w:r>
      <w:r w:rsidRPr="00BB71A9">
        <w:rPr>
          <w:snapToGrid/>
          <w:kern w:val="20"/>
          <w:szCs w:val="22"/>
          <w:lang w:val="fr-FR"/>
        </w:rPr>
        <w:t xml:space="preserve">, à sa treizième réunion, de contribuer à l’élaboration : </w:t>
      </w:r>
      <w:r w:rsidRPr="00BB71A9">
        <w:rPr>
          <w:kern w:val="22"/>
          <w:szCs w:val="22"/>
          <w:lang w:val="fr-FR"/>
        </w:rPr>
        <w:t>a) du projet de p</w:t>
      </w:r>
      <w:r>
        <w:rPr>
          <w:kern w:val="22"/>
          <w:szCs w:val="22"/>
          <w:lang w:val="fr-FR"/>
        </w:rPr>
        <w:t>lan d’action pour le renforcement des capacités en vue de l’application du</w:t>
      </w:r>
      <w:r w:rsidRPr="00BB71A9">
        <w:rPr>
          <w:kern w:val="22"/>
          <w:lang w:val="fr-FR"/>
        </w:rPr>
        <w:t xml:space="preserve"> Protocole de Cartagena</w:t>
      </w:r>
      <w:r>
        <w:rPr>
          <w:kern w:val="22"/>
          <w:lang w:val="fr-FR"/>
        </w:rPr>
        <w:t xml:space="preserve"> et de son</w:t>
      </w:r>
      <w:r w:rsidRPr="00BB71A9">
        <w:rPr>
          <w:kern w:val="22"/>
          <w:lang w:val="fr-FR"/>
        </w:rPr>
        <w:t xml:space="preserve"> </w:t>
      </w:r>
      <w:r w:rsidR="0033073E">
        <w:rPr>
          <w:kern w:val="22"/>
          <w:lang w:val="fr-FR"/>
        </w:rPr>
        <w:t>Protocole additionnel</w:t>
      </w:r>
      <w:r>
        <w:rPr>
          <w:kern w:val="22"/>
          <w:lang w:val="fr-FR"/>
        </w:rPr>
        <w:t xml:space="preserve">; </w:t>
      </w:r>
      <w:r w:rsidRPr="00BB71A9">
        <w:rPr>
          <w:kern w:val="22"/>
          <w:szCs w:val="22"/>
          <w:lang w:val="fr-FR"/>
        </w:rPr>
        <w:t xml:space="preserve">b) </w:t>
      </w:r>
      <w:r w:rsidRPr="00BB71A9">
        <w:rPr>
          <w:snapToGrid/>
          <w:kern w:val="20"/>
          <w:szCs w:val="22"/>
          <w:lang w:val="fr-FR"/>
        </w:rPr>
        <w:t xml:space="preserve">du projet de cadre stratégique à long terme pour le </w:t>
      </w:r>
      <w:r>
        <w:rPr>
          <w:snapToGrid/>
          <w:kern w:val="20"/>
          <w:szCs w:val="22"/>
          <w:lang w:val="fr-FR"/>
        </w:rPr>
        <w:t>re</w:t>
      </w:r>
      <w:r w:rsidR="0033073E">
        <w:rPr>
          <w:snapToGrid/>
          <w:kern w:val="20"/>
          <w:szCs w:val="22"/>
          <w:lang w:val="fr-FR"/>
        </w:rPr>
        <w:t xml:space="preserve">nforcement des capacités après </w:t>
      </w:r>
      <w:r w:rsidRPr="00BB71A9">
        <w:rPr>
          <w:snapToGrid/>
          <w:kern w:val="20"/>
          <w:szCs w:val="22"/>
          <w:lang w:val="fr-FR"/>
        </w:rPr>
        <w:t>2020</w:t>
      </w:r>
      <w:r>
        <w:rPr>
          <w:snapToGrid/>
          <w:kern w:val="20"/>
          <w:szCs w:val="22"/>
          <w:lang w:val="fr-FR"/>
        </w:rPr>
        <w:t xml:space="preserve">, selon qu’il convient et, à sa quatorzième </w:t>
      </w:r>
      <w:r w:rsidRPr="00BB71A9">
        <w:rPr>
          <w:color w:val="000000" w:themeColor="text1"/>
          <w:kern w:val="22"/>
          <w:szCs w:val="22"/>
          <w:lang w:val="fr-FR"/>
        </w:rPr>
        <w:t xml:space="preserve">réunion, </w:t>
      </w:r>
      <w:r>
        <w:rPr>
          <w:color w:val="000000" w:themeColor="text1"/>
          <w:kern w:val="22"/>
          <w:szCs w:val="22"/>
          <w:lang w:val="fr-FR"/>
        </w:rPr>
        <w:t>d’examiner le projet final de</w:t>
      </w:r>
      <w:r w:rsidRPr="00BB71A9">
        <w:rPr>
          <w:kern w:val="22"/>
          <w:lang w:val="fr-FR"/>
        </w:rPr>
        <w:t xml:space="preserve"> </w:t>
      </w:r>
      <w:r w:rsidRPr="00BB71A9">
        <w:rPr>
          <w:kern w:val="22"/>
          <w:szCs w:val="22"/>
          <w:lang w:val="fr-FR"/>
        </w:rPr>
        <w:t>p</w:t>
      </w:r>
      <w:r>
        <w:rPr>
          <w:kern w:val="22"/>
          <w:szCs w:val="22"/>
          <w:lang w:val="fr-FR"/>
        </w:rPr>
        <w:t xml:space="preserve">lan d’action pour le renforcement des capacités </w:t>
      </w:r>
      <w:r w:rsidR="0033073E">
        <w:rPr>
          <w:kern w:val="22"/>
          <w:lang w:val="fr-FR"/>
        </w:rPr>
        <w:t>en matière de</w:t>
      </w:r>
      <w:r w:rsidRPr="00BB71A9">
        <w:rPr>
          <w:kern w:val="22"/>
          <w:lang w:val="fr-FR"/>
        </w:rPr>
        <w:t xml:space="preserve"> prévention des risques biotechnologiques, </w:t>
      </w:r>
      <w:r>
        <w:rPr>
          <w:kern w:val="22"/>
          <w:lang w:val="fr-FR"/>
        </w:rPr>
        <w:t xml:space="preserve">compte tenu des </w:t>
      </w:r>
      <w:r w:rsidRPr="00BB71A9">
        <w:rPr>
          <w:kern w:val="22"/>
          <w:lang w:val="fr-FR"/>
        </w:rPr>
        <w:t>information</w:t>
      </w:r>
      <w:r>
        <w:rPr>
          <w:kern w:val="22"/>
          <w:lang w:val="fr-FR"/>
        </w:rPr>
        <w:t>s fournies dans les quatrième rapports nationaux au titre du</w:t>
      </w:r>
      <w:r w:rsidRPr="00BB71A9">
        <w:rPr>
          <w:kern w:val="22"/>
          <w:lang w:val="fr-FR"/>
        </w:rPr>
        <w:t xml:space="preserve"> Protocole de Cartagena</w:t>
      </w:r>
      <w:r w:rsidR="005A562A">
        <w:rPr>
          <w:color w:val="000000" w:themeColor="text1"/>
          <w:kern w:val="22"/>
          <w:szCs w:val="22"/>
          <w:lang w:val="fr-FR"/>
        </w:rPr>
        <w:t>;</w:t>
      </w:r>
    </w:p>
    <w:p w14:paraId="1B408A8B" w14:textId="4E6AC12E" w:rsidR="005A562A" w:rsidRDefault="006D00FB" w:rsidP="005A562A">
      <w:pPr>
        <w:pStyle w:val="Para1"/>
        <w:numPr>
          <w:ilvl w:val="0"/>
          <w:numId w:val="2"/>
        </w:numPr>
        <w:suppressLineNumbers/>
        <w:tabs>
          <w:tab w:val="clear" w:pos="1211"/>
        </w:tabs>
        <w:suppressAutoHyphens/>
        <w:kinsoku w:val="0"/>
        <w:overflowPunct w:val="0"/>
        <w:autoSpaceDE w:val="0"/>
        <w:autoSpaceDN w:val="0"/>
        <w:adjustRightInd w:val="0"/>
        <w:snapToGrid w:val="0"/>
        <w:ind w:left="0" w:firstLine="709"/>
        <w:rPr>
          <w:snapToGrid/>
          <w:kern w:val="22"/>
          <w:szCs w:val="22"/>
          <w:lang w:val="fr-FR"/>
        </w:rPr>
      </w:pPr>
      <w:r w:rsidRPr="00271DBB">
        <w:rPr>
          <w:i/>
          <w:snapToGrid/>
          <w:kern w:val="20"/>
          <w:szCs w:val="22"/>
          <w:lang w:val="fr-FR"/>
        </w:rPr>
        <w:t>Prie</w:t>
      </w:r>
      <w:r w:rsidR="005A562A">
        <w:rPr>
          <w:snapToGrid/>
          <w:kern w:val="20"/>
          <w:szCs w:val="22"/>
          <w:lang w:val="fr-FR"/>
        </w:rPr>
        <w:t xml:space="preserve"> la Secrétaire exécutive</w:t>
      </w:r>
      <w:r w:rsidR="0033073E">
        <w:rPr>
          <w:snapToGrid/>
          <w:kern w:val="20"/>
          <w:szCs w:val="22"/>
          <w:lang w:val="fr-FR"/>
        </w:rPr>
        <w:t xml:space="preserve"> de</w:t>
      </w:r>
      <w:r w:rsidR="005A562A">
        <w:rPr>
          <w:snapToGrid/>
          <w:kern w:val="20"/>
          <w:szCs w:val="22"/>
          <w:lang w:val="fr-FR"/>
        </w:rPr>
        <w:t> :</w:t>
      </w:r>
      <w:r>
        <w:rPr>
          <w:snapToGrid/>
          <w:kern w:val="22"/>
          <w:szCs w:val="22"/>
          <w:lang w:val="fr-FR"/>
        </w:rPr>
        <w:t xml:space="preserve"> </w:t>
      </w:r>
    </w:p>
    <w:p w14:paraId="0D9AF53D" w14:textId="247856E7" w:rsidR="005A562A" w:rsidRDefault="0033073E" w:rsidP="005A562A">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Pr>
          <w:snapToGrid/>
          <w:kern w:val="22"/>
          <w:szCs w:val="22"/>
          <w:lang w:val="fr-FR"/>
        </w:rPr>
        <w:t>a)</w:t>
      </w:r>
      <w:r>
        <w:rPr>
          <w:snapToGrid/>
          <w:kern w:val="22"/>
          <w:szCs w:val="22"/>
          <w:lang w:val="fr-FR"/>
        </w:rPr>
        <w:tab/>
        <w:t>Consolider l</w:t>
      </w:r>
      <w:r w:rsidR="00B45C46">
        <w:rPr>
          <w:snapToGrid/>
          <w:kern w:val="22"/>
          <w:szCs w:val="22"/>
          <w:lang w:val="fr-FR"/>
        </w:rPr>
        <w:t xml:space="preserve">es points de vue et </w:t>
      </w:r>
      <w:r>
        <w:rPr>
          <w:snapToGrid/>
          <w:kern w:val="22"/>
          <w:szCs w:val="22"/>
          <w:lang w:val="fr-FR"/>
        </w:rPr>
        <w:t xml:space="preserve">les </w:t>
      </w:r>
      <w:r w:rsidR="005A562A">
        <w:rPr>
          <w:snapToGrid/>
          <w:kern w:val="22"/>
          <w:szCs w:val="22"/>
          <w:lang w:val="fr-FR"/>
        </w:rPr>
        <w:t>suggestions des Parties, des peuples aut</w:t>
      </w:r>
      <w:r>
        <w:rPr>
          <w:snapToGrid/>
          <w:kern w:val="22"/>
          <w:szCs w:val="22"/>
          <w:lang w:val="fr-FR"/>
        </w:rPr>
        <w:t>ochtones et communautés locales</w:t>
      </w:r>
      <w:r w:rsidR="005A562A">
        <w:rPr>
          <w:snapToGrid/>
          <w:kern w:val="22"/>
          <w:szCs w:val="22"/>
          <w:lang w:val="fr-FR"/>
        </w:rPr>
        <w:t xml:space="preserve"> et des organisations compétentes</w:t>
      </w:r>
      <w:r>
        <w:rPr>
          <w:snapToGrid/>
          <w:kern w:val="22"/>
          <w:szCs w:val="22"/>
          <w:lang w:val="fr-FR"/>
        </w:rPr>
        <w:t xml:space="preserve">, mentionnés au </w:t>
      </w:r>
      <w:r w:rsidR="005A562A">
        <w:rPr>
          <w:snapToGrid/>
          <w:kern w:val="22"/>
          <w:szCs w:val="22"/>
          <w:lang w:val="fr-FR"/>
        </w:rPr>
        <w:t xml:space="preserve">paragraphe 8 </w:t>
      </w:r>
      <w:r>
        <w:rPr>
          <w:snapToGrid/>
          <w:kern w:val="22"/>
          <w:szCs w:val="22"/>
          <w:lang w:val="fr-FR"/>
        </w:rPr>
        <w:t>ci-dessus</w:t>
      </w:r>
      <w:r w:rsidR="005A562A">
        <w:rPr>
          <w:snapToGrid/>
          <w:kern w:val="22"/>
          <w:szCs w:val="22"/>
          <w:lang w:val="fr-FR"/>
        </w:rPr>
        <w:t>;</w:t>
      </w:r>
    </w:p>
    <w:p w14:paraId="06D04FD2" w14:textId="51797BED" w:rsidR="00B90F86" w:rsidRDefault="005A562A" w:rsidP="005A562A">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Pr>
          <w:snapToGrid/>
          <w:kern w:val="22"/>
          <w:szCs w:val="22"/>
          <w:lang w:val="fr-FR"/>
        </w:rPr>
        <w:t>b)</w:t>
      </w:r>
      <w:r>
        <w:rPr>
          <w:snapToGrid/>
          <w:kern w:val="22"/>
          <w:szCs w:val="22"/>
          <w:lang w:val="fr-FR"/>
        </w:rPr>
        <w:tab/>
      </w:r>
      <w:r w:rsidR="0033073E">
        <w:rPr>
          <w:kern w:val="22"/>
          <w:lang w:val="fr-FR"/>
        </w:rPr>
        <w:t>A</w:t>
      </w:r>
      <w:r w:rsidR="00B90F86" w:rsidRPr="00172E35">
        <w:rPr>
          <w:kern w:val="22"/>
          <w:lang w:val="fr-FR"/>
        </w:rPr>
        <w:t>ssurer un niveau de participat</w:t>
      </w:r>
      <w:r w:rsidR="00B90F86">
        <w:rPr>
          <w:kern w:val="22"/>
          <w:lang w:val="fr-FR"/>
        </w:rPr>
        <w:t xml:space="preserve">ion suffisant d’experts en matière de </w:t>
      </w:r>
      <w:r w:rsidR="00B90F86" w:rsidRPr="00172E35">
        <w:rPr>
          <w:kern w:val="22"/>
          <w:lang w:val="fr-FR"/>
        </w:rPr>
        <w:t xml:space="preserve">prévention des risques biotechnologiques, </w:t>
      </w:r>
      <w:r w:rsidR="00B90F86">
        <w:rPr>
          <w:kern w:val="22"/>
          <w:lang w:val="fr-FR"/>
        </w:rPr>
        <w:t xml:space="preserve">y compris ceux qui disposent d’une expertise concernant le </w:t>
      </w:r>
      <w:r w:rsidR="00B90F86" w:rsidRPr="00172E35">
        <w:rPr>
          <w:kern w:val="22"/>
          <w:lang w:val="fr-FR"/>
        </w:rPr>
        <w:t xml:space="preserve">Protocole additionnel, </w:t>
      </w:r>
      <w:r w:rsidR="00B90F86">
        <w:rPr>
          <w:kern w:val="22"/>
          <w:lang w:val="fr-FR"/>
        </w:rPr>
        <w:t xml:space="preserve">lors des </w:t>
      </w:r>
      <w:r w:rsidR="00B90F86" w:rsidRPr="00172E35">
        <w:rPr>
          <w:kern w:val="22"/>
          <w:lang w:val="fr-FR"/>
        </w:rPr>
        <w:t>consultations</w:t>
      </w:r>
      <w:r w:rsidR="00B90F86">
        <w:rPr>
          <w:kern w:val="22"/>
          <w:lang w:val="fr-FR"/>
        </w:rPr>
        <w:t xml:space="preserve"> menées pendant toute la durée de l’élaboration du cadre stratégique pour le renfo</w:t>
      </w:r>
      <w:r w:rsidR="0033073E">
        <w:rPr>
          <w:kern w:val="22"/>
          <w:lang w:val="fr-FR"/>
        </w:rPr>
        <w:t xml:space="preserve">rcement des capacités après </w:t>
      </w:r>
      <w:r w:rsidR="00B90F86" w:rsidRPr="00172E35">
        <w:rPr>
          <w:snapToGrid/>
          <w:kern w:val="22"/>
          <w:szCs w:val="22"/>
          <w:lang w:val="fr-FR"/>
        </w:rPr>
        <w:t>2020</w:t>
      </w:r>
      <w:r w:rsidR="00B90F86">
        <w:rPr>
          <w:snapToGrid/>
          <w:kern w:val="22"/>
          <w:szCs w:val="22"/>
          <w:lang w:val="fr-FR"/>
        </w:rPr>
        <w:t>;</w:t>
      </w:r>
    </w:p>
    <w:p w14:paraId="5FDF42A3" w14:textId="7B54DE25" w:rsidR="006D00FB" w:rsidRPr="00271DBB" w:rsidRDefault="0033073E" w:rsidP="005A562A">
      <w:pPr>
        <w:pStyle w:val="Para1"/>
        <w:numPr>
          <w:ilvl w:val="0"/>
          <w:numId w:val="0"/>
        </w:numPr>
        <w:suppressLineNumbers/>
        <w:suppressAutoHyphens/>
        <w:kinsoku w:val="0"/>
        <w:overflowPunct w:val="0"/>
        <w:autoSpaceDE w:val="0"/>
        <w:autoSpaceDN w:val="0"/>
        <w:adjustRightInd w:val="0"/>
        <w:snapToGrid w:val="0"/>
        <w:ind w:firstLine="709"/>
        <w:rPr>
          <w:snapToGrid/>
          <w:kern w:val="22"/>
          <w:szCs w:val="22"/>
          <w:lang w:val="fr-FR"/>
        </w:rPr>
      </w:pPr>
      <w:r>
        <w:rPr>
          <w:snapToGrid/>
          <w:kern w:val="22"/>
          <w:szCs w:val="22"/>
          <w:lang w:val="fr-FR"/>
        </w:rPr>
        <w:t>c)</w:t>
      </w:r>
      <w:r>
        <w:rPr>
          <w:snapToGrid/>
          <w:kern w:val="22"/>
          <w:szCs w:val="22"/>
          <w:lang w:val="fr-FR"/>
        </w:rPr>
        <w:tab/>
        <w:t>P</w:t>
      </w:r>
      <w:r w:rsidR="00B90F86">
        <w:rPr>
          <w:snapToGrid/>
          <w:kern w:val="22"/>
          <w:szCs w:val="22"/>
          <w:lang w:val="fr-FR"/>
        </w:rPr>
        <w:t>résenter</w:t>
      </w:r>
      <w:r>
        <w:rPr>
          <w:snapToGrid/>
          <w:kern w:val="22"/>
          <w:szCs w:val="22"/>
          <w:lang w:val="fr-FR"/>
        </w:rPr>
        <w:t> :</w:t>
      </w:r>
      <w:r w:rsidR="00B90F86">
        <w:rPr>
          <w:snapToGrid/>
          <w:kern w:val="22"/>
          <w:szCs w:val="22"/>
          <w:lang w:val="fr-FR"/>
        </w:rPr>
        <w:t xml:space="preserve"> i) </w:t>
      </w:r>
      <w:r w:rsidR="006D00FB">
        <w:rPr>
          <w:snapToGrid/>
          <w:kern w:val="22"/>
          <w:szCs w:val="22"/>
          <w:lang w:val="fr-FR"/>
        </w:rPr>
        <w:t>un</w:t>
      </w:r>
      <w:r w:rsidR="006D00FB" w:rsidRPr="00271DBB">
        <w:rPr>
          <w:snapToGrid/>
          <w:kern w:val="22"/>
          <w:szCs w:val="22"/>
          <w:lang w:val="fr-FR"/>
        </w:rPr>
        <w:t xml:space="preserve"> </w:t>
      </w:r>
      <w:r w:rsidR="006D00FB" w:rsidRPr="00BB71A9">
        <w:rPr>
          <w:kern w:val="22"/>
          <w:szCs w:val="22"/>
          <w:lang w:val="fr-FR"/>
        </w:rPr>
        <w:t>projet de p</w:t>
      </w:r>
      <w:r w:rsidR="006D00FB">
        <w:rPr>
          <w:kern w:val="22"/>
          <w:szCs w:val="22"/>
          <w:lang w:val="fr-FR"/>
        </w:rPr>
        <w:t>lan d’action pour le renforcement des capacités en vue de l’application du</w:t>
      </w:r>
      <w:r w:rsidR="006D00FB" w:rsidRPr="00BB71A9">
        <w:rPr>
          <w:kern w:val="22"/>
          <w:lang w:val="fr-FR"/>
        </w:rPr>
        <w:t xml:space="preserve"> </w:t>
      </w:r>
      <w:r w:rsidR="006D00FB" w:rsidRPr="00271DBB">
        <w:rPr>
          <w:kern w:val="22"/>
          <w:lang w:val="fr-FR"/>
        </w:rPr>
        <w:t>Protocole de Cartagena</w:t>
      </w:r>
      <w:r w:rsidR="006D00FB">
        <w:rPr>
          <w:kern w:val="22"/>
          <w:lang w:val="fr-FR"/>
        </w:rPr>
        <w:t xml:space="preserve"> et de son</w:t>
      </w:r>
      <w:r w:rsidR="006D00FB" w:rsidRPr="00271DBB">
        <w:rPr>
          <w:kern w:val="22"/>
          <w:lang w:val="fr-FR"/>
        </w:rPr>
        <w:t xml:space="preserve"> Protocole additionnel</w:t>
      </w:r>
      <w:r w:rsidR="006D00FB">
        <w:rPr>
          <w:snapToGrid/>
          <w:kern w:val="22"/>
          <w:szCs w:val="22"/>
          <w:lang w:val="fr-FR"/>
        </w:rPr>
        <w:t xml:space="preserve">; </w:t>
      </w:r>
      <w:r w:rsidR="00B90F86">
        <w:rPr>
          <w:snapToGrid/>
          <w:kern w:val="22"/>
          <w:szCs w:val="22"/>
          <w:lang w:val="fr-FR"/>
        </w:rPr>
        <w:t>ii)</w:t>
      </w:r>
      <w:r w:rsidR="006D00FB" w:rsidRPr="00271DBB">
        <w:rPr>
          <w:snapToGrid/>
          <w:kern w:val="22"/>
          <w:szCs w:val="22"/>
          <w:lang w:val="fr-FR"/>
        </w:rPr>
        <w:t xml:space="preserve"> </w:t>
      </w:r>
      <w:r w:rsidR="006D00FB" w:rsidRPr="00271DBB">
        <w:rPr>
          <w:snapToGrid/>
          <w:kern w:val="20"/>
          <w:szCs w:val="22"/>
          <w:lang w:val="fr-FR"/>
        </w:rPr>
        <w:t>un projet de cadre stratégique à long terme pour le renforcement des capacités après 2020</w:t>
      </w:r>
      <w:r w:rsidR="00B45C46">
        <w:rPr>
          <w:rStyle w:val="FootnoteReference"/>
          <w:snapToGrid/>
          <w:kern w:val="20"/>
          <w:szCs w:val="22"/>
          <w:lang w:val="fr-FR"/>
        </w:rPr>
        <w:footnoteReference w:id="4"/>
      </w:r>
      <w:r w:rsidR="006D00FB" w:rsidRPr="00271DBB">
        <w:rPr>
          <w:snapToGrid/>
          <w:kern w:val="22"/>
          <w:szCs w:val="22"/>
          <w:lang w:val="fr-FR"/>
        </w:rPr>
        <w:t xml:space="preserve">, </w:t>
      </w:r>
      <w:r>
        <w:rPr>
          <w:snapToGrid/>
          <w:kern w:val="20"/>
          <w:szCs w:val="22"/>
          <w:lang w:val="fr-FR"/>
        </w:rPr>
        <w:t>pour examen par l’</w:t>
      </w:r>
      <w:r w:rsidR="006D00FB" w:rsidRPr="00271DBB">
        <w:rPr>
          <w:snapToGrid/>
          <w:kern w:val="20"/>
          <w:szCs w:val="22"/>
          <w:lang w:val="fr-FR"/>
        </w:rPr>
        <w:t>Organe subsidiaire chargé de</w:t>
      </w:r>
      <w:r>
        <w:rPr>
          <w:snapToGrid/>
          <w:kern w:val="20"/>
          <w:szCs w:val="22"/>
          <w:lang w:val="fr-FR"/>
        </w:rPr>
        <w:t xml:space="preserve"> </w:t>
      </w:r>
      <w:r w:rsidR="006D00FB" w:rsidRPr="00271DBB">
        <w:rPr>
          <w:snapToGrid/>
          <w:kern w:val="20"/>
          <w:szCs w:val="22"/>
          <w:lang w:val="fr-FR"/>
        </w:rPr>
        <w:lastRenderedPageBreak/>
        <w:t>l'application à sa troisième réunion</w:t>
      </w:r>
      <w:r>
        <w:rPr>
          <w:snapToGrid/>
          <w:kern w:val="20"/>
          <w:szCs w:val="22"/>
          <w:lang w:val="fr-FR"/>
        </w:rPr>
        <w:t>,</w:t>
      </w:r>
      <w:r w:rsidR="006D00FB" w:rsidRPr="00271DBB">
        <w:rPr>
          <w:snapToGrid/>
          <w:kern w:val="20"/>
          <w:szCs w:val="22"/>
          <w:lang w:val="fr-FR"/>
        </w:rPr>
        <w:t xml:space="preserve"> et pour examen ultérieur par la Conférence des Parties siégeant en tant que réunion des Parties </w:t>
      </w:r>
      <w:r w:rsidR="006D00FB" w:rsidRPr="00271DBB">
        <w:rPr>
          <w:szCs w:val="22"/>
          <w:lang w:val="fr-FR"/>
        </w:rPr>
        <w:t>au Protocole de Cartagena sur la prévention des risques biotechnologiques à sa dixième réunion</w:t>
      </w:r>
      <w:r w:rsidR="005A562A">
        <w:rPr>
          <w:snapToGrid/>
          <w:kern w:val="22"/>
          <w:szCs w:val="22"/>
          <w:lang w:val="fr-FR"/>
        </w:rPr>
        <w:t>;</w:t>
      </w:r>
    </w:p>
    <w:p w14:paraId="5C14B74D" w14:textId="1FE95EE3" w:rsidR="00C86646" w:rsidRPr="00B90F86" w:rsidRDefault="006D00FB" w:rsidP="00B90F86">
      <w:pPr>
        <w:pStyle w:val="Para1"/>
        <w:numPr>
          <w:ilvl w:val="0"/>
          <w:numId w:val="2"/>
        </w:numPr>
        <w:tabs>
          <w:tab w:val="clear" w:pos="1211"/>
          <w:tab w:val="num" w:pos="720"/>
        </w:tabs>
        <w:ind w:left="0" w:firstLine="720"/>
        <w:rPr>
          <w:kern w:val="22"/>
          <w:lang w:val="fr-FR"/>
        </w:rPr>
      </w:pPr>
      <w:r w:rsidRPr="00172E35">
        <w:rPr>
          <w:i/>
          <w:kern w:val="22"/>
          <w:lang w:val="fr-FR"/>
        </w:rPr>
        <w:t xml:space="preserve">Prie également </w:t>
      </w:r>
      <w:r w:rsidRPr="00172E35">
        <w:rPr>
          <w:kern w:val="22"/>
          <w:lang w:val="fr-FR"/>
        </w:rPr>
        <w:t xml:space="preserve">la Secrétaire exécutive, dans la limite des ressources disponibles et en collaboration avec les </w:t>
      </w:r>
      <w:r>
        <w:rPr>
          <w:kern w:val="22"/>
          <w:lang w:val="fr-FR"/>
        </w:rPr>
        <w:t>organis</w:t>
      </w:r>
      <w:r w:rsidRPr="00172E35">
        <w:rPr>
          <w:kern w:val="22"/>
          <w:lang w:val="fr-FR"/>
        </w:rPr>
        <w:t>ations</w:t>
      </w:r>
      <w:r>
        <w:rPr>
          <w:kern w:val="22"/>
          <w:lang w:val="fr-FR"/>
        </w:rPr>
        <w:t xml:space="preserve"> compétentes, de faciliter et d’appuyer la mise en œuvre des activités de renforcement des capacités prioritaires pour faciliter l’application du</w:t>
      </w:r>
      <w:r w:rsidRPr="00172E35">
        <w:rPr>
          <w:kern w:val="22"/>
          <w:lang w:val="fr-FR"/>
        </w:rPr>
        <w:t xml:space="preserve"> Protocole</w:t>
      </w:r>
      <w:r>
        <w:rPr>
          <w:kern w:val="22"/>
          <w:lang w:val="fr-FR"/>
        </w:rPr>
        <w:t xml:space="preserve">, telles qu’indiquées dans le Cadre et Plan d’action pour le renforcement des capacités en vue de l’application effective du </w:t>
      </w:r>
      <w:r w:rsidRPr="00172E35">
        <w:rPr>
          <w:kern w:val="22"/>
          <w:szCs w:val="22"/>
          <w:lang w:val="fr-FR" w:eastAsia="x-none"/>
        </w:rPr>
        <w:t>Protocole de Cartagena sur la prévention des risques biotechnologiques</w:t>
      </w:r>
      <w:r w:rsidRPr="00172E35">
        <w:rPr>
          <w:kern w:val="22"/>
          <w:lang w:val="fr-FR"/>
        </w:rPr>
        <w:t xml:space="preserve"> (2012-2020), </w:t>
      </w:r>
      <w:r>
        <w:rPr>
          <w:kern w:val="22"/>
          <w:lang w:val="fr-FR"/>
        </w:rPr>
        <w:t>lequel figure dans l’</w:t>
      </w:r>
      <w:r w:rsidRPr="00172E35">
        <w:rPr>
          <w:kern w:val="22"/>
          <w:lang w:val="fr-FR"/>
        </w:rPr>
        <w:t>annex</w:t>
      </w:r>
      <w:r>
        <w:rPr>
          <w:kern w:val="22"/>
          <w:lang w:val="fr-FR"/>
        </w:rPr>
        <w:t xml:space="preserve">e I à la </w:t>
      </w:r>
      <w:r w:rsidRPr="00172E35">
        <w:rPr>
          <w:kern w:val="22"/>
          <w:lang w:val="fr-FR"/>
        </w:rPr>
        <w:t xml:space="preserve">décision BS-VI/3, </w:t>
      </w:r>
      <w:r>
        <w:rPr>
          <w:kern w:val="22"/>
          <w:lang w:val="fr-FR"/>
        </w:rPr>
        <w:t xml:space="preserve">et conformément au Plan d’action à court terme </w:t>
      </w:r>
      <w:r w:rsidRPr="00172E35">
        <w:rPr>
          <w:kern w:val="22"/>
          <w:lang w:val="fr-FR"/>
        </w:rPr>
        <w:t xml:space="preserve">(2017-2020) </w:t>
      </w:r>
      <w:r>
        <w:rPr>
          <w:kern w:val="22"/>
          <w:lang w:val="fr-FR"/>
        </w:rPr>
        <w:t>pour améliorer et appuyer le renforcement des capacités en vue de l’application de la Convention et de ses</w:t>
      </w:r>
      <w:r w:rsidR="0033073E">
        <w:rPr>
          <w:kern w:val="22"/>
          <w:lang w:val="fr-FR"/>
        </w:rPr>
        <w:t xml:space="preserve"> P</w:t>
      </w:r>
      <w:r w:rsidRPr="00172E35">
        <w:rPr>
          <w:kern w:val="22"/>
          <w:lang w:val="fr-FR"/>
        </w:rPr>
        <w:t>rotocol</w:t>
      </w:r>
      <w:r>
        <w:rPr>
          <w:kern w:val="22"/>
          <w:lang w:val="fr-FR"/>
        </w:rPr>
        <w:t>e</w:t>
      </w:r>
      <w:r w:rsidRPr="00172E35">
        <w:rPr>
          <w:kern w:val="22"/>
          <w:lang w:val="fr-FR"/>
        </w:rPr>
        <w:t>s</w:t>
      </w:r>
      <w:r w:rsidR="0033073E">
        <w:rPr>
          <w:kern w:val="22"/>
          <w:lang w:val="fr-FR"/>
        </w:rPr>
        <w:t>, lequel</w:t>
      </w:r>
      <w:r>
        <w:rPr>
          <w:kern w:val="22"/>
          <w:lang w:val="fr-FR"/>
        </w:rPr>
        <w:t xml:space="preserve"> figure dans l’annexe à la</w:t>
      </w:r>
      <w:r w:rsidRPr="00172E35">
        <w:rPr>
          <w:kern w:val="22"/>
          <w:lang w:val="fr-FR"/>
        </w:rPr>
        <w:t xml:space="preserve"> </w:t>
      </w:r>
      <w:r w:rsidRPr="00172E35">
        <w:rPr>
          <w:bCs/>
          <w:iCs/>
          <w:kern w:val="22"/>
          <w:lang w:val="fr-FR"/>
        </w:rPr>
        <w:t>décision</w:t>
      </w:r>
      <w:r>
        <w:rPr>
          <w:bCs/>
          <w:iCs/>
          <w:kern w:val="22"/>
          <w:lang w:val="fr-FR"/>
        </w:rPr>
        <w:t xml:space="preserve"> XIII/23 de </w:t>
      </w:r>
      <w:r w:rsidR="00B90F86">
        <w:rPr>
          <w:bCs/>
          <w:iCs/>
          <w:kern w:val="22"/>
          <w:lang w:val="fr-FR"/>
        </w:rPr>
        <w:t>la Conférence des Parties.</w:t>
      </w:r>
    </w:p>
    <w:p w14:paraId="237B66FB" w14:textId="04BAD250" w:rsidR="0097752D" w:rsidRPr="001A1250" w:rsidRDefault="0097752D" w:rsidP="00984C81">
      <w:pPr>
        <w:pStyle w:val="Para1"/>
        <w:numPr>
          <w:ilvl w:val="0"/>
          <w:numId w:val="0"/>
        </w:numPr>
        <w:ind w:left="720"/>
        <w:rPr>
          <w:kern w:val="22"/>
          <w:szCs w:val="22"/>
          <w:lang w:val="fr-FR"/>
        </w:rPr>
      </w:pPr>
    </w:p>
    <w:p w14:paraId="7FFA8D02" w14:textId="7E4E5639" w:rsidR="004E3AA6" w:rsidRPr="00E86C5A" w:rsidRDefault="003E046C">
      <w:pPr>
        <w:suppressLineNumbers/>
        <w:suppressAutoHyphens/>
        <w:kinsoku w:val="0"/>
        <w:overflowPunct w:val="0"/>
        <w:autoSpaceDE w:val="0"/>
        <w:autoSpaceDN w:val="0"/>
        <w:snapToGrid w:val="0"/>
        <w:spacing w:before="120" w:after="120"/>
        <w:jc w:val="center"/>
        <w:rPr>
          <w:i/>
          <w:snapToGrid w:val="0"/>
          <w:kern w:val="22"/>
          <w:szCs w:val="22"/>
          <w:lang w:val="fr-FR" w:eastAsia="en-CA"/>
        </w:rPr>
      </w:pPr>
      <w:r w:rsidRPr="00E86C5A">
        <w:rPr>
          <w:i/>
          <w:snapToGrid w:val="0"/>
          <w:kern w:val="22"/>
          <w:szCs w:val="22"/>
          <w:lang w:val="fr-FR" w:eastAsia="en-CA"/>
        </w:rPr>
        <w:t>Annex</w:t>
      </w:r>
      <w:r w:rsidR="00B90F86" w:rsidRPr="00E86C5A">
        <w:rPr>
          <w:i/>
          <w:snapToGrid w:val="0"/>
          <w:kern w:val="22"/>
          <w:szCs w:val="22"/>
          <w:lang w:val="fr-FR" w:eastAsia="en-CA"/>
        </w:rPr>
        <w:t>e</w:t>
      </w:r>
    </w:p>
    <w:p w14:paraId="6514397D" w14:textId="7D456C01" w:rsidR="004E3AA6" w:rsidRPr="00E86C5A" w:rsidRDefault="00B90F86" w:rsidP="0033073E">
      <w:pPr>
        <w:keepNext/>
        <w:suppressLineNumbers/>
        <w:suppressAutoHyphens/>
        <w:spacing w:before="120" w:after="240"/>
        <w:jc w:val="center"/>
        <w:rPr>
          <w:rFonts w:eastAsia="Calibri"/>
          <w:snapToGrid w:val="0"/>
          <w:color w:val="000000"/>
          <w:kern w:val="22"/>
          <w:szCs w:val="22"/>
          <w:lang w:val="fr-FR" w:eastAsia="x-none"/>
        </w:rPr>
      </w:pPr>
      <w:r w:rsidRPr="00E86C5A">
        <w:rPr>
          <w:rFonts w:eastAsia="Calibri"/>
          <w:b/>
          <w:iCs/>
          <w:snapToGrid w:val="0"/>
          <w:color w:val="000000"/>
          <w:kern w:val="22"/>
          <w:szCs w:val="22"/>
          <w:lang w:val="fr-FR" w:eastAsia="x-none"/>
        </w:rPr>
        <w:t>CALENDRIER INDICATIF DES ACTIVITÉS</w:t>
      </w:r>
    </w:p>
    <w:p w14:paraId="53EE6DC4" w14:textId="38C513B1" w:rsidR="004E3AA6" w:rsidRPr="00E86C5A" w:rsidRDefault="004E3AA6" w:rsidP="004E3AA6">
      <w:pPr>
        <w:pStyle w:val="Para1"/>
        <w:numPr>
          <w:ilvl w:val="0"/>
          <w:numId w:val="0"/>
        </w:numPr>
        <w:suppressLineNumbers/>
        <w:suppressAutoHyphens/>
        <w:kinsoku w:val="0"/>
        <w:overflowPunct w:val="0"/>
        <w:autoSpaceDE w:val="0"/>
        <w:autoSpaceDN w:val="0"/>
        <w:adjustRightInd w:val="0"/>
        <w:snapToGrid w:val="0"/>
        <w:rPr>
          <w:snapToGrid/>
          <w:kern w:val="22"/>
          <w:szCs w:val="22"/>
          <w:lang w:val="fr-FR"/>
        </w:rPr>
      </w:pPr>
      <w:r w:rsidRPr="00E86C5A">
        <w:rPr>
          <w:snapToGrid/>
          <w:kern w:val="22"/>
          <w:szCs w:val="22"/>
          <w:lang w:val="fr-FR"/>
        </w:rPr>
        <w:tab/>
      </w:r>
      <w:r w:rsidR="00E86C5A" w:rsidRPr="00E86C5A">
        <w:rPr>
          <w:snapToGrid/>
          <w:kern w:val="22"/>
          <w:szCs w:val="22"/>
          <w:lang w:val="fr-FR"/>
        </w:rPr>
        <w:t>Le pr</w:t>
      </w:r>
      <w:r w:rsidR="00ED79DC">
        <w:rPr>
          <w:snapToGrid/>
          <w:kern w:val="22"/>
          <w:szCs w:val="22"/>
          <w:lang w:val="fr-FR"/>
        </w:rPr>
        <w:t xml:space="preserve">ocessus d’élaboration d’un plan </w:t>
      </w:r>
      <w:r w:rsidR="00E86C5A" w:rsidRPr="00E86C5A">
        <w:rPr>
          <w:snapToGrid/>
          <w:kern w:val="22"/>
          <w:szCs w:val="22"/>
          <w:lang w:val="fr-FR"/>
        </w:rPr>
        <w:t>d’action spécifique pour le renforcement des capacités en vue de l’appli</w:t>
      </w:r>
      <w:r w:rsidR="00E86C5A">
        <w:rPr>
          <w:snapToGrid/>
          <w:kern w:val="22"/>
          <w:szCs w:val="22"/>
          <w:lang w:val="fr-FR"/>
        </w:rPr>
        <w:t>c</w:t>
      </w:r>
      <w:r w:rsidR="00E86C5A" w:rsidRPr="00E86C5A">
        <w:rPr>
          <w:snapToGrid/>
          <w:kern w:val="22"/>
          <w:szCs w:val="22"/>
          <w:lang w:val="fr-FR"/>
        </w:rPr>
        <w:t>ation du Protocole de Cartagena et de son Protocole additionnel</w:t>
      </w:r>
      <w:r w:rsidR="0033073E">
        <w:rPr>
          <w:snapToGrid/>
          <w:kern w:val="22"/>
          <w:szCs w:val="22"/>
          <w:lang w:val="fr-FR"/>
        </w:rPr>
        <w:t>,</w:t>
      </w:r>
      <w:r w:rsidRPr="00E86C5A">
        <w:rPr>
          <w:snapToGrid/>
          <w:kern w:val="22"/>
          <w:szCs w:val="22"/>
          <w:lang w:val="fr-FR"/>
        </w:rPr>
        <w:t xml:space="preserve"> </w:t>
      </w:r>
      <w:r w:rsidR="00E86C5A">
        <w:rPr>
          <w:snapToGrid/>
          <w:kern w:val="22"/>
          <w:szCs w:val="22"/>
          <w:lang w:val="fr-FR"/>
        </w:rPr>
        <w:t>qui soit compat</w:t>
      </w:r>
      <w:r w:rsidR="0033073E">
        <w:rPr>
          <w:snapToGrid/>
          <w:kern w:val="22"/>
          <w:szCs w:val="22"/>
          <w:lang w:val="fr-FR"/>
        </w:rPr>
        <w:t>ible avec le texte qui donnera suite au</w:t>
      </w:r>
      <w:r w:rsidR="00E86C5A">
        <w:rPr>
          <w:snapToGrid/>
          <w:kern w:val="22"/>
          <w:szCs w:val="22"/>
          <w:lang w:val="fr-FR"/>
        </w:rPr>
        <w:t xml:space="preserve"> Plan stratégique </w:t>
      </w:r>
      <w:r w:rsidR="00E3154E">
        <w:rPr>
          <w:snapToGrid/>
          <w:kern w:val="22"/>
          <w:szCs w:val="22"/>
          <w:lang w:val="fr-FR"/>
        </w:rPr>
        <w:t>du Protocole de Cartagena sur la prévention des risques biotechnologique</w:t>
      </w:r>
      <w:r w:rsidR="0033073E">
        <w:rPr>
          <w:snapToGrid/>
          <w:kern w:val="22"/>
          <w:szCs w:val="22"/>
          <w:lang w:val="fr-FR"/>
        </w:rPr>
        <w:t>,</w:t>
      </w:r>
      <w:r w:rsidR="00E3154E">
        <w:rPr>
          <w:snapToGrid/>
          <w:kern w:val="22"/>
          <w:szCs w:val="22"/>
          <w:lang w:val="fr-FR"/>
        </w:rPr>
        <w:t xml:space="preserve"> et complémentaire </w:t>
      </w:r>
      <w:r w:rsidR="00E3154E">
        <w:rPr>
          <w:kern w:val="22"/>
          <w:lang w:val="fr-FR"/>
        </w:rPr>
        <w:t>du cadre stratégique à long terme pour le renfo</w:t>
      </w:r>
      <w:r w:rsidR="0033073E">
        <w:rPr>
          <w:kern w:val="22"/>
          <w:lang w:val="fr-FR"/>
        </w:rPr>
        <w:t>rcement des capacités après</w:t>
      </w:r>
      <w:r w:rsidR="00E3154E">
        <w:rPr>
          <w:kern w:val="22"/>
          <w:lang w:val="fr-FR"/>
        </w:rPr>
        <w:t xml:space="preserve"> </w:t>
      </w:r>
      <w:r w:rsidR="00E3154E" w:rsidRPr="00172E35">
        <w:rPr>
          <w:snapToGrid/>
          <w:kern w:val="22"/>
          <w:szCs w:val="22"/>
          <w:lang w:val="fr-FR"/>
        </w:rPr>
        <w:t>2020</w:t>
      </w:r>
      <w:r w:rsidR="0033073E">
        <w:rPr>
          <w:snapToGrid/>
          <w:kern w:val="22"/>
          <w:szCs w:val="22"/>
          <w:lang w:val="fr-FR"/>
        </w:rPr>
        <w:t>,</w:t>
      </w:r>
      <w:r w:rsidR="00E3154E">
        <w:rPr>
          <w:snapToGrid/>
          <w:kern w:val="22"/>
          <w:szCs w:val="22"/>
          <w:lang w:val="fr-FR"/>
        </w:rPr>
        <w:t xml:space="preserve"> comprendra les </w:t>
      </w:r>
      <w:r w:rsidR="00ED79DC">
        <w:rPr>
          <w:snapToGrid/>
          <w:kern w:val="22"/>
          <w:szCs w:val="22"/>
          <w:lang w:val="fr-FR"/>
        </w:rPr>
        <w:t>activités suivantes, qui seront alignées sur le calendrier d’élaboration du texte qui donnera suite au</w:t>
      </w:r>
      <w:r w:rsidR="00E3154E">
        <w:rPr>
          <w:snapToGrid/>
          <w:kern w:val="22"/>
          <w:szCs w:val="22"/>
          <w:lang w:val="fr-FR"/>
        </w:rPr>
        <w:t xml:space="preserve"> Plan stratégique pour la diversité biologique </w:t>
      </w:r>
      <w:r w:rsidRPr="00E86C5A">
        <w:rPr>
          <w:snapToGrid/>
          <w:kern w:val="22"/>
          <w:szCs w:val="22"/>
          <w:lang w:val="fr-FR"/>
        </w:rPr>
        <w:t>2011-2020:</w:t>
      </w:r>
    </w:p>
    <w:p w14:paraId="3B83BADB" w14:textId="77777777" w:rsidR="00E36F0B" w:rsidRPr="001A1250" w:rsidRDefault="00E36F0B" w:rsidP="004E3AA6">
      <w:pPr>
        <w:pStyle w:val="Para1"/>
        <w:numPr>
          <w:ilvl w:val="0"/>
          <w:numId w:val="0"/>
        </w:numPr>
        <w:suppressLineNumbers/>
        <w:suppressAutoHyphens/>
        <w:kinsoku w:val="0"/>
        <w:overflowPunct w:val="0"/>
        <w:autoSpaceDE w:val="0"/>
        <w:autoSpaceDN w:val="0"/>
        <w:adjustRightInd w:val="0"/>
        <w:snapToGrid w:val="0"/>
        <w:rPr>
          <w:snapToGrid/>
          <w:kern w:val="22"/>
          <w:szCs w:val="22"/>
          <w:lang w:val="fr-FR"/>
        </w:rPr>
      </w:pPr>
    </w:p>
    <w:tbl>
      <w:tblPr>
        <w:tblW w:w="9598" w:type="dxa"/>
        <w:jc w:val="center"/>
        <w:tblLook w:val="01E0" w:firstRow="1" w:lastRow="1" w:firstColumn="1" w:lastColumn="1" w:noHBand="0" w:noVBand="0"/>
      </w:tblPr>
      <w:tblGrid>
        <w:gridCol w:w="5238"/>
        <w:gridCol w:w="1667"/>
        <w:gridCol w:w="2693"/>
      </w:tblGrid>
      <w:tr w:rsidR="004E3AA6" w:rsidRPr="009F6245" w14:paraId="339051CC" w14:textId="77777777" w:rsidTr="004E3AA6">
        <w:trPr>
          <w:cantSplit/>
          <w:tblHeader/>
          <w:jc w:val="center"/>
        </w:trPr>
        <w:tc>
          <w:tcPr>
            <w:tcW w:w="5238" w:type="dxa"/>
          </w:tcPr>
          <w:p w14:paraId="7CF5CD9E" w14:textId="00E29904" w:rsidR="004E3AA6" w:rsidRPr="009F6245" w:rsidRDefault="009F6245" w:rsidP="004E3AA6">
            <w:pPr>
              <w:pStyle w:val="Para1"/>
              <w:numPr>
                <w:ilvl w:val="0"/>
                <w:numId w:val="0"/>
              </w:numPr>
              <w:suppressLineNumbers/>
              <w:suppressAutoHyphens/>
              <w:kinsoku w:val="0"/>
              <w:overflowPunct w:val="0"/>
              <w:autoSpaceDE w:val="0"/>
              <w:autoSpaceDN w:val="0"/>
              <w:adjustRightInd w:val="0"/>
              <w:snapToGrid w:val="0"/>
              <w:spacing w:before="60" w:after="60"/>
              <w:rPr>
                <w:i/>
                <w:snapToGrid/>
                <w:kern w:val="22"/>
                <w:szCs w:val="22"/>
                <w:lang w:val="fr-FR"/>
              </w:rPr>
            </w:pPr>
            <w:r w:rsidRPr="009F6245">
              <w:rPr>
                <w:i/>
                <w:snapToGrid/>
                <w:kern w:val="22"/>
                <w:szCs w:val="22"/>
                <w:lang w:val="fr-FR"/>
              </w:rPr>
              <w:t>Activité/Tâche</w:t>
            </w:r>
          </w:p>
        </w:tc>
        <w:tc>
          <w:tcPr>
            <w:tcW w:w="1667" w:type="dxa"/>
          </w:tcPr>
          <w:p w14:paraId="7CDE294B" w14:textId="0C01AA9E" w:rsidR="004E3AA6" w:rsidRPr="009F6245" w:rsidRDefault="00FC4795" w:rsidP="004E3AA6">
            <w:pPr>
              <w:pStyle w:val="Para1"/>
              <w:numPr>
                <w:ilvl w:val="0"/>
                <w:numId w:val="0"/>
              </w:numPr>
              <w:suppressLineNumbers/>
              <w:suppressAutoHyphens/>
              <w:kinsoku w:val="0"/>
              <w:overflowPunct w:val="0"/>
              <w:autoSpaceDE w:val="0"/>
              <w:autoSpaceDN w:val="0"/>
              <w:adjustRightInd w:val="0"/>
              <w:snapToGrid w:val="0"/>
              <w:spacing w:before="60" w:after="60"/>
              <w:rPr>
                <w:i/>
                <w:snapToGrid/>
                <w:kern w:val="22"/>
                <w:szCs w:val="22"/>
                <w:lang w:val="fr-FR"/>
              </w:rPr>
            </w:pPr>
            <w:r>
              <w:rPr>
                <w:i/>
                <w:snapToGrid/>
                <w:kern w:val="22"/>
                <w:szCs w:val="22"/>
                <w:lang w:val="fr-FR"/>
              </w:rPr>
              <w:t>Calendrier</w:t>
            </w:r>
          </w:p>
        </w:tc>
        <w:tc>
          <w:tcPr>
            <w:tcW w:w="2693" w:type="dxa"/>
          </w:tcPr>
          <w:p w14:paraId="71E32F09" w14:textId="7DE52FEE" w:rsidR="004E3AA6" w:rsidRPr="009F6245" w:rsidRDefault="009F6245" w:rsidP="00AC0BF6">
            <w:pPr>
              <w:pStyle w:val="Para1"/>
              <w:numPr>
                <w:ilvl w:val="0"/>
                <w:numId w:val="0"/>
              </w:numPr>
              <w:suppressLineNumbers/>
              <w:suppressAutoHyphens/>
              <w:kinsoku w:val="0"/>
              <w:overflowPunct w:val="0"/>
              <w:autoSpaceDE w:val="0"/>
              <w:autoSpaceDN w:val="0"/>
              <w:adjustRightInd w:val="0"/>
              <w:snapToGrid w:val="0"/>
              <w:spacing w:before="60" w:after="60"/>
              <w:jc w:val="left"/>
              <w:rPr>
                <w:i/>
                <w:snapToGrid/>
                <w:kern w:val="22"/>
                <w:szCs w:val="22"/>
                <w:lang w:val="fr-FR"/>
              </w:rPr>
            </w:pPr>
            <w:r w:rsidRPr="009F6245">
              <w:rPr>
                <w:i/>
                <w:snapToGrid/>
                <w:kern w:val="22"/>
                <w:szCs w:val="22"/>
                <w:lang w:val="fr-FR"/>
              </w:rPr>
              <w:t>Responsabilité</w:t>
            </w:r>
          </w:p>
        </w:tc>
      </w:tr>
      <w:tr w:rsidR="004E3AA6" w:rsidRPr="00854769" w14:paraId="44225D53" w14:textId="77777777" w:rsidTr="004E3AA6">
        <w:trPr>
          <w:cantSplit/>
          <w:jc w:val="center"/>
        </w:trPr>
        <w:tc>
          <w:tcPr>
            <w:tcW w:w="5238" w:type="dxa"/>
          </w:tcPr>
          <w:p w14:paraId="429EDDBE" w14:textId="758DFFAD" w:rsidR="004E3AA6" w:rsidRPr="009F6245" w:rsidRDefault="004E3AA6" w:rsidP="00741E33">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fr-FR"/>
              </w:rPr>
            </w:pPr>
            <w:r w:rsidRPr="009F6245">
              <w:rPr>
                <w:snapToGrid/>
                <w:kern w:val="22"/>
                <w:szCs w:val="22"/>
                <w:lang w:val="fr-FR"/>
              </w:rPr>
              <w:t>1.</w:t>
            </w:r>
            <w:r w:rsidRPr="009F6245">
              <w:rPr>
                <w:snapToGrid/>
                <w:kern w:val="22"/>
                <w:szCs w:val="22"/>
                <w:lang w:val="fr-FR"/>
              </w:rPr>
              <w:tab/>
              <w:t xml:space="preserve">Invitation </w:t>
            </w:r>
            <w:r w:rsidR="00741E33">
              <w:rPr>
                <w:snapToGrid/>
                <w:kern w:val="22"/>
                <w:szCs w:val="22"/>
                <w:lang w:val="fr-FR"/>
              </w:rPr>
              <w:t>des</w:t>
            </w:r>
            <w:r w:rsidRPr="009F6245">
              <w:rPr>
                <w:snapToGrid/>
                <w:kern w:val="22"/>
                <w:szCs w:val="22"/>
                <w:lang w:val="fr-FR"/>
              </w:rPr>
              <w:t xml:space="preserve"> Partie</w:t>
            </w:r>
            <w:r w:rsidR="002B3F99" w:rsidRPr="009F6245">
              <w:rPr>
                <w:snapToGrid/>
                <w:kern w:val="22"/>
                <w:szCs w:val="22"/>
                <w:lang w:val="fr-FR"/>
              </w:rPr>
              <w:t>s</w:t>
            </w:r>
            <w:r w:rsidR="00741E33">
              <w:rPr>
                <w:snapToGrid/>
                <w:kern w:val="22"/>
                <w:szCs w:val="22"/>
                <w:lang w:val="fr-FR"/>
              </w:rPr>
              <w:t xml:space="preserve"> au Protocole de Cartagena</w:t>
            </w:r>
            <w:r w:rsidR="00545B5A">
              <w:rPr>
                <w:snapToGrid/>
                <w:kern w:val="22"/>
                <w:szCs w:val="22"/>
                <w:lang w:val="fr-FR"/>
              </w:rPr>
              <w:t>, des peuples autochtones et communautés locales et des organisations compétentes</w:t>
            </w:r>
            <w:r w:rsidR="00741E33">
              <w:rPr>
                <w:snapToGrid/>
                <w:kern w:val="22"/>
                <w:szCs w:val="22"/>
                <w:lang w:val="fr-FR"/>
              </w:rPr>
              <w:t xml:space="preserve"> </w:t>
            </w:r>
            <w:r w:rsidR="00FC4795">
              <w:rPr>
                <w:snapToGrid/>
                <w:kern w:val="22"/>
                <w:szCs w:val="22"/>
                <w:lang w:val="fr-FR"/>
              </w:rPr>
              <w:t>à communiquer</w:t>
            </w:r>
            <w:r w:rsidR="00741E33">
              <w:rPr>
                <w:snapToGrid/>
                <w:kern w:val="22"/>
                <w:szCs w:val="22"/>
                <w:lang w:val="fr-FR"/>
              </w:rPr>
              <w:t xml:space="preserve"> des points de vue et des suggestions sur les éléments éventuels d’un plan d’action spécifique pour le renforcement des capacités en matière de prévention des risques biotechnologiques, couvrant le Protocole de Cartagena et son Protocole additionnel, et compilation de ces informations par le Secrétariat</w:t>
            </w:r>
          </w:p>
        </w:tc>
        <w:tc>
          <w:tcPr>
            <w:tcW w:w="1667" w:type="dxa"/>
          </w:tcPr>
          <w:p w14:paraId="56DEF615" w14:textId="1FFA6410" w:rsidR="0064722B" w:rsidRPr="009F6245" w:rsidRDefault="00BD2A84" w:rsidP="004E3AA6">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r>
              <w:rPr>
                <w:snapToGrid/>
                <w:kern w:val="22"/>
                <w:szCs w:val="22"/>
                <w:lang w:val="fr-FR"/>
              </w:rPr>
              <w:t>Dé</w:t>
            </w:r>
            <w:r w:rsidR="002B3F99" w:rsidRPr="009F6245">
              <w:rPr>
                <w:snapToGrid/>
                <w:kern w:val="22"/>
                <w:szCs w:val="22"/>
                <w:lang w:val="fr-FR"/>
              </w:rPr>
              <w:t>c</w:t>
            </w:r>
            <w:r>
              <w:rPr>
                <w:snapToGrid/>
                <w:kern w:val="22"/>
                <w:szCs w:val="22"/>
                <w:lang w:val="fr-FR"/>
              </w:rPr>
              <w:t>.</w:t>
            </w:r>
            <w:r w:rsidR="0064722B" w:rsidRPr="009F6245">
              <w:rPr>
                <w:snapToGrid/>
                <w:kern w:val="22"/>
                <w:szCs w:val="22"/>
                <w:lang w:val="fr-FR"/>
              </w:rPr>
              <w:t xml:space="preserve"> 2018 -</w:t>
            </w:r>
          </w:p>
          <w:p w14:paraId="63ADABAC" w14:textId="69E233BD" w:rsidR="004E3AA6" w:rsidRPr="009F6245" w:rsidRDefault="00BD2A84" w:rsidP="004E3AA6">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r>
              <w:rPr>
                <w:snapToGrid/>
                <w:kern w:val="22"/>
                <w:szCs w:val="22"/>
                <w:lang w:val="fr-FR"/>
              </w:rPr>
              <w:t>fév.</w:t>
            </w:r>
            <w:r w:rsidR="002B3F99" w:rsidRPr="009F6245">
              <w:rPr>
                <w:snapToGrid/>
                <w:kern w:val="22"/>
                <w:szCs w:val="22"/>
                <w:lang w:val="fr-FR"/>
              </w:rPr>
              <w:t xml:space="preserve"> 2019</w:t>
            </w:r>
          </w:p>
        </w:tc>
        <w:tc>
          <w:tcPr>
            <w:tcW w:w="2693" w:type="dxa"/>
          </w:tcPr>
          <w:p w14:paraId="189FC3AC" w14:textId="6C4AE5D0" w:rsidR="004E3AA6" w:rsidRPr="009F6245" w:rsidRDefault="00FC4795" w:rsidP="00FC4795">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fr-FR"/>
              </w:rPr>
            </w:pPr>
            <w:r>
              <w:rPr>
                <w:snapToGrid/>
                <w:kern w:val="22"/>
                <w:szCs w:val="22"/>
                <w:lang w:val="fr-FR"/>
              </w:rPr>
              <w:t>Secré</w:t>
            </w:r>
            <w:r w:rsidR="004E3AA6" w:rsidRPr="009F6245">
              <w:rPr>
                <w:snapToGrid/>
                <w:kern w:val="22"/>
                <w:szCs w:val="22"/>
                <w:lang w:val="fr-FR"/>
              </w:rPr>
              <w:t>tar</w:t>
            </w:r>
            <w:r w:rsidR="00ED79DC">
              <w:rPr>
                <w:snapToGrid/>
                <w:kern w:val="22"/>
                <w:szCs w:val="22"/>
                <w:lang w:val="fr-FR"/>
              </w:rPr>
              <w:t>iat</w:t>
            </w:r>
            <w:r>
              <w:rPr>
                <w:snapToGrid/>
                <w:kern w:val="22"/>
                <w:szCs w:val="22"/>
                <w:lang w:val="fr-FR"/>
              </w:rPr>
              <w:t>; Parties, peuples autochtones et communautés locales</w:t>
            </w:r>
            <w:r w:rsidR="00ED79DC">
              <w:rPr>
                <w:snapToGrid/>
                <w:kern w:val="22"/>
                <w:szCs w:val="22"/>
                <w:lang w:val="fr-FR"/>
              </w:rPr>
              <w:t>,</w:t>
            </w:r>
            <w:r>
              <w:rPr>
                <w:snapToGrid/>
                <w:kern w:val="22"/>
                <w:szCs w:val="22"/>
                <w:lang w:val="fr-FR"/>
              </w:rPr>
              <w:t xml:space="preserve"> et organisations compétentes</w:t>
            </w:r>
            <w:r w:rsidR="004E3AA6" w:rsidRPr="009F6245">
              <w:rPr>
                <w:snapToGrid/>
                <w:kern w:val="22"/>
                <w:szCs w:val="22"/>
                <w:lang w:val="fr-FR"/>
              </w:rPr>
              <w:t xml:space="preserve"> </w:t>
            </w:r>
          </w:p>
        </w:tc>
      </w:tr>
      <w:tr w:rsidR="004E3AA6" w:rsidRPr="00022657" w14:paraId="7E5BF13B" w14:textId="77777777" w:rsidTr="004E3AA6">
        <w:trPr>
          <w:cantSplit/>
          <w:jc w:val="center"/>
        </w:trPr>
        <w:tc>
          <w:tcPr>
            <w:tcW w:w="5238" w:type="dxa"/>
          </w:tcPr>
          <w:p w14:paraId="756309B3" w14:textId="33DB8F5F" w:rsidR="004E3AA6" w:rsidRPr="009F6245" w:rsidRDefault="004E3AA6" w:rsidP="00545B5A">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fr-FR"/>
              </w:rPr>
            </w:pPr>
            <w:r w:rsidRPr="009F6245">
              <w:rPr>
                <w:snapToGrid/>
                <w:kern w:val="22"/>
                <w:szCs w:val="22"/>
                <w:lang w:val="fr-FR"/>
              </w:rPr>
              <w:t>2.</w:t>
            </w:r>
            <w:r w:rsidR="0064722B" w:rsidRPr="009F6245">
              <w:rPr>
                <w:snapToGrid/>
                <w:kern w:val="22"/>
                <w:szCs w:val="22"/>
                <w:lang w:val="fr-FR"/>
              </w:rPr>
              <w:t xml:space="preserve">  </w:t>
            </w:r>
            <w:r w:rsidR="00BD2A84">
              <w:rPr>
                <w:snapToGrid/>
                <w:kern w:val="22"/>
                <w:szCs w:val="22"/>
                <w:lang w:val="fr-FR"/>
              </w:rPr>
              <w:t>Contribution du Groupe de liaison à l’élaboration du projet de plan d’action pour le renforcement des capacités en vue de l’application du Protocole de Cartagena et de son Protocole additionnel, compte tenu des points de</w:t>
            </w:r>
            <w:r w:rsidR="00ED79DC">
              <w:rPr>
                <w:snapToGrid/>
                <w:kern w:val="22"/>
                <w:szCs w:val="22"/>
                <w:lang w:val="fr-FR"/>
              </w:rPr>
              <w:t xml:space="preserve"> vues et des suggestions communiqués</w:t>
            </w:r>
            <w:r w:rsidR="00BD2A84">
              <w:rPr>
                <w:snapToGrid/>
                <w:kern w:val="22"/>
                <w:szCs w:val="22"/>
                <w:lang w:val="fr-FR"/>
              </w:rPr>
              <w:t xml:space="preserve"> par les Parties</w:t>
            </w:r>
          </w:p>
        </w:tc>
        <w:tc>
          <w:tcPr>
            <w:tcW w:w="1667" w:type="dxa"/>
          </w:tcPr>
          <w:p w14:paraId="7377FBFB" w14:textId="34B2D6ED" w:rsidR="004E3AA6" w:rsidRPr="009F6245" w:rsidRDefault="0064722B" w:rsidP="004E3AA6">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r w:rsidRPr="009F6245">
              <w:rPr>
                <w:snapToGrid/>
                <w:kern w:val="22"/>
                <w:szCs w:val="22"/>
                <w:lang w:val="fr-FR"/>
              </w:rPr>
              <w:t>Mar</w:t>
            </w:r>
            <w:r w:rsidR="00BD2A84">
              <w:rPr>
                <w:snapToGrid/>
                <w:kern w:val="22"/>
                <w:szCs w:val="22"/>
                <w:lang w:val="fr-FR"/>
              </w:rPr>
              <w:t>s-s</w:t>
            </w:r>
            <w:r w:rsidRPr="009F6245">
              <w:rPr>
                <w:snapToGrid/>
                <w:kern w:val="22"/>
                <w:szCs w:val="22"/>
                <w:lang w:val="fr-FR"/>
              </w:rPr>
              <w:t>ept</w:t>
            </w:r>
            <w:r w:rsidR="00BD2A84">
              <w:rPr>
                <w:snapToGrid/>
                <w:kern w:val="22"/>
                <w:szCs w:val="22"/>
                <w:lang w:val="fr-FR"/>
              </w:rPr>
              <w:t>.</w:t>
            </w:r>
            <w:r w:rsidR="004E3AA6" w:rsidRPr="009F6245">
              <w:rPr>
                <w:snapToGrid/>
                <w:kern w:val="22"/>
                <w:szCs w:val="22"/>
                <w:lang w:val="fr-FR"/>
              </w:rPr>
              <w:t xml:space="preserve"> 201</w:t>
            </w:r>
            <w:r w:rsidRPr="009F6245">
              <w:rPr>
                <w:snapToGrid/>
                <w:kern w:val="22"/>
                <w:szCs w:val="22"/>
                <w:lang w:val="fr-FR"/>
              </w:rPr>
              <w:t>9</w:t>
            </w:r>
          </w:p>
        </w:tc>
        <w:tc>
          <w:tcPr>
            <w:tcW w:w="2693" w:type="dxa"/>
          </w:tcPr>
          <w:p w14:paraId="5D0AB202" w14:textId="766E5E6E" w:rsidR="004E3AA6" w:rsidRPr="009F6245" w:rsidRDefault="00ED79DC" w:rsidP="00545B5A">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fr-FR"/>
              </w:rPr>
            </w:pPr>
            <w:r>
              <w:rPr>
                <w:snapToGrid/>
                <w:kern w:val="22"/>
                <w:szCs w:val="22"/>
                <w:lang w:val="fr-FR"/>
              </w:rPr>
              <w:t>Groupe de liaison</w:t>
            </w:r>
            <w:r w:rsidR="00FC4795">
              <w:rPr>
                <w:snapToGrid/>
                <w:kern w:val="22"/>
                <w:szCs w:val="22"/>
                <w:lang w:val="fr-FR"/>
              </w:rPr>
              <w:t>; Secré</w:t>
            </w:r>
            <w:r w:rsidR="0064722B" w:rsidRPr="009F6245">
              <w:rPr>
                <w:snapToGrid/>
                <w:kern w:val="22"/>
                <w:szCs w:val="22"/>
                <w:lang w:val="fr-FR"/>
              </w:rPr>
              <w:t>tariat</w:t>
            </w:r>
          </w:p>
        </w:tc>
      </w:tr>
      <w:tr w:rsidR="004E3AA6" w:rsidRPr="009F6245" w14:paraId="534F8CBD" w14:textId="77777777" w:rsidTr="004E3AA6">
        <w:trPr>
          <w:cantSplit/>
          <w:jc w:val="center"/>
        </w:trPr>
        <w:tc>
          <w:tcPr>
            <w:tcW w:w="5238" w:type="dxa"/>
          </w:tcPr>
          <w:p w14:paraId="284263F7" w14:textId="5F96B398" w:rsidR="004E3AA6" w:rsidRPr="009F6245" w:rsidRDefault="004E3AA6" w:rsidP="00BD2A84">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fr-FR"/>
              </w:rPr>
            </w:pPr>
            <w:r w:rsidRPr="009F6245">
              <w:rPr>
                <w:snapToGrid/>
                <w:kern w:val="22"/>
                <w:szCs w:val="22"/>
                <w:lang w:val="fr-FR"/>
              </w:rPr>
              <w:t>3.</w:t>
            </w:r>
            <w:r w:rsidRPr="009F6245">
              <w:rPr>
                <w:snapToGrid/>
                <w:kern w:val="22"/>
                <w:szCs w:val="22"/>
                <w:lang w:val="fr-FR"/>
              </w:rPr>
              <w:tab/>
            </w:r>
            <w:r w:rsidR="00BD2A84">
              <w:rPr>
                <w:snapToGrid/>
                <w:kern w:val="22"/>
                <w:szCs w:val="22"/>
                <w:lang w:val="fr-FR"/>
              </w:rPr>
              <w:t>Élaboration d’un projet de plan d’action pour le renforcement des capacités en vue de l’application du Protocole de Cartagena et de son Protocole additionnel</w:t>
            </w:r>
          </w:p>
        </w:tc>
        <w:tc>
          <w:tcPr>
            <w:tcW w:w="1667" w:type="dxa"/>
          </w:tcPr>
          <w:p w14:paraId="1601B434" w14:textId="1DCF6A37" w:rsidR="004E3AA6" w:rsidRPr="009F6245" w:rsidRDefault="0064722B" w:rsidP="00BD2A84">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r w:rsidRPr="009F6245">
              <w:rPr>
                <w:snapToGrid/>
                <w:kern w:val="22"/>
                <w:szCs w:val="22"/>
                <w:lang w:val="fr-FR"/>
              </w:rPr>
              <w:t>Oct</w:t>
            </w:r>
            <w:r w:rsidR="00BD2A84">
              <w:rPr>
                <w:snapToGrid/>
                <w:kern w:val="22"/>
                <w:szCs w:val="22"/>
                <w:lang w:val="fr-FR"/>
              </w:rPr>
              <w:t>.-</w:t>
            </w:r>
            <w:r w:rsidR="00FC4795">
              <w:rPr>
                <w:snapToGrid/>
                <w:kern w:val="22"/>
                <w:szCs w:val="22"/>
                <w:lang w:val="fr-FR"/>
              </w:rPr>
              <w:t xml:space="preserve"> </w:t>
            </w:r>
            <w:r w:rsidR="00BD2A84">
              <w:rPr>
                <w:snapToGrid/>
                <w:kern w:val="22"/>
                <w:szCs w:val="22"/>
                <w:lang w:val="fr-FR"/>
              </w:rPr>
              <w:t>déc.</w:t>
            </w:r>
            <w:r w:rsidRPr="009F6245">
              <w:rPr>
                <w:snapToGrid/>
                <w:kern w:val="22"/>
                <w:szCs w:val="22"/>
                <w:lang w:val="fr-FR"/>
              </w:rPr>
              <w:t xml:space="preserve"> 2019</w:t>
            </w:r>
          </w:p>
        </w:tc>
        <w:tc>
          <w:tcPr>
            <w:tcW w:w="2693" w:type="dxa"/>
          </w:tcPr>
          <w:p w14:paraId="5A6AEE94" w14:textId="1BCA59A4" w:rsidR="004E3AA6" w:rsidRPr="009F6245" w:rsidRDefault="00FC4795" w:rsidP="00AC0BF6">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fr-FR"/>
              </w:rPr>
            </w:pPr>
            <w:r>
              <w:rPr>
                <w:snapToGrid/>
                <w:kern w:val="22"/>
                <w:szCs w:val="22"/>
                <w:lang w:val="fr-FR"/>
              </w:rPr>
              <w:t>Secré</w:t>
            </w:r>
            <w:r w:rsidR="0064722B" w:rsidRPr="009F6245">
              <w:rPr>
                <w:snapToGrid/>
                <w:kern w:val="22"/>
                <w:szCs w:val="22"/>
                <w:lang w:val="fr-FR"/>
              </w:rPr>
              <w:t>tariat</w:t>
            </w:r>
          </w:p>
        </w:tc>
      </w:tr>
      <w:tr w:rsidR="004E3AA6" w:rsidRPr="00022657" w14:paraId="638D27C7" w14:textId="77777777" w:rsidTr="004E3AA6">
        <w:trPr>
          <w:cantSplit/>
          <w:jc w:val="center"/>
        </w:trPr>
        <w:tc>
          <w:tcPr>
            <w:tcW w:w="5238" w:type="dxa"/>
          </w:tcPr>
          <w:p w14:paraId="2DD71ADC" w14:textId="6642B776" w:rsidR="004E3AA6" w:rsidRPr="009F6245" w:rsidRDefault="004E3AA6" w:rsidP="00545B5A">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fr-FR"/>
              </w:rPr>
            </w:pPr>
            <w:r w:rsidRPr="009F6245">
              <w:rPr>
                <w:snapToGrid/>
                <w:kern w:val="22"/>
                <w:szCs w:val="22"/>
                <w:lang w:val="fr-FR"/>
              </w:rPr>
              <w:lastRenderedPageBreak/>
              <w:t>4.</w:t>
            </w:r>
            <w:r w:rsidRPr="009F6245">
              <w:rPr>
                <w:snapToGrid/>
                <w:kern w:val="22"/>
                <w:szCs w:val="22"/>
                <w:lang w:val="fr-FR"/>
              </w:rPr>
              <w:tab/>
            </w:r>
            <w:r w:rsidR="00BD2A84">
              <w:rPr>
                <w:snapToGrid/>
                <w:kern w:val="22"/>
                <w:szCs w:val="22"/>
                <w:lang w:val="fr-FR"/>
              </w:rPr>
              <w:t>Examen du projet de plan d’action pour le renforcement des capacités en matière de prévention des risques biotechnologiques par le Groupe de liaison, compte tenu des informations fournies dans les quatrièmes rapports nationaux au titre du Protocole de Cartagena</w:t>
            </w:r>
          </w:p>
        </w:tc>
        <w:tc>
          <w:tcPr>
            <w:tcW w:w="1667" w:type="dxa"/>
          </w:tcPr>
          <w:p w14:paraId="302E287D" w14:textId="3CDDA353" w:rsidR="004E3AA6" w:rsidRPr="009F6245" w:rsidRDefault="00BD2A84" w:rsidP="004E3AA6">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r>
              <w:rPr>
                <w:snapToGrid/>
                <w:kern w:val="22"/>
                <w:szCs w:val="22"/>
                <w:lang w:val="fr-FR"/>
              </w:rPr>
              <w:t>Fév.-</w:t>
            </w:r>
            <w:r w:rsidR="00FC4795">
              <w:rPr>
                <w:snapToGrid/>
                <w:kern w:val="22"/>
                <w:szCs w:val="22"/>
                <w:lang w:val="fr-FR"/>
              </w:rPr>
              <w:t xml:space="preserve"> </w:t>
            </w:r>
            <w:r>
              <w:rPr>
                <w:snapToGrid/>
                <w:kern w:val="22"/>
                <w:szCs w:val="22"/>
                <w:lang w:val="fr-FR"/>
              </w:rPr>
              <w:t>m</w:t>
            </w:r>
            <w:r w:rsidR="0064722B" w:rsidRPr="009F6245">
              <w:rPr>
                <w:snapToGrid/>
                <w:kern w:val="22"/>
                <w:szCs w:val="22"/>
                <w:lang w:val="fr-FR"/>
              </w:rPr>
              <w:t>ar</w:t>
            </w:r>
            <w:r>
              <w:rPr>
                <w:snapToGrid/>
                <w:kern w:val="22"/>
                <w:szCs w:val="22"/>
                <w:lang w:val="fr-FR"/>
              </w:rPr>
              <w:t>s</w:t>
            </w:r>
            <w:r w:rsidR="0064722B" w:rsidRPr="009F6245">
              <w:rPr>
                <w:snapToGrid/>
                <w:kern w:val="22"/>
                <w:szCs w:val="22"/>
                <w:lang w:val="fr-FR"/>
              </w:rPr>
              <w:t xml:space="preserve"> 2020</w:t>
            </w:r>
          </w:p>
        </w:tc>
        <w:tc>
          <w:tcPr>
            <w:tcW w:w="2693" w:type="dxa"/>
          </w:tcPr>
          <w:p w14:paraId="75D41095" w14:textId="28850E33" w:rsidR="004E3AA6" w:rsidRPr="009F6245" w:rsidRDefault="00FC4795" w:rsidP="00545B5A">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fr-FR"/>
              </w:rPr>
            </w:pPr>
            <w:r>
              <w:rPr>
                <w:snapToGrid/>
                <w:kern w:val="22"/>
                <w:szCs w:val="22"/>
                <w:lang w:val="fr-FR"/>
              </w:rPr>
              <w:t xml:space="preserve">Groupe de liaison </w:t>
            </w:r>
          </w:p>
        </w:tc>
      </w:tr>
      <w:tr w:rsidR="004E3AA6" w:rsidRPr="00854769" w14:paraId="11802E46" w14:textId="77777777" w:rsidTr="00AE4728">
        <w:trPr>
          <w:cantSplit/>
          <w:trHeight w:val="1222"/>
          <w:jc w:val="center"/>
        </w:trPr>
        <w:tc>
          <w:tcPr>
            <w:tcW w:w="5238" w:type="dxa"/>
          </w:tcPr>
          <w:p w14:paraId="393BDCAD" w14:textId="5B5029CD" w:rsidR="00AE3ACF" w:rsidRPr="009F6245" w:rsidRDefault="004E3AA6" w:rsidP="004E26BE">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spacing w:val="-3"/>
                <w:kern w:val="22"/>
                <w:szCs w:val="22"/>
                <w:lang w:val="fr-FR"/>
              </w:rPr>
            </w:pPr>
            <w:r w:rsidRPr="009F6245">
              <w:rPr>
                <w:snapToGrid/>
                <w:spacing w:val="-3"/>
                <w:kern w:val="22"/>
                <w:szCs w:val="22"/>
                <w:lang w:val="fr-FR"/>
              </w:rPr>
              <w:t>5.</w:t>
            </w:r>
            <w:r w:rsidRPr="009F6245">
              <w:rPr>
                <w:snapToGrid/>
                <w:spacing w:val="-3"/>
                <w:kern w:val="22"/>
                <w:szCs w:val="22"/>
                <w:lang w:val="fr-FR"/>
              </w:rPr>
              <w:tab/>
            </w:r>
            <w:r w:rsidR="00BD2A84">
              <w:rPr>
                <w:snapToGrid/>
                <w:spacing w:val="-3"/>
                <w:kern w:val="22"/>
                <w:szCs w:val="22"/>
                <w:lang w:val="fr-FR"/>
              </w:rPr>
              <w:t>Notification invitant</w:t>
            </w:r>
            <w:r w:rsidR="004E26BE">
              <w:rPr>
                <w:snapToGrid/>
                <w:spacing w:val="-3"/>
                <w:kern w:val="22"/>
                <w:szCs w:val="22"/>
                <w:lang w:val="fr-FR"/>
              </w:rPr>
              <w:t xml:space="preserve"> les Parties,</w:t>
            </w:r>
            <w:r w:rsidR="00ED79DC">
              <w:rPr>
                <w:snapToGrid/>
                <w:spacing w:val="-3"/>
                <w:kern w:val="22"/>
                <w:szCs w:val="22"/>
                <w:lang w:val="fr-FR"/>
              </w:rPr>
              <w:t xml:space="preserve"> les peuples autochtones et </w:t>
            </w:r>
            <w:r w:rsidR="004E26BE">
              <w:rPr>
                <w:snapToGrid/>
                <w:spacing w:val="-3"/>
                <w:kern w:val="22"/>
                <w:szCs w:val="22"/>
                <w:lang w:val="fr-FR"/>
              </w:rPr>
              <w:t>communautés locales et les organisations compétentes à communiquer leurs points de vue sur la version finale du projet de plan d’action pour le renforcement des capacités en vue de l’application du Protocole de Cartagena et de son Protocole additionnel, et compilation des points de vue par le Secrétariat</w:t>
            </w:r>
          </w:p>
        </w:tc>
        <w:tc>
          <w:tcPr>
            <w:tcW w:w="1667" w:type="dxa"/>
          </w:tcPr>
          <w:p w14:paraId="581DCAB8" w14:textId="72016F2B" w:rsidR="00AE3ACF" w:rsidRPr="009F6245" w:rsidRDefault="00BD2A84" w:rsidP="004E3AA6">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r>
              <w:rPr>
                <w:snapToGrid/>
                <w:kern w:val="22"/>
                <w:szCs w:val="22"/>
                <w:lang w:val="fr-FR"/>
              </w:rPr>
              <w:t>Avril-mai</w:t>
            </w:r>
            <w:r w:rsidR="009E5E86" w:rsidRPr="009F6245">
              <w:rPr>
                <w:snapToGrid/>
                <w:kern w:val="22"/>
                <w:szCs w:val="22"/>
                <w:lang w:val="fr-FR"/>
              </w:rPr>
              <w:t xml:space="preserve"> 2020</w:t>
            </w:r>
          </w:p>
          <w:p w14:paraId="488DBB74" w14:textId="77777777" w:rsidR="00AE3ACF" w:rsidRPr="009F6245" w:rsidRDefault="00AE3ACF" w:rsidP="004E3AA6">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p>
        </w:tc>
        <w:tc>
          <w:tcPr>
            <w:tcW w:w="2693" w:type="dxa"/>
          </w:tcPr>
          <w:p w14:paraId="005D2C7C" w14:textId="61BF014D" w:rsidR="00AE3ACF" w:rsidRPr="009F6245" w:rsidRDefault="004E26BE" w:rsidP="004E26BE">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fr-FR"/>
              </w:rPr>
            </w:pPr>
            <w:r>
              <w:rPr>
                <w:snapToGrid/>
                <w:kern w:val="22"/>
                <w:szCs w:val="22"/>
                <w:lang w:val="fr-FR"/>
              </w:rPr>
              <w:t>Secré</w:t>
            </w:r>
            <w:r w:rsidR="009E5E86" w:rsidRPr="009F6245">
              <w:rPr>
                <w:snapToGrid/>
                <w:kern w:val="22"/>
                <w:szCs w:val="22"/>
                <w:lang w:val="fr-FR"/>
              </w:rPr>
              <w:t>tar</w:t>
            </w:r>
            <w:r w:rsidR="00ED79DC">
              <w:rPr>
                <w:snapToGrid/>
                <w:kern w:val="22"/>
                <w:szCs w:val="22"/>
                <w:lang w:val="fr-FR"/>
              </w:rPr>
              <w:t>iat</w:t>
            </w:r>
            <w:r w:rsidR="00FC4795">
              <w:rPr>
                <w:snapToGrid/>
                <w:kern w:val="22"/>
                <w:szCs w:val="22"/>
                <w:lang w:val="fr-FR"/>
              </w:rPr>
              <w:t>;</w:t>
            </w:r>
            <w:r>
              <w:rPr>
                <w:snapToGrid/>
                <w:kern w:val="22"/>
                <w:szCs w:val="22"/>
                <w:lang w:val="fr-FR"/>
              </w:rPr>
              <w:t xml:space="preserve"> Parties, peuples autochtones et communautés locales</w:t>
            </w:r>
            <w:r w:rsidR="00ED79DC">
              <w:rPr>
                <w:snapToGrid/>
                <w:kern w:val="22"/>
                <w:szCs w:val="22"/>
                <w:lang w:val="fr-FR"/>
              </w:rPr>
              <w:t>,</w:t>
            </w:r>
            <w:r>
              <w:rPr>
                <w:snapToGrid/>
                <w:kern w:val="22"/>
                <w:szCs w:val="22"/>
                <w:lang w:val="fr-FR"/>
              </w:rPr>
              <w:t xml:space="preserve"> et organisations compétentes</w:t>
            </w:r>
          </w:p>
        </w:tc>
      </w:tr>
      <w:tr w:rsidR="004E3AA6" w:rsidRPr="00854769" w14:paraId="5205B5E0" w14:textId="77777777" w:rsidTr="004E3AA6">
        <w:trPr>
          <w:cantSplit/>
          <w:jc w:val="center"/>
        </w:trPr>
        <w:tc>
          <w:tcPr>
            <w:tcW w:w="5238" w:type="dxa"/>
          </w:tcPr>
          <w:p w14:paraId="7D7BE0C2" w14:textId="39B14DFE" w:rsidR="004E3AA6" w:rsidRPr="009F6245" w:rsidRDefault="004E3AA6" w:rsidP="00FC4795">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spacing w:val="-4"/>
                <w:kern w:val="22"/>
                <w:szCs w:val="22"/>
                <w:lang w:val="fr-FR"/>
              </w:rPr>
            </w:pPr>
            <w:r w:rsidRPr="009F6245">
              <w:rPr>
                <w:snapToGrid/>
                <w:spacing w:val="-4"/>
                <w:kern w:val="22"/>
                <w:szCs w:val="22"/>
                <w:lang w:val="fr-FR"/>
              </w:rPr>
              <w:t>6.</w:t>
            </w:r>
            <w:r w:rsidRPr="009F6245">
              <w:rPr>
                <w:snapToGrid/>
                <w:spacing w:val="-4"/>
                <w:kern w:val="22"/>
                <w:szCs w:val="22"/>
                <w:lang w:val="fr-FR"/>
              </w:rPr>
              <w:tab/>
            </w:r>
            <w:r w:rsidR="004E26BE">
              <w:rPr>
                <w:snapToGrid/>
                <w:spacing w:val="-4"/>
                <w:kern w:val="22"/>
                <w:szCs w:val="22"/>
                <w:lang w:val="fr-FR"/>
              </w:rPr>
              <w:t>Examen de la version finale du projet de plan d’action pour le renforcement des capacités en vue de l’application du Protocole de Cartagena et de son Protocole additionnel par l’Organe subsidiaire chargé de l’application à sa troisième réunion</w:t>
            </w:r>
          </w:p>
        </w:tc>
        <w:tc>
          <w:tcPr>
            <w:tcW w:w="1667" w:type="dxa"/>
          </w:tcPr>
          <w:p w14:paraId="146A7CEE" w14:textId="166EFC6F" w:rsidR="004E3AA6" w:rsidRPr="009F6245" w:rsidRDefault="004E3AA6" w:rsidP="004E3AA6">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r w:rsidRPr="009F6245">
              <w:rPr>
                <w:snapToGrid/>
                <w:kern w:val="22"/>
                <w:szCs w:val="22"/>
                <w:lang w:val="fr-FR"/>
              </w:rPr>
              <w:t>Ju</w:t>
            </w:r>
            <w:r w:rsidR="00BD2A84">
              <w:rPr>
                <w:snapToGrid/>
                <w:kern w:val="22"/>
                <w:szCs w:val="22"/>
                <w:lang w:val="fr-FR"/>
              </w:rPr>
              <w:t>i</w:t>
            </w:r>
            <w:r w:rsidRPr="009F6245">
              <w:rPr>
                <w:snapToGrid/>
                <w:kern w:val="22"/>
                <w:szCs w:val="22"/>
                <w:lang w:val="fr-FR"/>
              </w:rPr>
              <w:t>n 20</w:t>
            </w:r>
            <w:r w:rsidR="009E5E86" w:rsidRPr="009F6245">
              <w:rPr>
                <w:snapToGrid/>
                <w:kern w:val="22"/>
                <w:szCs w:val="22"/>
                <w:lang w:val="fr-FR"/>
              </w:rPr>
              <w:t>20</w:t>
            </w:r>
          </w:p>
        </w:tc>
        <w:tc>
          <w:tcPr>
            <w:tcW w:w="2693" w:type="dxa"/>
          </w:tcPr>
          <w:p w14:paraId="5447654A" w14:textId="32EB0AEF" w:rsidR="004E3AA6" w:rsidRPr="009F6245" w:rsidRDefault="004E26BE" w:rsidP="004E26BE">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fr-FR"/>
              </w:rPr>
            </w:pPr>
            <w:r>
              <w:rPr>
                <w:snapToGrid/>
                <w:kern w:val="22"/>
                <w:szCs w:val="22"/>
                <w:lang w:val="fr-FR"/>
              </w:rPr>
              <w:t>Troisième réunion de l’Organe subsidiaire chargé de l’application</w:t>
            </w:r>
          </w:p>
        </w:tc>
      </w:tr>
      <w:tr w:rsidR="004E3AA6" w:rsidRPr="00854769" w14:paraId="3DA113FE" w14:textId="77777777" w:rsidTr="004E3AA6">
        <w:trPr>
          <w:cantSplit/>
          <w:jc w:val="center"/>
        </w:trPr>
        <w:tc>
          <w:tcPr>
            <w:tcW w:w="5238" w:type="dxa"/>
          </w:tcPr>
          <w:p w14:paraId="401F4517" w14:textId="1FE96921" w:rsidR="004E3AA6" w:rsidRPr="009F6245" w:rsidRDefault="004E3AA6" w:rsidP="00FC4795">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lang w:val="fr-FR"/>
              </w:rPr>
            </w:pPr>
            <w:r w:rsidRPr="009F6245">
              <w:rPr>
                <w:snapToGrid/>
                <w:kern w:val="22"/>
                <w:szCs w:val="22"/>
                <w:lang w:val="fr-FR"/>
              </w:rPr>
              <w:t>7.</w:t>
            </w:r>
            <w:r w:rsidRPr="009F6245">
              <w:rPr>
                <w:snapToGrid/>
                <w:kern w:val="22"/>
                <w:szCs w:val="22"/>
                <w:lang w:val="fr-FR"/>
              </w:rPr>
              <w:tab/>
            </w:r>
            <w:r w:rsidR="00FC4795">
              <w:rPr>
                <w:snapToGrid/>
                <w:kern w:val="22"/>
                <w:szCs w:val="22"/>
                <w:lang w:val="fr-FR"/>
              </w:rPr>
              <w:t>Examen du projet de plan d’action par la Conférence des Parties siégeant en tant que réunion des Parties au Protocole de Cartagena sur la prévention de</w:t>
            </w:r>
            <w:r w:rsidR="00ED79DC">
              <w:rPr>
                <w:snapToGrid/>
                <w:kern w:val="22"/>
                <w:szCs w:val="22"/>
                <w:lang w:val="fr-FR"/>
              </w:rPr>
              <w:t>s risques biotechnologiques aux fins</w:t>
            </w:r>
            <w:r w:rsidR="00FC4795">
              <w:rPr>
                <w:snapToGrid/>
                <w:kern w:val="22"/>
                <w:szCs w:val="22"/>
                <w:lang w:val="fr-FR"/>
              </w:rPr>
              <w:t xml:space="preserve"> </w:t>
            </w:r>
            <w:r w:rsidR="00ED79DC">
              <w:rPr>
                <w:snapToGrid/>
                <w:kern w:val="22"/>
                <w:szCs w:val="22"/>
                <w:lang w:val="fr-FR"/>
              </w:rPr>
              <w:t>d’</w:t>
            </w:r>
            <w:r w:rsidR="00FC4795">
              <w:rPr>
                <w:snapToGrid/>
                <w:kern w:val="22"/>
                <w:szCs w:val="22"/>
                <w:lang w:val="fr-FR"/>
              </w:rPr>
              <w:t>adoption éventuelle, compte tenu de la recommandation de l’Organe subsidiaire chargé de l’application</w:t>
            </w:r>
          </w:p>
        </w:tc>
        <w:tc>
          <w:tcPr>
            <w:tcW w:w="1667" w:type="dxa"/>
          </w:tcPr>
          <w:p w14:paraId="0AAA60B8" w14:textId="4DF9D58B" w:rsidR="004E3AA6" w:rsidRPr="009F6245" w:rsidRDefault="004E26BE" w:rsidP="004E3AA6">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lang w:val="fr-FR"/>
              </w:rPr>
            </w:pPr>
            <w:r>
              <w:rPr>
                <w:snapToGrid/>
                <w:kern w:val="22"/>
                <w:szCs w:val="22"/>
                <w:lang w:val="fr-FR"/>
              </w:rPr>
              <w:t>Octobre</w:t>
            </w:r>
            <w:r w:rsidR="009E5E86" w:rsidRPr="009F6245">
              <w:rPr>
                <w:snapToGrid/>
                <w:kern w:val="22"/>
                <w:szCs w:val="22"/>
                <w:lang w:val="fr-FR"/>
              </w:rPr>
              <w:t xml:space="preserve"> 2020</w:t>
            </w:r>
          </w:p>
        </w:tc>
        <w:tc>
          <w:tcPr>
            <w:tcW w:w="2693" w:type="dxa"/>
          </w:tcPr>
          <w:p w14:paraId="454D32C2" w14:textId="542E2D1F" w:rsidR="004E3AA6" w:rsidRPr="009F6245" w:rsidRDefault="004E26BE" w:rsidP="004E26BE">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lang w:val="fr-FR"/>
              </w:rPr>
            </w:pPr>
            <w:r>
              <w:rPr>
                <w:snapToGrid/>
                <w:kern w:val="22"/>
                <w:szCs w:val="22"/>
                <w:lang w:val="fr-FR"/>
              </w:rPr>
              <w:t>Dixième réunion de la Conférence des Parties siégeant en tant que réunion des Parties au Protocole de Cartagena sur la prévention des risques biotechnologiques</w:t>
            </w:r>
          </w:p>
        </w:tc>
      </w:tr>
    </w:tbl>
    <w:p w14:paraId="0BF7973B" w14:textId="77777777" w:rsidR="00327D65" w:rsidRPr="009F6245" w:rsidRDefault="00327D65" w:rsidP="00AE4728">
      <w:pPr>
        <w:jc w:val="center"/>
        <w:rPr>
          <w:lang w:val="fr-FR"/>
        </w:rPr>
      </w:pPr>
    </w:p>
    <w:p w14:paraId="48D24824" w14:textId="38F0E114" w:rsidR="00B3369F" w:rsidRPr="009F6245" w:rsidRDefault="00C9161D" w:rsidP="00AE4728">
      <w:pPr>
        <w:jc w:val="center"/>
        <w:rPr>
          <w:lang w:val="fr-FR"/>
        </w:rPr>
      </w:pPr>
      <w:r w:rsidRPr="009F6245">
        <w:rPr>
          <w:lang w:val="fr-FR"/>
        </w:rPr>
        <w:t>______</w:t>
      </w:r>
    </w:p>
    <w:sectPr w:rsidR="00B3369F" w:rsidRPr="009F6245"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D33D1" w14:textId="77777777" w:rsidR="00C06D04" w:rsidRDefault="00C06D04" w:rsidP="00CF1848">
      <w:r>
        <w:separator/>
      </w:r>
    </w:p>
  </w:endnote>
  <w:endnote w:type="continuationSeparator" w:id="0">
    <w:p w14:paraId="5D5C0222" w14:textId="77777777" w:rsidR="00C06D04" w:rsidRDefault="00C06D0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4D8D2" w14:textId="77777777" w:rsidR="00C06D04" w:rsidRDefault="00C06D04" w:rsidP="00CF1848">
      <w:r>
        <w:separator/>
      </w:r>
    </w:p>
  </w:footnote>
  <w:footnote w:type="continuationSeparator" w:id="0">
    <w:p w14:paraId="7EEE5013" w14:textId="77777777" w:rsidR="00C06D04" w:rsidRDefault="00C06D04" w:rsidP="00CF1848">
      <w:r>
        <w:continuationSeparator/>
      </w:r>
    </w:p>
  </w:footnote>
  <w:footnote w:id="1">
    <w:p w14:paraId="783CA7AF" w14:textId="77777777" w:rsidR="006D00FB" w:rsidRPr="00172E35" w:rsidRDefault="006D00FB" w:rsidP="006D00FB">
      <w:pPr>
        <w:pStyle w:val="FootnoteText"/>
        <w:suppressLineNumbers/>
        <w:suppressAutoHyphens/>
        <w:kinsoku w:val="0"/>
        <w:overflowPunct w:val="0"/>
        <w:autoSpaceDE w:val="0"/>
        <w:autoSpaceDN w:val="0"/>
        <w:ind w:firstLine="0"/>
        <w:jc w:val="left"/>
        <w:rPr>
          <w:kern w:val="18"/>
          <w:szCs w:val="18"/>
          <w:lang w:val="fr-FR"/>
        </w:rPr>
      </w:pPr>
      <w:r w:rsidRPr="007A3327">
        <w:rPr>
          <w:rStyle w:val="FootnoteReference"/>
          <w:kern w:val="18"/>
          <w:szCs w:val="18"/>
        </w:rPr>
        <w:footnoteRef/>
      </w:r>
      <w:r w:rsidRPr="00172E35">
        <w:rPr>
          <w:kern w:val="18"/>
          <w:szCs w:val="18"/>
          <w:lang w:val="fr-FR"/>
        </w:rPr>
        <w:t xml:space="preserve"> Le rapport </w:t>
      </w:r>
      <w:r>
        <w:rPr>
          <w:kern w:val="18"/>
          <w:szCs w:val="18"/>
          <w:lang w:val="fr-FR"/>
        </w:rPr>
        <w:t>actualisé</w:t>
      </w:r>
      <w:r w:rsidRPr="00172E35">
        <w:rPr>
          <w:kern w:val="18"/>
          <w:szCs w:val="18"/>
          <w:lang w:val="fr-FR"/>
        </w:rPr>
        <w:t xml:space="preserve"> figure dans le document </w:t>
      </w:r>
      <w:r>
        <w:rPr>
          <w:kern w:val="18"/>
          <w:szCs w:val="18"/>
          <w:lang w:val="fr-FR"/>
        </w:rPr>
        <w:t xml:space="preserve">d’information </w:t>
      </w:r>
      <w:r w:rsidRPr="00172E35">
        <w:rPr>
          <w:kern w:val="18"/>
          <w:szCs w:val="18"/>
          <w:lang w:val="fr-FR"/>
        </w:rPr>
        <w:t>CBD/COP/14/INF/10.</w:t>
      </w:r>
    </w:p>
  </w:footnote>
  <w:footnote w:id="2">
    <w:p w14:paraId="13B13FA2" w14:textId="0955E17F" w:rsidR="00022657" w:rsidRPr="00022657" w:rsidRDefault="00022657" w:rsidP="00022657">
      <w:pPr>
        <w:pStyle w:val="FootnoteText"/>
        <w:ind w:firstLine="0"/>
        <w:rPr>
          <w:lang w:val="fr-FR"/>
        </w:rPr>
      </w:pPr>
      <w:r>
        <w:rPr>
          <w:rStyle w:val="FootnoteReference"/>
        </w:rPr>
        <w:footnoteRef/>
      </w:r>
      <w:r w:rsidRPr="00022657">
        <w:rPr>
          <w:lang w:val="fr-FR"/>
        </w:rPr>
        <w:t xml:space="preserve"> </w:t>
      </w:r>
      <w:r>
        <w:rPr>
          <w:lang w:val="fr-FR"/>
        </w:rPr>
        <w:t>CBD/CP/MOP/9/3, partie II.</w:t>
      </w:r>
    </w:p>
  </w:footnote>
  <w:footnote w:id="3">
    <w:p w14:paraId="454136C2" w14:textId="0BFA48CC" w:rsidR="00B45C46" w:rsidRPr="00B45C46" w:rsidRDefault="00B45C46" w:rsidP="00B45C46">
      <w:pPr>
        <w:pStyle w:val="FootnoteText"/>
        <w:ind w:firstLine="0"/>
        <w:rPr>
          <w:lang w:val="fr-FR"/>
        </w:rPr>
      </w:pPr>
      <w:r>
        <w:rPr>
          <w:rStyle w:val="FootnoteReference"/>
        </w:rPr>
        <w:footnoteRef/>
      </w:r>
      <w:r w:rsidRPr="00B45C46">
        <w:rPr>
          <w:lang w:val="fr-FR"/>
        </w:rPr>
        <w:t xml:space="preserve"> </w:t>
      </w:r>
      <w:r w:rsidR="0033073E">
        <w:rPr>
          <w:lang w:val="fr-FR"/>
        </w:rPr>
        <w:t xml:space="preserve">Auparavant dénommé </w:t>
      </w:r>
      <w:r w:rsidRPr="00B45C46">
        <w:rPr>
          <w:lang w:val="fr-FR"/>
        </w:rPr>
        <w:t>Groupe de liaison sur le renforcement des capacités.</w:t>
      </w:r>
    </w:p>
  </w:footnote>
  <w:footnote w:id="4">
    <w:p w14:paraId="6870AB32" w14:textId="7B870E14" w:rsidR="00B45C46" w:rsidRPr="00B45C46" w:rsidRDefault="00B45C46" w:rsidP="00B45C46">
      <w:pPr>
        <w:pStyle w:val="FootnoteText"/>
        <w:ind w:firstLine="0"/>
        <w:rPr>
          <w:lang w:val="fr-FR"/>
        </w:rPr>
      </w:pPr>
      <w:r>
        <w:rPr>
          <w:rStyle w:val="FootnoteReference"/>
        </w:rPr>
        <w:footnoteRef/>
      </w:r>
      <w:r w:rsidRPr="00B45C46">
        <w:rPr>
          <w:lang w:val="fr-FR"/>
        </w:rPr>
        <w:t xml:space="preserve"> Voir le paragraphe 1 d) de la décision 14/24.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452E1D1F" w:rsidR="002F2E6D" w:rsidRPr="00772EC7" w:rsidRDefault="00022657" w:rsidP="00534681">
        <w:pPr>
          <w:pStyle w:val="Header"/>
          <w:rPr>
            <w:lang w:val="fr-FR"/>
          </w:rPr>
        </w:pPr>
        <w:r>
          <w:rPr>
            <w:lang w:val="fr-FR"/>
          </w:rPr>
          <w:t>CBD/CP/MOP/DEC/9/3</w:t>
        </w:r>
      </w:p>
    </w:sdtContent>
  </w:sdt>
  <w:p w14:paraId="57597240" w14:textId="53F29B01" w:rsidR="002F2E6D" w:rsidRPr="00000614" w:rsidRDefault="002F2E6D"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ED79DC">
      <w:rPr>
        <w:noProof/>
        <w:lang w:val="fr-FR"/>
      </w:rPr>
      <w:t>2</w:t>
    </w:r>
    <w:r>
      <w:rPr>
        <w:noProof/>
      </w:rPr>
      <w:fldChar w:fldCharType="end"/>
    </w:r>
  </w:p>
  <w:p w14:paraId="1D80EB20" w14:textId="77777777" w:rsidR="002F2E6D" w:rsidRPr="00000614" w:rsidRDefault="002F2E6D">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0981B802" w:rsidR="002F2E6D" w:rsidRPr="001A3BC2" w:rsidRDefault="00022657" w:rsidP="001A3BC2">
        <w:pPr>
          <w:pStyle w:val="Header"/>
          <w:jc w:val="right"/>
          <w:rPr>
            <w:lang w:val="fr-FR"/>
          </w:rPr>
        </w:pPr>
        <w:r w:rsidRPr="00854769">
          <w:rPr>
            <w:lang w:val="fr-FR"/>
          </w:rPr>
          <w:t>CBD/CP/MOP/DEC/9/3</w:t>
        </w:r>
      </w:p>
    </w:sdtContent>
  </w:sdt>
  <w:p w14:paraId="7E9B8683" w14:textId="445F40D8" w:rsidR="002F2E6D" w:rsidRPr="00000614" w:rsidRDefault="002F2E6D"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ED79DC">
      <w:rPr>
        <w:noProof/>
        <w:lang w:val="fr-FR"/>
      </w:rPr>
      <w:t>3</w:t>
    </w:r>
    <w:r>
      <w:rPr>
        <w:noProof/>
      </w:rPr>
      <w:fldChar w:fldCharType="end"/>
    </w:r>
  </w:p>
  <w:p w14:paraId="2F845650" w14:textId="77777777" w:rsidR="002F2E6D" w:rsidRPr="00000614" w:rsidRDefault="002F2E6D">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A7CC1"/>
    <w:multiLevelType w:val="hybridMultilevel"/>
    <w:tmpl w:val="7450A0FE"/>
    <w:lvl w:ilvl="0" w:tplc="10090017">
      <w:start w:val="1"/>
      <w:numFmt w:val="lowerLetter"/>
      <w:lvlText w:val="%1)"/>
      <w:lvlJc w:val="left"/>
      <w:pPr>
        <w:ind w:left="1494" w:hanging="360"/>
      </w:p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4E0442B4"/>
    <w:multiLevelType w:val="multilevel"/>
    <w:tmpl w:val="4FF01174"/>
    <w:lvl w:ilvl="0">
      <w:start w:val="1"/>
      <w:numFmt w:val="decimal"/>
      <w:pStyle w:val="Para1"/>
      <w:lvlText w:val="%1."/>
      <w:lvlJc w:val="left"/>
      <w:pPr>
        <w:tabs>
          <w:tab w:val="num" w:pos="1211"/>
        </w:tabs>
        <w:ind w:left="851"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8"/>
  </w:num>
  <w:num w:numId="5">
    <w:abstractNumId w:val="6"/>
  </w:num>
  <w:num w:numId="6">
    <w:abstractNumId w:val="0"/>
  </w:num>
  <w:num w:numId="7">
    <w:abstractNumId w:val="3"/>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9"/>
  </w:num>
  <w:num w:numId="16">
    <w:abstractNumId w:val="1"/>
  </w:num>
  <w:num w:numId="17">
    <w:abstractNumId w:val="12"/>
  </w:num>
  <w:num w:numId="18">
    <w:abstractNumId w:val="1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activeWritingStyle w:appName="MSWord" w:lang="fr-FR" w:vendorID="64" w:dllVersion="6" w:nlCheck="1" w:checkStyle="1"/>
  <w:activeWritingStyle w:appName="MSWord" w:lang="en-GB" w:vendorID="64" w:dllVersion="6" w:nlCheck="1" w:checkStyle="1"/>
  <w:activeWritingStyle w:appName="MSWord" w:lang="en-CA" w:vendorID="64" w:dllVersion="6" w:nlCheck="1" w:checkStyle="1"/>
  <w:activeWritingStyle w:appName="MSWord" w:lang="fr-CA" w:vendorID="64" w:dllVersion="6" w:nlCheck="1" w:checkStyle="1"/>
  <w:activeWritingStyle w:appName="MSWord" w:lang="es-AR" w:vendorID="64" w:dllVersion="6" w:nlCheck="1" w:checkStyle="1"/>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4096"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en-AU"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22657"/>
    <w:rsid w:val="000436B1"/>
    <w:rsid w:val="000633BB"/>
    <w:rsid w:val="000D4110"/>
    <w:rsid w:val="000E673A"/>
    <w:rsid w:val="000F74F5"/>
    <w:rsid w:val="00102C8D"/>
    <w:rsid w:val="00105372"/>
    <w:rsid w:val="00131E7A"/>
    <w:rsid w:val="00136A6E"/>
    <w:rsid w:val="001372FB"/>
    <w:rsid w:val="00172AF6"/>
    <w:rsid w:val="00176CEE"/>
    <w:rsid w:val="001A1250"/>
    <w:rsid w:val="001A3BC2"/>
    <w:rsid w:val="00212E7D"/>
    <w:rsid w:val="0029131D"/>
    <w:rsid w:val="002B3F99"/>
    <w:rsid w:val="002E79E2"/>
    <w:rsid w:val="002F2E6D"/>
    <w:rsid w:val="0031474C"/>
    <w:rsid w:val="00327D65"/>
    <w:rsid w:val="0033073E"/>
    <w:rsid w:val="003466EC"/>
    <w:rsid w:val="00372F74"/>
    <w:rsid w:val="00387269"/>
    <w:rsid w:val="003B17D9"/>
    <w:rsid w:val="003E046C"/>
    <w:rsid w:val="003E3033"/>
    <w:rsid w:val="003E54B9"/>
    <w:rsid w:val="003F7224"/>
    <w:rsid w:val="004050D8"/>
    <w:rsid w:val="00405146"/>
    <w:rsid w:val="0042412C"/>
    <w:rsid w:val="00427D21"/>
    <w:rsid w:val="004644C2"/>
    <w:rsid w:val="00467F9C"/>
    <w:rsid w:val="00477FB4"/>
    <w:rsid w:val="0049139A"/>
    <w:rsid w:val="004D3744"/>
    <w:rsid w:val="004E26BE"/>
    <w:rsid w:val="004E3AA6"/>
    <w:rsid w:val="00522F89"/>
    <w:rsid w:val="00534681"/>
    <w:rsid w:val="00545B5A"/>
    <w:rsid w:val="00556E0F"/>
    <w:rsid w:val="005A562A"/>
    <w:rsid w:val="005D108E"/>
    <w:rsid w:val="005E1461"/>
    <w:rsid w:val="005F0AA1"/>
    <w:rsid w:val="005F399F"/>
    <w:rsid w:val="005F3DC6"/>
    <w:rsid w:val="005F79D9"/>
    <w:rsid w:val="005F7E89"/>
    <w:rsid w:val="006122BA"/>
    <w:rsid w:val="0061445E"/>
    <w:rsid w:val="00644370"/>
    <w:rsid w:val="0064722B"/>
    <w:rsid w:val="006B2290"/>
    <w:rsid w:val="006B2EAD"/>
    <w:rsid w:val="006D00FB"/>
    <w:rsid w:val="006F1189"/>
    <w:rsid w:val="00717D88"/>
    <w:rsid w:val="00730978"/>
    <w:rsid w:val="00741E33"/>
    <w:rsid w:val="007719D3"/>
    <w:rsid w:val="00772EC7"/>
    <w:rsid w:val="007942D3"/>
    <w:rsid w:val="00797B21"/>
    <w:rsid w:val="007A33C3"/>
    <w:rsid w:val="007B6C09"/>
    <w:rsid w:val="007E09DA"/>
    <w:rsid w:val="007E16EA"/>
    <w:rsid w:val="007F1C80"/>
    <w:rsid w:val="007F6AF8"/>
    <w:rsid w:val="00810CCA"/>
    <w:rsid w:val="008154CD"/>
    <w:rsid w:val="008178B6"/>
    <w:rsid w:val="008261D1"/>
    <w:rsid w:val="00854769"/>
    <w:rsid w:val="00865B74"/>
    <w:rsid w:val="008973C9"/>
    <w:rsid w:val="008E1F74"/>
    <w:rsid w:val="008E6A0B"/>
    <w:rsid w:val="00917E03"/>
    <w:rsid w:val="00930BA1"/>
    <w:rsid w:val="0093169E"/>
    <w:rsid w:val="009505C9"/>
    <w:rsid w:val="00951BC5"/>
    <w:rsid w:val="0097752D"/>
    <w:rsid w:val="00984C81"/>
    <w:rsid w:val="009C200D"/>
    <w:rsid w:val="009D0C7D"/>
    <w:rsid w:val="009E5E86"/>
    <w:rsid w:val="009E7591"/>
    <w:rsid w:val="009F6245"/>
    <w:rsid w:val="009F6995"/>
    <w:rsid w:val="00A514FF"/>
    <w:rsid w:val="00A5601F"/>
    <w:rsid w:val="00A928C4"/>
    <w:rsid w:val="00AB10E9"/>
    <w:rsid w:val="00AB3482"/>
    <w:rsid w:val="00AC0BF6"/>
    <w:rsid w:val="00AE3ACF"/>
    <w:rsid w:val="00AE4728"/>
    <w:rsid w:val="00B3369F"/>
    <w:rsid w:val="00B45C46"/>
    <w:rsid w:val="00B90F86"/>
    <w:rsid w:val="00BD2A84"/>
    <w:rsid w:val="00C06D04"/>
    <w:rsid w:val="00C32403"/>
    <w:rsid w:val="00C86646"/>
    <w:rsid w:val="00C9161D"/>
    <w:rsid w:val="00CD6C53"/>
    <w:rsid w:val="00CF1848"/>
    <w:rsid w:val="00D12044"/>
    <w:rsid w:val="00D76A18"/>
    <w:rsid w:val="00D82EE9"/>
    <w:rsid w:val="00DD118C"/>
    <w:rsid w:val="00E3154E"/>
    <w:rsid w:val="00E36F0B"/>
    <w:rsid w:val="00E6309B"/>
    <w:rsid w:val="00E65A4D"/>
    <w:rsid w:val="00E66235"/>
    <w:rsid w:val="00E83C24"/>
    <w:rsid w:val="00E86C5A"/>
    <w:rsid w:val="00E9318D"/>
    <w:rsid w:val="00EB27B8"/>
    <w:rsid w:val="00EB305A"/>
    <w:rsid w:val="00ED79DC"/>
    <w:rsid w:val="00EF0DF5"/>
    <w:rsid w:val="00F13C34"/>
    <w:rsid w:val="00F252E4"/>
    <w:rsid w:val="00F90852"/>
    <w:rsid w:val="00F94774"/>
    <w:rsid w:val="00FC4795"/>
    <w:rsid w:val="00FC53DB"/>
    <w:rsid w:val="00FD2B08"/>
    <w:rsid w:val="00FD53D6"/>
    <w:rsid w:val="00FE319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C51A37A-7C6D-4D4A-AAF8-D9886B7C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1211"/>
      </w:tabs>
      <w:spacing w:before="120" w:after="120"/>
      <w:ind w:left="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97752D"/>
    <w:rPr>
      <w:rFonts w:cs="Angsana New"/>
      <w:snapToGrid w:val="0"/>
      <w:sz w:val="22"/>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97752D"/>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97752D"/>
    <w:rPr>
      <w:strike w:val="0"/>
      <w:dstrike w:val="0"/>
      <w:kern w:val="22"/>
      <w:sz w:val="18"/>
      <w:u w:val="none"/>
      <w:effect w:val="none"/>
      <w:vertAlign w:val="superscript"/>
    </w:rPr>
  </w:style>
  <w:style w:type="paragraph" w:styleId="CommentSubject">
    <w:name w:val="annotation subject"/>
    <w:basedOn w:val="CommentText"/>
    <w:next w:val="CommentText"/>
    <w:link w:val="CommentSubjectChar"/>
    <w:uiPriority w:val="99"/>
    <w:semiHidden/>
    <w:unhideWhenUsed/>
    <w:rsid w:val="00FD2B0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D2B08"/>
    <w:rPr>
      <w:rFonts w:ascii="Times New Roman" w:eastAsia="Times New Roman" w:hAnsi="Times New Roman" w:cs="Times New Roman"/>
      <w:b/>
      <w:bCs/>
      <w:sz w:val="20"/>
      <w:szCs w:val="20"/>
      <w:lang w:val="en-GB"/>
    </w:rPr>
  </w:style>
  <w:style w:type="paragraph" w:styleId="Revision">
    <w:name w:val="Revision"/>
    <w:hidden/>
    <w:uiPriority w:val="99"/>
    <w:semiHidden/>
    <w:rsid w:val="00FD2B08"/>
    <w:rPr>
      <w:rFonts w:ascii="Times New Roman" w:eastAsia="Times New Roman" w:hAnsi="Times New Roman" w:cs="Times New Roman"/>
      <w:sz w:val="22"/>
      <w:lang w:val="en-GB"/>
    </w:rPr>
  </w:style>
  <w:style w:type="paragraph" w:customStyle="1" w:styleId="xl43">
    <w:name w:val="xl43"/>
    <w:basedOn w:val="Normal"/>
    <w:rsid w:val="006D00FB"/>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Style1">
    <w:name w:val="Style1"/>
    <w:basedOn w:val="Normal"/>
    <w:rsid w:val="006D00FB"/>
    <w:pPr>
      <w:numPr>
        <w:ilvl w:val="1"/>
        <w:numId w:val="21"/>
      </w:numPr>
      <w:tabs>
        <w:tab w:val="clear" w:pos="1800"/>
        <w:tab w:val="num" w:pos="360"/>
      </w:tabs>
      <w:spacing w:before="120" w:after="120"/>
    </w:pPr>
    <w:rPr>
      <w:rFonts w:eastAsia="MS Mincho" w:cs="Angsana New"/>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914513127">
      <w:bodyDiv w:val="1"/>
      <w:marLeft w:val="0"/>
      <w:marRight w:val="0"/>
      <w:marTop w:val="0"/>
      <w:marBottom w:val="0"/>
      <w:divBdr>
        <w:top w:val="none" w:sz="0" w:space="0" w:color="auto"/>
        <w:left w:val="none" w:sz="0" w:space="0" w:color="auto"/>
        <w:bottom w:val="none" w:sz="0" w:space="0" w:color="auto"/>
        <w:right w:val="none" w:sz="0" w:space="0" w:color="auto"/>
      </w:divBdr>
      <w:divsChild>
        <w:div w:id="1076248572">
          <w:marLeft w:val="0"/>
          <w:marRight w:val="0"/>
          <w:marTop w:val="0"/>
          <w:marBottom w:val="0"/>
          <w:divBdr>
            <w:top w:val="none" w:sz="0" w:space="0" w:color="auto"/>
            <w:left w:val="none" w:sz="0" w:space="0" w:color="auto"/>
            <w:bottom w:val="none" w:sz="0" w:space="0" w:color="auto"/>
            <w:right w:val="none" w:sz="0" w:space="0" w:color="auto"/>
          </w:divBdr>
          <w:divsChild>
            <w:div w:id="1688480075">
              <w:marLeft w:val="0"/>
              <w:marRight w:val="0"/>
              <w:marTop w:val="0"/>
              <w:marBottom w:val="0"/>
              <w:divBdr>
                <w:top w:val="none" w:sz="0" w:space="0" w:color="auto"/>
                <w:left w:val="none" w:sz="0" w:space="0" w:color="auto"/>
                <w:bottom w:val="none" w:sz="0" w:space="0" w:color="auto"/>
                <w:right w:val="none" w:sz="0" w:space="0" w:color="auto"/>
              </w:divBdr>
              <w:divsChild>
                <w:div w:id="1575121460">
                  <w:marLeft w:val="0"/>
                  <w:marRight w:val="0"/>
                  <w:marTop w:val="0"/>
                  <w:marBottom w:val="0"/>
                  <w:divBdr>
                    <w:top w:val="none" w:sz="0" w:space="0" w:color="auto"/>
                    <w:left w:val="none" w:sz="0" w:space="0" w:color="auto"/>
                    <w:bottom w:val="none" w:sz="0" w:space="0" w:color="auto"/>
                    <w:right w:val="none" w:sz="0" w:space="0" w:color="auto"/>
                  </w:divBdr>
                  <w:divsChild>
                    <w:div w:id="1752891551">
                      <w:marLeft w:val="0"/>
                      <w:marRight w:val="0"/>
                      <w:marTop w:val="0"/>
                      <w:marBottom w:val="0"/>
                      <w:divBdr>
                        <w:top w:val="none" w:sz="0" w:space="0" w:color="auto"/>
                        <w:left w:val="none" w:sz="0" w:space="0" w:color="auto"/>
                        <w:bottom w:val="none" w:sz="0" w:space="0" w:color="auto"/>
                        <w:right w:val="none" w:sz="0" w:space="0" w:color="auto"/>
                      </w:divBdr>
                      <w:divsChild>
                        <w:div w:id="956984884">
                          <w:marLeft w:val="0"/>
                          <w:marRight w:val="0"/>
                          <w:marTop w:val="0"/>
                          <w:marBottom w:val="0"/>
                          <w:divBdr>
                            <w:top w:val="none" w:sz="0" w:space="0" w:color="auto"/>
                            <w:left w:val="none" w:sz="0" w:space="0" w:color="auto"/>
                            <w:bottom w:val="none" w:sz="0" w:space="0" w:color="auto"/>
                            <w:right w:val="none" w:sz="0" w:space="0" w:color="auto"/>
                          </w:divBdr>
                          <w:divsChild>
                            <w:div w:id="1530869625">
                              <w:marLeft w:val="0"/>
                              <w:marRight w:val="0"/>
                              <w:marTop w:val="0"/>
                              <w:marBottom w:val="0"/>
                              <w:divBdr>
                                <w:top w:val="none" w:sz="0" w:space="0" w:color="auto"/>
                                <w:left w:val="none" w:sz="0" w:space="0" w:color="auto"/>
                                <w:bottom w:val="none" w:sz="0" w:space="0" w:color="auto"/>
                                <w:right w:val="none" w:sz="0" w:space="0" w:color="auto"/>
                              </w:divBdr>
                              <w:divsChild>
                                <w:div w:id="527570431">
                                  <w:marLeft w:val="0"/>
                                  <w:marRight w:val="0"/>
                                  <w:marTop w:val="30"/>
                                  <w:marBottom w:val="2250"/>
                                  <w:divBdr>
                                    <w:top w:val="none" w:sz="0" w:space="0" w:color="auto"/>
                                    <w:left w:val="none" w:sz="0" w:space="0" w:color="auto"/>
                                    <w:bottom w:val="none" w:sz="0" w:space="0" w:color="auto"/>
                                    <w:right w:val="none" w:sz="0" w:space="0" w:color="auto"/>
                                  </w:divBdr>
                                  <w:divsChild>
                                    <w:div w:id="62605258">
                                      <w:marLeft w:val="0"/>
                                      <w:marRight w:val="0"/>
                                      <w:marTop w:val="0"/>
                                      <w:marBottom w:val="0"/>
                                      <w:divBdr>
                                        <w:top w:val="none" w:sz="0" w:space="0" w:color="auto"/>
                                        <w:left w:val="none" w:sz="0" w:space="0" w:color="auto"/>
                                        <w:bottom w:val="none" w:sz="0" w:space="0" w:color="auto"/>
                                        <w:right w:val="none" w:sz="0" w:space="0" w:color="auto"/>
                                      </w:divBdr>
                                      <w:divsChild>
                                        <w:div w:id="1956864954">
                                          <w:marLeft w:val="0"/>
                                          <w:marRight w:val="0"/>
                                          <w:marTop w:val="0"/>
                                          <w:marBottom w:val="0"/>
                                          <w:divBdr>
                                            <w:top w:val="none" w:sz="0" w:space="0" w:color="auto"/>
                                            <w:left w:val="none" w:sz="0" w:space="0" w:color="auto"/>
                                            <w:bottom w:val="none" w:sz="0" w:space="0" w:color="auto"/>
                                            <w:right w:val="none" w:sz="0" w:space="0" w:color="auto"/>
                                          </w:divBdr>
                                          <w:divsChild>
                                            <w:div w:id="112984387">
                                              <w:marLeft w:val="0"/>
                                              <w:marRight w:val="0"/>
                                              <w:marTop w:val="0"/>
                                              <w:marBottom w:val="0"/>
                                              <w:divBdr>
                                                <w:top w:val="none" w:sz="0" w:space="0" w:color="auto"/>
                                                <w:left w:val="none" w:sz="0" w:space="0" w:color="auto"/>
                                                <w:bottom w:val="none" w:sz="0" w:space="0" w:color="auto"/>
                                                <w:right w:val="none" w:sz="0" w:space="0" w:color="auto"/>
                                              </w:divBdr>
                                              <w:divsChild>
                                                <w:div w:id="1438017133">
                                                  <w:marLeft w:val="0"/>
                                                  <w:marRight w:val="0"/>
                                                  <w:marTop w:val="0"/>
                                                  <w:marBottom w:val="0"/>
                                                  <w:divBdr>
                                                    <w:top w:val="none" w:sz="0" w:space="0" w:color="auto"/>
                                                    <w:left w:val="none" w:sz="0" w:space="0" w:color="auto"/>
                                                    <w:bottom w:val="none" w:sz="0" w:space="0" w:color="auto"/>
                                                    <w:right w:val="none" w:sz="0" w:space="0" w:color="auto"/>
                                                  </w:divBdr>
                                                  <w:divsChild>
                                                    <w:div w:id="1950578795">
                                                      <w:marLeft w:val="0"/>
                                                      <w:marRight w:val="0"/>
                                                      <w:marTop w:val="150"/>
                                                      <w:marBottom w:val="375"/>
                                                      <w:divBdr>
                                                        <w:top w:val="none" w:sz="0" w:space="0" w:color="auto"/>
                                                        <w:left w:val="none" w:sz="0" w:space="0" w:color="auto"/>
                                                        <w:bottom w:val="none" w:sz="0" w:space="0" w:color="auto"/>
                                                        <w:right w:val="none" w:sz="0" w:space="0" w:color="auto"/>
                                                      </w:divBdr>
                                                      <w:divsChild>
                                                        <w:div w:id="291593235">
                                                          <w:marLeft w:val="0"/>
                                                          <w:marRight w:val="0"/>
                                                          <w:marTop w:val="0"/>
                                                          <w:marBottom w:val="0"/>
                                                          <w:divBdr>
                                                            <w:top w:val="none" w:sz="0" w:space="0" w:color="auto"/>
                                                            <w:left w:val="none" w:sz="0" w:space="0" w:color="auto"/>
                                                            <w:bottom w:val="none" w:sz="0" w:space="0" w:color="auto"/>
                                                            <w:right w:val="none" w:sz="0" w:space="0" w:color="auto"/>
                                                          </w:divBdr>
                                                          <w:divsChild>
                                                            <w:div w:id="216403052">
                                                              <w:marLeft w:val="0"/>
                                                              <w:marRight w:val="0"/>
                                                              <w:marTop w:val="0"/>
                                                              <w:marBottom w:val="120"/>
                                                              <w:divBdr>
                                                                <w:top w:val="none" w:sz="0" w:space="0" w:color="auto"/>
                                                                <w:left w:val="none" w:sz="0" w:space="0" w:color="auto"/>
                                                                <w:bottom w:val="none" w:sz="0" w:space="0" w:color="auto"/>
                                                                <w:right w:val="none" w:sz="0" w:space="0" w:color="auto"/>
                                                              </w:divBdr>
                                                              <w:divsChild>
                                                                <w:div w:id="753286369">
                                                                  <w:marLeft w:val="0"/>
                                                                  <w:marRight w:val="0"/>
                                                                  <w:marTop w:val="0"/>
                                                                  <w:marBottom w:val="0"/>
                                                                  <w:divBdr>
                                                                    <w:top w:val="none" w:sz="0" w:space="0" w:color="auto"/>
                                                                    <w:left w:val="none" w:sz="0" w:space="0" w:color="auto"/>
                                                                    <w:bottom w:val="none" w:sz="0" w:space="0" w:color="auto"/>
                                                                    <w:right w:val="none" w:sz="0" w:space="0" w:color="auto"/>
                                                                  </w:divBdr>
                                                                  <w:divsChild>
                                                                    <w:div w:id="913510372">
                                                                      <w:marLeft w:val="0"/>
                                                                      <w:marRight w:val="0"/>
                                                                      <w:marTop w:val="0"/>
                                                                      <w:marBottom w:val="0"/>
                                                                      <w:divBdr>
                                                                        <w:top w:val="none" w:sz="0" w:space="0" w:color="auto"/>
                                                                        <w:left w:val="none" w:sz="0" w:space="0" w:color="auto"/>
                                                                        <w:bottom w:val="none" w:sz="0" w:space="0" w:color="auto"/>
                                                                        <w:right w:val="none" w:sz="0" w:space="0" w:color="auto"/>
                                                                      </w:divBdr>
                                                                      <w:divsChild>
                                                                        <w:div w:id="19505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8/mop-08-dec-03-f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mop/default.shtml?id=1323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315211591EA4912A44830EB9B84C357"/>
        <w:category>
          <w:name w:val="Général"/>
          <w:gallery w:val="placeholder"/>
        </w:category>
        <w:types>
          <w:type w:val="bbPlcHdr"/>
        </w:types>
        <w:behaviors>
          <w:behavior w:val="content"/>
        </w:behaviors>
        <w:guid w:val="{D9DFE803-4833-4CA4-A5D9-31CB85C28505}"/>
      </w:docPartPr>
      <w:docPartBody>
        <w:p w:rsidR="00395127" w:rsidRDefault="00B0279E" w:rsidP="00B0279E">
          <w:pPr>
            <w:pStyle w:val="D315211591EA4912A44830EB9B84C357"/>
          </w:pPr>
          <w:r w:rsidRPr="007E02EB">
            <w:rPr>
              <w:rStyle w:val="PlaceholderText"/>
            </w:rPr>
            <w:t>[Status]</w:t>
          </w:r>
        </w:p>
      </w:docPartBody>
    </w:docPart>
    <w:docPart>
      <w:docPartPr>
        <w:name w:val="2196AFC1EDA44DF3BE69A9434B8372F8"/>
        <w:category>
          <w:name w:val="Général"/>
          <w:gallery w:val="placeholder"/>
        </w:category>
        <w:types>
          <w:type w:val="bbPlcHdr"/>
        </w:types>
        <w:behaviors>
          <w:behavior w:val="content"/>
        </w:behaviors>
        <w:guid w:val="{3701AF56-9A8D-4D62-816A-F7AF73031FE6}"/>
      </w:docPartPr>
      <w:docPartBody>
        <w:p w:rsidR="00E12F56" w:rsidRDefault="00395127" w:rsidP="00395127">
          <w:pPr>
            <w:pStyle w:val="2196AFC1EDA44DF3BE69A9434B8372F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1E9A"/>
    <w:rsid w:val="00395127"/>
    <w:rsid w:val="004479F2"/>
    <w:rsid w:val="00500A2B"/>
    <w:rsid w:val="0058288D"/>
    <w:rsid w:val="00585269"/>
    <w:rsid w:val="006801B3"/>
    <w:rsid w:val="00720F63"/>
    <w:rsid w:val="00782071"/>
    <w:rsid w:val="007A405B"/>
    <w:rsid w:val="007D2C23"/>
    <w:rsid w:val="007F1B76"/>
    <w:rsid w:val="00810A55"/>
    <w:rsid w:val="008C6619"/>
    <w:rsid w:val="008D420E"/>
    <w:rsid w:val="0098642F"/>
    <w:rsid w:val="009D0A3E"/>
    <w:rsid w:val="00A471E4"/>
    <w:rsid w:val="00A70033"/>
    <w:rsid w:val="00A84965"/>
    <w:rsid w:val="00B0279E"/>
    <w:rsid w:val="00C60A85"/>
    <w:rsid w:val="00CA0F92"/>
    <w:rsid w:val="00CE6602"/>
    <w:rsid w:val="00D71960"/>
    <w:rsid w:val="00DA032E"/>
    <w:rsid w:val="00E12F56"/>
    <w:rsid w:val="00FA6A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127"/>
  </w:style>
  <w:style w:type="paragraph" w:customStyle="1" w:styleId="C444DEE40D7C456B82AF1A09CD132ABF">
    <w:name w:val="C444DEE40D7C456B82AF1A09CD132ABF"/>
    <w:rsid w:val="00CE6602"/>
    <w:pPr>
      <w:spacing w:after="160" w:line="259" w:lineRule="auto"/>
    </w:pPr>
  </w:style>
  <w:style w:type="paragraph" w:customStyle="1" w:styleId="C0507D8A8CAF4808A652E395D7EAAD9B">
    <w:name w:val="C0507D8A8CAF4808A652E395D7EAAD9B"/>
    <w:rsid w:val="00B0279E"/>
    <w:pPr>
      <w:spacing w:after="160" w:line="259" w:lineRule="auto"/>
    </w:pPr>
    <w:rPr>
      <w:lang w:val="fr-FR" w:eastAsia="fr-FR"/>
    </w:rPr>
  </w:style>
  <w:style w:type="paragraph" w:customStyle="1" w:styleId="2A0CDAF116794B75A77497BE2F2C5CBB">
    <w:name w:val="2A0CDAF116794B75A77497BE2F2C5CBB"/>
    <w:rsid w:val="00B0279E"/>
    <w:pPr>
      <w:spacing w:after="160" w:line="259" w:lineRule="auto"/>
    </w:pPr>
    <w:rPr>
      <w:lang w:val="fr-FR" w:eastAsia="fr-FR"/>
    </w:rPr>
  </w:style>
  <w:style w:type="paragraph" w:customStyle="1" w:styleId="8BAD4AAFCB9947ABBD475CEA0B21CA40">
    <w:name w:val="8BAD4AAFCB9947ABBD475CEA0B21CA40"/>
    <w:rsid w:val="00B0279E"/>
    <w:pPr>
      <w:spacing w:after="160" w:line="259" w:lineRule="auto"/>
    </w:pPr>
    <w:rPr>
      <w:lang w:val="fr-FR" w:eastAsia="fr-FR"/>
    </w:rPr>
  </w:style>
  <w:style w:type="paragraph" w:customStyle="1" w:styleId="8E9F71FC700840AF8587183F63851B2A">
    <w:name w:val="8E9F71FC700840AF8587183F63851B2A"/>
    <w:rsid w:val="00B0279E"/>
    <w:pPr>
      <w:spacing w:after="160" w:line="259" w:lineRule="auto"/>
    </w:pPr>
    <w:rPr>
      <w:lang w:val="fr-FR" w:eastAsia="fr-FR"/>
    </w:rPr>
  </w:style>
  <w:style w:type="paragraph" w:customStyle="1" w:styleId="D315211591EA4912A44830EB9B84C357">
    <w:name w:val="D315211591EA4912A44830EB9B84C357"/>
    <w:rsid w:val="00B0279E"/>
    <w:pPr>
      <w:spacing w:after="160" w:line="259" w:lineRule="auto"/>
    </w:pPr>
    <w:rPr>
      <w:lang w:val="fr-FR" w:eastAsia="fr-FR"/>
    </w:rPr>
  </w:style>
  <w:style w:type="paragraph" w:customStyle="1" w:styleId="DB14A20ECB444B6CA2F1FB2FA5745B88">
    <w:name w:val="DB14A20ECB444B6CA2F1FB2FA5745B88"/>
    <w:rsid w:val="00B0279E"/>
    <w:pPr>
      <w:spacing w:after="160" w:line="259" w:lineRule="auto"/>
    </w:pPr>
    <w:rPr>
      <w:lang w:val="fr-FR" w:eastAsia="fr-FR"/>
    </w:rPr>
  </w:style>
  <w:style w:type="paragraph" w:customStyle="1" w:styleId="2196AFC1EDA44DF3BE69A9434B8372F8">
    <w:name w:val="2196AFC1EDA44DF3BE69A9434B8372F8"/>
    <w:rsid w:val="0039512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AFC643-F23E-4D65-A83B-E87487AD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1703</Words>
  <Characters>9372</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9/3.   Renforcement des capacités (article 22)</vt:lpstr>
      <vt:lpstr>RENFORCEMENT DES CAPACITÉS (article 22)</vt:lpstr>
    </vt:vector>
  </TitlesOfParts>
  <Company>SCBD</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   Renforcement des capacités (article 22)</dc:title>
  <dc:subject>CBD/CP/MOP/DEC/9/3</dc:subject>
  <dc:creator>SCBD</dc:creator>
  <cp:lastModifiedBy>Finn Kinley</cp:lastModifiedBy>
  <cp:revision>19</cp:revision>
  <dcterms:created xsi:type="dcterms:W3CDTF">2018-11-26T07:25:00Z</dcterms:created>
  <dcterms:modified xsi:type="dcterms:W3CDTF">2019-01-29T00:33:00Z</dcterms:modified>
  <cp:contentStatus>generalE</cp:contentStatus>
</cp:coreProperties>
</file>