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34D16E7D" w:rsidR="00F82D3D" w:rsidRPr="008228AB" w:rsidRDefault="00F82D3D" w:rsidP="00450592">
            <w:pPr>
              <w:ind w:left="69"/>
              <w:rPr>
                <w:szCs w:val="22"/>
              </w:rPr>
            </w:pPr>
            <w:r>
              <w:rPr>
                <w:lang w:val="en-US"/>
              </w:rPr>
              <w:t>CBD/CP/MOP/</w:t>
            </w:r>
            <w:r w:rsidR="00236D69">
              <w:rPr>
                <w:lang w:val="en-US"/>
              </w:rPr>
              <w:t>DEC/</w:t>
            </w:r>
            <w:r>
              <w:rPr>
                <w:lang w:val="en-US"/>
              </w:rPr>
              <w:t>9/</w:t>
            </w:r>
            <w:r w:rsidR="00450592">
              <w:rPr>
                <w:lang w:val="en-US"/>
              </w:rPr>
              <w:t>6</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6374ED10" w:rsidR="00655368" w:rsidRDefault="00655368" w:rsidP="00450592">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450592">
        <w:rPr>
          <w:rFonts w:ascii="Simplified Arabic" w:hAnsi="Simplified Arabic" w:cs="Simplified Arabic" w:hint="cs"/>
          <w:sz w:val="24"/>
          <w:rtl/>
          <w:lang w:bidi="ar-LY"/>
        </w:rPr>
        <w:t>10</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73002347" w:rsidR="00C9161D" w:rsidRPr="00DD5891" w:rsidRDefault="00236D69" w:rsidP="00450592">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450592">
        <w:rPr>
          <w:rFonts w:ascii="Simplified Arabic" w:hAnsi="Simplified Arabic" w:cs="Simplified Arabic" w:hint="cs"/>
          <w:b/>
          <w:bCs/>
          <w:sz w:val="24"/>
          <w:rtl/>
          <w:lang w:bidi="ar-EG"/>
        </w:rPr>
        <w:t>6</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450592" w:rsidRPr="00450592">
        <w:rPr>
          <w:rFonts w:ascii="Simplified Arabic" w:hAnsi="Simplified Arabic" w:cs="Simplified Arabic"/>
          <w:b/>
          <w:bCs/>
          <w:sz w:val="24"/>
          <w:rtl/>
          <w:lang w:bidi="ar-EG"/>
        </w:rPr>
        <w:t>تقييم واستعراض فعالية بروتوكول قرطاجنة (المادة 35)</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367BBA8D" w14:textId="7CA95B54" w:rsidR="00450592" w:rsidRPr="00655368" w:rsidRDefault="00450592" w:rsidP="00450592">
      <w:pPr>
        <w:pStyle w:val="Para10"/>
        <w:numPr>
          <w:ilvl w:val="0"/>
          <w:numId w:val="0"/>
        </w:numPr>
        <w:kinsoku w:val="0"/>
        <w:overflowPunct w:val="0"/>
        <w:autoSpaceDE w:val="0"/>
        <w:autoSpaceDN w:val="0"/>
        <w:bidi/>
        <w:spacing w:line="216" w:lineRule="auto"/>
        <w:ind w:left="720"/>
        <w:rPr>
          <w:rFonts w:ascii="Simplified Arabic" w:hAnsi="Simplified Arabic" w:cs="Simplified Arabic"/>
          <w:i/>
          <w:sz w:val="24"/>
          <w:szCs w:val="24"/>
          <w:rtl/>
          <w:lang w:bidi="ar-EG"/>
        </w:rPr>
      </w:pPr>
      <w:r w:rsidRPr="00655368">
        <w:rPr>
          <w:rFonts w:ascii="Simplified Arabic" w:hAnsi="Simplified Arabic" w:cs="Simplified Arabic"/>
          <w:i/>
          <w:iCs/>
          <w:sz w:val="24"/>
          <w:szCs w:val="24"/>
          <w:rtl/>
          <w:lang w:bidi="ar-EG"/>
        </w:rPr>
        <w:t>إذ يشير</w:t>
      </w:r>
      <w:r w:rsidRPr="00655368">
        <w:rPr>
          <w:rFonts w:ascii="Simplified Arabic" w:hAnsi="Simplified Arabic" w:cs="Simplified Arabic"/>
          <w:sz w:val="24"/>
          <w:szCs w:val="24"/>
          <w:rtl/>
          <w:lang w:bidi="ar-EG"/>
        </w:rPr>
        <w:t xml:space="preserve"> إلى المقرر </w:t>
      </w:r>
      <w:hyperlink r:id="rId13" w:history="1">
        <w:r w:rsidRPr="004E68B5">
          <w:rPr>
            <w:rStyle w:val="Hyperlink"/>
            <w:sz w:val="22"/>
            <w:szCs w:val="22"/>
            <w:lang w:val="en-CA" w:bidi="ar-EG"/>
          </w:rPr>
          <w:t>BS</w:t>
        </w:r>
        <w:r w:rsidRPr="004E68B5">
          <w:rPr>
            <w:rStyle w:val="Hyperlink"/>
            <w:sz w:val="22"/>
            <w:szCs w:val="22"/>
            <w:lang w:val="en-CA" w:bidi="ar-EG"/>
          </w:rPr>
          <w:noBreakHyphen/>
          <w:t>V/16</w:t>
        </w:r>
      </w:hyperlink>
      <w:r w:rsidRPr="00655368">
        <w:rPr>
          <w:rFonts w:ascii="Simplified Arabic" w:hAnsi="Simplified Arabic" w:cs="Simplified Arabic"/>
          <w:sz w:val="24"/>
          <w:szCs w:val="24"/>
          <w:rtl/>
          <w:lang w:val="en-CA" w:bidi="ar-EG"/>
        </w:rPr>
        <w:t xml:space="preserve"> الذي اعتُمدت بموجبه الخطة </w:t>
      </w:r>
      <w:r w:rsidRPr="00450592">
        <w:rPr>
          <w:rFonts w:ascii="Simplified Arabic" w:hAnsi="Simplified Arabic" w:cs="Simplified Arabic"/>
          <w:sz w:val="24"/>
          <w:szCs w:val="24"/>
          <w:rtl/>
        </w:rPr>
        <w:t>الاستراتيجية</w:t>
      </w:r>
      <w:r w:rsidRPr="00655368">
        <w:rPr>
          <w:rFonts w:ascii="Simplified Arabic" w:hAnsi="Simplified Arabic" w:cs="Simplified Arabic"/>
          <w:sz w:val="24"/>
          <w:szCs w:val="24"/>
          <w:rtl/>
          <w:lang w:val="en-CA" w:bidi="ar-EG"/>
        </w:rPr>
        <w:t xml:space="preserve"> لبروتوكول قرطاجنة للسلامة الأحيائية للفترة 2011-2020</w:t>
      </w:r>
      <w:r w:rsidRPr="00655368">
        <w:rPr>
          <w:rFonts w:ascii="Simplified Arabic" w:hAnsi="Simplified Arabic" w:cs="Simplified Arabic"/>
          <w:sz w:val="24"/>
          <w:szCs w:val="24"/>
          <w:rtl/>
          <w:lang w:bidi="ar-EG"/>
        </w:rPr>
        <w:t>،</w:t>
      </w:r>
    </w:p>
    <w:p w14:paraId="43B07768" w14:textId="59586C11" w:rsidR="00450592" w:rsidRPr="00655368" w:rsidRDefault="00450592" w:rsidP="00450592">
      <w:pPr>
        <w:pStyle w:val="Para10"/>
        <w:numPr>
          <w:ilvl w:val="0"/>
          <w:numId w:val="40"/>
        </w:numPr>
        <w:kinsoku w:val="0"/>
        <w:overflowPunct w:val="0"/>
        <w:autoSpaceDE w:val="0"/>
        <w:autoSpaceDN w:val="0"/>
        <w:bidi/>
        <w:spacing w:line="216" w:lineRule="auto"/>
        <w:ind w:left="0" w:firstLine="720"/>
        <w:rPr>
          <w:rFonts w:ascii="Simplified Arabic" w:hAnsi="Simplified Arabic" w:cs="Simplified Arabic"/>
          <w:sz w:val="24"/>
          <w:szCs w:val="24"/>
          <w:rtl/>
          <w:lang w:bidi="ar-EG"/>
        </w:rPr>
      </w:pPr>
      <w:r w:rsidRPr="00655368">
        <w:rPr>
          <w:rFonts w:ascii="Simplified Arabic" w:hAnsi="Simplified Arabic" w:cs="Simplified Arabic"/>
          <w:i/>
          <w:iCs/>
          <w:sz w:val="24"/>
          <w:szCs w:val="24"/>
          <w:rtl/>
        </w:rPr>
        <w:t>يكرر</w:t>
      </w:r>
      <w:r w:rsidRPr="00655368">
        <w:rPr>
          <w:rFonts w:ascii="Simplified Arabic" w:hAnsi="Simplified Arabic" w:cs="Simplified Arabic"/>
          <w:sz w:val="24"/>
          <w:szCs w:val="24"/>
          <w:rtl/>
        </w:rPr>
        <w:t xml:space="preserve"> دعوته</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للأطراف، للفترة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المتبقية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من</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الخطة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الاستراتيجية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لبروتوكول</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قرطاجنة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للسلامة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الأحيائية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للفترة 2011-2020، للنظر</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في</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ترتيب</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أولويات</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الأهداف</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التشغيلية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المتعلقة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بوضع</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تشريعات</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السلامة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الأحيائية، وتقييم</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المخاطر، والكشف</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عن الكائنات</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الحية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المحورة وتحديد</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ه</w:t>
      </w:r>
      <w:bookmarkStart w:id="0" w:name="_GoBack"/>
      <w:bookmarkEnd w:id="0"/>
      <w:r w:rsidRPr="00655368">
        <w:rPr>
          <w:rFonts w:ascii="Simplified Arabic" w:hAnsi="Simplified Arabic" w:cs="Simplified Arabic"/>
          <w:sz w:val="24"/>
          <w:szCs w:val="24"/>
          <w:rtl/>
        </w:rPr>
        <w:t>ويتها، والتوعية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العامة، نظرا</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لأهميتها</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الحاسمة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في</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تيسير</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تنفيذ</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البروتوكول؛</w:t>
      </w:r>
    </w:p>
    <w:p w14:paraId="63E1B5DC" w14:textId="3D8A4740" w:rsidR="00450592" w:rsidRPr="00655368" w:rsidRDefault="00450592" w:rsidP="00450592">
      <w:pPr>
        <w:pStyle w:val="Para10"/>
        <w:numPr>
          <w:ilvl w:val="0"/>
          <w:numId w:val="40"/>
        </w:numPr>
        <w:kinsoku w:val="0"/>
        <w:overflowPunct w:val="0"/>
        <w:autoSpaceDE w:val="0"/>
        <w:autoSpaceDN w:val="0"/>
        <w:bidi/>
        <w:spacing w:line="216" w:lineRule="auto"/>
        <w:ind w:left="0" w:firstLine="720"/>
        <w:rPr>
          <w:rtl/>
          <w:lang w:bidi="ar-EG"/>
        </w:rPr>
      </w:pPr>
      <w:r w:rsidRPr="00655368">
        <w:rPr>
          <w:rFonts w:ascii="Simplified Arabic" w:hAnsi="Simplified Arabic" w:cs="Simplified Arabic"/>
          <w:i/>
          <w:iCs/>
          <w:sz w:val="24"/>
          <w:szCs w:val="24"/>
          <w:rtl/>
        </w:rPr>
        <w:t>يقرر</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أن</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يتم</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الجمع</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بين</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التقييم</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والاستعراض</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الرابع</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لبروتوكول</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قرطاجنة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مع</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التقييم</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النهائي</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للخطة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الاستراتيجية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لبروتوكول</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قرطاجنة</w:t>
      </w:r>
      <w:r>
        <w:rPr>
          <w:rFonts w:ascii="Simplified Arabic" w:hAnsi="Simplified Arabic" w:cs="Simplified Arabic" w:hint="cs"/>
          <w:sz w:val="24"/>
          <w:szCs w:val="24"/>
          <w:rtl/>
        </w:rPr>
        <w:t xml:space="preserve"> </w:t>
      </w:r>
      <w:r w:rsidRPr="00655368">
        <w:rPr>
          <w:rFonts w:ascii="Simplified Arabic" w:hAnsi="Simplified Arabic" w:cs="Simplified Arabic"/>
          <w:sz w:val="24"/>
          <w:szCs w:val="24"/>
          <w:rtl/>
        </w:rPr>
        <w:t>للفترة 2011-2020؛</w:t>
      </w:r>
    </w:p>
    <w:p w14:paraId="650A9408" w14:textId="2AF23B9C" w:rsidR="00450592" w:rsidRPr="00655368" w:rsidRDefault="00450592" w:rsidP="00450592">
      <w:pPr>
        <w:pStyle w:val="Para10"/>
        <w:numPr>
          <w:ilvl w:val="0"/>
          <w:numId w:val="40"/>
        </w:numPr>
        <w:kinsoku w:val="0"/>
        <w:overflowPunct w:val="0"/>
        <w:autoSpaceDE w:val="0"/>
        <w:autoSpaceDN w:val="0"/>
        <w:bidi/>
        <w:spacing w:line="216" w:lineRule="auto"/>
        <w:ind w:left="0" w:firstLine="720"/>
        <w:rPr>
          <w:rFonts w:ascii="Simplified Arabic" w:hAnsi="Simplified Arabic" w:cs="Simplified Arabic"/>
          <w:i/>
          <w:sz w:val="24"/>
          <w:szCs w:val="24"/>
          <w:rtl/>
          <w:lang w:bidi="ar-EG"/>
        </w:rPr>
      </w:pPr>
      <w:r w:rsidRPr="00655368">
        <w:rPr>
          <w:rFonts w:ascii="Simplified Arabic" w:hAnsi="Simplified Arabic" w:cs="Simplified Arabic"/>
          <w:i/>
          <w:iCs/>
          <w:sz w:val="24"/>
          <w:szCs w:val="24"/>
          <w:rtl/>
          <w:lang w:bidi="ar-EG"/>
        </w:rPr>
        <w:t xml:space="preserve">يطلب </w:t>
      </w:r>
      <w:r w:rsidRPr="00655368">
        <w:rPr>
          <w:rFonts w:ascii="Simplified Arabic" w:hAnsi="Simplified Arabic" w:cs="Simplified Arabic"/>
          <w:sz w:val="24"/>
          <w:szCs w:val="24"/>
          <w:rtl/>
          <w:lang w:bidi="ar-EG"/>
        </w:rPr>
        <w:t>إلى الأمينة التنفيذية:</w:t>
      </w:r>
    </w:p>
    <w:p w14:paraId="61DDF250" w14:textId="77777777" w:rsidR="00450592" w:rsidRPr="00655368" w:rsidRDefault="00450592" w:rsidP="00450592">
      <w:pPr>
        <w:pStyle w:val="Para10"/>
        <w:numPr>
          <w:ilvl w:val="0"/>
          <w:numId w:val="0"/>
        </w:numPr>
        <w:kinsoku w:val="0"/>
        <w:overflowPunct w:val="0"/>
        <w:autoSpaceDE w:val="0"/>
        <w:autoSpaceDN w:val="0"/>
        <w:bidi/>
        <w:spacing w:line="216" w:lineRule="auto"/>
        <w:ind w:firstLine="720"/>
        <w:rPr>
          <w:rFonts w:ascii="Simplified Arabic" w:hAnsi="Simplified Arabic" w:cs="Simplified Arabic"/>
          <w:sz w:val="24"/>
          <w:szCs w:val="24"/>
          <w:rtl/>
          <w:lang w:bidi="ar-EG"/>
        </w:rPr>
      </w:pPr>
      <w:r w:rsidRPr="00655368">
        <w:rPr>
          <w:rFonts w:ascii="Simplified Arabic" w:hAnsi="Simplified Arabic" w:cs="Simplified Arabic"/>
          <w:sz w:val="24"/>
          <w:szCs w:val="24"/>
          <w:rtl/>
          <w:lang w:bidi="ar-EG"/>
        </w:rPr>
        <w:t>(أ)</w:t>
      </w:r>
      <w:r w:rsidRPr="00655368">
        <w:rPr>
          <w:rFonts w:ascii="Simplified Arabic" w:hAnsi="Simplified Arabic" w:cs="Simplified Arabic"/>
          <w:sz w:val="24"/>
          <w:szCs w:val="24"/>
          <w:rtl/>
          <w:lang w:bidi="ar-EG"/>
        </w:rPr>
        <w:tab/>
        <w:t>مواصلة إدخال تحسينات على أداة تحليل التقارير الوطنية المتاحة على الإنترنت لتيسير جمع البيانات المتاحة وتجميعها وتحليلها في التقارير الوطنية الرابعة والمصادر الأخرى مقابل بيانات خط الأساس ذات الصلة التي تم الحصول عليها خلال دورة تقديم التقارير الوطنية الثانية؛</w:t>
      </w:r>
    </w:p>
    <w:p w14:paraId="1AA5C720" w14:textId="630EE210" w:rsidR="00450592" w:rsidRPr="00655368" w:rsidRDefault="00450592" w:rsidP="004E68B5">
      <w:pPr>
        <w:pStyle w:val="Para10"/>
        <w:numPr>
          <w:ilvl w:val="0"/>
          <w:numId w:val="0"/>
        </w:numPr>
        <w:kinsoku w:val="0"/>
        <w:overflowPunct w:val="0"/>
        <w:autoSpaceDE w:val="0"/>
        <w:autoSpaceDN w:val="0"/>
        <w:bidi/>
        <w:spacing w:line="216" w:lineRule="auto"/>
        <w:ind w:firstLine="720"/>
        <w:rPr>
          <w:rFonts w:ascii="Simplified Arabic" w:hAnsi="Simplified Arabic" w:cs="Simplified Arabic"/>
          <w:sz w:val="24"/>
          <w:szCs w:val="24"/>
          <w:rtl/>
          <w:lang w:bidi="ar-EG"/>
        </w:rPr>
      </w:pPr>
      <w:r w:rsidRPr="00655368">
        <w:rPr>
          <w:rFonts w:ascii="Simplified Arabic" w:hAnsi="Simplified Arabic" w:cs="Simplified Arabic"/>
          <w:sz w:val="24"/>
          <w:szCs w:val="24"/>
          <w:rtl/>
          <w:lang w:bidi="ar-EG"/>
        </w:rPr>
        <w:t>(ب)</w:t>
      </w:r>
      <w:r w:rsidRPr="00655368">
        <w:rPr>
          <w:rFonts w:ascii="Simplified Arabic" w:hAnsi="Simplified Arabic" w:cs="Simplified Arabic"/>
          <w:sz w:val="24"/>
          <w:szCs w:val="24"/>
          <w:rtl/>
          <w:lang w:bidi="ar-EG"/>
        </w:rPr>
        <w:tab/>
        <w:t>تحليل وتوليف المعلومات المتعلقة بتنفيذ البروتوكول باستخدام جملة أمور من بينها التقارير الوطنية الرابعة كمصدر أولي، وغرفة تبادل معلومات السلامة الأحيائية، والخبرة من مشروعات بناء القدرات، ولجنة الامتثال، عند الاقتضاء، لتيسير عملية التقييم والاستعراض الرابع للبروتوكول بالتزامن مع التقييم النهائي للخطة الاستراتيجية</w:t>
      </w:r>
      <w:r w:rsidR="004E68B5">
        <w:rPr>
          <w:rFonts w:ascii="Simplified Arabic" w:hAnsi="Simplified Arabic" w:cs="Simplified Arabic" w:hint="cs"/>
          <w:sz w:val="24"/>
          <w:szCs w:val="24"/>
          <w:rtl/>
          <w:lang w:bidi="ar-EG"/>
        </w:rPr>
        <w:t xml:space="preserve"> لبروتوكول قرطاجنة للسلامة الأحيائية للفترة 2011-2020</w:t>
      </w:r>
      <w:r w:rsidRPr="00655368">
        <w:rPr>
          <w:rFonts w:ascii="Simplified Arabic" w:hAnsi="Simplified Arabic" w:cs="Simplified Arabic"/>
          <w:sz w:val="24"/>
          <w:szCs w:val="24"/>
          <w:rtl/>
          <w:lang w:bidi="ar-EG"/>
        </w:rPr>
        <w:t>، وإت</w:t>
      </w:r>
      <w:r w:rsidR="004E68B5">
        <w:rPr>
          <w:rFonts w:ascii="Simplified Arabic" w:hAnsi="Simplified Arabic" w:cs="Simplified Arabic"/>
          <w:sz w:val="24"/>
          <w:szCs w:val="24"/>
          <w:rtl/>
          <w:lang w:bidi="ar-EG"/>
        </w:rPr>
        <w:t>احة هذه المعلومات لفريق الاتصال</w:t>
      </w:r>
      <w:r w:rsidRPr="00655368">
        <w:rPr>
          <w:rFonts w:ascii="Simplified Arabic" w:hAnsi="Simplified Arabic" w:cs="Simplified Arabic"/>
          <w:sz w:val="24"/>
          <w:szCs w:val="24"/>
          <w:rtl/>
          <w:lang w:bidi="ar-EG"/>
        </w:rPr>
        <w:t>، وحسب الاقتضاء، للجنة الامتثال؛</w:t>
      </w:r>
    </w:p>
    <w:p w14:paraId="64D4C4DB" w14:textId="23BBE0FB" w:rsidR="00450592" w:rsidRPr="00655368" w:rsidRDefault="00450592" w:rsidP="004E68B5">
      <w:pPr>
        <w:pStyle w:val="Para10"/>
        <w:numPr>
          <w:ilvl w:val="0"/>
          <w:numId w:val="40"/>
        </w:numPr>
        <w:kinsoku w:val="0"/>
        <w:overflowPunct w:val="0"/>
        <w:autoSpaceDE w:val="0"/>
        <w:autoSpaceDN w:val="0"/>
        <w:bidi/>
        <w:spacing w:line="216" w:lineRule="auto"/>
        <w:ind w:left="0" w:firstLine="720"/>
        <w:rPr>
          <w:rFonts w:ascii="Simplified Arabic" w:hAnsi="Simplified Arabic" w:cs="Simplified Arabic"/>
          <w:sz w:val="24"/>
          <w:szCs w:val="24"/>
          <w:rtl/>
          <w:lang w:bidi="ar-EG"/>
        </w:rPr>
      </w:pPr>
      <w:r w:rsidRPr="00655368">
        <w:rPr>
          <w:rFonts w:ascii="Simplified Arabic" w:hAnsi="Simplified Arabic" w:cs="Simplified Arabic"/>
          <w:i/>
          <w:iCs/>
          <w:sz w:val="24"/>
          <w:szCs w:val="24"/>
          <w:rtl/>
          <w:lang w:bidi="ar-EG"/>
        </w:rPr>
        <w:t>يطلب</w:t>
      </w:r>
      <w:r w:rsidRPr="00655368">
        <w:rPr>
          <w:rFonts w:ascii="Simplified Arabic" w:hAnsi="Simplified Arabic" w:cs="Simplified Arabic"/>
          <w:sz w:val="24"/>
          <w:szCs w:val="24"/>
          <w:rtl/>
          <w:lang w:bidi="ar-EG"/>
        </w:rPr>
        <w:t xml:space="preserve"> إلى فريق الاتصال المعني </w:t>
      </w:r>
      <w:r w:rsidR="004E68B5">
        <w:rPr>
          <w:rFonts w:ascii="Simplified Arabic" w:hAnsi="Simplified Arabic" w:cs="Simplified Arabic" w:hint="cs"/>
          <w:sz w:val="24"/>
          <w:szCs w:val="24"/>
          <w:rtl/>
          <w:lang w:bidi="ar-EG"/>
        </w:rPr>
        <w:t>ببروتوكول قرطاجنة للسلامة الأحيائية</w:t>
      </w:r>
      <w:r w:rsidRPr="00655368">
        <w:rPr>
          <w:rFonts w:ascii="Simplified Arabic" w:hAnsi="Simplified Arabic" w:cs="Simplified Arabic"/>
          <w:sz w:val="24"/>
          <w:szCs w:val="24"/>
          <w:rtl/>
          <w:lang w:bidi="ar-EG"/>
        </w:rPr>
        <w:t xml:space="preserve"> ولجنة الامتثال، العمل بطريقة تكميلية وغير ازدواجية، للمساهمة في التقييم والاستعراض الرابع لبروتوكول قرطاجنة والتقييم النهائي للخطة الاستراتيجية</w:t>
      </w:r>
      <w:r w:rsidR="004E68B5" w:rsidRPr="004E68B5">
        <w:rPr>
          <w:rFonts w:ascii="Simplified Arabic" w:hAnsi="Simplified Arabic" w:cs="Simplified Arabic" w:hint="cs"/>
          <w:sz w:val="24"/>
          <w:szCs w:val="24"/>
          <w:rtl/>
          <w:lang w:bidi="ar-EG"/>
        </w:rPr>
        <w:t xml:space="preserve"> </w:t>
      </w:r>
      <w:r w:rsidR="004E68B5">
        <w:rPr>
          <w:rFonts w:ascii="Simplified Arabic" w:hAnsi="Simplified Arabic" w:cs="Simplified Arabic" w:hint="cs"/>
          <w:sz w:val="24"/>
          <w:szCs w:val="24"/>
          <w:rtl/>
          <w:lang w:bidi="ar-EG"/>
        </w:rPr>
        <w:t>لبروتوكول قرطاجنة للسلامة الأحيائية للفترة 2011-2020</w:t>
      </w:r>
      <w:r w:rsidRPr="00655368">
        <w:rPr>
          <w:rFonts w:ascii="Simplified Arabic" w:hAnsi="Simplified Arabic" w:cs="Simplified Arabic"/>
          <w:sz w:val="24"/>
          <w:szCs w:val="24"/>
          <w:rtl/>
          <w:lang w:bidi="ar-EG"/>
        </w:rPr>
        <w:t>، وتقديم استنتاجاتهما لتنظر فيها الهيئة الفرعية للتنفيذ؛</w:t>
      </w:r>
    </w:p>
    <w:p w14:paraId="486F1F7B" w14:textId="6FAF5E36" w:rsidR="004C0258" w:rsidRPr="00450592" w:rsidRDefault="00450592" w:rsidP="00450592">
      <w:pPr>
        <w:pStyle w:val="Para10"/>
        <w:numPr>
          <w:ilvl w:val="0"/>
          <w:numId w:val="40"/>
        </w:numPr>
        <w:kinsoku w:val="0"/>
        <w:overflowPunct w:val="0"/>
        <w:autoSpaceDE w:val="0"/>
        <w:autoSpaceDN w:val="0"/>
        <w:bidi/>
        <w:spacing w:line="216" w:lineRule="auto"/>
        <w:ind w:left="0" w:firstLine="720"/>
        <w:rPr>
          <w:rFonts w:eastAsia="YouYuan" w:cs="Simplified Arabic" w:hint="cs"/>
          <w:b/>
          <w:bCs/>
          <w:kern w:val="2"/>
          <w:sz w:val="20"/>
          <w:lang w:val="en-US" w:bidi="ar-EG"/>
        </w:rPr>
      </w:pPr>
      <w:r w:rsidRPr="00450592">
        <w:rPr>
          <w:rFonts w:ascii="Simplified Arabic" w:hAnsi="Simplified Arabic" w:cs="Simplified Arabic"/>
          <w:i/>
          <w:iCs/>
          <w:sz w:val="24"/>
          <w:szCs w:val="24"/>
          <w:rtl/>
          <w:lang w:bidi="ar-EG"/>
        </w:rPr>
        <w:t xml:space="preserve">يطلب </w:t>
      </w:r>
      <w:r w:rsidRPr="00450592">
        <w:rPr>
          <w:rFonts w:ascii="Simplified Arabic" w:hAnsi="Simplified Arabic" w:cs="Simplified Arabic"/>
          <w:sz w:val="24"/>
          <w:szCs w:val="24"/>
          <w:rtl/>
          <w:lang w:bidi="ar-EG"/>
        </w:rPr>
        <w:t>إلى الهيئة الفرعية للتنفيذ أن تنظر، في اجتماعها الثالث، في المعلومات المقدمة والاستنتاجات التي توصل إليها فريق الاتصال ولجنة الامتثال، وأن تقدم استنتاجاتها وتوصياتها إلى مؤتمر الأطراف العامل كاجتماع الأطراف في بروتوكول قرطاجنة في اجتماعه العاشر بهدف تيسير التقييم والاستعراض الرابع لبروتوكول قرطاجنة والتقييم النهائي للخطة الاستراتيجية لبروتوكول قرطاجنة للسلامة الأحيائية للفترة 2011-2020.</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495EE495" w:rsidR="004C0258" w:rsidRPr="004C69D2" w:rsidRDefault="00F82D3D" w:rsidP="00450592">
    <w:pPr>
      <w:pStyle w:val="Header"/>
      <w:jc w:val="right"/>
      <w:rPr>
        <w:lang w:val="en-CA"/>
      </w:rPr>
    </w:pPr>
    <w:r>
      <w:rPr>
        <w:lang w:val="en-CA"/>
      </w:rPr>
      <w:t>CBD/CP/MOP/</w:t>
    </w:r>
    <w:r w:rsidR="00645CB7">
      <w:rPr>
        <w:lang w:val="en-CA"/>
      </w:rPr>
      <w:t>DEC/</w:t>
    </w:r>
    <w:r>
      <w:rPr>
        <w:lang w:val="en-CA"/>
      </w:rPr>
      <w:t>9/</w:t>
    </w:r>
    <w:r w:rsidR="00450592">
      <w:rPr>
        <w:lang w:val="en-CA"/>
      </w:rPr>
      <w:t>6</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E68B5">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3BD8F03C" w:rsidR="004C0258" w:rsidRPr="004C69D2" w:rsidRDefault="00F82D3D" w:rsidP="00450592">
    <w:pPr>
      <w:pStyle w:val="Header"/>
      <w:jc w:val="left"/>
      <w:rPr>
        <w:rFonts w:hint="cs"/>
        <w:rtl/>
        <w:lang w:val="en-CA" w:bidi="ar-EG"/>
      </w:rPr>
    </w:pPr>
    <w:r>
      <w:rPr>
        <w:lang w:val="en-CA"/>
      </w:rPr>
      <w:t>CBD/CP/MOP/</w:t>
    </w:r>
    <w:r w:rsidR="00645CB7">
      <w:rPr>
        <w:lang w:val="en-CA"/>
      </w:rPr>
      <w:t>DEC/</w:t>
    </w:r>
    <w:r>
      <w:rPr>
        <w:lang w:val="en-CA"/>
      </w:rPr>
      <w:t>9/</w:t>
    </w:r>
    <w:r w:rsidR="00450592">
      <w:rPr>
        <w:lang w:val="en-CA"/>
      </w:rPr>
      <w:t>6</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50592">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D1DC6A30"/>
    <w:lvl w:ilvl="0" w:tplc="1310C958">
      <w:start w:val="1"/>
      <w:numFmt w:val="decimal"/>
      <w:lvlText w:val="%1-"/>
      <w:lvlJc w:val="left"/>
      <w:pPr>
        <w:ind w:left="732" w:hanging="360"/>
      </w:pPr>
      <w:rPr>
        <w:rFonts w:ascii="Simplified Arabic" w:hAnsi="Simplified Arabic" w:cs="Simplified Arabic" w:hint="default"/>
        <w:b w:val="0"/>
        <w:bCs w:val="0"/>
        <w:sz w:val="24"/>
        <w:szCs w:val="22"/>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9">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39"/>
  </w:num>
  <w:num w:numId="10">
    <w:abstractNumId w:val="25"/>
  </w:num>
  <w:num w:numId="11">
    <w:abstractNumId w:val="2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8"/>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50592"/>
    <w:rsid w:val="004644C2"/>
    <w:rsid w:val="00467F9C"/>
    <w:rsid w:val="0047558D"/>
    <w:rsid w:val="004A221D"/>
    <w:rsid w:val="004C0258"/>
    <w:rsid w:val="004C69D2"/>
    <w:rsid w:val="004D5D03"/>
    <w:rsid w:val="004E68B5"/>
    <w:rsid w:val="005224E3"/>
    <w:rsid w:val="00534681"/>
    <w:rsid w:val="0059306F"/>
    <w:rsid w:val="005B19D8"/>
    <w:rsid w:val="006122BA"/>
    <w:rsid w:val="0061445E"/>
    <w:rsid w:val="00630535"/>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65B74"/>
    <w:rsid w:val="00883B12"/>
    <w:rsid w:val="00930BA1"/>
    <w:rsid w:val="0093169E"/>
    <w:rsid w:val="009505C9"/>
    <w:rsid w:val="009C200D"/>
    <w:rsid w:val="00A92307"/>
    <w:rsid w:val="00AC4591"/>
    <w:rsid w:val="00B3369F"/>
    <w:rsid w:val="00B33DB6"/>
    <w:rsid w:val="00BB33F4"/>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ch.cbd.int/protocol/decisions/?decisionID=1232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32EF64-293A-4DC6-8599-E8E95BF1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4</cp:revision>
  <cp:lastPrinted>2019-02-01T14:13:00Z</cp:lastPrinted>
  <dcterms:created xsi:type="dcterms:W3CDTF">2019-02-01T14:00:00Z</dcterms:created>
  <dcterms:modified xsi:type="dcterms:W3CDTF">2019-02-01T14:13:00Z</dcterms:modified>
  <cp:contentStatus>GENERAL</cp:contentStatus>
</cp:coreProperties>
</file>