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9F2C17" w14:paraId="2FD00814" w14:textId="77777777" w:rsidTr="00CF1848">
        <w:trPr>
          <w:trHeight w:val="709"/>
        </w:trPr>
        <w:tc>
          <w:tcPr>
            <w:tcW w:w="976" w:type="dxa"/>
            <w:tcBorders>
              <w:bottom w:val="single" w:sz="12" w:space="0" w:color="auto"/>
            </w:tcBorders>
          </w:tcPr>
          <w:p w14:paraId="2FD00811" w14:textId="77777777" w:rsidR="00C9161D" w:rsidRPr="009F2C17" w:rsidRDefault="00C9161D">
            <w:pPr>
              <w:rPr>
                <w:kern w:val="22"/>
              </w:rPr>
            </w:pPr>
            <w:bookmarkStart w:id="0" w:name="_GoBack"/>
            <w:bookmarkEnd w:id="0"/>
            <w:r w:rsidRPr="009F2C17">
              <w:rPr>
                <w:noProof/>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9F2C17" w:rsidRDefault="00C9161D">
            <w:pPr>
              <w:rPr>
                <w:kern w:val="22"/>
              </w:rPr>
            </w:pPr>
            <w:r w:rsidRPr="009F2C17">
              <w:rPr>
                <w:noProof/>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9F2C17" w:rsidRDefault="00C9161D" w:rsidP="00C9161D">
            <w:pPr>
              <w:jc w:val="right"/>
              <w:rPr>
                <w:rFonts w:ascii="Arial" w:hAnsi="Arial" w:cs="Arial"/>
                <w:b/>
                <w:kern w:val="22"/>
                <w:sz w:val="32"/>
                <w:szCs w:val="32"/>
              </w:rPr>
            </w:pPr>
            <w:r w:rsidRPr="009F2C17">
              <w:rPr>
                <w:rFonts w:ascii="Arial" w:hAnsi="Arial" w:cs="Arial"/>
                <w:b/>
                <w:kern w:val="22"/>
                <w:sz w:val="32"/>
                <w:szCs w:val="32"/>
              </w:rPr>
              <w:t>CBD</w:t>
            </w:r>
          </w:p>
        </w:tc>
      </w:tr>
      <w:tr w:rsidR="00C9161D" w:rsidRPr="009F2C17"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9F2C17" w:rsidRDefault="00C9161D" w:rsidP="00C9161D">
            <w:pPr>
              <w:rPr>
                <w:kern w:val="22"/>
              </w:rPr>
            </w:pPr>
            <w:r w:rsidRPr="009F2C17">
              <w:rPr>
                <w:noProof/>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9F2C17" w:rsidRDefault="00C9161D" w:rsidP="009F2C17">
            <w:pPr>
              <w:ind w:left="1215"/>
              <w:jc w:val="left"/>
              <w:rPr>
                <w:kern w:val="22"/>
                <w:szCs w:val="22"/>
              </w:rPr>
            </w:pPr>
            <w:r w:rsidRPr="009F2C17">
              <w:rPr>
                <w:kern w:val="22"/>
                <w:szCs w:val="22"/>
              </w:rPr>
              <w:t>Distr.</w:t>
            </w:r>
          </w:p>
          <w:p w14:paraId="2FD00817" w14:textId="7CE2FB45" w:rsidR="00C9161D" w:rsidRPr="009F2C17" w:rsidRDefault="009F2C17" w:rsidP="009F2C17">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811C9" w:rsidRPr="00AB3EDC">
                  <w:rPr>
                    <w:kern w:val="22"/>
                    <w:szCs w:val="22"/>
                  </w:rPr>
                  <w:t>GENERAL</w:t>
                </w:r>
              </w:sdtContent>
            </w:sdt>
          </w:p>
          <w:p w14:paraId="2FD00818" w14:textId="77777777" w:rsidR="00C9161D" w:rsidRPr="009F2C17" w:rsidRDefault="00C9161D" w:rsidP="009F2C17">
            <w:pPr>
              <w:ind w:left="1215"/>
              <w:jc w:val="left"/>
              <w:rPr>
                <w:kern w:val="22"/>
                <w:szCs w:val="22"/>
              </w:rPr>
            </w:pPr>
          </w:p>
          <w:p w14:paraId="2FD00819" w14:textId="32FA8A23" w:rsidR="00C9161D" w:rsidRPr="009F2C17" w:rsidRDefault="009F2C17" w:rsidP="009F2C17">
            <w:pPr>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811C9" w:rsidRPr="00AB3EDC">
                  <w:rPr>
                    <w:kern w:val="22"/>
                  </w:rPr>
                  <w:t>CBD/CP/MOP/DEC/9/6</w:t>
                </w:r>
              </w:sdtContent>
            </w:sdt>
          </w:p>
          <w:p w14:paraId="2FD0081A" w14:textId="13D1D74A" w:rsidR="00C9161D" w:rsidRPr="009F2C17" w:rsidRDefault="001811C9" w:rsidP="009F2C17">
            <w:pPr>
              <w:ind w:left="1215"/>
              <w:jc w:val="left"/>
              <w:rPr>
                <w:kern w:val="22"/>
                <w:szCs w:val="22"/>
              </w:rPr>
            </w:pPr>
            <w:r w:rsidRPr="009F2C17">
              <w:rPr>
                <w:kern w:val="22"/>
                <w:szCs w:val="22"/>
              </w:rPr>
              <w:t xml:space="preserve">30 </w:t>
            </w:r>
            <w:r w:rsidR="00ED72FA" w:rsidRPr="009F2C17">
              <w:rPr>
                <w:kern w:val="22"/>
                <w:szCs w:val="22"/>
              </w:rPr>
              <w:t>November</w:t>
            </w:r>
            <w:r w:rsidR="00F6586C" w:rsidRPr="009F2C17">
              <w:rPr>
                <w:kern w:val="22"/>
                <w:szCs w:val="22"/>
              </w:rPr>
              <w:t xml:space="preserve"> 2018</w:t>
            </w:r>
          </w:p>
          <w:p w14:paraId="2FD0081B" w14:textId="77777777" w:rsidR="00C9161D" w:rsidRPr="009F2C17" w:rsidRDefault="00C9161D" w:rsidP="009F2C17">
            <w:pPr>
              <w:ind w:left="1215"/>
              <w:jc w:val="left"/>
              <w:rPr>
                <w:kern w:val="22"/>
                <w:szCs w:val="22"/>
              </w:rPr>
            </w:pPr>
          </w:p>
          <w:p w14:paraId="2FD0081C" w14:textId="77777777" w:rsidR="00C9161D" w:rsidRPr="009F2C17" w:rsidRDefault="006B2290" w:rsidP="009F2C17">
            <w:pPr>
              <w:ind w:left="1215"/>
              <w:jc w:val="left"/>
              <w:rPr>
                <w:kern w:val="22"/>
                <w:szCs w:val="22"/>
              </w:rPr>
            </w:pPr>
            <w:r w:rsidRPr="009F2C17">
              <w:rPr>
                <w:kern w:val="22"/>
                <w:szCs w:val="22"/>
              </w:rPr>
              <w:t xml:space="preserve">ORIGINAL: </w:t>
            </w:r>
            <w:r w:rsidR="00C9161D" w:rsidRPr="009F2C17">
              <w:rPr>
                <w:kern w:val="22"/>
                <w:szCs w:val="22"/>
              </w:rPr>
              <w:t>ENGLISH</w:t>
            </w:r>
          </w:p>
          <w:p w14:paraId="2FD0081D" w14:textId="77777777" w:rsidR="00C9161D" w:rsidRPr="009F2C17" w:rsidRDefault="00C9161D" w:rsidP="009F2C17">
            <w:pPr>
              <w:jc w:val="left"/>
              <w:rPr>
                <w:kern w:val="22"/>
              </w:rPr>
            </w:pPr>
          </w:p>
        </w:tc>
      </w:tr>
    </w:tbl>
    <w:p w14:paraId="006161E7" w14:textId="77777777" w:rsidR="00AC3393" w:rsidRPr="009F2C17" w:rsidRDefault="00AC3393" w:rsidP="00AB3EDC">
      <w:pPr>
        <w:pStyle w:val="Cornernotation"/>
        <w:suppressLineNumbers/>
        <w:suppressAutoHyphens/>
        <w:kinsoku w:val="0"/>
        <w:overflowPunct w:val="0"/>
        <w:autoSpaceDE w:val="0"/>
        <w:autoSpaceDN w:val="0"/>
        <w:spacing w:before="60"/>
        <w:ind w:left="227" w:right="3780" w:hanging="227"/>
        <w:rPr>
          <w:snapToGrid w:val="0"/>
          <w:kern w:val="22"/>
        </w:rPr>
      </w:pPr>
      <w:bookmarkStart w:id="1" w:name="_Hlk530040340"/>
      <w:r w:rsidRPr="00AB3EDC">
        <w:rPr>
          <w:snapToGrid w:val="0"/>
          <w:kern w:val="22"/>
        </w:rPr>
        <w:t xml:space="preserve">CONFERENCE OF THE PARTIES TO THE CONVENTION ON BIOLOGICAL DIVERSITY </w:t>
      </w:r>
      <w:r w:rsidRPr="009F2C17">
        <w:rPr>
          <w:snapToGrid w:val="0"/>
          <w:kern w:val="22"/>
        </w:rPr>
        <w:t>SERVING AS THE MEETING OF THE PARTIES TO THE CARTAGENA PROTOCOL ON BIOSAFETY</w:t>
      </w:r>
    </w:p>
    <w:p w14:paraId="32F58AE0" w14:textId="77777777" w:rsidR="00AC3393" w:rsidRPr="009F2C17" w:rsidRDefault="00AC3393" w:rsidP="00AB3EDC">
      <w:pPr>
        <w:pStyle w:val="Cornernotation"/>
        <w:suppressLineNumbers/>
        <w:suppressAutoHyphens/>
        <w:kinsoku w:val="0"/>
        <w:overflowPunct w:val="0"/>
        <w:autoSpaceDE w:val="0"/>
        <w:autoSpaceDN w:val="0"/>
        <w:ind w:left="0" w:right="4512" w:firstLine="0"/>
        <w:rPr>
          <w:snapToGrid w:val="0"/>
          <w:kern w:val="22"/>
        </w:rPr>
      </w:pPr>
      <w:r w:rsidRPr="009F2C17">
        <w:rPr>
          <w:snapToGrid w:val="0"/>
          <w:kern w:val="22"/>
        </w:rPr>
        <w:t>Ninth meeting</w:t>
      </w:r>
    </w:p>
    <w:p w14:paraId="10DD7072" w14:textId="77777777" w:rsidR="00AC3393" w:rsidRPr="009F2C17" w:rsidRDefault="00AC3393" w:rsidP="009F2C17">
      <w:pPr>
        <w:suppressLineNumbers/>
        <w:suppressAutoHyphens/>
        <w:kinsoku w:val="0"/>
        <w:overflowPunct w:val="0"/>
        <w:autoSpaceDE w:val="0"/>
        <w:autoSpaceDN w:val="0"/>
        <w:rPr>
          <w:snapToGrid w:val="0"/>
          <w:kern w:val="22"/>
          <w:szCs w:val="22"/>
          <w:lang w:eastAsia="nb-NO"/>
        </w:rPr>
      </w:pPr>
      <w:bookmarkStart w:id="2" w:name="_Hlk505863673"/>
      <w:r w:rsidRPr="009F2C17">
        <w:rPr>
          <w:snapToGrid w:val="0"/>
          <w:kern w:val="22"/>
          <w:szCs w:val="22"/>
          <w:lang w:eastAsia="nb-NO"/>
        </w:rPr>
        <w:t>Sharm El-Sheikh, Egypt</w:t>
      </w:r>
      <w:bookmarkEnd w:id="2"/>
      <w:r w:rsidRPr="009F2C17">
        <w:rPr>
          <w:snapToGrid w:val="0"/>
          <w:kern w:val="22"/>
          <w:szCs w:val="22"/>
          <w:lang w:eastAsia="nb-NO"/>
        </w:rPr>
        <w:t>, 17-29 November 2018</w:t>
      </w:r>
    </w:p>
    <w:bookmarkEnd w:id="1"/>
    <w:p w14:paraId="2FD00822" w14:textId="0DF6304B" w:rsidR="00172AF6" w:rsidRPr="009F2C17" w:rsidRDefault="00F6586C" w:rsidP="009F2C17">
      <w:pPr>
        <w:pStyle w:val="Cornernotation"/>
        <w:ind w:right="3973"/>
        <w:rPr>
          <w:kern w:val="22"/>
        </w:rPr>
      </w:pPr>
      <w:r w:rsidRPr="009F2C17">
        <w:rPr>
          <w:color w:val="000000"/>
          <w:kern w:val="22"/>
        </w:rPr>
        <w:t xml:space="preserve">Agenda item </w:t>
      </w:r>
      <w:r w:rsidR="00D95FDD" w:rsidRPr="009F2C17">
        <w:rPr>
          <w:color w:val="000000"/>
          <w:kern w:val="22"/>
        </w:rPr>
        <w:t>10</w:t>
      </w:r>
    </w:p>
    <w:p w14:paraId="338E41AC" w14:textId="603AFE31" w:rsidR="001811C9" w:rsidRPr="00AB3EDC" w:rsidRDefault="003F09B1" w:rsidP="009F2C17">
      <w:pPr>
        <w:pStyle w:val="HEADINGNOTFORTOC"/>
        <w:tabs>
          <w:tab w:val="clear" w:pos="720"/>
        </w:tabs>
        <w:snapToGrid w:val="0"/>
        <w:spacing w:before="120"/>
        <w:rPr>
          <w:bCs/>
          <w:kern w:val="22"/>
          <w:szCs w:val="22"/>
        </w:rPr>
      </w:pPr>
      <w:bookmarkStart w:id="3" w:name="_Toc403662936"/>
      <w:r w:rsidRPr="009F2C17">
        <w:rPr>
          <w:kern w:val="22"/>
          <w:szCs w:val="22"/>
        </w:rPr>
        <w:t>Decision adopted by the Parties to the Cartagena Protocol on Biosafety</w:t>
      </w:r>
      <w:bookmarkEnd w:id="3"/>
    </w:p>
    <w:p w14:paraId="2FD00824" w14:textId="3266A527" w:rsidR="00C9161D" w:rsidRPr="009F2C17" w:rsidRDefault="009F2C17" w:rsidP="00AB3EDC">
      <w:pPr>
        <w:spacing w:before="120" w:after="240"/>
        <w:jc w:val="center"/>
        <w:rPr>
          <w:b/>
          <w:caps/>
          <w:kern w:val="22"/>
        </w:rPr>
      </w:pPr>
      <w:sdt>
        <w:sdtPr>
          <w:rPr>
            <w:b/>
            <w:bCs/>
            <w:iC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811C9" w:rsidRPr="00AB3EDC">
            <w:rPr>
              <w:b/>
              <w:bCs/>
              <w:iCs/>
              <w:kern w:val="22"/>
            </w:rPr>
            <w:t>9/6.</w:t>
          </w:r>
          <w:r w:rsidR="001811C9" w:rsidRPr="00AB3EDC">
            <w:rPr>
              <w:b/>
              <w:bCs/>
              <w:iCs/>
              <w:kern w:val="22"/>
            </w:rPr>
            <w:tab/>
          </w:r>
          <w:r w:rsidR="003F1ABD" w:rsidRPr="00AB3EDC">
            <w:rPr>
              <w:b/>
              <w:bCs/>
              <w:iCs/>
              <w:kern w:val="22"/>
            </w:rPr>
            <w:t>A</w:t>
          </w:r>
          <w:r w:rsidR="001811C9" w:rsidRPr="00AB3EDC">
            <w:rPr>
              <w:b/>
              <w:bCs/>
              <w:iCs/>
              <w:kern w:val="22"/>
            </w:rPr>
            <w:t xml:space="preserve">ssessment and review of the effectiveness of the Cartagena Protocol </w:t>
          </w:r>
          <w:r w:rsidR="003F1ABD" w:rsidRPr="00AB3EDC">
            <w:rPr>
              <w:b/>
              <w:bCs/>
              <w:iCs/>
              <w:kern w:val="22"/>
            </w:rPr>
            <w:t>(A</w:t>
          </w:r>
          <w:r w:rsidR="001811C9" w:rsidRPr="00AB3EDC">
            <w:rPr>
              <w:b/>
              <w:bCs/>
              <w:iCs/>
              <w:kern w:val="22"/>
            </w:rPr>
            <w:t>rticle</w:t>
          </w:r>
          <w:r w:rsidR="003F1ABD" w:rsidRPr="00AB3EDC">
            <w:rPr>
              <w:b/>
              <w:bCs/>
              <w:iCs/>
              <w:kern w:val="22"/>
            </w:rPr>
            <w:t xml:space="preserve"> 35)</w:t>
          </w:r>
        </w:sdtContent>
      </w:sdt>
    </w:p>
    <w:p w14:paraId="7A4D33E8" w14:textId="77777777" w:rsidR="003F1ABD" w:rsidRPr="009F2C17" w:rsidRDefault="003F1ABD" w:rsidP="009F2C17">
      <w:pPr>
        <w:pStyle w:val="Para1"/>
        <w:numPr>
          <w:ilvl w:val="0"/>
          <w:numId w:val="0"/>
        </w:numPr>
        <w:kinsoku w:val="0"/>
        <w:overflowPunct w:val="0"/>
        <w:autoSpaceDE w:val="0"/>
        <w:autoSpaceDN w:val="0"/>
        <w:ind w:firstLine="720"/>
        <w:rPr>
          <w:kern w:val="22"/>
        </w:rPr>
      </w:pPr>
      <w:r w:rsidRPr="009F2C17">
        <w:rPr>
          <w:i/>
          <w:kern w:val="22"/>
        </w:rPr>
        <w:t>The Conference of the Parties serving as the meeting of the Parties to the Cartagena Protocol on Biosafety,</w:t>
      </w:r>
    </w:p>
    <w:p w14:paraId="7ECD31EE" w14:textId="157390B8" w:rsidR="003F1ABD" w:rsidRPr="009F2C17" w:rsidRDefault="003F1ABD" w:rsidP="009F2C17">
      <w:pPr>
        <w:pStyle w:val="Para1"/>
        <w:numPr>
          <w:ilvl w:val="0"/>
          <w:numId w:val="0"/>
        </w:numPr>
        <w:kinsoku w:val="0"/>
        <w:overflowPunct w:val="0"/>
        <w:autoSpaceDE w:val="0"/>
        <w:autoSpaceDN w:val="0"/>
        <w:ind w:firstLine="720"/>
        <w:rPr>
          <w:kern w:val="22"/>
        </w:rPr>
      </w:pPr>
      <w:r w:rsidRPr="009F2C17">
        <w:rPr>
          <w:i/>
          <w:kern w:val="22"/>
        </w:rPr>
        <w:t>Recalling</w:t>
      </w:r>
      <w:r w:rsidRPr="009F2C17">
        <w:rPr>
          <w:kern w:val="22"/>
        </w:rPr>
        <w:t xml:space="preserve"> decision </w:t>
      </w:r>
      <w:hyperlink r:id="rId12" w:history="1">
        <w:r w:rsidRPr="009F2C17">
          <w:rPr>
            <w:rStyle w:val="Hyperlink"/>
            <w:kern w:val="22"/>
            <w:sz w:val="22"/>
          </w:rPr>
          <w:t>BS-V/16</w:t>
        </w:r>
      </w:hyperlink>
      <w:r w:rsidRPr="009F2C17">
        <w:rPr>
          <w:kern w:val="22"/>
        </w:rPr>
        <w:t xml:space="preserve">, adopting the Strategic Plan </w:t>
      </w:r>
      <w:r w:rsidR="004F5AB7" w:rsidRPr="00AB3EDC">
        <w:rPr>
          <w:kern w:val="22"/>
        </w:rPr>
        <w:t>for</w:t>
      </w:r>
      <w:r w:rsidR="004F5AB7" w:rsidRPr="009F2C17">
        <w:rPr>
          <w:kern w:val="22"/>
        </w:rPr>
        <w:t xml:space="preserve"> </w:t>
      </w:r>
      <w:r w:rsidRPr="009F2C17">
        <w:rPr>
          <w:kern w:val="22"/>
        </w:rPr>
        <w:t>the Cartagena Protocol on Biosafety for the period 2011-2020,</w:t>
      </w:r>
    </w:p>
    <w:p w14:paraId="210171F9" w14:textId="64C04212" w:rsidR="003F1ABD" w:rsidRPr="009F2C17" w:rsidRDefault="003F1ABD" w:rsidP="009F2C17">
      <w:pPr>
        <w:pStyle w:val="Para1"/>
        <w:numPr>
          <w:ilvl w:val="0"/>
          <w:numId w:val="2"/>
        </w:numPr>
        <w:tabs>
          <w:tab w:val="clear" w:pos="360"/>
        </w:tabs>
        <w:kinsoku w:val="0"/>
        <w:overflowPunct w:val="0"/>
        <w:autoSpaceDE w:val="0"/>
        <w:autoSpaceDN w:val="0"/>
        <w:ind w:firstLine="720"/>
        <w:rPr>
          <w:kern w:val="22"/>
        </w:rPr>
      </w:pPr>
      <w:r w:rsidRPr="009F2C17">
        <w:rPr>
          <w:i/>
          <w:kern w:val="22"/>
        </w:rPr>
        <w:t>Reiterates</w:t>
      </w:r>
      <w:r w:rsidRPr="009F2C17">
        <w:rPr>
          <w:kern w:val="22"/>
        </w:rPr>
        <w:t xml:space="preserve"> its invitation to Parties, for the remaining period of the Strategic Plan for the Cartagena Protocol on Biosafety for </w:t>
      </w:r>
      <w:r w:rsidR="00250BE1" w:rsidRPr="00AB3EDC">
        <w:rPr>
          <w:kern w:val="22"/>
        </w:rPr>
        <w:t xml:space="preserve">the period </w:t>
      </w:r>
      <w:r w:rsidRPr="009F2C17">
        <w:rPr>
          <w:kern w:val="22"/>
        </w:rPr>
        <w:t>2011-2020, to consider prioritizing the operational objectives relating to the development of biosafety legislation, risk assessment, detection and identification of living modified organisms, and public awareness in view of their critical importance in facilitating the implementation of the Protocol;</w:t>
      </w:r>
    </w:p>
    <w:p w14:paraId="4F7E1055" w14:textId="77777777" w:rsidR="003F1ABD" w:rsidRPr="009F2C17" w:rsidRDefault="003F1ABD" w:rsidP="009F2C17">
      <w:pPr>
        <w:pStyle w:val="Para1"/>
        <w:numPr>
          <w:ilvl w:val="0"/>
          <w:numId w:val="2"/>
        </w:numPr>
        <w:tabs>
          <w:tab w:val="clear" w:pos="360"/>
        </w:tabs>
        <w:kinsoku w:val="0"/>
        <w:overflowPunct w:val="0"/>
        <w:autoSpaceDE w:val="0"/>
        <w:autoSpaceDN w:val="0"/>
        <w:ind w:firstLine="720"/>
        <w:rPr>
          <w:kern w:val="22"/>
        </w:rPr>
      </w:pPr>
      <w:r w:rsidRPr="009F2C17">
        <w:rPr>
          <w:i/>
          <w:kern w:val="22"/>
        </w:rPr>
        <w:t>Decides</w:t>
      </w:r>
      <w:r w:rsidRPr="009F2C17">
        <w:rPr>
          <w:kern w:val="22"/>
        </w:rPr>
        <w:t xml:space="preserve"> that the fourth assessment and review of the Cartagena Protocol will be combined with the final evaluation of the Strategic Plan for the Cartagena Protocol for the period 2011-2020;</w:t>
      </w:r>
    </w:p>
    <w:p w14:paraId="32457388" w14:textId="77777777" w:rsidR="003F1ABD" w:rsidRPr="009F2C17" w:rsidRDefault="003F1ABD" w:rsidP="009F2C17">
      <w:pPr>
        <w:pStyle w:val="Para1"/>
        <w:numPr>
          <w:ilvl w:val="0"/>
          <w:numId w:val="2"/>
        </w:numPr>
        <w:tabs>
          <w:tab w:val="clear" w:pos="360"/>
        </w:tabs>
        <w:kinsoku w:val="0"/>
        <w:overflowPunct w:val="0"/>
        <w:autoSpaceDE w:val="0"/>
        <w:autoSpaceDN w:val="0"/>
        <w:ind w:firstLine="720"/>
        <w:rPr>
          <w:i/>
          <w:kern w:val="22"/>
        </w:rPr>
      </w:pPr>
      <w:r w:rsidRPr="009F2C17">
        <w:rPr>
          <w:i/>
          <w:kern w:val="22"/>
        </w:rPr>
        <w:t xml:space="preserve">Requests </w:t>
      </w:r>
      <w:r w:rsidRPr="009F2C17">
        <w:rPr>
          <w:kern w:val="22"/>
        </w:rPr>
        <w:t>the Executive Secretary:</w:t>
      </w:r>
    </w:p>
    <w:p w14:paraId="2D6DFC67" w14:textId="77777777" w:rsidR="003F1ABD" w:rsidRPr="009F2C17" w:rsidRDefault="003F1ABD" w:rsidP="009F2C17">
      <w:pPr>
        <w:pStyle w:val="Para1"/>
        <w:numPr>
          <w:ilvl w:val="0"/>
          <w:numId w:val="0"/>
        </w:numPr>
        <w:kinsoku w:val="0"/>
        <w:overflowPunct w:val="0"/>
        <w:autoSpaceDE w:val="0"/>
        <w:autoSpaceDN w:val="0"/>
        <w:ind w:firstLine="720"/>
        <w:rPr>
          <w:kern w:val="22"/>
        </w:rPr>
      </w:pPr>
      <w:r w:rsidRPr="009F2C17">
        <w:rPr>
          <w:kern w:val="22"/>
        </w:rPr>
        <w:t>(a)</w:t>
      </w:r>
      <w:r w:rsidRPr="009F2C17">
        <w:rPr>
          <w:kern w:val="22"/>
        </w:rPr>
        <w:tab/>
        <w:t>To continue making improvements to the online national report analyser tool to facilitate the compilation, aggregation and analysis of the data in the fourth national reports and other sources against related baseline data that was obtained during the second national reporting cycle;</w:t>
      </w:r>
    </w:p>
    <w:p w14:paraId="6F78C6A5" w14:textId="1018AC33" w:rsidR="003F1ABD" w:rsidRPr="009F2C17" w:rsidRDefault="003F1ABD" w:rsidP="009F2C17">
      <w:pPr>
        <w:pStyle w:val="Para1"/>
        <w:numPr>
          <w:ilvl w:val="0"/>
          <w:numId w:val="0"/>
        </w:numPr>
        <w:kinsoku w:val="0"/>
        <w:overflowPunct w:val="0"/>
        <w:autoSpaceDE w:val="0"/>
        <w:autoSpaceDN w:val="0"/>
        <w:ind w:firstLine="720"/>
        <w:rPr>
          <w:kern w:val="22"/>
        </w:rPr>
      </w:pPr>
      <w:r w:rsidRPr="009F2C17">
        <w:rPr>
          <w:kern w:val="22"/>
        </w:rPr>
        <w:t>(b)</w:t>
      </w:r>
      <w:r w:rsidRPr="009F2C17">
        <w:rPr>
          <w:kern w:val="22"/>
        </w:rPr>
        <w:tab/>
        <w:t>To analyse and synthesize information on the implementation of the Protocol using, inter alia, the fourth national reports as a primary source, the Biosafety Clearing-House and experience from capacity-building projects and the Compliance Committee, where appropriate, to facilitate the fourth assessment and review of the Protocol in conjunction with the final evaluation of the Strategic Plan</w:t>
      </w:r>
      <w:r w:rsidR="004F5AB7" w:rsidRPr="00AB3EDC">
        <w:rPr>
          <w:kern w:val="22"/>
        </w:rPr>
        <w:t xml:space="preserve"> </w:t>
      </w:r>
      <w:r w:rsidR="004F5AB7" w:rsidRPr="009F2C17">
        <w:rPr>
          <w:kern w:val="22"/>
        </w:rPr>
        <w:t>for the Cartagena Protocol on Biosafety for the period 2011-2020</w:t>
      </w:r>
      <w:r w:rsidRPr="009F2C17">
        <w:rPr>
          <w:kern w:val="22"/>
        </w:rPr>
        <w:t>, and make this information available to the Liaison Group and, as appropriate, the Compliance Committee;</w:t>
      </w:r>
    </w:p>
    <w:p w14:paraId="07698FDF" w14:textId="1D92E2FE" w:rsidR="003F1ABD" w:rsidRPr="009F2C17" w:rsidRDefault="003F1ABD" w:rsidP="009F2C17">
      <w:pPr>
        <w:pStyle w:val="Para1"/>
        <w:numPr>
          <w:ilvl w:val="0"/>
          <w:numId w:val="2"/>
        </w:numPr>
        <w:tabs>
          <w:tab w:val="clear" w:pos="360"/>
        </w:tabs>
        <w:kinsoku w:val="0"/>
        <w:overflowPunct w:val="0"/>
        <w:autoSpaceDE w:val="0"/>
        <w:autoSpaceDN w:val="0"/>
        <w:ind w:firstLine="720"/>
        <w:rPr>
          <w:kern w:val="22"/>
        </w:rPr>
      </w:pPr>
      <w:r w:rsidRPr="009F2C17">
        <w:rPr>
          <w:i/>
          <w:kern w:val="22"/>
        </w:rPr>
        <w:t>Requests</w:t>
      </w:r>
      <w:r w:rsidRPr="009F2C17">
        <w:rPr>
          <w:kern w:val="22"/>
        </w:rPr>
        <w:t xml:space="preserve"> the Liaison Group </w:t>
      </w:r>
      <w:r w:rsidR="004F5AB7" w:rsidRPr="009F2C17">
        <w:rPr>
          <w:kern w:val="22"/>
        </w:rPr>
        <w:t>on the Cartagena Protocol on Biosafety</w:t>
      </w:r>
      <w:r w:rsidRPr="009F2C17">
        <w:rPr>
          <w:kern w:val="22"/>
        </w:rPr>
        <w:t xml:space="preserve"> and the Compliance Committee, working in a complementary and non-duplicative manner, to contribute to the fourth assessment and review of the Cartagena Protocol and the final evaluation of the Strategic Plan</w:t>
      </w:r>
      <w:r w:rsidR="004F5AB7" w:rsidRPr="00AB3EDC">
        <w:rPr>
          <w:kern w:val="22"/>
        </w:rPr>
        <w:t xml:space="preserve"> </w:t>
      </w:r>
      <w:r w:rsidR="004F5AB7" w:rsidRPr="009F2C17">
        <w:rPr>
          <w:kern w:val="22"/>
        </w:rPr>
        <w:t>for the Cartagena Protocol on Biosafety for the period 2011-2020</w:t>
      </w:r>
      <w:r w:rsidRPr="009F2C17">
        <w:rPr>
          <w:kern w:val="22"/>
        </w:rPr>
        <w:t>, and to submit their conclusions for consideration by the Subsidiary Body on Implementation;</w:t>
      </w:r>
    </w:p>
    <w:p w14:paraId="77C10F16" w14:textId="4D6378CB" w:rsidR="003F1ABD" w:rsidRPr="009F2C17" w:rsidRDefault="003F1ABD" w:rsidP="009F2C17">
      <w:pPr>
        <w:pStyle w:val="Para1"/>
        <w:numPr>
          <w:ilvl w:val="0"/>
          <w:numId w:val="2"/>
        </w:numPr>
        <w:tabs>
          <w:tab w:val="clear" w:pos="360"/>
        </w:tabs>
        <w:kinsoku w:val="0"/>
        <w:overflowPunct w:val="0"/>
        <w:autoSpaceDE w:val="0"/>
        <w:autoSpaceDN w:val="0"/>
        <w:ind w:firstLine="720"/>
        <w:rPr>
          <w:kern w:val="22"/>
        </w:rPr>
      </w:pPr>
      <w:r w:rsidRPr="009F2C17">
        <w:rPr>
          <w:i/>
          <w:kern w:val="22"/>
        </w:rPr>
        <w:t>Requests</w:t>
      </w:r>
      <w:r w:rsidRPr="009F2C17">
        <w:rPr>
          <w:kern w:val="22"/>
        </w:rPr>
        <w:t xml:space="preserve"> the Subsidiary Body on Implementation at its third meeting to consider the information provided and conclusions reached by the Liaison Group and the Compliance Committee, and to submit its findings and recommendations to the Conference of the Parties serving as the meeting of the </w:t>
      </w:r>
      <w:r w:rsidRPr="009F2C17">
        <w:rPr>
          <w:kern w:val="22"/>
        </w:rPr>
        <w:lastRenderedPageBreak/>
        <w:t>Parties to the Cartagena Protocol at its tenth meeting with a view to facilitating the fourth assessment and review of the Cartagena Protocol and the final evaluation of the Strategic Plan for the Cartagena Protocol on Biosafety for the period 2011-2020.</w:t>
      </w:r>
    </w:p>
    <w:p w14:paraId="2FD00827" w14:textId="5E70ABE3" w:rsidR="00B3369F" w:rsidRPr="009F2C17" w:rsidRDefault="003F1ABD" w:rsidP="009F2C17">
      <w:pPr>
        <w:spacing w:before="120" w:after="120"/>
        <w:ind w:firstLine="720"/>
        <w:jc w:val="center"/>
        <w:rPr>
          <w:kern w:val="22"/>
        </w:rPr>
      </w:pPr>
      <w:r w:rsidRPr="009F2C17">
        <w:rPr>
          <w:kern w:val="22"/>
        </w:rPr>
        <w:t>______</w:t>
      </w:r>
      <w:r w:rsidR="00796682" w:rsidRPr="00AB3EDC">
        <w:rPr>
          <w:kern w:val="22"/>
        </w:rPr>
        <w:t>____</w:t>
      </w:r>
    </w:p>
    <w:sectPr w:rsidR="00B3369F" w:rsidRPr="009F2C17"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6FC69" w14:textId="77777777" w:rsidR="00EB7A6B" w:rsidRDefault="00EB7A6B" w:rsidP="00CF1848">
      <w:r>
        <w:separator/>
      </w:r>
    </w:p>
  </w:endnote>
  <w:endnote w:type="continuationSeparator" w:id="0">
    <w:p w14:paraId="0AE2C602" w14:textId="77777777" w:rsidR="00EB7A6B" w:rsidRDefault="00EB7A6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EA07" w14:textId="77777777" w:rsidR="00EB7A6B" w:rsidRDefault="00EB7A6B" w:rsidP="00CF1848">
      <w:r>
        <w:separator/>
      </w:r>
    </w:p>
  </w:footnote>
  <w:footnote w:type="continuationSeparator" w:id="0">
    <w:p w14:paraId="6B902DBE" w14:textId="77777777" w:rsidR="00EB7A6B" w:rsidRDefault="00EB7A6B"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98188A3" w:rsidR="00534681" w:rsidRPr="009F2C17" w:rsidRDefault="001811C9" w:rsidP="009F2C17">
        <w:pPr>
          <w:pStyle w:val="Header"/>
          <w:tabs>
            <w:tab w:val="clear" w:pos="4320"/>
            <w:tab w:val="clear" w:pos="8640"/>
          </w:tabs>
          <w:jc w:val="left"/>
          <w:rPr>
            <w:noProof/>
            <w:kern w:val="22"/>
            <w:lang w:val="fr-FR"/>
          </w:rPr>
        </w:pPr>
        <w:r w:rsidRPr="009F2C17">
          <w:rPr>
            <w:noProof/>
            <w:kern w:val="22"/>
            <w:lang w:val="fr-FR"/>
          </w:rPr>
          <w:t>CBD/CP/MOP/DEC/9/6</w:t>
        </w:r>
      </w:p>
    </w:sdtContent>
  </w:sdt>
  <w:p w14:paraId="2FD00833" w14:textId="77777777" w:rsidR="00534681" w:rsidRPr="009F2C17" w:rsidRDefault="00534681" w:rsidP="009F2C17">
    <w:pPr>
      <w:pStyle w:val="Header"/>
      <w:tabs>
        <w:tab w:val="clear" w:pos="4320"/>
        <w:tab w:val="clear" w:pos="8640"/>
      </w:tabs>
      <w:jc w:val="left"/>
      <w:rPr>
        <w:noProof/>
        <w:kern w:val="22"/>
        <w:lang w:val="fr-FR"/>
      </w:rPr>
    </w:pPr>
    <w:r w:rsidRPr="009F2C17">
      <w:rPr>
        <w:noProof/>
        <w:kern w:val="22"/>
        <w:lang w:val="fr-FR"/>
      </w:rPr>
      <w:t xml:space="preserve">Page </w:t>
    </w:r>
    <w:r w:rsidRPr="009F2C17">
      <w:rPr>
        <w:noProof/>
        <w:kern w:val="22"/>
      </w:rPr>
      <w:fldChar w:fldCharType="begin"/>
    </w:r>
    <w:r w:rsidRPr="009F2C17">
      <w:rPr>
        <w:noProof/>
        <w:kern w:val="22"/>
        <w:lang w:val="fr-FR"/>
      </w:rPr>
      <w:instrText xml:space="preserve"> PAGE   \* MERGEFORMAT </w:instrText>
    </w:r>
    <w:r w:rsidRPr="009F2C17">
      <w:rPr>
        <w:noProof/>
        <w:kern w:val="22"/>
      </w:rPr>
      <w:fldChar w:fldCharType="separate"/>
    </w:r>
    <w:r w:rsidR="007B078D" w:rsidRPr="009F2C17">
      <w:rPr>
        <w:noProof/>
        <w:kern w:val="22"/>
        <w:lang w:val="fr-FR"/>
      </w:rPr>
      <w:t>2</w:t>
    </w:r>
    <w:r w:rsidRPr="009F2C17">
      <w:rPr>
        <w:noProof/>
        <w:kern w:val="22"/>
      </w:rPr>
      <w:fldChar w:fldCharType="end"/>
    </w:r>
  </w:p>
  <w:p w14:paraId="2FD00834" w14:textId="77777777" w:rsidR="00534681" w:rsidRPr="009F2C17" w:rsidRDefault="00534681" w:rsidP="009F2C17">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0963BB45" w:rsidR="009505C9" w:rsidRPr="007B078D" w:rsidRDefault="001811C9" w:rsidP="009505C9">
        <w:pPr>
          <w:pStyle w:val="Header"/>
          <w:jc w:val="right"/>
          <w:rPr>
            <w:lang w:val="fr-FR"/>
          </w:rPr>
        </w:pPr>
        <w:r>
          <w:rPr>
            <w:lang w:val="fr-FR"/>
          </w:rPr>
          <w:t>CBD/CP/MOP/DEC/9/6</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visionView w:markup="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E673A"/>
    <w:rsid w:val="000F0F86"/>
    <w:rsid w:val="000F4914"/>
    <w:rsid w:val="000F74F5"/>
    <w:rsid w:val="00105372"/>
    <w:rsid w:val="00131E7A"/>
    <w:rsid w:val="0014645A"/>
    <w:rsid w:val="00172AF6"/>
    <w:rsid w:val="00176CEE"/>
    <w:rsid w:val="001811C9"/>
    <w:rsid w:val="00186DD8"/>
    <w:rsid w:val="001A7DAD"/>
    <w:rsid w:val="00250BE1"/>
    <w:rsid w:val="00273079"/>
    <w:rsid w:val="002B57BC"/>
    <w:rsid w:val="00302C73"/>
    <w:rsid w:val="00372F74"/>
    <w:rsid w:val="0039178A"/>
    <w:rsid w:val="003D6DF7"/>
    <w:rsid w:val="003F09B1"/>
    <w:rsid w:val="003F1ABD"/>
    <w:rsid w:val="003F7224"/>
    <w:rsid w:val="00427D21"/>
    <w:rsid w:val="004644C2"/>
    <w:rsid w:val="00467F9C"/>
    <w:rsid w:val="004A5F04"/>
    <w:rsid w:val="004F5AB7"/>
    <w:rsid w:val="00534681"/>
    <w:rsid w:val="00547A39"/>
    <w:rsid w:val="006122BA"/>
    <w:rsid w:val="00615A2F"/>
    <w:rsid w:val="00647FD5"/>
    <w:rsid w:val="0068672C"/>
    <w:rsid w:val="006B2290"/>
    <w:rsid w:val="006C47B1"/>
    <w:rsid w:val="00717D88"/>
    <w:rsid w:val="0077626F"/>
    <w:rsid w:val="007942D3"/>
    <w:rsid w:val="00796682"/>
    <w:rsid w:val="007B078D"/>
    <w:rsid w:val="007B6C09"/>
    <w:rsid w:val="007E09DA"/>
    <w:rsid w:val="008178B6"/>
    <w:rsid w:val="00854247"/>
    <w:rsid w:val="00865B74"/>
    <w:rsid w:val="00930BA1"/>
    <w:rsid w:val="0093169E"/>
    <w:rsid w:val="009505C9"/>
    <w:rsid w:val="009D40AF"/>
    <w:rsid w:val="009E4CCA"/>
    <w:rsid w:val="009F2C17"/>
    <w:rsid w:val="00AB3EDC"/>
    <w:rsid w:val="00AC3393"/>
    <w:rsid w:val="00AE4715"/>
    <w:rsid w:val="00B3369F"/>
    <w:rsid w:val="00C443BD"/>
    <w:rsid w:val="00C9161D"/>
    <w:rsid w:val="00CF1848"/>
    <w:rsid w:val="00D12044"/>
    <w:rsid w:val="00D76A18"/>
    <w:rsid w:val="00D95FDD"/>
    <w:rsid w:val="00DD118C"/>
    <w:rsid w:val="00E66235"/>
    <w:rsid w:val="00E83C24"/>
    <w:rsid w:val="00E9318D"/>
    <w:rsid w:val="00EB7A6B"/>
    <w:rsid w:val="00ED72FA"/>
    <w:rsid w:val="00F03C95"/>
    <w:rsid w:val="00F6586C"/>
    <w:rsid w:val="00F94774"/>
    <w:rsid w:val="00FB330C"/>
    <w:rsid w:val="00FC53DB"/>
    <w:rsid w:val="00FE49B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character" w:styleId="UnresolvedMention">
    <w:name w:val="Unresolved Mention"/>
    <w:basedOn w:val="DefaultParagraphFont"/>
    <w:uiPriority w:val="99"/>
    <w:semiHidden/>
    <w:unhideWhenUsed/>
    <w:rsid w:val="00FB33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1259">
      <w:bodyDiv w:val="1"/>
      <w:marLeft w:val="0"/>
      <w:marRight w:val="0"/>
      <w:marTop w:val="0"/>
      <w:marBottom w:val="0"/>
      <w:divBdr>
        <w:top w:val="none" w:sz="0" w:space="0" w:color="auto"/>
        <w:left w:val="none" w:sz="0" w:space="0" w:color="auto"/>
        <w:bottom w:val="none" w:sz="0" w:space="0" w:color="auto"/>
        <w:right w:val="none" w:sz="0" w:space="0" w:color="auto"/>
      </w:divBdr>
    </w:div>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23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801B3"/>
    <w:rsid w:val="007663B1"/>
    <w:rsid w:val="00810A55"/>
    <w:rsid w:val="008C6619"/>
    <w:rsid w:val="008D420E"/>
    <w:rsid w:val="0098642F"/>
    <w:rsid w:val="00D21178"/>
    <w:rsid w:val="00FC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BC0AA-DD60-4B3E-840C-6607D3F1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9/6.	Assessment and review of the effectiveness of the Cartagena Protocol (Article 35)</vt:lpstr>
    </vt:vector>
  </TitlesOfParts>
  <Company>SCBD</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	Assessment and review of the effectiveness of the Cartagena Protocol (Article 35)</dc:title>
  <dc:subject>CBD/CP/MOP/DEC/9/6</dc:subject>
  <dc:creator>CP MOP 9</dc:creator>
  <cp:keywords>Assessment and review of the effectiveness of the Cartagena Protocol on Biosafety, Article 35, Convention on Biological Diversity</cp:keywords>
  <cp:lastModifiedBy>Orestes Plasencia</cp:lastModifiedBy>
  <cp:revision>2</cp:revision>
  <cp:lastPrinted>2018-11-22T18:10:00Z</cp:lastPrinted>
  <dcterms:created xsi:type="dcterms:W3CDTF">2019-01-17T23:04:00Z</dcterms:created>
  <dcterms:modified xsi:type="dcterms:W3CDTF">2019-01-17T23:04:00Z</dcterms:modified>
  <cp:contentStatus>GENERAL</cp:contentStatus>
</cp:coreProperties>
</file>