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CB5B3E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CB5B3E" w:rsidRDefault="00BF2D65">
            <w:pPr>
              <w:rPr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431800" cy="368300"/>
                  <wp:effectExtent l="19050" t="0" r="635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CB5B3E" w:rsidRDefault="00BF2D65">
            <w:pPr>
              <w:rPr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342900" cy="393700"/>
                  <wp:effectExtent l="19050" t="0" r="0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CB5B3E" w:rsidRDefault="00CB5B3E">
            <w:pPr>
              <w:jc w:val="right"/>
              <w:rPr>
                <w:rFonts w:ascii="Arial" w:hAnsi="Arial"/>
                <w:b/>
                <w:kern w:val="22"/>
                <w:sz w:val="32"/>
                <w:lang w:val="es-ES"/>
              </w:rPr>
            </w:pPr>
            <w:r>
              <w:rPr>
                <w:rFonts w:ascii="Arial" w:hAnsi="Arial"/>
                <w:b/>
                <w:noProof/>
                <w:kern w:val="22"/>
                <w:sz w:val="32"/>
                <w:lang w:val="es-ES"/>
              </w:rPr>
              <w:t>CBD</w:t>
            </w:r>
          </w:p>
        </w:tc>
      </w:tr>
      <w:tr w:rsidR="00CB5B3E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CB5B3E" w:rsidRDefault="00BF2D65">
            <w:pPr>
              <w:rPr>
                <w:kern w:val="22"/>
                <w:lang w:val="es-ES"/>
              </w:rPr>
            </w:pPr>
            <w:r>
              <w:rPr>
                <w:noProof/>
                <w:snapToGrid/>
                <w:kern w:val="22"/>
                <w:lang w:val="es-UY" w:eastAsia="es-UY"/>
              </w:rPr>
              <w:drawing>
                <wp:inline distT="0" distB="0" distL="0" distR="0">
                  <wp:extent cx="2908300" cy="1041400"/>
                  <wp:effectExtent l="19050" t="0" r="635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Distr.</w:t>
            </w: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GENERAL</w:t>
            </w: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CBD/CP/MOP/DEC/9/6</w:t>
            </w: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30 de noviembre de 2018</w:t>
            </w: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ESPAÑOL</w:t>
            </w:r>
          </w:p>
          <w:p w:rsidR="00CB5B3E" w:rsidRDefault="00CB5B3E">
            <w:pPr>
              <w:ind w:left="1215"/>
              <w:jc w:val="left"/>
              <w:rPr>
                <w:kern w:val="22"/>
                <w:lang w:val="es-ES"/>
              </w:rPr>
            </w:pPr>
            <w:r>
              <w:rPr>
                <w:noProof/>
                <w:kern w:val="22"/>
                <w:lang w:val="es-ES"/>
              </w:rPr>
              <w:t>ORIGINAL:</w:t>
            </w:r>
            <w:r>
              <w:rPr>
                <w:kern w:val="22"/>
                <w:lang w:val="es-ES"/>
              </w:rPr>
              <w:t xml:space="preserve"> </w:t>
            </w:r>
            <w:r>
              <w:rPr>
                <w:noProof/>
                <w:kern w:val="22"/>
                <w:lang w:val="es-ES"/>
              </w:rPr>
              <w:t>INGLÉS</w:t>
            </w:r>
          </w:p>
          <w:p w:rsidR="00CB5B3E" w:rsidRDefault="00CB5B3E">
            <w:pPr>
              <w:jc w:val="left"/>
              <w:rPr>
                <w:kern w:val="22"/>
                <w:lang w:val="es-ES"/>
              </w:rPr>
            </w:pPr>
          </w:p>
        </w:tc>
      </w:tr>
    </w:tbl>
    <w:p w:rsidR="00CB5B3E" w:rsidRDefault="00CB5B3E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60"/>
        <w:ind w:left="227" w:right="3780" w:hanging="227"/>
        <w:rPr>
          <w:kern w:val="22"/>
          <w:lang w:val="es-ES"/>
        </w:rPr>
      </w:pPr>
      <w:bookmarkStart w:id="0" w:name="_Hlk530040340"/>
      <w:r>
        <w:rPr>
          <w:noProof/>
          <w:kern w:val="22"/>
          <w:lang w:val="es-ES"/>
        </w:rPr>
        <w:t>CONFERENCIA DE LAS PARTES EN EL CONVENIO SOBRE LA DIVERSIDAD BIOLÓGICA QUE ACTÚA COMO REUNIÓN DE LAS PARTES EN EL PROTOCOLO DE CARTAGENA SOBRE SEGURIDAD DE LA BIOTECNOLOGÍA</w:t>
      </w:r>
    </w:p>
    <w:p w:rsidR="00CB5B3E" w:rsidRDefault="00CB5B3E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0" w:right="4512" w:firstLine="0"/>
        <w:rPr>
          <w:kern w:val="22"/>
          <w:lang w:val="es-ES"/>
        </w:rPr>
      </w:pPr>
      <w:r>
        <w:rPr>
          <w:noProof/>
          <w:kern w:val="22"/>
          <w:lang w:val="es-ES"/>
        </w:rPr>
        <w:t>Novena reunión</w:t>
      </w:r>
    </w:p>
    <w:p w:rsidR="00CB5B3E" w:rsidRDefault="00CB5B3E">
      <w:pPr>
        <w:suppressLineNumbers/>
        <w:suppressAutoHyphens/>
        <w:kinsoku w:val="0"/>
        <w:overflowPunct w:val="0"/>
        <w:autoSpaceDE w:val="0"/>
        <w:autoSpaceDN w:val="0"/>
        <w:rPr>
          <w:kern w:val="22"/>
          <w:lang w:val="es-ES"/>
        </w:rPr>
      </w:pPr>
      <w:bookmarkStart w:id="1" w:name="_Hlk505863673"/>
      <w:r>
        <w:rPr>
          <w:noProof/>
          <w:kern w:val="22"/>
          <w:lang w:val="es-ES"/>
        </w:rPr>
        <w:t>Sharm el-Sheikh (Egipto), 17 a 29 de noviembre de 2018</w:t>
      </w:r>
      <w:bookmarkEnd w:id="1"/>
    </w:p>
    <w:bookmarkEnd w:id="0"/>
    <w:p w:rsidR="00CB5B3E" w:rsidRDefault="00CB5B3E">
      <w:pPr>
        <w:pStyle w:val="Cornernotation"/>
        <w:ind w:right="3973"/>
        <w:rPr>
          <w:kern w:val="22"/>
          <w:lang w:val="es-ES"/>
        </w:rPr>
      </w:pPr>
      <w:r>
        <w:rPr>
          <w:noProof/>
          <w:color w:val="000000"/>
          <w:kern w:val="22"/>
          <w:lang w:val="es-ES"/>
        </w:rPr>
        <w:t>Tema 10 del programa</w:t>
      </w:r>
    </w:p>
    <w:p w:rsidR="00CB5B3E" w:rsidRDefault="00CB5B3E">
      <w:pPr>
        <w:pStyle w:val="HEADINGNOTFORTOC"/>
        <w:tabs>
          <w:tab w:val="clear" w:pos="720"/>
        </w:tabs>
        <w:snapToGrid w:val="0"/>
        <w:spacing w:before="120"/>
        <w:rPr>
          <w:kern w:val="22"/>
          <w:lang w:val="es-ES"/>
        </w:rPr>
      </w:pPr>
      <w:r>
        <w:rPr>
          <w:noProof/>
          <w:kern w:val="22"/>
          <w:lang w:val="es-ES"/>
        </w:rPr>
        <w:t>DecisiÓn adoptAdA POR LAS Partes eN EL Protocolo DE Cartagena SOBRE SEGURIDAD DE LA BiotECNOLOGÍA</w:t>
      </w:r>
    </w:p>
    <w:p w:rsidR="00CB5B3E" w:rsidRPr="00E46715" w:rsidRDefault="00CB5B3E">
      <w:pPr>
        <w:spacing w:before="120" w:after="240"/>
        <w:jc w:val="center"/>
        <w:rPr>
          <w:b/>
          <w:caps/>
          <w:kern w:val="22"/>
          <w:lang w:val="es-ES"/>
        </w:rPr>
      </w:pPr>
      <w:r w:rsidRPr="00E46715">
        <w:rPr>
          <w:b/>
          <w:kern w:val="22"/>
          <w:lang w:val="es-ES"/>
        </w:rPr>
        <w:t>9/6.</w:t>
      </w:r>
      <w:r w:rsidRPr="00E46715">
        <w:rPr>
          <w:b/>
          <w:kern w:val="22"/>
          <w:lang w:val="es-ES"/>
        </w:rPr>
        <w:tab/>
        <w:t>Evaluación y revisión del Protocolo de Cartagena sobre Seguridad de la Biotecnología (artículo 35)</w:t>
      </w:r>
    </w:p>
    <w:p w:rsidR="00CB5B3E" w:rsidRDefault="00CB5B3E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La Conferencia de las Partes que actúa como reunión de las Partes en el Protocolo de Cartagena sobre Seguridad de la Biotecnología,</w:t>
      </w:r>
    </w:p>
    <w:p w:rsidR="00CB5B3E" w:rsidRDefault="00CB5B3E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Recordando</w:t>
      </w:r>
      <w:r>
        <w:rPr>
          <w:kern w:val="22"/>
          <w:szCs w:val="24"/>
          <w:lang w:val="es-ES"/>
        </w:rPr>
        <w:t xml:space="preserve"> la </w:t>
      </w:r>
      <w:r w:rsidRPr="00E46715">
        <w:rPr>
          <w:kern w:val="22"/>
          <w:szCs w:val="22"/>
          <w:lang w:val="es-ES"/>
        </w:rPr>
        <w:t xml:space="preserve">decisión </w:t>
      </w:r>
      <w:hyperlink r:id="rId10" w:history="1">
        <w:r w:rsidRPr="00E46715">
          <w:rPr>
            <w:rStyle w:val="Hyperlink"/>
            <w:kern w:val="22"/>
            <w:sz w:val="22"/>
            <w:szCs w:val="22"/>
            <w:lang w:val="es-ES"/>
          </w:rPr>
          <w:t>BS-V/16</w:t>
        </w:r>
      </w:hyperlink>
      <w:r w:rsidRPr="00E46715">
        <w:rPr>
          <w:kern w:val="22"/>
          <w:szCs w:val="22"/>
          <w:lang w:val="es-ES"/>
        </w:rPr>
        <w:t>, por</w:t>
      </w:r>
      <w:r>
        <w:rPr>
          <w:kern w:val="22"/>
          <w:szCs w:val="24"/>
          <w:lang w:val="es-ES"/>
        </w:rPr>
        <w:t xml:space="preserve"> la cual se adoptó el Plan Estratégico para el Protocolo de Cartagena sobre Seguridad de la Biotecnología en el período 2011-2020,</w:t>
      </w:r>
    </w:p>
    <w:p w:rsidR="00CB5B3E" w:rsidRDefault="00CB5B3E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Reitera</w:t>
      </w:r>
      <w:r>
        <w:rPr>
          <w:kern w:val="22"/>
          <w:szCs w:val="24"/>
          <w:lang w:val="es-ES"/>
        </w:rPr>
        <w:t xml:space="preserve"> su invitación a las Partes a que, en el tiempo que resta del Plan Estratégico para el Protocolo de Cartagena sobre Seguridad de la Biotecnología en el período 2011-2020, consideren dar prioridad a los objetivos operacionales relacionados con la formulación de legislación sobre seguridad de la biotecnología, la evaluación del riesgo, la detección e identificación de organismos vivos modificados y la concienciación del público, en vista de su importancia fundamental para facilitar la aplicación del Protocolo;</w:t>
      </w:r>
    </w:p>
    <w:p w:rsidR="00CB5B3E" w:rsidRDefault="00CB5B3E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Decide</w:t>
      </w:r>
      <w:r>
        <w:rPr>
          <w:kern w:val="22"/>
          <w:szCs w:val="24"/>
          <w:lang w:val="es-ES"/>
        </w:rPr>
        <w:t xml:space="preserve"> que la cuarta evaluación y revisión del Protocolo de Cartagena se combinará con la evaluación final del Plan Estratégico para el Protocolo de Cartagena en el período 2011-2020;</w:t>
      </w:r>
    </w:p>
    <w:p w:rsidR="00CB5B3E" w:rsidRDefault="00CB5B3E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i/>
          <w:kern w:val="22"/>
          <w:szCs w:val="24"/>
          <w:lang w:val="es-ES"/>
        </w:rPr>
      </w:pPr>
      <w:r>
        <w:rPr>
          <w:i/>
          <w:color w:val="000000"/>
          <w:kern w:val="22"/>
          <w:szCs w:val="24"/>
          <w:lang w:val="es-ES"/>
        </w:rPr>
        <w:t>Pide</w:t>
      </w:r>
      <w:r>
        <w:rPr>
          <w:kern w:val="22"/>
          <w:szCs w:val="24"/>
          <w:lang w:val="es-ES"/>
        </w:rPr>
        <w:t xml:space="preserve"> a la Secretaria Ejecutiva que:</w:t>
      </w:r>
    </w:p>
    <w:p w:rsidR="00CB5B3E" w:rsidRDefault="00CB5B3E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noProof/>
          <w:kern w:val="22"/>
          <w:szCs w:val="24"/>
        </w:rPr>
        <w:t>a)</w:t>
      </w:r>
      <w:r>
        <w:rPr>
          <w:kern w:val="22"/>
          <w:szCs w:val="24"/>
          <w:lang w:val="es-ES"/>
        </w:rPr>
        <w:tab/>
        <w:t xml:space="preserve">Continúe mejorando la herramienta de análisis </w:t>
      </w:r>
      <w:r w:rsidR="00E46715">
        <w:rPr>
          <w:kern w:val="22"/>
          <w:szCs w:val="24"/>
          <w:lang w:val="es-ES"/>
        </w:rPr>
        <w:t xml:space="preserve">en línea </w:t>
      </w:r>
      <w:r>
        <w:rPr>
          <w:kern w:val="22"/>
          <w:szCs w:val="24"/>
          <w:lang w:val="es-ES"/>
        </w:rPr>
        <w:t>de los informes nacionales para facilitar la recopilación, agregación y análisis de los datos de los cuartos informes nacionales y de otras fuentes y su comparación con los correspondientes datos de referencia obtenidos en el segundo ciclo de presentación de informes nacionales;</w:t>
      </w:r>
    </w:p>
    <w:p w:rsidR="00CB5B3E" w:rsidRDefault="00CB5B3E">
      <w:pPr>
        <w:pStyle w:val="Para1"/>
        <w:numPr>
          <w:ilvl w:val="0"/>
          <w:numId w:val="0"/>
        </w:numPr>
        <w:kinsoku w:val="0"/>
        <w:overflowPunct w:val="0"/>
        <w:autoSpaceDE w:val="0"/>
        <w:autoSpaceDN w:val="0"/>
        <w:ind w:firstLine="720"/>
        <w:rPr>
          <w:szCs w:val="24"/>
          <w:lang w:val="es-ES"/>
        </w:rPr>
      </w:pPr>
      <w:r>
        <w:rPr>
          <w:kern w:val="22"/>
          <w:szCs w:val="24"/>
          <w:lang w:val="es-ES"/>
        </w:rPr>
        <w:t>b)</w:t>
      </w:r>
      <w:r>
        <w:rPr>
          <w:kern w:val="22"/>
          <w:szCs w:val="24"/>
          <w:lang w:val="es-ES"/>
        </w:rPr>
        <w:tab/>
        <w:t>Analice y s</w:t>
      </w:r>
      <w:r w:rsidR="00E46715">
        <w:rPr>
          <w:kern w:val="22"/>
          <w:szCs w:val="24"/>
          <w:lang w:val="es-ES"/>
        </w:rPr>
        <w:t>i</w:t>
      </w:r>
      <w:r>
        <w:rPr>
          <w:kern w:val="22"/>
          <w:szCs w:val="24"/>
          <w:lang w:val="es-ES"/>
        </w:rPr>
        <w:t>nte</w:t>
      </w:r>
      <w:r w:rsidR="00E46715">
        <w:rPr>
          <w:kern w:val="22"/>
          <w:szCs w:val="24"/>
          <w:lang w:val="es-ES"/>
        </w:rPr>
        <w:t>t</w:t>
      </w:r>
      <w:r>
        <w:rPr>
          <w:kern w:val="22"/>
          <w:szCs w:val="24"/>
          <w:lang w:val="es-ES"/>
        </w:rPr>
        <w:t>i</w:t>
      </w:r>
      <w:r w:rsidR="00E46715">
        <w:rPr>
          <w:kern w:val="22"/>
          <w:szCs w:val="24"/>
          <w:lang w:val="es-ES"/>
        </w:rPr>
        <w:t>ce</w:t>
      </w:r>
      <w:r>
        <w:rPr>
          <w:kern w:val="22"/>
          <w:szCs w:val="24"/>
          <w:lang w:val="es-ES"/>
        </w:rPr>
        <w:t xml:space="preserve"> información sobre la aplicación del Protocolo utilizando, entre otras cosas, los cuar</w:t>
      </w:r>
      <w:r w:rsidR="00E46715">
        <w:rPr>
          <w:kern w:val="22"/>
          <w:szCs w:val="24"/>
          <w:lang w:val="es-ES"/>
        </w:rPr>
        <w:t>tos informes nacionales como</w:t>
      </w:r>
      <w:r>
        <w:rPr>
          <w:kern w:val="22"/>
          <w:szCs w:val="24"/>
          <w:lang w:val="es-ES"/>
        </w:rPr>
        <w:t xml:space="preserve"> fuente principal, el Centro de Intercambio de Información sobre Seguridad de la Biotecnología y experiencia adquirida en proyectos de creación de capacidad y el Comité de Cumplimento, según proceda, a fin de facilitar la cuarta evaluación y revisión del Protocolo conjuntamente con la evaluación final del Plan Estratégico para el Protocolo de Cartagena sobre Seguridad de la Biotecnología en el período 2011-2020, y que ponga esa información a disposición del Grupo de Enlace y, según proceda, del Comité de Cumplimiento;</w:t>
      </w:r>
    </w:p>
    <w:p w:rsidR="00CB5B3E" w:rsidRDefault="00CB5B3E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Pide</w:t>
      </w:r>
      <w:r>
        <w:rPr>
          <w:kern w:val="22"/>
          <w:szCs w:val="24"/>
          <w:lang w:val="es-ES"/>
        </w:rPr>
        <w:t xml:space="preserve"> al Grupo de Enlace del Protocolo de Cartagena sobre Seguridad de la Biotecnología y al Comité de Cumplimiento que, trabajando de manera complementaria y sin duplicar esfuerzos, </w:t>
      </w:r>
      <w:r>
        <w:rPr>
          <w:kern w:val="22"/>
          <w:szCs w:val="24"/>
          <w:lang w:val="es-ES"/>
        </w:rPr>
        <w:lastRenderedPageBreak/>
        <w:t>contribuyan a la cuarta evaluación y revisión del Protocolo de Cartagena y la evaluación final del Plan Estratégico para el Protocolo de Cartagena sobre Seguridad de la Biotecnología en el período 2011-2020, y que presenten sus conclusiones al Órgano Subsidiario sobre la Aplicación para su examen;</w:t>
      </w:r>
    </w:p>
    <w:p w:rsidR="00CB5B3E" w:rsidRDefault="00CB5B3E">
      <w:pPr>
        <w:pStyle w:val="Para1"/>
        <w:numPr>
          <w:ilvl w:val="0"/>
          <w:numId w:val="2"/>
        </w:numPr>
        <w:tabs>
          <w:tab w:val="clear" w:pos="360"/>
        </w:tabs>
        <w:kinsoku w:val="0"/>
        <w:overflowPunct w:val="0"/>
        <w:autoSpaceDE w:val="0"/>
        <w:autoSpaceDN w:val="0"/>
        <w:ind w:firstLine="720"/>
        <w:rPr>
          <w:kern w:val="22"/>
          <w:szCs w:val="24"/>
          <w:lang w:val="es-ES"/>
        </w:rPr>
      </w:pPr>
      <w:r>
        <w:rPr>
          <w:i/>
          <w:kern w:val="22"/>
          <w:szCs w:val="24"/>
          <w:lang w:val="es-ES"/>
        </w:rPr>
        <w:t>Pide</w:t>
      </w:r>
      <w:r>
        <w:rPr>
          <w:kern w:val="22"/>
          <w:szCs w:val="24"/>
          <w:lang w:val="es-ES"/>
        </w:rPr>
        <w:t xml:space="preserve"> al Órgano Subsidiario sobre la Aplicación que en su tercera reunión examine la información proporcionada por el Grupo de Enlace y el Comité de Cumplimiento y las conclusiones a las que estos arribaron, y que presente sus propias conclusiones y recomendaciones a la Conferencia de las Partes que actúa como reunión de las Partes en el Protocolo de Cartagena en su décima reunión con miras a facilitar la cuarta evaluación y revisión del Protocolo de Cartagena y la evaluación final del Plan Estratégico para el Protocolo de Cartagena sobre Seguridad de la Biotecnología en el período 2011-2020.</w:t>
      </w:r>
    </w:p>
    <w:p w:rsidR="00CB5B3E" w:rsidRDefault="00CB5B3E">
      <w:pPr>
        <w:spacing w:before="120" w:after="120"/>
        <w:ind w:firstLine="720"/>
        <w:jc w:val="center"/>
        <w:rPr>
          <w:kern w:val="22"/>
          <w:lang w:val="es-ES"/>
        </w:rPr>
      </w:pPr>
      <w:r>
        <w:rPr>
          <w:kern w:val="22"/>
          <w:lang w:val="es-ES"/>
        </w:rPr>
        <w:t>__________</w:t>
      </w:r>
    </w:p>
    <w:sectPr w:rsidR="00CB5B3E">
      <w:headerReference w:type="even" r:id="rId11"/>
      <w:headerReference w:type="default" r:id="rId12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D47" w:rsidRDefault="00FC7D47">
      <w:r>
        <w:separator/>
      </w:r>
    </w:p>
  </w:endnote>
  <w:endnote w:type="continuationSeparator" w:id="0">
    <w:p w:rsidR="00FC7D47" w:rsidRDefault="00FC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D47" w:rsidRDefault="00FC7D47">
      <w:r>
        <w:separator/>
      </w:r>
    </w:p>
  </w:footnote>
  <w:footnote w:type="continuationSeparator" w:id="0">
    <w:p w:rsidR="00FC7D47" w:rsidRDefault="00FC7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3E" w:rsidRDefault="00CB5B3E">
    <w:pPr>
      <w:pStyle w:val="Header"/>
      <w:tabs>
        <w:tab w:val="clear" w:pos="4320"/>
        <w:tab w:val="clear" w:pos="8640"/>
      </w:tabs>
      <w:jc w:val="left"/>
      <w:rPr>
        <w:kern w:val="22"/>
        <w:lang w:val="es-ES"/>
      </w:rPr>
    </w:pPr>
    <w:r>
      <w:rPr>
        <w:kern w:val="22"/>
        <w:lang w:val="es-ES"/>
      </w:rPr>
      <w:t>CBD/CP/MOP/DEC/9/6</w:t>
    </w:r>
  </w:p>
  <w:p w:rsidR="00CB5B3E" w:rsidRDefault="00CB5B3E">
    <w:pPr>
      <w:pStyle w:val="Header"/>
      <w:tabs>
        <w:tab w:val="clear" w:pos="4320"/>
        <w:tab w:val="clear" w:pos="8640"/>
      </w:tabs>
      <w:jc w:val="left"/>
      <w:rPr>
        <w:kern w:val="22"/>
        <w:lang w:val="es-ES"/>
      </w:rPr>
    </w:pPr>
    <w:r>
      <w:rPr>
        <w:kern w:val="22"/>
        <w:lang w:val="es-ES"/>
      </w:rPr>
      <w:t xml:space="preserve">Página </w:t>
    </w:r>
    <w:r>
      <w:rPr>
        <w:kern w:val="22"/>
        <w:lang w:val="es-ES"/>
      </w:rPr>
      <w:fldChar w:fldCharType="begin"/>
    </w:r>
    <w:r>
      <w:rPr>
        <w:kern w:val="22"/>
        <w:lang w:val="es-ES"/>
      </w:rPr>
      <w:instrText xml:space="preserve"> PAGE   \* MERGEFORMAT </w:instrText>
    </w:r>
    <w:r>
      <w:rPr>
        <w:kern w:val="22"/>
        <w:lang w:val="es-ES"/>
      </w:rPr>
      <w:fldChar w:fldCharType="separate"/>
    </w:r>
    <w:r w:rsidR="00BF2D65" w:rsidRPr="00BF2D65">
      <w:rPr>
        <w:noProof/>
        <w:kern w:val="22"/>
      </w:rPr>
      <w:t>2</w:t>
    </w:r>
    <w:r>
      <w:rPr>
        <w:kern w:val="22"/>
        <w:lang w:val="es-ES"/>
      </w:rPr>
      <w:fldChar w:fldCharType="end"/>
    </w:r>
  </w:p>
  <w:p w:rsidR="00CB5B3E" w:rsidRDefault="00CB5B3E">
    <w:pPr>
      <w:pStyle w:val="Header"/>
      <w:tabs>
        <w:tab w:val="clear" w:pos="4320"/>
        <w:tab w:val="clear" w:pos="8640"/>
      </w:tabs>
      <w:jc w:val="left"/>
      <w:rPr>
        <w:kern w:val="22"/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B3E" w:rsidRDefault="00CB5B3E">
    <w:pPr>
      <w:pStyle w:val="Header"/>
      <w:jc w:val="right"/>
      <w:rPr>
        <w:lang w:val="fr-FR"/>
      </w:rPr>
    </w:pPr>
    <w:r>
      <w:rPr>
        <w:lang w:val="fr-FR"/>
      </w:rPr>
      <w:t>CBD/CP/MOP/DEC/9/6</w:t>
    </w:r>
  </w:p>
  <w:p w:rsidR="00CB5B3E" w:rsidRDefault="00CB5B3E">
    <w:pPr>
      <w:pStyle w:val="Header"/>
      <w:jc w:val="right"/>
      <w:rPr>
        <w:lang w:val="fr-FR"/>
      </w:rPr>
    </w:pPr>
    <w:r>
      <w:rPr>
        <w:lang w:val="fr-FR"/>
      </w:rPr>
      <w:t xml:space="preserve">Page </w:t>
    </w:r>
    <w:r>
      <w:rPr>
        <w:lang w:val="fr-FR"/>
      </w:rPr>
      <w:fldChar w:fldCharType="begin"/>
    </w:r>
    <w:r>
      <w:rPr>
        <w:lang w:val="fr-FR"/>
      </w:rPr>
      <w:instrText xml:space="preserve"> PAGE   \* MERGEFORMAT </w:instrText>
    </w:r>
    <w:r>
      <w:rPr>
        <w:lang w:val="fr-FR"/>
      </w:rPr>
      <w:fldChar w:fldCharType="separate"/>
    </w:r>
    <w:r>
      <w:rPr>
        <w:noProof/>
      </w:rPr>
      <w:t>1</w:t>
    </w:r>
    <w:r>
      <w:rPr>
        <w:lang w:val="fr-FR"/>
      </w:rPr>
      <w:fldChar w:fldCharType="end"/>
    </w:r>
  </w:p>
  <w:p w:rsidR="00CB5B3E" w:rsidRDefault="00CB5B3E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9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8"/>
  </w:num>
  <w:num w:numId="15">
    <w:abstractNumId w:val="7"/>
  </w:num>
  <w:num w:numId="16">
    <w:abstractNumId w:val="1"/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16ABB"/>
    <w:rsid w:val="000D1E23"/>
    <w:rsid w:val="000E673A"/>
    <w:rsid w:val="000F0F86"/>
    <w:rsid w:val="000F4914"/>
    <w:rsid w:val="000F74F5"/>
    <w:rsid w:val="00105372"/>
    <w:rsid w:val="00131E7A"/>
    <w:rsid w:val="0014645A"/>
    <w:rsid w:val="00172AF6"/>
    <w:rsid w:val="00176CEE"/>
    <w:rsid w:val="001811C9"/>
    <w:rsid w:val="00186DD8"/>
    <w:rsid w:val="001A7DAD"/>
    <w:rsid w:val="00250BE1"/>
    <w:rsid w:val="00273079"/>
    <w:rsid w:val="002A4A6E"/>
    <w:rsid w:val="002B57BC"/>
    <w:rsid w:val="00302C73"/>
    <w:rsid w:val="00372F74"/>
    <w:rsid w:val="0039178A"/>
    <w:rsid w:val="003D6DF7"/>
    <w:rsid w:val="003F09B1"/>
    <w:rsid w:val="003F1ABD"/>
    <w:rsid w:val="003F7224"/>
    <w:rsid w:val="00427D21"/>
    <w:rsid w:val="00447A0A"/>
    <w:rsid w:val="004644C2"/>
    <w:rsid w:val="00467F9C"/>
    <w:rsid w:val="00475304"/>
    <w:rsid w:val="0049456A"/>
    <w:rsid w:val="004A5F04"/>
    <w:rsid w:val="004E59AF"/>
    <w:rsid w:val="004F5AB7"/>
    <w:rsid w:val="00534681"/>
    <w:rsid w:val="00547A39"/>
    <w:rsid w:val="00573E33"/>
    <w:rsid w:val="006078CC"/>
    <w:rsid w:val="006122BA"/>
    <w:rsid w:val="00615A2F"/>
    <w:rsid w:val="00647FD5"/>
    <w:rsid w:val="0068672C"/>
    <w:rsid w:val="006B2290"/>
    <w:rsid w:val="006C47B1"/>
    <w:rsid w:val="00717D88"/>
    <w:rsid w:val="00756718"/>
    <w:rsid w:val="00761A4E"/>
    <w:rsid w:val="0076458A"/>
    <w:rsid w:val="0077626F"/>
    <w:rsid w:val="007942D3"/>
    <w:rsid w:val="00796682"/>
    <w:rsid w:val="007B078D"/>
    <w:rsid w:val="007B6C09"/>
    <w:rsid w:val="007E09DA"/>
    <w:rsid w:val="008178B6"/>
    <w:rsid w:val="00845EDC"/>
    <w:rsid w:val="00854247"/>
    <w:rsid w:val="00865B74"/>
    <w:rsid w:val="00930BA1"/>
    <w:rsid w:val="0093169E"/>
    <w:rsid w:val="009505C9"/>
    <w:rsid w:val="009B71C3"/>
    <w:rsid w:val="009D40AF"/>
    <w:rsid w:val="009E4CCA"/>
    <w:rsid w:val="009F2C17"/>
    <w:rsid w:val="009F54D4"/>
    <w:rsid w:val="00A34EF9"/>
    <w:rsid w:val="00AB3EDC"/>
    <w:rsid w:val="00AC3393"/>
    <w:rsid w:val="00AE4715"/>
    <w:rsid w:val="00B06624"/>
    <w:rsid w:val="00B3369F"/>
    <w:rsid w:val="00BC3584"/>
    <w:rsid w:val="00BF2D65"/>
    <w:rsid w:val="00C443BD"/>
    <w:rsid w:val="00C9161D"/>
    <w:rsid w:val="00CA78A1"/>
    <w:rsid w:val="00CB5B3E"/>
    <w:rsid w:val="00CF1848"/>
    <w:rsid w:val="00D12044"/>
    <w:rsid w:val="00D63E36"/>
    <w:rsid w:val="00D76A18"/>
    <w:rsid w:val="00D95FDD"/>
    <w:rsid w:val="00DD118C"/>
    <w:rsid w:val="00E46715"/>
    <w:rsid w:val="00E66235"/>
    <w:rsid w:val="00E83C24"/>
    <w:rsid w:val="00E91DF4"/>
    <w:rsid w:val="00E9318D"/>
    <w:rsid w:val="00EB7A6B"/>
    <w:rsid w:val="00EC128F"/>
    <w:rsid w:val="00ED72FA"/>
    <w:rsid w:val="00EE1AC7"/>
    <w:rsid w:val="00F03C95"/>
    <w:rsid w:val="00F1265C"/>
    <w:rsid w:val="00F4545C"/>
    <w:rsid w:val="00F6586C"/>
    <w:rsid w:val="00F94774"/>
    <w:rsid w:val="00FB330C"/>
    <w:rsid w:val="00FC53DB"/>
    <w:rsid w:val="00FC7D47"/>
    <w:rsid w:val="00FE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1"/>
    <w:qFormat/>
    <w:pPr>
      <w:jc w:val="both"/>
    </w:pPr>
    <w:rPr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Pr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CharChar9">
    <w:name w:val="Char Char9"/>
    <w:basedOn w:val="DefaultParagraphFont"/>
    <w:semiHidden/>
    <w:locked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Pr>
      <w:rFonts w:cs="Times New Roman"/>
      <w:color w:val="80808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8">
    <w:name w:val="Char Char8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7">
    <w:name w:val="Char Char7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Char6">
    <w:name w:val="Char Char6"/>
    <w:basedOn w:val="DefaultParagraphFont"/>
    <w:locked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CharChar5">
    <w:name w:val="Char Char5"/>
    <w:basedOn w:val="DefaultParagraphFont"/>
    <w:locked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character" w:customStyle="1" w:styleId="CharChar18">
    <w:name w:val="Char Char18"/>
    <w:basedOn w:val="DefaultParagraphFont"/>
    <w:locked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pPr>
      <w:spacing w:before="120" w:after="120"/>
      <w:ind w:firstLine="720"/>
    </w:pPr>
    <w:rPr>
      <w:iCs/>
    </w:rPr>
  </w:style>
  <w:style w:type="character" w:customStyle="1" w:styleId="CharChar4">
    <w:name w:val="Char Char4"/>
    <w:basedOn w:val="DefaultParagraphFont"/>
    <w:locked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customStyle="1" w:styleId="CharChar3">
    <w:name w:val="Char Char3"/>
    <w:basedOn w:val="DefaultParagraphFont"/>
    <w:locked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</w:pPr>
  </w:style>
  <w:style w:type="character" w:customStyle="1" w:styleId="CharChar2">
    <w:name w:val="Char Char2"/>
    <w:basedOn w:val="DefaultParagraphFont"/>
    <w:semiHidden/>
    <w:locked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1">
    <w:name w:val="Char Char1"/>
    <w:basedOn w:val="DefaultParagraphFont"/>
    <w:semiHidden/>
    <w:locked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sz w:val="22"/>
      <w:u w:val="none"/>
      <w:vertAlign w:val="superscript"/>
    </w:rPr>
  </w:style>
  <w:style w:type="paragraph" w:styleId="FootnoteText">
    <w:name w:val="footnote text"/>
    <w:basedOn w:val="Normal"/>
    <w:semiHidden/>
    <w:pPr>
      <w:keepLines/>
      <w:spacing w:after="60"/>
      <w:ind w:firstLine="720"/>
    </w:pPr>
    <w:rPr>
      <w:sz w:val="18"/>
    </w:rPr>
  </w:style>
  <w:style w:type="character" w:customStyle="1" w:styleId="CharChar">
    <w:name w:val="Char Char"/>
    <w:basedOn w:val="DefaultParagraphFont"/>
    <w:semiHidden/>
    <w:locked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character" w:customStyle="1" w:styleId="CharChar17">
    <w:name w:val="Char Char17"/>
    <w:basedOn w:val="DefaultParagraphFont"/>
    <w:locked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character" w:customStyle="1" w:styleId="CharChar16">
    <w:name w:val="Char Char16"/>
    <w:basedOn w:val="DefaultParagraphFont"/>
    <w:locked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</w:style>
  <w:style w:type="paragraph" w:customStyle="1" w:styleId="Heading3multiline">
    <w:name w:val="Heading 3 (multiline)"/>
    <w:basedOn w:val="Heading3"/>
    <w:next w:val="Normal"/>
    <w:pPr>
      <w:ind w:left="1418" w:hanging="425"/>
      <w:jc w:val="left"/>
    </w:pPr>
  </w:style>
  <w:style w:type="character" w:customStyle="1" w:styleId="CharChar15">
    <w:name w:val="Char Char15"/>
    <w:basedOn w:val="DefaultParagraphFont"/>
    <w:locked/>
    <w:rPr>
      <w:rFonts w:ascii="Times New Roman" w:eastAsia="Times New Roman" w:hAnsi="Times New Roman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pPr>
      <w:ind w:left="720"/>
      <w:outlineLvl w:val="9"/>
    </w:pPr>
  </w:style>
  <w:style w:type="character" w:customStyle="1" w:styleId="CharChar14">
    <w:name w:val="Char Char14"/>
    <w:basedOn w:val="DefaultParagraphFont"/>
    <w:locked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3">
    <w:name w:val="Char Char13"/>
    <w:basedOn w:val="DefaultParagraphFont"/>
    <w:locked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2">
    <w:name w:val="Char Char12"/>
    <w:basedOn w:val="DefaultParagraphFont"/>
    <w:locked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1">
    <w:name w:val="Char Char11"/>
    <w:basedOn w:val="DefaultParagraphFont"/>
    <w:locked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10">
    <w:name w:val="Char Char10"/>
    <w:basedOn w:val="DefaultParagraphFont"/>
    <w:locked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Pr>
      <w:rFonts w:ascii="Times New Roman" w:hAnsi="Times New Roman"/>
      <w:sz w:val="22"/>
    </w:rPr>
  </w:style>
  <w:style w:type="paragraph" w:customStyle="1" w:styleId="Para1">
    <w:name w:val="Para1"/>
    <w:basedOn w:val="Normal"/>
    <w:pPr>
      <w:numPr>
        <w:numId w:val="4"/>
      </w:numPr>
      <w:tabs>
        <w:tab w:val="clear" w:pos="360"/>
      </w:tabs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color w:val="000000"/>
      <w:sz w:val="20"/>
      <w:szCs w:val="20"/>
    </w:rPr>
  </w:style>
  <w:style w:type="paragraph" w:customStyle="1" w:styleId="Para-decision">
    <w:name w:val="Para-decision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</w:style>
  <w:style w:type="paragraph" w:customStyle="1" w:styleId="recommendationheaderlong">
    <w:name w:val="recommendation header long"/>
    <w:basedOn w:val="Heading2longmultiline"/>
  </w:style>
  <w:style w:type="paragraph" w:customStyle="1" w:styleId="reference">
    <w:name w:val="reference"/>
    <w:basedOn w:val="Heading9"/>
    <w:rPr>
      <w:i w:val="0"/>
      <w:sz w:val="18"/>
    </w:rPr>
  </w:style>
  <w:style w:type="character" w:customStyle="1" w:styleId="StyleFootnoteReferenceNounderline">
    <w:name w:val="Style Footnote Reference + No underline"/>
    <w:rPr>
      <w:sz w:val="18"/>
      <w:u w:val="none"/>
      <w:vertAlign w:val="baseline"/>
    </w:rPr>
  </w:style>
  <w:style w:type="paragraph" w:customStyle="1" w:styleId="tabletitle">
    <w:name w:val="table title"/>
    <w:basedOn w:val="Heading2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Pr>
      <w:color w:val="0000FF"/>
      <w:sz w:val="18"/>
      <w:u w:val="single"/>
    </w:rPr>
  </w:style>
  <w:style w:type="character" w:customStyle="1" w:styleId="Para1Char">
    <w:name w:val="Para1 Char"/>
    <w:locked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aption">
    <w:name w:val="caption"/>
    <w:basedOn w:val="Normal"/>
    <w:next w:val="Normal"/>
    <w:qFormat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rPr>
      <w:i/>
    </w:rPr>
  </w:style>
  <w:style w:type="paragraph" w:styleId="NoSpacing">
    <w:name w:val="No Spacing"/>
    <w:qFormat/>
    <w:rPr>
      <w:snapToGrid w:val="0"/>
      <w:sz w:val="22"/>
      <w:szCs w:val="22"/>
      <w:lang w:val="en-US" w:eastAsia="es-ES"/>
    </w:rPr>
  </w:style>
  <w:style w:type="character" w:customStyle="1" w:styleId="NoSpacingChar">
    <w:name w:val="No Spacing Char"/>
    <w:basedOn w:val="DefaultParagraphFont"/>
    <w:locked/>
    <w:rPr>
      <w:rFonts w:ascii="Times New Roman" w:eastAsia="Times New Roman" w:hAnsi="Times New Roman" w:cs="Times New Roman"/>
      <w:sz w:val="22"/>
      <w:szCs w:val="22"/>
      <w:lang w:val="en-US" w:bidi="ar-SA"/>
    </w:rPr>
  </w:style>
  <w:style w:type="character" w:customStyle="1" w:styleId="UnresolvedMention">
    <w:name w:val="Unresolved Mention"/>
    <w:basedOn w:val="DefaultParagraphFont"/>
    <w:semiHidden/>
    <w:rPr>
      <w:rFonts w:cs="Times New Roman"/>
      <w:color w:val="808080"/>
      <w:shd w:val="clear" w:color="auto" w:fill="E6E6E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ch.cbd.int/protocol/decisions/?decisionID=123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9/6.	Assessment and review of the effectiveness of the Cartagena Protocol (Article 35)</vt:lpstr>
    </vt:vector>
  </TitlesOfParts>
  <Company>SCBD</Company>
  <LinksUpToDate>false</LinksUpToDate>
  <CharactersWithSpaces>3756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http://bch.cbd.int/protocol/decisions/?decisionID=12329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9/6.	Assessment and review of the effectiveness of the Cartagena Protocol (Article 35)</dc:title>
  <dc:subject>CBD/CP/MOP/DEC/9/6</dc:subject>
  <dc:creator>CP MOP 9</dc:creator>
  <cp:keywords>Assessment and review of the effectiveness of the Cartagena Protocol on Biosafety, Article 35, Convention on Biological Diversity</cp:keywords>
  <cp:lastModifiedBy>Laura Perez</cp:lastModifiedBy>
  <cp:revision>2</cp:revision>
  <cp:lastPrinted>2018-11-22T18:10:00Z</cp:lastPrinted>
  <dcterms:created xsi:type="dcterms:W3CDTF">2019-02-06T01:41:00Z</dcterms:created>
  <dcterms:modified xsi:type="dcterms:W3CDTF">2019-02-06T01:41:00Z</dcterms:modified>
</cp:coreProperties>
</file>