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BD4EF0" w14:paraId="2FD00814" w14:textId="77777777" w:rsidTr="00CF1848">
        <w:trPr>
          <w:trHeight w:val="709"/>
        </w:trPr>
        <w:tc>
          <w:tcPr>
            <w:tcW w:w="976" w:type="dxa"/>
            <w:tcBorders>
              <w:bottom w:val="single" w:sz="12" w:space="0" w:color="auto"/>
            </w:tcBorders>
          </w:tcPr>
          <w:p w14:paraId="2FD00811" w14:textId="77777777" w:rsidR="00C9161D" w:rsidRPr="00FC09C3" w:rsidRDefault="00C9161D">
            <w:pPr>
              <w:rPr>
                <w:kern w:val="22"/>
              </w:rPr>
            </w:pPr>
            <w:r w:rsidRPr="00FC09C3">
              <w:rPr>
                <w:noProof/>
                <w:kern w:val="22"/>
                <w:lang w:val="fr-FR" w:eastAsia="fr-FR"/>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Pr="00FC09C3" w:rsidRDefault="00C9161D">
            <w:pPr>
              <w:rPr>
                <w:kern w:val="22"/>
              </w:rPr>
            </w:pPr>
            <w:r w:rsidRPr="00FC09C3">
              <w:rPr>
                <w:noProof/>
                <w:kern w:val="22"/>
                <w:lang w:val="fr-FR" w:eastAsia="fr-FR"/>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FC09C3" w:rsidRDefault="00C9161D" w:rsidP="00C9161D">
            <w:pPr>
              <w:jc w:val="right"/>
              <w:rPr>
                <w:rFonts w:ascii="Arial" w:hAnsi="Arial" w:cs="Arial"/>
                <w:b/>
                <w:kern w:val="22"/>
                <w:sz w:val="32"/>
                <w:szCs w:val="32"/>
              </w:rPr>
            </w:pPr>
            <w:r w:rsidRPr="00FC09C3">
              <w:rPr>
                <w:rFonts w:ascii="Arial" w:hAnsi="Arial" w:cs="Arial"/>
                <w:b/>
                <w:kern w:val="22"/>
                <w:sz w:val="32"/>
                <w:szCs w:val="32"/>
              </w:rPr>
              <w:t>CBD</w:t>
            </w:r>
          </w:p>
        </w:tc>
      </w:tr>
      <w:tr w:rsidR="00C9161D" w:rsidRPr="002A3967" w14:paraId="2FD0081E" w14:textId="77777777" w:rsidTr="00CF1848">
        <w:tc>
          <w:tcPr>
            <w:tcW w:w="6117" w:type="dxa"/>
            <w:gridSpan w:val="2"/>
            <w:tcBorders>
              <w:top w:val="single" w:sz="12" w:space="0" w:color="auto"/>
              <w:bottom w:val="single" w:sz="36" w:space="0" w:color="auto"/>
            </w:tcBorders>
            <w:vAlign w:val="center"/>
          </w:tcPr>
          <w:p w14:paraId="2FD00815" w14:textId="380283F1" w:rsidR="00C9161D" w:rsidRPr="00FC09C3" w:rsidRDefault="00AC7D19" w:rsidP="00C9161D">
            <w:pPr>
              <w:rPr>
                <w:kern w:val="22"/>
              </w:rPr>
            </w:pPr>
            <w:r w:rsidRPr="00685FD3">
              <w:rPr>
                <w:noProof/>
                <w:snapToGrid w:val="0"/>
                <w:kern w:val="22"/>
                <w:szCs w:val="22"/>
                <w:lang w:val="fr-FR" w:eastAsia="fr-FR"/>
              </w:rPr>
              <w:drawing>
                <wp:inline distT="0" distB="0" distL="0" distR="0" wp14:anchorId="538C86AC" wp14:editId="51175152">
                  <wp:extent cx="2857500" cy="1076325"/>
                  <wp:effectExtent l="0" t="0" r="0" b="9525"/>
                  <wp:docPr id="5"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43592B" w:rsidRDefault="00C9161D" w:rsidP="00176CEE">
            <w:pPr>
              <w:ind w:left="1215"/>
              <w:rPr>
                <w:kern w:val="22"/>
                <w:szCs w:val="22"/>
                <w:lang w:val="en-AU"/>
              </w:rPr>
            </w:pPr>
            <w:r w:rsidRPr="0043592B">
              <w:rPr>
                <w:kern w:val="22"/>
                <w:szCs w:val="22"/>
                <w:lang w:val="en-AU"/>
              </w:rPr>
              <w:t>Distr.</w:t>
            </w:r>
          </w:p>
          <w:p w14:paraId="2FD00817" w14:textId="4A2FAFAE" w:rsidR="00C9161D" w:rsidRPr="002A3967" w:rsidRDefault="001B67EB" w:rsidP="00176CEE">
            <w:pPr>
              <w:ind w:left="1215"/>
              <w:rPr>
                <w:kern w:val="22"/>
                <w:szCs w:val="22"/>
                <w:lang w:val="en-AU"/>
              </w:rPr>
            </w:pPr>
            <w:sdt>
              <w:sdtPr>
                <w:rPr>
                  <w:kern w:val="22"/>
                  <w:szCs w:val="22"/>
                  <w:lang w:val="en-AU"/>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2A3967" w:rsidRPr="002A3967">
                  <w:rPr>
                    <w:kern w:val="22"/>
                    <w:szCs w:val="22"/>
                    <w:lang w:val="en-AU"/>
                  </w:rPr>
                  <w:t>GENERAL</w:t>
                </w:r>
                <w:r w:rsidR="00AC7D19" w:rsidRPr="002A3967">
                  <w:rPr>
                    <w:kern w:val="22"/>
                    <w:szCs w:val="22"/>
                    <w:lang w:val="en-AU"/>
                  </w:rPr>
                  <w:t>E</w:t>
                </w:r>
              </w:sdtContent>
            </w:sdt>
          </w:p>
          <w:p w14:paraId="2FD00818" w14:textId="77777777" w:rsidR="00C9161D" w:rsidRPr="002A3967" w:rsidRDefault="00C9161D" w:rsidP="00176CEE">
            <w:pPr>
              <w:ind w:left="1215"/>
              <w:rPr>
                <w:kern w:val="22"/>
                <w:szCs w:val="22"/>
                <w:lang w:val="en-AU"/>
              </w:rPr>
            </w:pPr>
          </w:p>
          <w:p w14:paraId="2FD00819" w14:textId="60A9C2A6" w:rsidR="00C9161D" w:rsidRPr="002A3967" w:rsidRDefault="001B67EB" w:rsidP="00176CEE">
            <w:pPr>
              <w:ind w:left="1215"/>
              <w:rPr>
                <w:kern w:val="22"/>
                <w:szCs w:val="22"/>
                <w:lang w:val="en-AU"/>
              </w:rPr>
            </w:pPr>
            <w:sdt>
              <w:sdtPr>
                <w:rPr>
                  <w:kern w:val="22"/>
                  <w:lang w:val="en-AU"/>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2A3967" w:rsidRPr="002A3967">
                  <w:rPr>
                    <w:kern w:val="22"/>
                    <w:lang w:val="en-AU"/>
                  </w:rPr>
                  <w:t>CBD/CP/MOP/DEC/9/7</w:t>
                </w:r>
              </w:sdtContent>
            </w:sdt>
          </w:p>
          <w:p w14:paraId="2FD0081A" w14:textId="4F7EFE90" w:rsidR="00C9161D" w:rsidRPr="002A3967" w:rsidRDefault="002A3967" w:rsidP="00176CEE">
            <w:pPr>
              <w:ind w:left="1215"/>
              <w:rPr>
                <w:kern w:val="22"/>
                <w:szCs w:val="22"/>
                <w:lang w:val="fr-FR"/>
              </w:rPr>
            </w:pPr>
            <w:r>
              <w:rPr>
                <w:kern w:val="22"/>
                <w:szCs w:val="22"/>
                <w:lang w:val="fr-FR"/>
              </w:rPr>
              <w:t>30</w:t>
            </w:r>
            <w:r w:rsidR="00F6586C" w:rsidRPr="002A3967">
              <w:rPr>
                <w:kern w:val="22"/>
                <w:szCs w:val="22"/>
                <w:lang w:val="fr-FR"/>
              </w:rPr>
              <w:t xml:space="preserve"> </w:t>
            </w:r>
            <w:r w:rsidR="00AC7D19" w:rsidRPr="002A3967">
              <w:rPr>
                <w:kern w:val="22"/>
                <w:szCs w:val="22"/>
                <w:lang w:val="fr-FR"/>
              </w:rPr>
              <w:t>novemb</w:t>
            </w:r>
            <w:r w:rsidR="00ED72FA" w:rsidRPr="002A3967">
              <w:rPr>
                <w:kern w:val="22"/>
                <w:szCs w:val="22"/>
                <w:lang w:val="fr-FR"/>
              </w:rPr>
              <w:t>r</w:t>
            </w:r>
            <w:r w:rsidR="00AC7D19" w:rsidRPr="002A3967">
              <w:rPr>
                <w:kern w:val="22"/>
                <w:szCs w:val="22"/>
                <w:lang w:val="fr-FR"/>
              </w:rPr>
              <w:t>e</w:t>
            </w:r>
            <w:r w:rsidR="00F6586C" w:rsidRPr="002A3967">
              <w:rPr>
                <w:kern w:val="22"/>
                <w:szCs w:val="22"/>
                <w:lang w:val="fr-FR"/>
              </w:rPr>
              <w:t xml:space="preserve"> 2018</w:t>
            </w:r>
          </w:p>
          <w:p w14:paraId="2FD0081B" w14:textId="77777777" w:rsidR="00C9161D" w:rsidRPr="002A3967" w:rsidRDefault="00C9161D" w:rsidP="00176CEE">
            <w:pPr>
              <w:ind w:left="1215"/>
              <w:rPr>
                <w:kern w:val="22"/>
                <w:szCs w:val="22"/>
                <w:lang w:val="fr-FR"/>
              </w:rPr>
            </w:pPr>
          </w:p>
          <w:p w14:paraId="2CBBBDC5" w14:textId="234FC93A" w:rsidR="00AC7D19" w:rsidRPr="002A3967" w:rsidRDefault="00AC7D19" w:rsidP="00176CEE">
            <w:pPr>
              <w:ind w:left="1215"/>
              <w:rPr>
                <w:kern w:val="22"/>
                <w:szCs w:val="22"/>
                <w:lang w:val="fr-FR"/>
              </w:rPr>
            </w:pPr>
            <w:r w:rsidRPr="002A3967">
              <w:rPr>
                <w:kern w:val="22"/>
                <w:szCs w:val="22"/>
                <w:lang w:val="fr-FR"/>
              </w:rPr>
              <w:t>FRANÇAIS</w:t>
            </w:r>
          </w:p>
          <w:p w14:paraId="2FD0081C" w14:textId="5E00EB9D" w:rsidR="00C9161D" w:rsidRPr="002A3967" w:rsidRDefault="006B2290" w:rsidP="00176CEE">
            <w:pPr>
              <w:ind w:left="1215"/>
              <w:rPr>
                <w:kern w:val="22"/>
                <w:szCs w:val="22"/>
                <w:lang w:val="fr-FR"/>
              </w:rPr>
            </w:pPr>
            <w:r w:rsidRPr="002A3967">
              <w:rPr>
                <w:kern w:val="22"/>
                <w:szCs w:val="22"/>
                <w:lang w:val="fr-FR"/>
              </w:rPr>
              <w:t>ORIGINAL</w:t>
            </w:r>
            <w:r w:rsidR="00AC7D19" w:rsidRPr="002A3967">
              <w:rPr>
                <w:kern w:val="22"/>
                <w:szCs w:val="22"/>
                <w:lang w:val="fr-FR"/>
              </w:rPr>
              <w:t xml:space="preserve"> </w:t>
            </w:r>
            <w:r w:rsidRPr="002A3967">
              <w:rPr>
                <w:kern w:val="22"/>
                <w:szCs w:val="22"/>
                <w:lang w:val="fr-FR"/>
              </w:rPr>
              <w:t xml:space="preserve">: </w:t>
            </w:r>
            <w:r w:rsidR="00AC7D19" w:rsidRPr="002A3967">
              <w:rPr>
                <w:kern w:val="22"/>
                <w:szCs w:val="22"/>
                <w:lang w:val="fr-FR"/>
              </w:rPr>
              <w:t>A</w:t>
            </w:r>
            <w:r w:rsidR="00C9161D" w:rsidRPr="002A3967">
              <w:rPr>
                <w:kern w:val="22"/>
                <w:szCs w:val="22"/>
                <w:lang w:val="fr-FR"/>
              </w:rPr>
              <w:t>NGL</w:t>
            </w:r>
            <w:r w:rsidR="00AC7D19" w:rsidRPr="002A3967">
              <w:rPr>
                <w:kern w:val="22"/>
                <w:szCs w:val="22"/>
                <w:lang w:val="fr-FR"/>
              </w:rPr>
              <w:t>AIS</w:t>
            </w:r>
          </w:p>
          <w:p w14:paraId="2FD0081D" w14:textId="77777777" w:rsidR="00C9161D" w:rsidRPr="002A3967" w:rsidRDefault="00C9161D">
            <w:pPr>
              <w:rPr>
                <w:kern w:val="22"/>
                <w:lang w:val="fr-FR"/>
              </w:rPr>
            </w:pPr>
          </w:p>
        </w:tc>
      </w:tr>
    </w:tbl>
    <w:p w14:paraId="2CD8E01B" w14:textId="0AB4CA52" w:rsidR="00AC7D19" w:rsidRPr="00083AE3" w:rsidRDefault="00AC7D19" w:rsidP="00AC7D19">
      <w:pPr>
        <w:suppressLineNumbers/>
        <w:suppressAutoHyphens/>
        <w:kinsoku w:val="0"/>
        <w:overflowPunct w:val="0"/>
        <w:autoSpaceDE w:val="0"/>
        <w:autoSpaceDN w:val="0"/>
        <w:spacing w:before="60"/>
        <w:ind w:left="142" w:right="3780" w:hanging="142"/>
        <w:jc w:val="left"/>
        <w:rPr>
          <w:snapToGrid w:val="0"/>
          <w:kern w:val="22"/>
          <w:szCs w:val="22"/>
          <w:lang w:val="fr-FR"/>
        </w:rPr>
      </w:pPr>
      <w:bookmarkStart w:id="0" w:name="_Hlk530040340"/>
      <w:r w:rsidRPr="00083AE3">
        <w:rPr>
          <w:snapToGrid w:val="0"/>
          <w:kern w:val="22"/>
          <w:szCs w:val="22"/>
          <w:lang w:val="fr-FR"/>
        </w:rPr>
        <w:t xml:space="preserve">CONFÉRENCE DES PARTIES À LA CONVENTION SUR LA DIVERSITÉ BIOLOGIQUE SIÉGEANT EN TANT QUE RÉUNION DES PARTIES </w:t>
      </w:r>
      <w:bookmarkStart w:id="1" w:name="_GoBack"/>
      <w:bookmarkEnd w:id="1"/>
      <w:r w:rsidRPr="00083AE3">
        <w:rPr>
          <w:snapToGrid w:val="0"/>
          <w:kern w:val="22"/>
          <w:szCs w:val="22"/>
          <w:lang w:val="fr-FR"/>
        </w:rPr>
        <w:t>AU PROTOCOLE DE CARTAGENA SUR LA PRÉVENTION DES RISQUES BIOTECHNOLOGIQUES</w:t>
      </w:r>
    </w:p>
    <w:p w14:paraId="171A24AF" w14:textId="77777777" w:rsidR="00AC7D19" w:rsidRPr="00083AE3" w:rsidRDefault="00AC7D19" w:rsidP="00AC7D19">
      <w:pPr>
        <w:suppressLineNumbers/>
        <w:suppressAutoHyphens/>
        <w:kinsoku w:val="0"/>
        <w:overflowPunct w:val="0"/>
        <w:autoSpaceDE w:val="0"/>
        <w:autoSpaceDN w:val="0"/>
        <w:ind w:right="4512"/>
        <w:jc w:val="left"/>
        <w:rPr>
          <w:snapToGrid w:val="0"/>
          <w:kern w:val="22"/>
          <w:szCs w:val="22"/>
          <w:lang w:val="fr-FR"/>
        </w:rPr>
      </w:pPr>
      <w:r w:rsidRPr="00083AE3">
        <w:rPr>
          <w:snapToGrid w:val="0"/>
          <w:kern w:val="22"/>
          <w:szCs w:val="22"/>
          <w:lang w:val="fr-FR"/>
        </w:rPr>
        <w:t>Neuvième réunion</w:t>
      </w:r>
    </w:p>
    <w:p w14:paraId="60FDFBE1" w14:textId="4B227B5F" w:rsidR="00AC7D19" w:rsidRPr="00083AE3" w:rsidRDefault="00BE45EF" w:rsidP="00AC7D19">
      <w:pPr>
        <w:suppressLineNumbers/>
        <w:suppressAutoHyphens/>
        <w:kinsoku w:val="0"/>
        <w:overflowPunct w:val="0"/>
        <w:autoSpaceDE w:val="0"/>
        <w:autoSpaceDN w:val="0"/>
        <w:rPr>
          <w:snapToGrid w:val="0"/>
          <w:kern w:val="22"/>
          <w:szCs w:val="22"/>
          <w:lang w:val="fr-FR" w:eastAsia="nb-NO"/>
        </w:rPr>
      </w:pPr>
      <w:r>
        <w:rPr>
          <w:snapToGrid w:val="0"/>
          <w:kern w:val="22"/>
          <w:szCs w:val="22"/>
          <w:lang w:val="fr-FR" w:eastAsia="nb-NO"/>
        </w:rPr>
        <w:t>Sharm El-Sheikh, É</w:t>
      </w:r>
      <w:r w:rsidR="00AC7D19" w:rsidRPr="00083AE3">
        <w:rPr>
          <w:snapToGrid w:val="0"/>
          <w:kern w:val="22"/>
          <w:szCs w:val="22"/>
          <w:lang w:val="fr-FR" w:eastAsia="nb-NO"/>
        </w:rPr>
        <w:t>gypte, 17-29 novembre 2018</w:t>
      </w:r>
    </w:p>
    <w:bookmarkEnd w:id="0"/>
    <w:p w14:paraId="55F8C310" w14:textId="3D514632" w:rsidR="002A3967" w:rsidRDefault="00AC7D19" w:rsidP="002A3967">
      <w:pPr>
        <w:pStyle w:val="Cornernotation"/>
        <w:ind w:right="3973"/>
        <w:rPr>
          <w:color w:val="000000"/>
          <w:kern w:val="22"/>
          <w:szCs w:val="22"/>
          <w:lang w:val="fr-FR"/>
        </w:rPr>
      </w:pPr>
      <w:r w:rsidRPr="00D510E8">
        <w:rPr>
          <w:color w:val="000000"/>
          <w:kern w:val="22"/>
          <w:szCs w:val="22"/>
          <w:lang w:val="fr-FR"/>
        </w:rPr>
        <w:t xml:space="preserve">Point </w:t>
      </w:r>
      <w:r w:rsidR="00B2663F" w:rsidRPr="00D510E8">
        <w:rPr>
          <w:color w:val="000000"/>
          <w:kern w:val="22"/>
          <w:szCs w:val="22"/>
          <w:lang w:val="fr-FR"/>
        </w:rPr>
        <w:t>14</w:t>
      </w:r>
      <w:r w:rsidRPr="00D510E8">
        <w:rPr>
          <w:color w:val="000000"/>
          <w:kern w:val="22"/>
          <w:szCs w:val="22"/>
          <w:lang w:val="fr-FR"/>
        </w:rPr>
        <w:t xml:space="preserve"> de l’ordre du jour</w:t>
      </w:r>
    </w:p>
    <w:p w14:paraId="529E694D" w14:textId="5E397CED" w:rsidR="002A3967" w:rsidRPr="002A3967" w:rsidRDefault="002A3967" w:rsidP="002A3967">
      <w:pPr>
        <w:spacing w:before="360" w:after="360"/>
        <w:jc w:val="center"/>
        <w:rPr>
          <w:b/>
          <w:caps/>
          <w:kern w:val="22"/>
          <w:szCs w:val="22"/>
          <w:lang w:val="fr-FR"/>
        </w:rPr>
      </w:pPr>
      <w:r>
        <w:rPr>
          <w:b/>
          <w:caps/>
          <w:kern w:val="22"/>
          <w:szCs w:val="22"/>
          <w:lang w:val="fr-FR"/>
        </w:rPr>
        <w:t>DÉCISION ADOPTÉE PAR LES PARTIES AU PROTOCOLE DE CARTAGENA SUR LA PRÉVENTION DES RISQUES BIOTECHNOLOGIQUES</w:t>
      </w:r>
    </w:p>
    <w:p w14:paraId="2FD00824" w14:textId="5F9D765A" w:rsidR="00C9161D" w:rsidRPr="00D510E8" w:rsidRDefault="001B67EB" w:rsidP="002A3967">
      <w:pPr>
        <w:spacing w:before="240" w:after="120"/>
        <w:ind w:left="851" w:hanging="709"/>
        <w:jc w:val="left"/>
        <w:rPr>
          <w:b/>
          <w:caps/>
          <w:kern w:val="22"/>
          <w:szCs w:val="22"/>
          <w:lang w:val="fr-FR"/>
        </w:rPr>
      </w:pPr>
      <w:sdt>
        <w:sdtPr>
          <w:rPr>
            <w:rFonts w:eastAsia="Malgun Gothic"/>
            <w:b/>
            <w:snapToGrid w:val="0"/>
            <w:lang w:val="fr-FR" w:eastAsia="x-none"/>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2A3967">
            <w:rPr>
              <w:rFonts w:eastAsia="Malgun Gothic"/>
              <w:b/>
              <w:snapToGrid w:val="0"/>
              <w:lang w:val="fr-FR" w:eastAsia="x-none"/>
            </w:rPr>
            <w:t>9/7.      P</w:t>
          </w:r>
          <w:r w:rsidR="002A3967" w:rsidRPr="00D510E8">
            <w:rPr>
              <w:rFonts w:eastAsia="Malgun Gothic"/>
              <w:b/>
              <w:snapToGrid w:val="0"/>
              <w:lang w:val="fr-FR" w:eastAsia="x-none"/>
            </w:rPr>
            <w:t>répara</w:t>
          </w:r>
          <w:r w:rsidR="002A3967">
            <w:rPr>
              <w:rFonts w:eastAsia="Malgun Gothic"/>
              <w:b/>
              <w:snapToGrid w:val="0"/>
              <w:lang w:val="fr-FR" w:eastAsia="x-none"/>
            </w:rPr>
            <w:t>tion du texte donnant suite au P</w:t>
          </w:r>
          <w:r w:rsidR="002A3967" w:rsidRPr="00D510E8">
            <w:rPr>
              <w:rFonts w:eastAsia="Malgun Gothic"/>
              <w:b/>
              <w:snapToGrid w:val="0"/>
              <w:lang w:val="fr-FR" w:eastAsia="x-none"/>
            </w:rPr>
            <w:t>lan stratégique pour la divers</w:t>
          </w:r>
          <w:r w:rsidR="002A3967">
            <w:rPr>
              <w:rFonts w:eastAsia="Malgun Gothic"/>
              <w:b/>
              <w:snapToGrid w:val="0"/>
              <w:lang w:val="fr-FR" w:eastAsia="x-none"/>
            </w:rPr>
            <w:t>ité biologique 2011-2020 et au P</w:t>
          </w:r>
          <w:r w:rsidR="002A3967" w:rsidRPr="00D510E8">
            <w:rPr>
              <w:rFonts w:eastAsia="Malgun Gothic"/>
              <w:b/>
              <w:snapToGrid w:val="0"/>
              <w:lang w:val="fr-FR" w:eastAsia="x-none"/>
            </w:rPr>
            <w:t>lan strat</w:t>
          </w:r>
          <w:r w:rsidR="002A3967">
            <w:rPr>
              <w:rFonts w:eastAsia="Malgun Gothic"/>
              <w:b/>
              <w:snapToGrid w:val="0"/>
              <w:lang w:val="fr-FR" w:eastAsia="x-none"/>
            </w:rPr>
            <w:t>égique du Protocole de C</w:t>
          </w:r>
          <w:r w:rsidR="002A3967" w:rsidRPr="00D510E8">
            <w:rPr>
              <w:rFonts w:eastAsia="Malgun Gothic"/>
              <w:b/>
              <w:snapToGrid w:val="0"/>
              <w:lang w:val="fr-FR" w:eastAsia="x-none"/>
            </w:rPr>
            <w:t>artagena sur la prévention des risques biotechnologiques 2011-2020</w:t>
          </w:r>
        </w:sdtContent>
      </w:sdt>
    </w:p>
    <w:p w14:paraId="7116897E" w14:textId="77777777" w:rsidR="00D510E8" w:rsidRPr="00D510E8" w:rsidRDefault="00D510E8" w:rsidP="002A3967">
      <w:pPr>
        <w:adjustRightInd w:val="0"/>
        <w:snapToGrid w:val="0"/>
        <w:spacing w:before="240" w:after="120"/>
        <w:ind w:firstLine="720"/>
        <w:rPr>
          <w:i/>
          <w:color w:val="000000" w:themeColor="text1"/>
          <w:kern w:val="22"/>
          <w:lang w:val="fr-FR" w:eastAsia="fr-FR"/>
        </w:rPr>
      </w:pPr>
      <w:r w:rsidRPr="00D510E8">
        <w:rPr>
          <w:i/>
          <w:color w:val="000000" w:themeColor="text1"/>
          <w:kern w:val="22"/>
          <w:lang w:val="fr-FR" w:eastAsia="fr-FR"/>
        </w:rPr>
        <w:t>La Conférence des Parties siégeant en tant que réunion des Parties au Protocole de Cartagena sur la prévention des risques biotechnologiques</w:t>
      </w:r>
    </w:p>
    <w:p w14:paraId="08A58CFB" w14:textId="3952337E" w:rsidR="00D510E8" w:rsidRPr="00D510E8" w:rsidRDefault="00D510E8" w:rsidP="00D510E8">
      <w:pPr>
        <w:numPr>
          <w:ilvl w:val="0"/>
          <w:numId w:val="19"/>
        </w:numPr>
        <w:adjustRightInd w:val="0"/>
        <w:snapToGrid w:val="0"/>
        <w:spacing w:before="120" w:after="120"/>
        <w:ind w:left="0" w:firstLine="720"/>
        <w:rPr>
          <w:color w:val="000000" w:themeColor="text1"/>
          <w:kern w:val="22"/>
          <w:lang w:val="fr-FR" w:eastAsia="fr-FR"/>
        </w:rPr>
      </w:pPr>
      <w:r w:rsidRPr="00D510E8">
        <w:rPr>
          <w:i/>
          <w:color w:val="000000" w:themeColor="text1"/>
          <w:kern w:val="22"/>
          <w:lang w:val="fr-FR" w:eastAsia="fr-FR"/>
        </w:rPr>
        <w:t>Prend note</w:t>
      </w:r>
      <w:r w:rsidRPr="00D510E8">
        <w:rPr>
          <w:color w:val="000000" w:themeColor="text1"/>
          <w:kern w:val="22"/>
          <w:lang w:val="fr-FR" w:eastAsia="fr-FR"/>
        </w:rPr>
        <w:t xml:space="preserve"> de la proposition de processus préparatoire du cadre mondial de la biodiversité pour l’après-2020 qui donnera suite au Plan stratégique pour la diversité biologique 2011-2020, et </w:t>
      </w:r>
      <w:r w:rsidRPr="00D510E8">
        <w:rPr>
          <w:i/>
          <w:color w:val="000000" w:themeColor="text1"/>
          <w:kern w:val="22"/>
          <w:lang w:val="fr-FR" w:eastAsia="fr-FR"/>
        </w:rPr>
        <w:t>accueille avec satisfaction</w:t>
      </w:r>
      <w:r w:rsidR="002A3967">
        <w:rPr>
          <w:color w:val="000000" w:themeColor="text1"/>
          <w:kern w:val="22"/>
          <w:lang w:val="fr-FR" w:eastAsia="fr-FR"/>
        </w:rPr>
        <w:t xml:space="preserve"> la décision 14/34</w:t>
      </w:r>
      <w:r w:rsidR="004C4164">
        <w:rPr>
          <w:color w:val="000000" w:themeColor="text1"/>
          <w:kern w:val="22"/>
          <w:lang w:val="fr-FR" w:eastAsia="fr-FR"/>
        </w:rPr>
        <w:t xml:space="preserve"> de la Conférence des Parties</w:t>
      </w:r>
      <w:r w:rsidRPr="00D510E8">
        <w:rPr>
          <w:color w:val="000000" w:themeColor="text1"/>
          <w:kern w:val="22"/>
          <w:lang w:val="fr-FR" w:eastAsia="fr-FR"/>
        </w:rPr>
        <w:t>;</w:t>
      </w:r>
    </w:p>
    <w:p w14:paraId="521E235E" w14:textId="584D3CFA" w:rsidR="00D510E8" w:rsidRPr="00D510E8" w:rsidRDefault="00D510E8" w:rsidP="00D510E8">
      <w:pPr>
        <w:numPr>
          <w:ilvl w:val="0"/>
          <w:numId w:val="19"/>
        </w:numPr>
        <w:adjustRightInd w:val="0"/>
        <w:snapToGrid w:val="0"/>
        <w:spacing w:before="120" w:after="120"/>
        <w:ind w:left="0" w:firstLine="720"/>
        <w:rPr>
          <w:color w:val="000000" w:themeColor="text1"/>
          <w:kern w:val="22"/>
          <w:lang w:val="fr-FR" w:eastAsia="fr-FR"/>
        </w:rPr>
      </w:pPr>
      <w:r w:rsidRPr="00D510E8">
        <w:rPr>
          <w:i/>
          <w:color w:val="000000" w:themeColor="text1"/>
          <w:kern w:val="22"/>
          <w:lang w:val="fr-FR" w:eastAsia="fr-FR"/>
        </w:rPr>
        <w:t>Souligne</w:t>
      </w:r>
      <w:r w:rsidRPr="00D510E8">
        <w:rPr>
          <w:color w:val="000000" w:themeColor="text1"/>
          <w:kern w:val="22"/>
          <w:lang w:val="fr-FR" w:eastAsia="fr-FR"/>
        </w:rPr>
        <w:t xml:space="preserve"> l'importance d'inclure la prévention des risques biotechnologiques dans le cadre mondial de la bio</w:t>
      </w:r>
      <w:r w:rsidR="00F80754">
        <w:rPr>
          <w:color w:val="000000" w:themeColor="text1"/>
          <w:kern w:val="22"/>
          <w:lang w:val="fr-FR" w:eastAsia="fr-FR"/>
        </w:rPr>
        <w:t>diversité pour l’après-2020, ainsi que la nécessité d'élaborer un P</w:t>
      </w:r>
      <w:r w:rsidRPr="00D510E8">
        <w:rPr>
          <w:color w:val="000000" w:themeColor="text1"/>
          <w:kern w:val="22"/>
          <w:lang w:val="fr-FR" w:eastAsia="fr-FR"/>
        </w:rPr>
        <w:t xml:space="preserve">lan de </w:t>
      </w:r>
      <w:r w:rsidR="00F80754">
        <w:rPr>
          <w:color w:val="000000" w:themeColor="text1"/>
          <w:kern w:val="22"/>
          <w:lang w:val="fr-FR" w:eastAsia="fr-FR"/>
        </w:rPr>
        <w:t>mise en œuvre spécifique du</w:t>
      </w:r>
      <w:r w:rsidRPr="00D510E8">
        <w:rPr>
          <w:color w:val="000000" w:themeColor="text1"/>
          <w:kern w:val="22"/>
          <w:lang w:val="fr-FR" w:eastAsia="fr-FR"/>
        </w:rPr>
        <w:t xml:space="preserve"> Protocole de Cartagena sur la prévention des risqu</w:t>
      </w:r>
      <w:r w:rsidR="004C4164">
        <w:rPr>
          <w:color w:val="000000" w:themeColor="text1"/>
          <w:kern w:val="22"/>
          <w:lang w:val="fr-FR" w:eastAsia="fr-FR"/>
        </w:rPr>
        <w:t xml:space="preserve">es biotechnologiques qui donnera </w:t>
      </w:r>
      <w:r w:rsidRPr="00D510E8">
        <w:rPr>
          <w:color w:val="000000" w:themeColor="text1"/>
          <w:kern w:val="22"/>
          <w:lang w:val="fr-FR" w:eastAsia="fr-FR"/>
        </w:rPr>
        <w:t>suite au Plan stratégique du Protocole de Cartagena sur la prévention des risques biotechnolog</w:t>
      </w:r>
      <w:r w:rsidR="004C4164">
        <w:rPr>
          <w:color w:val="000000" w:themeColor="text1"/>
          <w:kern w:val="22"/>
          <w:lang w:val="fr-FR" w:eastAsia="fr-FR"/>
        </w:rPr>
        <w:t>iques pour la période 2011-2020</w:t>
      </w:r>
      <w:r w:rsidRPr="00D510E8">
        <w:rPr>
          <w:color w:val="000000" w:themeColor="text1"/>
          <w:kern w:val="22"/>
          <w:lang w:val="fr-FR" w:eastAsia="fr-FR"/>
        </w:rPr>
        <w:t>;</w:t>
      </w:r>
    </w:p>
    <w:p w14:paraId="693FB11A" w14:textId="26292A00" w:rsidR="00D510E8" w:rsidRPr="00D510E8" w:rsidRDefault="00D510E8" w:rsidP="00D510E8">
      <w:pPr>
        <w:numPr>
          <w:ilvl w:val="0"/>
          <w:numId w:val="19"/>
        </w:numPr>
        <w:suppressLineNumbers/>
        <w:suppressAutoHyphens/>
        <w:kinsoku w:val="0"/>
        <w:overflowPunct w:val="0"/>
        <w:autoSpaceDE w:val="0"/>
        <w:autoSpaceDN w:val="0"/>
        <w:adjustRightInd w:val="0"/>
        <w:snapToGrid w:val="0"/>
        <w:spacing w:before="120" w:after="120"/>
        <w:ind w:left="0" w:firstLine="720"/>
        <w:rPr>
          <w:color w:val="000000" w:themeColor="text1"/>
          <w:kern w:val="22"/>
          <w:lang w:val="fr-FR" w:eastAsia="fr-FR"/>
        </w:rPr>
      </w:pPr>
      <w:r w:rsidRPr="00D510E8">
        <w:rPr>
          <w:i/>
          <w:snapToGrid w:val="0"/>
          <w:color w:val="000000" w:themeColor="text1"/>
          <w:kern w:val="22"/>
          <w:szCs w:val="22"/>
          <w:lang w:val="fr-FR" w:eastAsia="fr-FR"/>
        </w:rPr>
        <w:t>Prend note également</w:t>
      </w:r>
      <w:r w:rsidRPr="00D510E8">
        <w:rPr>
          <w:color w:val="000000" w:themeColor="text1"/>
          <w:kern w:val="22"/>
          <w:lang w:val="fr-FR" w:eastAsia="fr-FR"/>
        </w:rPr>
        <w:t xml:space="preserve"> de l’importan</w:t>
      </w:r>
      <w:r w:rsidR="00C30EB7">
        <w:rPr>
          <w:color w:val="000000" w:themeColor="text1"/>
          <w:kern w:val="22"/>
          <w:lang w:val="fr-FR" w:eastAsia="fr-FR"/>
        </w:rPr>
        <w:t xml:space="preserve">ce d’une participation active des </w:t>
      </w:r>
      <w:r w:rsidRPr="00D510E8">
        <w:rPr>
          <w:color w:val="000000" w:themeColor="text1"/>
          <w:kern w:val="22"/>
          <w:lang w:val="fr-FR" w:eastAsia="fr-FR"/>
        </w:rPr>
        <w:t>experts en matière de prévention des risques biot</w:t>
      </w:r>
      <w:r w:rsidR="00F80754">
        <w:rPr>
          <w:color w:val="000000" w:themeColor="text1"/>
          <w:kern w:val="22"/>
          <w:lang w:val="fr-FR" w:eastAsia="fr-FR"/>
        </w:rPr>
        <w:t>echnologiques, notamment</w:t>
      </w:r>
      <w:r w:rsidRPr="00D510E8">
        <w:rPr>
          <w:color w:val="000000" w:themeColor="text1"/>
          <w:kern w:val="22"/>
          <w:lang w:val="fr-FR" w:eastAsia="fr-FR"/>
        </w:rPr>
        <w:t xml:space="preserve"> ceux qui disposent d’une expertise concernant le Protocole additionnel de Nagoya – Kuala Lumpur sur la responsabilité et la réparation, à l’élaboration du cadre mondial de la biodiversité pour l’après-2020;</w:t>
      </w:r>
    </w:p>
    <w:p w14:paraId="4B7A181F" w14:textId="0251731B" w:rsidR="00D510E8" w:rsidRPr="00D510E8" w:rsidRDefault="00D510E8" w:rsidP="00D510E8">
      <w:pPr>
        <w:numPr>
          <w:ilvl w:val="0"/>
          <w:numId w:val="19"/>
        </w:numPr>
        <w:suppressLineNumbers/>
        <w:suppressAutoHyphens/>
        <w:kinsoku w:val="0"/>
        <w:overflowPunct w:val="0"/>
        <w:autoSpaceDE w:val="0"/>
        <w:autoSpaceDN w:val="0"/>
        <w:adjustRightInd w:val="0"/>
        <w:snapToGrid w:val="0"/>
        <w:spacing w:before="120" w:after="120"/>
        <w:ind w:left="0" w:firstLine="720"/>
        <w:rPr>
          <w:snapToGrid w:val="0"/>
          <w:color w:val="000000" w:themeColor="text1"/>
          <w:kern w:val="22"/>
          <w:szCs w:val="22"/>
          <w:lang w:val="fr-FR" w:eastAsia="fr-FR"/>
        </w:rPr>
      </w:pPr>
      <w:r w:rsidRPr="00D510E8">
        <w:rPr>
          <w:i/>
          <w:iCs/>
          <w:snapToGrid w:val="0"/>
          <w:color w:val="000000" w:themeColor="text1"/>
          <w:kern w:val="22"/>
          <w:szCs w:val="22"/>
          <w:lang w:val="fr-FR" w:eastAsia="fr-FR"/>
        </w:rPr>
        <w:t>Invite</w:t>
      </w:r>
      <w:r w:rsidRPr="00D510E8">
        <w:rPr>
          <w:snapToGrid w:val="0"/>
          <w:color w:val="000000" w:themeColor="text1"/>
          <w:kern w:val="22"/>
          <w:szCs w:val="22"/>
          <w:lang w:val="fr-FR" w:eastAsia="fr-FR"/>
        </w:rPr>
        <w:t xml:space="preserve"> les Parties à participer au processus d'élaboration du cadre mondial de la</w:t>
      </w:r>
      <w:r w:rsidR="004C4164">
        <w:rPr>
          <w:snapToGrid w:val="0"/>
          <w:color w:val="000000" w:themeColor="text1"/>
          <w:kern w:val="22"/>
          <w:szCs w:val="22"/>
          <w:lang w:val="fr-FR" w:eastAsia="fr-FR"/>
        </w:rPr>
        <w:t xml:space="preserve"> biodiversité pour l'après-2020</w:t>
      </w:r>
      <w:r w:rsidRPr="00D510E8">
        <w:rPr>
          <w:snapToGrid w:val="0"/>
          <w:color w:val="000000" w:themeColor="text1"/>
          <w:kern w:val="22"/>
          <w:szCs w:val="22"/>
          <w:lang w:val="fr-FR" w:eastAsia="fr-FR"/>
        </w:rPr>
        <w:t>;</w:t>
      </w:r>
    </w:p>
    <w:p w14:paraId="25FC49C3" w14:textId="22BE6892" w:rsidR="00D510E8" w:rsidRPr="00D510E8" w:rsidRDefault="00D510E8" w:rsidP="00D510E8">
      <w:pPr>
        <w:numPr>
          <w:ilvl w:val="0"/>
          <w:numId w:val="19"/>
        </w:numPr>
        <w:adjustRightInd w:val="0"/>
        <w:snapToGrid w:val="0"/>
        <w:spacing w:before="120" w:after="120"/>
        <w:ind w:left="0" w:firstLine="720"/>
        <w:rPr>
          <w:color w:val="000000" w:themeColor="text1"/>
          <w:kern w:val="22"/>
          <w:lang w:val="fr-FR" w:eastAsia="fr-FR"/>
        </w:rPr>
      </w:pPr>
      <w:r w:rsidRPr="00D510E8">
        <w:rPr>
          <w:i/>
          <w:color w:val="000000" w:themeColor="text1"/>
          <w:kern w:val="22"/>
          <w:lang w:val="fr-FR" w:eastAsia="fr-FR"/>
        </w:rPr>
        <w:t>Décide</w:t>
      </w:r>
      <w:r w:rsidR="00F80754">
        <w:rPr>
          <w:color w:val="000000" w:themeColor="text1"/>
          <w:kern w:val="22"/>
          <w:lang w:val="fr-FR" w:eastAsia="fr-FR"/>
        </w:rPr>
        <w:t xml:space="preserve"> d'élaborer un P</w:t>
      </w:r>
      <w:r w:rsidRPr="00D510E8">
        <w:rPr>
          <w:color w:val="000000" w:themeColor="text1"/>
          <w:kern w:val="22"/>
          <w:lang w:val="fr-FR" w:eastAsia="fr-FR"/>
        </w:rPr>
        <w:t xml:space="preserve">lan </w:t>
      </w:r>
      <w:r w:rsidR="00F80754">
        <w:rPr>
          <w:color w:val="000000" w:themeColor="text1"/>
          <w:kern w:val="22"/>
          <w:lang w:val="fr-FR" w:eastAsia="fr-FR"/>
        </w:rPr>
        <w:t>de mise en œuvre spécifique du</w:t>
      </w:r>
      <w:r w:rsidRPr="00D510E8">
        <w:rPr>
          <w:color w:val="000000" w:themeColor="text1"/>
          <w:kern w:val="22"/>
          <w:lang w:val="fr-FR" w:eastAsia="fr-FR"/>
        </w:rPr>
        <w:t xml:space="preserve"> Protocole de Cartagena sur la prévention des risques biotechnolog</w:t>
      </w:r>
      <w:r w:rsidR="004C4164">
        <w:rPr>
          <w:color w:val="000000" w:themeColor="text1"/>
          <w:kern w:val="22"/>
          <w:lang w:val="fr-FR" w:eastAsia="fr-FR"/>
        </w:rPr>
        <w:t>iques pour l'après-2020 qui sera basé sur,</w:t>
      </w:r>
      <w:r w:rsidRPr="00D510E8">
        <w:rPr>
          <w:color w:val="000000" w:themeColor="text1"/>
          <w:kern w:val="22"/>
          <w:lang w:val="fr-FR" w:eastAsia="fr-FR"/>
        </w:rPr>
        <w:t xml:space="preserve"> et complémentaire du cadre mondial de la biodiversité pour l'après-2020, et </w:t>
      </w:r>
      <w:r w:rsidRPr="00D510E8">
        <w:rPr>
          <w:i/>
          <w:color w:val="000000" w:themeColor="text1"/>
          <w:kern w:val="22"/>
          <w:lang w:val="fr-FR" w:eastAsia="fr-FR"/>
        </w:rPr>
        <w:t>prie</w:t>
      </w:r>
      <w:r w:rsidRPr="00D510E8">
        <w:rPr>
          <w:color w:val="000000" w:themeColor="text1"/>
          <w:kern w:val="22"/>
          <w:lang w:val="fr-FR" w:eastAsia="fr-FR"/>
        </w:rPr>
        <w:t xml:space="preserve"> la Secrétaire exécutive de faciliter l'élaboration de ses élémen</w:t>
      </w:r>
      <w:r w:rsidR="004C4164">
        <w:rPr>
          <w:color w:val="000000" w:themeColor="text1"/>
          <w:kern w:val="22"/>
          <w:lang w:val="fr-FR" w:eastAsia="fr-FR"/>
        </w:rPr>
        <w:t>ts</w:t>
      </w:r>
      <w:r w:rsidRPr="00D510E8">
        <w:rPr>
          <w:color w:val="000000" w:themeColor="text1"/>
          <w:kern w:val="22"/>
          <w:lang w:val="fr-FR" w:eastAsia="fr-FR"/>
        </w:rPr>
        <w:t>;</w:t>
      </w:r>
    </w:p>
    <w:p w14:paraId="5AA671EA" w14:textId="6B08A32B" w:rsidR="00D510E8" w:rsidRPr="00D510E8" w:rsidRDefault="00F80754" w:rsidP="00D510E8">
      <w:pPr>
        <w:numPr>
          <w:ilvl w:val="0"/>
          <w:numId w:val="19"/>
        </w:numPr>
        <w:spacing w:before="120" w:after="120"/>
        <w:ind w:left="0" w:firstLine="720"/>
        <w:rPr>
          <w:snapToGrid w:val="0"/>
          <w:color w:val="000000" w:themeColor="text1"/>
          <w:kern w:val="22"/>
          <w:szCs w:val="18"/>
          <w:lang w:val="fr-FR" w:eastAsia="fr-FR"/>
        </w:rPr>
      </w:pPr>
      <w:r>
        <w:rPr>
          <w:i/>
          <w:snapToGrid w:val="0"/>
          <w:color w:val="000000" w:themeColor="text1"/>
          <w:kern w:val="22"/>
          <w:szCs w:val="18"/>
          <w:lang w:val="fr-FR" w:eastAsia="fr-FR"/>
        </w:rPr>
        <w:t>Décide également</w:t>
      </w:r>
      <w:r>
        <w:rPr>
          <w:snapToGrid w:val="0"/>
          <w:color w:val="000000" w:themeColor="text1"/>
          <w:kern w:val="22"/>
          <w:szCs w:val="18"/>
          <w:lang w:val="fr-FR" w:eastAsia="fr-FR"/>
        </w:rPr>
        <w:t xml:space="preserve"> que le P</w:t>
      </w:r>
      <w:r w:rsidR="00D510E8" w:rsidRPr="00D510E8">
        <w:rPr>
          <w:snapToGrid w:val="0"/>
          <w:color w:val="000000" w:themeColor="text1"/>
          <w:kern w:val="22"/>
          <w:szCs w:val="18"/>
          <w:lang w:val="fr-FR" w:eastAsia="fr-FR"/>
        </w:rPr>
        <w:t>lan de mise en œuvre spécifique du Protocole de Cartagena pour l'après-2020 devra : a) être élabo</w:t>
      </w:r>
      <w:r w:rsidR="00BE45EF">
        <w:rPr>
          <w:snapToGrid w:val="0"/>
          <w:color w:val="000000" w:themeColor="text1"/>
          <w:kern w:val="22"/>
          <w:szCs w:val="18"/>
          <w:lang w:val="fr-FR" w:eastAsia="fr-FR"/>
        </w:rPr>
        <w:t>ré comme outil de mise en œuvre</w:t>
      </w:r>
      <w:r w:rsidR="00D510E8" w:rsidRPr="00D510E8">
        <w:rPr>
          <w:snapToGrid w:val="0"/>
          <w:color w:val="000000" w:themeColor="text1"/>
          <w:kern w:val="22"/>
          <w:szCs w:val="18"/>
          <w:lang w:val="fr-FR" w:eastAsia="fr-FR"/>
        </w:rPr>
        <w:t>; b) intégrer les éléments du Plan stratégique du Protocole de Cartagena pour la période 201</w:t>
      </w:r>
      <w:r w:rsidR="00BE45EF">
        <w:rPr>
          <w:snapToGrid w:val="0"/>
          <w:color w:val="000000" w:themeColor="text1"/>
          <w:kern w:val="22"/>
          <w:szCs w:val="18"/>
          <w:lang w:val="fr-FR" w:eastAsia="fr-FR"/>
        </w:rPr>
        <w:t>1-2020 qui demeurent pertinents</w:t>
      </w:r>
      <w:r w:rsidR="00D510E8" w:rsidRPr="00D510E8">
        <w:rPr>
          <w:snapToGrid w:val="0"/>
          <w:color w:val="000000" w:themeColor="text1"/>
          <w:kern w:val="22"/>
          <w:szCs w:val="18"/>
          <w:lang w:val="fr-FR" w:eastAsia="fr-FR"/>
        </w:rPr>
        <w:t>; c) inclure de</w:t>
      </w:r>
      <w:r w:rsidR="00C30EB7">
        <w:rPr>
          <w:snapToGrid w:val="0"/>
          <w:color w:val="000000" w:themeColor="text1"/>
          <w:kern w:val="22"/>
          <w:szCs w:val="18"/>
          <w:lang w:val="fr-FR" w:eastAsia="fr-FR"/>
        </w:rPr>
        <w:t>s</w:t>
      </w:r>
      <w:r w:rsidR="00D510E8" w:rsidRPr="00D510E8">
        <w:rPr>
          <w:snapToGrid w:val="0"/>
          <w:color w:val="000000" w:themeColor="text1"/>
          <w:kern w:val="22"/>
          <w:szCs w:val="18"/>
          <w:lang w:val="fr-FR" w:eastAsia="fr-FR"/>
        </w:rPr>
        <w:t xml:space="preserve"> </w:t>
      </w:r>
      <w:r w:rsidR="00D510E8" w:rsidRPr="00D510E8">
        <w:rPr>
          <w:snapToGrid w:val="0"/>
          <w:color w:val="000000" w:themeColor="text1"/>
          <w:kern w:val="22"/>
          <w:szCs w:val="18"/>
          <w:lang w:val="fr-FR" w:eastAsia="fr-FR"/>
        </w:rPr>
        <w:lastRenderedPageBreak/>
        <w:t>nouveaux éléments intégrant les enseignements tirés et les nouveaux développements en matière de prévention des risques biotechnologiq</w:t>
      </w:r>
      <w:r w:rsidR="00BE45EF">
        <w:rPr>
          <w:snapToGrid w:val="0"/>
          <w:color w:val="000000" w:themeColor="text1"/>
          <w:kern w:val="22"/>
          <w:szCs w:val="18"/>
          <w:lang w:val="fr-FR" w:eastAsia="fr-FR"/>
        </w:rPr>
        <w:t>ues</w:t>
      </w:r>
      <w:r w:rsidR="004C4164">
        <w:rPr>
          <w:snapToGrid w:val="0"/>
          <w:color w:val="000000" w:themeColor="text1"/>
          <w:kern w:val="22"/>
          <w:szCs w:val="18"/>
          <w:lang w:val="fr-FR" w:eastAsia="fr-FR"/>
        </w:rPr>
        <w:t>; d) être suffisamment souple pour tenir</w:t>
      </w:r>
      <w:r w:rsidR="00D510E8" w:rsidRPr="00D510E8">
        <w:rPr>
          <w:snapToGrid w:val="0"/>
          <w:color w:val="000000" w:themeColor="text1"/>
          <w:kern w:val="22"/>
          <w:szCs w:val="18"/>
          <w:lang w:val="fr-FR" w:eastAsia="fr-FR"/>
        </w:rPr>
        <w:t xml:space="preserve"> com</w:t>
      </w:r>
      <w:r w:rsidR="004C4164">
        <w:rPr>
          <w:snapToGrid w:val="0"/>
          <w:color w:val="000000" w:themeColor="text1"/>
          <w:kern w:val="22"/>
          <w:szCs w:val="18"/>
          <w:lang w:val="fr-FR" w:eastAsia="fr-FR"/>
        </w:rPr>
        <w:t>pte des évolutions dur</w:t>
      </w:r>
      <w:r w:rsidR="00D510E8" w:rsidRPr="00D510E8">
        <w:rPr>
          <w:snapToGrid w:val="0"/>
          <w:color w:val="000000" w:themeColor="text1"/>
          <w:kern w:val="22"/>
          <w:szCs w:val="18"/>
          <w:lang w:val="fr-FR" w:eastAsia="fr-FR"/>
        </w:rPr>
        <w:t>ant l</w:t>
      </w:r>
      <w:r w:rsidR="00BE45EF">
        <w:rPr>
          <w:snapToGrid w:val="0"/>
          <w:color w:val="000000" w:themeColor="text1"/>
          <w:kern w:val="22"/>
          <w:szCs w:val="18"/>
          <w:lang w:val="fr-FR" w:eastAsia="fr-FR"/>
        </w:rPr>
        <w:t>a période de mise en œuvre</w:t>
      </w:r>
      <w:r w:rsidR="00C30EB7">
        <w:rPr>
          <w:snapToGrid w:val="0"/>
          <w:color w:val="000000" w:themeColor="text1"/>
          <w:kern w:val="22"/>
          <w:szCs w:val="18"/>
          <w:lang w:val="fr-FR" w:eastAsia="fr-FR"/>
        </w:rPr>
        <w:t>; e) inclure</w:t>
      </w:r>
      <w:r w:rsidR="00D510E8" w:rsidRPr="00D510E8">
        <w:rPr>
          <w:snapToGrid w:val="0"/>
          <w:color w:val="000000" w:themeColor="text1"/>
          <w:kern w:val="22"/>
          <w:szCs w:val="18"/>
          <w:lang w:val="fr-FR" w:eastAsia="fr-FR"/>
        </w:rPr>
        <w:t xml:space="preserve"> des indicateurs simples et facilement mesurables pour faciliter l’examen des progrès accomplis </w:t>
      </w:r>
      <w:r w:rsidR="004C4164">
        <w:rPr>
          <w:snapToGrid w:val="0"/>
          <w:color w:val="000000" w:themeColor="text1"/>
          <w:kern w:val="22"/>
          <w:szCs w:val="18"/>
          <w:lang w:val="fr-FR" w:eastAsia="fr-FR"/>
        </w:rPr>
        <w:t>dans l’application du Protocole</w:t>
      </w:r>
      <w:r w:rsidR="00D510E8" w:rsidRPr="00D510E8">
        <w:rPr>
          <w:snapToGrid w:val="0"/>
          <w:color w:val="000000" w:themeColor="text1"/>
          <w:kern w:val="22"/>
          <w:szCs w:val="18"/>
          <w:lang w:val="fr-FR" w:eastAsia="fr-FR"/>
        </w:rPr>
        <w:t>;</w:t>
      </w:r>
    </w:p>
    <w:p w14:paraId="3E6D0110" w14:textId="2B05A3DB" w:rsidR="00D510E8" w:rsidRPr="00D510E8" w:rsidRDefault="00D510E8" w:rsidP="00D510E8">
      <w:pPr>
        <w:spacing w:before="120" w:after="120"/>
        <w:ind w:firstLine="709"/>
        <w:rPr>
          <w:snapToGrid w:val="0"/>
          <w:kern w:val="22"/>
          <w:szCs w:val="18"/>
          <w:lang w:val="fr-FR" w:eastAsia="fr-FR"/>
        </w:rPr>
      </w:pPr>
      <w:r w:rsidRPr="00D510E8">
        <w:rPr>
          <w:snapToGrid w:val="0"/>
          <w:kern w:val="22"/>
          <w:szCs w:val="18"/>
          <w:lang w:val="fr-FR" w:eastAsia="fr-FR"/>
        </w:rPr>
        <w:t>7.</w:t>
      </w:r>
      <w:r w:rsidRPr="00D510E8">
        <w:rPr>
          <w:snapToGrid w:val="0"/>
          <w:kern w:val="22"/>
          <w:szCs w:val="18"/>
          <w:lang w:val="fr-FR" w:eastAsia="fr-FR"/>
        </w:rPr>
        <w:tab/>
      </w:r>
      <w:r w:rsidRPr="00D510E8">
        <w:rPr>
          <w:i/>
          <w:snapToGrid w:val="0"/>
          <w:kern w:val="22"/>
          <w:szCs w:val="18"/>
          <w:lang w:val="fr-FR" w:eastAsia="fr-FR"/>
        </w:rPr>
        <w:t>Décide</w:t>
      </w:r>
      <w:r w:rsidR="00F80754">
        <w:rPr>
          <w:i/>
          <w:snapToGrid w:val="0"/>
          <w:kern w:val="22"/>
          <w:szCs w:val="18"/>
          <w:lang w:val="fr-FR" w:eastAsia="fr-FR"/>
        </w:rPr>
        <w:t xml:space="preserve"> en outre</w:t>
      </w:r>
      <w:r w:rsidRPr="00D510E8">
        <w:rPr>
          <w:i/>
          <w:snapToGrid w:val="0"/>
          <w:kern w:val="22"/>
          <w:szCs w:val="18"/>
          <w:lang w:val="fr-FR" w:eastAsia="fr-FR"/>
        </w:rPr>
        <w:t xml:space="preserve"> </w:t>
      </w:r>
      <w:r w:rsidRPr="00D510E8">
        <w:rPr>
          <w:snapToGrid w:val="0"/>
          <w:kern w:val="22"/>
          <w:szCs w:val="18"/>
          <w:lang w:val="fr-FR" w:eastAsia="fr-FR"/>
        </w:rPr>
        <w:t>de prolonger le mandat et d'étendre le champ d'application du Groupe de liaison sur le renforcement des capacités en matière de prévention des risques biotechnologiques, tel qu'énoncé dans l'annexe, d'inclure des compétences spécifique</w:t>
      </w:r>
      <w:r w:rsidR="004C4164">
        <w:rPr>
          <w:snapToGrid w:val="0"/>
          <w:kern w:val="22"/>
          <w:szCs w:val="18"/>
          <w:lang w:val="fr-FR" w:eastAsia="fr-FR"/>
        </w:rPr>
        <w:t>s basées sur l'expérience concrèt</w:t>
      </w:r>
      <w:r w:rsidR="00C30EB7">
        <w:rPr>
          <w:snapToGrid w:val="0"/>
          <w:kern w:val="22"/>
          <w:szCs w:val="18"/>
          <w:lang w:val="fr-FR" w:eastAsia="fr-FR"/>
        </w:rPr>
        <w:t>e acquise dans l’application</w:t>
      </w:r>
      <w:r w:rsidRPr="00D510E8">
        <w:rPr>
          <w:snapToGrid w:val="0"/>
          <w:kern w:val="22"/>
          <w:szCs w:val="18"/>
          <w:lang w:val="fr-FR" w:eastAsia="fr-FR"/>
        </w:rPr>
        <w:t xml:space="preserve"> du</w:t>
      </w:r>
      <w:r w:rsidR="004C4164">
        <w:rPr>
          <w:snapToGrid w:val="0"/>
          <w:kern w:val="22"/>
          <w:szCs w:val="18"/>
          <w:lang w:val="fr-FR" w:eastAsia="fr-FR"/>
        </w:rPr>
        <w:t xml:space="preserve"> Protocole et les questions liées à </w:t>
      </w:r>
      <w:r w:rsidRPr="00D510E8">
        <w:rPr>
          <w:snapToGrid w:val="0"/>
          <w:kern w:val="22"/>
          <w:szCs w:val="18"/>
          <w:lang w:val="fr-FR" w:eastAsia="fr-FR"/>
        </w:rPr>
        <w:t>la prévention des risques biotechnologiques, en tenant compte de la repr</w:t>
      </w:r>
      <w:r w:rsidR="00F80754">
        <w:rPr>
          <w:snapToGrid w:val="0"/>
          <w:kern w:val="22"/>
          <w:szCs w:val="18"/>
          <w:lang w:val="fr-FR" w:eastAsia="fr-FR"/>
        </w:rPr>
        <w:t>ésentation géographique et des points de vues divergent</w:t>
      </w:r>
      <w:r w:rsidR="004C4164">
        <w:rPr>
          <w:snapToGrid w:val="0"/>
          <w:kern w:val="22"/>
          <w:szCs w:val="18"/>
          <w:lang w:val="fr-FR" w:eastAsia="fr-FR"/>
        </w:rPr>
        <w:t>s, et de l’appeler désormais</w:t>
      </w:r>
      <w:r w:rsidRPr="00D510E8">
        <w:rPr>
          <w:snapToGrid w:val="0"/>
          <w:kern w:val="22"/>
          <w:szCs w:val="18"/>
          <w:lang w:val="fr-FR" w:eastAsia="fr-FR"/>
        </w:rPr>
        <w:t xml:space="preserve"> « Groupe de liaison sur le Protocole de Cartagena sur la prévention des </w:t>
      </w:r>
      <w:r w:rsidR="004C4164">
        <w:rPr>
          <w:snapToGrid w:val="0"/>
          <w:kern w:val="22"/>
          <w:szCs w:val="18"/>
          <w:lang w:val="fr-FR" w:eastAsia="fr-FR"/>
        </w:rPr>
        <w:t>risques biotechnologiques »</w:t>
      </w:r>
      <w:r w:rsidRPr="00D510E8">
        <w:rPr>
          <w:snapToGrid w:val="0"/>
          <w:kern w:val="22"/>
          <w:szCs w:val="18"/>
          <w:lang w:val="fr-FR" w:eastAsia="fr-FR"/>
        </w:rPr>
        <w:t>;</w:t>
      </w:r>
    </w:p>
    <w:p w14:paraId="76CEA198" w14:textId="5AF09AAC" w:rsidR="00D510E8" w:rsidRPr="00D510E8" w:rsidRDefault="00D510E8" w:rsidP="00F80754">
      <w:pPr>
        <w:numPr>
          <w:ilvl w:val="0"/>
          <w:numId w:val="22"/>
        </w:numPr>
        <w:spacing w:before="120" w:after="120"/>
        <w:ind w:left="0" w:firstLine="709"/>
        <w:rPr>
          <w:snapToGrid w:val="0"/>
          <w:kern w:val="22"/>
          <w:szCs w:val="18"/>
          <w:lang w:val="fr-FR" w:eastAsia="fr-FR"/>
        </w:rPr>
      </w:pPr>
      <w:r w:rsidRPr="00D510E8">
        <w:rPr>
          <w:i/>
          <w:snapToGrid w:val="0"/>
          <w:color w:val="000000" w:themeColor="text1"/>
          <w:kern w:val="22"/>
          <w:szCs w:val="18"/>
          <w:lang w:val="fr-FR" w:eastAsia="fr-FR"/>
        </w:rPr>
        <w:t xml:space="preserve">Prie </w:t>
      </w:r>
      <w:r w:rsidR="00F80754">
        <w:rPr>
          <w:snapToGrid w:val="0"/>
          <w:color w:val="000000" w:themeColor="text1"/>
          <w:kern w:val="22"/>
          <w:szCs w:val="18"/>
          <w:lang w:val="fr-FR" w:eastAsia="fr-FR"/>
        </w:rPr>
        <w:t>le G</w:t>
      </w:r>
      <w:r w:rsidRPr="00D510E8">
        <w:rPr>
          <w:snapToGrid w:val="0"/>
          <w:color w:val="000000" w:themeColor="text1"/>
          <w:kern w:val="22"/>
          <w:szCs w:val="18"/>
          <w:lang w:val="fr-FR" w:eastAsia="fr-FR"/>
        </w:rPr>
        <w:t>roupe de liaison de contribuer à l'élabor</w:t>
      </w:r>
      <w:r w:rsidR="004C4164">
        <w:rPr>
          <w:snapToGrid w:val="0"/>
          <w:color w:val="000000" w:themeColor="text1"/>
          <w:kern w:val="22"/>
          <w:szCs w:val="18"/>
          <w:lang w:val="fr-FR" w:eastAsia="fr-FR"/>
        </w:rPr>
        <w:t xml:space="preserve">ation d'éléments pertinents concernant </w:t>
      </w:r>
      <w:r w:rsidRPr="00D510E8">
        <w:rPr>
          <w:snapToGrid w:val="0"/>
          <w:color w:val="000000" w:themeColor="text1"/>
          <w:kern w:val="22"/>
          <w:szCs w:val="18"/>
          <w:lang w:val="fr-FR" w:eastAsia="fr-FR"/>
        </w:rPr>
        <w:t>la prévention des risques biotechnologiques dans le cadre mondial de la biodiversité pour l'après-2020, en consultation avec les coprésidents du Groupe de travail à composition non limitée</w:t>
      </w:r>
      <w:r w:rsidRPr="00D510E8">
        <w:rPr>
          <w:snapToGrid w:val="0"/>
          <w:color w:val="000000" w:themeColor="text1"/>
          <w:kern w:val="22"/>
          <w:szCs w:val="18"/>
          <w:vertAlign w:val="superscript"/>
          <w:lang w:val="fr-FR" w:eastAsia="fr-FR"/>
        </w:rPr>
        <w:footnoteReference w:id="1"/>
      </w:r>
      <w:r w:rsidRPr="00D510E8">
        <w:rPr>
          <w:snapToGrid w:val="0"/>
          <w:color w:val="000000" w:themeColor="text1"/>
          <w:kern w:val="22"/>
          <w:szCs w:val="18"/>
          <w:lang w:val="fr-FR" w:eastAsia="fr-FR"/>
        </w:rPr>
        <w:t>, et dans</w:t>
      </w:r>
      <w:r w:rsidR="004C4164">
        <w:rPr>
          <w:snapToGrid w:val="0"/>
          <w:color w:val="000000" w:themeColor="text1"/>
          <w:kern w:val="22"/>
          <w:szCs w:val="18"/>
          <w:lang w:val="fr-FR" w:eastAsia="fr-FR"/>
        </w:rPr>
        <w:t xml:space="preserve"> le texte spécifique donnant</w:t>
      </w:r>
      <w:r w:rsidRPr="00D510E8">
        <w:rPr>
          <w:snapToGrid w:val="0"/>
          <w:color w:val="000000" w:themeColor="text1"/>
          <w:kern w:val="22"/>
          <w:szCs w:val="18"/>
          <w:lang w:val="fr-FR" w:eastAsia="fr-FR"/>
        </w:rPr>
        <w:t xml:space="preserve"> suite au Plan stratégique du Protocole de Cartagena sur la prévention des risques biotechnologiques pour la pério</w:t>
      </w:r>
      <w:r w:rsidR="004C4164">
        <w:rPr>
          <w:snapToGrid w:val="0"/>
          <w:color w:val="000000" w:themeColor="text1"/>
          <w:kern w:val="22"/>
          <w:szCs w:val="18"/>
          <w:lang w:val="fr-FR" w:eastAsia="fr-FR"/>
        </w:rPr>
        <w:t>de 2011-2020, qui sera basé sur</w:t>
      </w:r>
      <w:r w:rsidRPr="00D510E8">
        <w:rPr>
          <w:snapToGrid w:val="0"/>
          <w:color w:val="000000" w:themeColor="text1"/>
          <w:kern w:val="22"/>
          <w:szCs w:val="18"/>
          <w:lang w:val="fr-FR" w:eastAsia="fr-FR"/>
        </w:rPr>
        <w:t>, et complémentaire du cadre mondial de la</w:t>
      </w:r>
      <w:r w:rsidR="00BE45EF">
        <w:rPr>
          <w:snapToGrid w:val="0"/>
          <w:color w:val="000000" w:themeColor="text1"/>
          <w:kern w:val="22"/>
          <w:szCs w:val="18"/>
          <w:lang w:val="fr-FR" w:eastAsia="fr-FR"/>
        </w:rPr>
        <w:t xml:space="preserve"> biodiversité pour l'après-2020</w:t>
      </w:r>
      <w:r w:rsidRPr="00D510E8">
        <w:rPr>
          <w:snapToGrid w:val="0"/>
          <w:kern w:val="22"/>
          <w:szCs w:val="18"/>
          <w:lang w:val="fr-FR" w:eastAsia="fr-FR"/>
        </w:rPr>
        <w:t>;</w:t>
      </w:r>
    </w:p>
    <w:p w14:paraId="701A3BCD" w14:textId="47AC70A1" w:rsidR="00D510E8" w:rsidRPr="00D510E8" w:rsidRDefault="00D510E8" w:rsidP="00F80754">
      <w:pPr>
        <w:numPr>
          <w:ilvl w:val="0"/>
          <w:numId w:val="22"/>
        </w:numPr>
        <w:spacing w:before="120" w:after="120"/>
        <w:ind w:left="0" w:firstLine="709"/>
        <w:rPr>
          <w:snapToGrid w:val="0"/>
          <w:kern w:val="22"/>
          <w:szCs w:val="18"/>
          <w:lang w:val="fr-FR" w:eastAsia="fr-FR"/>
        </w:rPr>
      </w:pPr>
      <w:r w:rsidRPr="00D510E8">
        <w:rPr>
          <w:i/>
          <w:snapToGrid w:val="0"/>
          <w:kern w:val="22"/>
          <w:szCs w:val="18"/>
          <w:lang w:val="fr-FR" w:eastAsia="fr-FR"/>
        </w:rPr>
        <w:t>Prie</w:t>
      </w:r>
      <w:r w:rsidR="004C4164">
        <w:rPr>
          <w:snapToGrid w:val="0"/>
          <w:kern w:val="22"/>
          <w:szCs w:val="18"/>
          <w:lang w:val="fr-FR" w:eastAsia="fr-FR"/>
        </w:rPr>
        <w:t xml:space="preserve"> la Secrétaire exécutive de</w:t>
      </w:r>
      <w:r w:rsidRPr="00D510E8">
        <w:rPr>
          <w:snapToGrid w:val="0"/>
          <w:kern w:val="22"/>
          <w:szCs w:val="18"/>
          <w:lang w:val="fr-FR" w:eastAsia="fr-FR"/>
        </w:rPr>
        <w:t> :</w:t>
      </w:r>
    </w:p>
    <w:p w14:paraId="397523C8" w14:textId="3AB45A22" w:rsidR="00D510E8" w:rsidRPr="00D510E8" w:rsidRDefault="004C4164" w:rsidP="00D510E8">
      <w:pPr>
        <w:numPr>
          <w:ilvl w:val="0"/>
          <w:numId w:val="20"/>
        </w:numPr>
        <w:spacing w:before="120" w:after="120"/>
        <w:ind w:left="0" w:firstLine="709"/>
        <w:rPr>
          <w:snapToGrid w:val="0"/>
          <w:kern w:val="22"/>
          <w:szCs w:val="18"/>
          <w:lang w:val="fr-FR" w:eastAsia="fr-FR"/>
        </w:rPr>
      </w:pPr>
      <w:r>
        <w:rPr>
          <w:snapToGrid w:val="0"/>
          <w:kern w:val="22"/>
          <w:szCs w:val="18"/>
          <w:lang w:val="fr-FR" w:eastAsia="fr-FR"/>
        </w:rPr>
        <w:t>Faciliter et a</w:t>
      </w:r>
      <w:r w:rsidR="00D510E8" w:rsidRPr="00D510E8">
        <w:rPr>
          <w:snapToGrid w:val="0"/>
          <w:kern w:val="22"/>
          <w:szCs w:val="18"/>
          <w:lang w:val="fr-FR" w:eastAsia="fr-FR"/>
        </w:rPr>
        <w:t>ppuyer l’inclusion d’un élément sur la prévention des risques biotechnologiques dans le cadre mondial de la</w:t>
      </w:r>
      <w:r>
        <w:rPr>
          <w:snapToGrid w:val="0"/>
          <w:kern w:val="22"/>
          <w:szCs w:val="18"/>
          <w:lang w:val="fr-FR" w:eastAsia="fr-FR"/>
        </w:rPr>
        <w:t xml:space="preserve"> biodiversité pour l’après-2020</w:t>
      </w:r>
      <w:r w:rsidR="00D510E8" w:rsidRPr="00D510E8">
        <w:rPr>
          <w:snapToGrid w:val="0"/>
          <w:kern w:val="22"/>
          <w:szCs w:val="18"/>
          <w:lang w:val="fr-FR" w:eastAsia="fr-FR"/>
        </w:rPr>
        <w:t>;</w:t>
      </w:r>
    </w:p>
    <w:p w14:paraId="5DEA7051" w14:textId="7D1EEE27" w:rsidR="00D510E8" w:rsidRPr="00D510E8" w:rsidRDefault="004C4164" w:rsidP="00D510E8">
      <w:pPr>
        <w:numPr>
          <w:ilvl w:val="0"/>
          <w:numId w:val="20"/>
        </w:numPr>
        <w:spacing w:before="120" w:after="120"/>
        <w:ind w:left="0" w:firstLine="709"/>
        <w:rPr>
          <w:snapToGrid w:val="0"/>
          <w:kern w:val="22"/>
          <w:szCs w:val="18"/>
          <w:lang w:val="fr-FR" w:eastAsia="fr-FR"/>
        </w:rPr>
      </w:pPr>
      <w:r>
        <w:rPr>
          <w:snapToGrid w:val="0"/>
          <w:kern w:val="22"/>
          <w:szCs w:val="18"/>
          <w:lang w:val="fr-FR" w:eastAsia="fr-FR"/>
        </w:rPr>
        <w:t>T</w:t>
      </w:r>
      <w:r w:rsidR="00D510E8" w:rsidRPr="00D510E8">
        <w:rPr>
          <w:snapToGrid w:val="0"/>
          <w:kern w:val="22"/>
          <w:szCs w:val="18"/>
          <w:lang w:val="fr-FR" w:eastAsia="fr-FR"/>
        </w:rPr>
        <w:t xml:space="preserve">ravailler en collaboration avec les coprésidents du Groupe de liaison et du Groupe de travail </w:t>
      </w:r>
      <w:r w:rsidR="00C30EB7">
        <w:rPr>
          <w:snapToGrid w:val="0"/>
          <w:kern w:val="22"/>
          <w:szCs w:val="18"/>
          <w:lang w:val="fr-FR" w:eastAsia="fr-FR"/>
        </w:rPr>
        <w:t>à composition non limitée afin</w:t>
      </w:r>
      <w:r w:rsidR="00D510E8" w:rsidRPr="00D510E8">
        <w:rPr>
          <w:snapToGrid w:val="0"/>
          <w:kern w:val="22"/>
          <w:szCs w:val="18"/>
          <w:lang w:val="fr-FR" w:eastAsia="fr-FR"/>
        </w:rPr>
        <w:t xml:space="preserve"> d'élaborer des calendriers complémentaires eu égard à la contribution des Parties au Protocole, sur les éléments pertinents concernant la prévention des risques biotechnologiques pour le cadre mondial de la</w:t>
      </w:r>
      <w:r>
        <w:rPr>
          <w:snapToGrid w:val="0"/>
          <w:kern w:val="22"/>
          <w:szCs w:val="18"/>
          <w:lang w:val="fr-FR" w:eastAsia="fr-FR"/>
        </w:rPr>
        <w:t xml:space="preserve"> biodiversité pour l'après-2020</w:t>
      </w:r>
      <w:r w:rsidR="00D510E8" w:rsidRPr="00D510E8">
        <w:rPr>
          <w:snapToGrid w:val="0"/>
          <w:kern w:val="22"/>
          <w:szCs w:val="18"/>
          <w:lang w:val="fr-FR" w:eastAsia="fr-FR"/>
        </w:rPr>
        <w:t>;</w:t>
      </w:r>
    </w:p>
    <w:p w14:paraId="05E3CA44" w14:textId="34583B70" w:rsidR="00D510E8" w:rsidRPr="00D510E8" w:rsidRDefault="004C4164" w:rsidP="00D510E8">
      <w:pPr>
        <w:numPr>
          <w:ilvl w:val="0"/>
          <w:numId w:val="20"/>
        </w:numPr>
        <w:spacing w:before="120" w:after="120"/>
        <w:ind w:left="0" w:firstLine="709"/>
        <w:rPr>
          <w:snapToGrid w:val="0"/>
          <w:kern w:val="22"/>
          <w:szCs w:val="18"/>
          <w:lang w:val="fr-FR" w:eastAsia="fr-FR"/>
        </w:rPr>
      </w:pPr>
      <w:r>
        <w:rPr>
          <w:snapToGrid w:val="0"/>
          <w:kern w:val="22"/>
          <w:szCs w:val="18"/>
          <w:lang w:val="fr-FR" w:eastAsia="fr-FR"/>
        </w:rPr>
        <w:t>O</w:t>
      </w:r>
      <w:r w:rsidR="00D510E8" w:rsidRPr="00D510E8">
        <w:rPr>
          <w:snapToGrid w:val="0"/>
          <w:kern w:val="22"/>
          <w:szCs w:val="18"/>
          <w:lang w:val="fr-FR" w:eastAsia="fr-FR"/>
        </w:rPr>
        <w:t>rganiser des séances spécifiques pour examiner les questions relatives à la prévention des risques biotechnologiques lors des ateliers de consultatio</w:t>
      </w:r>
      <w:r w:rsidR="00C30EB7">
        <w:rPr>
          <w:snapToGrid w:val="0"/>
          <w:kern w:val="22"/>
          <w:szCs w:val="18"/>
          <w:lang w:val="fr-FR" w:eastAsia="fr-FR"/>
        </w:rPr>
        <w:t>n mondiale et régionale mentionnés</w:t>
      </w:r>
      <w:r w:rsidR="002A3967">
        <w:rPr>
          <w:snapToGrid w:val="0"/>
          <w:kern w:val="22"/>
          <w:szCs w:val="18"/>
          <w:lang w:val="fr-FR" w:eastAsia="fr-FR"/>
        </w:rPr>
        <w:t xml:space="preserve"> dans la décision 14/34</w:t>
      </w:r>
      <w:r w:rsidR="00D510E8" w:rsidRPr="00D510E8">
        <w:rPr>
          <w:snapToGrid w:val="0"/>
          <w:kern w:val="22"/>
          <w:szCs w:val="18"/>
          <w:lang w:val="fr-FR" w:eastAsia="fr-FR"/>
        </w:rPr>
        <w:t>;</w:t>
      </w:r>
    </w:p>
    <w:p w14:paraId="0ED34954" w14:textId="71A11F65" w:rsidR="00D510E8" w:rsidRPr="00D510E8" w:rsidRDefault="00D510E8" w:rsidP="00D510E8">
      <w:pPr>
        <w:numPr>
          <w:ilvl w:val="0"/>
          <w:numId w:val="20"/>
        </w:numPr>
        <w:spacing w:before="120" w:after="120"/>
        <w:ind w:left="0" w:firstLine="709"/>
        <w:rPr>
          <w:snapToGrid w:val="0"/>
          <w:kern w:val="22"/>
          <w:szCs w:val="18"/>
          <w:lang w:val="fr-FR" w:eastAsia="fr-FR"/>
        </w:rPr>
      </w:pPr>
      <w:r w:rsidRPr="00D510E8">
        <w:rPr>
          <w:snapToGrid w:val="0"/>
          <w:kern w:val="22"/>
          <w:szCs w:val="18"/>
          <w:lang w:val="fr-FR" w:eastAsia="fr-FR"/>
        </w:rPr>
        <w:t>Faciliter la participation d’un nombre suffisant d’experts en matière de prévention des risques biotechnologiques, y compris ceux qui disposent d’une expertise concernant le Protocole additionnel de Nagoya – Kuala Lumpur sur la responsa</w:t>
      </w:r>
      <w:r w:rsidR="00C30EB7">
        <w:rPr>
          <w:snapToGrid w:val="0"/>
          <w:kern w:val="22"/>
          <w:szCs w:val="18"/>
          <w:lang w:val="fr-FR" w:eastAsia="fr-FR"/>
        </w:rPr>
        <w:t>bilité et la réparation, à</w:t>
      </w:r>
      <w:r w:rsidRPr="00D510E8">
        <w:rPr>
          <w:snapToGrid w:val="0"/>
          <w:kern w:val="22"/>
          <w:szCs w:val="18"/>
          <w:lang w:val="fr-FR" w:eastAsia="fr-FR"/>
        </w:rPr>
        <w:t xml:space="preserve"> l’élaboration du cadre mondial de la biodiversit</w:t>
      </w:r>
      <w:r w:rsidR="00C30EB7">
        <w:rPr>
          <w:snapToGrid w:val="0"/>
          <w:kern w:val="22"/>
          <w:szCs w:val="18"/>
          <w:lang w:val="fr-FR" w:eastAsia="fr-FR"/>
        </w:rPr>
        <w:t>é pour l’après-2020, y compris à</w:t>
      </w:r>
      <w:r w:rsidRPr="00D510E8">
        <w:rPr>
          <w:snapToGrid w:val="0"/>
          <w:kern w:val="22"/>
          <w:szCs w:val="18"/>
          <w:lang w:val="fr-FR" w:eastAsia="fr-FR"/>
        </w:rPr>
        <w:t xml:space="preserve"> des atel</w:t>
      </w:r>
      <w:r w:rsidR="00054127">
        <w:rPr>
          <w:snapToGrid w:val="0"/>
          <w:kern w:val="22"/>
          <w:szCs w:val="18"/>
          <w:lang w:val="fr-FR" w:eastAsia="fr-FR"/>
        </w:rPr>
        <w:t>iers de consultation pertinents</w:t>
      </w:r>
      <w:r w:rsidRPr="00D510E8">
        <w:rPr>
          <w:snapToGrid w:val="0"/>
          <w:kern w:val="22"/>
          <w:szCs w:val="18"/>
          <w:lang w:val="fr-FR" w:eastAsia="fr-FR"/>
        </w:rPr>
        <w:t>;</w:t>
      </w:r>
    </w:p>
    <w:p w14:paraId="5AB0DEF3" w14:textId="496F35BD" w:rsidR="00D510E8" w:rsidRPr="00D510E8" w:rsidRDefault="00D510E8" w:rsidP="00D510E8">
      <w:pPr>
        <w:numPr>
          <w:ilvl w:val="0"/>
          <w:numId w:val="20"/>
        </w:numPr>
        <w:spacing w:before="120" w:after="120"/>
        <w:ind w:left="0" w:firstLine="709"/>
        <w:rPr>
          <w:snapToGrid w:val="0"/>
          <w:kern w:val="22"/>
          <w:szCs w:val="18"/>
          <w:lang w:val="fr-FR" w:eastAsia="fr-FR"/>
        </w:rPr>
      </w:pPr>
      <w:r w:rsidRPr="00D510E8">
        <w:rPr>
          <w:snapToGrid w:val="0"/>
          <w:kern w:val="22"/>
          <w:szCs w:val="18"/>
          <w:lang w:val="fr-FR" w:eastAsia="fr-FR"/>
        </w:rPr>
        <w:t>C</w:t>
      </w:r>
      <w:r w:rsidR="002249AF">
        <w:rPr>
          <w:snapToGrid w:val="0"/>
          <w:kern w:val="22"/>
          <w:szCs w:val="18"/>
          <w:lang w:val="fr-FR" w:eastAsia="fr-FR"/>
        </w:rPr>
        <w:t>onsolider les communications trans</w:t>
      </w:r>
      <w:r w:rsidRPr="00D510E8">
        <w:rPr>
          <w:snapToGrid w:val="0"/>
          <w:kern w:val="22"/>
          <w:szCs w:val="18"/>
          <w:lang w:val="fr-FR" w:eastAsia="fr-FR"/>
        </w:rPr>
        <w:t>mises par les Parties, les autres gouvernements, les peuples autochtones et les communautés locales et les o</w:t>
      </w:r>
      <w:r w:rsidR="002A3967">
        <w:rPr>
          <w:snapToGrid w:val="0"/>
          <w:kern w:val="22"/>
          <w:szCs w:val="18"/>
          <w:lang w:val="fr-FR" w:eastAsia="fr-FR"/>
        </w:rPr>
        <w:t xml:space="preserve">rganisations compétentes, </w:t>
      </w:r>
      <w:r w:rsidR="0043592B">
        <w:rPr>
          <w:snapToGrid w:val="0"/>
          <w:kern w:val="22"/>
          <w:szCs w:val="18"/>
          <w:lang w:val="fr-FR" w:eastAsia="fr-FR"/>
        </w:rPr>
        <w:t>qui fournisse</w:t>
      </w:r>
      <w:r w:rsidR="002A3967">
        <w:rPr>
          <w:snapToGrid w:val="0"/>
          <w:kern w:val="22"/>
          <w:szCs w:val="18"/>
          <w:lang w:val="fr-FR" w:eastAsia="fr-FR"/>
        </w:rPr>
        <w:t>nt</w:t>
      </w:r>
      <w:r w:rsidRPr="00D510E8">
        <w:rPr>
          <w:snapToGrid w:val="0"/>
          <w:kern w:val="22"/>
          <w:szCs w:val="18"/>
          <w:lang w:val="fr-FR" w:eastAsia="fr-FR"/>
        </w:rPr>
        <w:t xml:space="preserve"> des points de vue sur i) la </w:t>
      </w:r>
      <w:r w:rsidR="00C30EB7">
        <w:rPr>
          <w:snapToGrid w:val="0"/>
          <w:kern w:val="22"/>
          <w:szCs w:val="18"/>
          <w:lang w:val="fr-FR" w:eastAsia="fr-FR"/>
        </w:rPr>
        <w:t>stru</w:t>
      </w:r>
      <w:r w:rsidR="0043592B">
        <w:rPr>
          <w:snapToGrid w:val="0"/>
          <w:kern w:val="22"/>
          <w:szCs w:val="18"/>
          <w:lang w:val="fr-FR" w:eastAsia="fr-FR"/>
        </w:rPr>
        <w:t>cture et le contenu du texte donnant</w:t>
      </w:r>
      <w:r w:rsidR="00C30EB7">
        <w:rPr>
          <w:snapToGrid w:val="0"/>
          <w:kern w:val="22"/>
          <w:szCs w:val="18"/>
          <w:lang w:val="fr-FR" w:eastAsia="fr-FR"/>
        </w:rPr>
        <w:t xml:space="preserve"> suite au Plan stratégique </w:t>
      </w:r>
      <w:r w:rsidRPr="00D510E8">
        <w:rPr>
          <w:snapToGrid w:val="0"/>
          <w:kern w:val="22"/>
          <w:szCs w:val="18"/>
          <w:lang w:val="fr-FR" w:eastAsia="fr-FR"/>
        </w:rPr>
        <w:t>du Protocole de Cartagena</w:t>
      </w:r>
      <w:r w:rsidR="0043592B">
        <w:rPr>
          <w:snapToGrid w:val="0"/>
          <w:kern w:val="22"/>
          <w:szCs w:val="18"/>
          <w:lang w:val="fr-FR" w:eastAsia="fr-FR"/>
        </w:rPr>
        <w:t xml:space="preserve"> pour la période 2011-2020</w:t>
      </w:r>
      <w:r w:rsidR="00C30EB7">
        <w:rPr>
          <w:snapToGrid w:val="0"/>
          <w:kern w:val="22"/>
          <w:szCs w:val="18"/>
          <w:lang w:val="fr-FR" w:eastAsia="fr-FR"/>
        </w:rPr>
        <w:t>, à savoir,</w:t>
      </w:r>
      <w:r w:rsidRPr="00D510E8">
        <w:rPr>
          <w:snapToGrid w:val="0"/>
          <w:kern w:val="22"/>
          <w:szCs w:val="18"/>
          <w:lang w:val="fr-FR" w:eastAsia="fr-FR"/>
        </w:rPr>
        <w:t xml:space="preserve"> </w:t>
      </w:r>
      <w:r w:rsidR="00C30EB7">
        <w:rPr>
          <w:snapToGrid w:val="0"/>
          <w:kern w:val="22"/>
          <w:szCs w:val="18"/>
          <w:lang w:val="fr-FR" w:eastAsia="fr-FR"/>
        </w:rPr>
        <w:t>le P</w:t>
      </w:r>
      <w:r w:rsidRPr="00D510E8">
        <w:rPr>
          <w:snapToGrid w:val="0"/>
          <w:kern w:val="22"/>
          <w:szCs w:val="18"/>
          <w:lang w:val="fr-FR" w:eastAsia="fr-FR"/>
        </w:rPr>
        <w:t>lan de mise en œuvre du Protocole de Cartagena pour l'après-2020, et</w:t>
      </w:r>
      <w:r w:rsidR="00054127">
        <w:rPr>
          <w:snapToGrid w:val="0"/>
          <w:kern w:val="22"/>
          <w:szCs w:val="18"/>
          <w:lang w:val="fr-FR" w:eastAsia="fr-FR"/>
        </w:rPr>
        <w:t> ii) les éléments pertinents concernant</w:t>
      </w:r>
      <w:r w:rsidRPr="00D510E8">
        <w:rPr>
          <w:snapToGrid w:val="0"/>
          <w:kern w:val="22"/>
          <w:szCs w:val="18"/>
          <w:lang w:val="fr-FR" w:eastAsia="fr-FR"/>
        </w:rPr>
        <w:t xml:space="preserve"> la prévention des r</w:t>
      </w:r>
      <w:r w:rsidR="00C30EB7">
        <w:rPr>
          <w:snapToGrid w:val="0"/>
          <w:kern w:val="22"/>
          <w:szCs w:val="18"/>
          <w:lang w:val="fr-FR" w:eastAsia="fr-FR"/>
        </w:rPr>
        <w:t>isques biotechnologiques dans le</w:t>
      </w:r>
      <w:r w:rsidRPr="00D510E8">
        <w:rPr>
          <w:snapToGrid w:val="0"/>
          <w:kern w:val="22"/>
          <w:szCs w:val="18"/>
          <w:lang w:val="fr-FR" w:eastAsia="fr-FR"/>
        </w:rPr>
        <w:t xml:space="preserve"> cadre mondial de la</w:t>
      </w:r>
      <w:r w:rsidR="00054127">
        <w:rPr>
          <w:snapToGrid w:val="0"/>
          <w:kern w:val="22"/>
          <w:szCs w:val="18"/>
          <w:lang w:val="fr-FR" w:eastAsia="fr-FR"/>
        </w:rPr>
        <w:t xml:space="preserve"> biodiversité pour l'après-2020</w:t>
      </w:r>
      <w:r w:rsidRPr="00D510E8">
        <w:rPr>
          <w:snapToGrid w:val="0"/>
          <w:kern w:val="22"/>
          <w:szCs w:val="18"/>
          <w:lang w:val="fr-FR" w:eastAsia="fr-FR"/>
        </w:rPr>
        <w:t>;</w:t>
      </w:r>
    </w:p>
    <w:p w14:paraId="4E65FC66" w14:textId="14ED6802" w:rsidR="00D510E8" w:rsidRPr="00D510E8" w:rsidRDefault="00D510E8" w:rsidP="00D510E8">
      <w:pPr>
        <w:numPr>
          <w:ilvl w:val="0"/>
          <w:numId w:val="20"/>
        </w:numPr>
        <w:spacing w:before="120" w:after="120"/>
        <w:ind w:left="0" w:firstLine="709"/>
        <w:rPr>
          <w:snapToGrid w:val="0"/>
          <w:kern w:val="22"/>
          <w:szCs w:val="18"/>
          <w:lang w:val="fr-FR" w:eastAsia="fr-FR"/>
        </w:rPr>
      </w:pPr>
      <w:r w:rsidRPr="00D510E8">
        <w:rPr>
          <w:snapToGrid w:val="0"/>
          <w:kern w:val="22"/>
          <w:szCs w:val="18"/>
          <w:lang w:val="fr-FR" w:eastAsia="fr-FR"/>
        </w:rPr>
        <w:t>Organiser des débats en ligne du Groupe de liaison, selon qu'il convient, pour examiner les communications mentionnées au paragraphe </w:t>
      </w:r>
      <w:r w:rsidR="0043592B">
        <w:rPr>
          <w:snapToGrid w:val="0"/>
          <w:kern w:val="22"/>
          <w:szCs w:val="18"/>
          <w:lang w:val="fr-FR" w:eastAsia="fr-FR"/>
        </w:rPr>
        <w:t xml:space="preserve">9 </w:t>
      </w:r>
      <w:r w:rsidRPr="00D510E8">
        <w:rPr>
          <w:snapToGrid w:val="0"/>
          <w:kern w:val="22"/>
          <w:szCs w:val="18"/>
          <w:lang w:val="fr-FR" w:eastAsia="fr-FR"/>
        </w:rPr>
        <w:t>e) ii) ci-dessus</w:t>
      </w:r>
      <w:r w:rsidR="00C30EB7">
        <w:rPr>
          <w:snapToGrid w:val="0"/>
          <w:kern w:val="22"/>
          <w:szCs w:val="18"/>
          <w:lang w:val="fr-FR" w:eastAsia="fr-FR"/>
        </w:rPr>
        <w:t xml:space="preserve">, afin de </w:t>
      </w:r>
      <w:r w:rsidRPr="00D510E8">
        <w:rPr>
          <w:snapToGrid w:val="0"/>
          <w:kern w:val="22"/>
          <w:szCs w:val="18"/>
          <w:lang w:val="fr-FR" w:eastAsia="fr-FR"/>
        </w:rPr>
        <w:t>contribuer à l'élabora</w:t>
      </w:r>
      <w:r w:rsidR="00054127">
        <w:rPr>
          <w:snapToGrid w:val="0"/>
          <w:kern w:val="22"/>
          <w:szCs w:val="18"/>
          <w:lang w:val="fr-FR" w:eastAsia="fr-FR"/>
        </w:rPr>
        <w:t>tion des éléments pertinents concernant</w:t>
      </w:r>
      <w:r w:rsidRPr="00D510E8">
        <w:rPr>
          <w:snapToGrid w:val="0"/>
          <w:kern w:val="22"/>
          <w:szCs w:val="18"/>
          <w:lang w:val="fr-FR" w:eastAsia="fr-FR"/>
        </w:rPr>
        <w:t xml:space="preserve"> la prévention des risques biotechnologiques dans le cadre mondial de la biod</w:t>
      </w:r>
      <w:r w:rsidR="00054127">
        <w:rPr>
          <w:snapToGrid w:val="0"/>
          <w:kern w:val="22"/>
          <w:szCs w:val="18"/>
          <w:lang w:val="fr-FR" w:eastAsia="fr-FR"/>
        </w:rPr>
        <w:t>iversité pour l'après-2020</w:t>
      </w:r>
      <w:r w:rsidRPr="00D510E8">
        <w:rPr>
          <w:snapToGrid w:val="0"/>
          <w:kern w:val="22"/>
          <w:szCs w:val="18"/>
          <w:lang w:val="fr-FR" w:eastAsia="fr-FR"/>
        </w:rPr>
        <w:t xml:space="preserve">; </w:t>
      </w:r>
    </w:p>
    <w:p w14:paraId="3990B304" w14:textId="28192EC8" w:rsidR="00D510E8" w:rsidRPr="00D510E8" w:rsidRDefault="002249AF" w:rsidP="00D510E8">
      <w:pPr>
        <w:numPr>
          <w:ilvl w:val="0"/>
          <w:numId w:val="20"/>
        </w:numPr>
        <w:spacing w:before="120" w:after="120"/>
        <w:ind w:left="0" w:firstLine="709"/>
        <w:rPr>
          <w:snapToGrid w:val="0"/>
          <w:kern w:val="22"/>
          <w:szCs w:val="18"/>
          <w:lang w:val="fr-FR" w:eastAsia="fr-FR"/>
        </w:rPr>
      </w:pPr>
      <w:r>
        <w:rPr>
          <w:snapToGrid w:val="0"/>
          <w:kern w:val="22"/>
          <w:szCs w:val="18"/>
          <w:lang w:val="fr-FR" w:eastAsia="fr-FR"/>
        </w:rPr>
        <w:t>Élaborer un projet de Plan de mise en œuvre du</w:t>
      </w:r>
      <w:r w:rsidR="00D510E8" w:rsidRPr="00D510E8">
        <w:rPr>
          <w:snapToGrid w:val="0"/>
          <w:kern w:val="22"/>
          <w:szCs w:val="18"/>
          <w:lang w:val="fr-FR" w:eastAsia="fr-FR"/>
        </w:rPr>
        <w:t xml:space="preserve"> Protocole de Cartagena sur la prévention des risques biotechnologiques pour l'après-2020</w:t>
      </w:r>
      <w:r w:rsidR="00C30EB7">
        <w:rPr>
          <w:snapToGrid w:val="0"/>
          <w:kern w:val="22"/>
          <w:szCs w:val="18"/>
          <w:lang w:val="fr-FR" w:eastAsia="fr-FR"/>
        </w:rPr>
        <w:t>,</w:t>
      </w:r>
      <w:r w:rsidR="00D510E8" w:rsidRPr="00D510E8">
        <w:rPr>
          <w:snapToGrid w:val="0"/>
          <w:kern w:val="22"/>
          <w:szCs w:val="18"/>
          <w:lang w:val="fr-FR" w:eastAsia="fr-FR"/>
        </w:rPr>
        <w:t xml:space="preserve"> sur </w:t>
      </w:r>
      <w:r>
        <w:rPr>
          <w:snapToGrid w:val="0"/>
          <w:kern w:val="22"/>
          <w:szCs w:val="18"/>
          <w:lang w:val="fr-FR" w:eastAsia="fr-FR"/>
        </w:rPr>
        <w:t xml:space="preserve">la </w:t>
      </w:r>
      <w:r w:rsidR="002A3967">
        <w:rPr>
          <w:snapToGrid w:val="0"/>
          <w:kern w:val="22"/>
          <w:szCs w:val="18"/>
          <w:lang w:val="fr-FR" w:eastAsia="fr-FR"/>
        </w:rPr>
        <w:t>base des communications mentionnées</w:t>
      </w:r>
      <w:r w:rsidR="00D510E8" w:rsidRPr="00D510E8">
        <w:rPr>
          <w:snapToGrid w:val="0"/>
          <w:kern w:val="22"/>
          <w:szCs w:val="18"/>
          <w:lang w:val="fr-FR" w:eastAsia="fr-FR"/>
        </w:rPr>
        <w:t xml:space="preserve"> au paragraphe</w:t>
      </w:r>
      <w:r w:rsidR="0043592B">
        <w:rPr>
          <w:snapToGrid w:val="0"/>
          <w:kern w:val="22"/>
          <w:szCs w:val="18"/>
          <w:lang w:val="fr-FR" w:eastAsia="fr-FR"/>
        </w:rPr>
        <w:t> 9</w:t>
      </w:r>
      <w:r w:rsidR="00054127">
        <w:rPr>
          <w:snapToGrid w:val="0"/>
          <w:kern w:val="22"/>
          <w:szCs w:val="18"/>
          <w:lang w:val="fr-FR" w:eastAsia="fr-FR"/>
        </w:rPr>
        <w:t> e) i) ci-dessus</w:t>
      </w:r>
      <w:r w:rsidR="00D510E8" w:rsidRPr="00D510E8">
        <w:rPr>
          <w:snapToGrid w:val="0"/>
          <w:kern w:val="22"/>
          <w:szCs w:val="18"/>
          <w:lang w:val="fr-FR" w:eastAsia="fr-FR"/>
        </w:rPr>
        <w:t>;</w:t>
      </w:r>
    </w:p>
    <w:p w14:paraId="7F3071BF" w14:textId="3692E478" w:rsidR="00D510E8" w:rsidRPr="00D510E8" w:rsidRDefault="00D510E8" w:rsidP="00D510E8">
      <w:pPr>
        <w:numPr>
          <w:ilvl w:val="0"/>
          <w:numId w:val="20"/>
        </w:numPr>
        <w:spacing w:before="120" w:after="120"/>
        <w:ind w:left="0" w:firstLine="709"/>
        <w:rPr>
          <w:snapToGrid w:val="0"/>
          <w:kern w:val="22"/>
          <w:szCs w:val="18"/>
          <w:lang w:val="fr-FR" w:eastAsia="fr-FR"/>
        </w:rPr>
      </w:pPr>
      <w:r w:rsidRPr="00D510E8">
        <w:rPr>
          <w:snapToGrid w:val="0"/>
          <w:kern w:val="22"/>
          <w:szCs w:val="18"/>
          <w:lang w:val="fr-FR" w:eastAsia="fr-FR"/>
        </w:rPr>
        <w:lastRenderedPageBreak/>
        <w:t>Orga</w:t>
      </w:r>
      <w:r w:rsidR="00C30EB7">
        <w:rPr>
          <w:snapToGrid w:val="0"/>
          <w:kern w:val="22"/>
          <w:szCs w:val="18"/>
          <w:lang w:val="fr-FR" w:eastAsia="fr-FR"/>
        </w:rPr>
        <w:t>niser des débats en ligne à composition non limitée</w:t>
      </w:r>
      <w:r w:rsidRPr="00D510E8">
        <w:rPr>
          <w:snapToGrid w:val="0"/>
          <w:kern w:val="22"/>
          <w:szCs w:val="18"/>
          <w:lang w:val="fr-FR" w:eastAsia="fr-FR"/>
        </w:rPr>
        <w:t xml:space="preserve"> entre les Parties et </w:t>
      </w:r>
      <w:r w:rsidR="00C30EB7">
        <w:rPr>
          <w:snapToGrid w:val="0"/>
          <w:kern w:val="22"/>
          <w:szCs w:val="18"/>
          <w:lang w:val="fr-FR" w:eastAsia="fr-FR"/>
        </w:rPr>
        <w:t xml:space="preserve">les </w:t>
      </w:r>
      <w:r w:rsidRPr="00D510E8">
        <w:rPr>
          <w:snapToGrid w:val="0"/>
          <w:kern w:val="22"/>
          <w:szCs w:val="18"/>
          <w:lang w:val="fr-FR" w:eastAsia="fr-FR"/>
        </w:rPr>
        <w:t>autres part</w:t>
      </w:r>
      <w:r w:rsidR="002249AF">
        <w:rPr>
          <w:snapToGrid w:val="0"/>
          <w:kern w:val="22"/>
          <w:szCs w:val="18"/>
          <w:lang w:val="fr-FR" w:eastAsia="fr-FR"/>
        </w:rPr>
        <w:t>ies prenantes sur le projet de P</w:t>
      </w:r>
      <w:r w:rsidRPr="00D510E8">
        <w:rPr>
          <w:snapToGrid w:val="0"/>
          <w:kern w:val="22"/>
          <w:szCs w:val="18"/>
          <w:lang w:val="fr-FR" w:eastAsia="fr-FR"/>
        </w:rPr>
        <w:t>lan de mise en œuvre du Protocole de Cartagena sur la prévention des risques biotechnologiques pour l'après-2020 mentionné au paragraphe </w:t>
      </w:r>
      <w:r w:rsidR="0043592B">
        <w:rPr>
          <w:snapToGrid w:val="0"/>
          <w:kern w:val="22"/>
          <w:szCs w:val="18"/>
          <w:lang w:val="fr-FR" w:eastAsia="fr-FR"/>
        </w:rPr>
        <w:t xml:space="preserve">9 </w:t>
      </w:r>
      <w:r w:rsidRPr="00D510E8">
        <w:rPr>
          <w:snapToGrid w:val="0"/>
          <w:kern w:val="22"/>
          <w:szCs w:val="18"/>
          <w:lang w:val="fr-FR" w:eastAsia="fr-FR"/>
        </w:rPr>
        <w:t>g) ci</w:t>
      </w:r>
      <w:r w:rsidR="00054127">
        <w:rPr>
          <w:snapToGrid w:val="0"/>
          <w:kern w:val="22"/>
          <w:szCs w:val="18"/>
          <w:lang w:val="fr-FR" w:eastAsia="fr-FR"/>
        </w:rPr>
        <w:t>-dessus</w:t>
      </w:r>
      <w:r w:rsidRPr="00D510E8">
        <w:rPr>
          <w:snapToGrid w:val="0"/>
          <w:kern w:val="22"/>
          <w:szCs w:val="18"/>
          <w:lang w:val="fr-FR" w:eastAsia="fr-FR"/>
        </w:rPr>
        <w:t>;</w:t>
      </w:r>
    </w:p>
    <w:p w14:paraId="0088AFAA" w14:textId="4F6EA107" w:rsidR="00D510E8" w:rsidRPr="00D510E8" w:rsidRDefault="00D510E8" w:rsidP="00D510E8">
      <w:pPr>
        <w:numPr>
          <w:ilvl w:val="0"/>
          <w:numId w:val="20"/>
        </w:numPr>
        <w:spacing w:before="120" w:after="120"/>
        <w:ind w:left="0" w:firstLine="709"/>
        <w:rPr>
          <w:snapToGrid w:val="0"/>
          <w:kern w:val="22"/>
          <w:szCs w:val="18"/>
          <w:lang w:val="fr-FR" w:eastAsia="fr-FR"/>
        </w:rPr>
      </w:pPr>
      <w:r w:rsidRPr="00D510E8">
        <w:rPr>
          <w:snapToGrid w:val="0"/>
          <w:kern w:val="22"/>
          <w:szCs w:val="18"/>
          <w:lang w:val="fr-FR" w:eastAsia="fr-FR"/>
        </w:rPr>
        <w:t>Convoquer une réunion fa</w:t>
      </w:r>
      <w:r w:rsidR="002249AF">
        <w:rPr>
          <w:snapToGrid w:val="0"/>
          <w:kern w:val="22"/>
          <w:szCs w:val="18"/>
          <w:lang w:val="fr-FR" w:eastAsia="fr-FR"/>
        </w:rPr>
        <w:t>ce à face du Groupe de liaison</w:t>
      </w:r>
      <w:r w:rsidR="00C30EB7">
        <w:rPr>
          <w:snapToGrid w:val="0"/>
          <w:kern w:val="22"/>
          <w:szCs w:val="18"/>
          <w:lang w:val="fr-FR" w:eastAsia="fr-FR"/>
        </w:rPr>
        <w:t>, qui se tiendra</w:t>
      </w:r>
      <w:r w:rsidRPr="00D510E8">
        <w:rPr>
          <w:snapToGrid w:val="0"/>
          <w:kern w:val="22"/>
          <w:szCs w:val="18"/>
          <w:lang w:val="fr-FR" w:eastAsia="fr-FR"/>
        </w:rPr>
        <w:t xml:space="preserve"> en 2019, p</w:t>
      </w:r>
      <w:r w:rsidR="0043210D">
        <w:rPr>
          <w:snapToGrid w:val="0"/>
          <w:kern w:val="22"/>
          <w:szCs w:val="18"/>
          <w:lang w:val="fr-FR" w:eastAsia="fr-FR"/>
        </w:rPr>
        <w:t>our i) élaborer un projet d'élém</w:t>
      </w:r>
      <w:r w:rsidRPr="00D510E8">
        <w:rPr>
          <w:snapToGrid w:val="0"/>
          <w:kern w:val="22"/>
          <w:szCs w:val="18"/>
          <w:lang w:val="fr-FR" w:eastAsia="fr-FR"/>
        </w:rPr>
        <w:t>ent</w:t>
      </w:r>
      <w:r w:rsidR="00054127">
        <w:rPr>
          <w:snapToGrid w:val="0"/>
          <w:kern w:val="22"/>
          <w:szCs w:val="18"/>
          <w:lang w:val="fr-FR" w:eastAsia="fr-FR"/>
        </w:rPr>
        <w:t>s</w:t>
      </w:r>
      <w:r w:rsidRPr="00D510E8">
        <w:rPr>
          <w:snapToGrid w:val="0"/>
          <w:kern w:val="22"/>
          <w:szCs w:val="18"/>
          <w:lang w:val="fr-FR" w:eastAsia="fr-FR"/>
        </w:rPr>
        <w:t xml:space="preserve"> sur la prévention des risques biotechnologiques dans le cadre mondial de la biodiversité pour l'après-2020 concernant les questions relatives au Protocole de Cartagena</w:t>
      </w:r>
      <w:r w:rsidR="002249AF">
        <w:rPr>
          <w:snapToGrid w:val="0"/>
          <w:kern w:val="22"/>
          <w:szCs w:val="18"/>
          <w:lang w:val="fr-FR" w:eastAsia="fr-FR"/>
        </w:rPr>
        <w:t>, et ii) examiner le projet de P</w:t>
      </w:r>
      <w:r w:rsidRPr="00D510E8">
        <w:rPr>
          <w:snapToGrid w:val="0"/>
          <w:kern w:val="22"/>
          <w:szCs w:val="18"/>
          <w:lang w:val="fr-FR" w:eastAsia="fr-FR"/>
        </w:rPr>
        <w:t>lan de mise en œuvre du Protocole de Cartagena sur la prévention des risques biotechnologiques pour l'après-2020 mentionné au paragraphe </w:t>
      </w:r>
      <w:r w:rsidR="0043592B">
        <w:rPr>
          <w:snapToGrid w:val="0"/>
          <w:kern w:val="22"/>
          <w:szCs w:val="18"/>
          <w:lang w:val="fr-FR" w:eastAsia="fr-FR"/>
        </w:rPr>
        <w:t xml:space="preserve">9 </w:t>
      </w:r>
      <w:r w:rsidR="00054127">
        <w:rPr>
          <w:snapToGrid w:val="0"/>
          <w:kern w:val="22"/>
          <w:szCs w:val="18"/>
          <w:lang w:val="fr-FR" w:eastAsia="fr-FR"/>
        </w:rPr>
        <w:t>g) ci-dessus</w:t>
      </w:r>
      <w:r w:rsidRPr="00D510E8">
        <w:rPr>
          <w:snapToGrid w:val="0"/>
          <w:kern w:val="22"/>
          <w:szCs w:val="18"/>
          <w:lang w:val="fr-FR" w:eastAsia="fr-FR"/>
        </w:rPr>
        <w:t>;</w:t>
      </w:r>
    </w:p>
    <w:p w14:paraId="16C7C93A" w14:textId="2C322DD0" w:rsidR="00D510E8" w:rsidRPr="00D510E8" w:rsidRDefault="00D510E8" w:rsidP="00D510E8">
      <w:pPr>
        <w:numPr>
          <w:ilvl w:val="0"/>
          <w:numId w:val="20"/>
        </w:numPr>
        <w:spacing w:before="120" w:after="120"/>
        <w:ind w:left="0" w:firstLine="709"/>
        <w:rPr>
          <w:snapToGrid w:val="0"/>
          <w:kern w:val="22"/>
          <w:szCs w:val="18"/>
          <w:lang w:val="fr-FR" w:eastAsia="fr-FR"/>
        </w:rPr>
      </w:pPr>
      <w:r w:rsidRPr="00D510E8">
        <w:rPr>
          <w:snapToGrid w:val="0"/>
          <w:kern w:val="22"/>
          <w:szCs w:val="18"/>
          <w:lang w:val="fr-FR" w:eastAsia="fr-FR"/>
        </w:rPr>
        <w:t>Organ</w:t>
      </w:r>
      <w:r w:rsidR="0043210D">
        <w:rPr>
          <w:snapToGrid w:val="0"/>
          <w:kern w:val="22"/>
          <w:szCs w:val="18"/>
          <w:lang w:val="fr-FR" w:eastAsia="fr-FR"/>
        </w:rPr>
        <w:t xml:space="preserve">iser </w:t>
      </w:r>
      <w:r w:rsidR="00054127">
        <w:rPr>
          <w:snapToGrid w:val="0"/>
          <w:kern w:val="22"/>
          <w:szCs w:val="18"/>
          <w:lang w:val="fr-FR" w:eastAsia="fr-FR"/>
        </w:rPr>
        <w:t xml:space="preserve">un examen critique par des pairs </w:t>
      </w:r>
      <w:r w:rsidR="00C30EB7">
        <w:rPr>
          <w:snapToGrid w:val="0"/>
          <w:kern w:val="22"/>
          <w:szCs w:val="18"/>
          <w:lang w:val="fr-FR" w:eastAsia="fr-FR"/>
        </w:rPr>
        <w:t>effectué par les</w:t>
      </w:r>
      <w:r w:rsidRPr="00D510E8">
        <w:rPr>
          <w:snapToGrid w:val="0"/>
          <w:kern w:val="22"/>
          <w:szCs w:val="18"/>
          <w:lang w:val="fr-FR" w:eastAsia="fr-FR"/>
        </w:rPr>
        <w:t xml:space="preserve"> Parties au Proto</w:t>
      </w:r>
      <w:r w:rsidR="002249AF">
        <w:rPr>
          <w:snapToGrid w:val="0"/>
          <w:kern w:val="22"/>
          <w:szCs w:val="18"/>
          <w:lang w:val="fr-FR" w:eastAsia="fr-FR"/>
        </w:rPr>
        <w:t>cole de Cartagena du projet de P</w:t>
      </w:r>
      <w:r w:rsidRPr="00D510E8">
        <w:rPr>
          <w:snapToGrid w:val="0"/>
          <w:kern w:val="22"/>
          <w:szCs w:val="18"/>
          <w:lang w:val="fr-FR" w:eastAsia="fr-FR"/>
        </w:rPr>
        <w:t>lan de mise en œuvre du Protocole de Cartagena sur la prévention des risques biot</w:t>
      </w:r>
      <w:r w:rsidR="00054127">
        <w:rPr>
          <w:snapToGrid w:val="0"/>
          <w:kern w:val="22"/>
          <w:szCs w:val="18"/>
          <w:lang w:val="fr-FR" w:eastAsia="fr-FR"/>
        </w:rPr>
        <w:t>echnologiques pour l'après-2020</w:t>
      </w:r>
      <w:r w:rsidRPr="00D510E8">
        <w:rPr>
          <w:snapToGrid w:val="0"/>
          <w:kern w:val="22"/>
          <w:szCs w:val="18"/>
          <w:lang w:val="fr-FR" w:eastAsia="fr-FR"/>
        </w:rPr>
        <w:t>;</w:t>
      </w:r>
    </w:p>
    <w:p w14:paraId="097F7FF4" w14:textId="34EE3C68" w:rsidR="00D510E8" w:rsidRPr="00D510E8" w:rsidRDefault="002249AF" w:rsidP="00D510E8">
      <w:pPr>
        <w:numPr>
          <w:ilvl w:val="0"/>
          <w:numId w:val="20"/>
        </w:numPr>
        <w:spacing w:before="120" w:after="120"/>
        <w:ind w:left="0" w:firstLine="709"/>
        <w:rPr>
          <w:snapToGrid w:val="0"/>
          <w:kern w:val="22"/>
          <w:szCs w:val="18"/>
          <w:lang w:val="fr-FR" w:eastAsia="fr-FR"/>
        </w:rPr>
      </w:pPr>
      <w:r>
        <w:rPr>
          <w:snapToGrid w:val="0"/>
          <w:kern w:val="22"/>
          <w:szCs w:val="18"/>
          <w:lang w:val="fr-FR" w:eastAsia="fr-FR"/>
        </w:rPr>
        <w:t>Remettre le projet final du P</w:t>
      </w:r>
      <w:r w:rsidR="00D510E8" w:rsidRPr="00D510E8">
        <w:rPr>
          <w:snapToGrid w:val="0"/>
          <w:kern w:val="22"/>
          <w:szCs w:val="18"/>
          <w:lang w:val="fr-FR" w:eastAsia="fr-FR"/>
        </w:rPr>
        <w:t>lan de mise en œuvre du Protocole de Cartagena sur la prévention des risques biotechnologiques pour l'après-2020</w:t>
      </w:r>
      <w:r>
        <w:rPr>
          <w:snapToGrid w:val="0"/>
          <w:kern w:val="22"/>
          <w:szCs w:val="18"/>
          <w:lang w:val="fr-FR" w:eastAsia="fr-FR"/>
        </w:rPr>
        <w:t>,</w:t>
      </w:r>
      <w:r w:rsidR="00054127">
        <w:rPr>
          <w:snapToGrid w:val="0"/>
          <w:kern w:val="22"/>
          <w:szCs w:val="18"/>
          <w:lang w:val="fr-FR" w:eastAsia="fr-FR"/>
        </w:rPr>
        <w:t xml:space="preserve"> aux fins d’</w:t>
      </w:r>
      <w:r w:rsidR="00D510E8" w:rsidRPr="00D510E8">
        <w:rPr>
          <w:snapToGrid w:val="0"/>
          <w:kern w:val="22"/>
          <w:szCs w:val="18"/>
          <w:lang w:val="fr-FR" w:eastAsia="fr-FR"/>
        </w:rPr>
        <w:t>examen par l'Organe subsidiaire chargé de l'app</w:t>
      </w:r>
      <w:r w:rsidR="00054127">
        <w:rPr>
          <w:snapToGrid w:val="0"/>
          <w:kern w:val="22"/>
          <w:szCs w:val="18"/>
          <w:lang w:val="fr-FR" w:eastAsia="fr-FR"/>
        </w:rPr>
        <w:t>lication à sa troisième réunion</w:t>
      </w:r>
      <w:r w:rsidR="00D510E8" w:rsidRPr="00D510E8">
        <w:rPr>
          <w:snapToGrid w:val="0"/>
          <w:kern w:val="22"/>
          <w:szCs w:val="18"/>
          <w:lang w:val="fr-FR" w:eastAsia="fr-FR"/>
        </w:rPr>
        <w:t>;</w:t>
      </w:r>
    </w:p>
    <w:p w14:paraId="06E73771" w14:textId="2EABB779" w:rsidR="000421C0" w:rsidRDefault="00D510E8" w:rsidP="002249AF">
      <w:pPr>
        <w:tabs>
          <w:tab w:val="left" w:pos="1418"/>
        </w:tabs>
        <w:snapToGrid w:val="0"/>
        <w:spacing w:before="120" w:after="120"/>
        <w:ind w:firstLine="709"/>
        <w:rPr>
          <w:kern w:val="22"/>
          <w:szCs w:val="18"/>
          <w:lang w:val="fr-FR" w:eastAsia="fr-FR"/>
        </w:rPr>
      </w:pPr>
      <w:r w:rsidRPr="00D510E8">
        <w:rPr>
          <w:kern w:val="22"/>
          <w:szCs w:val="18"/>
          <w:lang w:val="fr-FR" w:eastAsia="fr-FR"/>
        </w:rPr>
        <w:t>10.</w:t>
      </w:r>
      <w:r w:rsidRPr="00D510E8">
        <w:rPr>
          <w:i/>
          <w:kern w:val="22"/>
          <w:szCs w:val="18"/>
          <w:lang w:val="fr-FR" w:eastAsia="fr-FR"/>
        </w:rPr>
        <w:t xml:space="preserve"> </w:t>
      </w:r>
      <w:r w:rsidRPr="00D510E8">
        <w:rPr>
          <w:i/>
          <w:kern w:val="22"/>
          <w:szCs w:val="18"/>
          <w:lang w:val="fr-FR" w:eastAsia="fr-FR"/>
        </w:rPr>
        <w:tab/>
        <w:t xml:space="preserve">Prie </w:t>
      </w:r>
      <w:r w:rsidRPr="00D510E8">
        <w:rPr>
          <w:kern w:val="22"/>
          <w:szCs w:val="18"/>
          <w:lang w:val="fr-FR" w:eastAsia="fr-FR"/>
        </w:rPr>
        <w:t>l'Organe subsidiaire chargé de l'application</w:t>
      </w:r>
      <w:r w:rsidR="00C30EB7">
        <w:rPr>
          <w:kern w:val="22"/>
          <w:szCs w:val="18"/>
          <w:lang w:val="fr-FR" w:eastAsia="fr-FR"/>
        </w:rPr>
        <w:t>,</w:t>
      </w:r>
      <w:r w:rsidRPr="00D510E8">
        <w:rPr>
          <w:kern w:val="22"/>
          <w:szCs w:val="18"/>
          <w:lang w:val="fr-FR" w:eastAsia="fr-FR"/>
        </w:rPr>
        <w:t xml:space="preserve"> à sa troisième r</w:t>
      </w:r>
      <w:r w:rsidR="002249AF">
        <w:rPr>
          <w:kern w:val="22"/>
          <w:szCs w:val="18"/>
          <w:lang w:val="fr-FR" w:eastAsia="fr-FR"/>
        </w:rPr>
        <w:t>éunion</w:t>
      </w:r>
      <w:r w:rsidR="00C30EB7">
        <w:rPr>
          <w:kern w:val="22"/>
          <w:szCs w:val="18"/>
          <w:lang w:val="fr-FR" w:eastAsia="fr-FR"/>
        </w:rPr>
        <w:t>,</w:t>
      </w:r>
      <w:r w:rsidR="002249AF">
        <w:rPr>
          <w:kern w:val="22"/>
          <w:szCs w:val="18"/>
          <w:lang w:val="fr-FR" w:eastAsia="fr-FR"/>
        </w:rPr>
        <w:t xml:space="preserve"> d'examiner u</w:t>
      </w:r>
      <w:r w:rsidR="00054127">
        <w:rPr>
          <w:kern w:val="22"/>
          <w:szCs w:val="18"/>
          <w:lang w:val="fr-FR" w:eastAsia="fr-FR"/>
        </w:rPr>
        <w:t xml:space="preserve">n </w:t>
      </w:r>
      <w:r w:rsidR="002249AF">
        <w:rPr>
          <w:kern w:val="22"/>
          <w:szCs w:val="18"/>
          <w:lang w:val="fr-FR" w:eastAsia="fr-FR"/>
        </w:rPr>
        <w:t>projet de P</w:t>
      </w:r>
      <w:r w:rsidRPr="00D510E8">
        <w:rPr>
          <w:kern w:val="22"/>
          <w:szCs w:val="18"/>
          <w:lang w:val="fr-FR" w:eastAsia="fr-FR"/>
        </w:rPr>
        <w:t>lan de mise en œuvre du Protocole de Cartagena sur la prévention des risques biotechnologiques</w:t>
      </w:r>
      <w:r w:rsidR="00054127">
        <w:rPr>
          <w:kern w:val="22"/>
          <w:szCs w:val="18"/>
          <w:lang w:val="fr-FR" w:eastAsia="fr-FR"/>
        </w:rPr>
        <w:t xml:space="preserve"> pour l'après-2020, et de formuler une recommandation pour </w:t>
      </w:r>
      <w:r w:rsidRPr="00D510E8">
        <w:rPr>
          <w:kern w:val="22"/>
          <w:szCs w:val="18"/>
          <w:lang w:val="fr-FR" w:eastAsia="fr-FR"/>
        </w:rPr>
        <w:t>examen par la Conférence des Parties siégeant en tant que ré</w:t>
      </w:r>
      <w:r w:rsidR="0060602B">
        <w:rPr>
          <w:kern w:val="22"/>
          <w:szCs w:val="18"/>
          <w:lang w:val="fr-FR" w:eastAsia="fr-FR"/>
        </w:rPr>
        <w:t>union des Parties au Protocole d</w:t>
      </w:r>
      <w:r w:rsidRPr="00D510E8">
        <w:rPr>
          <w:kern w:val="22"/>
          <w:szCs w:val="18"/>
          <w:lang w:val="fr-FR" w:eastAsia="fr-FR"/>
        </w:rPr>
        <w:t>e Cartagena à sa dixième réunion.</w:t>
      </w:r>
    </w:p>
    <w:p w14:paraId="39F8E843" w14:textId="77777777" w:rsidR="000421C0" w:rsidRPr="00D510E8" w:rsidRDefault="000421C0" w:rsidP="00D510E8">
      <w:pPr>
        <w:tabs>
          <w:tab w:val="left" w:pos="1418"/>
        </w:tabs>
        <w:snapToGrid w:val="0"/>
        <w:spacing w:before="120" w:after="120"/>
        <w:ind w:firstLine="709"/>
        <w:rPr>
          <w:kern w:val="22"/>
          <w:szCs w:val="18"/>
          <w:lang w:val="fr-FR" w:eastAsia="fr-FR"/>
        </w:rPr>
      </w:pPr>
    </w:p>
    <w:p w14:paraId="2535B141" w14:textId="77777777" w:rsidR="00D510E8" w:rsidRPr="00D510E8" w:rsidRDefault="00D510E8" w:rsidP="00D510E8">
      <w:pPr>
        <w:tabs>
          <w:tab w:val="left" w:pos="1418"/>
        </w:tabs>
        <w:spacing w:before="120" w:after="120"/>
        <w:jc w:val="center"/>
        <w:rPr>
          <w:i/>
          <w:kern w:val="22"/>
          <w:szCs w:val="18"/>
          <w:lang w:val="fr-FR" w:eastAsia="fr-FR"/>
        </w:rPr>
      </w:pPr>
      <w:r w:rsidRPr="00D510E8">
        <w:rPr>
          <w:i/>
          <w:kern w:val="22"/>
          <w:szCs w:val="18"/>
          <w:lang w:val="fr-FR" w:eastAsia="fr-FR"/>
        </w:rPr>
        <w:t>Annexe</w:t>
      </w:r>
    </w:p>
    <w:p w14:paraId="17DDD638" w14:textId="77777777" w:rsidR="00D510E8" w:rsidRPr="00D510E8" w:rsidRDefault="00D510E8" w:rsidP="00C30EB7">
      <w:pPr>
        <w:tabs>
          <w:tab w:val="left" w:pos="1418"/>
        </w:tabs>
        <w:spacing w:before="120" w:after="240"/>
        <w:jc w:val="center"/>
        <w:rPr>
          <w:b/>
          <w:kern w:val="22"/>
          <w:szCs w:val="18"/>
          <w:lang w:val="fr-FR" w:eastAsia="fr-FR"/>
        </w:rPr>
      </w:pPr>
      <w:r w:rsidRPr="00D510E8">
        <w:rPr>
          <w:b/>
          <w:kern w:val="22"/>
          <w:szCs w:val="18"/>
          <w:lang w:val="fr-FR" w:eastAsia="fr-FR"/>
        </w:rPr>
        <w:t xml:space="preserve">MANDAT DU GROUPE DE LIAISON SUR LE </w:t>
      </w:r>
      <w:r w:rsidRPr="00D510E8">
        <w:rPr>
          <w:b/>
          <w:kern w:val="22"/>
          <w:szCs w:val="18"/>
          <w:lang w:val="fr-FR" w:eastAsia="fr-FR"/>
        </w:rPr>
        <w:br/>
        <w:t>PROTOCOLE DE CARTAGENA SUR LA PRÉVENTION DES RISQUES BIOTECHNOLOGIQUES</w:t>
      </w:r>
    </w:p>
    <w:p w14:paraId="346FE063" w14:textId="7328BB78" w:rsidR="00D510E8" w:rsidRPr="00D510E8" w:rsidRDefault="00D510E8" w:rsidP="00D510E8">
      <w:pPr>
        <w:numPr>
          <w:ilvl w:val="0"/>
          <w:numId w:val="23"/>
        </w:numPr>
        <w:tabs>
          <w:tab w:val="left" w:pos="1418"/>
        </w:tabs>
        <w:spacing w:before="120" w:after="120"/>
        <w:ind w:firstLine="709"/>
        <w:rPr>
          <w:kern w:val="22"/>
          <w:szCs w:val="18"/>
          <w:lang w:val="fr-FR" w:eastAsia="fr-FR"/>
        </w:rPr>
      </w:pPr>
      <w:r w:rsidRPr="00D510E8">
        <w:rPr>
          <w:kern w:val="22"/>
          <w:szCs w:val="18"/>
          <w:lang w:val="fr-FR" w:eastAsia="fr-FR"/>
        </w:rPr>
        <w:t xml:space="preserve">Le Groupe de liaison fournira </w:t>
      </w:r>
      <w:r w:rsidR="002249AF">
        <w:rPr>
          <w:kern w:val="22"/>
          <w:szCs w:val="18"/>
          <w:lang w:val="fr-FR" w:eastAsia="fr-FR"/>
        </w:rPr>
        <w:t xml:space="preserve">à la Secrétaire exécutive </w:t>
      </w:r>
      <w:r w:rsidRPr="00D510E8">
        <w:rPr>
          <w:kern w:val="22"/>
          <w:szCs w:val="18"/>
          <w:lang w:val="fr-FR" w:eastAsia="fr-FR"/>
        </w:rPr>
        <w:t>des avis d'e</w:t>
      </w:r>
      <w:r w:rsidR="002249AF">
        <w:rPr>
          <w:kern w:val="22"/>
          <w:szCs w:val="18"/>
          <w:lang w:val="fr-FR" w:eastAsia="fr-FR"/>
        </w:rPr>
        <w:t>xperts sur : a)</w:t>
      </w:r>
      <w:r w:rsidRPr="00D510E8">
        <w:rPr>
          <w:kern w:val="22"/>
          <w:szCs w:val="18"/>
          <w:lang w:val="fr-FR" w:eastAsia="fr-FR"/>
        </w:rPr>
        <w:t xml:space="preserve"> les moyens d'améliorer la </w:t>
      </w:r>
      <w:r w:rsidR="00347837">
        <w:rPr>
          <w:kern w:val="22"/>
          <w:szCs w:val="18"/>
          <w:lang w:val="fr-FR" w:eastAsia="fr-FR"/>
        </w:rPr>
        <w:t>coordination et l’application</w:t>
      </w:r>
      <w:r w:rsidRPr="00D510E8">
        <w:rPr>
          <w:kern w:val="22"/>
          <w:szCs w:val="18"/>
          <w:lang w:val="fr-FR" w:eastAsia="fr-FR"/>
        </w:rPr>
        <w:t xml:space="preserve"> effe</w:t>
      </w:r>
      <w:r w:rsidR="002249AF">
        <w:rPr>
          <w:kern w:val="22"/>
          <w:szCs w:val="18"/>
          <w:lang w:val="fr-FR" w:eastAsia="fr-FR"/>
        </w:rPr>
        <w:t>ctive du Protocole de Cartagena ; b) d</w:t>
      </w:r>
      <w:r w:rsidRPr="00D510E8">
        <w:rPr>
          <w:kern w:val="22"/>
          <w:szCs w:val="18"/>
          <w:lang w:val="fr-FR" w:eastAsia="fr-FR"/>
        </w:rPr>
        <w:t>es approches s</w:t>
      </w:r>
      <w:r w:rsidR="00347837">
        <w:rPr>
          <w:kern w:val="22"/>
          <w:szCs w:val="18"/>
          <w:lang w:val="fr-FR" w:eastAsia="fr-FR"/>
        </w:rPr>
        <w:t>tratégiques général</w:t>
      </w:r>
      <w:r w:rsidR="002249AF">
        <w:rPr>
          <w:kern w:val="22"/>
          <w:szCs w:val="18"/>
          <w:lang w:val="fr-FR" w:eastAsia="fr-FR"/>
        </w:rPr>
        <w:t>es ainsi que d</w:t>
      </w:r>
      <w:r w:rsidRPr="00D510E8">
        <w:rPr>
          <w:kern w:val="22"/>
          <w:szCs w:val="18"/>
          <w:lang w:val="fr-FR" w:eastAsia="fr-FR"/>
        </w:rPr>
        <w:t>es mesures opérati</w:t>
      </w:r>
      <w:r w:rsidR="00347837">
        <w:rPr>
          <w:kern w:val="22"/>
          <w:szCs w:val="18"/>
          <w:lang w:val="fr-FR" w:eastAsia="fr-FR"/>
        </w:rPr>
        <w:t>onnelles conceptuelles et concrèt</w:t>
      </w:r>
      <w:r w:rsidR="0060602B">
        <w:rPr>
          <w:kern w:val="22"/>
          <w:szCs w:val="18"/>
          <w:lang w:val="fr-FR" w:eastAsia="fr-FR"/>
        </w:rPr>
        <w:t>es visant à améliorer la coord</w:t>
      </w:r>
      <w:r w:rsidRPr="00D510E8">
        <w:rPr>
          <w:kern w:val="22"/>
          <w:szCs w:val="18"/>
          <w:lang w:val="fr-FR" w:eastAsia="fr-FR"/>
        </w:rPr>
        <w:t xml:space="preserve">ination des activités </w:t>
      </w:r>
      <w:r w:rsidR="002249AF">
        <w:rPr>
          <w:kern w:val="22"/>
          <w:szCs w:val="18"/>
          <w:lang w:val="fr-FR" w:eastAsia="fr-FR"/>
        </w:rPr>
        <w:t xml:space="preserve">menées </w:t>
      </w:r>
      <w:r w:rsidRPr="00D510E8">
        <w:rPr>
          <w:kern w:val="22"/>
          <w:szCs w:val="18"/>
          <w:lang w:val="fr-FR" w:eastAsia="fr-FR"/>
        </w:rPr>
        <w:t xml:space="preserve">au titre du Protocole, y compris les initiatives relatives au renforcement des capacités, entre autres. </w:t>
      </w:r>
    </w:p>
    <w:p w14:paraId="42FFF8BA" w14:textId="64E187AB" w:rsidR="00D510E8" w:rsidRPr="00D510E8" w:rsidRDefault="00D510E8" w:rsidP="00D510E8">
      <w:pPr>
        <w:numPr>
          <w:ilvl w:val="0"/>
          <w:numId w:val="23"/>
        </w:numPr>
        <w:tabs>
          <w:tab w:val="left" w:pos="1418"/>
        </w:tabs>
        <w:spacing w:before="120" w:after="120"/>
        <w:ind w:firstLine="709"/>
        <w:rPr>
          <w:kern w:val="22"/>
          <w:szCs w:val="18"/>
          <w:lang w:val="fr-FR" w:eastAsia="fr-FR"/>
        </w:rPr>
      </w:pPr>
      <w:r w:rsidRPr="00D510E8">
        <w:rPr>
          <w:kern w:val="22"/>
          <w:szCs w:val="18"/>
          <w:lang w:val="fr-FR" w:eastAsia="fr-FR"/>
        </w:rPr>
        <w:t>Les membres du Grou</w:t>
      </w:r>
      <w:r w:rsidR="002249AF">
        <w:rPr>
          <w:kern w:val="22"/>
          <w:szCs w:val="18"/>
          <w:lang w:val="fr-FR" w:eastAsia="fr-FR"/>
        </w:rPr>
        <w:t>pe de liaison seront choisi</w:t>
      </w:r>
      <w:r w:rsidRPr="00D510E8">
        <w:rPr>
          <w:kern w:val="22"/>
          <w:szCs w:val="18"/>
          <w:lang w:val="fr-FR" w:eastAsia="fr-FR"/>
        </w:rPr>
        <w:t>s sur la base de leurs compétences et expérienc</w:t>
      </w:r>
      <w:r w:rsidR="00347837">
        <w:rPr>
          <w:kern w:val="22"/>
          <w:szCs w:val="18"/>
          <w:lang w:val="fr-FR" w:eastAsia="fr-FR"/>
        </w:rPr>
        <w:t>es avérées en ce qui concerne l’application</w:t>
      </w:r>
      <w:r w:rsidRPr="00D510E8">
        <w:rPr>
          <w:kern w:val="22"/>
          <w:szCs w:val="18"/>
          <w:lang w:val="fr-FR" w:eastAsia="fr-FR"/>
        </w:rPr>
        <w:t xml:space="preserve"> du Protocole de Cartagena sur la prévention des risques biotechnologiques et du Protocole additionnel de Nagoya-Kuala Lumpur sur la responsabilité et la réparation, en tenant compte de la représentation géogra</w:t>
      </w:r>
      <w:r w:rsidR="00054127">
        <w:rPr>
          <w:kern w:val="22"/>
          <w:szCs w:val="18"/>
          <w:lang w:val="fr-FR" w:eastAsia="fr-FR"/>
        </w:rPr>
        <w:t xml:space="preserve">phique, de l'équilibre entre hommes et </w:t>
      </w:r>
      <w:r w:rsidRPr="00D510E8">
        <w:rPr>
          <w:kern w:val="22"/>
          <w:szCs w:val="18"/>
          <w:lang w:val="fr-FR" w:eastAsia="fr-FR"/>
        </w:rPr>
        <w:t>femmes</w:t>
      </w:r>
      <w:r w:rsidR="00054127">
        <w:rPr>
          <w:kern w:val="22"/>
          <w:szCs w:val="18"/>
          <w:lang w:val="fr-FR" w:eastAsia="fr-FR"/>
        </w:rPr>
        <w:t>,</w:t>
      </w:r>
      <w:r w:rsidRPr="00D510E8">
        <w:rPr>
          <w:kern w:val="22"/>
          <w:szCs w:val="18"/>
          <w:lang w:val="fr-FR" w:eastAsia="fr-FR"/>
        </w:rPr>
        <w:t xml:space="preserve"> et d'un</w:t>
      </w:r>
      <w:r w:rsidR="00054127">
        <w:rPr>
          <w:kern w:val="22"/>
          <w:szCs w:val="18"/>
          <w:lang w:val="fr-FR" w:eastAsia="fr-FR"/>
        </w:rPr>
        <w:t>e représentation équitabl</w:t>
      </w:r>
      <w:r w:rsidRPr="00D510E8">
        <w:rPr>
          <w:kern w:val="22"/>
          <w:szCs w:val="18"/>
          <w:lang w:val="fr-FR" w:eastAsia="fr-FR"/>
        </w:rPr>
        <w:t>e des parties prenantes concernées.</w:t>
      </w:r>
    </w:p>
    <w:p w14:paraId="70F5CB56" w14:textId="77777777" w:rsidR="00D510E8" w:rsidRPr="00D510E8" w:rsidRDefault="00D510E8" w:rsidP="00D510E8">
      <w:pPr>
        <w:spacing w:before="120" w:after="120"/>
        <w:rPr>
          <w:snapToGrid w:val="0"/>
          <w:szCs w:val="18"/>
          <w:lang w:val="fr-FR" w:eastAsia="fr-FR"/>
        </w:rPr>
      </w:pPr>
    </w:p>
    <w:p w14:paraId="76A18FCD" w14:textId="2E8C3E39" w:rsidR="00211955" w:rsidRPr="00FC09C3" w:rsidRDefault="00211955" w:rsidP="00211955">
      <w:pPr>
        <w:jc w:val="center"/>
        <w:rPr>
          <w:kern w:val="22"/>
          <w:szCs w:val="22"/>
        </w:rPr>
      </w:pPr>
      <w:r w:rsidRPr="00FC09C3">
        <w:rPr>
          <w:kern w:val="22"/>
          <w:szCs w:val="22"/>
        </w:rPr>
        <w:t>______</w:t>
      </w:r>
      <w:r w:rsidR="009B36CB" w:rsidRPr="00E076C8">
        <w:rPr>
          <w:kern w:val="22"/>
          <w:szCs w:val="22"/>
        </w:rPr>
        <w:t>____</w:t>
      </w:r>
    </w:p>
    <w:p w14:paraId="72DEA439" w14:textId="77777777" w:rsidR="00B2663F" w:rsidRPr="00FC09C3" w:rsidRDefault="00B2663F" w:rsidP="00B2663F">
      <w:pPr>
        <w:spacing w:before="120" w:after="240"/>
        <w:jc w:val="left"/>
        <w:rPr>
          <w:caps/>
          <w:kern w:val="22"/>
          <w:szCs w:val="22"/>
        </w:rPr>
      </w:pPr>
    </w:p>
    <w:p w14:paraId="2FD00827" w14:textId="77777777" w:rsidR="00B3369F" w:rsidRPr="00FC09C3" w:rsidRDefault="00B3369F" w:rsidP="00C9161D">
      <w:pPr>
        <w:rPr>
          <w:kern w:val="22"/>
          <w:szCs w:val="22"/>
        </w:rPr>
      </w:pPr>
    </w:p>
    <w:sectPr w:rsidR="00B3369F" w:rsidRPr="00FC09C3" w:rsidSect="007B078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76791" w14:textId="77777777" w:rsidR="001B67EB" w:rsidRDefault="001B67EB" w:rsidP="00CF1848">
      <w:r>
        <w:separator/>
      </w:r>
    </w:p>
  </w:endnote>
  <w:endnote w:type="continuationSeparator" w:id="0">
    <w:p w14:paraId="05F9B090" w14:textId="77777777" w:rsidR="001B67EB" w:rsidRDefault="001B67E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4FEE9" w14:textId="77777777" w:rsidR="001B67EB" w:rsidRDefault="001B67EB" w:rsidP="00CF1848">
      <w:r>
        <w:separator/>
      </w:r>
    </w:p>
  </w:footnote>
  <w:footnote w:type="continuationSeparator" w:id="0">
    <w:p w14:paraId="33438F80" w14:textId="77777777" w:rsidR="001B67EB" w:rsidRDefault="001B67EB" w:rsidP="00CF1848">
      <w:r>
        <w:continuationSeparator/>
      </w:r>
    </w:p>
  </w:footnote>
  <w:footnote w:id="1">
    <w:p w14:paraId="2086A54B" w14:textId="2EDC5057" w:rsidR="00D510E8" w:rsidRPr="00D510E8" w:rsidRDefault="00D510E8" w:rsidP="00C30EB7">
      <w:pPr>
        <w:pStyle w:val="FootnoteText"/>
        <w:ind w:firstLine="0"/>
        <w:rPr>
          <w:lang w:val="fr-FR"/>
        </w:rPr>
      </w:pPr>
      <w:r>
        <w:rPr>
          <w:rStyle w:val="FootnoteReference"/>
        </w:rPr>
        <w:footnoteRef/>
      </w:r>
      <w:r w:rsidR="002A3967">
        <w:rPr>
          <w:lang w:val="fr-FR"/>
        </w:rPr>
        <w:t xml:space="preserve"> Annexe à la décision 14/34.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0C69F8A3" w:rsidR="00534681" w:rsidRPr="00FC09C3" w:rsidRDefault="002A3967" w:rsidP="00FC09C3">
        <w:pPr>
          <w:pStyle w:val="Header"/>
          <w:tabs>
            <w:tab w:val="clear" w:pos="4320"/>
            <w:tab w:val="clear" w:pos="8640"/>
          </w:tabs>
          <w:jc w:val="left"/>
          <w:rPr>
            <w:noProof/>
            <w:kern w:val="22"/>
            <w:lang w:val="fr-FR"/>
          </w:rPr>
        </w:pPr>
        <w:r>
          <w:rPr>
            <w:noProof/>
            <w:kern w:val="22"/>
            <w:lang w:val="fr-FR"/>
          </w:rPr>
          <w:t>CBD/CP/MOP/DEC/9/7</w:t>
        </w:r>
      </w:p>
    </w:sdtContent>
  </w:sdt>
  <w:p w14:paraId="2FD00833" w14:textId="0A3730F2" w:rsidR="00534681" w:rsidRPr="00FC09C3" w:rsidRDefault="00534681" w:rsidP="00FC09C3">
    <w:pPr>
      <w:pStyle w:val="Header"/>
      <w:tabs>
        <w:tab w:val="clear" w:pos="4320"/>
        <w:tab w:val="clear" w:pos="8640"/>
      </w:tabs>
      <w:jc w:val="left"/>
      <w:rPr>
        <w:noProof/>
        <w:kern w:val="22"/>
        <w:lang w:val="fr-FR"/>
      </w:rPr>
    </w:pPr>
    <w:r w:rsidRPr="00FC09C3">
      <w:rPr>
        <w:noProof/>
        <w:kern w:val="22"/>
        <w:lang w:val="fr-FR"/>
      </w:rPr>
      <w:t xml:space="preserve">Page </w:t>
    </w:r>
    <w:r w:rsidRPr="00FC09C3">
      <w:rPr>
        <w:noProof/>
        <w:kern w:val="22"/>
      </w:rPr>
      <w:fldChar w:fldCharType="begin"/>
    </w:r>
    <w:r w:rsidRPr="00FC09C3">
      <w:rPr>
        <w:noProof/>
        <w:kern w:val="22"/>
        <w:lang w:val="fr-FR"/>
      </w:rPr>
      <w:instrText xml:space="preserve"> PAGE   \* MERGEFORMAT </w:instrText>
    </w:r>
    <w:r w:rsidRPr="00FC09C3">
      <w:rPr>
        <w:noProof/>
        <w:kern w:val="22"/>
      </w:rPr>
      <w:fldChar w:fldCharType="separate"/>
    </w:r>
    <w:r w:rsidR="00783B44">
      <w:rPr>
        <w:noProof/>
        <w:kern w:val="22"/>
        <w:lang w:val="fr-FR"/>
      </w:rPr>
      <w:t>2</w:t>
    </w:r>
    <w:r w:rsidRPr="00FC09C3">
      <w:rPr>
        <w:noProof/>
        <w:kern w:val="22"/>
      </w:rPr>
      <w:fldChar w:fldCharType="end"/>
    </w:r>
  </w:p>
  <w:p w14:paraId="2FD00834" w14:textId="77777777" w:rsidR="00534681" w:rsidRPr="00FC09C3" w:rsidRDefault="00534681" w:rsidP="00FC09C3">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7FCC17A8" w:rsidR="009505C9" w:rsidRPr="00FC09C3" w:rsidRDefault="002A3967" w:rsidP="00FC09C3">
        <w:pPr>
          <w:pStyle w:val="Header"/>
          <w:tabs>
            <w:tab w:val="clear" w:pos="4320"/>
            <w:tab w:val="clear" w:pos="8640"/>
          </w:tabs>
          <w:jc w:val="right"/>
          <w:rPr>
            <w:noProof/>
            <w:kern w:val="22"/>
            <w:lang w:val="fr-FR"/>
          </w:rPr>
        </w:pPr>
        <w:r>
          <w:rPr>
            <w:noProof/>
            <w:kern w:val="22"/>
            <w:lang w:val="fr-FR"/>
          </w:rPr>
          <w:t>CBD/CP/MOP/DEC/9/7</w:t>
        </w:r>
      </w:p>
    </w:sdtContent>
  </w:sdt>
  <w:p w14:paraId="2FD00836" w14:textId="22867FFB" w:rsidR="009505C9" w:rsidRPr="00FC09C3" w:rsidRDefault="009505C9" w:rsidP="00FC09C3">
    <w:pPr>
      <w:pStyle w:val="Header"/>
      <w:tabs>
        <w:tab w:val="clear" w:pos="4320"/>
        <w:tab w:val="clear" w:pos="8640"/>
      </w:tabs>
      <w:jc w:val="right"/>
      <w:rPr>
        <w:noProof/>
        <w:kern w:val="22"/>
        <w:lang w:val="fr-FR"/>
      </w:rPr>
    </w:pPr>
    <w:r w:rsidRPr="00FC09C3">
      <w:rPr>
        <w:noProof/>
        <w:kern w:val="22"/>
        <w:lang w:val="fr-FR"/>
      </w:rPr>
      <w:t xml:space="preserve">Page </w:t>
    </w:r>
    <w:r w:rsidRPr="00FC09C3">
      <w:rPr>
        <w:noProof/>
        <w:kern w:val="22"/>
      </w:rPr>
      <w:fldChar w:fldCharType="begin"/>
    </w:r>
    <w:r w:rsidRPr="00FC09C3">
      <w:rPr>
        <w:noProof/>
        <w:kern w:val="22"/>
        <w:lang w:val="fr-FR"/>
      </w:rPr>
      <w:instrText xml:space="preserve"> PAGE   \* MERGEFORMAT </w:instrText>
    </w:r>
    <w:r w:rsidRPr="00FC09C3">
      <w:rPr>
        <w:noProof/>
        <w:kern w:val="22"/>
      </w:rPr>
      <w:fldChar w:fldCharType="separate"/>
    </w:r>
    <w:r w:rsidR="0043210D">
      <w:rPr>
        <w:noProof/>
        <w:kern w:val="22"/>
        <w:lang w:val="fr-FR"/>
      </w:rPr>
      <w:t>3</w:t>
    </w:r>
    <w:r w:rsidRPr="00FC09C3">
      <w:rPr>
        <w:noProof/>
        <w:kern w:val="22"/>
      </w:rPr>
      <w:fldChar w:fldCharType="end"/>
    </w:r>
  </w:p>
  <w:p w14:paraId="2FD00837" w14:textId="77777777" w:rsidR="009505C9" w:rsidRPr="00FC09C3" w:rsidRDefault="009505C9" w:rsidP="00FC09C3">
    <w:pPr>
      <w:pStyle w:val="Header"/>
      <w:tabs>
        <w:tab w:val="clear" w:pos="4320"/>
        <w:tab w:val="clear" w:pos="8640"/>
      </w:tabs>
      <w:jc w:val="right"/>
      <w:rPr>
        <w:noProof/>
        <w:kern w:val="2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27549"/>
    <w:multiLevelType w:val="hybridMultilevel"/>
    <w:tmpl w:val="7584ADF4"/>
    <w:lvl w:ilvl="0" w:tplc="0C090017">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76777F8"/>
    <w:multiLevelType w:val="hybridMultilevel"/>
    <w:tmpl w:val="CE1EDFBE"/>
    <w:lvl w:ilvl="0" w:tplc="380A561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8F7FB2"/>
    <w:multiLevelType w:val="hybridMultilevel"/>
    <w:tmpl w:val="0D362D94"/>
    <w:lvl w:ilvl="0" w:tplc="111CCE32">
      <w:start w:val="8"/>
      <w:numFmt w:val="decimal"/>
      <w:lvlText w:val="%1."/>
      <w:lvlJc w:val="left"/>
      <w:pPr>
        <w:ind w:left="720" w:hanging="360"/>
      </w:pPr>
      <w:rPr>
        <w:rFonts w:hint="default"/>
        <w:i w:val="0"/>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C2F6BF8"/>
    <w:multiLevelType w:val="hybridMultilevel"/>
    <w:tmpl w:val="CCDCAB5A"/>
    <w:lvl w:ilvl="0" w:tplc="156AED14">
      <w:start w:val="4"/>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8645C3"/>
    <w:multiLevelType w:val="hybridMultilevel"/>
    <w:tmpl w:val="23F4D254"/>
    <w:lvl w:ilvl="0" w:tplc="EE9682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5"/>
  </w:num>
  <w:num w:numId="4">
    <w:abstractNumId w:val="10"/>
  </w:num>
  <w:num w:numId="5">
    <w:abstractNumId w:val="7"/>
  </w:num>
  <w:num w:numId="6">
    <w:abstractNumId w:val="0"/>
  </w:num>
  <w:num w:numId="7">
    <w:abstractNumId w:val="3"/>
  </w:num>
  <w:num w:numId="8">
    <w:abstractNumId w:val="5"/>
    <w:lvlOverride w:ilvl="0">
      <w:startOverride w:val="1"/>
    </w:lvlOverride>
  </w:num>
  <w:num w:numId="9">
    <w:abstractNumId w:val="14"/>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3"/>
  </w:num>
  <w:num w:numId="15">
    <w:abstractNumId w:val="11"/>
  </w:num>
  <w:num w:numId="16">
    <w:abstractNumId w:val="1"/>
  </w:num>
  <w:num w:numId="17">
    <w:abstractNumId w:val="15"/>
  </w:num>
  <w:num w:numId="18">
    <w:abstractNumId w:val="16"/>
  </w:num>
  <w:num w:numId="19">
    <w:abstractNumId w:val="12"/>
  </w:num>
  <w:num w:numId="20">
    <w:abstractNumId w:val="2"/>
  </w:num>
  <w:num w:numId="21">
    <w:abstractNumId w:val="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NotDisplayPageBoundarie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1018C"/>
    <w:rsid w:val="000421C0"/>
    <w:rsid w:val="000506AA"/>
    <w:rsid w:val="00054127"/>
    <w:rsid w:val="000865FB"/>
    <w:rsid w:val="00094468"/>
    <w:rsid w:val="000E673A"/>
    <w:rsid w:val="000F4914"/>
    <w:rsid w:val="000F74F5"/>
    <w:rsid w:val="000F7B22"/>
    <w:rsid w:val="00105372"/>
    <w:rsid w:val="001102C0"/>
    <w:rsid w:val="00131E7A"/>
    <w:rsid w:val="00132A72"/>
    <w:rsid w:val="0014645A"/>
    <w:rsid w:val="00172AF6"/>
    <w:rsid w:val="00176CEE"/>
    <w:rsid w:val="00186DD8"/>
    <w:rsid w:val="001B0463"/>
    <w:rsid w:val="001B436E"/>
    <w:rsid w:val="001B67EB"/>
    <w:rsid w:val="001D6188"/>
    <w:rsid w:val="00211955"/>
    <w:rsid w:val="002249AF"/>
    <w:rsid w:val="00273079"/>
    <w:rsid w:val="002847D8"/>
    <w:rsid w:val="002856B9"/>
    <w:rsid w:val="002A3967"/>
    <w:rsid w:val="002D603A"/>
    <w:rsid w:val="00315F02"/>
    <w:rsid w:val="00322E76"/>
    <w:rsid w:val="0033259C"/>
    <w:rsid w:val="00347837"/>
    <w:rsid w:val="00372F74"/>
    <w:rsid w:val="003D2DC6"/>
    <w:rsid w:val="003D6DF7"/>
    <w:rsid w:val="003D7FC6"/>
    <w:rsid w:val="003F7224"/>
    <w:rsid w:val="00400A3E"/>
    <w:rsid w:val="00407421"/>
    <w:rsid w:val="00427D21"/>
    <w:rsid w:val="0043210D"/>
    <w:rsid w:val="0043592B"/>
    <w:rsid w:val="004374D0"/>
    <w:rsid w:val="004450C8"/>
    <w:rsid w:val="00451A9D"/>
    <w:rsid w:val="004610EF"/>
    <w:rsid w:val="004644C2"/>
    <w:rsid w:val="00467F9C"/>
    <w:rsid w:val="004C4164"/>
    <w:rsid w:val="004E428D"/>
    <w:rsid w:val="005170C6"/>
    <w:rsid w:val="00534681"/>
    <w:rsid w:val="005636A2"/>
    <w:rsid w:val="00581B4B"/>
    <w:rsid w:val="00590234"/>
    <w:rsid w:val="005945DF"/>
    <w:rsid w:val="005E66AE"/>
    <w:rsid w:val="005F6A40"/>
    <w:rsid w:val="0060602B"/>
    <w:rsid w:val="006122BA"/>
    <w:rsid w:val="00630E17"/>
    <w:rsid w:val="006827F2"/>
    <w:rsid w:val="006829A5"/>
    <w:rsid w:val="0068672C"/>
    <w:rsid w:val="006879A1"/>
    <w:rsid w:val="006920F7"/>
    <w:rsid w:val="006B2290"/>
    <w:rsid w:val="006C47B1"/>
    <w:rsid w:val="00717D88"/>
    <w:rsid w:val="00730723"/>
    <w:rsid w:val="0073303E"/>
    <w:rsid w:val="00750844"/>
    <w:rsid w:val="0077626F"/>
    <w:rsid w:val="00783B44"/>
    <w:rsid w:val="007942D3"/>
    <w:rsid w:val="007B078D"/>
    <w:rsid w:val="007B6C09"/>
    <w:rsid w:val="007D224B"/>
    <w:rsid w:val="007E09DA"/>
    <w:rsid w:val="008178B6"/>
    <w:rsid w:val="00851B35"/>
    <w:rsid w:val="00865B74"/>
    <w:rsid w:val="00886377"/>
    <w:rsid w:val="008C65B9"/>
    <w:rsid w:val="008D06B6"/>
    <w:rsid w:val="008D7EC4"/>
    <w:rsid w:val="008E7CE0"/>
    <w:rsid w:val="008F2E4A"/>
    <w:rsid w:val="00915ECE"/>
    <w:rsid w:val="00930BA1"/>
    <w:rsid w:val="0093169E"/>
    <w:rsid w:val="009505C9"/>
    <w:rsid w:val="00956C61"/>
    <w:rsid w:val="009B36CB"/>
    <w:rsid w:val="00A21AF3"/>
    <w:rsid w:val="00A243A7"/>
    <w:rsid w:val="00A37D50"/>
    <w:rsid w:val="00AC1FAF"/>
    <w:rsid w:val="00AC3393"/>
    <w:rsid w:val="00AC7D19"/>
    <w:rsid w:val="00B16FBE"/>
    <w:rsid w:val="00B2400B"/>
    <w:rsid w:val="00B2663F"/>
    <w:rsid w:val="00B3369F"/>
    <w:rsid w:val="00B368C6"/>
    <w:rsid w:val="00B64BF0"/>
    <w:rsid w:val="00BB5AA8"/>
    <w:rsid w:val="00BD4EF0"/>
    <w:rsid w:val="00BE19E7"/>
    <w:rsid w:val="00BE45EF"/>
    <w:rsid w:val="00C275E3"/>
    <w:rsid w:val="00C30EB7"/>
    <w:rsid w:val="00C443BD"/>
    <w:rsid w:val="00C62521"/>
    <w:rsid w:val="00C9161D"/>
    <w:rsid w:val="00C93869"/>
    <w:rsid w:val="00CB70FE"/>
    <w:rsid w:val="00CF1848"/>
    <w:rsid w:val="00D12044"/>
    <w:rsid w:val="00D252D1"/>
    <w:rsid w:val="00D510E8"/>
    <w:rsid w:val="00D76A18"/>
    <w:rsid w:val="00DC5FB2"/>
    <w:rsid w:val="00DD118C"/>
    <w:rsid w:val="00E03E90"/>
    <w:rsid w:val="00E076C8"/>
    <w:rsid w:val="00E20229"/>
    <w:rsid w:val="00E467DF"/>
    <w:rsid w:val="00E66235"/>
    <w:rsid w:val="00E83C24"/>
    <w:rsid w:val="00E9318D"/>
    <w:rsid w:val="00EC4E07"/>
    <w:rsid w:val="00ED72FA"/>
    <w:rsid w:val="00F31D31"/>
    <w:rsid w:val="00F45756"/>
    <w:rsid w:val="00F6586C"/>
    <w:rsid w:val="00F80754"/>
    <w:rsid w:val="00F94774"/>
    <w:rsid w:val="00FA345D"/>
    <w:rsid w:val="00FA39D7"/>
    <w:rsid w:val="00FC09C3"/>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D0081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211955"/>
    <w:pPr>
      <w:spacing w:after="160" w:line="240" w:lineRule="exact"/>
      <w:jc w:val="left"/>
    </w:pPr>
    <w:rPr>
      <w:rFonts w:asciiTheme="minorHAnsi" w:eastAsiaTheme="minorEastAsia" w:hAnsiTheme="minorHAnsi" w:cstheme="minorBidi"/>
      <w:vertAlign w:val="superscript"/>
      <w:lang w:val="fr-CA"/>
    </w:rPr>
  </w:style>
  <w:style w:type="paragraph" w:styleId="Revision">
    <w:name w:val="Revision"/>
    <w:hidden/>
    <w:uiPriority w:val="99"/>
    <w:semiHidden/>
    <w:rsid w:val="00C275E3"/>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01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E3889"/>
    <w:rsid w:val="00500A2B"/>
    <w:rsid w:val="0058288D"/>
    <w:rsid w:val="006801B3"/>
    <w:rsid w:val="006B2E8B"/>
    <w:rsid w:val="0071284C"/>
    <w:rsid w:val="007663B1"/>
    <w:rsid w:val="00810A55"/>
    <w:rsid w:val="008A6793"/>
    <w:rsid w:val="008C6619"/>
    <w:rsid w:val="008D420E"/>
    <w:rsid w:val="0098642F"/>
    <w:rsid w:val="00E02A8D"/>
    <w:rsid w:val="00E9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6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696E4C-D1C6-4EE4-9CF5-3A09FF78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1380</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9/7.      Préparation du texte donnant suite au Plan stratégique pour la diversité biologique 2011-2020 et au Plan stratégique du Protocole de Cartagena sur la prévention des risques biotechnologiques 2011-2020</vt:lpstr>
    </vt:vector>
  </TitlesOfParts>
  <Company>SCBD</Company>
  <LinksUpToDate>false</LinksUpToDate>
  <CharactersWithSpaces>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      Préparation du texte donnant suite au Plan stratégique pour la diversité biologique 2011-2020 et au Plan stratégique du Protocole de Cartagena sur la prévention des risques biotechnologiques 2011-2020</dc:title>
  <dc:subject>CBD/CP/MOP/DEC/9/7</dc:subject>
  <dc:creator>CP-MOP 9</dc:creator>
  <cp:keywords>Preparation for the follow-up to the Strategic Plan for Biodiversity 2011-2020 and the Strategic Plan for the Cartagena Protocol on Biosafety (2011-2020), Cartagena Protocol on Biosafety, Convention on Biological Diversity</cp:keywords>
  <cp:lastModifiedBy>Finn Kinley</cp:lastModifiedBy>
  <cp:revision>15</cp:revision>
  <cp:lastPrinted>2018-11-28T20:06:00Z</cp:lastPrinted>
  <dcterms:created xsi:type="dcterms:W3CDTF">2018-11-28T22:03:00Z</dcterms:created>
  <dcterms:modified xsi:type="dcterms:W3CDTF">2019-02-06T00:08:00Z</dcterms:modified>
  <cp:contentStatus>GENERALE</cp:contentStatus>
</cp:coreProperties>
</file>