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AC339A">
        <w:trPr>
          <w:trHeight w:val="709"/>
        </w:trPr>
        <w:tc>
          <w:tcPr>
            <w:tcW w:w="976" w:type="dxa"/>
            <w:tcBorders>
              <w:bottom w:val="single" w:sz="12" w:space="0" w:color="auto"/>
            </w:tcBorders>
          </w:tcPr>
          <w:p w:rsidR="00AC339A" w:rsidRDefault="00AB78B0">
            <w:pPr>
              <w:rPr>
                <w:kern w:val="22"/>
                <w:lang w:val="es-ES"/>
              </w:rPr>
            </w:pPr>
            <w:bookmarkStart w:id="0" w:name="_Hlk530914254"/>
            <w:r>
              <w:rPr>
                <w:noProof/>
                <w:snapToGrid/>
                <w:kern w:val="22"/>
                <w:lang w:val="es-UY" w:eastAsia="es-UY"/>
              </w:rPr>
              <w:drawing>
                <wp:inline distT="0" distB="0" distL="0" distR="0">
                  <wp:extent cx="429895" cy="364490"/>
                  <wp:effectExtent l="19050" t="0" r="8255"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29895" cy="36449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AC339A" w:rsidRDefault="00AB78B0">
            <w:pPr>
              <w:rPr>
                <w:kern w:val="22"/>
                <w:lang w:val="es-ES"/>
              </w:rPr>
            </w:pPr>
            <w:r>
              <w:rPr>
                <w:noProof/>
                <w:snapToGrid/>
                <w:kern w:val="22"/>
                <w:lang w:val="es-UY" w:eastAsia="es-UY"/>
              </w:rPr>
              <w:drawing>
                <wp:inline distT="0" distB="0" distL="0" distR="0">
                  <wp:extent cx="337185" cy="397510"/>
                  <wp:effectExtent l="19050" t="0" r="5715"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37185" cy="39751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AC339A" w:rsidRDefault="00AC339A">
            <w:pPr>
              <w:jc w:val="right"/>
              <w:rPr>
                <w:rFonts w:ascii="Arial" w:hAnsi="Arial"/>
                <w:b/>
                <w:kern w:val="22"/>
                <w:sz w:val="32"/>
                <w:lang w:val="es-ES"/>
              </w:rPr>
            </w:pPr>
            <w:r>
              <w:rPr>
                <w:rFonts w:ascii="Arial" w:hAnsi="Arial"/>
                <w:b/>
                <w:noProof/>
                <w:kern w:val="22"/>
                <w:sz w:val="32"/>
                <w:lang w:val="es-ES"/>
              </w:rPr>
              <w:t>CBD</w:t>
            </w:r>
          </w:p>
        </w:tc>
      </w:tr>
      <w:tr w:rsidR="00AC339A">
        <w:tc>
          <w:tcPr>
            <w:tcW w:w="6117" w:type="dxa"/>
            <w:gridSpan w:val="2"/>
            <w:tcBorders>
              <w:top w:val="single" w:sz="12" w:space="0" w:color="auto"/>
              <w:bottom w:val="single" w:sz="36" w:space="0" w:color="auto"/>
            </w:tcBorders>
            <w:vAlign w:val="center"/>
          </w:tcPr>
          <w:p w:rsidR="00AC339A" w:rsidRDefault="00AB78B0">
            <w:pPr>
              <w:rPr>
                <w:kern w:val="22"/>
                <w:lang w:val="es-ES"/>
              </w:rPr>
            </w:pPr>
            <w:r>
              <w:rPr>
                <w:noProof/>
                <w:snapToGrid/>
                <w:kern w:val="22"/>
                <w:lang w:val="es-UY" w:eastAsia="es-UY"/>
              </w:rPr>
              <w:drawing>
                <wp:inline distT="0" distB="0" distL="0" distR="0">
                  <wp:extent cx="2901315" cy="1077595"/>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131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AC339A" w:rsidRDefault="00AC339A">
            <w:pPr>
              <w:ind w:left="1215"/>
              <w:rPr>
                <w:kern w:val="22"/>
                <w:lang w:val="es-ES"/>
              </w:rPr>
            </w:pPr>
            <w:r>
              <w:rPr>
                <w:noProof/>
                <w:kern w:val="22"/>
                <w:lang w:val="es-ES"/>
              </w:rPr>
              <w:t>Distr.</w:t>
            </w:r>
          </w:p>
          <w:p w:rsidR="00AC339A" w:rsidRDefault="00AC339A">
            <w:pPr>
              <w:ind w:left="1215"/>
              <w:rPr>
                <w:kern w:val="22"/>
                <w:lang w:val="es-ES"/>
              </w:rPr>
            </w:pPr>
            <w:r>
              <w:rPr>
                <w:noProof/>
                <w:kern w:val="22"/>
                <w:lang w:val="es-ES"/>
              </w:rPr>
              <w:t>GENERAL</w:t>
            </w:r>
          </w:p>
          <w:p w:rsidR="00AC339A" w:rsidRDefault="00AC339A">
            <w:pPr>
              <w:ind w:left="1215"/>
              <w:rPr>
                <w:kern w:val="22"/>
                <w:lang w:val="es-ES"/>
              </w:rPr>
            </w:pPr>
          </w:p>
          <w:p w:rsidR="00AC339A" w:rsidRDefault="00AC339A">
            <w:pPr>
              <w:ind w:left="1215"/>
              <w:rPr>
                <w:kern w:val="22"/>
                <w:lang w:val="es-ES"/>
              </w:rPr>
            </w:pPr>
            <w:r>
              <w:rPr>
                <w:noProof/>
                <w:kern w:val="22"/>
                <w:lang w:val="es-ES"/>
              </w:rPr>
              <w:t>CBD/CP/MOP/DEC/9/8</w:t>
            </w:r>
          </w:p>
          <w:p w:rsidR="00AC339A" w:rsidRDefault="00AC339A">
            <w:pPr>
              <w:ind w:left="1215"/>
              <w:rPr>
                <w:kern w:val="22"/>
                <w:lang w:val="es-ES"/>
              </w:rPr>
            </w:pPr>
            <w:r>
              <w:rPr>
                <w:noProof/>
                <w:kern w:val="22"/>
                <w:lang w:val="es-ES"/>
              </w:rPr>
              <w:t>30 de noviembre de 2018</w:t>
            </w:r>
          </w:p>
          <w:p w:rsidR="00AC339A" w:rsidRDefault="00AC339A">
            <w:pPr>
              <w:ind w:left="1215"/>
              <w:rPr>
                <w:kern w:val="22"/>
                <w:lang w:val="es-ES"/>
              </w:rPr>
            </w:pPr>
          </w:p>
          <w:p w:rsidR="00AC339A" w:rsidRDefault="00AC339A">
            <w:pPr>
              <w:ind w:left="1215"/>
              <w:rPr>
                <w:kern w:val="22"/>
                <w:lang w:val="es-ES"/>
              </w:rPr>
            </w:pPr>
            <w:r>
              <w:rPr>
                <w:noProof/>
                <w:kern w:val="22"/>
                <w:lang w:val="es-ES"/>
              </w:rPr>
              <w:t>ESPAÑOL</w:t>
            </w:r>
          </w:p>
          <w:p w:rsidR="00AC339A" w:rsidRDefault="00AC339A">
            <w:pPr>
              <w:ind w:left="1215"/>
              <w:rPr>
                <w:kern w:val="22"/>
                <w:lang w:val="es-ES"/>
              </w:rPr>
            </w:pPr>
            <w:r>
              <w:rPr>
                <w:noProof/>
                <w:kern w:val="22"/>
                <w:lang w:val="es-ES"/>
              </w:rPr>
              <w:t>ORIGINAL:</w:t>
            </w:r>
            <w:r>
              <w:rPr>
                <w:kern w:val="22"/>
                <w:lang w:val="es-ES"/>
              </w:rPr>
              <w:t xml:space="preserve"> </w:t>
            </w:r>
            <w:r>
              <w:rPr>
                <w:noProof/>
                <w:kern w:val="22"/>
                <w:lang w:val="es-ES"/>
              </w:rPr>
              <w:t>INGLÉS</w:t>
            </w:r>
          </w:p>
          <w:p w:rsidR="00AC339A" w:rsidRDefault="00AC339A">
            <w:pPr>
              <w:rPr>
                <w:kern w:val="22"/>
                <w:lang w:val="es-ES"/>
              </w:rPr>
            </w:pPr>
          </w:p>
        </w:tc>
      </w:tr>
    </w:tbl>
    <w:bookmarkEnd w:id="0"/>
    <w:p w:rsidR="00AC339A" w:rsidRDefault="00AC339A">
      <w:pPr>
        <w:pStyle w:val="Cornernotation"/>
        <w:suppressLineNumbers/>
        <w:suppressAutoHyphens/>
        <w:kinsoku w:val="0"/>
        <w:overflowPunct w:val="0"/>
        <w:autoSpaceDE w:val="0"/>
        <w:autoSpaceDN w:val="0"/>
        <w:spacing w:before="120"/>
        <w:ind w:left="187" w:right="4423" w:hanging="187"/>
        <w:rPr>
          <w:kern w:val="22"/>
          <w:lang/>
        </w:rPr>
      </w:pPr>
      <w:r>
        <w:rPr>
          <w:noProof/>
          <w:lang/>
        </w:rPr>
        <w:t>CONFERENCIA DE LAS PARTES EN EL CONVENIO SOBRE LA DIVERSIDAD BIOLÓGICA QUE ACTÚA COMO REUNIÓN DE LAS PARTES EN EL PROTOCOLO DE CARTAGENA SOBRE SEGURIDAD DE LA BIOTECNOLOGÍA</w:t>
      </w:r>
    </w:p>
    <w:p w:rsidR="00AC339A" w:rsidRDefault="00AC339A">
      <w:pPr>
        <w:pStyle w:val="Cornernotation"/>
        <w:suppressLineNumbers/>
        <w:suppressAutoHyphens/>
        <w:kinsoku w:val="0"/>
        <w:overflowPunct w:val="0"/>
        <w:autoSpaceDE w:val="0"/>
        <w:autoSpaceDN w:val="0"/>
        <w:ind w:left="187" w:right="4421" w:hanging="187"/>
        <w:rPr>
          <w:kern w:val="22"/>
          <w:lang/>
        </w:rPr>
      </w:pPr>
      <w:r>
        <w:rPr>
          <w:noProof/>
          <w:lang/>
        </w:rPr>
        <w:t>Novena reunión</w:t>
      </w:r>
    </w:p>
    <w:p w:rsidR="00AC339A" w:rsidRDefault="00AC339A">
      <w:pPr>
        <w:pStyle w:val="Cornernotation"/>
        <w:suppressLineNumbers/>
        <w:suppressAutoHyphens/>
        <w:kinsoku w:val="0"/>
        <w:overflowPunct w:val="0"/>
        <w:autoSpaceDE w:val="0"/>
        <w:autoSpaceDN w:val="0"/>
        <w:ind w:left="187" w:right="4423" w:hanging="187"/>
        <w:rPr>
          <w:lang w:val="es-AR"/>
        </w:rPr>
      </w:pPr>
      <w:r>
        <w:rPr>
          <w:noProof/>
          <w:lang w:val="es-AR"/>
        </w:rPr>
        <w:t>Sharm el-Sheikh (Egipto), 17 a 29 de noviembre de 2018</w:t>
      </w:r>
    </w:p>
    <w:p w:rsidR="00AC339A" w:rsidRDefault="00AC339A">
      <w:pPr>
        <w:pStyle w:val="Cornernotation"/>
        <w:ind w:right="3973"/>
        <w:rPr>
          <w:kern w:val="22"/>
          <w:lang w:val="es-ES"/>
        </w:rPr>
      </w:pPr>
      <w:r>
        <w:rPr>
          <w:lang w:val="es-AR"/>
        </w:rPr>
        <w:t xml:space="preserve">Tema </w:t>
      </w:r>
      <w:r>
        <w:rPr>
          <w:color w:val="000000"/>
          <w:kern w:val="22"/>
          <w:lang w:val="es-ES"/>
        </w:rPr>
        <w:t>13 del programa</w:t>
      </w:r>
    </w:p>
    <w:p w:rsidR="00AC339A" w:rsidRDefault="00AC339A">
      <w:pPr>
        <w:pStyle w:val="HEADINGNOTFORTOC"/>
        <w:tabs>
          <w:tab w:val="clear" w:pos="720"/>
        </w:tabs>
        <w:snapToGrid w:val="0"/>
        <w:spacing w:before="120"/>
        <w:rPr>
          <w:rFonts w:ascii="Times New Roman Bold" w:hAnsi="Times New Roman Bold"/>
          <w:kern w:val="22"/>
          <w:lang w:val="es-ES"/>
        </w:rPr>
      </w:pPr>
      <w:r>
        <w:rPr>
          <w:rFonts w:ascii="Times New Roman Bold" w:hAnsi="Times New Roman Bold"/>
          <w:noProof/>
          <w:kern w:val="22"/>
          <w:lang w:val="es-ES"/>
        </w:rPr>
        <w:t>DecisiÓn adoptAdA POR LAS Partes EN EL Protocolo De Cartagena SOBRE SEGURIDAD DE LA BiotECNOLOGÍA</w:t>
      </w:r>
    </w:p>
    <w:p w:rsidR="00AC339A" w:rsidRPr="002F6E3E" w:rsidRDefault="00AC339A">
      <w:pPr>
        <w:pStyle w:val="recommendationheader"/>
        <w:spacing w:before="0" w:after="0"/>
        <w:ind w:left="1134" w:hanging="708"/>
        <w:jc w:val="left"/>
        <w:rPr>
          <w:bCs w:val="0"/>
          <w:iCs w:val="0"/>
          <w:caps/>
          <w:kern w:val="22"/>
          <w:lang w:val="es-ES"/>
        </w:rPr>
      </w:pPr>
      <w:r w:rsidRPr="002F6E3E">
        <w:rPr>
          <w:bCs w:val="0"/>
          <w:iCs w:val="0"/>
          <w:caps/>
          <w:kern w:val="22"/>
          <w:lang w:val="es-ES"/>
        </w:rPr>
        <w:t>9/8.</w:t>
      </w:r>
      <w:r w:rsidRPr="002F6E3E">
        <w:rPr>
          <w:bCs w:val="0"/>
          <w:iCs w:val="0"/>
          <w:caps/>
          <w:kern w:val="22"/>
          <w:lang w:val="es-ES"/>
        </w:rPr>
        <w:tab/>
      </w:r>
      <w:r w:rsidRPr="002F6E3E">
        <w:rPr>
          <w:bCs w:val="0"/>
          <w:iCs w:val="0"/>
          <w:kern w:val="22"/>
          <w:lang w:val="es-ES"/>
        </w:rPr>
        <w:t>Examen de la experiencia en la celebración de reuniones concurrentes de la Conferencia de las Partes en el Convenio, la Conferencia de las Partes que actúa como reunión de las Partes en el Protocolo de Cartagena y la Conferencia de las Partes que actúa como reunión de las Partes en el Protocolo de Nagoya</w:t>
      </w:r>
    </w:p>
    <w:p w:rsidR="00AC339A" w:rsidRDefault="00AC339A">
      <w:pPr>
        <w:suppressLineNumbers/>
        <w:suppressAutoHyphens/>
        <w:kinsoku w:val="0"/>
        <w:overflowPunct w:val="0"/>
        <w:autoSpaceDE w:val="0"/>
        <w:autoSpaceDN w:val="0"/>
        <w:adjustRightInd w:val="0"/>
        <w:snapToGrid w:val="0"/>
        <w:spacing w:before="120" w:after="120"/>
        <w:ind w:firstLine="720"/>
        <w:rPr>
          <w:rFonts w:ascii="MS Mincho" w:eastAsia="MS Mincho"/>
          <w:kern w:val="22"/>
          <w:lang w:val="es-ES"/>
        </w:rPr>
      </w:pPr>
      <w:r>
        <w:rPr>
          <w:i/>
          <w:kern w:val="22"/>
          <w:lang w:val="es-ES"/>
        </w:rPr>
        <w:t>La Conferencia de las Partes que actúa como reunión de las Partes en el Protocolo de Cartagena sobre Seguridad de la Biotecnología,</w:t>
      </w:r>
    </w:p>
    <w:p w:rsidR="00AC339A" w:rsidRDefault="00AC339A">
      <w:pPr>
        <w:suppressLineNumbers/>
        <w:suppressAutoHyphens/>
        <w:kinsoku w:val="0"/>
        <w:overflowPunct w:val="0"/>
        <w:autoSpaceDE w:val="0"/>
        <w:autoSpaceDN w:val="0"/>
        <w:adjustRightInd w:val="0"/>
        <w:snapToGrid w:val="0"/>
        <w:spacing w:before="120" w:after="120"/>
        <w:ind w:firstLine="720"/>
        <w:rPr>
          <w:kern w:val="22"/>
          <w:lang w:val="es-ES"/>
        </w:rPr>
      </w:pPr>
      <w:r>
        <w:rPr>
          <w:i/>
          <w:kern w:val="22"/>
          <w:lang w:val="es-ES"/>
        </w:rPr>
        <w:t>Recordando</w:t>
      </w:r>
      <w:r>
        <w:rPr>
          <w:kern w:val="22"/>
          <w:lang w:val="es-ES"/>
        </w:rPr>
        <w:t xml:space="preserve"> las decisiones </w:t>
      </w:r>
      <w:hyperlink r:id="rId10" w:history="1">
        <w:r>
          <w:rPr>
            <w:color w:val="0000FF"/>
            <w:kern w:val="22"/>
            <w:u w:val="single"/>
            <w:lang w:val="es-ES"/>
          </w:rPr>
          <w:t>BS-VII/9</w:t>
        </w:r>
      </w:hyperlink>
      <w:r>
        <w:rPr>
          <w:kern w:val="22"/>
          <w:lang w:val="es-ES"/>
        </w:rPr>
        <w:t xml:space="preserve"> y </w:t>
      </w:r>
      <w:hyperlink r:id="rId11" w:history="1">
        <w:r>
          <w:rPr>
            <w:color w:val="0000FF"/>
            <w:kern w:val="22"/>
            <w:u w:val="single"/>
            <w:lang w:val="es-ES"/>
          </w:rPr>
          <w:t>CP-VIII/10</w:t>
        </w:r>
      </w:hyperlink>
      <w:r>
        <w:rPr>
          <w:kern w:val="22"/>
          <w:lang w:val="es-ES"/>
        </w:rPr>
        <w:t>,</w:t>
      </w:r>
    </w:p>
    <w:p w:rsidR="00AC339A" w:rsidRDefault="00AC339A">
      <w:pPr>
        <w:suppressLineNumbers/>
        <w:suppressAutoHyphens/>
        <w:kinsoku w:val="0"/>
        <w:overflowPunct w:val="0"/>
        <w:autoSpaceDE w:val="0"/>
        <w:autoSpaceDN w:val="0"/>
        <w:adjustRightInd w:val="0"/>
        <w:snapToGrid w:val="0"/>
        <w:spacing w:before="120" w:after="120"/>
        <w:ind w:firstLine="720"/>
        <w:rPr>
          <w:i/>
          <w:kern w:val="22"/>
          <w:lang w:val="es-ES"/>
        </w:rPr>
      </w:pPr>
      <w:r>
        <w:rPr>
          <w:i/>
          <w:kern w:val="22"/>
          <w:lang w:val="es-ES"/>
        </w:rPr>
        <w:t>Habiendo examinado</w:t>
      </w:r>
      <w:r>
        <w:rPr>
          <w:kern w:val="22"/>
          <w:lang w:val="es-ES"/>
        </w:rPr>
        <w:t xml:space="preserve"> la experiencia en la celebración de reuniones concurrentes de la Conferencia de las Partes, la Conferencia de las Partes que actúa como reunión de las Partes en el Protocolo de Cartagena y la Conferencia de las Partes que actúa como reunión de las Partes en el Protocolo de Nagoya, aplicando los criterios establecidos en la decisión CP-VIII/10,</w:t>
      </w:r>
      <w:r>
        <w:rPr>
          <w:i/>
          <w:kern w:val="22"/>
          <w:lang w:val="es-ES"/>
        </w:rPr>
        <w:t xml:space="preserve"> </w:t>
      </w:r>
      <w:r>
        <w:rPr>
          <w:kern w:val="22"/>
          <w:lang w:val="es-ES"/>
        </w:rPr>
        <w:t>y</w:t>
      </w:r>
      <w:r>
        <w:rPr>
          <w:i/>
          <w:kern w:val="22"/>
          <w:lang w:val="es-ES"/>
        </w:rPr>
        <w:t xml:space="preserve"> tomando en cuenta</w:t>
      </w:r>
      <w:r>
        <w:rPr>
          <w:kern w:val="22"/>
          <w:lang w:val="es-ES"/>
        </w:rPr>
        <w:t xml:space="preserve"> las opiniones de las Partes, los observadores y los participantes que asistieron a la 13ª reunión de la Conferencia de las Partes en el Convenio, la 8ª reunión de la Conferencia de las Partes que actúa como reunión de las Partes en el Protocolo de Cartagena y la 2ª reunión de la Conferencia de las Partes que actúa como reunión de las Partes en el Protocolo de Nagoya, y las opiniones recabadas a través de las encuestas realizadas después de las reuniones,</w:t>
      </w:r>
    </w:p>
    <w:p w:rsidR="00AC339A" w:rsidRDefault="00AC339A">
      <w:pPr>
        <w:suppressLineNumbers/>
        <w:suppressAutoHyphens/>
        <w:kinsoku w:val="0"/>
        <w:overflowPunct w:val="0"/>
        <w:autoSpaceDE w:val="0"/>
        <w:autoSpaceDN w:val="0"/>
        <w:adjustRightInd w:val="0"/>
        <w:snapToGrid w:val="0"/>
        <w:spacing w:before="120" w:after="120"/>
        <w:ind w:firstLine="720"/>
        <w:rPr>
          <w:kern w:val="22"/>
          <w:lang w:val="es-ES"/>
        </w:rPr>
      </w:pPr>
      <w:r>
        <w:rPr>
          <w:i/>
          <w:kern w:val="22"/>
          <w:lang w:val="es-ES"/>
        </w:rPr>
        <w:t>Reconociendo</w:t>
      </w:r>
      <w:r>
        <w:rPr>
          <w:kern w:val="22"/>
          <w:lang w:val="es-ES"/>
        </w:rPr>
        <w:t xml:space="preserve"> que se realizará otro examen en la 15ª reunión de la Conferencia de las Partes en el Convenio, la 10ª reunión de la Conferencia de las Partes que actúa como reunión de las Partes en el Protocolo de Cartagena y la 4ª reunión de la Conferencia de las Partes que actúa como reunión de las Partes en el Protocolo de Nagoya,</w:t>
      </w:r>
    </w:p>
    <w:p w:rsidR="00AC339A" w:rsidRDefault="00AC339A">
      <w:pPr>
        <w:suppressLineNumbers/>
        <w:suppressAutoHyphens/>
        <w:kinsoku w:val="0"/>
        <w:overflowPunct w:val="0"/>
        <w:autoSpaceDE w:val="0"/>
        <w:autoSpaceDN w:val="0"/>
        <w:adjustRightInd w:val="0"/>
        <w:snapToGrid w:val="0"/>
        <w:spacing w:before="120" w:after="120"/>
        <w:ind w:firstLine="720"/>
        <w:rPr>
          <w:kern w:val="22"/>
          <w:lang w:val="es-ES"/>
        </w:rPr>
      </w:pPr>
      <w:r>
        <w:rPr>
          <w:kern w:val="22"/>
          <w:lang w:val="es-ES"/>
        </w:rPr>
        <w:t>1.</w:t>
      </w:r>
      <w:r>
        <w:rPr>
          <w:kern w:val="22"/>
          <w:lang w:val="es-ES"/>
        </w:rPr>
        <w:tab/>
      </w:r>
      <w:r>
        <w:rPr>
          <w:i/>
          <w:kern w:val="22"/>
          <w:lang w:val="es-ES"/>
        </w:rPr>
        <w:t>Observa con satisfacción</w:t>
      </w:r>
      <w:r>
        <w:rPr>
          <w:kern w:val="22"/>
          <w:lang w:val="es-ES"/>
        </w:rPr>
        <w:t xml:space="preserve"> que las reuniones concurrentes han permitido una mayor integración entre el Convenio y sus Protocolos y han mejorado las consultas, la coordinación y las sinergias entre los respectivos puntos focales nacionales;</w:t>
      </w:r>
    </w:p>
    <w:p w:rsidR="00AC339A" w:rsidRDefault="00AC339A">
      <w:pPr>
        <w:suppressLineNumbers/>
        <w:suppressAutoHyphens/>
        <w:kinsoku w:val="0"/>
        <w:overflowPunct w:val="0"/>
        <w:autoSpaceDE w:val="0"/>
        <w:autoSpaceDN w:val="0"/>
        <w:adjustRightInd w:val="0"/>
        <w:snapToGrid w:val="0"/>
        <w:spacing w:before="120" w:after="120"/>
        <w:ind w:firstLine="720"/>
        <w:rPr>
          <w:kern w:val="22"/>
          <w:lang w:val="es-ES"/>
        </w:rPr>
      </w:pPr>
      <w:r>
        <w:rPr>
          <w:kern w:val="22"/>
          <w:lang w:val="es-ES"/>
        </w:rPr>
        <w:t>2.</w:t>
      </w:r>
      <w:r>
        <w:rPr>
          <w:kern w:val="22"/>
          <w:lang w:val="es-ES"/>
        </w:rPr>
        <w:tab/>
      </w:r>
      <w:r>
        <w:rPr>
          <w:i/>
          <w:spacing w:val="-2"/>
          <w:kern w:val="22"/>
          <w:lang w:val="es-ES"/>
        </w:rPr>
        <w:t>Observa</w:t>
      </w:r>
      <w:r>
        <w:rPr>
          <w:spacing w:val="-2"/>
          <w:kern w:val="22"/>
          <w:lang w:val="es-ES"/>
        </w:rPr>
        <w:t xml:space="preserve"> que se consideró que se habían cumplido total o parcialmente la mayoría de los criterios y que se podría seguir mejorando el funcionamiento de las reuniones concurrentes, en particular para lograr mejores resultados y una mayor eficacia en las reuniones de las Partes en los Protocolos</w:t>
      </w:r>
      <w:r>
        <w:rPr>
          <w:kern w:val="22"/>
          <w:lang w:val="es-ES"/>
        </w:rPr>
        <w:t>;</w:t>
      </w:r>
    </w:p>
    <w:p w:rsidR="00AC339A" w:rsidRDefault="00AC339A">
      <w:pPr>
        <w:suppressLineNumbers/>
        <w:suppressAutoHyphens/>
        <w:kinsoku w:val="0"/>
        <w:overflowPunct w:val="0"/>
        <w:autoSpaceDE w:val="0"/>
        <w:autoSpaceDN w:val="0"/>
        <w:adjustRightInd w:val="0"/>
        <w:snapToGrid w:val="0"/>
        <w:spacing w:before="120" w:after="120"/>
        <w:ind w:firstLine="720"/>
        <w:rPr>
          <w:kern w:val="22"/>
          <w:lang w:val="es-ES"/>
        </w:rPr>
      </w:pPr>
      <w:r>
        <w:rPr>
          <w:kern w:val="22"/>
          <w:lang w:val="es-ES"/>
        </w:rPr>
        <w:lastRenderedPageBreak/>
        <w:t>3.</w:t>
      </w:r>
      <w:r>
        <w:rPr>
          <w:kern w:val="22"/>
          <w:lang w:val="es-ES"/>
        </w:rPr>
        <w:tab/>
      </w:r>
      <w:r>
        <w:rPr>
          <w:i/>
          <w:kern w:val="22"/>
          <w:lang w:val="es-ES"/>
        </w:rPr>
        <w:t>Reitera</w:t>
      </w:r>
      <w:r>
        <w:rPr>
          <w:kern w:val="22"/>
          <w:lang w:val="es-ES"/>
        </w:rPr>
        <w:t xml:space="preserve"> la importancia de garantizar la participación plena y efectiva de representantes de las Partes que son países en desarrollo, en particular los países menos adelantados y los pequeños Estados insulares en desarrollo entre ellos, y los países con economías en transición, en las reuniones concurrentes y </w:t>
      </w:r>
      <w:r>
        <w:rPr>
          <w:i/>
          <w:kern w:val="22"/>
          <w:lang w:val="es-ES"/>
        </w:rPr>
        <w:t>resalta</w:t>
      </w:r>
      <w:r>
        <w:rPr>
          <w:kern w:val="22"/>
          <w:lang w:val="es-ES"/>
        </w:rPr>
        <w:t>, al respecto, la importancia, en particular, de garantizar una participación adecuada de representantes en las reuniones de los Protocolos mediante la facilitación de fondos para esa participación, incluido en las reuniones entre períodos de sesiones;</w:t>
      </w:r>
    </w:p>
    <w:p w:rsidR="00AC339A" w:rsidRDefault="00AC339A">
      <w:pPr>
        <w:suppressLineNumbers/>
        <w:suppressAutoHyphens/>
        <w:kinsoku w:val="0"/>
        <w:overflowPunct w:val="0"/>
        <w:autoSpaceDE w:val="0"/>
        <w:autoSpaceDN w:val="0"/>
        <w:adjustRightInd w:val="0"/>
        <w:snapToGrid w:val="0"/>
        <w:spacing w:before="120" w:after="120"/>
        <w:ind w:firstLine="720"/>
        <w:rPr>
          <w:kern w:val="22"/>
          <w:lang w:val="es-ES"/>
        </w:rPr>
      </w:pPr>
      <w:r>
        <w:rPr>
          <w:kern w:val="22"/>
          <w:lang w:val="es-ES"/>
        </w:rPr>
        <w:t>4.</w:t>
      </w:r>
      <w:r>
        <w:rPr>
          <w:kern w:val="22"/>
          <w:lang w:val="es-ES"/>
        </w:rPr>
        <w:tab/>
      </w:r>
      <w:r>
        <w:rPr>
          <w:i/>
          <w:kern w:val="22"/>
          <w:lang w:val="es-ES"/>
        </w:rPr>
        <w:t>Pide</w:t>
      </w:r>
      <w:r>
        <w:rPr>
          <w:kern w:val="22"/>
          <w:lang w:val="es-ES"/>
        </w:rPr>
        <w:t xml:space="preserve"> a la Secretaria Ejecutiva que </w:t>
      </w:r>
      <w:r w:rsidR="00902B3F">
        <w:rPr>
          <w:kern w:val="22"/>
          <w:lang w:val="es-ES"/>
        </w:rPr>
        <w:t>continúe</w:t>
      </w:r>
      <w:r>
        <w:rPr>
          <w:kern w:val="22"/>
          <w:lang w:val="es-ES"/>
        </w:rPr>
        <w:t xml:space="preserve"> trabajando en el examen preliminar de la experiencia en la celebración de reuniones concurrentes, </w:t>
      </w:r>
      <w:r w:rsidR="00902B3F">
        <w:rPr>
          <w:kern w:val="22"/>
          <w:lang w:val="es-ES"/>
        </w:rPr>
        <w:t>ap</w:t>
      </w:r>
      <w:r>
        <w:rPr>
          <w:kern w:val="22"/>
          <w:lang w:val="es-ES"/>
        </w:rPr>
        <w:t>li</w:t>
      </w:r>
      <w:r w:rsidR="00902B3F">
        <w:rPr>
          <w:kern w:val="22"/>
          <w:lang w:val="es-ES"/>
        </w:rPr>
        <w:t>c</w:t>
      </w:r>
      <w:r>
        <w:rPr>
          <w:kern w:val="22"/>
          <w:lang w:val="es-ES"/>
        </w:rPr>
        <w:t xml:space="preserve">ando los criterios indicados en la decisión CP-VIII/10, sobre la base de </w:t>
      </w:r>
      <w:r w:rsidR="00902B3F">
        <w:rPr>
          <w:kern w:val="22"/>
          <w:lang w:val="es-ES"/>
        </w:rPr>
        <w:t xml:space="preserve">la experiencia adquirida en la celebración en forma </w:t>
      </w:r>
      <w:r>
        <w:rPr>
          <w:kern w:val="22"/>
          <w:lang w:val="es-ES"/>
        </w:rPr>
        <w:t>concurrente de la 14ª reunión de la Conferencia de las Partes, la 9ª reunión de la Conferencia de las Partes que actúa como reunión de las Partes en el Protocolo de Cartagena y la 3ª reunión de la Conferencia de las Partes que actúa como reunión de las Partes en el Protocolo de Nagoya, para que sea examinado por el Órgano Subsidiario sobre la Aplicación en su tercera reunión;</w:t>
      </w:r>
    </w:p>
    <w:p w:rsidR="00AC339A" w:rsidRDefault="00AC339A">
      <w:pPr>
        <w:pStyle w:val="ListParagraph"/>
        <w:suppressLineNumbers/>
        <w:shd w:val="clear" w:color="auto" w:fill="FFFFFF"/>
        <w:suppressAutoHyphens/>
        <w:spacing w:before="120" w:after="120"/>
        <w:ind w:left="0" w:firstLine="720"/>
        <w:contextualSpacing w:val="0"/>
        <w:rPr>
          <w:kern w:val="22"/>
          <w:szCs w:val="24"/>
          <w:lang w:val="es-ES"/>
        </w:rPr>
      </w:pPr>
      <w:r>
        <w:rPr>
          <w:kern w:val="22"/>
          <w:szCs w:val="24"/>
          <w:lang w:val="es-ES"/>
        </w:rPr>
        <w:t>5.</w:t>
      </w:r>
      <w:r>
        <w:rPr>
          <w:kern w:val="22"/>
          <w:szCs w:val="24"/>
          <w:lang w:val="es-ES"/>
        </w:rPr>
        <w:tab/>
      </w:r>
      <w:r>
        <w:rPr>
          <w:i/>
          <w:kern w:val="22"/>
          <w:szCs w:val="24"/>
          <w:lang w:val="es-ES"/>
        </w:rPr>
        <w:t>Pide</w:t>
      </w:r>
      <w:r>
        <w:rPr>
          <w:kern w:val="22"/>
          <w:szCs w:val="24"/>
          <w:lang w:val="es-ES"/>
        </w:rPr>
        <w:t xml:space="preserve"> a la Mesa y a la Secretaria Ejecutiva que, al terminar la propuesta de organización de los trabajos para la 15ª reunión de la Conferencia de las Partes en el Convenio, la 10ª reunión de la Conferencia de las Partes que actúa como reunión de las Partes en el Protocolo de Cartagena y la</w:t>
      </w:r>
      <w:r w:rsidR="00902B3F">
        <w:rPr>
          <w:kern w:val="22"/>
          <w:szCs w:val="24"/>
          <w:lang w:val="es-ES"/>
        </w:rPr>
        <w:t> </w:t>
      </w:r>
      <w:r>
        <w:rPr>
          <w:kern w:val="22"/>
          <w:szCs w:val="24"/>
          <w:lang w:val="es-ES"/>
        </w:rPr>
        <w:t xml:space="preserve">4ª reunión de la Conferencia de las Partes que actúa como reunión de las Partes en el Protocolo de Nagoya, tengan en cuenta la presente decisión, la información que figura en la nota de la Secretaria </w:t>
      </w:r>
      <w:r w:rsidRPr="00902B3F">
        <w:rPr>
          <w:kern w:val="22"/>
          <w:szCs w:val="24"/>
          <w:lang w:val="es-ES"/>
        </w:rPr>
        <w:t>Ejecutiva</w:t>
      </w:r>
      <w:r w:rsidRPr="00902B3F">
        <w:rPr>
          <w:rFonts w:eastAsia="MS Mincho"/>
          <w:kern w:val="22"/>
          <w:szCs w:val="24"/>
          <w:vertAlign w:val="superscript"/>
          <w:lang w:val="es-ES"/>
        </w:rPr>
        <w:footnoteReference w:id="1"/>
      </w:r>
      <w:r w:rsidRPr="00902B3F">
        <w:rPr>
          <w:kern w:val="22"/>
          <w:szCs w:val="24"/>
          <w:lang w:val="es-ES"/>
        </w:rPr>
        <w:t xml:space="preserve"> y la</w:t>
      </w:r>
      <w:r>
        <w:rPr>
          <w:kern w:val="22"/>
          <w:szCs w:val="24"/>
          <w:lang w:val="es-ES"/>
        </w:rPr>
        <w:t xml:space="preserve"> experiencia en la celebración en forma concurrente de la 14ª reunión de la Conferencia de las Partes, la 9ª reunión de la Conferencia de las Partes que actúa como reunión de las Partes en el Protocolo de Cartagena y la 3ª reunión de la Conferencia de las Partes que actúa como reunión de las Partes en el Protocolo de Nagoya.</w:t>
      </w:r>
    </w:p>
    <w:p w:rsidR="00AC339A" w:rsidRDefault="00AC339A">
      <w:pPr>
        <w:jc w:val="center"/>
        <w:rPr>
          <w:kern w:val="22"/>
          <w:lang w:val="es-ES"/>
        </w:rPr>
      </w:pPr>
      <w:r>
        <w:rPr>
          <w:kern w:val="22"/>
          <w:lang w:val="es-ES"/>
        </w:rPr>
        <w:t>__________</w:t>
      </w:r>
    </w:p>
    <w:p w:rsidR="00AC339A" w:rsidRDefault="00AC339A">
      <w:pPr>
        <w:rPr>
          <w:kern w:val="22"/>
          <w:lang w:val="es-ES"/>
        </w:rPr>
      </w:pPr>
    </w:p>
    <w:p w:rsidR="00AC339A" w:rsidRDefault="00AC339A">
      <w:pPr>
        <w:spacing w:before="120" w:after="240"/>
        <w:jc w:val="center"/>
        <w:rPr>
          <w:b/>
          <w:caps/>
          <w:kern w:val="22"/>
          <w:lang w:val="es-ES"/>
        </w:rPr>
      </w:pPr>
    </w:p>
    <w:p w:rsidR="00AC339A" w:rsidRDefault="00AC339A">
      <w:pPr>
        <w:rPr>
          <w:kern w:val="22"/>
          <w:lang w:val="es-ES"/>
        </w:rPr>
      </w:pPr>
    </w:p>
    <w:sectPr w:rsidR="00AC339A">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679" w:rsidRDefault="00801679">
      <w:r>
        <w:separator/>
      </w:r>
    </w:p>
  </w:endnote>
  <w:endnote w:type="continuationSeparator" w:id="0">
    <w:p w:rsidR="00801679" w:rsidRDefault="00801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679" w:rsidRDefault="00801679">
      <w:r>
        <w:separator/>
      </w:r>
    </w:p>
  </w:footnote>
  <w:footnote w:type="continuationSeparator" w:id="0">
    <w:p w:rsidR="00801679" w:rsidRDefault="00801679">
      <w:r>
        <w:continuationSeparator/>
      </w:r>
    </w:p>
  </w:footnote>
  <w:footnote w:id="1">
    <w:p w:rsidR="00AC339A" w:rsidRDefault="00AC339A">
      <w:pPr>
        <w:pStyle w:val="FootnoteText"/>
        <w:ind w:firstLine="0"/>
        <w:jc w:val="left"/>
      </w:pPr>
      <w:r>
        <w:rPr>
          <w:rStyle w:val="FootnoteReference"/>
        </w:rPr>
        <w:footnoteRef/>
      </w:r>
      <w:r>
        <w:t xml:space="preserve"> </w:t>
      </w:r>
      <w:hyperlink r:id="rId1" w:history="1">
        <w:r>
          <w:rPr>
            <w:rStyle w:val="Hyperlink"/>
            <w:lang w:val="es-ES"/>
          </w:rPr>
          <w:t>CBD/SBI/2/16</w:t>
        </w:r>
      </w:hyperlink>
      <w:r>
        <w:rPr>
          <w:lang w:val="es-ES"/>
        </w:rPr>
        <w:t xml:space="preserve"> y </w:t>
      </w:r>
      <w:hyperlink r:id="rId2" w:history="1">
        <w:r>
          <w:rPr>
            <w:rStyle w:val="Hyperlink"/>
            <w:lang w:val="es-ES"/>
          </w:rPr>
          <w:t>Add.1</w:t>
        </w:r>
      </w:hyperlink>
      <w:r>
        <w:rPr>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39A" w:rsidRDefault="00AC339A">
    <w:pPr>
      <w:pStyle w:val="Header"/>
      <w:tabs>
        <w:tab w:val="clear" w:pos="4320"/>
        <w:tab w:val="clear" w:pos="8640"/>
      </w:tabs>
      <w:jc w:val="left"/>
      <w:rPr>
        <w:kern w:val="22"/>
        <w:lang w:val="es-ES"/>
      </w:rPr>
    </w:pPr>
    <w:r>
      <w:rPr>
        <w:kern w:val="22"/>
        <w:lang w:val="es-ES"/>
      </w:rPr>
      <w:t>CBD/CP/MOP/DEC/9/8</w:t>
    </w:r>
  </w:p>
  <w:p w:rsidR="00AC339A" w:rsidRDefault="00AC339A">
    <w:pPr>
      <w:pStyle w:val="Header"/>
      <w:tabs>
        <w:tab w:val="clear" w:pos="4320"/>
        <w:tab w:val="clear" w:pos="8640"/>
      </w:tabs>
      <w:jc w:val="left"/>
      <w:rPr>
        <w:kern w:val="22"/>
        <w:lang w:val="es-ES"/>
      </w:rPr>
    </w:pPr>
    <w:r>
      <w:rPr>
        <w:kern w:val="22"/>
        <w:lang w:val="es-ES"/>
      </w:rPr>
      <w:t xml:space="preserve">Página </w:t>
    </w:r>
    <w:r>
      <w:rPr>
        <w:kern w:val="22"/>
        <w:lang w:val="es-ES"/>
      </w:rPr>
      <w:fldChar w:fldCharType="begin"/>
    </w:r>
    <w:r>
      <w:rPr>
        <w:kern w:val="22"/>
        <w:lang w:val="es-ES"/>
      </w:rPr>
      <w:instrText xml:space="preserve"> PAGE   \* MERGEFORMAT </w:instrText>
    </w:r>
    <w:r>
      <w:rPr>
        <w:kern w:val="22"/>
        <w:lang w:val="es-ES"/>
      </w:rPr>
      <w:fldChar w:fldCharType="separate"/>
    </w:r>
    <w:r w:rsidR="00902B3F" w:rsidRPr="00902B3F">
      <w:rPr>
        <w:noProof/>
        <w:kern w:val="22"/>
      </w:rPr>
      <w:t>2</w:t>
    </w:r>
    <w:r>
      <w:rPr>
        <w:kern w:val="22"/>
        <w:lang w:val="es-ES"/>
      </w:rPr>
      <w:fldChar w:fldCharType="end"/>
    </w:r>
  </w:p>
  <w:p w:rsidR="00AC339A" w:rsidRDefault="00AC339A">
    <w:pPr>
      <w:pStyle w:val="Header"/>
      <w:tabs>
        <w:tab w:val="clear" w:pos="4320"/>
        <w:tab w:val="clear" w:pos="8640"/>
      </w:tabs>
      <w:jc w:val="left"/>
      <w:rPr>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39A" w:rsidRDefault="00AC339A">
    <w:pPr>
      <w:pStyle w:val="Header"/>
      <w:jc w:val="right"/>
      <w:rPr>
        <w:lang w:val="es-ES"/>
      </w:rPr>
    </w:pPr>
    <w:r>
      <w:rPr>
        <w:lang w:val="es-ES"/>
      </w:rPr>
      <w:t>CBD/CP/MOP/DEC/9/8</w:t>
    </w:r>
  </w:p>
  <w:p w:rsidR="00AC339A" w:rsidRDefault="00AC339A">
    <w:pPr>
      <w:pStyle w:val="Header"/>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rPr>
      <w:t>3</w:t>
    </w:r>
    <w:r>
      <w:rPr>
        <w:lang w:val="es-ES"/>
      </w:rPr>
      <w:fldChar w:fldCharType="end"/>
    </w:r>
  </w:p>
  <w:p w:rsidR="00AC339A" w:rsidRDefault="00AC339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4E5D154C"/>
    <w:multiLevelType w:val="multilevel"/>
    <w:tmpl w:val="8982DC1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Letter"/>
      <w:lvlText w:val="(%3)"/>
      <w:lvlJc w:val="lef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007A6"/>
    <w:rsid w:val="00036CDC"/>
    <w:rsid w:val="000579E1"/>
    <w:rsid w:val="00094FF5"/>
    <w:rsid w:val="000B2E1D"/>
    <w:rsid w:val="000E673A"/>
    <w:rsid w:val="000F4914"/>
    <w:rsid w:val="000F74F5"/>
    <w:rsid w:val="00105372"/>
    <w:rsid w:val="00131E7A"/>
    <w:rsid w:val="0016171D"/>
    <w:rsid w:val="00172AF6"/>
    <w:rsid w:val="00176CEE"/>
    <w:rsid w:val="00186DD8"/>
    <w:rsid w:val="00191558"/>
    <w:rsid w:val="002246DE"/>
    <w:rsid w:val="00227E15"/>
    <w:rsid w:val="00230F8C"/>
    <w:rsid w:val="00273079"/>
    <w:rsid w:val="002B37B6"/>
    <w:rsid w:val="002F6E3E"/>
    <w:rsid w:val="00356B2E"/>
    <w:rsid w:val="00372F74"/>
    <w:rsid w:val="0038758A"/>
    <w:rsid w:val="003D6DF7"/>
    <w:rsid w:val="003F7224"/>
    <w:rsid w:val="004018AD"/>
    <w:rsid w:val="00424985"/>
    <w:rsid w:val="00427D21"/>
    <w:rsid w:val="0045179F"/>
    <w:rsid w:val="004644C2"/>
    <w:rsid w:val="00467F9C"/>
    <w:rsid w:val="00491871"/>
    <w:rsid w:val="004D62CD"/>
    <w:rsid w:val="0050225C"/>
    <w:rsid w:val="00534681"/>
    <w:rsid w:val="00541ABC"/>
    <w:rsid w:val="00567CAB"/>
    <w:rsid w:val="005D29A7"/>
    <w:rsid w:val="006122BA"/>
    <w:rsid w:val="00643D38"/>
    <w:rsid w:val="0066118D"/>
    <w:rsid w:val="0068672C"/>
    <w:rsid w:val="006A444D"/>
    <w:rsid w:val="006B2290"/>
    <w:rsid w:val="00710E00"/>
    <w:rsid w:val="00717D88"/>
    <w:rsid w:val="00755776"/>
    <w:rsid w:val="007813DE"/>
    <w:rsid w:val="007942D3"/>
    <w:rsid w:val="007B078D"/>
    <w:rsid w:val="007B6C09"/>
    <w:rsid w:val="007E09DA"/>
    <w:rsid w:val="00801679"/>
    <w:rsid w:val="008178B6"/>
    <w:rsid w:val="008228AB"/>
    <w:rsid w:val="0082555F"/>
    <w:rsid w:val="00865B74"/>
    <w:rsid w:val="008B7D32"/>
    <w:rsid w:val="008C2410"/>
    <w:rsid w:val="008D74B8"/>
    <w:rsid w:val="00902B3F"/>
    <w:rsid w:val="00930BA1"/>
    <w:rsid w:val="0093169E"/>
    <w:rsid w:val="009505C9"/>
    <w:rsid w:val="0098522B"/>
    <w:rsid w:val="00990B7E"/>
    <w:rsid w:val="00A962AC"/>
    <w:rsid w:val="00AB78B0"/>
    <w:rsid w:val="00AC3393"/>
    <w:rsid w:val="00AC339A"/>
    <w:rsid w:val="00AD330F"/>
    <w:rsid w:val="00AF085B"/>
    <w:rsid w:val="00B22186"/>
    <w:rsid w:val="00B3369F"/>
    <w:rsid w:val="00BE794D"/>
    <w:rsid w:val="00C20995"/>
    <w:rsid w:val="00C350DA"/>
    <w:rsid w:val="00C443BD"/>
    <w:rsid w:val="00C453C1"/>
    <w:rsid w:val="00C61C07"/>
    <w:rsid w:val="00C710EF"/>
    <w:rsid w:val="00C9161D"/>
    <w:rsid w:val="00CC0DC1"/>
    <w:rsid w:val="00CF1848"/>
    <w:rsid w:val="00D12044"/>
    <w:rsid w:val="00D405D2"/>
    <w:rsid w:val="00D76A18"/>
    <w:rsid w:val="00DA0752"/>
    <w:rsid w:val="00DA499C"/>
    <w:rsid w:val="00DB0D04"/>
    <w:rsid w:val="00DD118C"/>
    <w:rsid w:val="00DE65A2"/>
    <w:rsid w:val="00E118C7"/>
    <w:rsid w:val="00E4079E"/>
    <w:rsid w:val="00E66235"/>
    <w:rsid w:val="00E83C24"/>
    <w:rsid w:val="00E9318D"/>
    <w:rsid w:val="00EA0A14"/>
    <w:rsid w:val="00ED72FA"/>
    <w:rsid w:val="00EF7107"/>
    <w:rsid w:val="00F0021B"/>
    <w:rsid w:val="00F4051A"/>
    <w:rsid w:val="00F61BCB"/>
    <w:rsid w:val="00F6586C"/>
    <w:rsid w:val="00F82B42"/>
    <w:rsid w:val="00F94774"/>
    <w:rsid w:val="00FC53DB"/>
    <w:rsid w:val="00FC580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0"/>
    <w:qFormat/>
    <w:pPr>
      <w:jc w:val="both"/>
    </w:pPr>
    <w:rPr>
      <w:snapToGrid w:val="0"/>
      <w:sz w:val="22"/>
      <w:szCs w:val="24"/>
      <w:lang w:val="en-GB" w:eastAsia="es-ES"/>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sz w:val="28"/>
    </w:rPr>
  </w:style>
  <w:style w:type="paragraph" w:styleId="Heading8">
    <w:name w:val="heading 8"/>
    <w:basedOn w:val="Normal"/>
    <w:next w:val="Normal"/>
    <w:qFormat/>
    <w:pPr>
      <w:keepNext/>
      <w:jc w:val="right"/>
      <w:outlineLvl w:val="7"/>
    </w:pPr>
    <w:rPr>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eastAsia="MS Mincho"/>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sz w:val="18"/>
      <w:szCs w:val="18"/>
    </w:rPr>
  </w:style>
  <w:style w:type="character" w:customStyle="1" w:styleId="CharChar8">
    <w:name w:val="Char Char8"/>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Pr>
      <w:rFonts w:cs="Times New Roman"/>
      <w:color w:val="808080"/>
    </w:rPr>
  </w:style>
  <w:style w:type="paragraph" w:styleId="Header">
    <w:name w:val="header"/>
    <w:basedOn w:val="Normal"/>
    <w:pPr>
      <w:tabs>
        <w:tab w:val="center" w:pos="4320"/>
        <w:tab w:val="right" w:pos="8640"/>
      </w:tabs>
    </w:pPr>
  </w:style>
  <w:style w:type="character" w:customStyle="1" w:styleId="CharChar7">
    <w:name w:val="Char Char7"/>
    <w:basedOn w:val="DefaultParagraphFont"/>
    <w:locked/>
    <w:rPr>
      <w:rFonts w:ascii="Times New Roman" w:eastAsia="Times New Roman" w:hAnsi="Times New Roman" w:cs="Times New Roman"/>
      <w:sz w:val="22"/>
      <w:lang w:val="en-GB"/>
    </w:rPr>
  </w:style>
  <w:style w:type="paragraph" w:styleId="Footer">
    <w:name w:val="footer"/>
    <w:basedOn w:val="Normal"/>
    <w:pPr>
      <w:tabs>
        <w:tab w:val="center" w:pos="4320"/>
        <w:tab w:val="right" w:pos="8640"/>
      </w:tabs>
      <w:ind w:firstLine="720"/>
      <w:jc w:val="right"/>
    </w:pPr>
  </w:style>
  <w:style w:type="character" w:customStyle="1" w:styleId="CharChar6">
    <w:name w:val="Char Char6"/>
    <w:basedOn w:val="DefaultParagraphFont"/>
    <w:locked/>
    <w:rPr>
      <w:rFonts w:ascii="Times New Roman" w:eastAsia="Times New Roman" w:hAnsi="Times New Roman" w:cs="Times New Roman"/>
      <w:sz w:val="22"/>
      <w:lang w:val="en-GB"/>
    </w:rPr>
  </w:style>
  <w:style w:type="paragraph" w:customStyle="1" w:styleId="meetingname">
    <w:name w:val="meeting name"/>
    <w:basedOn w:val="Normal"/>
    <w:pPr>
      <w:ind w:left="142" w:right="4218" w:hanging="142"/>
    </w:pPr>
    <w:rPr>
      <w:caps/>
      <w:szCs w:val="22"/>
    </w:rPr>
  </w:style>
  <w:style w:type="paragraph" w:styleId="Title">
    <w:name w:val="Title"/>
    <w:basedOn w:val="Normal"/>
    <w:next w:val="Normal"/>
    <w:qFormat/>
    <w:pPr>
      <w:pBdr>
        <w:bottom w:val="single" w:sz="8" w:space="4" w:color="4F81BD"/>
      </w:pBdr>
      <w:spacing w:after="300"/>
      <w:contextualSpacing/>
    </w:pPr>
    <w:rPr>
      <w:color w:val="17365D"/>
      <w:spacing w:val="5"/>
      <w:kern w:val="28"/>
      <w:sz w:val="52"/>
      <w:szCs w:val="52"/>
    </w:rPr>
  </w:style>
  <w:style w:type="character" w:customStyle="1" w:styleId="CharChar5">
    <w:name w:val="Char Char5"/>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i/>
      <w:iCs/>
      <w:color w:val="4F81BD"/>
      <w:spacing w:val="15"/>
      <w:sz w:val="24"/>
    </w:rPr>
  </w:style>
  <w:style w:type="character" w:customStyle="1" w:styleId="CharChar4">
    <w:name w:val="Char Char4"/>
    <w:basedOn w:val="DefaultParagraphFont"/>
    <w:locked/>
    <w:rPr>
      <w:rFonts w:ascii="Times New Roman" w:eastAsia="Times New Roman" w:hAnsi="Times New Roman" w:cs="Times New Roman"/>
      <w:i/>
      <w:iCs/>
      <w:color w:val="4F81BD"/>
      <w:spacing w:val="15"/>
      <w:lang w:val="en-US"/>
    </w:rPr>
  </w:style>
  <w:style w:type="character" w:customStyle="1" w:styleId="CharChar17">
    <w:name w:val="Char Char17"/>
    <w:basedOn w:val="DefaultParagraphFont"/>
    <w:locked/>
    <w:rPr>
      <w:rFonts w:ascii="Times New Roman" w:eastAsia="Times New Roman" w:hAnsi="Times New Roman" w:cs="Times New Roman"/>
      <w:b/>
      <w:caps/>
      <w:sz w:val="22"/>
      <w:lang w:val="en-GB"/>
    </w:rPr>
  </w:style>
  <w:style w:type="paragraph" w:styleId="BodyText">
    <w:name w:val="Body Text"/>
    <w:basedOn w:val="Normal"/>
    <w:pPr>
      <w:spacing w:before="120" w:after="120"/>
      <w:ind w:firstLine="720"/>
    </w:pPr>
    <w:rPr>
      <w:iCs/>
    </w:rPr>
  </w:style>
  <w:style w:type="character" w:customStyle="1" w:styleId="CharChar3">
    <w:name w:val="Char Char3"/>
    <w:basedOn w:val="DefaultParagraphFont"/>
    <w:locked/>
    <w:rPr>
      <w:rFonts w:ascii="Times New Roman" w:eastAsia="Times New Roman" w:hAnsi="Times New Roman" w:cs="Times New Roman"/>
      <w:iCs/>
      <w:sz w:val="22"/>
      <w:lang w:val="en-GB"/>
    </w:rPr>
  </w:style>
  <w:style w:type="paragraph" w:styleId="BodyTextIndent">
    <w:name w:val="Body Text Indent"/>
    <w:basedOn w:val="Normal"/>
    <w:pPr>
      <w:spacing w:before="120" w:after="120"/>
      <w:ind w:left="1440" w:hanging="720"/>
      <w:jc w:val="left"/>
    </w:pPr>
  </w:style>
  <w:style w:type="character" w:customStyle="1" w:styleId="CharChar2">
    <w:name w:val="Char Char2"/>
    <w:basedOn w:val="DefaultParagraphFont"/>
    <w:locked/>
    <w:rPr>
      <w:rFonts w:ascii="Times New Roman" w:eastAsia="Times New Roman" w:hAnsi="Times New Roman" w:cs="Times New Roman"/>
      <w:sz w:val="22"/>
      <w:lang w:val="en-G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after="120" w:line="240" w:lineRule="exact"/>
    </w:pPr>
  </w:style>
  <w:style w:type="character" w:customStyle="1" w:styleId="CharChar1">
    <w:name w:val="Char Char1"/>
    <w:basedOn w:val="DefaultParagraphFont"/>
    <w:semiHidden/>
    <w:locked/>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character" w:customStyle="1" w:styleId="CharChar">
    <w:name w:val="Char Char"/>
    <w:basedOn w:val="DefaultParagraphFont"/>
    <w:semiHidden/>
    <w:locked/>
    <w:rPr>
      <w:rFonts w:ascii="Courier New" w:eastAsia="Times New Roman" w:hAnsi="Courier New" w:cs="Times New Roman"/>
      <w:sz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BVI fnr Char Char Char,BVI fnr Car Car Char Char Char,BVI fnr Car Char Char Char,BVI fnr Car Car Car Car Char Char Char Char,BVI fnr Car Car Car Car Char Char1 Char,BVI fnr Car Car Car Char Char Char"/>
    <w:basedOn w:val="DefaultParagraphFont"/>
    <w:locked/>
    <w:rPr>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pPr>
      <w:keepLines/>
      <w:spacing w:after="60"/>
      <w:ind w:firstLine="720"/>
    </w:pPr>
    <w:rPr>
      <w:sz w:val="18"/>
    </w:rPr>
  </w:style>
  <w:style w:type="character" w:customStyle="1" w:styleId="fnChar">
    <w:name w:val="fn Char"/>
    <w:aliases w:val="Geneva 9 Char,Font: Geneva 9 Char,Boston 10 Char,f Char,ft Char1,Fotnotstext Char Char,ft Char Char,single space Char,footnote text Char,FOOTNOTES Char,ADB Char,single space1 Char,footnote text1 Char,FOOTNOTES1 Char,fn1 Char,ADB1 Char,fn2 Char"/>
    <w:basedOn w:val="DefaultParagraphFont"/>
    <w:locked/>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CharChar16">
    <w:name w:val="Char Char16"/>
    <w:basedOn w:val="DefaultParagraphFont"/>
    <w:locked/>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CharChar15">
    <w:name w:val="Char Char15"/>
    <w:basedOn w:val="DefaultParagraphFont"/>
    <w:locked/>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CharChar14">
    <w:name w:val="Char Char14"/>
    <w:basedOn w:val="DefaultParagraphFont"/>
    <w:locked/>
    <w:rPr>
      <w:rFonts w:ascii="Times New Roman Bold" w:eastAsia="Times New Roman" w:hAnsi="Times New Roman Bold" w:cs="Arial"/>
      <w:b/>
      <w:bCs/>
      <w:i/>
      <w:sz w:val="22"/>
      <w:lang w:val="en-GB"/>
    </w:rPr>
  </w:style>
  <w:style w:type="paragraph" w:customStyle="1" w:styleId="Heading4indent">
    <w:name w:val="Heading 4 indent"/>
    <w:basedOn w:val="Heading4"/>
    <w:pPr>
      <w:ind w:left="720"/>
      <w:outlineLvl w:val="9"/>
    </w:pPr>
    <w:rPr>
      <w:rFonts w:ascii="Times New Roman" w:hAnsi="Times New Roman"/>
    </w:rPr>
  </w:style>
  <w:style w:type="character" w:customStyle="1" w:styleId="CharChar13">
    <w:name w:val="Char Char13"/>
    <w:basedOn w:val="DefaultParagraphFont"/>
    <w:locked/>
    <w:rPr>
      <w:rFonts w:ascii="Times New Roman" w:eastAsia="Times New Roman" w:hAnsi="Times New Roman" w:cs="Times New Roman"/>
      <w:bCs/>
      <w:i/>
      <w:sz w:val="26"/>
      <w:szCs w:val="26"/>
      <w:lang w:val="en-CA"/>
    </w:rPr>
  </w:style>
  <w:style w:type="character" w:customStyle="1" w:styleId="CharChar12">
    <w:name w:val="Char Char12"/>
    <w:basedOn w:val="DefaultParagraphFont"/>
    <w:locked/>
    <w:rPr>
      <w:rFonts w:ascii="Times New Roman" w:eastAsia="Times New Roman" w:hAnsi="Times New Roman" w:cs="Times New Roman"/>
      <w:sz w:val="22"/>
      <w:u w:val="single"/>
      <w:lang w:val="en-GB"/>
    </w:rPr>
  </w:style>
  <w:style w:type="character" w:customStyle="1" w:styleId="CharChar11">
    <w:name w:val="Char Char11"/>
    <w:basedOn w:val="DefaultParagraphFont"/>
    <w:locked/>
    <w:rPr>
      <w:rFonts w:ascii="Times New Roman" w:eastAsia="Times New Roman" w:hAnsi="Times New Roman" w:cs="Times New Roman"/>
      <w:b/>
      <w:sz w:val="28"/>
      <w:lang w:val="en-GB"/>
    </w:rPr>
  </w:style>
  <w:style w:type="character" w:customStyle="1" w:styleId="CharChar10">
    <w:name w:val="Char Char10"/>
    <w:basedOn w:val="DefaultParagraphFont"/>
    <w:locked/>
    <w:rPr>
      <w:rFonts w:ascii="Times New Roman" w:eastAsia="Times New Roman" w:hAnsi="Times New Roman" w:cs="Times New Roman"/>
      <w:b/>
      <w:sz w:val="32"/>
      <w:lang w:val="en-GB"/>
    </w:rPr>
  </w:style>
  <w:style w:type="character" w:customStyle="1" w:styleId="CharChar9">
    <w:name w:val="Char Char9"/>
    <w:basedOn w:val="DefaultParagraphFont"/>
    <w:locked/>
    <w:rPr>
      <w:rFonts w:ascii="Times New Roman" w:eastAsia="Times New Roman" w:hAnsi="Times New Roman" w:cs="Times New Roman"/>
      <w:i/>
      <w:iCs/>
      <w:sz w:val="22"/>
      <w:lang w:val="en-GB"/>
    </w:rPr>
  </w:style>
  <w:style w:type="character" w:styleId="PageNumber">
    <w:name w:val="page number"/>
    <w:basedOn w:val="DefaultParagraphFont"/>
    <w:rPr>
      <w:rFonts w:ascii="Times New Roman" w:hAnsi="Times New Roman"/>
      <w:sz w:val="22"/>
    </w:rPr>
  </w:style>
  <w:style w:type="paragraph" w:customStyle="1" w:styleId="Para1">
    <w:name w:val="Para1"/>
    <w:basedOn w:val="Normal"/>
    <w:pPr>
      <w:numPr>
        <w:numId w:val="4"/>
      </w:numPr>
      <w:tabs>
        <w:tab w:val="clear" w:pos="360"/>
      </w:tabs>
      <w:spacing w:before="120" w:after="120"/>
    </w:pPr>
    <w:rPr>
      <w:snapToGrid/>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rPr>
      <w:bCs/>
    </w:r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pPr>
      <w:jc w:val="left"/>
      <w:outlineLvl w:val="9"/>
    </w:pPr>
    <w:rPr>
      <w:i/>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lang w:val="es-E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u w:val="single"/>
    </w:rPr>
  </w:style>
  <w:style w:type="character" w:customStyle="1" w:styleId="Para1Char">
    <w:name w:val="Para1 Char"/>
    <w:locked/>
    <w:rPr>
      <w:rFonts w:ascii="Times New Roman" w:eastAsia="Times New Roman" w:hAnsi="Times New Roman"/>
      <w:snapToGrid w:val="0"/>
      <w:sz w:val="18"/>
      <w:lang w:val="en-GB"/>
    </w:rPr>
  </w:style>
  <w:style w:type="paragraph" w:customStyle="1" w:styleId="CBD-Doc-Type">
    <w:name w:val="CBD-Doc-Type"/>
    <w:basedOn w:val="Normal"/>
    <w:pPr>
      <w:keepLines/>
      <w:spacing w:before="240" w:after="120"/>
    </w:pPr>
    <w:rPr>
      <w:b/>
      <w:i/>
      <w:sz w:val="24"/>
    </w:rPr>
  </w:style>
  <w:style w:type="paragraph" w:customStyle="1" w:styleId="CBD-Doc">
    <w:name w:val="CBD-Doc"/>
    <w:basedOn w:val="Normal"/>
    <w:pPr>
      <w:keepLines/>
      <w:numPr>
        <w:numId w:val="9"/>
      </w:numPr>
      <w:spacing w:after="120"/>
    </w:pPr>
  </w:style>
  <w:style w:type="paragraph" w:styleId="ListParagraph">
    <w:name w:val="List Paragraph"/>
    <w:basedOn w:val="Normal"/>
    <w:qFormat/>
    <w:pPr>
      <w:ind w:left="720"/>
      <w:contextualSpacing/>
    </w:pPr>
    <w:rPr>
      <w:szCs w:val="20"/>
    </w:rPr>
  </w:style>
  <w:style w:type="paragraph" w:styleId="Caption">
    <w:name w:val="caption"/>
    <w:basedOn w:val="Normal"/>
    <w:next w:val="Normal"/>
    <w:qFormat/>
    <w:pPr>
      <w:keepNext/>
      <w:keepLines/>
      <w:spacing w:after="200"/>
    </w:pPr>
    <w:rPr>
      <w:b/>
      <w:iCs/>
      <w:szCs w:val="18"/>
    </w:rPr>
  </w:style>
  <w:style w:type="paragraph" w:customStyle="1" w:styleId="Style1">
    <w:name w:val="Style1"/>
    <w:basedOn w:val="Heading2"/>
    <w:rPr>
      <w:i/>
    </w:rPr>
  </w:style>
  <w:style w:type="paragraph" w:styleId="NoSpacing">
    <w:name w:val="No Spacing"/>
    <w:qFormat/>
    <w:rPr>
      <w:snapToGrid w:val="0"/>
      <w:sz w:val="22"/>
      <w:szCs w:val="22"/>
      <w:lang w:val="en-US" w:eastAsia="es-ES"/>
    </w:rPr>
  </w:style>
  <w:style w:type="character" w:customStyle="1" w:styleId="NoSpacingChar">
    <w:name w:val="No Spacing Char"/>
    <w:basedOn w:val="DefaultParagraphFont"/>
    <w:locked/>
    <w:rPr>
      <w:rFonts w:ascii="Times New Roman" w:eastAsia="Times New Roman" w:hAnsi="Times New Roman" w:cs="Times New Roman"/>
      <w:sz w:val="22"/>
      <w:szCs w:val="22"/>
      <w:lang w:val="en-US" w:bidi="ar-SA"/>
    </w:rPr>
  </w:style>
  <w:style w:type="paragraph" w:customStyle="1" w:styleId="BVIfnrCharChar">
    <w:name w:val="BVI fnr Char Char"/>
    <w:aliases w:val="BVI fnr Car Car Char Char,BVI fnr Car Char Char,BVI fnr Car Car Car Car Char Char Char,BVI fnr Car Car Car Car Char Char1,BVI fnr Car Car Car Char Char,BVI fnr Car Car Car Car Car Char Char"/>
    <w:basedOn w:val="Normal"/>
    <w:pPr>
      <w:spacing w:after="160" w:line="240" w:lineRule="exact"/>
      <w:jc w:val="left"/>
    </w:pPr>
    <w:rPr>
      <w:rFonts w:eastAsia="MS Mincho"/>
      <w:szCs w:val="20"/>
      <w:vertAlign w:val="superscript"/>
      <w:lang w:val="es-ES"/>
    </w:rPr>
  </w:style>
  <w:style w:type="paragraph" w:customStyle="1" w:styleId="Body">
    <w:name w:val="Body"/>
    <w:pPr>
      <w:jc w:val="both"/>
    </w:pPr>
    <w:rPr>
      <w:snapToGrid w:val="0"/>
      <w:color w:val="000000"/>
      <w:sz w:val="22"/>
      <w:szCs w:val="22"/>
      <w:u w:color="000000"/>
      <w:lang w:val="en-CA" w:eastAsia="es-ES"/>
    </w:rPr>
  </w:style>
  <w:style w:type="character" w:customStyle="1" w:styleId="Hyperlink0">
    <w:name w:val="Hyperlink.0"/>
    <w:basedOn w:val="DefaultParagraphFont"/>
    <w:rPr>
      <w:rFonts w:cs="Times New Roman"/>
      <w:color w:val="0000FF"/>
      <w:kern w:val="22"/>
      <w:sz w:val="22"/>
      <w:szCs w:val="22"/>
      <w:u w:val="single" w:color="0000FF"/>
    </w:rPr>
  </w:style>
  <w:style w:type="character" w:customStyle="1" w:styleId="Hyperlink1">
    <w:name w:val="Hyperlink.1"/>
    <w:basedOn w:val="DefaultParagraphFont"/>
    <w:rPr>
      <w:rFonts w:cs="Times New Roman"/>
      <w:kern w:val="22"/>
    </w:rPr>
  </w:style>
  <w:style w:type="character" w:customStyle="1" w:styleId="None">
    <w:name w:val="None"/>
  </w:style>
  <w:style w:type="character" w:customStyle="1" w:styleId="ListParagraphChar">
    <w:name w:val="List Paragraph Char"/>
    <w:locked/>
    <w:rPr>
      <w:rFonts w:ascii="Times New Roman" w:eastAsia="Times New Roman" w:hAnsi="Times New Roman"/>
      <w:sz w:val="22"/>
      <w:lang w:val="en-GB"/>
    </w:rPr>
  </w:style>
  <w:style w:type="character" w:customStyle="1" w:styleId="UnresolvedMention">
    <w:name w:val="Unresolved Mention"/>
    <w:basedOn w:val="DefaultParagraphFont"/>
    <w:semiHidden/>
    <w:rPr>
      <w:rFonts w:cs="Times New Roman"/>
      <w:color w:val="808080"/>
      <w:shd w:val="clear" w:color="auto" w:fill="E6E6E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mop-08/mop-08-dec-10-e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d.int/doc/decisions/mop-07/mop-07-dec-09-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0069/ee5c/e2cdfdb1252f37b6e10bb6af/sbi-02-16-add1-es.pdf" TargetMode="External"/><Relationship Id="rId1" Type="http://schemas.openxmlformats.org/officeDocument/2006/relationships/hyperlink" Target="https://www.cbd.int/doc/c/cfe8/c72a/59a488b075654335f58f3673/sbi-02-16-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823</Words>
  <Characters>4076</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9/8.	Review of experience in holding concurrently meetings of the Conference of the Parties to the Convention, the Conference of the Parties serving as the meeting of the Parties to the Cartagena Protocol, and the Conference of the Parties serving as the </vt:lpstr>
    </vt:vector>
  </TitlesOfParts>
  <Company>SCBD</Company>
  <LinksUpToDate>false</LinksUpToDate>
  <CharactersWithSpaces>4871</CharactersWithSpaces>
  <SharedDoc>false</SharedDoc>
  <HLinks>
    <vt:vector size="24" baseType="variant">
      <vt:variant>
        <vt:i4>786517</vt:i4>
      </vt:variant>
      <vt:variant>
        <vt:i4>3</vt:i4>
      </vt:variant>
      <vt:variant>
        <vt:i4>0</vt:i4>
      </vt:variant>
      <vt:variant>
        <vt:i4>5</vt:i4>
      </vt:variant>
      <vt:variant>
        <vt:lpwstr>https://www.cbd.int/doc/decisions/mop-08/mop-08-dec-10-es.pdf</vt:lpwstr>
      </vt:variant>
      <vt:variant>
        <vt:lpwstr/>
      </vt:variant>
      <vt:variant>
        <vt:i4>655451</vt:i4>
      </vt:variant>
      <vt:variant>
        <vt:i4>0</vt:i4>
      </vt:variant>
      <vt:variant>
        <vt:i4>0</vt:i4>
      </vt:variant>
      <vt:variant>
        <vt:i4>5</vt:i4>
      </vt:variant>
      <vt:variant>
        <vt:lpwstr>https://www.cbd.int/doc/decisions/mop-07/mop-07-dec-09-es.pdf</vt:lpwstr>
      </vt:variant>
      <vt:variant>
        <vt:lpwstr/>
      </vt:variant>
      <vt:variant>
        <vt:i4>7471136</vt:i4>
      </vt:variant>
      <vt:variant>
        <vt:i4>3</vt:i4>
      </vt:variant>
      <vt:variant>
        <vt:i4>0</vt:i4>
      </vt:variant>
      <vt:variant>
        <vt:i4>5</vt:i4>
      </vt:variant>
      <vt:variant>
        <vt:lpwstr>https://www.cbd.int/doc/c/0069/ee5c/e2cdfdb1252f37b6e10bb6af/sbi-02-16-add1-es.pdf</vt:lpwstr>
      </vt:variant>
      <vt:variant>
        <vt:lpwstr/>
      </vt:variant>
      <vt:variant>
        <vt:i4>4259934</vt:i4>
      </vt:variant>
      <vt:variant>
        <vt:i4>0</vt:i4>
      </vt:variant>
      <vt:variant>
        <vt:i4>0</vt:i4>
      </vt:variant>
      <vt:variant>
        <vt:i4>5</vt:i4>
      </vt:variant>
      <vt:variant>
        <vt:lpwstr>https://www.cbd.int/doc/c/cfe8/c72a/59a488b075654335f58f3673/sbi-02-16-es.pdf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	Review of experience in holding concurrently meetings of the Conference of the Parties to the Convention, the Conference of the Parties serving as the meeting of the Parties to the Cartagena Protocol, and the Conference of the Parties serving as the</dc:title>
  <dc:subject>CBD/CP/MOP/DEC/9/8</dc:subject>
  <dc:creator>CP MOP 9</dc:creator>
  <cp:keywords>Review of experience in holding concurrently meetings, Convention on Biological Diversity, Cartagena Protocol on Biosafety, Nagoya Protocol on Access and Benefit-sharing</cp:keywords>
  <cp:lastModifiedBy>Laura Perez</cp:lastModifiedBy>
  <cp:revision>4</cp:revision>
  <cp:lastPrinted>2018-11-25T10:47:00Z</cp:lastPrinted>
  <dcterms:created xsi:type="dcterms:W3CDTF">2019-02-06T02:02:00Z</dcterms:created>
  <dcterms:modified xsi:type="dcterms:W3CDTF">2019-02-06T02:12:00Z</dcterms:modified>
</cp:coreProperties>
</file>