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2729A6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2729A6" w:rsidRDefault="00B416CF">
            <w:pPr>
              <w:suppressLineNumbers/>
              <w:suppressAutoHyphens/>
              <w:rPr>
                <w:noProof/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427990" cy="364490"/>
                  <wp:effectExtent l="1905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2729A6" w:rsidRDefault="00B416CF">
            <w:pPr>
              <w:suppressLineNumbers/>
              <w:suppressAutoHyphens/>
              <w:rPr>
                <w:noProof/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335915" cy="393700"/>
                  <wp:effectExtent l="19050" t="0" r="6985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2729A6" w:rsidRDefault="002729A6">
            <w:pPr>
              <w:suppressLineNumbers/>
              <w:suppressAutoHyphens/>
              <w:jc w:val="right"/>
              <w:rPr>
                <w:rFonts w:ascii="Arial" w:hAnsi="Arial"/>
                <w:b/>
                <w:noProof/>
                <w:kern w:val="22"/>
                <w:sz w:val="32"/>
                <w:lang w:val="es-ES"/>
              </w:rPr>
            </w:pPr>
            <w:r>
              <w:rPr>
                <w:rFonts w:ascii="Arial" w:hAnsi="Arial"/>
                <w:b/>
                <w:noProof/>
                <w:kern w:val="22"/>
                <w:sz w:val="32"/>
                <w:lang w:val="es-ES"/>
              </w:rPr>
              <w:t>CBD</w:t>
            </w:r>
          </w:p>
        </w:tc>
      </w:tr>
      <w:tr w:rsidR="002729A6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2729A6" w:rsidRDefault="00B416CF">
            <w:pPr>
              <w:suppressLineNumbers/>
              <w:suppressAutoHyphens/>
              <w:rPr>
                <w:noProof/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2905125" cy="1076325"/>
                  <wp:effectExtent l="19050" t="0" r="9525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Distr.</w:t>
            </w: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GENERAL</w:t>
            </w: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CBD/CP/MOP/DEC/9/9</w:t>
            </w: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30 de noviembre de 2018</w:t>
            </w: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ESPAÑOL</w:t>
            </w:r>
          </w:p>
          <w:p w:rsidR="002729A6" w:rsidRDefault="002729A6">
            <w:pPr>
              <w:suppressLineNumbers/>
              <w:suppressAutoHyphens/>
              <w:ind w:left="1215"/>
              <w:rPr>
                <w:noProof/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ORIGINAL: INGLÉS</w:t>
            </w:r>
          </w:p>
          <w:p w:rsidR="002729A6" w:rsidRDefault="002729A6">
            <w:pPr>
              <w:suppressLineNumbers/>
              <w:suppressAutoHyphens/>
              <w:rPr>
                <w:noProof/>
                <w:kern w:val="22"/>
                <w:lang w:val="es-ES"/>
              </w:rPr>
            </w:pPr>
          </w:p>
        </w:tc>
      </w:tr>
    </w:tbl>
    <w:p w:rsidR="002729A6" w:rsidRDefault="002729A6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120"/>
        <w:ind w:left="187" w:right="4423" w:hanging="187"/>
        <w:rPr>
          <w:kern w:val="22"/>
          <w:lang/>
        </w:rPr>
      </w:pPr>
      <w:r>
        <w:rPr>
          <w:noProof/>
          <w:lang/>
        </w:rPr>
        <w:t>CONFERENCIA DE LAS PARTES EN EL CONVENIO SOBRE LA DIVERSIDAD BIOLÓGICA QUE ACTÚA COMO REUNIÓN DE LAS PARTES EN EL PROTOCOLO DE CARTAGENA SOBRE SEGURIDAD DE LA BIOTECNOLOGÍA</w:t>
      </w:r>
    </w:p>
    <w:p w:rsidR="002729A6" w:rsidRDefault="002729A6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187" w:right="4421" w:hanging="187"/>
        <w:rPr>
          <w:kern w:val="22"/>
          <w:lang/>
        </w:rPr>
      </w:pPr>
      <w:r>
        <w:rPr>
          <w:noProof/>
          <w:lang/>
        </w:rPr>
        <w:t>Novena reunión</w:t>
      </w:r>
    </w:p>
    <w:p w:rsidR="002729A6" w:rsidRDefault="002729A6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187" w:right="4423" w:hanging="187"/>
        <w:rPr>
          <w:lang w:val="es-AR"/>
        </w:rPr>
      </w:pPr>
      <w:r>
        <w:rPr>
          <w:noProof/>
          <w:lang w:val="es-AR"/>
        </w:rPr>
        <w:t>Sharm el-Sheikh (Egipto), 17 a 29 de noviembre de 2018</w:t>
      </w:r>
    </w:p>
    <w:p w:rsidR="002729A6" w:rsidRDefault="002729A6">
      <w:pPr>
        <w:pStyle w:val="Cornernotation"/>
        <w:suppressLineNumbers/>
        <w:suppressAutoHyphens/>
        <w:ind w:right="3973"/>
        <w:rPr>
          <w:noProof/>
          <w:kern w:val="22"/>
        </w:rPr>
      </w:pPr>
      <w:r>
        <w:rPr>
          <w:lang w:val="es-AR"/>
        </w:rPr>
        <w:t xml:space="preserve">Tema </w:t>
      </w:r>
      <w:r>
        <w:rPr>
          <w:noProof/>
          <w:color w:val="000000"/>
          <w:kern w:val="22"/>
        </w:rPr>
        <w:t>11 del programa</w:t>
      </w:r>
    </w:p>
    <w:p w:rsidR="002729A6" w:rsidRDefault="002729A6">
      <w:pPr>
        <w:pStyle w:val="Heading1"/>
        <w:suppressLineNumbers/>
        <w:tabs>
          <w:tab w:val="clear" w:pos="720"/>
        </w:tabs>
        <w:suppressAutoHyphens/>
        <w:rPr>
          <w:rFonts w:ascii="Times New Roman Bold" w:hAnsi="Times New Roman Bold"/>
          <w:noProof/>
          <w:kern w:val="22"/>
          <w:lang w:val="es-ES"/>
        </w:rPr>
      </w:pPr>
      <w:r>
        <w:rPr>
          <w:rFonts w:ascii="Times New Roman Bold" w:hAnsi="Times New Roman Bold"/>
          <w:noProof/>
          <w:kern w:val="22"/>
          <w:lang w:val="es-ES"/>
        </w:rPr>
        <w:t>DecisiÓn adoptAdA POR LAS Partes eN EL Protocolo DE Cartagena SOBRE SEGURIDAD DE LA BiotECNOLOGÍA</w:t>
      </w:r>
    </w:p>
    <w:p w:rsidR="002729A6" w:rsidRPr="00C80BFB" w:rsidRDefault="002729A6">
      <w:pPr>
        <w:pStyle w:val="recommendationheader"/>
        <w:suppressLineNumbers/>
        <w:suppressAutoHyphens/>
        <w:ind w:left="1843" w:hanging="709"/>
        <w:jc w:val="left"/>
        <w:rPr>
          <w:bCs w:val="0"/>
          <w:iCs w:val="0"/>
          <w:noProof/>
          <w:kern w:val="22"/>
        </w:rPr>
      </w:pPr>
      <w:r w:rsidRPr="00C80BFB">
        <w:rPr>
          <w:bCs w:val="0"/>
          <w:iCs w:val="0"/>
          <w:noProof/>
          <w:kern w:val="22"/>
        </w:rPr>
        <w:t>9/9.</w:t>
      </w:r>
      <w:r w:rsidRPr="00C80BFB">
        <w:rPr>
          <w:bCs w:val="0"/>
          <w:iCs w:val="0"/>
          <w:noProof/>
          <w:kern w:val="22"/>
        </w:rPr>
        <w:tab/>
      </w:r>
      <w:r w:rsidRPr="00C80BFB">
        <w:rPr>
          <w:bCs w:val="0"/>
          <w:iCs w:val="0"/>
          <w:kern w:val="22"/>
          <w:lang w:val="es-ES"/>
        </w:rPr>
        <w:t>Mayor integración en el marco del Convenio y sus Protocolos con respecto a disposiciones relacionadas con la seguridad de la biotecnología</w:t>
      </w:r>
    </w:p>
    <w:p w:rsidR="002729A6" w:rsidRDefault="002729A6">
      <w:pPr>
        <w:suppressLineNumbers/>
        <w:suppressAutoHyphens/>
        <w:ind w:firstLine="720"/>
        <w:rPr>
          <w:i/>
          <w:noProof/>
          <w:kern w:val="22"/>
        </w:rPr>
      </w:pPr>
      <w:r>
        <w:rPr>
          <w:i/>
          <w:kern w:val="22"/>
          <w:lang w:val="es-ES"/>
        </w:rPr>
        <w:t>La Conferencia de las Partes que actúa como reunión de las Partes en el Protocolo de Cartagena sobre Seguridad de la Biotecnología,</w:t>
      </w:r>
    </w:p>
    <w:p w:rsidR="002729A6" w:rsidRDefault="002729A6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firstLine="720"/>
        <w:rPr>
          <w:noProof/>
          <w:kern w:val="22"/>
          <w:szCs w:val="24"/>
        </w:rPr>
      </w:pPr>
      <w:r>
        <w:rPr>
          <w:i/>
          <w:kern w:val="22"/>
          <w:szCs w:val="24"/>
          <w:lang w:val="es-ES"/>
        </w:rPr>
        <w:t xml:space="preserve">Recordando </w:t>
      </w:r>
      <w:r>
        <w:rPr>
          <w:kern w:val="22"/>
          <w:szCs w:val="24"/>
          <w:lang w:val="es-ES"/>
        </w:rPr>
        <w:t>la decisión XIII/26 de la Conferencia de las Partes sobre posibles formas y medios de promover enfoques integrados para aquellas cuestiones que estén en la intersección de las disposiciones del Convenio relacionadas con la seguridad de la biotecnología y las disposiciones del Protocolo de Cartagena,</w:t>
      </w:r>
    </w:p>
    <w:p w:rsidR="002729A6" w:rsidRDefault="002729A6">
      <w:pPr>
        <w:pStyle w:val="ListParagraph"/>
        <w:suppressLineNumbers/>
        <w:shd w:val="clear" w:color="auto" w:fill="FFFFFF"/>
        <w:suppressAutoHyphens/>
        <w:ind w:left="0" w:firstLine="720"/>
        <w:contextualSpacing w:val="0"/>
        <w:rPr>
          <w:noProof/>
          <w:kern w:val="22"/>
        </w:rPr>
      </w:pPr>
      <w:r>
        <w:rPr>
          <w:i/>
          <w:kern w:val="22"/>
          <w:lang w:val="es-ES"/>
        </w:rPr>
        <w:t xml:space="preserve">Toma nota </w:t>
      </w:r>
      <w:r>
        <w:rPr>
          <w:kern w:val="22"/>
          <w:lang w:val="es-ES"/>
        </w:rPr>
        <w:t xml:space="preserve">de la propuesta de formas y medios para lograr una mayor integración y </w:t>
      </w:r>
      <w:r>
        <w:rPr>
          <w:i/>
          <w:kern w:val="22"/>
          <w:lang w:val="es-ES"/>
        </w:rPr>
        <w:t>acoge con satisfacción</w:t>
      </w:r>
      <w:r>
        <w:rPr>
          <w:kern w:val="22"/>
          <w:lang w:val="es-ES"/>
        </w:rPr>
        <w:t xml:space="preserve"> la decisión 14/31 de la Conferencia de las Partes.</w:t>
      </w:r>
    </w:p>
    <w:p w:rsidR="002729A6" w:rsidRDefault="002729A6">
      <w:pPr>
        <w:suppressLineNumbers/>
        <w:suppressAutoHyphens/>
        <w:jc w:val="center"/>
        <w:rPr>
          <w:noProof/>
          <w:kern w:val="22"/>
          <w:lang w:val="es-ES"/>
        </w:rPr>
      </w:pPr>
      <w:r>
        <w:rPr>
          <w:noProof/>
          <w:kern w:val="22"/>
          <w:lang w:val="es-ES"/>
        </w:rPr>
        <w:t>__________</w:t>
      </w:r>
    </w:p>
    <w:sectPr w:rsidR="002729A6">
      <w:headerReference w:type="even" r:id="rId10"/>
      <w:headerReference w:type="default" r:id="rId11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9D" w:rsidRDefault="003B6C9D">
      <w:r>
        <w:separator/>
      </w:r>
    </w:p>
  </w:endnote>
  <w:endnote w:type="continuationSeparator" w:id="0">
    <w:p w:rsidR="003B6C9D" w:rsidRDefault="003B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9D" w:rsidRDefault="003B6C9D">
      <w:r>
        <w:separator/>
      </w:r>
    </w:p>
  </w:footnote>
  <w:footnote w:type="continuationSeparator" w:id="0">
    <w:p w:rsidR="003B6C9D" w:rsidRDefault="003B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A6" w:rsidRDefault="002729A6">
    <w:pPr>
      <w:pStyle w:val="Header"/>
      <w:rPr>
        <w:lang w:val="fr-FR"/>
      </w:rPr>
    </w:pPr>
    <w:r>
      <w:rPr>
        <w:lang w:val="fr-FR"/>
      </w:rPr>
      <w:t>CBD/CP/MOP/DEC/9/9</w:t>
    </w:r>
  </w:p>
  <w:p w:rsidR="002729A6" w:rsidRDefault="002729A6">
    <w:pPr>
      <w:pStyle w:val="Header"/>
      <w:rPr>
        <w:lang w:val="fr-FR"/>
      </w:rPr>
    </w:pPr>
    <w:r>
      <w:rPr>
        <w:lang w:val="fr-FR"/>
      </w:rPr>
      <w:t xml:space="preserve">Page </w:t>
    </w:r>
    <w:r>
      <w:rPr>
        <w:lang w:val="fr-FR"/>
      </w:rPr>
      <w:fldChar w:fldCharType="begin"/>
    </w:r>
    <w:r>
      <w:rPr>
        <w:lang w:val="fr-FR"/>
      </w:rPr>
      <w:instrText xml:space="preserve"> PAGE   \* MERGEFORMAT </w:instrText>
    </w:r>
    <w:r>
      <w:rPr>
        <w:lang w:val="fr-FR"/>
      </w:rPr>
      <w:fldChar w:fldCharType="separate"/>
    </w:r>
    <w:r>
      <w:rPr>
        <w:noProof/>
      </w:rPr>
      <w:t>2</w:t>
    </w:r>
    <w:r>
      <w:rPr>
        <w:lang w:val="fr-FR"/>
      </w:rPr>
      <w:fldChar w:fldCharType="end"/>
    </w:r>
  </w:p>
  <w:p w:rsidR="002729A6" w:rsidRDefault="002729A6">
    <w:pPr>
      <w:pStyle w:val="Header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A6" w:rsidRDefault="002729A6">
    <w:pPr>
      <w:pStyle w:val="Header"/>
      <w:jc w:val="right"/>
      <w:rPr>
        <w:lang w:val="fr-FR"/>
      </w:rPr>
    </w:pPr>
    <w:r>
      <w:rPr>
        <w:lang w:val="fr-FR"/>
      </w:rPr>
      <w:t>CBD/CP/MOP/DEC/9/9</w:t>
    </w:r>
  </w:p>
  <w:p w:rsidR="002729A6" w:rsidRDefault="002729A6">
    <w:pPr>
      <w:pStyle w:val="Header"/>
      <w:jc w:val="right"/>
      <w:rPr>
        <w:lang w:val="fr-FR"/>
      </w:rPr>
    </w:pPr>
    <w:r>
      <w:rPr>
        <w:lang w:val="fr-FR"/>
      </w:rPr>
      <w:t xml:space="preserve">Page </w:t>
    </w:r>
    <w:r>
      <w:rPr>
        <w:lang w:val="fr-FR"/>
      </w:rPr>
      <w:fldChar w:fldCharType="begin"/>
    </w:r>
    <w:r>
      <w:rPr>
        <w:lang w:val="fr-FR"/>
      </w:rPr>
      <w:instrText xml:space="preserve"> PAGE   \* MERGEFORMAT </w:instrText>
    </w:r>
    <w:r>
      <w:rPr>
        <w:lang w:val="fr-FR"/>
      </w:rPr>
      <w:fldChar w:fldCharType="separate"/>
    </w:r>
    <w:r>
      <w:rPr>
        <w:noProof/>
      </w:rPr>
      <w:t>1</w:t>
    </w:r>
    <w:r>
      <w:rPr>
        <w:lang w:val="fr-FR"/>
      </w:rPr>
      <w:fldChar w:fldCharType="end"/>
    </w:r>
  </w:p>
  <w:p w:rsidR="002729A6" w:rsidRDefault="002729A6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4E5D154C"/>
    <w:multiLevelType w:val="multilevel"/>
    <w:tmpl w:val="8982DC1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E673A"/>
    <w:rsid w:val="000F4914"/>
    <w:rsid w:val="000F74F5"/>
    <w:rsid w:val="00105372"/>
    <w:rsid w:val="00131E7A"/>
    <w:rsid w:val="0016171D"/>
    <w:rsid w:val="00172AF6"/>
    <w:rsid w:val="00176CEE"/>
    <w:rsid w:val="00186DD8"/>
    <w:rsid w:val="001A4A9D"/>
    <w:rsid w:val="001B06FB"/>
    <w:rsid w:val="001B1160"/>
    <w:rsid w:val="001F4CFA"/>
    <w:rsid w:val="002729A6"/>
    <w:rsid w:val="00273079"/>
    <w:rsid w:val="002D5873"/>
    <w:rsid w:val="002E2966"/>
    <w:rsid w:val="0035463A"/>
    <w:rsid w:val="00372F74"/>
    <w:rsid w:val="003A30D2"/>
    <w:rsid w:val="003B6C9D"/>
    <w:rsid w:val="003D6DF7"/>
    <w:rsid w:val="003F7224"/>
    <w:rsid w:val="004018AD"/>
    <w:rsid w:val="00427D21"/>
    <w:rsid w:val="004644C2"/>
    <w:rsid w:val="00465625"/>
    <w:rsid w:val="00467F9C"/>
    <w:rsid w:val="004C2701"/>
    <w:rsid w:val="00511415"/>
    <w:rsid w:val="00534681"/>
    <w:rsid w:val="00541ABC"/>
    <w:rsid w:val="005B7BF5"/>
    <w:rsid w:val="006122BA"/>
    <w:rsid w:val="0068672C"/>
    <w:rsid w:val="006B2290"/>
    <w:rsid w:val="00717D88"/>
    <w:rsid w:val="00723FC0"/>
    <w:rsid w:val="0076347D"/>
    <w:rsid w:val="007942D3"/>
    <w:rsid w:val="007A45DB"/>
    <w:rsid w:val="007B078D"/>
    <w:rsid w:val="007B6C09"/>
    <w:rsid w:val="007E09DA"/>
    <w:rsid w:val="00806037"/>
    <w:rsid w:val="008178B6"/>
    <w:rsid w:val="008228AB"/>
    <w:rsid w:val="008438B7"/>
    <w:rsid w:val="008454CB"/>
    <w:rsid w:val="00865B74"/>
    <w:rsid w:val="00894607"/>
    <w:rsid w:val="008B7D32"/>
    <w:rsid w:val="008C2410"/>
    <w:rsid w:val="008D74B8"/>
    <w:rsid w:val="008E6194"/>
    <w:rsid w:val="009037E5"/>
    <w:rsid w:val="00930BA1"/>
    <w:rsid w:val="0093169E"/>
    <w:rsid w:val="0094138F"/>
    <w:rsid w:val="009505C9"/>
    <w:rsid w:val="00972551"/>
    <w:rsid w:val="00AC3393"/>
    <w:rsid w:val="00B3369F"/>
    <w:rsid w:val="00B3564F"/>
    <w:rsid w:val="00B416CF"/>
    <w:rsid w:val="00B77930"/>
    <w:rsid w:val="00BA302A"/>
    <w:rsid w:val="00C443BD"/>
    <w:rsid w:val="00C80BFB"/>
    <w:rsid w:val="00C9161D"/>
    <w:rsid w:val="00CF1848"/>
    <w:rsid w:val="00D06D02"/>
    <w:rsid w:val="00D12044"/>
    <w:rsid w:val="00D76A18"/>
    <w:rsid w:val="00DA0C7D"/>
    <w:rsid w:val="00DD118C"/>
    <w:rsid w:val="00E207C3"/>
    <w:rsid w:val="00E66235"/>
    <w:rsid w:val="00E83C24"/>
    <w:rsid w:val="00E9318D"/>
    <w:rsid w:val="00EC5212"/>
    <w:rsid w:val="00ED72FA"/>
    <w:rsid w:val="00F4051A"/>
    <w:rsid w:val="00F6586C"/>
    <w:rsid w:val="00F94774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1"/>
    <w:qFormat/>
    <w:pPr>
      <w:jc w:val="both"/>
    </w:pPr>
    <w:rPr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Pr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CharChar9">
    <w:name w:val="Char Char9"/>
    <w:basedOn w:val="DefaultParagraphFont"/>
    <w:semiHidden/>
    <w:locked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Pr>
      <w:rFonts w:cs="Times New Roman"/>
      <w:color w:val="80808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8">
    <w:name w:val="Char Char8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7">
    <w:name w:val="Char Char7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Char6">
    <w:name w:val="Char Char6"/>
    <w:basedOn w:val="DefaultParagraphFont"/>
    <w:locked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CharChar5">
    <w:name w:val="Char Char5"/>
    <w:basedOn w:val="DefaultParagraphFont"/>
    <w:locked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character" w:customStyle="1" w:styleId="CharChar18">
    <w:name w:val="Char Char18"/>
    <w:basedOn w:val="DefaultParagraphFont"/>
    <w:locked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CharChar4">
    <w:name w:val="Char Char4"/>
    <w:basedOn w:val="DefaultParagraphFont"/>
    <w:locked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customStyle="1" w:styleId="CharChar3">
    <w:name w:val="Char Char3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</w:pPr>
  </w:style>
  <w:style w:type="character" w:customStyle="1" w:styleId="CharChar2">
    <w:name w:val="Char Char2"/>
    <w:basedOn w:val="DefaultParagraphFont"/>
    <w:semiHidden/>
    <w:locked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1">
    <w:name w:val="Char Char1"/>
    <w:basedOn w:val="DefaultParagraphFont"/>
    <w:semiHidden/>
    <w:locked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sz w:val="22"/>
      <w:u w:val="none"/>
      <w:vertAlign w:val="superscript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customStyle="1" w:styleId="CharChar">
    <w:name w:val="Char Char"/>
    <w:basedOn w:val="DefaultParagraphFont"/>
    <w:semiHidden/>
    <w:locked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character" w:customStyle="1" w:styleId="CharChar17">
    <w:name w:val="Char Char17"/>
    <w:basedOn w:val="DefaultParagraphFont"/>
    <w:locked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character" w:customStyle="1" w:styleId="CharChar16">
    <w:name w:val="Char Char16"/>
    <w:basedOn w:val="DefaultParagraphFont"/>
    <w:locked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</w:style>
  <w:style w:type="paragraph" w:customStyle="1" w:styleId="Heading3multiline">
    <w:name w:val="Heading 3 (multiline)"/>
    <w:basedOn w:val="Heading3"/>
    <w:next w:val="Normal"/>
    <w:pPr>
      <w:ind w:left="1418" w:hanging="425"/>
      <w:jc w:val="left"/>
    </w:pPr>
  </w:style>
  <w:style w:type="character" w:customStyle="1" w:styleId="CharChar15">
    <w:name w:val="Char Char15"/>
    <w:basedOn w:val="DefaultParagraphFont"/>
    <w:locked/>
    <w:rPr>
      <w:rFonts w:ascii="Times New Roman Bold" w:eastAsia="Times New Roman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pPr>
      <w:ind w:left="720"/>
      <w:outlineLvl w:val="9"/>
    </w:pPr>
    <w:rPr>
      <w:rFonts w:ascii="Times New Roman" w:hAnsi="Times New Roman"/>
    </w:rPr>
  </w:style>
  <w:style w:type="character" w:customStyle="1" w:styleId="CharChar14">
    <w:name w:val="Char Char14"/>
    <w:basedOn w:val="DefaultParagraphFont"/>
    <w:locked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3">
    <w:name w:val="Char Char13"/>
    <w:basedOn w:val="DefaultParagraphFont"/>
    <w:locked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2">
    <w:name w:val="Char Char12"/>
    <w:basedOn w:val="DefaultParagraphFont"/>
    <w:locked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1">
    <w:name w:val="Char Char11"/>
    <w:basedOn w:val="DefaultParagraphFont"/>
    <w:locked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10">
    <w:name w:val="Char Char10"/>
    <w:basedOn w:val="DefaultParagraphFont"/>
    <w:locked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Pr>
      <w:rFonts w:ascii="Times New Roman" w:hAnsi="Times New Roman"/>
      <w:sz w:val="22"/>
    </w:rPr>
  </w:style>
  <w:style w:type="paragraph" w:customStyle="1" w:styleId="Para1">
    <w:name w:val="Para1"/>
    <w:basedOn w:val="Normal"/>
    <w:pPr>
      <w:numPr>
        <w:numId w:val="4"/>
      </w:numPr>
      <w:tabs>
        <w:tab w:val="clear" w:pos="360"/>
      </w:tabs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</w:style>
  <w:style w:type="paragraph" w:customStyle="1" w:styleId="recommendationheaderlong">
    <w:name w:val="recommendation header long"/>
    <w:basedOn w:val="Heading2longmultiline"/>
  </w:style>
  <w:style w:type="paragraph" w:customStyle="1" w:styleId="reference">
    <w:name w:val="reference"/>
    <w:basedOn w:val="Heading9"/>
    <w:rPr>
      <w:i w:val="0"/>
      <w:sz w:val="18"/>
    </w:rPr>
  </w:style>
  <w:style w:type="character" w:customStyle="1" w:styleId="StyleFootnoteReferenceNounderline">
    <w:name w:val="Style Footnote Reference + No underline"/>
    <w:rPr>
      <w:sz w:val="18"/>
      <w:u w:val="none"/>
      <w:vertAlign w:val="baseline"/>
    </w:rPr>
  </w:style>
  <w:style w:type="paragraph" w:customStyle="1" w:styleId="tabletitle">
    <w:name w:val="table title"/>
    <w:basedOn w:val="Heading2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Pr>
      <w:color w:val="0000FF"/>
      <w:sz w:val="18"/>
      <w:u w:val="single"/>
    </w:rPr>
  </w:style>
  <w:style w:type="character" w:customStyle="1" w:styleId="Para1Char">
    <w:name w:val="Para1 Char"/>
    <w:locked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aption">
    <w:name w:val="caption"/>
    <w:basedOn w:val="Normal"/>
    <w:next w:val="Normal"/>
    <w:qFormat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rPr>
      <w:i/>
    </w:rPr>
  </w:style>
  <w:style w:type="paragraph" w:styleId="NoSpacing">
    <w:name w:val="No Spacing"/>
    <w:qFormat/>
    <w:rPr>
      <w:snapToGrid w:val="0"/>
      <w:sz w:val="22"/>
      <w:szCs w:val="22"/>
      <w:lang w:val="en-US" w:eastAsia="es-ES"/>
    </w:rPr>
  </w:style>
  <w:style w:type="character" w:customStyle="1" w:styleId="NoSpacingChar">
    <w:name w:val="No Spacing Char"/>
    <w:basedOn w:val="DefaultParagraphFont"/>
    <w:locked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1014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9/9.	Enhancing integration under the Convention and its Protocols with respect to biosafety-related provisions</vt:lpstr>
    </vt:vector>
  </TitlesOfParts>
  <Company>SCBD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9/9.	Enhancing integration under the Convention and its Protocols with respect to biosafety-related provisions</dc:title>
  <dc:subject>CBD/CP/MOP/DEC/9/9</dc:subject>
  <dc:creator>CP MOP 9</dc:creator>
  <cp:lastModifiedBy>Laura Perez</cp:lastModifiedBy>
  <cp:revision>3</cp:revision>
  <cp:lastPrinted>2018-12-14T19:42:00Z</cp:lastPrinted>
  <dcterms:created xsi:type="dcterms:W3CDTF">2019-02-06T02:12:00Z</dcterms:created>
  <dcterms:modified xsi:type="dcterms:W3CDTF">2019-02-06T02:14:00Z</dcterms:modified>
</cp:coreProperties>
</file>