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473E9" w:rsidRPr="00D977A0" w14:paraId="656CC5AB" w14:textId="77777777" w:rsidTr="00527836">
        <w:trPr>
          <w:trHeight w:val="709"/>
        </w:trPr>
        <w:tc>
          <w:tcPr>
            <w:tcW w:w="976" w:type="dxa"/>
            <w:tcBorders>
              <w:bottom w:val="single" w:sz="12" w:space="0" w:color="auto"/>
            </w:tcBorders>
          </w:tcPr>
          <w:p w14:paraId="6762DA41" w14:textId="77777777" w:rsidR="008473E9" w:rsidRPr="00E152D7" w:rsidRDefault="008473E9" w:rsidP="00527836">
            <w:r w:rsidRPr="00D977A0">
              <w:rPr>
                <w:noProof/>
                <w:lang w:val="fr-FR" w:eastAsia="fr-FR"/>
              </w:rPr>
              <w:drawing>
                <wp:inline distT="0" distB="0" distL="0" distR="0" wp14:anchorId="54F891D9" wp14:editId="5F0016C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65BCBB3" w14:textId="77777777" w:rsidR="008473E9" w:rsidRPr="00E152D7" w:rsidRDefault="008473E9" w:rsidP="00527836">
            <w:r w:rsidRPr="00D977A0">
              <w:rPr>
                <w:noProof/>
                <w:lang w:val="fr-FR" w:eastAsia="fr-FR"/>
              </w:rPr>
              <w:drawing>
                <wp:inline distT="0" distB="0" distL="0" distR="0" wp14:anchorId="21760405" wp14:editId="4784EABD">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AA274EF" w14:textId="77777777" w:rsidR="008473E9" w:rsidRPr="008D43A5" w:rsidRDefault="008473E9" w:rsidP="00527836">
            <w:pPr>
              <w:jc w:val="right"/>
              <w:rPr>
                <w:rFonts w:ascii="Arial" w:hAnsi="Arial" w:cs="Arial"/>
                <w:b/>
                <w:sz w:val="32"/>
                <w:szCs w:val="32"/>
              </w:rPr>
            </w:pPr>
            <w:r w:rsidRPr="00420B78">
              <w:rPr>
                <w:rFonts w:ascii="Arial" w:hAnsi="Arial" w:cs="Arial"/>
                <w:b/>
                <w:sz w:val="32"/>
                <w:szCs w:val="32"/>
              </w:rPr>
              <w:t>CBD</w:t>
            </w:r>
          </w:p>
        </w:tc>
      </w:tr>
      <w:tr w:rsidR="008473E9" w:rsidRPr="00D977A0" w14:paraId="194DB3D4" w14:textId="77777777" w:rsidTr="00527836">
        <w:tc>
          <w:tcPr>
            <w:tcW w:w="6117" w:type="dxa"/>
            <w:gridSpan w:val="2"/>
            <w:tcBorders>
              <w:top w:val="single" w:sz="12" w:space="0" w:color="auto"/>
              <w:bottom w:val="single" w:sz="36" w:space="0" w:color="auto"/>
            </w:tcBorders>
            <w:vAlign w:val="center"/>
          </w:tcPr>
          <w:p w14:paraId="18E830F4" w14:textId="0AF8EE12" w:rsidR="008473E9" w:rsidRPr="00E152D7" w:rsidRDefault="008D155B" w:rsidP="00527836">
            <w:r w:rsidRPr="00C74076">
              <w:rPr>
                <w:noProof/>
                <w:szCs w:val="22"/>
                <w:lang w:val="fr-FR" w:eastAsia="fr-FR"/>
              </w:rPr>
              <w:drawing>
                <wp:inline distT="0" distB="0" distL="0" distR="0" wp14:anchorId="0AD1EBC1" wp14:editId="324DFBF8">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EAAAF79" w14:textId="77777777" w:rsidR="008473E9" w:rsidRPr="00C446DD" w:rsidRDefault="008473E9" w:rsidP="00527836">
            <w:pPr>
              <w:ind w:left="1215"/>
              <w:rPr>
                <w:szCs w:val="22"/>
                <w:lang w:val="fr-FR"/>
              </w:rPr>
            </w:pPr>
            <w:r w:rsidRPr="00C446DD">
              <w:rPr>
                <w:szCs w:val="22"/>
                <w:lang w:val="fr-FR"/>
              </w:rPr>
              <w:t>Distr.</w:t>
            </w:r>
          </w:p>
          <w:p w14:paraId="151A7C97" w14:textId="4EE3A840" w:rsidR="008473E9" w:rsidRPr="00C446DD" w:rsidRDefault="00DF74A4" w:rsidP="00527836">
            <w:pPr>
              <w:ind w:left="1215"/>
              <w:rPr>
                <w:szCs w:val="22"/>
                <w:lang w:val="fr-FR"/>
              </w:rPr>
            </w:pPr>
            <w:sdt>
              <w:sdtPr>
                <w:rPr>
                  <w:caps/>
                  <w:szCs w:val="22"/>
                  <w:lang w:val="fr-FR"/>
                </w:rPr>
                <w:alias w:val="Status"/>
                <w:tag w:val=""/>
                <w:id w:val="307985777"/>
                <w:placeholder>
                  <w:docPart w:val="670967B6D28C45D29AFFBF7829842E03"/>
                </w:placeholder>
                <w:dataBinding w:prefixMappings="xmlns:ns0='http://purl.org/dc/elements/1.1/' xmlns:ns1='http://schemas.openxmlformats.org/package/2006/metadata/core-properties' " w:xpath="/ns1:coreProperties[1]/ns1:contentStatus[1]" w:storeItemID="{6C3C8BC8-F283-45AE-878A-BAB7291924A1}"/>
                <w:text/>
              </w:sdtPr>
              <w:sdtEndPr/>
              <w:sdtContent>
                <w:r w:rsidR="008D155B" w:rsidRPr="008D155B">
                  <w:rPr>
                    <w:caps/>
                    <w:szCs w:val="22"/>
                    <w:lang w:val="fr-FR"/>
                  </w:rPr>
                  <w:t>GÉNÉRALE</w:t>
                </w:r>
              </w:sdtContent>
            </w:sdt>
          </w:p>
          <w:p w14:paraId="342A7935" w14:textId="77777777" w:rsidR="008473E9" w:rsidRPr="00C446DD" w:rsidRDefault="008473E9" w:rsidP="00527836">
            <w:pPr>
              <w:ind w:left="1215"/>
              <w:rPr>
                <w:szCs w:val="22"/>
                <w:lang w:val="fr-FR"/>
              </w:rPr>
            </w:pPr>
          </w:p>
          <w:p w14:paraId="5C78C39D" w14:textId="7DFCF289" w:rsidR="008473E9" w:rsidRPr="00C446DD" w:rsidRDefault="00DF74A4" w:rsidP="00527836">
            <w:pPr>
              <w:ind w:left="1215"/>
              <w:rPr>
                <w:szCs w:val="22"/>
                <w:lang w:val="fr-FR"/>
              </w:rPr>
            </w:pPr>
            <w:sdt>
              <w:sdtPr>
                <w:rPr>
                  <w:lang w:val="fr-FR"/>
                </w:rPr>
                <w:alias w:val="Subject"/>
                <w:tag w:val=""/>
                <w:id w:val="2137136483"/>
                <w:placeholder>
                  <w:docPart w:val="8E152FB8F57644489168D7D1177EF98B"/>
                </w:placeholder>
                <w:dataBinding w:prefixMappings="xmlns:ns0='http://purl.org/dc/elements/1.1/' xmlns:ns1='http://schemas.openxmlformats.org/package/2006/metadata/core-properties' " w:xpath="/ns1:coreProperties[1]/ns0:subject[1]" w:storeItemID="{6C3C8BC8-F283-45AE-878A-BAB7291924A1}"/>
                <w:text/>
              </w:sdtPr>
              <w:sdtEndPr/>
              <w:sdtContent>
                <w:r w:rsidR="008473E9" w:rsidRPr="00C446DD">
                  <w:rPr>
                    <w:lang w:val="fr-FR"/>
                  </w:rPr>
                  <w:t>CBD/CP/MOP/</w:t>
                </w:r>
                <w:r w:rsidR="00C446DD" w:rsidRPr="00C446DD">
                  <w:rPr>
                    <w:lang w:val="fr-FR"/>
                  </w:rPr>
                  <w:t>DEC/9/10</w:t>
                </w:r>
              </w:sdtContent>
            </w:sdt>
          </w:p>
          <w:p w14:paraId="1FF54451" w14:textId="3404739A" w:rsidR="008473E9" w:rsidRPr="00E152D7" w:rsidRDefault="00C446DD" w:rsidP="00527836">
            <w:pPr>
              <w:ind w:left="1215"/>
              <w:rPr>
                <w:szCs w:val="22"/>
              </w:rPr>
            </w:pPr>
            <w:r>
              <w:rPr>
                <w:szCs w:val="22"/>
              </w:rPr>
              <w:t>30</w:t>
            </w:r>
            <w:r w:rsidR="008473E9" w:rsidRPr="00D977A0">
              <w:rPr>
                <w:szCs w:val="22"/>
              </w:rPr>
              <w:t xml:space="preserve"> </w:t>
            </w:r>
            <w:r w:rsidR="008D155B">
              <w:rPr>
                <w:szCs w:val="22"/>
              </w:rPr>
              <w:t>novembre</w:t>
            </w:r>
            <w:r w:rsidR="008473E9" w:rsidRPr="00D977A0">
              <w:rPr>
                <w:szCs w:val="22"/>
              </w:rPr>
              <w:t xml:space="preserve"> 2018</w:t>
            </w:r>
          </w:p>
          <w:p w14:paraId="1F4A8895" w14:textId="77777777" w:rsidR="008473E9" w:rsidRPr="00420B78" w:rsidRDefault="008473E9" w:rsidP="00527836">
            <w:pPr>
              <w:ind w:left="1215"/>
              <w:rPr>
                <w:szCs w:val="22"/>
              </w:rPr>
            </w:pPr>
          </w:p>
          <w:p w14:paraId="56C125D0" w14:textId="77777777" w:rsidR="008D155B" w:rsidRPr="00C74076" w:rsidRDefault="008D155B" w:rsidP="008D155B">
            <w:pPr>
              <w:ind w:left="1258"/>
              <w:rPr>
                <w:noProof/>
                <w:lang w:val="fr-FR"/>
              </w:rPr>
            </w:pPr>
            <w:r w:rsidRPr="00C74076">
              <w:rPr>
                <w:noProof/>
                <w:lang w:val="fr-FR"/>
              </w:rPr>
              <w:t>FRANÇAIS</w:t>
            </w:r>
          </w:p>
          <w:p w14:paraId="3ABA54A3" w14:textId="4AD4761A" w:rsidR="008473E9" w:rsidRPr="00D977A0" w:rsidRDefault="008D155B" w:rsidP="008D155B">
            <w:r w:rsidRPr="00C74076">
              <w:rPr>
                <w:noProof/>
                <w:lang w:val="fr-FR"/>
              </w:rPr>
              <w:t xml:space="preserve">                       ORIGINAL : ANGLAIS</w:t>
            </w:r>
            <w:r w:rsidRPr="00C74076">
              <w:rPr>
                <w:lang w:val="fr-FR"/>
              </w:rPr>
              <w:t xml:space="preserve"> </w:t>
            </w:r>
          </w:p>
        </w:tc>
      </w:tr>
    </w:tbl>
    <w:p w14:paraId="4576104B" w14:textId="77777777" w:rsidR="00C051B4" w:rsidRPr="0045560E" w:rsidRDefault="00C051B4" w:rsidP="00475C69">
      <w:pPr>
        <w:pStyle w:val="Cornernotation"/>
        <w:suppressLineNumbers/>
        <w:suppressAutoHyphens/>
        <w:kinsoku w:val="0"/>
        <w:overflowPunct w:val="0"/>
        <w:autoSpaceDE w:val="0"/>
        <w:autoSpaceDN w:val="0"/>
        <w:spacing w:before="60"/>
        <w:ind w:left="142" w:right="3780" w:hanging="142"/>
        <w:rPr>
          <w:snapToGrid w:val="0"/>
          <w:kern w:val="22"/>
          <w:szCs w:val="22"/>
          <w:lang w:val="fr-FR"/>
        </w:rPr>
      </w:pPr>
      <w:r w:rsidRPr="0045560E">
        <w:rPr>
          <w:snapToGrid w:val="0"/>
          <w:kern w:val="22"/>
          <w:szCs w:val="22"/>
          <w:lang w:val="fr-FR"/>
        </w:rPr>
        <w:t>CONFÉRENCE DES PARTIES À LA CONVENTION SUR LA DIVERSITÉ BIOLOGIQUE SIÉGEANT EN TANT QUE RÉUNION DES PARTIES AU PROTOCOLE DE CARTAGENA SUR LA PRÉVENTION DES RISQUES BIOTECHNOLOGIQUES</w:t>
      </w:r>
    </w:p>
    <w:p w14:paraId="5D5BE01E" w14:textId="77777777" w:rsidR="00C051B4" w:rsidRPr="0045560E" w:rsidRDefault="00C051B4" w:rsidP="00C051B4">
      <w:pPr>
        <w:pStyle w:val="Cornernotation"/>
        <w:suppressLineNumbers/>
        <w:suppressAutoHyphens/>
        <w:kinsoku w:val="0"/>
        <w:overflowPunct w:val="0"/>
        <w:autoSpaceDE w:val="0"/>
        <w:autoSpaceDN w:val="0"/>
        <w:ind w:left="0" w:right="4512" w:firstLine="0"/>
        <w:rPr>
          <w:snapToGrid w:val="0"/>
          <w:kern w:val="22"/>
          <w:szCs w:val="22"/>
          <w:lang w:val="fr-FR"/>
        </w:rPr>
      </w:pPr>
      <w:r w:rsidRPr="0045560E">
        <w:rPr>
          <w:snapToGrid w:val="0"/>
          <w:kern w:val="22"/>
          <w:szCs w:val="22"/>
          <w:lang w:val="fr-FR"/>
        </w:rPr>
        <w:t>Neuvième réunion</w:t>
      </w:r>
    </w:p>
    <w:p w14:paraId="28B1B4B1" w14:textId="77777777" w:rsidR="00C051B4" w:rsidRPr="0045560E" w:rsidRDefault="00C051B4" w:rsidP="00C051B4">
      <w:pPr>
        <w:suppressLineNumbers/>
        <w:suppressAutoHyphens/>
        <w:kinsoku w:val="0"/>
        <w:overflowPunct w:val="0"/>
        <w:autoSpaceDE w:val="0"/>
        <w:autoSpaceDN w:val="0"/>
        <w:rPr>
          <w:snapToGrid w:val="0"/>
          <w:kern w:val="22"/>
          <w:szCs w:val="22"/>
          <w:lang w:val="fr-FR" w:eastAsia="nb-NO"/>
        </w:rPr>
      </w:pPr>
      <w:bookmarkStart w:id="0" w:name="_Hlk505863673"/>
      <w:r w:rsidRPr="0045560E">
        <w:rPr>
          <w:snapToGrid w:val="0"/>
          <w:kern w:val="22"/>
          <w:szCs w:val="22"/>
          <w:lang w:val="fr-FR"/>
        </w:rPr>
        <w:t>Sharm El-Sheikh, Égypte</w:t>
      </w:r>
      <w:bookmarkEnd w:id="0"/>
      <w:r w:rsidRPr="0045560E">
        <w:rPr>
          <w:snapToGrid w:val="0"/>
          <w:kern w:val="22"/>
          <w:szCs w:val="22"/>
          <w:lang w:val="fr-FR"/>
        </w:rPr>
        <w:t>, 17-29 novembre 2018</w:t>
      </w:r>
    </w:p>
    <w:p w14:paraId="3A7AACCE" w14:textId="5DDB174D" w:rsidR="00C446DD" w:rsidRDefault="00C051B4" w:rsidP="00C051B4">
      <w:pPr>
        <w:rPr>
          <w:color w:val="000000" w:themeColor="text1"/>
          <w:lang w:val="fr-FR"/>
        </w:rPr>
      </w:pPr>
      <w:r w:rsidRPr="0045560E">
        <w:rPr>
          <w:kern w:val="22"/>
          <w:szCs w:val="22"/>
          <w:lang w:val="fr-FR"/>
        </w:rPr>
        <w:t>Point 1</w:t>
      </w:r>
      <w:r>
        <w:rPr>
          <w:kern w:val="22"/>
          <w:szCs w:val="22"/>
          <w:lang w:val="fr-FR"/>
        </w:rPr>
        <w:t>3</w:t>
      </w:r>
      <w:r w:rsidRPr="0045560E">
        <w:rPr>
          <w:kern w:val="22"/>
          <w:szCs w:val="22"/>
          <w:lang w:val="fr-FR"/>
        </w:rPr>
        <w:t xml:space="preserve"> de l’ordre du jour</w:t>
      </w:r>
      <w:r w:rsidR="00405146" w:rsidRPr="00C446DD">
        <w:rPr>
          <w:color w:val="000000" w:themeColor="text1"/>
          <w:lang w:val="fr-FR"/>
        </w:rPr>
        <w:t xml:space="preserve"> </w:t>
      </w:r>
    </w:p>
    <w:p w14:paraId="0F441F06" w14:textId="3919E061" w:rsidR="00C446DD" w:rsidRPr="00C446DD" w:rsidRDefault="00C446DD" w:rsidP="00C446DD">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14:paraId="57CC5743" w14:textId="4D618C0C" w:rsidR="008D155B" w:rsidRPr="00C74076" w:rsidRDefault="00DF74A4" w:rsidP="00251B0F">
      <w:pPr>
        <w:spacing w:before="240" w:after="240"/>
        <w:ind w:left="851" w:hanging="709"/>
        <w:jc w:val="left"/>
        <w:rPr>
          <w:b/>
          <w:caps/>
          <w:kern w:val="22"/>
          <w:szCs w:val="22"/>
          <w:lang w:val="fr-FR"/>
        </w:rPr>
      </w:pPr>
      <w:sdt>
        <w:sdtPr>
          <w:rPr>
            <w:b/>
            <w:caps/>
            <w:kern w:val="22"/>
            <w:szCs w:val="22"/>
            <w:lang w:val="fr-FR"/>
          </w:rPr>
          <w:alias w:val="Title"/>
          <w:tag w:val=""/>
          <w:id w:val="-1009598133"/>
          <w:placeholder>
            <w:docPart w:val="DA32FA76BD451546A3A1D2A49D5BD567"/>
          </w:placeholder>
          <w:dataBinding w:prefixMappings="xmlns:ns0='http://purl.org/dc/elements/1.1/' xmlns:ns1='http://schemas.openxmlformats.org/package/2006/metadata/core-properties' " w:xpath="/ns1:coreProperties[1]/ns0:title[1]" w:storeItemID="{6C3C8BC8-F283-45AE-878A-BAB7291924A1}"/>
          <w:text/>
        </w:sdtPr>
        <w:sdtEndPr/>
        <w:sdtContent>
          <w:r w:rsidR="00C446DD">
            <w:rPr>
              <w:b/>
              <w:caps/>
              <w:kern w:val="22"/>
              <w:szCs w:val="22"/>
              <w:lang w:val="fr-FR"/>
            </w:rPr>
            <w:t>9/10</w:t>
          </w:r>
          <w:r w:rsidR="00B2035E">
            <w:rPr>
              <w:b/>
              <w:caps/>
              <w:kern w:val="22"/>
              <w:szCs w:val="22"/>
              <w:lang w:val="fr-FR"/>
            </w:rPr>
            <w:t xml:space="preserve">.  </w:t>
          </w:r>
          <w:r w:rsidR="00251B0F">
            <w:rPr>
              <w:b/>
              <w:caps/>
              <w:kern w:val="22"/>
              <w:szCs w:val="22"/>
              <w:lang w:val="fr-FR"/>
            </w:rPr>
            <w:t xml:space="preserve">  </w:t>
          </w:r>
          <w:r w:rsidR="00B2035E">
            <w:rPr>
              <w:b/>
              <w:caps/>
              <w:kern w:val="22"/>
              <w:szCs w:val="22"/>
              <w:lang w:val="fr-FR"/>
            </w:rPr>
            <w:t xml:space="preserve"> </w:t>
          </w:r>
          <w:r w:rsidR="00B2035E">
            <w:rPr>
              <w:b/>
              <w:kern w:val="22"/>
              <w:szCs w:val="22"/>
              <w:lang w:val="fr-FR"/>
            </w:rPr>
            <w:t>P</w:t>
          </w:r>
          <w:r w:rsidR="00C446DD">
            <w:rPr>
              <w:b/>
              <w:kern w:val="22"/>
              <w:szCs w:val="22"/>
              <w:lang w:val="fr-FR"/>
            </w:rPr>
            <w:t>rocédure relative à</w:t>
          </w:r>
          <w:r w:rsidR="00B2035E">
            <w:rPr>
              <w:b/>
              <w:kern w:val="22"/>
              <w:szCs w:val="22"/>
              <w:lang w:val="fr-FR"/>
            </w:rPr>
            <w:t xml:space="preserve"> la prévention et à</w:t>
          </w:r>
          <w:r w:rsidR="00C446DD" w:rsidRPr="00C051B4">
            <w:rPr>
              <w:b/>
              <w:kern w:val="22"/>
              <w:szCs w:val="22"/>
              <w:lang w:val="fr-FR"/>
            </w:rPr>
            <w:t xml:space="preserve"> la gestion des conflits d’</w:t>
          </w:r>
          <w:r w:rsidR="00C446DD">
            <w:rPr>
              <w:b/>
              <w:kern w:val="22"/>
              <w:szCs w:val="22"/>
              <w:lang w:val="fr-FR"/>
            </w:rPr>
            <w:t>intérê</w:t>
          </w:r>
          <w:r w:rsidR="00C446DD" w:rsidRPr="00C051B4">
            <w:rPr>
              <w:b/>
              <w:kern w:val="22"/>
              <w:szCs w:val="22"/>
              <w:lang w:val="fr-FR"/>
            </w:rPr>
            <w:t>ts au sein des groupes d’experts</w:t>
          </w:r>
        </w:sdtContent>
      </w:sdt>
    </w:p>
    <w:p w14:paraId="0E3B0A20" w14:textId="59398AF4" w:rsidR="008D155B" w:rsidRPr="00C74076" w:rsidRDefault="008D155B" w:rsidP="008D155B">
      <w:pPr>
        <w:pStyle w:val="ListParagraph"/>
        <w:keepNext/>
        <w:spacing w:before="120" w:after="120"/>
        <w:ind w:left="0" w:firstLine="709"/>
        <w:contextualSpacing w:val="0"/>
        <w:rPr>
          <w:kern w:val="22"/>
          <w:szCs w:val="22"/>
          <w:lang w:val="fr-FR"/>
        </w:rPr>
      </w:pPr>
      <w:r w:rsidRPr="00C74076">
        <w:rPr>
          <w:i/>
          <w:kern w:val="22"/>
          <w:szCs w:val="22"/>
          <w:lang w:val="fr-FR"/>
        </w:rPr>
        <w:t>La Conférence des Parties</w:t>
      </w:r>
      <w:r w:rsidR="00251B0F">
        <w:rPr>
          <w:i/>
          <w:kern w:val="22"/>
          <w:szCs w:val="22"/>
          <w:lang w:val="fr-FR"/>
        </w:rPr>
        <w:t xml:space="preserve"> siégeant en tant que r</w:t>
      </w:r>
      <w:r w:rsidR="00C051B4">
        <w:rPr>
          <w:i/>
          <w:kern w:val="22"/>
          <w:szCs w:val="22"/>
          <w:lang w:val="fr-FR"/>
        </w:rPr>
        <w:t>éunion des Parties au Protocole de Cartagena sur la prévention des risques biotechnologiques</w:t>
      </w:r>
      <w:r w:rsidRPr="00C74076">
        <w:rPr>
          <w:i/>
          <w:kern w:val="22"/>
          <w:szCs w:val="22"/>
          <w:lang w:val="fr-FR"/>
        </w:rPr>
        <w:t>,</w:t>
      </w:r>
    </w:p>
    <w:p w14:paraId="0A002D18" w14:textId="61630972" w:rsidR="008D155B" w:rsidRPr="00C74076" w:rsidRDefault="008D155B" w:rsidP="008D155B">
      <w:pPr>
        <w:pStyle w:val="ListParagraph"/>
        <w:spacing w:before="120" w:after="120"/>
        <w:ind w:left="0" w:firstLine="720"/>
        <w:contextualSpacing w:val="0"/>
        <w:rPr>
          <w:kern w:val="22"/>
          <w:szCs w:val="22"/>
          <w:lang w:val="fr-FR"/>
        </w:rPr>
      </w:pPr>
      <w:r w:rsidRPr="00C74076">
        <w:rPr>
          <w:i/>
          <w:kern w:val="22"/>
          <w:szCs w:val="22"/>
          <w:lang w:val="fr-FR"/>
        </w:rPr>
        <w:t xml:space="preserve">Reconnaissant </w:t>
      </w:r>
      <w:r w:rsidRPr="00C74076">
        <w:rPr>
          <w:kern w:val="22"/>
          <w:szCs w:val="22"/>
          <w:lang w:val="fr-FR"/>
        </w:rPr>
        <w:t>qu’il i</w:t>
      </w:r>
      <w:r w:rsidR="00475C69">
        <w:rPr>
          <w:kern w:val="22"/>
          <w:szCs w:val="22"/>
          <w:lang w:val="fr-FR"/>
        </w:rPr>
        <w:t>mporte au plus haut point que le</w:t>
      </w:r>
      <w:r w:rsidRPr="00C74076">
        <w:rPr>
          <w:kern w:val="22"/>
          <w:szCs w:val="22"/>
          <w:lang w:val="fr-FR"/>
        </w:rPr>
        <w:t>s décisions soient prises en s’appuyant sur les meilleurs avis d’experts disponibles,</w:t>
      </w:r>
    </w:p>
    <w:p w14:paraId="43CE9F6D" w14:textId="233B67BA" w:rsidR="008D155B" w:rsidRPr="00C74076" w:rsidRDefault="008D155B" w:rsidP="008D155B">
      <w:pPr>
        <w:suppressLineNumbers/>
        <w:suppressAutoHyphens/>
        <w:kinsoku w:val="0"/>
        <w:overflowPunct w:val="0"/>
        <w:autoSpaceDE w:val="0"/>
        <w:autoSpaceDN w:val="0"/>
        <w:adjustRightInd w:val="0"/>
        <w:snapToGrid w:val="0"/>
        <w:spacing w:before="120" w:after="120"/>
        <w:ind w:firstLine="720"/>
        <w:rPr>
          <w:kern w:val="22"/>
          <w:szCs w:val="22"/>
          <w:lang w:val="fr-FR" w:eastAsia="en-CA"/>
        </w:rPr>
      </w:pPr>
      <w:r w:rsidRPr="00C74076">
        <w:rPr>
          <w:i/>
          <w:kern w:val="22"/>
          <w:szCs w:val="22"/>
          <w:lang w:val="fr-FR"/>
        </w:rPr>
        <w:t>Reconnaissant également</w:t>
      </w:r>
      <w:r w:rsidRPr="00C74076">
        <w:rPr>
          <w:kern w:val="22"/>
          <w:szCs w:val="22"/>
          <w:lang w:val="fr-FR"/>
        </w:rPr>
        <w:t xml:space="preserve"> la né</w:t>
      </w:r>
      <w:r w:rsidR="00251B0F">
        <w:rPr>
          <w:kern w:val="22"/>
          <w:szCs w:val="22"/>
          <w:lang w:val="fr-FR"/>
        </w:rPr>
        <w:t>cessité d’évi</w:t>
      </w:r>
      <w:r w:rsidR="00475C69">
        <w:rPr>
          <w:kern w:val="22"/>
          <w:szCs w:val="22"/>
          <w:lang w:val="fr-FR"/>
        </w:rPr>
        <w:t xml:space="preserve">ter ou de </w:t>
      </w:r>
      <w:r w:rsidR="00251B0F">
        <w:rPr>
          <w:kern w:val="22"/>
          <w:szCs w:val="22"/>
          <w:lang w:val="fr-FR"/>
        </w:rPr>
        <w:t>gérer, d’une manière transparente,</w:t>
      </w:r>
      <w:r w:rsidRPr="00C74076">
        <w:rPr>
          <w:kern w:val="22"/>
          <w:szCs w:val="22"/>
          <w:lang w:val="fr-FR"/>
        </w:rPr>
        <w:t xml:space="preserve"> les conflits d’intérêts au sein des groupes d’expe</w:t>
      </w:r>
      <w:bookmarkStart w:id="1" w:name="_GoBack"/>
      <w:bookmarkEnd w:id="1"/>
      <w:r w:rsidRPr="00C74076">
        <w:rPr>
          <w:kern w:val="22"/>
          <w:szCs w:val="22"/>
          <w:lang w:val="fr-FR"/>
        </w:rPr>
        <w:t>rts constitués de temps à autre pour formuler des recommandations,</w:t>
      </w:r>
    </w:p>
    <w:p w14:paraId="68C6EACB" w14:textId="644FF218" w:rsidR="008D155B" w:rsidRPr="00C74076" w:rsidRDefault="008D155B" w:rsidP="008D155B">
      <w:pPr>
        <w:pStyle w:val="ListParagraph"/>
        <w:spacing w:before="120" w:after="120"/>
        <w:ind w:left="0" w:firstLine="720"/>
        <w:contextualSpacing w:val="0"/>
        <w:rPr>
          <w:kern w:val="22"/>
          <w:szCs w:val="22"/>
          <w:lang w:val="fr-FR"/>
        </w:rPr>
      </w:pPr>
      <w:r w:rsidRPr="00C74076">
        <w:rPr>
          <w:kern w:val="22"/>
          <w:szCs w:val="22"/>
          <w:lang w:val="fr-FR" w:eastAsia="en-CA"/>
        </w:rPr>
        <w:t>1.</w:t>
      </w:r>
      <w:r w:rsidRPr="00C74076">
        <w:rPr>
          <w:kern w:val="22"/>
          <w:szCs w:val="22"/>
          <w:lang w:val="fr-FR" w:eastAsia="en-CA"/>
        </w:rPr>
        <w:tab/>
      </w:r>
      <w:r w:rsidRPr="00C74076">
        <w:rPr>
          <w:i/>
          <w:kern w:val="22"/>
          <w:szCs w:val="22"/>
          <w:lang w:val="fr-FR"/>
        </w:rPr>
        <w:t>Approuve</w:t>
      </w:r>
      <w:r w:rsidRPr="00C74076">
        <w:rPr>
          <w:kern w:val="22"/>
          <w:szCs w:val="22"/>
          <w:lang w:val="fr-FR"/>
        </w:rPr>
        <w:t xml:space="preserve"> la procédure </w:t>
      </w:r>
      <w:r>
        <w:rPr>
          <w:kern w:val="22"/>
          <w:szCs w:val="22"/>
          <w:lang w:val="fr-FR" w:eastAsia="de-AT"/>
        </w:rPr>
        <w:t>relative à la prévention et à la</w:t>
      </w:r>
      <w:r w:rsidRPr="00C74076">
        <w:rPr>
          <w:kern w:val="22"/>
          <w:szCs w:val="22"/>
          <w:lang w:val="fr-FR" w:eastAsia="de-AT"/>
        </w:rPr>
        <w:t xml:space="preserve"> gestion de</w:t>
      </w:r>
      <w:r>
        <w:rPr>
          <w:kern w:val="22"/>
          <w:szCs w:val="22"/>
          <w:lang w:val="fr-FR" w:eastAsia="de-AT"/>
        </w:rPr>
        <w:t>s</w:t>
      </w:r>
      <w:r w:rsidRPr="00C74076">
        <w:rPr>
          <w:kern w:val="22"/>
          <w:szCs w:val="22"/>
          <w:lang w:val="fr-FR" w:eastAsia="de-AT"/>
        </w:rPr>
        <w:t xml:space="preserve"> conflits d’intérêts </w:t>
      </w:r>
      <w:r w:rsidR="00C051B4">
        <w:rPr>
          <w:kern w:val="22"/>
          <w:szCs w:val="22"/>
          <w:lang w:val="fr-FR" w:eastAsia="de-AT"/>
        </w:rPr>
        <w:t>au sein des groupes d’</w:t>
      </w:r>
      <w:r w:rsidR="005D57FA">
        <w:rPr>
          <w:kern w:val="22"/>
          <w:szCs w:val="22"/>
          <w:lang w:val="fr-FR" w:eastAsia="de-AT"/>
        </w:rPr>
        <w:t>e</w:t>
      </w:r>
      <w:r w:rsidR="00251B0F">
        <w:rPr>
          <w:kern w:val="22"/>
          <w:szCs w:val="22"/>
          <w:lang w:val="fr-FR" w:eastAsia="de-AT"/>
        </w:rPr>
        <w:t xml:space="preserve">xperts qui </w:t>
      </w:r>
      <w:r w:rsidRPr="00C74076">
        <w:rPr>
          <w:kern w:val="22"/>
          <w:szCs w:val="22"/>
          <w:lang w:val="fr-FR"/>
        </w:rPr>
        <w:t>figure à l’annexe de la décision</w:t>
      </w:r>
      <w:r w:rsidR="00C051B4">
        <w:rPr>
          <w:kern w:val="22"/>
          <w:szCs w:val="22"/>
          <w:lang w:val="fr-FR"/>
        </w:rPr>
        <w:t xml:space="preserve"> </w:t>
      </w:r>
      <w:r w:rsidR="00B2035E">
        <w:rPr>
          <w:rFonts w:eastAsia="MS Mincho" w:cs="Angsana New"/>
          <w:color w:val="000000" w:themeColor="text1"/>
          <w:kern w:val="22"/>
          <w:lang w:val="fr-FR"/>
        </w:rPr>
        <w:t>14/33</w:t>
      </w:r>
      <w:r w:rsidR="00C051B4" w:rsidRPr="00C446DD">
        <w:rPr>
          <w:rFonts w:eastAsia="MS Mincho" w:cs="Angsana New"/>
          <w:color w:val="000000" w:themeColor="text1"/>
          <w:kern w:val="22"/>
          <w:lang w:val="fr-FR"/>
        </w:rPr>
        <w:t>;</w:t>
      </w:r>
    </w:p>
    <w:p w14:paraId="322A518D" w14:textId="204325FE" w:rsidR="008D155B" w:rsidRPr="00C74076" w:rsidRDefault="008D155B" w:rsidP="008D155B">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74076">
        <w:rPr>
          <w:kern w:val="22"/>
          <w:szCs w:val="22"/>
          <w:lang w:val="fr-FR"/>
        </w:rPr>
        <w:t>2.</w:t>
      </w:r>
      <w:r w:rsidRPr="00C74076">
        <w:rPr>
          <w:kern w:val="22"/>
          <w:szCs w:val="22"/>
          <w:lang w:val="fr-FR"/>
        </w:rPr>
        <w:tab/>
      </w:r>
      <w:r w:rsidRPr="00C74076">
        <w:rPr>
          <w:i/>
          <w:iCs/>
          <w:kern w:val="22"/>
          <w:szCs w:val="22"/>
          <w:lang w:val="fr-FR"/>
        </w:rPr>
        <w:t>Prie</w:t>
      </w:r>
      <w:r w:rsidRPr="00C74076">
        <w:rPr>
          <w:kern w:val="22"/>
          <w:szCs w:val="22"/>
          <w:lang w:val="fr-FR"/>
        </w:rPr>
        <w:t xml:space="preserve"> la Secrétaire exécutive de veiller à </w:t>
      </w:r>
      <w:r w:rsidRPr="00C74076">
        <w:rPr>
          <w:kern w:val="22"/>
          <w:szCs w:val="22"/>
          <w:lang w:val="fr-FR" w:eastAsia="de-AT"/>
        </w:rPr>
        <w:t>l’application</w:t>
      </w:r>
      <w:r w:rsidR="00C051B4">
        <w:rPr>
          <w:kern w:val="22"/>
          <w:szCs w:val="22"/>
          <w:lang w:val="fr-FR" w:eastAsia="de-AT"/>
        </w:rPr>
        <w:t xml:space="preserve">, </w:t>
      </w:r>
      <w:r w:rsidR="00C051B4" w:rsidRPr="00C051B4">
        <w:rPr>
          <w:i/>
          <w:kern w:val="22"/>
          <w:szCs w:val="22"/>
          <w:lang w:val="fr-FR" w:eastAsia="de-AT"/>
        </w:rPr>
        <w:t>mutatis mutandis</w:t>
      </w:r>
      <w:r w:rsidR="00C051B4">
        <w:rPr>
          <w:kern w:val="22"/>
          <w:szCs w:val="22"/>
          <w:lang w:val="fr-FR" w:eastAsia="de-AT"/>
        </w:rPr>
        <w:t>,</w:t>
      </w:r>
      <w:r w:rsidRPr="00C74076">
        <w:rPr>
          <w:kern w:val="22"/>
          <w:szCs w:val="22"/>
          <w:lang w:val="fr-FR" w:eastAsia="de-AT"/>
        </w:rPr>
        <w:t xml:space="preserve"> </w:t>
      </w:r>
      <w:r w:rsidR="00251B0F" w:rsidRPr="00C74076">
        <w:rPr>
          <w:kern w:val="22"/>
          <w:szCs w:val="22"/>
          <w:lang w:val="fr-FR" w:eastAsia="de-AT"/>
        </w:rPr>
        <w:t xml:space="preserve">de la procédure </w:t>
      </w:r>
      <w:r w:rsidR="00251B0F">
        <w:rPr>
          <w:kern w:val="22"/>
          <w:szCs w:val="22"/>
          <w:lang w:val="fr-FR" w:eastAsia="de-AT"/>
        </w:rPr>
        <w:t>relative à la prévention et à la</w:t>
      </w:r>
      <w:r w:rsidR="00251B0F" w:rsidRPr="00C74076">
        <w:rPr>
          <w:kern w:val="22"/>
          <w:szCs w:val="22"/>
          <w:lang w:val="fr-FR" w:eastAsia="de-AT"/>
        </w:rPr>
        <w:t xml:space="preserve"> gestion de</w:t>
      </w:r>
      <w:r w:rsidR="00251B0F">
        <w:rPr>
          <w:kern w:val="22"/>
          <w:szCs w:val="22"/>
          <w:lang w:val="fr-FR" w:eastAsia="de-AT"/>
        </w:rPr>
        <w:t>s</w:t>
      </w:r>
      <w:r w:rsidR="00251B0F" w:rsidRPr="00C74076">
        <w:rPr>
          <w:kern w:val="22"/>
          <w:szCs w:val="22"/>
          <w:lang w:val="fr-FR" w:eastAsia="de-AT"/>
        </w:rPr>
        <w:t xml:space="preserve"> conflits d’intérêts </w:t>
      </w:r>
      <w:r w:rsidR="00251B0F">
        <w:rPr>
          <w:kern w:val="22"/>
          <w:szCs w:val="22"/>
          <w:lang w:val="fr-FR" w:eastAsia="de-AT"/>
        </w:rPr>
        <w:t>au sein</w:t>
      </w:r>
      <w:r w:rsidR="00251B0F" w:rsidRPr="00C74076">
        <w:rPr>
          <w:kern w:val="22"/>
          <w:szCs w:val="22"/>
          <w:lang w:val="fr-FR" w:eastAsia="de-AT"/>
        </w:rPr>
        <w:t xml:space="preserve"> des groupes d’experts</w:t>
      </w:r>
      <w:r w:rsidR="00251B0F">
        <w:rPr>
          <w:kern w:val="22"/>
          <w:szCs w:val="22"/>
          <w:lang w:val="fr-FR" w:eastAsia="de-AT"/>
        </w:rPr>
        <w:t xml:space="preserve">, </w:t>
      </w:r>
      <w:r w:rsidR="00C051B4">
        <w:rPr>
          <w:kern w:val="22"/>
          <w:szCs w:val="22"/>
          <w:lang w:val="fr-FR" w:eastAsia="de-AT"/>
        </w:rPr>
        <w:t>dans le cadre des travaux des groupes d’experts techniques menés au titre du Protocole de Cartagena</w:t>
      </w:r>
      <w:r w:rsidR="00251B0F">
        <w:rPr>
          <w:kern w:val="22"/>
          <w:szCs w:val="22"/>
          <w:lang w:val="fr-FR" w:eastAsia="de-AT"/>
        </w:rPr>
        <w:t xml:space="preserve"> sur la prévention des risques biotechnologiques</w:t>
      </w:r>
      <w:r w:rsidR="00C051B4">
        <w:rPr>
          <w:kern w:val="22"/>
          <w:szCs w:val="22"/>
          <w:lang w:val="fr-FR" w:eastAsia="de-AT"/>
        </w:rPr>
        <w:t xml:space="preserve">, </w:t>
      </w:r>
      <w:r w:rsidRPr="00C74076">
        <w:rPr>
          <w:kern w:val="22"/>
          <w:szCs w:val="22"/>
          <w:lang w:val="fr-FR" w:eastAsia="de-AT"/>
        </w:rPr>
        <w:t>en consultation avec le Bureau de l’Organe subsidiaire chargé de fournir des avis scientifiques, techniques et technologique ou le Bureau de la Conférence des Parties</w:t>
      </w:r>
      <w:r w:rsidR="00251B0F">
        <w:rPr>
          <w:kern w:val="22"/>
          <w:szCs w:val="22"/>
          <w:lang w:val="fr-FR" w:eastAsia="de-AT"/>
        </w:rPr>
        <w:t>,</w:t>
      </w:r>
      <w:r w:rsidR="00C051B4">
        <w:rPr>
          <w:kern w:val="22"/>
          <w:szCs w:val="22"/>
          <w:lang w:val="fr-FR" w:eastAsia="de-AT"/>
        </w:rPr>
        <w:t xml:space="preserve"> </w:t>
      </w:r>
      <w:r w:rsidR="00C051B4" w:rsidRPr="00C051B4">
        <w:rPr>
          <w:kern w:val="22"/>
          <w:szCs w:val="22"/>
          <w:lang w:val="fr-FR" w:eastAsia="de-AT"/>
        </w:rPr>
        <w:t>lorsqu</w:t>
      </w:r>
      <w:r w:rsidR="00251B0F">
        <w:rPr>
          <w:kern w:val="22"/>
          <w:szCs w:val="22"/>
          <w:lang w:val="fr-FR" w:eastAsia="de-AT"/>
        </w:rPr>
        <w:t xml:space="preserve">e celui-ci assume la </w:t>
      </w:r>
      <w:r w:rsidR="00C051B4" w:rsidRPr="00C051B4">
        <w:rPr>
          <w:kern w:val="22"/>
          <w:szCs w:val="22"/>
          <w:lang w:val="fr-FR" w:eastAsia="de-AT"/>
        </w:rPr>
        <w:t xml:space="preserve">fonction de Bureau de la Conférence des Parties </w:t>
      </w:r>
      <w:r w:rsidR="005D57FA">
        <w:rPr>
          <w:kern w:val="22"/>
          <w:szCs w:val="22"/>
          <w:lang w:val="fr-FR" w:eastAsia="de-AT"/>
        </w:rPr>
        <w:t>siégeant en tant que</w:t>
      </w:r>
      <w:r w:rsidR="00C051B4" w:rsidRPr="00C051B4">
        <w:rPr>
          <w:kern w:val="22"/>
          <w:szCs w:val="22"/>
          <w:lang w:val="fr-FR" w:eastAsia="de-AT"/>
        </w:rPr>
        <w:t xml:space="preserve"> réunion des Parties au Protocole de Cartagena</w:t>
      </w:r>
      <w:r w:rsidR="00251B0F">
        <w:rPr>
          <w:kern w:val="22"/>
          <w:szCs w:val="22"/>
          <w:lang w:val="fr-FR" w:eastAsia="de-AT"/>
        </w:rPr>
        <w:t xml:space="preserve"> sur la prévention des risques biotechnologiques</w:t>
      </w:r>
      <w:r w:rsidR="00C051B4">
        <w:rPr>
          <w:kern w:val="22"/>
          <w:szCs w:val="22"/>
          <w:lang w:val="fr-FR" w:eastAsia="de-AT"/>
        </w:rPr>
        <w:t xml:space="preserve">, </w:t>
      </w:r>
      <w:r w:rsidRPr="00C74076">
        <w:rPr>
          <w:kern w:val="22"/>
          <w:szCs w:val="22"/>
          <w:lang w:val="fr-FR" w:eastAsia="de-AT"/>
        </w:rPr>
        <w:t>selon qu’il convient;</w:t>
      </w:r>
    </w:p>
    <w:p w14:paraId="1C8765F7" w14:textId="50E951F9" w:rsidR="008D155B" w:rsidRPr="00C74076" w:rsidRDefault="008D155B" w:rsidP="008D155B">
      <w:pPr>
        <w:pStyle w:val="ListBullet"/>
        <w:tabs>
          <w:tab w:val="clear" w:pos="360"/>
        </w:tabs>
        <w:spacing w:before="120" w:after="120" w:line="240" w:lineRule="auto"/>
        <w:ind w:firstLine="720"/>
        <w:contextualSpacing w:val="0"/>
        <w:rPr>
          <w:rFonts w:ascii="Times New Roman" w:hAnsi="Times New Roman"/>
          <w:kern w:val="22"/>
          <w:szCs w:val="22"/>
          <w:lang w:val="fr-FR"/>
        </w:rPr>
      </w:pPr>
      <w:r w:rsidRPr="00C74076">
        <w:rPr>
          <w:rFonts w:ascii="Times New Roman" w:hAnsi="Times New Roman"/>
          <w:kern w:val="22"/>
          <w:szCs w:val="22"/>
          <w:lang w:val="fr-FR"/>
        </w:rPr>
        <w:t>3.</w:t>
      </w:r>
      <w:r w:rsidRPr="00C74076">
        <w:rPr>
          <w:rFonts w:ascii="Times New Roman" w:hAnsi="Times New Roman"/>
          <w:kern w:val="22"/>
          <w:szCs w:val="22"/>
          <w:lang w:val="fr-FR"/>
        </w:rPr>
        <w:tab/>
      </w:r>
      <w:r w:rsidRPr="00C74076">
        <w:rPr>
          <w:rFonts w:ascii="Times New Roman" w:hAnsi="Times New Roman"/>
          <w:i/>
          <w:iCs/>
          <w:kern w:val="22"/>
          <w:szCs w:val="22"/>
          <w:lang w:val="fr-FR"/>
        </w:rPr>
        <w:t>Prie également</w:t>
      </w:r>
      <w:r w:rsidRPr="00C74076">
        <w:rPr>
          <w:rFonts w:ascii="Times New Roman" w:hAnsi="Times New Roman"/>
          <w:kern w:val="22"/>
          <w:szCs w:val="22"/>
          <w:lang w:val="fr-FR"/>
        </w:rPr>
        <w:t xml:space="preserve"> la</w:t>
      </w:r>
      <w:r w:rsidR="00251B0F">
        <w:rPr>
          <w:rFonts w:ascii="Times New Roman" w:hAnsi="Times New Roman"/>
          <w:kern w:val="22"/>
          <w:szCs w:val="22"/>
          <w:lang w:val="fr-FR"/>
        </w:rPr>
        <w:t xml:space="preserve"> Secrétaire exécutive d’établi</w:t>
      </w:r>
      <w:r w:rsidRPr="00C74076">
        <w:rPr>
          <w:rFonts w:ascii="Times New Roman" w:hAnsi="Times New Roman"/>
          <w:kern w:val="22"/>
          <w:szCs w:val="22"/>
          <w:lang w:val="fr-FR"/>
        </w:rPr>
        <w:t xml:space="preserve">r un rapport sur : a) l’application de la procédure, et b) les évolutions pertinentes en matière de prévention ou de gestion de conflits d’intérêts dans </w:t>
      </w:r>
      <w:r w:rsidR="004B64B7">
        <w:rPr>
          <w:rFonts w:ascii="Times New Roman" w:hAnsi="Times New Roman"/>
          <w:kern w:val="22"/>
          <w:szCs w:val="22"/>
          <w:lang w:val="fr-FR"/>
        </w:rPr>
        <w:t>le cadre d</w:t>
      </w:r>
      <w:r w:rsidRPr="00C74076">
        <w:rPr>
          <w:rFonts w:ascii="Times New Roman" w:hAnsi="Times New Roman"/>
          <w:kern w:val="22"/>
          <w:szCs w:val="22"/>
          <w:lang w:val="fr-FR"/>
        </w:rPr>
        <w:t>’autres accords multilatéraux, initiatives ou organisation</w:t>
      </w:r>
      <w:r w:rsidR="00251B0F">
        <w:rPr>
          <w:rFonts w:ascii="Times New Roman" w:hAnsi="Times New Roman"/>
          <w:kern w:val="22"/>
          <w:szCs w:val="22"/>
          <w:lang w:val="fr-FR"/>
        </w:rPr>
        <w:t xml:space="preserve">s intergouvernementales qui s’occupent de </w:t>
      </w:r>
      <w:r w:rsidR="004B64B7">
        <w:rPr>
          <w:rFonts w:ascii="Times New Roman" w:hAnsi="Times New Roman"/>
          <w:kern w:val="22"/>
          <w:szCs w:val="22"/>
          <w:lang w:val="fr-FR"/>
        </w:rPr>
        <w:t xml:space="preserve">l’environnement </w:t>
      </w:r>
      <w:r w:rsidRPr="00C74076">
        <w:rPr>
          <w:rFonts w:ascii="Times New Roman" w:hAnsi="Times New Roman"/>
          <w:kern w:val="22"/>
          <w:szCs w:val="22"/>
          <w:lang w:val="fr-FR"/>
        </w:rPr>
        <w:t xml:space="preserve">et, s’il y a lieu, de proposer des mises à jour et des </w:t>
      </w:r>
      <w:r>
        <w:rPr>
          <w:rFonts w:ascii="Times New Roman" w:hAnsi="Times New Roman"/>
          <w:kern w:val="22"/>
          <w:szCs w:val="22"/>
          <w:lang w:val="fr-FR"/>
        </w:rPr>
        <w:t>modifications</w:t>
      </w:r>
      <w:r w:rsidRPr="00C74076">
        <w:rPr>
          <w:rFonts w:ascii="Times New Roman" w:hAnsi="Times New Roman"/>
          <w:kern w:val="22"/>
          <w:szCs w:val="22"/>
          <w:lang w:val="fr-FR"/>
        </w:rPr>
        <w:t xml:space="preserve"> </w:t>
      </w:r>
      <w:r>
        <w:rPr>
          <w:rFonts w:ascii="Times New Roman" w:hAnsi="Times New Roman"/>
          <w:kern w:val="22"/>
          <w:szCs w:val="22"/>
          <w:lang w:val="fr-FR"/>
        </w:rPr>
        <w:t>de</w:t>
      </w:r>
      <w:r w:rsidRPr="00C74076">
        <w:rPr>
          <w:rFonts w:ascii="Times New Roman" w:hAnsi="Times New Roman"/>
          <w:kern w:val="22"/>
          <w:szCs w:val="22"/>
          <w:lang w:val="fr-FR"/>
        </w:rPr>
        <w:t xml:space="preserve"> la</w:t>
      </w:r>
      <w:r w:rsidR="00251B0F">
        <w:rPr>
          <w:rFonts w:ascii="Times New Roman" w:hAnsi="Times New Roman"/>
          <w:kern w:val="22"/>
          <w:szCs w:val="22"/>
          <w:lang w:val="fr-FR"/>
        </w:rPr>
        <w:t xml:space="preserve"> procédure actuelle, pour </w:t>
      </w:r>
      <w:r w:rsidRPr="00C74076">
        <w:rPr>
          <w:rFonts w:ascii="Times New Roman" w:hAnsi="Times New Roman"/>
          <w:kern w:val="22"/>
          <w:szCs w:val="22"/>
          <w:lang w:val="fr-FR"/>
        </w:rPr>
        <w:t>examen par l’Organe subsidiaire</w:t>
      </w:r>
      <w:r w:rsidR="00B2035E">
        <w:rPr>
          <w:rFonts w:ascii="Times New Roman" w:hAnsi="Times New Roman"/>
          <w:kern w:val="22"/>
          <w:szCs w:val="22"/>
          <w:lang w:val="fr-FR"/>
        </w:rPr>
        <w:t xml:space="preserve"> chargé de l’application à </w:t>
      </w:r>
      <w:r w:rsidRPr="00C74076">
        <w:rPr>
          <w:rFonts w:ascii="Times New Roman" w:hAnsi="Times New Roman"/>
          <w:kern w:val="22"/>
          <w:szCs w:val="22"/>
          <w:lang w:val="fr-FR"/>
        </w:rPr>
        <w:t>une réunion qui se tiendra ava</w:t>
      </w:r>
      <w:r w:rsidR="00B2035E">
        <w:rPr>
          <w:rFonts w:ascii="Times New Roman" w:hAnsi="Times New Roman"/>
          <w:kern w:val="22"/>
          <w:szCs w:val="22"/>
          <w:lang w:val="fr-FR"/>
        </w:rPr>
        <w:t>nt la on</w:t>
      </w:r>
      <w:r w:rsidRPr="00C74076">
        <w:rPr>
          <w:rFonts w:ascii="Times New Roman" w:hAnsi="Times New Roman"/>
          <w:kern w:val="22"/>
          <w:szCs w:val="22"/>
          <w:lang w:val="fr-FR"/>
        </w:rPr>
        <w:t>zième réunion de la Conférence des Parties</w:t>
      </w:r>
      <w:r w:rsidR="00B2035E">
        <w:rPr>
          <w:rFonts w:ascii="Times New Roman" w:hAnsi="Times New Roman"/>
          <w:kern w:val="22"/>
          <w:szCs w:val="22"/>
          <w:lang w:val="fr-FR"/>
        </w:rPr>
        <w:t xml:space="preserve"> siégeant en tant que réunion des Parties au Protocole de Cartagena</w:t>
      </w:r>
      <w:r w:rsidRPr="00C74076">
        <w:rPr>
          <w:rFonts w:ascii="Times New Roman" w:hAnsi="Times New Roman"/>
          <w:kern w:val="22"/>
          <w:szCs w:val="22"/>
          <w:lang w:val="fr-FR"/>
        </w:rPr>
        <w:t>;</w:t>
      </w:r>
    </w:p>
    <w:p w14:paraId="2E799716" w14:textId="09924298" w:rsidR="009747AA" w:rsidRPr="00C446DD" w:rsidRDefault="008D155B" w:rsidP="008D155B">
      <w:pPr>
        <w:pStyle w:val="ListBullet"/>
        <w:suppressLineNumbers/>
        <w:tabs>
          <w:tab w:val="clear" w:pos="360"/>
        </w:tabs>
        <w:suppressAutoHyphens/>
        <w:spacing w:before="120" w:after="120" w:line="240" w:lineRule="auto"/>
        <w:ind w:firstLine="720"/>
        <w:contextualSpacing w:val="0"/>
        <w:rPr>
          <w:rFonts w:ascii="Times New Roman" w:eastAsia="MS Mincho" w:hAnsi="Times New Roman"/>
          <w:snapToGrid w:val="0"/>
          <w:color w:val="000000" w:themeColor="text1"/>
          <w:szCs w:val="22"/>
          <w:lang w:val="fr-FR"/>
        </w:rPr>
      </w:pPr>
      <w:r w:rsidRPr="00C74076">
        <w:rPr>
          <w:rFonts w:ascii="Times New Roman" w:hAnsi="Times New Roman"/>
          <w:kern w:val="22"/>
          <w:szCs w:val="22"/>
          <w:lang w:val="fr-FR"/>
        </w:rPr>
        <w:t>4.</w:t>
      </w:r>
      <w:r w:rsidRPr="00C74076">
        <w:rPr>
          <w:rFonts w:ascii="Times New Roman" w:hAnsi="Times New Roman"/>
          <w:kern w:val="22"/>
          <w:szCs w:val="22"/>
          <w:lang w:val="fr-FR"/>
        </w:rPr>
        <w:tab/>
      </w:r>
      <w:r w:rsidRPr="00C74076">
        <w:rPr>
          <w:rFonts w:ascii="Times New Roman" w:hAnsi="Times New Roman"/>
          <w:i/>
          <w:iCs/>
          <w:kern w:val="22"/>
          <w:szCs w:val="22"/>
          <w:lang w:val="fr-FR"/>
        </w:rPr>
        <w:t xml:space="preserve">Prie </w:t>
      </w:r>
      <w:r w:rsidRPr="00C74076">
        <w:rPr>
          <w:rFonts w:ascii="Times New Roman" w:hAnsi="Times New Roman"/>
          <w:kern w:val="22"/>
          <w:szCs w:val="22"/>
          <w:lang w:val="fr-FR"/>
        </w:rPr>
        <w:t>l’Organe subsidiaire chargé de l’application d’examiner le rapport dont il est question au paragraphe 3 ci</w:t>
      </w:r>
      <w:r w:rsidRPr="00C74076">
        <w:rPr>
          <w:rFonts w:ascii="Times New Roman" w:hAnsi="Times New Roman"/>
          <w:kern w:val="22"/>
          <w:szCs w:val="22"/>
          <w:lang w:val="fr-FR"/>
        </w:rPr>
        <w:noBreakHyphen/>
      </w:r>
      <w:r w:rsidR="00251B0F">
        <w:rPr>
          <w:rFonts w:ascii="Times New Roman" w:hAnsi="Times New Roman"/>
          <w:kern w:val="22"/>
          <w:szCs w:val="22"/>
          <w:lang w:val="fr-FR"/>
        </w:rPr>
        <w:t>dessus et de re</w:t>
      </w:r>
      <w:r w:rsidRPr="00C74076">
        <w:rPr>
          <w:rFonts w:ascii="Times New Roman" w:hAnsi="Times New Roman"/>
          <w:kern w:val="22"/>
          <w:szCs w:val="22"/>
          <w:lang w:val="fr-FR"/>
        </w:rPr>
        <w:t xml:space="preserve">mettre des recommandations, selon qu’il convient, pour </w:t>
      </w:r>
      <w:r w:rsidR="004B64B7">
        <w:rPr>
          <w:rFonts w:ascii="Times New Roman" w:hAnsi="Times New Roman"/>
          <w:kern w:val="22"/>
          <w:szCs w:val="22"/>
          <w:lang w:val="fr-FR"/>
        </w:rPr>
        <w:t>examen</w:t>
      </w:r>
      <w:r w:rsidRPr="00C74076">
        <w:rPr>
          <w:rFonts w:ascii="Times New Roman" w:hAnsi="Times New Roman"/>
          <w:kern w:val="22"/>
          <w:szCs w:val="22"/>
          <w:lang w:val="fr-FR"/>
        </w:rPr>
        <w:t xml:space="preserve"> </w:t>
      </w:r>
      <w:r w:rsidR="00251B0F">
        <w:rPr>
          <w:rFonts w:ascii="Times New Roman" w:hAnsi="Times New Roman"/>
          <w:kern w:val="22"/>
          <w:szCs w:val="22"/>
          <w:lang w:val="fr-FR"/>
        </w:rPr>
        <w:t xml:space="preserve">à la onzième réunion de </w:t>
      </w:r>
      <w:r w:rsidR="00B2035E" w:rsidRPr="00C74076">
        <w:rPr>
          <w:rFonts w:ascii="Times New Roman" w:hAnsi="Times New Roman"/>
          <w:kern w:val="22"/>
          <w:szCs w:val="22"/>
          <w:lang w:val="fr-FR"/>
        </w:rPr>
        <w:t>la Conférence des Parties</w:t>
      </w:r>
      <w:r w:rsidR="00B2035E">
        <w:rPr>
          <w:rFonts w:ascii="Times New Roman" w:hAnsi="Times New Roman"/>
          <w:kern w:val="22"/>
          <w:szCs w:val="22"/>
          <w:lang w:val="fr-FR"/>
        </w:rPr>
        <w:t xml:space="preserve"> siégeant en tant que réunion des Parties au Protocole de Cartagena</w:t>
      </w:r>
      <w:r w:rsidRPr="00C74076">
        <w:rPr>
          <w:rFonts w:ascii="Times New Roman" w:hAnsi="Times New Roman"/>
          <w:kern w:val="22"/>
          <w:szCs w:val="22"/>
          <w:lang w:val="fr-FR"/>
        </w:rPr>
        <w:t>.</w:t>
      </w:r>
      <w:r w:rsidR="00413998">
        <w:rPr>
          <w:rFonts w:ascii="Times New Roman" w:hAnsi="Times New Roman"/>
          <w:kern w:val="22"/>
          <w:szCs w:val="22"/>
          <w:lang w:val="fr-FR"/>
        </w:rPr>
        <w:t xml:space="preserve"> </w:t>
      </w:r>
    </w:p>
    <w:p w14:paraId="09A5F60C" w14:textId="1479EBE1" w:rsidR="009747AA" w:rsidRPr="00C446DD" w:rsidRDefault="00D9227F">
      <w:pPr>
        <w:rPr>
          <w:szCs w:val="22"/>
          <w:lang w:val="fr-FR"/>
        </w:rPr>
      </w:pPr>
      <w:r w:rsidRPr="00C446DD">
        <w:rPr>
          <w:szCs w:val="22"/>
          <w:lang w:val="fr-FR"/>
        </w:rPr>
        <w:lastRenderedPageBreak/>
        <w:t xml:space="preserve"> </w:t>
      </w:r>
    </w:p>
    <w:p w14:paraId="02531827" w14:textId="0FB523BE" w:rsidR="00C9161D" w:rsidRPr="00D977A0" w:rsidRDefault="00C9161D" w:rsidP="00C9161D">
      <w:pPr>
        <w:jc w:val="center"/>
        <w:rPr>
          <w:szCs w:val="22"/>
        </w:rPr>
      </w:pPr>
      <w:r w:rsidRPr="00D977A0">
        <w:rPr>
          <w:szCs w:val="22"/>
        </w:rPr>
        <w:t>______</w:t>
      </w:r>
      <w:r w:rsidR="00487D57" w:rsidRPr="00D977A0">
        <w:rPr>
          <w:szCs w:val="22"/>
        </w:rPr>
        <w:t>____</w:t>
      </w:r>
    </w:p>
    <w:p w14:paraId="48D24824" w14:textId="77777777" w:rsidR="00B3369F" w:rsidRPr="00D977A0" w:rsidRDefault="00B3369F" w:rsidP="00C9161D">
      <w:pPr>
        <w:rPr>
          <w:szCs w:val="22"/>
        </w:rPr>
      </w:pPr>
    </w:p>
    <w:sectPr w:rsidR="00B3369F" w:rsidRPr="00D977A0"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77C85" w14:textId="77777777" w:rsidR="00DF74A4" w:rsidRDefault="00DF74A4" w:rsidP="00CF1848">
      <w:r>
        <w:separator/>
      </w:r>
    </w:p>
  </w:endnote>
  <w:endnote w:type="continuationSeparator" w:id="0">
    <w:p w14:paraId="28B9A4B0" w14:textId="77777777" w:rsidR="00DF74A4" w:rsidRDefault="00DF74A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4C64" w14:textId="77777777" w:rsidR="00DF74A4" w:rsidRDefault="00DF74A4" w:rsidP="00CF1848">
      <w:r>
        <w:separator/>
      </w:r>
    </w:p>
  </w:footnote>
  <w:footnote w:type="continuationSeparator" w:id="0">
    <w:p w14:paraId="2CA3618B" w14:textId="77777777" w:rsidR="00DF74A4" w:rsidRDefault="00DF74A4"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774DD61" w:rsidR="00534681" w:rsidRPr="006341E7" w:rsidRDefault="00C446DD" w:rsidP="00534681">
        <w:pPr>
          <w:pStyle w:val="Header"/>
          <w:rPr>
            <w:lang w:val="fr-FR"/>
          </w:rPr>
        </w:pPr>
        <w:r>
          <w:rPr>
            <w:lang w:val="fr-FR"/>
          </w:rPr>
          <w:t>CBD/CP/MOP/DEC/9/10</w:t>
        </w:r>
      </w:p>
    </w:sdtContent>
  </w:sdt>
  <w:p w14:paraId="57597240"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75C69">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243B8B04" w:rsidR="009505C9" w:rsidRPr="006341E7" w:rsidRDefault="00C446DD" w:rsidP="009505C9">
        <w:pPr>
          <w:pStyle w:val="Header"/>
          <w:jc w:val="right"/>
          <w:rPr>
            <w:lang w:val="fr-FR"/>
          </w:rPr>
        </w:pPr>
        <w:r>
          <w:rPr>
            <w:lang w:val="fr-FR"/>
          </w:rPr>
          <w:t>CBD/CP/MOP/DEC/9/10</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3D480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activeWritingStyle w:appName="MSWord" w:lang="fr-CH"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65B86"/>
    <w:rsid w:val="000A1587"/>
    <w:rsid w:val="000E673A"/>
    <w:rsid w:val="000F74F5"/>
    <w:rsid w:val="00105372"/>
    <w:rsid w:val="00131E7A"/>
    <w:rsid w:val="001372FB"/>
    <w:rsid w:val="00172AF6"/>
    <w:rsid w:val="00176CEE"/>
    <w:rsid w:val="00220368"/>
    <w:rsid w:val="00251B0F"/>
    <w:rsid w:val="002F39D0"/>
    <w:rsid w:val="00341310"/>
    <w:rsid w:val="00372F74"/>
    <w:rsid w:val="003F7224"/>
    <w:rsid w:val="00405146"/>
    <w:rsid w:val="00413998"/>
    <w:rsid w:val="00420B78"/>
    <w:rsid w:val="0042412C"/>
    <w:rsid w:val="00427D21"/>
    <w:rsid w:val="004644C2"/>
    <w:rsid w:val="00467F9C"/>
    <w:rsid w:val="00475C69"/>
    <w:rsid w:val="00487D57"/>
    <w:rsid w:val="004B64B7"/>
    <w:rsid w:val="004F4F8D"/>
    <w:rsid w:val="00534681"/>
    <w:rsid w:val="00556419"/>
    <w:rsid w:val="005D57FA"/>
    <w:rsid w:val="006122BA"/>
    <w:rsid w:val="0061445E"/>
    <w:rsid w:val="006341E7"/>
    <w:rsid w:val="00653827"/>
    <w:rsid w:val="006B2290"/>
    <w:rsid w:val="006F1189"/>
    <w:rsid w:val="00717D88"/>
    <w:rsid w:val="00756FB9"/>
    <w:rsid w:val="00773E70"/>
    <w:rsid w:val="007942D3"/>
    <w:rsid w:val="007B6C09"/>
    <w:rsid w:val="007E09DA"/>
    <w:rsid w:val="008178B6"/>
    <w:rsid w:val="008473E9"/>
    <w:rsid w:val="00865B74"/>
    <w:rsid w:val="008D155B"/>
    <w:rsid w:val="008D1CA7"/>
    <w:rsid w:val="008D43A5"/>
    <w:rsid w:val="00923F2D"/>
    <w:rsid w:val="00930BA1"/>
    <w:rsid w:val="0093169E"/>
    <w:rsid w:val="009457F3"/>
    <w:rsid w:val="009505C9"/>
    <w:rsid w:val="009747AA"/>
    <w:rsid w:val="009927E4"/>
    <w:rsid w:val="009C200D"/>
    <w:rsid w:val="009E0A00"/>
    <w:rsid w:val="00B2035E"/>
    <w:rsid w:val="00B23455"/>
    <w:rsid w:val="00B3369F"/>
    <w:rsid w:val="00BC6EAE"/>
    <w:rsid w:val="00C051B4"/>
    <w:rsid w:val="00C13117"/>
    <w:rsid w:val="00C446DD"/>
    <w:rsid w:val="00C9161D"/>
    <w:rsid w:val="00CF1848"/>
    <w:rsid w:val="00D12044"/>
    <w:rsid w:val="00D1457C"/>
    <w:rsid w:val="00D76A18"/>
    <w:rsid w:val="00D9227F"/>
    <w:rsid w:val="00D977A0"/>
    <w:rsid w:val="00DD118C"/>
    <w:rsid w:val="00DF1A11"/>
    <w:rsid w:val="00DF74A4"/>
    <w:rsid w:val="00E152D7"/>
    <w:rsid w:val="00E348D7"/>
    <w:rsid w:val="00E66235"/>
    <w:rsid w:val="00E83C24"/>
    <w:rsid w:val="00E9318D"/>
    <w:rsid w:val="00F86D18"/>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BC6EAE"/>
    <w:pPr>
      <w:spacing w:after="160" w:line="240" w:lineRule="exact"/>
      <w:jc w:val="left"/>
    </w:pPr>
    <w:rPr>
      <w:rFonts w:asciiTheme="minorHAnsi" w:eastAsiaTheme="minorEastAsia" w:hAnsiTheme="minorHAnsi" w:cstheme="minorBidi"/>
      <w:vertAlign w:val="superscript"/>
      <w:lang w:val="fr-CA"/>
    </w:rPr>
  </w:style>
  <w:style w:type="paragraph" w:styleId="ListBullet">
    <w:name w:val="List Bullet"/>
    <w:aliases w:val="UL 1"/>
    <w:basedOn w:val="Normal"/>
    <w:uiPriority w:val="9"/>
    <w:qFormat/>
    <w:rsid w:val="004F4F8D"/>
    <w:pPr>
      <w:tabs>
        <w:tab w:val="num" w:pos="360"/>
      </w:tabs>
      <w:spacing w:line="276" w:lineRule="auto"/>
      <w:contextualSpacing/>
    </w:pPr>
    <w:rPr>
      <w:rFonts w:ascii="Arial" w:hAnsi="Arial"/>
      <w:lang w:val="de-AT" w:eastAsia="de-AT"/>
    </w:rPr>
  </w:style>
  <w:style w:type="paragraph" w:styleId="CommentSubject">
    <w:name w:val="annotation subject"/>
    <w:basedOn w:val="CommentText"/>
    <w:next w:val="CommentText"/>
    <w:link w:val="CommentSubjectChar"/>
    <w:uiPriority w:val="99"/>
    <w:semiHidden/>
    <w:unhideWhenUsed/>
    <w:rsid w:val="009457F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457F3"/>
    <w:rPr>
      <w:rFonts w:ascii="Times New Roman" w:eastAsia="Times New Roman" w:hAnsi="Times New Roman" w:cs="Times New Roman"/>
      <w:b/>
      <w:bCs/>
      <w:sz w:val="20"/>
      <w:szCs w:val="20"/>
      <w:lang w:val="en-GB"/>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8D155B"/>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279072127">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70967B6D28C45D29AFFBF7829842E03"/>
        <w:category>
          <w:name w:val="General"/>
          <w:gallery w:val="placeholder"/>
        </w:category>
        <w:types>
          <w:type w:val="bbPlcHdr"/>
        </w:types>
        <w:behaviors>
          <w:behavior w:val="content"/>
        </w:behaviors>
        <w:guid w:val="{80CDE69F-2302-4BC2-ABF8-EDA9A5FE1D6F}"/>
      </w:docPartPr>
      <w:docPartBody>
        <w:p w:rsidR="00EA2932" w:rsidRDefault="00CF0F62" w:rsidP="00CF0F62">
          <w:pPr>
            <w:pStyle w:val="670967B6D28C45D29AFFBF7829842E03"/>
          </w:pPr>
          <w:r w:rsidRPr="007E02EB">
            <w:rPr>
              <w:rStyle w:val="PlaceholderText"/>
            </w:rPr>
            <w:t>[Status]</w:t>
          </w:r>
        </w:p>
      </w:docPartBody>
    </w:docPart>
    <w:docPart>
      <w:docPartPr>
        <w:name w:val="8E152FB8F57644489168D7D1177EF98B"/>
        <w:category>
          <w:name w:val="General"/>
          <w:gallery w:val="placeholder"/>
        </w:category>
        <w:types>
          <w:type w:val="bbPlcHdr"/>
        </w:types>
        <w:behaviors>
          <w:behavior w:val="content"/>
        </w:behaviors>
        <w:guid w:val="{FC9BD772-123D-44DE-903A-42C970DCB114}"/>
      </w:docPartPr>
      <w:docPartBody>
        <w:p w:rsidR="00EA2932" w:rsidRDefault="00CF0F62" w:rsidP="00CF0F62">
          <w:pPr>
            <w:pStyle w:val="8E152FB8F57644489168D7D1177EF98B"/>
          </w:pPr>
          <w:r w:rsidRPr="007E02EB">
            <w:rPr>
              <w:rStyle w:val="PlaceholderText"/>
            </w:rPr>
            <w:t>[Subject]</w:t>
          </w:r>
        </w:p>
      </w:docPartBody>
    </w:docPart>
    <w:docPart>
      <w:docPartPr>
        <w:name w:val="DA32FA76BD451546A3A1D2A49D5BD567"/>
        <w:category>
          <w:name w:val="Général"/>
          <w:gallery w:val="placeholder"/>
        </w:category>
        <w:types>
          <w:type w:val="bbPlcHdr"/>
        </w:types>
        <w:behaviors>
          <w:behavior w:val="content"/>
        </w:behaviors>
        <w:guid w:val="{A93D2B38-7A08-A547-840A-2038EBACD09E}"/>
      </w:docPartPr>
      <w:docPartBody>
        <w:p w:rsidR="00540D1B" w:rsidRDefault="00711267" w:rsidP="00711267">
          <w:pPr>
            <w:pStyle w:val="DA32FA76BD451546A3A1D2A49D5BD567"/>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1E9A"/>
    <w:rsid w:val="00500A2B"/>
    <w:rsid w:val="00540D1B"/>
    <w:rsid w:val="0058288D"/>
    <w:rsid w:val="006801B3"/>
    <w:rsid w:val="006E1F5D"/>
    <w:rsid w:val="00711267"/>
    <w:rsid w:val="00720F63"/>
    <w:rsid w:val="007F1B76"/>
    <w:rsid w:val="00801BE6"/>
    <w:rsid w:val="00810A55"/>
    <w:rsid w:val="00890083"/>
    <w:rsid w:val="008C6619"/>
    <w:rsid w:val="008D420E"/>
    <w:rsid w:val="0098642F"/>
    <w:rsid w:val="00A670FD"/>
    <w:rsid w:val="00CE6602"/>
    <w:rsid w:val="00CF0F62"/>
    <w:rsid w:val="00EA2932"/>
    <w:rsid w:val="00EE2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1267"/>
  </w:style>
  <w:style w:type="paragraph" w:customStyle="1" w:styleId="C444DEE40D7C456B82AF1A09CD132ABF">
    <w:name w:val="C444DEE40D7C456B82AF1A09CD132ABF"/>
    <w:rsid w:val="00CE6602"/>
    <w:pPr>
      <w:spacing w:after="160" w:line="259" w:lineRule="auto"/>
    </w:pPr>
  </w:style>
  <w:style w:type="paragraph" w:customStyle="1" w:styleId="670967B6D28C45D29AFFBF7829842E03">
    <w:name w:val="670967B6D28C45D29AFFBF7829842E03"/>
    <w:rsid w:val="00CF0F62"/>
    <w:pPr>
      <w:spacing w:after="160" w:line="259" w:lineRule="auto"/>
    </w:pPr>
    <w:rPr>
      <w:lang w:val="en-CA" w:eastAsia="en-CA"/>
    </w:rPr>
  </w:style>
  <w:style w:type="paragraph" w:customStyle="1" w:styleId="8E152FB8F57644489168D7D1177EF98B">
    <w:name w:val="8E152FB8F57644489168D7D1177EF98B"/>
    <w:rsid w:val="00CF0F62"/>
    <w:pPr>
      <w:spacing w:after="160" w:line="259" w:lineRule="auto"/>
    </w:pPr>
    <w:rPr>
      <w:lang w:val="en-CA" w:eastAsia="en-CA"/>
    </w:rPr>
  </w:style>
  <w:style w:type="paragraph" w:customStyle="1" w:styleId="DA32FA76BD451546A3A1D2A49D5BD567">
    <w:name w:val="DA32FA76BD451546A3A1D2A49D5BD567"/>
    <w:rsid w:val="00711267"/>
    <w:pPr>
      <w:spacing w:after="0" w:line="240" w:lineRule="auto"/>
    </w:pPr>
    <w:rPr>
      <w:sz w:val="24"/>
      <w:szCs w:val="24"/>
      <w:lang w:val="fr-FR" w:eastAsia="zh-CN"/>
    </w:rPr>
  </w:style>
  <w:style w:type="paragraph" w:customStyle="1" w:styleId="B524C2BF03B388429353D97A35F81DE2">
    <w:name w:val="B524C2BF03B388429353D97A35F81DE2"/>
    <w:rsid w:val="00711267"/>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D6AA66-74A1-4DFF-AFC2-A1697723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453</Words>
  <Characters>2497</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PROCÉDURE RELATIVE A LA PRÉVENTION ET A LA GESTION DES CONFLITS D’INTÉRETS AU SEIN DES GROUPES D’EXPERTS</vt:lpstr>
      <vt:lpstr>Procedure for avoiding or managing conflicts of interest in expert groups</vt:lpstr>
    </vt:vector>
  </TitlesOfParts>
  <Company>SCBD</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     Procédure relative à la prévention et à la gestion des conflits d’intérêts au sein des groupes d’experts</dc:title>
  <dc:subject>CBD/CP/MOP/DEC/9/10</dc:subject>
  <dc:creator>CP-MOP 9</dc:creator>
  <cp:keywords>13.	Review of effectiveness of structures and processes under the Convention and its Protocols, Cartagena Protocol on Biosafety, Convention on Biological Diversity</cp:keywords>
  <cp:lastModifiedBy>Finn Kinley</cp:lastModifiedBy>
  <cp:revision>13</cp:revision>
  <cp:lastPrinted>2018-11-26T20:07:00Z</cp:lastPrinted>
  <dcterms:created xsi:type="dcterms:W3CDTF">2018-11-28T13:51:00Z</dcterms:created>
  <dcterms:modified xsi:type="dcterms:W3CDTF">2019-02-06T00:15:00Z</dcterms:modified>
  <cp:contentStatus>GÉNÉRALE</cp:contentStatus>
</cp:coreProperties>
</file>