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5B4066" w:rsidTr="005B4066">
        <w:trPr>
          <w:trHeight w:val="709"/>
        </w:trPr>
        <w:tc>
          <w:tcPr>
            <w:tcW w:w="977" w:type="dxa"/>
            <w:tcBorders>
              <w:top w:val="nil"/>
              <w:left w:val="nil"/>
              <w:bottom w:val="single" w:sz="12" w:space="0" w:color="auto"/>
              <w:right w:val="nil"/>
            </w:tcBorders>
            <w:hideMark/>
          </w:tcPr>
          <w:p w:rsidR="005B4066" w:rsidRDefault="005B4066">
            <w:pPr>
              <w:rPr>
                <w:lang w:val="fr-CA"/>
              </w:rPr>
            </w:pPr>
            <w:r>
              <w:rPr>
                <w:noProof/>
                <w:lang w:val="fr-FR" w:eastAsia="fr-FR"/>
              </w:rPr>
              <w:drawing>
                <wp:inline distT="0" distB="0" distL="0" distR="0">
                  <wp:extent cx="476250" cy="400050"/>
                  <wp:effectExtent l="0" t="0" r="0" b="0"/>
                  <wp:docPr id="6"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0" w:type="dxa"/>
            <w:tcBorders>
              <w:top w:val="nil"/>
              <w:left w:val="nil"/>
              <w:bottom w:val="single" w:sz="12" w:space="0" w:color="auto"/>
              <w:right w:val="nil"/>
            </w:tcBorders>
            <w:hideMark/>
          </w:tcPr>
          <w:p w:rsidR="005B4066" w:rsidRDefault="005B4066">
            <w:pPr>
              <w:rPr>
                <w:lang w:val="fr-CA"/>
              </w:rPr>
            </w:pPr>
            <w:r>
              <w:rPr>
                <w:noProof/>
                <w:lang w:val="fr-FR" w:eastAsia="fr-FR"/>
              </w:rPr>
              <w:drawing>
                <wp:inline distT="0" distB="0" distL="0" distR="0">
                  <wp:extent cx="342900" cy="400050"/>
                  <wp:effectExtent l="0" t="0" r="0" b="0"/>
                  <wp:docPr id="5" name="Picture 5"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rsidR="005B4066" w:rsidRDefault="005B4066">
            <w:pPr>
              <w:jc w:val="right"/>
              <w:rPr>
                <w:rFonts w:ascii="Arial" w:hAnsi="Arial" w:cs="Arial"/>
                <w:b/>
                <w:sz w:val="32"/>
                <w:szCs w:val="32"/>
                <w:lang w:val="fr-CA"/>
              </w:rPr>
            </w:pPr>
            <w:r>
              <w:rPr>
                <w:rFonts w:ascii="Arial" w:hAnsi="Arial" w:cs="Arial"/>
                <w:b/>
                <w:sz w:val="32"/>
                <w:szCs w:val="32"/>
                <w:lang w:val="fr-CA"/>
              </w:rPr>
              <w:t>CBD</w:t>
            </w:r>
          </w:p>
        </w:tc>
      </w:tr>
      <w:tr w:rsidR="005B4066" w:rsidTr="005B4066">
        <w:tc>
          <w:tcPr>
            <w:tcW w:w="6117" w:type="dxa"/>
            <w:gridSpan w:val="2"/>
            <w:tcBorders>
              <w:top w:val="single" w:sz="12" w:space="0" w:color="auto"/>
              <w:left w:val="nil"/>
              <w:bottom w:val="single" w:sz="36" w:space="0" w:color="auto"/>
              <w:right w:val="nil"/>
            </w:tcBorders>
            <w:vAlign w:val="center"/>
            <w:hideMark/>
          </w:tcPr>
          <w:p w:rsidR="005B4066" w:rsidRDefault="005B4066">
            <w:pPr>
              <w:rPr>
                <w:lang w:val="fr-CA"/>
              </w:rPr>
            </w:pPr>
            <w:r>
              <w:rPr>
                <w:noProof/>
                <w:lang w:val="fr-FR" w:eastAsia="fr-FR"/>
              </w:rPr>
              <w:drawing>
                <wp:inline distT="0" distB="0" distL="0" distR="0">
                  <wp:extent cx="2876550" cy="1076325"/>
                  <wp:effectExtent l="0" t="0" r="0" b="0"/>
                  <wp:docPr id="2" name="Picture 2" descr="cbd-logo-print-blk-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bd-logo-print-blk-f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rsidR="005B4066" w:rsidRPr="00866437" w:rsidRDefault="005B4066">
            <w:pPr>
              <w:ind w:left="1215"/>
              <w:rPr>
                <w:noProof/>
                <w:szCs w:val="22"/>
                <w:lang w:val="en-AU"/>
              </w:rPr>
            </w:pPr>
            <w:r w:rsidRPr="00866437">
              <w:rPr>
                <w:noProof/>
                <w:szCs w:val="22"/>
                <w:lang w:val="en-AU"/>
              </w:rPr>
              <w:t>Distr.</w:t>
            </w:r>
          </w:p>
          <w:p w:rsidR="005B4066" w:rsidRPr="00866437" w:rsidRDefault="00866437">
            <w:pPr>
              <w:ind w:left="1215"/>
              <w:rPr>
                <w:noProof/>
                <w:szCs w:val="22"/>
                <w:lang w:val="en-AU"/>
              </w:rPr>
            </w:pPr>
            <w:r w:rsidRPr="00866437">
              <w:rPr>
                <w:caps/>
                <w:noProof/>
                <w:szCs w:val="22"/>
                <w:lang w:val="en-AU"/>
              </w:rPr>
              <w:t>general</w:t>
            </w:r>
            <w:r w:rsidR="005B4066" w:rsidRPr="00866437">
              <w:rPr>
                <w:caps/>
                <w:noProof/>
                <w:szCs w:val="22"/>
                <w:lang w:val="en-AU"/>
              </w:rPr>
              <w:t>E</w:t>
            </w:r>
          </w:p>
          <w:p w:rsidR="005B4066" w:rsidRPr="00866437" w:rsidRDefault="005B4066">
            <w:pPr>
              <w:ind w:left="1215"/>
              <w:rPr>
                <w:szCs w:val="22"/>
                <w:lang w:val="en-AU"/>
              </w:rPr>
            </w:pPr>
          </w:p>
          <w:p w:rsidR="005B4066" w:rsidRPr="00866437" w:rsidRDefault="00485C44">
            <w:pPr>
              <w:ind w:left="1215"/>
              <w:rPr>
                <w:szCs w:val="22"/>
                <w:lang w:val="en-AU"/>
              </w:rPr>
            </w:pPr>
            <w:sdt>
              <w:sdtPr>
                <w:rPr>
                  <w:lang w:val="en-AU"/>
                </w:rPr>
                <w:alias w:val="Subject"/>
                <w:id w:val="2137136483"/>
                <w:placeholder>
                  <w:docPart w:val="37FDD13691BB4509A21CBD7C83C0BADA"/>
                </w:placeholder>
                <w:dataBinding w:prefixMappings="xmlns:ns0='http://purl.org/dc/elements/1.1/' xmlns:ns1='http://schemas.openxmlformats.org/package/2006/metadata/core-properties' " w:xpath="/ns1:coreProperties[1]/ns0:subject[1]" w:storeItemID="{6C3C8BC8-F283-45AE-878A-BAB7291924A1}"/>
                <w:text/>
              </w:sdtPr>
              <w:sdtEndPr/>
              <w:sdtContent>
                <w:r w:rsidR="00866437" w:rsidRPr="00866437">
                  <w:rPr>
                    <w:lang w:val="en-AU"/>
                  </w:rPr>
                  <w:t>CBD/CP/</w:t>
                </w:r>
                <w:r w:rsidR="005B4066" w:rsidRPr="00866437">
                  <w:rPr>
                    <w:lang w:val="en-AU"/>
                  </w:rPr>
                  <w:t>MOP/</w:t>
                </w:r>
                <w:r w:rsidR="00866437" w:rsidRPr="00866437">
                  <w:rPr>
                    <w:lang w:val="en-AU"/>
                  </w:rPr>
                  <w:t>DEC/9/11</w:t>
                </w:r>
              </w:sdtContent>
            </w:sdt>
          </w:p>
          <w:p w:rsidR="005B4066" w:rsidRDefault="00866437">
            <w:pPr>
              <w:ind w:left="1215"/>
              <w:rPr>
                <w:szCs w:val="22"/>
                <w:lang w:val="fr-CA"/>
              </w:rPr>
            </w:pPr>
            <w:r>
              <w:rPr>
                <w:szCs w:val="22"/>
                <w:lang w:val="fr-CA"/>
              </w:rPr>
              <w:t>30</w:t>
            </w:r>
            <w:r w:rsidR="005B4066">
              <w:rPr>
                <w:szCs w:val="22"/>
                <w:lang w:val="fr-CA"/>
              </w:rPr>
              <w:t> novembre 2018</w:t>
            </w:r>
          </w:p>
          <w:p w:rsidR="005B4066" w:rsidRDefault="005B4066">
            <w:pPr>
              <w:ind w:left="1215"/>
              <w:rPr>
                <w:szCs w:val="22"/>
                <w:lang w:val="fr-CA"/>
              </w:rPr>
            </w:pPr>
          </w:p>
          <w:p w:rsidR="005B4066" w:rsidRDefault="005B4066">
            <w:pPr>
              <w:ind w:left="1258"/>
              <w:rPr>
                <w:noProof/>
                <w:lang w:val="fr-CA"/>
              </w:rPr>
            </w:pPr>
            <w:r>
              <w:rPr>
                <w:noProof/>
                <w:lang w:val="fr-CA"/>
              </w:rPr>
              <w:t>FRANÇAIS</w:t>
            </w:r>
          </w:p>
          <w:p w:rsidR="005B4066" w:rsidRDefault="005B4066">
            <w:pPr>
              <w:ind w:left="1215"/>
              <w:rPr>
                <w:szCs w:val="22"/>
                <w:lang w:val="fr-CA"/>
              </w:rPr>
            </w:pPr>
            <w:r>
              <w:rPr>
                <w:noProof/>
                <w:lang w:val="fr-CA"/>
              </w:rPr>
              <w:t>ORIGINAL : ANGLAIS</w:t>
            </w:r>
          </w:p>
          <w:p w:rsidR="005B4066" w:rsidRDefault="005B4066">
            <w:pPr>
              <w:rPr>
                <w:lang w:val="fr-CA"/>
              </w:rPr>
            </w:pPr>
          </w:p>
        </w:tc>
      </w:tr>
    </w:tbl>
    <w:p w:rsidR="006F1189" w:rsidRPr="005D5847" w:rsidRDefault="005D5847" w:rsidP="00866437">
      <w:pPr>
        <w:pStyle w:val="Cornernotation"/>
        <w:suppressLineNumbers/>
        <w:suppressAutoHyphens/>
        <w:kinsoku w:val="0"/>
        <w:overflowPunct w:val="0"/>
        <w:autoSpaceDE w:val="0"/>
        <w:autoSpaceDN w:val="0"/>
        <w:spacing w:before="60"/>
        <w:ind w:left="142" w:right="3780" w:hanging="142"/>
        <w:rPr>
          <w:snapToGrid w:val="0"/>
          <w:kern w:val="22"/>
          <w:szCs w:val="22"/>
          <w:lang w:val="fr-CA"/>
        </w:rPr>
      </w:pPr>
      <w:r>
        <w:rPr>
          <w:snapToGrid w:val="0"/>
          <w:kern w:val="22"/>
          <w:lang w:val="fr-FR"/>
        </w:rPr>
        <w:t>CONFÉRENCE DES PARTIES À LA CONVENTION SUR LA DIVERSITÉ BIOLOGIQUE SIÉGEANT EN TANT QUE RÉ</w:t>
      </w:r>
      <w:r w:rsidRPr="00CA7BE3">
        <w:rPr>
          <w:snapToGrid w:val="0"/>
          <w:kern w:val="22"/>
          <w:lang w:val="fr-FR"/>
        </w:rPr>
        <w:t>UNION DES</w:t>
      </w:r>
      <w:r>
        <w:rPr>
          <w:snapToGrid w:val="0"/>
          <w:kern w:val="22"/>
          <w:lang w:val="fr-FR"/>
        </w:rPr>
        <w:t xml:space="preserve"> PARTIES AU PROTOCOLE DE CARTAGENA SUR LA PRÉVENTION DES RISQUES BIOTECHNOLOGIQUES</w:t>
      </w:r>
    </w:p>
    <w:p w:rsidR="005D5847" w:rsidRPr="00A741FB" w:rsidRDefault="005D5847" w:rsidP="005D5847">
      <w:pPr>
        <w:pStyle w:val="Cornernotation"/>
        <w:suppressLineNumbers/>
        <w:suppressAutoHyphens/>
        <w:kinsoku w:val="0"/>
        <w:overflowPunct w:val="0"/>
        <w:autoSpaceDE w:val="0"/>
        <w:autoSpaceDN w:val="0"/>
        <w:ind w:left="0" w:right="4512" w:firstLine="0"/>
        <w:rPr>
          <w:snapToGrid w:val="0"/>
          <w:kern w:val="22"/>
          <w:lang w:val="fr-CA"/>
        </w:rPr>
      </w:pPr>
      <w:r w:rsidRPr="00A741FB">
        <w:rPr>
          <w:snapToGrid w:val="0"/>
          <w:kern w:val="22"/>
          <w:lang w:val="fr-CA"/>
        </w:rPr>
        <w:t>Neuvième réunion</w:t>
      </w:r>
    </w:p>
    <w:p w:rsidR="005D5847" w:rsidRPr="00A741FB" w:rsidRDefault="00866437" w:rsidP="005D5847">
      <w:pPr>
        <w:suppressLineNumbers/>
        <w:suppressAutoHyphens/>
        <w:kinsoku w:val="0"/>
        <w:overflowPunct w:val="0"/>
        <w:autoSpaceDE w:val="0"/>
        <w:autoSpaceDN w:val="0"/>
        <w:rPr>
          <w:snapToGrid w:val="0"/>
          <w:kern w:val="22"/>
          <w:szCs w:val="22"/>
          <w:lang w:val="fr-CA" w:eastAsia="nb-NO"/>
        </w:rPr>
      </w:pPr>
      <w:bookmarkStart w:id="0" w:name="_Hlk505863673"/>
      <w:r>
        <w:rPr>
          <w:noProof/>
          <w:snapToGrid w:val="0"/>
          <w:kern w:val="22"/>
          <w:szCs w:val="22"/>
          <w:lang w:val="fr-CA" w:eastAsia="nb-NO"/>
        </w:rPr>
        <w:t>Sharm El</w:t>
      </w:r>
      <w:r>
        <w:rPr>
          <w:noProof/>
          <w:snapToGrid w:val="0"/>
          <w:kern w:val="22"/>
          <w:szCs w:val="22"/>
          <w:lang w:val="fr-CA" w:eastAsia="nb-NO"/>
        </w:rPr>
        <w:noBreakHyphen/>
        <w:t xml:space="preserve">Sheikh, </w:t>
      </w:r>
      <w:r w:rsidR="005D5847">
        <w:rPr>
          <w:noProof/>
          <w:snapToGrid w:val="0"/>
          <w:kern w:val="22"/>
          <w:szCs w:val="22"/>
          <w:lang w:val="fr-CA" w:eastAsia="nb-NO"/>
        </w:rPr>
        <w:t>É</w:t>
      </w:r>
      <w:r w:rsidR="005D5847" w:rsidRPr="00A741FB">
        <w:rPr>
          <w:noProof/>
          <w:snapToGrid w:val="0"/>
          <w:kern w:val="22"/>
          <w:szCs w:val="22"/>
          <w:lang w:val="fr-CA" w:eastAsia="nb-NO"/>
        </w:rPr>
        <w:t>gypt</w:t>
      </w:r>
      <w:bookmarkEnd w:id="0"/>
      <w:r w:rsidR="005D5847" w:rsidRPr="00A741FB">
        <w:rPr>
          <w:noProof/>
          <w:snapToGrid w:val="0"/>
          <w:kern w:val="22"/>
          <w:szCs w:val="22"/>
          <w:lang w:val="fr-CA" w:eastAsia="nb-NO"/>
        </w:rPr>
        <w:t>e</w:t>
      </w:r>
      <w:r w:rsidR="005D5847" w:rsidRPr="00A741FB">
        <w:rPr>
          <w:snapToGrid w:val="0"/>
          <w:kern w:val="22"/>
          <w:szCs w:val="22"/>
          <w:lang w:val="fr-CA" w:eastAsia="nb-NO"/>
        </w:rPr>
        <w:t>, 17</w:t>
      </w:r>
      <w:r w:rsidR="005D5847">
        <w:rPr>
          <w:snapToGrid w:val="0"/>
          <w:kern w:val="22"/>
          <w:szCs w:val="22"/>
          <w:lang w:val="fr-CA" w:eastAsia="nb-NO"/>
        </w:rPr>
        <w:noBreakHyphen/>
      </w:r>
      <w:r w:rsidR="005D5847" w:rsidRPr="00A741FB">
        <w:rPr>
          <w:snapToGrid w:val="0"/>
          <w:kern w:val="22"/>
          <w:szCs w:val="22"/>
          <w:lang w:val="fr-CA" w:eastAsia="nb-NO"/>
        </w:rPr>
        <w:t>29</w:t>
      </w:r>
      <w:r w:rsidR="005D5847">
        <w:rPr>
          <w:snapToGrid w:val="0"/>
          <w:kern w:val="22"/>
          <w:szCs w:val="22"/>
          <w:lang w:val="fr-CA" w:eastAsia="nb-NO"/>
        </w:rPr>
        <w:t> </w:t>
      </w:r>
      <w:r w:rsidR="005D5847" w:rsidRPr="00A741FB">
        <w:rPr>
          <w:snapToGrid w:val="0"/>
          <w:kern w:val="22"/>
          <w:szCs w:val="22"/>
          <w:lang w:val="fr-CA" w:eastAsia="nb-NO"/>
        </w:rPr>
        <w:t>novembre</w:t>
      </w:r>
      <w:r w:rsidR="005D5847">
        <w:rPr>
          <w:snapToGrid w:val="0"/>
          <w:kern w:val="22"/>
          <w:szCs w:val="22"/>
          <w:lang w:val="fr-CA" w:eastAsia="nb-NO"/>
        </w:rPr>
        <w:t> </w:t>
      </w:r>
      <w:r w:rsidR="005D5847" w:rsidRPr="00A741FB">
        <w:rPr>
          <w:snapToGrid w:val="0"/>
          <w:kern w:val="22"/>
          <w:szCs w:val="22"/>
          <w:lang w:val="fr-CA" w:eastAsia="nb-NO"/>
        </w:rPr>
        <w:t>2018</w:t>
      </w:r>
    </w:p>
    <w:p w:rsidR="00C9161D" w:rsidRDefault="005D5847" w:rsidP="00866437">
      <w:pPr>
        <w:spacing w:after="360"/>
        <w:rPr>
          <w:snapToGrid w:val="0"/>
          <w:kern w:val="22"/>
          <w:szCs w:val="22"/>
          <w:lang w:val="fr-CA"/>
        </w:rPr>
      </w:pPr>
      <w:r>
        <w:rPr>
          <w:snapToGrid w:val="0"/>
          <w:kern w:val="22"/>
          <w:szCs w:val="22"/>
          <w:lang w:val="fr-CA"/>
        </w:rPr>
        <w:t>Point 16</w:t>
      </w:r>
      <w:r w:rsidRPr="00A741FB">
        <w:rPr>
          <w:snapToGrid w:val="0"/>
          <w:kern w:val="22"/>
          <w:szCs w:val="22"/>
          <w:lang w:val="fr-CA"/>
        </w:rPr>
        <w:t xml:space="preserve"> de l</w:t>
      </w:r>
      <w:r w:rsidR="006A3E08">
        <w:rPr>
          <w:snapToGrid w:val="0"/>
          <w:kern w:val="22"/>
          <w:szCs w:val="22"/>
          <w:lang w:val="fr-CA"/>
        </w:rPr>
        <w:t>’</w:t>
      </w:r>
      <w:r w:rsidRPr="00A741FB">
        <w:rPr>
          <w:snapToGrid w:val="0"/>
          <w:kern w:val="22"/>
          <w:szCs w:val="22"/>
          <w:lang w:val="fr-CA"/>
        </w:rPr>
        <w:t>ordre du jour</w:t>
      </w:r>
    </w:p>
    <w:p w:rsidR="00866437" w:rsidRPr="00E36CE6" w:rsidRDefault="00E36CE6" w:rsidP="00E36CE6">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rsidR="00C9161D" w:rsidRPr="005D5847" w:rsidRDefault="00E36CE6" w:rsidP="00172AF6">
      <w:pPr>
        <w:spacing w:before="120" w:after="240"/>
        <w:jc w:val="center"/>
        <w:rPr>
          <w:b/>
          <w:bCs/>
          <w:caps/>
          <w:kern w:val="22"/>
          <w:szCs w:val="22"/>
          <w:lang w:val="fr-CA"/>
        </w:rPr>
      </w:pPr>
      <w:r>
        <w:rPr>
          <w:b/>
          <w:bCs/>
          <w:snapToGrid w:val="0"/>
          <w:lang w:val="fr-CA"/>
        </w:rPr>
        <w:t>9/11.</w:t>
      </w:r>
      <w:r>
        <w:rPr>
          <w:b/>
          <w:bCs/>
          <w:snapToGrid w:val="0"/>
          <w:lang w:val="fr-CA"/>
        </w:rPr>
        <w:tab/>
        <w:t>M</w:t>
      </w:r>
      <w:r w:rsidRPr="005D5847">
        <w:rPr>
          <w:b/>
          <w:bCs/>
          <w:snapToGrid w:val="0"/>
          <w:lang w:val="fr-CA"/>
        </w:rPr>
        <w:t>ouvements transfrontières non intentionnels et mesures d</w:t>
      </w:r>
      <w:r>
        <w:rPr>
          <w:b/>
          <w:bCs/>
          <w:snapToGrid w:val="0"/>
          <w:lang w:val="fr-CA"/>
        </w:rPr>
        <w:t>’</w:t>
      </w:r>
      <w:r w:rsidRPr="005D5847">
        <w:rPr>
          <w:b/>
          <w:bCs/>
          <w:snapToGrid w:val="0"/>
          <w:lang w:val="fr-CA"/>
        </w:rPr>
        <w:t>urgence (article 17)</w:t>
      </w:r>
    </w:p>
    <w:p w:rsidR="0017033D" w:rsidRPr="005D5847" w:rsidRDefault="00C01574" w:rsidP="0017033D">
      <w:pPr>
        <w:tabs>
          <w:tab w:val="left" w:pos="426"/>
        </w:tabs>
        <w:spacing w:before="120" w:after="120"/>
        <w:ind w:firstLine="720"/>
        <w:rPr>
          <w:i/>
          <w:kern w:val="22"/>
          <w:szCs w:val="22"/>
          <w:lang w:val="fr-CA"/>
        </w:rPr>
      </w:pPr>
      <w:bookmarkStart w:id="1" w:name="_Hlk530319274"/>
      <w:r w:rsidRPr="002B1EEE">
        <w:rPr>
          <w:i/>
          <w:lang w:val="fr-CA"/>
        </w:rPr>
        <w:t>La Conférence des Parties siégeant en tant que réunion des Parties au Protocole de Cartagena sur la prévention des risques biotechnologiques</w:t>
      </w:r>
    </w:p>
    <w:p w:rsidR="0017033D" w:rsidRPr="005D5847" w:rsidRDefault="00C01574" w:rsidP="00C01574">
      <w:pPr>
        <w:numPr>
          <w:ilvl w:val="0"/>
          <w:numId w:val="19"/>
        </w:numPr>
        <w:spacing w:before="120" w:after="120"/>
        <w:ind w:left="0" w:firstLine="720"/>
        <w:rPr>
          <w:kern w:val="22"/>
          <w:szCs w:val="22"/>
          <w:lang w:val="fr-CA"/>
        </w:rPr>
      </w:pPr>
      <w:r w:rsidRPr="002B1EEE">
        <w:rPr>
          <w:i/>
          <w:lang w:val="fr-CA"/>
        </w:rPr>
        <w:t>Reconnaît</w:t>
      </w:r>
      <w:r w:rsidRPr="002B1EEE">
        <w:rPr>
          <w:lang w:val="fr-CA"/>
        </w:rPr>
        <w:t xml:space="preserve"> que le manque de cadres pleinement opérationnels sur la prévention des risques biotechnologiques a des répercussions sur la capacité des pays à appliquer les dispositions relatives à </w:t>
      </w:r>
      <w:r w:rsidR="002D1C4D">
        <w:rPr>
          <w:lang w:val="fr-CA"/>
        </w:rPr>
        <w:t>l’article 17</w:t>
      </w:r>
      <w:r w:rsidR="00364B18">
        <w:rPr>
          <w:lang w:val="fr-CA"/>
        </w:rPr>
        <w:t>;</w:t>
      </w:r>
    </w:p>
    <w:p w:rsidR="0017033D" w:rsidRPr="005D5847" w:rsidRDefault="00C01574" w:rsidP="00C01574">
      <w:pPr>
        <w:numPr>
          <w:ilvl w:val="0"/>
          <w:numId w:val="19"/>
        </w:numPr>
        <w:spacing w:before="120" w:after="120"/>
        <w:ind w:left="0" w:firstLine="720"/>
        <w:rPr>
          <w:kern w:val="22"/>
          <w:szCs w:val="22"/>
          <w:lang w:val="fr-CA"/>
        </w:rPr>
      </w:pPr>
      <w:r>
        <w:rPr>
          <w:i/>
          <w:lang w:val="fr-CA"/>
        </w:rPr>
        <w:t>Prend note</w:t>
      </w:r>
      <w:r>
        <w:rPr>
          <w:lang w:val="fr-CA"/>
        </w:rPr>
        <w:t xml:space="preserve"> du</w:t>
      </w:r>
      <w:r w:rsidR="00317995">
        <w:rPr>
          <w:lang w:val="fr-CA"/>
        </w:rPr>
        <w:t xml:space="preserve"> projet de manuel de formation</w:t>
      </w:r>
      <w:r w:rsidRPr="002B1EEE">
        <w:rPr>
          <w:lang w:val="fr-CA"/>
        </w:rPr>
        <w:t xml:space="preserve"> sur la détection et l</w:t>
      </w:r>
      <w:r w:rsidR="006A3E08">
        <w:rPr>
          <w:lang w:val="fr-CA"/>
        </w:rPr>
        <w:t>’</w:t>
      </w:r>
      <w:r w:rsidRPr="002B1EEE">
        <w:rPr>
          <w:lang w:val="fr-CA"/>
        </w:rPr>
        <w:t>identification des organismes vivants modifiés</w:t>
      </w:r>
      <w:r w:rsidRPr="002B1EEE">
        <w:rPr>
          <w:rStyle w:val="FootnoteReference"/>
          <w:rFonts w:eastAsiaTheme="majorEastAsia"/>
          <w:sz w:val="20"/>
          <w:szCs w:val="20"/>
          <w:lang w:val="fr-CA"/>
        </w:rPr>
        <w:footnoteReference w:id="1"/>
      </w:r>
      <w:r w:rsidR="004017BC">
        <w:rPr>
          <w:lang w:val="fr-CA"/>
        </w:rPr>
        <w:t xml:space="preserve">, comme </w:t>
      </w:r>
      <w:r w:rsidRPr="002B1EEE">
        <w:rPr>
          <w:lang w:val="fr-CA"/>
        </w:rPr>
        <w:t>outil pour le renforceme</w:t>
      </w:r>
      <w:r>
        <w:rPr>
          <w:lang w:val="fr-CA"/>
        </w:rPr>
        <w:t>nt des capacités dans ce domaine;</w:t>
      </w:r>
    </w:p>
    <w:p w:rsidR="0017033D" w:rsidRPr="002D1C4D" w:rsidRDefault="00C01574" w:rsidP="002D1C4D">
      <w:pPr>
        <w:numPr>
          <w:ilvl w:val="0"/>
          <w:numId w:val="19"/>
        </w:numPr>
        <w:spacing w:before="120" w:after="120"/>
        <w:ind w:left="0" w:firstLine="720"/>
        <w:rPr>
          <w:kern w:val="22"/>
          <w:szCs w:val="22"/>
          <w:lang w:val="fr-CA"/>
        </w:rPr>
      </w:pPr>
      <w:r w:rsidRPr="002B1EEE">
        <w:rPr>
          <w:i/>
          <w:lang w:val="fr-CA"/>
        </w:rPr>
        <w:t xml:space="preserve">Encourage </w:t>
      </w:r>
      <w:r w:rsidRPr="002B1EEE">
        <w:rPr>
          <w:lang w:val="fr-CA"/>
        </w:rPr>
        <w:t>les Parties</w:t>
      </w:r>
      <w:r w:rsidR="002D1C4D">
        <w:rPr>
          <w:lang w:val="fr-CA"/>
        </w:rPr>
        <w:t xml:space="preserve">, dans le </w:t>
      </w:r>
      <w:r w:rsidR="002D1C4D" w:rsidRPr="002D1C4D">
        <w:rPr>
          <w:kern w:val="22"/>
          <w:szCs w:val="22"/>
          <w:lang w:val="fr-CA"/>
        </w:rPr>
        <w:t>context</w:t>
      </w:r>
      <w:r w:rsidR="002D1C4D">
        <w:rPr>
          <w:kern w:val="22"/>
          <w:szCs w:val="22"/>
          <w:lang w:val="fr-CA"/>
        </w:rPr>
        <w:t>e de l’a</w:t>
      </w:r>
      <w:r w:rsidR="002D1C4D" w:rsidRPr="002D1C4D">
        <w:rPr>
          <w:kern w:val="22"/>
          <w:szCs w:val="22"/>
          <w:lang w:val="fr-CA"/>
        </w:rPr>
        <w:t>rticle 17</w:t>
      </w:r>
      <w:r w:rsidR="002D1C4D">
        <w:rPr>
          <w:kern w:val="22"/>
          <w:szCs w:val="22"/>
          <w:lang w:val="fr-CA"/>
        </w:rPr>
        <w:t xml:space="preserve"> et </w:t>
      </w:r>
      <w:bookmarkStart w:id="2" w:name="_GoBack"/>
      <w:bookmarkEnd w:id="2"/>
      <w:r w:rsidR="002D1C4D">
        <w:rPr>
          <w:kern w:val="22"/>
          <w:szCs w:val="22"/>
          <w:lang w:val="fr-CA"/>
        </w:rPr>
        <w:t>conformément à la législation nationale</w:t>
      </w:r>
      <w:r w:rsidR="002D1C4D" w:rsidRPr="002D1C4D">
        <w:rPr>
          <w:kern w:val="22"/>
          <w:szCs w:val="22"/>
          <w:lang w:val="fr-CA"/>
        </w:rPr>
        <w:t xml:space="preserve">, </w:t>
      </w:r>
      <w:r w:rsidR="002D1C4D" w:rsidRPr="002B1EEE">
        <w:rPr>
          <w:lang w:val="fr-CA"/>
        </w:rPr>
        <w:t>à exiger de</w:t>
      </w:r>
      <w:r w:rsidR="002D1C4D">
        <w:rPr>
          <w:lang w:val="fr-CA"/>
        </w:rPr>
        <w:t xml:space="preserve"> l’opérateur</w:t>
      </w:r>
      <w:r w:rsidR="002D1C4D" w:rsidRPr="00314C28">
        <w:rPr>
          <w:rStyle w:val="FootnoteReference"/>
          <w:kern w:val="22"/>
          <w:szCs w:val="22"/>
        </w:rPr>
        <w:footnoteReference w:id="2"/>
      </w:r>
      <w:r w:rsidR="002D1C4D" w:rsidRPr="002D1C4D">
        <w:rPr>
          <w:lang w:val="fr-FR"/>
        </w:rPr>
        <w:t xml:space="preserve"> </w:t>
      </w:r>
      <w:r w:rsidR="002D1C4D">
        <w:rPr>
          <w:lang w:val="fr-FR"/>
        </w:rPr>
        <w:t>responsa</w:t>
      </w:r>
      <w:r w:rsidR="00317995">
        <w:rPr>
          <w:lang w:val="fr-FR"/>
        </w:rPr>
        <w:t xml:space="preserve">ble qu’il fournisse des </w:t>
      </w:r>
      <w:r w:rsidR="002D1C4D" w:rsidRPr="002D1C4D">
        <w:rPr>
          <w:lang w:val="fr-FR"/>
        </w:rPr>
        <w:t xml:space="preserve">informations ou </w:t>
      </w:r>
      <w:r w:rsidR="008B6913">
        <w:rPr>
          <w:lang w:val="fr-FR"/>
        </w:rPr>
        <w:t xml:space="preserve">un accès, directs </w:t>
      </w:r>
      <w:r w:rsidR="002D1C4D">
        <w:rPr>
          <w:kern w:val="22"/>
          <w:szCs w:val="22"/>
          <w:lang w:val="fr-CA"/>
        </w:rPr>
        <w:t>ou</w:t>
      </w:r>
      <w:r w:rsidR="002D1C4D" w:rsidRPr="002D1C4D">
        <w:rPr>
          <w:kern w:val="22"/>
          <w:szCs w:val="22"/>
          <w:lang w:val="fr-CA"/>
        </w:rPr>
        <w:t xml:space="preserve"> indirect</w:t>
      </w:r>
      <w:r w:rsidR="00317995">
        <w:rPr>
          <w:kern w:val="22"/>
          <w:szCs w:val="22"/>
          <w:lang w:val="fr-CA"/>
        </w:rPr>
        <w:t>s</w:t>
      </w:r>
      <w:r w:rsidR="002D1C4D" w:rsidRPr="002D1C4D">
        <w:rPr>
          <w:kern w:val="22"/>
          <w:szCs w:val="22"/>
          <w:lang w:val="fr-CA"/>
        </w:rPr>
        <w:t xml:space="preserve">, </w:t>
      </w:r>
      <w:r w:rsidR="002D1C4D">
        <w:rPr>
          <w:kern w:val="22"/>
          <w:szCs w:val="22"/>
          <w:lang w:val="fr-CA"/>
        </w:rPr>
        <w:t xml:space="preserve">à des matériaux de référence </w:t>
      </w:r>
      <w:r w:rsidRPr="002B1EEE">
        <w:rPr>
          <w:lang w:val="fr-CA"/>
        </w:rPr>
        <w:t>appropriés pour permettre aux laboratoires de travailler sur la détection et l</w:t>
      </w:r>
      <w:r w:rsidR="006A3E08">
        <w:rPr>
          <w:lang w:val="fr-CA"/>
        </w:rPr>
        <w:t>’</w:t>
      </w:r>
      <w:r w:rsidRPr="002B1EEE">
        <w:rPr>
          <w:lang w:val="fr-CA"/>
        </w:rPr>
        <w:t>identification de tels organismes à des fins de réglementation</w:t>
      </w:r>
      <w:r w:rsidR="0017033D" w:rsidRPr="005D5847">
        <w:rPr>
          <w:kern w:val="22"/>
          <w:szCs w:val="22"/>
          <w:lang w:val="fr-CA"/>
        </w:rPr>
        <w:t>;</w:t>
      </w:r>
    </w:p>
    <w:p w:rsidR="0017033D" w:rsidRPr="005D5847" w:rsidRDefault="006B33CC" w:rsidP="006B33CC">
      <w:pPr>
        <w:numPr>
          <w:ilvl w:val="0"/>
          <w:numId w:val="19"/>
        </w:numPr>
        <w:spacing w:before="120" w:after="120"/>
        <w:ind w:left="0" w:firstLine="720"/>
        <w:rPr>
          <w:kern w:val="22"/>
          <w:szCs w:val="22"/>
          <w:lang w:val="fr-CA"/>
        </w:rPr>
      </w:pPr>
      <w:r w:rsidRPr="002B1EEE">
        <w:rPr>
          <w:i/>
          <w:lang w:val="fr-CA"/>
        </w:rPr>
        <w:t xml:space="preserve">Encourage </w:t>
      </w:r>
      <w:r w:rsidRPr="002B1EEE">
        <w:rPr>
          <w:lang w:val="fr-CA"/>
        </w:rPr>
        <w:t>les Parties</w:t>
      </w:r>
      <w:r>
        <w:rPr>
          <w:lang w:val="fr-CA"/>
        </w:rPr>
        <w:t xml:space="preserve"> et </w:t>
      </w:r>
      <w:r>
        <w:rPr>
          <w:i/>
          <w:iCs/>
          <w:lang w:val="fr-CA"/>
        </w:rPr>
        <w:t>invite</w:t>
      </w:r>
      <w:r>
        <w:rPr>
          <w:lang w:val="fr-CA"/>
        </w:rPr>
        <w:t xml:space="preserve"> les autres gouvernements et </w:t>
      </w:r>
      <w:r w:rsidR="004017BC">
        <w:rPr>
          <w:lang w:val="fr-CA"/>
        </w:rPr>
        <w:t xml:space="preserve">les </w:t>
      </w:r>
      <w:r>
        <w:rPr>
          <w:lang w:val="fr-CA"/>
        </w:rPr>
        <w:t>organisations compétentes</w:t>
      </w:r>
      <w:r w:rsidRPr="002B1EEE">
        <w:rPr>
          <w:lang w:val="fr-CA"/>
        </w:rPr>
        <w:t xml:space="preserve"> à dégager des fonds pour la formation du personnel de laboratoire dans le domaine de la détection et de l</w:t>
      </w:r>
      <w:r w:rsidR="006A3E08">
        <w:rPr>
          <w:lang w:val="fr-CA"/>
        </w:rPr>
        <w:t>’</w:t>
      </w:r>
      <w:r w:rsidRPr="002B1EEE">
        <w:rPr>
          <w:lang w:val="fr-CA"/>
        </w:rPr>
        <w:t>identification des organismes vivants modifiés, et à continuer à participer aux réseaux régionaux et infrarégionaux sur la détection et l</w:t>
      </w:r>
      <w:r w:rsidR="006A3E08">
        <w:rPr>
          <w:lang w:val="fr-CA"/>
        </w:rPr>
        <w:t>’</w:t>
      </w:r>
      <w:r w:rsidRPr="002B1EEE">
        <w:rPr>
          <w:lang w:val="fr-CA"/>
        </w:rPr>
        <w:t>identification des organismes vivants modifiés</w:t>
      </w:r>
      <w:r>
        <w:rPr>
          <w:lang w:val="fr-CA"/>
        </w:rPr>
        <w:t>;</w:t>
      </w:r>
    </w:p>
    <w:p w:rsidR="0017033D" w:rsidRPr="006B33CC" w:rsidRDefault="006B33CC" w:rsidP="006A3E08">
      <w:pPr>
        <w:numPr>
          <w:ilvl w:val="0"/>
          <w:numId w:val="19"/>
        </w:numPr>
        <w:spacing w:before="120" w:after="120"/>
        <w:ind w:left="0" w:firstLine="720"/>
        <w:rPr>
          <w:iCs/>
          <w:kern w:val="22"/>
          <w:szCs w:val="22"/>
          <w:lang w:val="fr-CA"/>
        </w:rPr>
      </w:pPr>
      <w:r>
        <w:rPr>
          <w:i/>
          <w:kern w:val="22"/>
          <w:szCs w:val="22"/>
          <w:lang w:val="fr-CA"/>
        </w:rPr>
        <w:t>Invite</w:t>
      </w:r>
      <w:r w:rsidR="004017BC">
        <w:rPr>
          <w:iCs/>
          <w:kern w:val="22"/>
          <w:szCs w:val="22"/>
          <w:lang w:val="fr-CA"/>
        </w:rPr>
        <w:t xml:space="preserve"> les Parties à trans</w:t>
      </w:r>
      <w:r>
        <w:rPr>
          <w:iCs/>
          <w:kern w:val="22"/>
          <w:szCs w:val="22"/>
          <w:lang w:val="fr-CA"/>
        </w:rPr>
        <w:t>mettre à la Secrétaire exécutive des informations sur : a) leurs capacités et besoins en matière de détection et d</w:t>
      </w:r>
      <w:r w:rsidR="006A3E08">
        <w:rPr>
          <w:iCs/>
          <w:kern w:val="22"/>
          <w:szCs w:val="22"/>
          <w:lang w:val="fr-CA"/>
        </w:rPr>
        <w:t>’</w:t>
      </w:r>
      <w:r>
        <w:rPr>
          <w:iCs/>
          <w:kern w:val="22"/>
          <w:szCs w:val="22"/>
          <w:lang w:val="fr-CA"/>
        </w:rPr>
        <w:t>identification d</w:t>
      </w:r>
      <w:r w:rsidR="004017BC">
        <w:rPr>
          <w:iCs/>
          <w:kern w:val="22"/>
          <w:szCs w:val="22"/>
          <w:lang w:val="fr-CA"/>
        </w:rPr>
        <w:t xml:space="preserve">es </w:t>
      </w:r>
      <w:r>
        <w:rPr>
          <w:iCs/>
          <w:kern w:val="22"/>
          <w:szCs w:val="22"/>
          <w:lang w:val="fr-CA"/>
        </w:rPr>
        <w:t xml:space="preserve">organismes vivants modifiés, et b) une </w:t>
      </w:r>
      <w:r>
        <w:rPr>
          <w:iCs/>
          <w:kern w:val="22"/>
          <w:szCs w:val="22"/>
          <w:lang w:val="fr-CA"/>
        </w:rPr>
        <w:lastRenderedPageBreak/>
        <w:t>liste de laboratoires, y compris des informations sur les activités spécifiques menées à bien par lesdits laboratoires;</w:t>
      </w:r>
    </w:p>
    <w:p w:rsidR="0017033D" w:rsidRPr="006B33CC" w:rsidRDefault="006B33CC" w:rsidP="009778A2">
      <w:pPr>
        <w:numPr>
          <w:ilvl w:val="0"/>
          <w:numId w:val="19"/>
        </w:numPr>
        <w:spacing w:before="120" w:after="120"/>
        <w:ind w:left="0" w:firstLine="720"/>
        <w:rPr>
          <w:iCs/>
          <w:kern w:val="22"/>
          <w:szCs w:val="22"/>
          <w:lang w:val="fr-CA"/>
        </w:rPr>
      </w:pPr>
      <w:r w:rsidRPr="004017BC">
        <w:rPr>
          <w:i/>
          <w:iCs/>
          <w:kern w:val="22"/>
          <w:szCs w:val="22"/>
          <w:lang w:val="fr-CA"/>
        </w:rPr>
        <w:t>Invite</w:t>
      </w:r>
      <w:r w:rsidRPr="006B33CC">
        <w:rPr>
          <w:iCs/>
          <w:kern w:val="22"/>
          <w:szCs w:val="22"/>
          <w:lang w:val="fr-CA"/>
        </w:rPr>
        <w:t xml:space="preserve"> le Fonds pour l</w:t>
      </w:r>
      <w:r w:rsidR="006A3E08">
        <w:rPr>
          <w:iCs/>
          <w:kern w:val="22"/>
          <w:szCs w:val="22"/>
          <w:lang w:val="fr-CA"/>
        </w:rPr>
        <w:t>’</w:t>
      </w:r>
      <w:r w:rsidRPr="006B33CC">
        <w:rPr>
          <w:iCs/>
          <w:kern w:val="22"/>
          <w:szCs w:val="22"/>
          <w:lang w:val="fr-CA"/>
        </w:rPr>
        <w:t xml:space="preserve">environnement mondial </w:t>
      </w:r>
      <w:r w:rsidR="000D7439">
        <w:rPr>
          <w:iCs/>
          <w:kern w:val="22"/>
          <w:szCs w:val="22"/>
          <w:lang w:val="fr-CA"/>
        </w:rPr>
        <w:t xml:space="preserve">et </w:t>
      </w:r>
      <w:r w:rsidR="004017BC">
        <w:rPr>
          <w:iCs/>
          <w:kern w:val="22"/>
          <w:szCs w:val="22"/>
          <w:lang w:val="fr-CA"/>
        </w:rPr>
        <w:t xml:space="preserve">les </w:t>
      </w:r>
      <w:r w:rsidR="000D7439">
        <w:rPr>
          <w:iCs/>
          <w:kern w:val="22"/>
          <w:szCs w:val="22"/>
          <w:lang w:val="fr-CA"/>
        </w:rPr>
        <w:t xml:space="preserve">autres </w:t>
      </w:r>
      <w:r w:rsidR="004017BC">
        <w:rPr>
          <w:iCs/>
          <w:kern w:val="22"/>
          <w:szCs w:val="22"/>
          <w:lang w:val="fr-CA"/>
        </w:rPr>
        <w:t>organismes de financement compét</w:t>
      </w:r>
      <w:r w:rsidR="000D7439">
        <w:rPr>
          <w:iCs/>
          <w:kern w:val="22"/>
          <w:szCs w:val="22"/>
          <w:lang w:val="fr-CA"/>
        </w:rPr>
        <w:t xml:space="preserve">ents </w:t>
      </w:r>
      <w:r w:rsidRPr="006B33CC">
        <w:rPr>
          <w:iCs/>
          <w:kern w:val="22"/>
          <w:szCs w:val="22"/>
          <w:lang w:val="fr-CA"/>
        </w:rPr>
        <w:t>à libérer des fonds pour des projets régionaux</w:t>
      </w:r>
      <w:r w:rsidR="000D7439">
        <w:rPr>
          <w:iCs/>
          <w:kern w:val="22"/>
          <w:szCs w:val="22"/>
          <w:lang w:val="fr-CA"/>
        </w:rPr>
        <w:t>, y compris d</w:t>
      </w:r>
      <w:r w:rsidR="004017BC">
        <w:rPr>
          <w:iCs/>
          <w:kern w:val="22"/>
          <w:szCs w:val="22"/>
          <w:lang w:val="fr-CA"/>
        </w:rPr>
        <w:t>es projets visant à créer</w:t>
      </w:r>
      <w:r w:rsidR="000D7439">
        <w:rPr>
          <w:iCs/>
          <w:kern w:val="22"/>
          <w:szCs w:val="22"/>
          <w:lang w:val="fr-CA"/>
        </w:rPr>
        <w:t xml:space="preserve"> des capacités scientifiques,</w:t>
      </w:r>
      <w:r w:rsidRPr="006B33CC">
        <w:rPr>
          <w:iCs/>
          <w:kern w:val="22"/>
          <w:szCs w:val="22"/>
          <w:lang w:val="fr-CA"/>
        </w:rPr>
        <w:t xml:space="preserve"> qui appuieraient les</w:t>
      </w:r>
      <w:r w:rsidR="004017BC">
        <w:rPr>
          <w:iCs/>
          <w:kern w:val="22"/>
          <w:szCs w:val="22"/>
          <w:lang w:val="fr-CA"/>
        </w:rPr>
        <w:t xml:space="preserve"> actions des pays en vue de la détection et </w:t>
      </w:r>
      <w:r w:rsidRPr="006B33CC">
        <w:rPr>
          <w:iCs/>
          <w:kern w:val="22"/>
          <w:szCs w:val="22"/>
          <w:lang w:val="fr-CA"/>
        </w:rPr>
        <w:t>l</w:t>
      </w:r>
      <w:r w:rsidR="006A3E08">
        <w:rPr>
          <w:iCs/>
          <w:kern w:val="22"/>
          <w:szCs w:val="22"/>
          <w:lang w:val="fr-CA"/>
        </w:rPr>
        <w:t>’</w:t>
      </w:r>
      <w:r w:rsidRPr="006B33CC">
        <w:rPr>
          <w:iCs/>
          <w:kern w:val="22"/>
          <w:szCs w:val="22"/>
          <w:lang w:val="fr-CA"/>
        </w:rPr>
        <w:t>identification des organismes vivants modifiés, et en particulier qui pourraient promouvoir le par</w:t>
      </w:r>
      <w:r w:rsidR="004017BC">
        <w:rPr>
          <w:iCs/>
          <w:kern w:val="22"/>
          <w:szCs w:val="22"/>
          <w:lang w:val="fr-CA"/>
        </w:rPr>
        <w:t>tage Nord-Sud et Sud-Sud de données</w:t>
      </w:r>
      <w:r w:rsidRPr="006B33CC">
        <w:rPr>
          <w:iCs/>
          <w:kern w:val="22"/>
          <w:szCs w:val="22"/>
          <w:lang w:val="fr-CA"/>
        </w:rPr>
        <w:t xml:space="preserve"> </w:t>
      </w:r>
      <w:r w:rsidR="004017BC">
        <w:rPr>
          <w:iCs/>
          <w:kern w:val="22"/>
          <w:szCs w:val="22"/>
          <w:lang w:val="fr-CA"/>
        </w:rPr>
        <w:t>d’expérience et d’</w:t>
      </w:r>
      <w:r w:rsidRPr="006B33CC">
        <w:rPr>
          <w:iCs/>
          <w:kern w:val="22"/>
          <w:szCs w:val="22"/>
          <w:lang w:val="fr-CA"/>
        </w:rPr>
        <w:t>enseignements tirés</w:t>
      </w:r>
      <w:r w:rsidR="0017033D" w:rsidRPr="006B33CC">
        <w:rPr>
          <w:iCs/>
          <w:kern w:val="22"/>
          <w:szCs w:val="22"/>
          <w:lang w:val="fr-CA"/>
        </w:rPr>
        <w:t>;</w:t>
      </w:r>
    </w:p>
    <w:p w:rsidR="0017033D" w:rsidRPr="006B33CC" w:rsidRDefault="00A14669" w:rsidP="009778A2">
      <w:pPr>
        <w:numPr>
          <w:ilvl w:val="0"/>
          <w:numId w:val="19"/>
        </w:numPr>
        <w:spacing w:before="120" w:after="120"/>
        <w:ind w:left="0" w:firstLine="720"/>
        <w:rPr>
          <w:iCs/>
          <w:kern w:val="22"/>
          <w:szCs w:val="22"/>
          <w:lang w:val="fr-CA"/>
        </w:rPr>
      </w:pPr>
      <w:r w:rsidRPr="00317995">
        <w:rPr>
          <w:i/>
          <w:iCs/>
          <w:kern w:val="22"/>
          <w:szCs w:val="22"/>
          <w:lang w:val="fr-CA"/>
        </w:rPr>
        <w:t xml:space="preserve">Prie </w:t>
      </w:r>
      <w:r w:rsidRPr="00A14669">
        <w:rPr>
          <w:iCs/>
          <w:kern w:val="22"/>
          <w:szCs w:val="22"/>
          <w:lang w:val="fr-CA"/>
        </w:rPr>
        <w:t>la Secrétaire exécutive de</w:t>
      </w:r>
      <w:r>
        <w:rPr>
          <w:iCs/>
          <w:kern w:val="22"/>
          <w:szCs w:val="22"/>
          <w:lang w:val="fr-CA"/>
        </w:rPr>
        <w:t> :</w:t>
      </w:r>
    </w:p>
    <w:p w:rsidR="0017033D" w:rsidRPr="006B33CC" w:rsidRDefault="00A14669" w:rsidP="009778A2">
      <w:pPr>
        <w:numPr>
          <w:ilvl w:val="0"/>
          <w:numId w:val="20"/>
        </w:numPr>
        <w:tabs>
          <w:tab w:val="left" w:pos="90"/>
        </w:tabs>
        <w:spacing w:before="120" w:after="120"/>
        <w:ind w:left="0" w:firstLine="720"/>
        <w:rPr>
          <w:iCs/>
          <w:kern w:val="22"/>
          <w:szCs w:val="22"/>
          <w:lang w:val="fr-CA"/>
        </w:rPr>
      </w:pPr>
      <w:r w:rsidRPr="00A14669">
        <w:rPr>
          <w:iCs/>
          <w:kern w:val="22"/>
          <w:szCs w:val="22"/>
          <w:lang w:val="fr-CA"/>
        </w:rPr>
        <w:t>Poursuivre la collecte d</w:t>
      </w:r>
      <w:r w:rsidR="006A3E08">
        <w:rPr>
          <w:iCs/>
          <w:kern w:val="22"/>
          <w:szCs w:val="22"/>
          <w:lang w:val="fr-CA"/>
        </w:rPr>
        <w:t>’</w:t>
      </w:r>
      <w:r w:rsidRPr="00A14669">
        <w:rPr>
          <w:iCs/>
          <w:kern w:val="22"/>
          <w:szCs w:val="22"/>
          <w:lang w:val="fr-CA"/>
        </w:rPr>
        <w:t>informations importantes pour la détection et l</w:t>
      </w:r>
      <w:r w:rsidR="006A3E08">
        <w:rPr>
          <w:iCs/>
          <w:kern w:val="22"/>
          <w:szCs w:val="22"/>
          <w:lang w:val="fr-CA"/>
        </w:rPr>
        <w:t>’</w:t>
      </w:r>
      <w:r w:rsidRPr="00A14669">
        <w:rPr>
          <w:iCs/>
          <w:kern w:val="22"/>
          <w:szCs w:val="22"/>
          <w:lang w:val="fr-CA"/>
        </w:rPr>
        <w:t xml:space="preserve">identification des organismes vivants modifiés et </w:t>
      </w:r>
      <w:r w:rsidR="004017BC">
        <w:rPr>
          <w:iCs/>
          <w:kern w:val="22"/>
          <w:szCs w:val="22"/>
          <w:lang w:val="fr-CA"/>
        </w:rPr>
        <w:t>mettre à disposition ces informations d’une manière accessible,</w:t>
      </w:r>
      <w:r w:rsidRPr="00A14669">
        <w:rPr>
          <w:iCs/>
          <w:kern w:val="22"/>
          <w:szCs w:val="22"/>
          <w:lang w:val="fr-CA"/>
        </w:rPr>
        <w:t xml:space="preserve"> par le biais du Centre d</w:t>
      </w:r>
      <w:r w:rsidR="006A3E08">
        <w:rPr>
          <w:iCs/>
          <w:kern w:val="22"/>
          <w:szCs w:val="22"/>
          <w:lang w:val="fr-CA"/>
        </w:rPr>
        <w:t>’</w:t>
      </w:r>
      <w:r w:rsidRPr="00A14669">
        <w:rPr>
          <w:iCs/>
          <w:kern w:val="22"/>
          <w:szCs w:val="22"/>
          <w:lang w:val="fr-CA"/>
        </w:rPr>
        <w:t>échange pour la prévention des risques biotechnologiques</w:t>
      </w:r>
      <w:r w:rsidR="0017033D" w:rsidRPr="006B33CC">
        <w:rPr>
          <w:iCs/>
          <w:kern w:val="22"/>
          <w:szCs w:val="22"/>
          <w:lang w:val="fr-CA"/>
        </w:rPr>
        <w:t>;</w:t>
      </w:r>
    </w:p>
    <w:p w:rsidR="0017033D" w:rsidRPr="006B33CC" w:rsidRDefault="001E11ED" w:rsidP="00312E41">
      <w:pPr>
        <w:numPr>
          <w:ilvl w:val="0"/>
          <w:numId w:val="20"/>
        </w:numPr>
        <w:tabs>
          <w:tab w:val="left" w:pos="90"/>
        </w:tabs>
        <w:spacing w:before="120" w:after="120"/>
        <w:ind w:left="0" w:firstLine="720"/>
        <w:rPr>
          <w:iCs/>
          <w:kern w:val="22"/>
          <w:szCs w:val="22"/>
          <w:lang w:val="fr-CA"/>
        </w:rPr>
      </w:pPr>
      <w:r>
        <w:rPr>
          <w:iCs/>
          <w:kern w:val="22"/>
          <w:szCs w:val="22"/>
          <w:lang w:val="fr-CA"/>
        </w:rPr>
        <w:t>Réviser et finaliser le manuel sur la détection et l</w:t>
      </w:r>
      <w:r w:rsidR="006A3E08">
        <w:rPr>
          <w:iCs/>
          <w:kern w:val="22"/>
          <w:szCs w:val="22"/>
          <w:lang w:val="fr-CA"/>
        </w:rPr>
        <w:t>’</w:t>
      </w:r>
      <w:r>
        <w:rPr>
          <w:iCs/>
          <w:kern w:val="22"/>
          <w:szCs w:val="22"/>
          <w:lang w:val="fr-CA"/>
        </w:rPr>
        <w:t>identification d</w:t>
      </w:r>
      <w:r w:rsidR="000A39C3">
        <w:rPr>
          <w:iCs/>
          <w:kern w:val="22"/>
          <w:szCs w:val="22"/>
          <w:lang w:val="fr-CA"/>
        </w:rPr>
        <w:t xml:space="preserve">es </w:t>
      </w:r>
      <w:r>
        <w:rPr>
          <w:iCs/>
          <w:kern w:val="22"/>
          <w:szCs w:val="22"/>
          <w:lang w:val="fr-CA"/>
        </w:rPr>
        <w:t xml:space="preserve">organismes vivants modifiés, </w:t>
      </w:r>
      <w:r w:rsidR="00312E41">
        <w:rPr>
          <w:iCs/>
          <w:kern w:val="22"/>
          <w:szCs w:val="22"/>
          <w:lang w:val="fr-CA"/>
        </w:rPr>
        <w:t>pour en a</w:t>
      </w:r>
      <w:r w:rsidR="000A39C3">
        <w:rPr>
          <w:iCs/>
          <w:kern w:val="22"/>
          <w:szCs w:val="22"/>
          <w:lang w:val="fr-CA"/>
        </w:rPr>
        <w:t>ssurer la cohérence, en ce qui concerne la terminologie et le champ d’application</w:t>
      </w:r>
      <w:r w:rsidR="00F532DF">
        <w:rPr>
          <w:iCs/>
          <w:kern w:val="22"/>
          <w:szCs w:val="22"/>
          <w:lang w:val="fr-CA"/>
        </w:rPr>
        <w:t>, avec l’article 17 du</w:t>
      </w:r>
      <w:r w:rsidR="00312E41">
        <w:rPr>
          <w:iCs/>
          <w:kern w:val="22"/>
          <w:szCs w:val="22"/>
          <w:lang w:val="fr-CA"/>
        </w:rPr>
        <w:t xml:space="preserve"> Protocole de Cartagena;</w:t>
      </w:r>
    </w:p>
    <w:p w:rsidR="0017033D" w:rsidRDefault="00312E41" w:rsidP="00312E41">
      <w:pPr>
        <w:numPr>
          <w:ilvl w:val="0"/>
          <w:numId w:val="20"/>
        </w:numPr>
        <w:tabs>
          <w:tab w:val="left" w:pos="90"/>
        </w:tabs>
        <w:spacing w:before="120" w:after="120"/>
        <w:ind w:left="0" w:firstLine="720"/>
        <w:rPr>
          <w:iCs/>
          <w:kern w:val="22"/>
          <w:szCs w:val="22"/>
          <w:lang w:val="fr-CA"/>
        </w:rPr>
      </w:pPr>
      <w:r>
        <w:rPr>
          <w:iCs/>
          <w:kern w:val="22"/>
          <w:szCs w:val="22"/>
          <w:lang w:val="fr-CA"/>
        </w:rPr>
        <w:t xml:space="preserve">Synthétiser les informations fournies par les Parties en réponse au </w:t>
      </w:r>
      <w:r w:rsidR="00F532DF">
        <w:rPr>
          <w:iCs/>
          <w:noProof/>
          <w:kern w:val="22"/>
          <w:szCs w:val="22"/>
          <w:lang w:val="fr-CA"/>
        </w:rPr>
        <w:t>paragraphe 5</w:t>
      </w:r>
      <w:r>
        <w:rPr>
          <w:iCs/>
          <w:noProof/>
          <w:kern w:val="22"/>
          <w:szCs w:val="22"/>
          <w:lang w:val="fr-CA"/>
        </w:rPr>
        <w:t xml:space="preserve"> ci</w:t>
      </w:r>
      <w:r>
        <w:rPr>
          <w:iCs/>
          <w:noProof/>
          <w:kern w:val="22"/>
          <w:szCs w:val="22"/>
          <w:lang w:val="fr-CA"/>
        </w:rPr>
        <w:noBreakHyphen/>
        <w:t>dessus</w:t>
      </w:r>
      <w:r>
        <w:rPr>
          <w:iCs/>
          <w:kern w:val="22"/>
          <w:szCs w:val="22"/>
          <w:lang w:val="fr-CA"/>
        </w:rPr>
        <w:t>, aux fins d</w:t>
      </w:r>
      <w:r w:rsidR="006A3E08">
        <w:rPr>
          <w:iCs/>
          <w:kern w:val="22"/>
          <w:szCs w:val="22"/>
          <w:lang w:val="fr-CA"/>
        </w:rPr>
        <w:t>’</w:t>
      </w:r>
      <w:r>
        <w:rPr>
          <w:iCs/>
          <w:kern w:val="22"/>
          <w:szCs w:val="22"/>
          <w:lang w:val="fr-CA"/>
        </w:rPr>
        <w:t>examen par la Conférence de</w:t>
      </w:r>
      <w:r w:rsidR="000A39C3">
        <w:rPr>
          <w:iCs/>
          <w:kern w:val="22"/>
          <w:szCs w:val="22"/>
          <w:lang w:val="fr-CA"/>
        </w:rPr>
        <w:t>s Parties siégeant en tant que r</w:t>
      </w:r>
      <w:r>
        <w:rPr>
          <w:iCs/>
          <w:kern w:val="22"/>
          <w:szCs w:val="22"/>
          <w:lang w:val="fr-CA"/>
        </w:rPr>
        <w:t>éunion des Parties à</w:t>
      </w:r>
      <w:r w:rsidR="000A39C3">
        <w:rPr>
          <w:iCs/>
          <w:kern w:val="22"/>
          <w:szCs w:val="22"/>
          <w:lang w:val="fr-CA"/>
        </w:rPr>
        <w:t xml:space="preserve"> sa dixième réunion, et intégrer</w:t>
      </w:r>
      <w:r>
        <w:rPr>
          <w:iCs/>
          <w:kern w:val="22"/>
          <w:szCs w:val="22"/>
          <w:lang w:val="fr-CA"/>
        </w:rPr>
        <w:t xml:space="preserve"> ces informations dans le plan d</w:t>
      </w:r>
      <w:r w:rsidR="006A3E08">
        <w:rPr>
          <w:iCs/>
          <w:kern w:val="22"/>
          <w:szCs w:val="22"/>
          <w:lang w:val="fr-CA"/>
        </w:rPr>
        <w:t>’</w:t>
      </w:r>
      <w:r>
        <w:rPr>
          <w:iCs/>
          <w:kern w:val="22"/>
          <w:szCs w:val="22"/>
          <w:lang w:val="fr-CA"/>
        </w:rPr>
        <w:t>action sur le renforcement des capacités pour le cadre mondial de l</w:t>
      </w:r>
      <w:r w:rsidR="006A3E08">
        <w:rPr>
          <w:iCs/>
          <w:kern w:val="22"/>
          <w:szCs w:val="22"/>
          <w:lang w:val="fr-CA"/>
        </w:rPr>
        <w:t>’</w:t>
      </w:r>
      <w:r w:rsidR="000A39C3">
        <w:rPr>
          <w:iCs/>
          <w:kern w:val="22"/>
          <w:szCs w:val="22"/>
          <w:lang w:val="fr-CA"/>
        </w:rPr>
        <w:t>après-2020, selon qu’</w:t>
      </w:r>
      <w:r w:rsidR="000D7439">
        <w:rPr>
          <w:iCs/>
          <w:kern w:val="22"/>
          <w:szCs w:val="22"/>
          <w:lang w:val="fr-CA"/>
        </w:rPr>
        <w:t>il convient;</w:t>
      </w:r>
    </w:p>
    <w:p w:rsidR="000D7439" w:rsidRPr="000D7439" w:rsidRDefault="000D7439" w:rsidP="000D7439">
      <w:pPr>
        <w:pStyle w:val="ListParagraph"/>
        <w:numPr>
          <w:ilvl w:val="0"/>
          <w:numId w:val="19"/>
        </w:numPr>
        <w:spacing w:before="120" w:after="120"/>
        <w:ind w:firstLine="65"/>
        <w:contextualSpacing w:val="0"/>
        <w:rPr>
          <w:kern w:val="22"/>
          <w:szCs w:val="22"/>
          <w:lang w:val="fr-FR"/>
        </w:rPr>
      </w:pPr>
      <w:r w:rsidRPr="000D7439">
        <w:rPr>
          <w:i/>
          <w:kern w:val="22"/>
          <w:szCs w:val="22"/>
          <w:lang w:val="fr-FR"/>
        </w:rPr>
        <w:t>Prie</w:t>
      </w:r>
      <w:r w:rsidRPr="000D7439">
        <w:rPr>
          <w:kern w:val="22"/>
          <w:szCs w:val="22"/>
          <w:lang w:val="fr-FR"/>
        </w:rPr>
        <w:t xml:space="preserve"> la Secrétaire exécutive, sous réserve des ressources disponibles</w:t>
      </w:r>
      <w:r w:rsidR="00F532DF">
        <w:rPr>
          <w:kern w:val="22"/>
          <w:szCs w:val="22"/>
          <w:lang w:val="fr-FR"/>
        </w:rPr>
        <w:t>,</w:t>
      </w:r>
      <w:r w:rsidRPr="000D7439">
        <w:rPr>
          <w:kern w:val="22"/>
          <w:szCs w:val="22"/>
          <w:lang w:val="fr-FR"/>
        </w:rPr>
        <w:t xml:space="preserve"> </w:t>
      </w:r>
      <w:r w:rsidR="00C16F7D">
        <w:rPr>
          <w:kern w:val="22"/>
          <w:szCs w:val="22"/>
          <w:lang w:val="fr-FR"/>
        </w:rPr>
        <w:t xml:space="preserve">de </w:t>
      </w:r>
      <w:r w:rsidRPr="000D7439">
        <w:rPr>
          <w:kern w:val="22"/>
          <w:szCs w:val="22"/>
          <w:lang w:val="fr-FR"/>
        </w:rPr>
        <w:t>:</w:t>
      </w:r>
    </w:p>
    <w:p w:rsidR="00F532DF" w:rsidRDefault="00C16F7D" w:rsidP="00F532DF">
      <w:pPr>
        <w:pStyle w:val="ListParagraph"/>
        <w:numPr>
          <w:ilvl w:val="0"/>
          <w:numId w:val="23"/>
        </w:numPr>
        <w:tabs>
          <w:tab w:val="left" w:pos="90"/>
        </w:tabs>
        <w:spacing w:before="120" w:after="360"/>
        <w:ind w:left="0" w:firstLine="709"/>
        <w:rPr>
          <w:kern w:val="22"/>
          <w:szCs w:val="22"/>
          <w:lang w:val="fr-FR"/>
        </w:rPr>
      </w:pPr>
      <w:r w:rsidRPr="00C16F7D">
        <w:rPr>
          <w:kern w:val="22"/>
          <w:szCs w:val="22"/>
          <w:lang w:val="fr-FR"/>
        </w:rPr>
        <w:t>C</w:t>
      </w:r>
      <w:r w:rsidR="000D7439" w:rsidRPr="00C16F7D">
        <w:rPr>
          <w:kern w:val="22"/>
          <w:szCs w:val="22"/>
          <w:lang w:val="fr-FR"/>
        </w:rPr>
        <w:t>ontinue</w:t>
      </w:r>
      <w:r w:rsidR="00F532DF">
        <w:rPr>
          <w:kern w:val="22"/>
          <w:szCs w:val="22"/>
          <w:lang w:val="fr-FR"/>
        </w:rPr>
        <w:t>r à</w:t>
      </w:r>
      <w:r w:rsidRPr="00C16F7D">
        <w:rPr>
          <w:kern w:val="22"/>
          <w:szCs w:val="22"/>
          <w:lang w:val="fr-FR"/>
        </w:rPr>
        <w:t xml:space="preserve"> faciliter les </w:t>
      </w:r>
      <w:r w:rsidR="000D7439" w:rsidRPr="00C16F7D">
        <w:rPr>
          <w:kern w:val="22"/>
          <w:szCs w:val="22"/>
          <w:lang w:val="fr-FR"/>
        </w:rPr>
        <w:t>discussions</w:t>
      </w:r>
      <w:r w:rsidRPr="00C16F7D">
        <w:rPr>
          <w:kern w:val="22"/>
          <w:szCs w:val="22"/>
          <w:lang w:val="fr-FR"/>
        </w:rPr>
        <w:t xml:space="preserve"> en ligne du Réseau de laboratoires pour la </w:t>
      </w:r>
      <w:r>
        <w:rPr>
          <w:kern w:val="22"/>
          <w:szCs w:val="22"/>
          <w:lang w:val="fr-FR"/>
        </w:rPr>
        <w:t>dé</w:t>
      </w:r>
      <w:r w:rsidRPr="00C16F7D">
        <w:rPr>
          <w:kern w:val="22"/>
          <w:szCs w:val="22"/>
          <w:lang w:val="fr-FR"/>
        </w:rPr>
        <w:t xml:space="preserve">tection </w:t>
      </w:r>
      <w:r>
        <w:rPr>
          <w:kern w:val="22"/>
          <w:szCs w:val="22"/>
          <w:lang w:val="fr-FR"/>
        </w:rPr>
        <w:t xml:space="preserve">et </w:t>
      </w:r>
      <w:r w:rsidRPr="00C16F7D">
        <w:rPr>
          <w:kern w:val="22"/>
          <w:szCs w:val="22"/>
          <w:lang w:val="fr-FR"/>
        </w:rPr>
        <w:t>l’identification des organis</w:t>
      </w:r>
      <w:r w:rsidR="000A39C3">
        <w:rPr>
          <w:kern w:val="22"/>
          <w:szCs w:val="22"/>
          <w:lang w:val="fr-FR"/>
        </w:rPr>
        <w:t>mes vivants modifiés ainsi que d</w:t>
      </w:r>
      <w:r w:rsidRPr="00C16F7D">
        <w:rPr>
          <w:kern w:val="22"/>
          <w:szCs w:val="22"/>
          <w:lang w:val="fr-FR"/>
        </w:rPr>
        <w:t>es réunions face à face</w:t>
      </w:r>
      <w:r w:rsidR="000A39C3">
        <w:rPr>
          <w:kern w:val="22"/>
          <w:szCs w:val="22"/>
          <w:lang w:val="fr-FR"/>
        </w:rPr>
        <w:t>,</w:t>
      </w:r>
      <w:r w:rsidRPr="00C16F7D">
        <w:rPr>
          <w:kern w:val="22"/>
          <w:szCs w:val="22"/>
          <w:lang w:val="fr-FR"/>
        </w:rPr>
        <w:t xml:space="preserve"> selon qu’il convient</w:t>
      </w:r>
      <w:r w:rsidR="000D7439" w:rsidRPr="00C16F7D">
        <w:rPr>
          <w:kern w:val="22"/>
          <w:szCs w:val="22"/>
          <w:lang w:val="fr-FR"/>
        </w:rPr>
        <w:t>;</w:t>
      </w:r>
    </w:p>
    <w:p w:rsidR="00F532DF" w:rsidRPr="00F532DF" w:rsidRDefault="00F532DF" w:rsidP="00F532DF">
      <w:pPr>
        <w:pStyle w:val="ListParagraph"/>
        <w:tabs>
          <w:tab w:val="left" w:pos="90"/>
        </w:tabs>
        <w:spacing w:before="120" w:after="120"/>
        <w:ind w:left="709"/>
        <w:rPr>
          <w:kern w:val="22"/>
          <w:sz w:val="16"/>
          <w:szCs w:val="16"/>
          <w:lang w:val="fr-FR"/>
        </w:rPr>
      </w:pPr>
    </w:p>
    <w:p w:rsidR="000D7439" w:rsidRPr="00F532DF" w:rsidRDefault="00C16F7D" w:rsidP="00F532DF">
      <w:pPr>
        <w:pStyle w:val="ListParagraph"/>
        <w:numPr>
          <w:ilvl w:val="0"/>
          <w:numId w:val="23"/>
        </w:numPr>
        <w:tabs>
          <w:tab w:val="left" w:pos="90"/>
        </w:tabs>
        <w:spacing w:before="120" w:after="120"/>
        <w:ind w:left="0" w:firstLine="709"/>
        <w:rPr>
          <w:kern w:val="22"/>
          <w:szCs w:val="22"/>
          <w:lang w:val="fr-FR"/>
        </w:rPr>
      </w:pPr>
      <w:r w:rsidRPr="00F532DF">
        <w:rPr>
          <w:kern w:val="22"/>
          <w:szCs w:val="22"/>
          <w:lang w:val="fr-FR"/>
        </w:rPr>
        <w:t>Poursuivre les e</w:t>
      </w:r>
      <w:r w:rsidR="000D7439" w:rsidRPr="00F532DF">
        <w:rPr>
          <w:kern w:val="22"/>
          <w:szCs w:val="22"/>
          <w:lang w:val="fr-FR"/>
        </w:rPr>
        <w:t xml:space="preserve">fforts </w:t>
      </w:r>
      <w:r w:rsidR="000A39C3">
        <w:rPr>
          <w:kern w:val="22"/>
          <w:szCs w:val="22"/>
          <w:lang w:val="fr-FR"/>
        </w:rPr>
        <w:t xml:space="preserve">déployés pour </w:t>
      </w:r>
      <w:r w:rsidRPr="00F532DF">
        <w:rPr>
          <w:kern w:val="22"/>
          <w:szCs w:val="22"/>
          <w:lang w:val="fr-FR"/>
        </w:rPr>
        <w:t>collabor</w:t>
      </w:r>
      <w:r w:rsidR="000A39C3">
        <w:rPr>
          <w:kern w:val="22"/>
          <w:szCs w:val="22"/>
          <w:lang w:val="fr-FR"/>
        </w:rPr>
        <w:t>er avec les organisations compétentes et pour</w:t>
      </w:r>
      <w:r w:rsidRPr="00F532DF">
        <w:rPr>
          <w:kern w:val="22"/>
          <w:szCs w:val="22"/>
          <w:lang w:val="fr-FR"/>
        </w:rPr>
        <w:t xml:space="preserve"> renforcer les capacités des pays en dév</w:t>
      </w:r>
      <w:r w:rsidR="000A39C3">
        <w:rPr>
          <w:kern w:val="22"/>
          <w:szCs w:val="22"/>
          <w:lang w:val="fr-FR"/>
        </w:rPr>
        <w:t>eloppement en matière de détection et d</w:t>
      </w:r>
      <w:r w:rsidRPr="00F532DF">
        <w:rPr>
          <w:kern w:val="22"/>
          <w:szCs w:val="22"/>
          <w:lang w:val="fr-FR"/>
        </w:rPr>
        <w:t>’</w:t>
      </w:r>
      <w:r w:rsidR="00B71132" w:rsidRPr="00F532DF">
        <w:rPr>
          <w:kern w:val="22"/>
          <w:szCs w:val="22"/>
          <w:lang w:val="fr-FR"/>
        </w:rPr>
        <w:t>identification</w:t>
      </w:r>
      <w:r w:rsidR="000A39C3">
        <w:rPr>
          <w:kern w:val="22"/>
          <w:szCs w:val="22"/>
          <w:lang w:val="fr-FR"/>
        </w:rPr>
        <w:t xml:space="preserve"> des </w:t>
      </w:r>
      <w:r w:rsidRPr="00F532DF">
        <w:rPr>
          <w:kern w:val="22"/>
          <w:szCs w:val="22"/>
          <w:lang w:val="fr-FR"/>
        </w:rPr>
        <w:t xml:space="preserve">organismes vivants modifiés dans </w:t>
      </w:r>
      <w:r w:rsidR="000D7439" w:rsidRPr="00F532DF">
        <w:rPr>
          <w:kern w:val="22"/>
          <w:szCs w:val="22"/>
          <w:lang w:val="fr-FR"/>
        </w:rPr>
        <w:t>l</w:t>
      </w:r>
      <w:r w:rsidRPr="00F532DF">
        <w:rPr>
          <w:kern w:val="22"/>
          <w:szCs w:val="22"/>
          <w:lang w:val="fr-FR"/>
        </w:rPr>
        <w:t>e</w:t>
      </w:r>
      <w:r w:rsidR="000D7439" w:rsidRPr="00F532DF">
        <w:rPr>
          <w:kern w:val="22"/>
          <w:szCs w:val="22"/>
          <w:lang w:val="fr-FR"/>
        </w:rPr>
        <w:t xml:space="preserve"> context</w:t>
      </w:r>
      <w:r w:rsidRPr="00F532DF">
        <w:rPr>
          <w:kern w:val="22"/>
          <w:szCs w:val="22"/>
          <w:lang w:val="fr-FR"/>
        </w:rPr>
        <w:t>e de l’ar</w:t>
      </w:r>
      <w:r w:rsidR="000D7439" w:rsidRPr="00F532DF">
        <w:rPr>
          <w:kern w:val="22"/>
          <w:szCs w:val="22"/>
          <w:lang w:val="fr-FR"/>
        </w:rPr>
        <w:t xml:space="preserve">ticle 17, </w:t>
      </w:r>
      <w:r w:rsidRPr="00F532DF">
        <w:rPr>
          <w:kern w:val="22"/>
          <w:szCs w:val="22"/>
          <w:lang w:val="fr-FR"/>
        </w:rPr>
        <w:t xml:space="preserve">en </w:t>
      </w:r>
      <w:r w:rsidR="000D7439" w:rsidRPr="00F532DF">
        <w:rPr>
          <w:kern w:val="22"/>
          <w:szCs w:val="22"/>
          <w:lang w:val="fr-FR"/>
        </w:rPr>
        <w:t>in particul</w:t>
      </w:r>
      <w:r w:rsidRPr="00F532DF">
        <w:rPr>
          <w:kern w:val="22"/>
          <w:szCs w:val="22"/>
          <w:lang w:val="fr-FR"/>
        </w:rPr>
        <w:t>ie</w:t>
      </w:r>
      <w:r w:rsidR="000D7439" w:rsidRPr="00F532DF">
        <w:rPr>
          <w:kern w:val="22"/>
          <w:szCs w:val="22"/>
          <w:lang w:val="fr-FR"/>
        </w:rPr>
        <w:t xml:space="preserve">r </w:t>
      </w:r>
      <w:r w:rsidRPr="00F532DF">
        <w:rPr>
          <w:kern w:val="22"/>
          <w:szCs w:val="22"/>
          <w:lang w:val="fr-FR"/>
        </w:rPr>
        <w:t>en ciblant les régions qui n’ont pas encore bénéficié de récentes activités de renfor</w:t>
      </w:r>
      <w:r w:rsidR="000A39C3">
        <w:rPr>
          <w:kern w:val="22"/>
          <w:szCs w:val="22"/>
          <w:lang w:val="fr-FR"/>
        </w:rPr>
        <w:t>cement des capacités à cette fin</w:t>
      </w:r>
      <w:r w:rsidR="000D7439" w:rsidRPr="00F532DF">
        <w:rPr>
          <w:kern w:val="22"/>
          <w:szCs w:val="22"/>
          <w:lang w:val="fr-FR"/>
        </w:rPr>
        <w:t>.</w:t>
      </w:r>
    </w:p>
    <w:bookmarkEnd w:id="1"/>
    <w:p w:rsidR="00491591" w:rsidRPr="000A39C3" w:rsidRDefault="00491591" w:rsidP="00C9161D">
      <w:pPr>
        <w:jc w:val="center"/>
        <w:rPr>
          <w:iCs/>
          <w:kern w:val="22"/>
          <w:szCs w:val="22"/>
          <w:lang w:val="fr-FR"/>
        </w:rPr>
      </w:pPr>
    </w:p>
    <w:p w:rsidR="00C9161D" w:rsidRPr="006B33CC" w:rsidRDefault="00C9161D" w:rsidP="00C9161D">
      <w:pPr>
        <w:jc w:val="center"/>
        <w:rPr>
          <w:iCs/>
          <w:kern w:val="22"/>
          <w:szCs w:val="22"/>
          <w:lang w:val="fr-CA"/>
        </w:rPr>
      </w:pPr>
      <w:r w:rsidRPr="006B33CC">
        <w:rPr>
          <w:iCs/>
          <w:kern w:val="22"/>
          <w:szCs w:val="22"/>
          <w:lang w:val="fr-CA"/>
        </w:rPr>
        <w:t>______</w:t>
      </w:r>
      <w:r w:rsidR="006F04F2" w:rsidRPr="006B33CC">
        <w:rPr>
          <w:iCs/>
          <w:kern w:val="22"/>
          <w:szCs w:val="22"/>
          <w:lang w:val="fr-CA"/>
        </w:rPr>
        <w:t>____</w:t>
      </w:r>
    </w:p>
    <w:p w:rsidR="00B3369F" w:rsidRPr="006B33CC" w:rsidRDefault="00B3369F" w:rsidP="00C9161D">
      <w:pPr>
        <w:rPr>
          <w:iCs/>
          <w:kern w:val="22"/>
          <w:szCs w:val="22"/>
          <w:lang w:val="fr-CA"/>
        </w:rPr>
      </w:pPr>
    </w:p>
    <w:sectPr w:rsidR="00B3369F" w:rsidRPr="006B33CC" w:rsidSect="009C200D">
      <w:headerReference w:type="even" r:id="rId12"/>
      <w:headerReference w:type="default" r:id="rId13"/>
      <w:footerReference w:type="even" r:id="rId14"/>
      <w:footerReference w:type="default" r:id="rId15"/>
      <w:headerReference w:type="first" r:id="rId16"/>
      <w:footerReference w:type="firs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C44" w:rsidRDefault="00485C44" w:rsidP="00CF1848">
      <w:r>
        <w:separator/>
      </w:r>
    </w:p>
  </w:endnote>
  <w:endnote w:type="continuationSeparator" w:id="0">
    <w:p w:rsidR="00485C44" w:rsidRDefault="00485C4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CB" w:rsidRDefault="00526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CB" w:rsidRDefault="00526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CB" w:rsidRDefault="00526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C44" w:rsidRDefault="00485C44" w:rsidP="00CF1848">
      <w:r>
        <w:separator/>
      </w:r>
    </w:p>
  </w:footnote>
  <w:footnote w:type="continuationSeparator" w:id="0">
    <w:p w:rsidR="00485C44" w:rsidRDefault="00485C44" w:rsidP="00CF1848">
      <w:r>
        <w:continuationSeparator/>
      </w:r>
    </w:p>
  </w:footnote>
  <w:footnote w:id="1">
    <w:p w:rsidR="00C01574" w:rsidRPr="00407853" w:rsidRDefault="00C01574" w:rsidP="00C01574">
      <w:pPr>
        <w:pStyle w:val="FootnoteText"/>
        <w:ind w:firstLine="0"/>
        <w:rPr>
          <w:lang w:val="fr-FR"/>
        </w:rPr>
      </w:pPr>
      <w:r>
        <w:rPr>
          <w:rStyle w:val="FootnoteReference"/>
          <w:rFonts w:eastAsiaTheme="majorEastAsia"/>
        </w:rPr>
        <w:footnoteRef/>
      </w:r>
      <w:r w:rsidRPr="00407853">
        <w:rPr>
          <w:lang w:val="fr-FR"/>
        </w:rPr>
        <w:t xml:space="preserve"> Tel qu</w:t>
      </w:r>
      <w:r w:rsidR="006A3E08">
        <w:rPr>
          <w:lang w:val="fr-FR"/>
        </w:rPr>
        <w:t>’</w:t>
      </w:r>
      <w:r w:rsidRPr="00407853">
        <w:rPr>
          <w:lang w:val="fr-FR"/>
        </w:rPr>
        <w:t xml:space="preserve">il figure dans le document </w:t>
      </w:r>
      <w:r w:rsidRPr="00407853">
        <w:rPr>
          <w:snapToGrid w:val="0"/>
          <w:color w:val="000000"/>
          <w:kern w:val="22"/>
          <w:lang w:val="fr-FR"/>
        </w:rPr>
        <w:t>CBD/CP/</w:t>
      </w:r>
      <w:r w:rsidRPr="008343C7">
        <w:rPr>
          <w:noProof/>
          <w:snapToGrid w:val="0"/>
          <w:color w:val="000000"/>
          <w:kern w:val="22"/>
          <w:lang w:val="fr-CA"/>
        </w:rPr>
        <w:t>MOP/9/8/Add.1.</w:t>
      </w:r>
    </w:p>
  </w:footnote>
  <w:footnote w:id="2">
    <w:p w:rsidR="002D1C4D" w:rsidRPr="009216D4" w:rsidRDefault="002D1C4D" w:rsidP="00F532DF">
      <w:pPr>
        <w:pStyle w:val="FootnoteText"/>
        <w:ind w:firstLine="0"/>
        <w:jc w:val="left"/>
        <w:rPr>
          <w:lang w:val="fr-FR"/>
        </w:rPr>
      </w:pPr>
      <w:r>
        <w:rPr>
          <w:rStyle w:val="FootnoteReference"/>
        </w:rPr>
        <w:footnoteRef/>
      </w:r>
      <w:r w:rsidRPr="009216D4">
        <w:rPr>
          <w:lang w:val="fr-FR"/>
        </w:rPr>
        <w:t xml:space="preserve"> </w:t>
      </w:r>
      <w:r w:rsidR="009216D4" w:rsidRPr="009216D4">
        <w:rPr>
          <w:lang w:val="fr-FR"/>
        </w:rPr>
        <w:t>Par “opérateur</w:t>
      </w:r>
      <w:r w:rsidRPr="009216D4">
        <w:rPr>
          <w:lang w:val="fr-FR"/>
        </w:rPr>
        <w:t>”</w:t>
      </w:r>
      <w:r w:rsidR="009216D4" w:rsidRPr="009216D4">
        <w:rPr>
          <w:lang w:val="fr-FR"/>
        </w:rPr>
        <w:t>, on entend n’importe quelle personne ayant un contrôle</w:t>
      </w:r>
      <w:r w:rsidRPr="009216D4">
        <w:rPr>
          <w:lang w:val="fr-FR"/>
        </w:rPr>
        <w:t xml:space="preserve"> direct </w:t>
      </w:r>
      <w:r w:rsidR="009216D4" w:rsidRPr="009216D4">
        <w:rPr>
          <w:lang w:val="fr-FR"/>
        </w:rPr>
        <w:t xml:space="preserve">et </w:t>
      </w:r>
      <w:r w:rsidRPr="009216D4">
        <w:rPr>
          <w:lang w:val="fr-FR"/>
        </w:rPr>
        <w:t xml:space="preserve">indirect </w:t>
      </w:r>
      <w:r w:rsidR="004017BC">
        <w:rPr>
          <w:lang w:val="fr-FR"/>
        </w:rPr>
        <w:t xml:space="preserve">sur </w:t>
      </w:r>
      <w:r w:rsidR="009216D4" w:rsidRPr="009216D4">
        <w:rPr>
          <w:lang w:val="fr-FR"/>
        </w:rPr>
        <w:t>l’organisme vivant modifié</w:t>
      </w:r>
      <w:r w:rsidR="004017BC">
        <w:rPr>
          <w:lang w:val="fr-FR"/>
        </w:rPr>
        <w:t>,</w:t>
      </w:r>
      <w:r w:rsidR="009216D4" w:rsidRPr="009216D4">
        <w:rPr>
          <w:lang w:val="fr-FR"/>
        </w:rPr>
        <w:t xml:space="preserve"> qui pourrait</w:t>
      </w:r>
      <w:r w:rsidR="004017BC">
        <w:rPr>
          <w:lang w:val="fr-FR"/>
        </w:rPr>
        <w:t xml:space="preserve"> inclure</w:t>
      </w:r>
      <w:r w:rsidR="009216D4" w:rsidRPr="009216D4">
        <w:rPr>
          <w:lang w:val="fr-FR"/>
        </w:rPr>
        <w:t xml:space="preserve">, </w:t>
      </w:r>
      <w:r w:rsidR="004017BC">
        <w:rPr>
          <w:lang w:val="fr-FR"/>
        </w:rPr>
        <w:t xml:space="preserve">entre autres, </w:t>
      </w:r>
      <w:r w:rsidR="009216D4" w:rsidRPr="009216D4">
        <w:rPr>
          <w:lang w:val="fr-FR"/>
        </w:rPr>
        <w:t>selon qu’</w:t>
      </w:r>
      <w:r w:rsidR="009216D4">
        <w:rPr>
          <w:lang w:val="fr-FR"/>
        </w:rPr>
        <w:t>il</w:t>
      </w:r>
      <w:r w:rsidR="009216D4" w:rsidRPr="009216D4">
        <w:rPr>
          <w:lang w:val="fr-FR"/>
        </w:rPr>
        <w:t xml:space="preserve"> convient</w:t>
      </w:r>
      <w:r w:rsidR="009216D4">
        <w:rPr>
          <w:lang w:val="fr-FR"/>
        </w:rPr>
        <w:t xml:space="preserve"> et comme le détermine l</w:t>
      </w:r>
      <w:r w:rsidR="004017BC">
        <w:rPr>
          <w:lang w:val="fr-FR"/>
        </w:rPr>
        <w:t>a législation nationale,</w:t>
      </w:r>
      <w:r w:rsidRPr="009216D4">
        <w:rPr>
          <w:lang w:val="fr-FR"/>
        </w:rPr>
        <w:t xml:space="preserve"> </w:t>
      </w:r>
      <w:r w:rsidR="009216D4">
        <w:rPr>
          <w:lang w:val="fr-FR"/>
        </w:rPr>
        <w:t>le détenteur du permis</w:t>
      </w:r>
      <w:r w:rsidRPr="009216D4">
        <w:rPr>
          <w:lang w:val="fr-FR"/>
        </w:rPr>
        <w:t xml:space="preserve">, </w:t>
      </w:r>
      <w:r w:rsidR="009216D4">
        <w:rPr>
          <w:lang w:val="fr-FR"/>
        </w:rPr>
        <w:t>la personne qui a placé l’organisme vivant modifié sur le marché</w:t>
      </w:r>
      <w:r w:rsidRPr="009216D4">
        <w:rPr>
          <w:lang w:val="fr-FR"/>
        </w:rPr>
        <w:t xml:space="preserve">, </w:t>
      </w:r>
      <w:r w:rsidR="004017BC">
        <w:rPr>
          <w:lang w:val="fr-FR"/>
        </w:rPr>
        <w:t>l’entrepren</w:t>
      </w:r>
      <w:r w:rsidR="009216D4">
        <w:rPr>
          <w:lang w:val="fr-FR"/>
        </w:rPr>
        <w:t>eur</w:t>
      </w:r>
      <w:r w:rsidRPr="009216D4">
        <w:rPr>
          <w:lang w:val="fr-FR"/>
        </w:rPr>
        <w:t xml:space="preserve">, </w:t>
      </w:r>
      <w:r w:rsidR="009216D4">
        <w:rPr>
          <w:lang w:val="fr-FR"/>
        </w:rPr>
        <w:t>le producteur</w:t>
      </w:r>
      <w:r w:rsidRPr="009216D4">
        <w:rPr>
          <w:lang w:val="fr-FR"/>
        </w:rPr>
        <w:t xml:space="preserve">, </w:t>
      </w:r>
      <w:r w:rsidR="009216D4">
        <w:rPr>
          <w:lang w:val="fr-FR"/>
        </w:rPr>
        <w:t>le notificateur, l’exportateur</w:t>
      </w:r>
      <w:r w:rsidRPr="009216D4">
        <w:rPr>
          <w:lang w:val="fr-FR"/>
        </w:rPr>
        <w:t xml:space="preserve">, </w:t>
      </w:r>
      <w:r w:rsidR="009216D4">
        <w:rPr>
          <w:lang w:val="fr-FR"/>
        </w:rPr>
        <w:t>l’importateur</w:t>
      </w:r>
      <w:r w:rsidRPr="009216D4">
        <w:rPr>
          <w:lang w:val="fr-FR"/>
        </w:rPr>
        <w:t xml:space="preserve">, </w:t>
      </w:r>
      <w:r w:rsidR="009216D4">
        <w:rPr>
          <w:lang w:val="fr-FR"/>
        </w:rPr>
        <w:t>le transporteur ou le fournisseur</w:t>
      </w:r>
      <w:r w:rsidRPr="009216D4">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866437" w:rsidRDefault="00866437" w:rsidP="009778A2">
        <w:pPr>
          <w:pStyle w:val="Header"/>
          <w:tabs>
            <w:tab w:val="clear" w:pos="4320"/>
            <w:tab w:val="clear" w:pos="8640"/>
          </w:tabs>
          <w:jc w:val="left"/>
          <w:rPr>
            <w:noProof/>
            <w:kern w:val="22"/>
            <w:lang w:val="fr-FR"/>
          </w:rPr>
        </w:pPr>
        <w:r>
          <w:rPr>
            <w:noProof/>
            <w:kern w:val="22"/>
            <w:lang w:val="fr-FR"/>
          </w:rPr>
          <w:t>CBD/CP/MOP/DEC/9/11</w:t>
        </w:r>
      </w:p>
    </w:sdtContent>
  </w:sdt>
  <w:p w:rsidR="00534681" w:rsidRPr="00866437" w:rsidRDefault="00534681" w:rsidP="009778A2">
    <w:pPr>
      <w:pStyle w:val="Header"/>
      <w:tabs>
        <w:tab w:val="clear" w:pos="4320"/>
        <w:tab w:val="clear" w:pos="8640"/>
      </w:tabs>
      <w:jc w:val="left"/>
      <w:rPr>
        <w:noProof/>
        <w:kern w:val="22"/>
        <w:lang w:val="fr-FR"/>
      </w:rPr>
    </w:pPr>
    <w:r w:rsidRPr="00866437">
      <w:rPr>
        <w:noProof/>
        <w:kern w:val="22"/>
        <w:lang w:val="fr-FR"/>
      </w:rPr>
      <w:t xml:space="preserve">Page </w:t>
    </w:r>
    <w:r w:rsidR="005D1FE0" w:rsidRPr="009778A2">
      <w:rPr>
        <w:noProof/>
        <w:kern w:val="22"/>
      </w:rPr>
      <w:fldChar w:fldCharType="begin"/>
    </w:r>
    <w:r w:rsidRPr="00866437">
      <w:rPr>
        <w:noProof/>
        <w:kern w:val="22"/>
        <w:lang w:val="fr-FR"/>
      </w:rPr>
      <w:instrText xml:space="preserve"> PAGE   \* MERGEFORMAT </w:instrText>
    </w:r>
    <w:r w:rsidR="005D1FE0" w:rsidRPr="009778A2">
      <w:rPr>
        <w:noProof/>
        <w:kern w:val="22"/>
      </w:rPr>
      <w:fldChar w:fldCharType="separate"/>
    </w:r>
    <w:r w:rsidR="008B6913">
      <w:rPr>
        <w:noProof/>
        <w:kern w:val="22"/>
        <w:lang w:val="fr-FR"/>
      </w:rPr>
      <w:t>2</w:t>
    </w:r>
    <w:r w:rsidR="005D1FE0" w:rsidRPr="009778A2">
      <w:rPr>
        <w:noProof/>
        <w:kern w:val="22"/>
      </w:rPr>
      <w:fldChar w:fldCharType="end"/>
    </w:r>
  </w:p>
  <w:p w:rsidR="00534681" w:rsidRPr="00866437" w:rsidRDefault="00534681" w:rsidP="009778A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866437" w:rsidRDefault="00866437" w:rsidP="009505C9">
        <w:pPr>
          <w:pStyle w:val="Header"/>
          <w:jc w:val="right"/>
          <w:rPr>
            <w:lang w:val="fr-FR"/>
          </w:rPr>
        </w:pPr>
        <w:r>
          <w:rPr>
            <w:lang w:val="fr-FR"/>
          </w:rPr>
          <w:t>CBD/CP/MOP/DEC/9/11</w:t>
        </w:r>
      </w:p>
    </w:sdtContent>
  </w:sdt>
  <w:p w:rsidR="009505C9" w:rsidRPr="00000614" w:rsidRDefault="009505C9" w:rsidP="009505C9">
    <w:pPr>
      <w:pStyle w:val="Header"/>
      <w:jc w:val="right"/>
      <w:rPr>
        <w:lang w:val="fr-FR"/>
      </w:rPr>
    </w:pPr>
    <w:r w:rsidRPr="00000614">
      <w:rPr>
        <w:lang w:val="fr-FR"/>
      </w:rPr>
      <w:t xml:space="preserve">Page </w:t>
    </w:r>
    <w:r w:rsidR="005D1FE0">
      <w:fldChar w:fldCharType="begin"/>
    </w:r>
    <w:r w:rsidRPr="00000614">
      <w:rPr>
        <w:lang w:val="fr-FR"/>
      </w:rPr>
      <w:instrText xml:space="preserve"> PAGE   \* MERGEFORMAT </w:instrText>
    </w:r>
    <w:r w:rsidR="005D1FE0">
      <w:fldChar w:fldCharType="separate"/>
    </w:r>
    <w:r w:rsidR="009C200D" w:rsidRPr="00000614">
      <w:rPr>
        <w:noProof/>
        <w:lang w:val="fr-FR"/>
      </w:rPr>
      <w:t>1</w:t>
    </w:r>
    <w:r w:rsidR="005D1FE0">
      <w:rPr>
        <w:noProof/>
      </w:rPr>
      <w:fldChar w:fldCharType="end"/>
    </w:r>
  </w:p>
  <w:p w:rsidR="009505C9" w:rsidRPr="00000614" w:rsidRDefault="009505C9">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CB" w:rsidRDefault="00526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7868"/>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6353F4C"/>
    <w:multiLevelType w:val="hybridMultilevel"/>
    <w:tmpl w:val="D6BC742E"/>
    <w:lvl w:ilvl="0" w:tplc="9A427DC8">
      <w:start w:val="1"/>
      <w:numFmt w:val="lowerLetter"/>
      <w:lvlText w:val="%1)"/>
      <w:lvlJc w:val="left"/>
      <w:pPr>
        <w:ind w:left="1004" w:hanging="360"/>
      </w:pPr>
      <w:rPr>
        <w:rFonts w:ascii="Times New Roman" w:eastAsia="Times New Roman" w:hAnsi="Times New Roman" w:cs="Times New Roman"/>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E6D84"/>
    <w:multiLevelType w:val="hybridMultilevel"/>
    <w:tmpl w:val="7D2C9D96"/>
    <w:lvl w:ilvl="0" w:tplc="C458EBAA">
      <w:start w:val="1"/>
      <w:numFmt w:val="lowerLetter"/>
      <w:lvlText w:val="(%1)"/>
      <w:lvlJc w:val="left"/>
      <w:pPr>
        <w:ind w:left="450" w:hanging="36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A905C9D"/>
    <w:multiLevelType w:val="hybridMultilevel"/>
    <w:tmpl w:val="B3E2770A"/>
    <w:lvl w:ilvl="0" w:tplc="0C0C0017">
      <w:start w:val="1"/>
      <w:numFmt w:val="lowerLetter"/>
      <w:lvlText w:val="%1)"/>
      <w:lvlJc w:val="left"/>
      <w:pPr>
        <w:ind w:left="1004" w:hanging="360"/>
      </w:pPr>
      <w:rPr>
        <w:i w:val="0"/>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0"/>
  </w:num>
  <w:num w:numId="5">
    <w:abstractNumId w:val="9"/>
  </w:num>
  <w:num w:numId="6">
    <w:abstractNumId w:val="2"/>
  </w:num>
  <w:num w:numId="7">
    <w:abstractNumId w:val="5"/>
  </w:num>
  <w:num w:numId="8">
    <w:abstractNumId w:val="8"/>
    <w:lvlOverride w:ilvl="0">
      <w:startOverride w:val="1"/>
    </w:lvlOverride>
  </w:num>
  <w:num w:numId="9">
    <w:abstractNumId w:val="13"/>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2"/>
  </w:num>
  <w:num w:numId="15">
    <w:abstractNumId w:val="11"/>
  </w:num>
  <w:num w:numId="16">
    <w:abstractNumId w:val="3"/>
  </w:num>
  <w:num w:numId="17">
    <w:abstractNumId w:val="14"/>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222AB"/>
    <w:rsid w:val="0002612C"/>
    <w:rsid w:val="0006429F"/>
    <w:rsid w:val="00092F5A"/>
    <w:rsid w:val="000A39C3"/>
    <w:rsid w:val="000D7439"/>
    <w:rsid w:val="000E673A"/>
    <w:rsid w:val="000F74F5"/>
    <w:rsid w:val="00105372"/>
    <w:rsid w:val="00131E7A"/>
    <w:rsid w:val="001372FB"/>
    <w:rsid w:val="0017033D"/>
    <w:rsid w:val="00172AF6"/>
    <w:rsid w:val="00176CEE"/>
    <w:rsid w:val="001C6A8E"/>
    <w:rsid w:val="001D29A9"/>
    <w:rsid w:val="001E11ED"/>
    <w:rsid w:val="00222E89"/>
    <w:rsid w:val="0023007D"/>
    <w:rsid w:val="002D1C4D"/>
    <w:rsid w:val="002D60F7"/>
    <w:rsid w:val="00312E41"/>
    <w:rsid w:val="00317995"/>
    <w:rsid w:val="00364B18"/>
    <w:rsid w:val="00372F74"/>
    <w:rsid w:val="003F7224"/>
    <w:rsid w:val="003F7D89"/>
    <w:rsid w:val="004017BC"/>
    <w:rsid w:val="00403164"/>
    <w:rsid w:val="00405146"/>
    <w:rsid w:val="0042412C"/>
    <w:rsid w:val="00427D21"/>
    <w:rsid w:val="00433DE1"/>
    <w:rsid w:val="004644C2"/>
    <w:rsid w:val="00465427"/>
    <w:rsid w:val="00467F9C"/>
    <w:rsid w:val="00485C44"/>
    <w:rsid w:val="00491591"/>
    <w:rsid w:val="00507F81"/>
    <w:rsid w:val="005263CB"/>
    <w:rsid w:val="00534681"/>
    <w:rsid w:val="005B4066"/>
    <w:rsid w:val="005D1FE0"/>
    <w:rsid w:val="005D5847"/>
    <w:rsid w:val="006122BA"/>
    <w:rsid w:val="0061445E"/>
    <w:rsid w:val="0062456A"/>
    <w:rsid w:val="006A3E08"/>
    <w:rsid w:val="006B2290"/>
    <w:rsid w:val="006B33CC"/>
    <w:rsid w:val="006F04F2"/>
    <w:rsid w:val="006F1189"/>
    <w:rsid w:val="00703AB0"/>
    <w:rsid w:val="00717D88"/>
    <w:rsid w:val="00772D4B"/>
    <w:rsid w:val="007942D3"/>
    <w:rsid w:val="007B6C09"/>
    <w:rsid w:val="007E09DA"/>
    <w:rsid w:val="008178B6"/>
    <w:rsid w:val="008178BE"/>
    <w:rsid w:val="008343C7"/>
    <w:rsid w:val="00846ED9"/>
    <w:rsid w:val="0085112B"/>
    <w:rsid w:val="00865B74"/>
    <w:rsid w:val="00866437"/>
    <w:rsid w:val="008B6913"/>
    <w:rsid w:val="009216D4"/>
    <w:rsid w:val="00930BA1"/>
    <w:rsid w:val="0093169E"/>
    <w:rsid w:val="009505C9"/>
    <w:rsid w:val="009778A2"/>
    <w:rsid w:val="00990B14"/>
    <w:rsid w:val="009931B5"/>
    <w:rsid w:val="009C200D"/>
    <w:rsid w:val="00A14669"/>
    <w:rsid w:val="00A60CA8"/>
    <w:rsid w:val="00B233B6"/>
    <w:rsid w:val="00B3369F"/>
    <w:rsid w:val="00B56B1E"/>
    <w:rsid w:val="00B57AE0"/>
    <w:rsid w:val="00B61FEB"/>
    <w:rsid w:val="00B71132"/>
    <w:rsid w:val="00BA3F02"/>
    <w:rsid w:val="00C01574"/>
    <w:rsid w:val="00C16F7D"/>
    <w:rsid w:val="00C9161D"/>
    <w:rsid w:val="00CF1848"/>
    <w:rsid w:val="00D12044"/>
    <w:rsid w:val="00D20975"/>
    <w:rsid w:val="00D611D4"/>
    <w:rsid w:val="00D6135B"/>
    <w:rsid w:val="00D76A18"/>
    <w:rsid w:val="00DA59AB"/>
    <w:rsid w:val="00DD118C"/>
    <w:rsid w:val="00E36CE6"/>
    <w:rsid w:val="00E66235"/>
    <w:rsid w:val="00E83C24"/>
    <w:rsid w:val="00E9318D"/>
    <w:rsid w:val="00E9443D"/>
    <w:rsid w:val="00EC6412"/>
    <w:rsid w:val="00F47C25"/>
    <w:rsid w:val="00F532DF"/>
    <w:rsid w:val="00F94774"/>
    <w:rsid w:val="00FB17E4"/>
    <w:rsid w:val="00FC53D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9289120-4072-4C69-BC5A-7328083A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17033D"/>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27274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7FDD13691BB4509A21CBD7C83C0BADA"/>
        <w:category>
          <w:name w:val="General"/>
          <w:gallery w:val="placeholder"/>
        </w:category>
        <w:types>
          <w:type w:val="bbPlcHdr"/>
        </w:types>
        <w:behaviors>
          <w:behavior w:val="content"/>
        </w:behaviors>
        <w:guid w:val="{29D897F8-A219-4424-AAFD-F22243999F0B}"/>
      </w:docPartPr>
      <w:docPartBody>
        <w:p w:rsidR="00893B4E" w:rsidRDefault="00CD326E" w:rsidP="00CD326E">
          <w:pPr>
            <w:pStyle w:val="37FDD13691BB4509A21CBD7C83C0BADA"/>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E2216"/>
    <w:rsid w:val="00261E9A"/>
    <w:rsid w:val="002C69B3"/>
    <w:rsid w:val="003C638C"/>
    <w:rsid w:val="00500A2B"/>
    <w:rsid w:val="00506065"/>
    <w:rsid w:val="0058288D"/>
    <w:rsid w:val="006801B3"/>
    <w:rsid w:val="00720F63"/>
    <w:rsid w:val="007F1B76"/>
    <w:rsid w:val="00810A55"/>
    <w:rsid w:val="00833567"/>
    <w:rsid w:val="00893B4E"/>
    <w:rsid w:val="008C6619"/>
    <w:rsid w:val="008D420E"/>
    <w:rsid w:val="0098642F"/>
    <w:rsid w:val="00CD08A5"/>
    <w:rsid w:val="00CD326E"/>
    <w:rsid w:val="00CE6602"/>
    <w:rsid w:val="00D43125"/>
    <w:rsid w:val="00E21AC2"/>
    <w:rsid w:val="00EA2F4B"/>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26E"/>
  </w:style>
  <w:style w:type="paragraph" w:customStyle="1" w:styleId="C444DEE40D7C456B82AF1A09CD132ABF">
    <w:name w:val="C444DEE40D7C456B82AF1A09CD132ABF"/>
    <w:rsid w:val="00CE6602"/>
    <w:pPr>
      <w:spacing w:after="160" w:line="259" w:lineRule="auto"/>
    </w:pPr>
  </w:style>
  <w:style w:type="paragraph" w:customStyle="1" w:styleId="868189CD581F48229EEAF5B82A277936">
    <w:name w:val="868189CD581F48229EEAF5B82A277936"/>
    <w:rsid w:val="000E2216"/>
    <w:pPr>
      <w:spacing w:after="160" w:line="259" w:lineRule="auto"/>
    </w:pPr>
    <w:rPr>
      <w:lang w:val="es-MX" w:eastAsia="es-MX"/>
    </w:rPr>
  </w:style>
  <w:style w:type="paragraph" w:customStyle="1" w:styleId="5A2AB161F6914DCBB54D53353EDFB0E8">
    <w:name w:val="5A2AB161F6914DCBB54D53353EDFB0E8"/>
    <w:rsid w:val="000E2216"/>
    <w:pPr>
      <w:spacing w:after="160" w:line="259" w:lineRule="auto"/>
    </w:pPr>
    <w:rPr>
      <w:lang w:val="es-MX" w:eastAsia="es-MX"/>
    </w:rPr>
  </w:style>
  <w:style w:type="paragraph" w:customStyle="1" w:styleId="37FDD13691BB4509A21CBD7C83C0BADA">
    <w:name w:val="37FDD13691BB4509A21CBD7C83C0BADA"/>
    <w:rsid w:val="00CD326E"/>
    <w:pPr>
      <w:spacing w:after="160" w:line="259" w:lineRule="auto"/>
    </w:pPr>
    <w:rPr>
      <w:lang w:val="en-CA"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EC067B-DEAC-4F64-86EC-A8F3BD59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644</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Unintentional transboundary movements and emergency measures (Article 17)</vt:lpstr>
      <vt:lpstr>Unintentional transboundary movements and emergency measures (Article 17)</vt:lpstr>
    </vt:vector>
  </TitlesOfParts>
  <Company>SCBD</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Unintentional transboundary movements and emergency measures (Article 17)</dc:title>
  <dc:subject>CBD/CP/MOP/DEC/9/11</dc:subject>
  <dc:creator>CP-MOP-09</dc:creator>
  <cp:lastModifiedBy>Finn Kinley</cp:lastModifiedBy>
  <cp:revision>12</cp:revision>
  <dcterms:created xsi:type="dcterms:W3CDTF">2018-11-22T19:22:00Z</dcterms:created>
  <dcterms:modified xsi:type="dcterms:W3CDTF">2019-02-13T23:09:00Z</dcterms:modified>
  <cp:contentStatus>GENERAL</cp:contentStatus>
</cp:coreProperties>
</file>