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bottom w:val="single" w:sz="30" w:space="0" w:color="000000"/>
        </w:tblBorders>
        <w:tblLook w:val="0000" w:firstRow="0" w:lastRow="0" w:firstColumn="0" w:lastColumn="0" w:noHBand="0" w:noVBand="0"/>
      </w:tblPr>
      <w:tblGrid>
        <w:gridCol w:w="1477"/>
        <w:gridCol w:w="1439"/>
        <w:gridCol w:w="2313"/>
        <w:gridCol w:w="1434"/>
        <w:gridCol w:w="2697"/>
      </w:tblGrid>
      <w:tr w:rsidR="00D24274" w:rsidRPr="0054373A" w14:paraId="060D0A89" w14:textId="77777777" w:rsidTr="005330B9">
        <w:tc>
          <w:tcPr>
            <w:tcW w:w="671" w:type="pct"/>
            <w:tcBorders>
              <w:bottom w:val="single" w:sz="12" w:space="0" w:color="000000"/>
            </w:tcBorders>
          </w:tcPr>
          <w:p w14:paraId="7E144358" w14:textId="77777777" w:rsidR="00D24274" w:rsidRPr="0054373A" w:rsidRDefault="00D24274" w:rsidP="005330B9">
            <w:pPr>
              <w:rPr>
                <w:noProof/>
                <w:sz w:val="24"/>
              </w:rPr>
            </w:pPr>
            <w:r w:rsidRPr="0054373A">
              <w:rPr>
                <w:noProof/>
                <w:sz w:val="24"/>
                <w:lang w:val="en-US"/>
              </w:rPr>
              <w:drawing>
                <wp:anchor distT="0" distB="0" distL="114300" distR="114300" simplePos="0" relativeHeight="251660288" behindDoc="0" locked="1" layoutInCell="1" allowOverlap="0" wp14:anchorId="18F022FA" wp14:editId="4F7A8B30">
                  <wp:simplePos x="0" y="0"/>
                  <wp:positionH relativeFrom="column">
                    <wp:posOffset>-3175</wp:posOffset>
                  </wp:positionH>
                  <wp:positionV relativeFrom="page">
                    <wp:posOffset>118745</wp:posOffset>
                  </wp:positionV>
                  <wp:extent cx="752475" cy="588645"/>
                  <wp:effectExtent l="19050" t="19050" r="28575" b="20955"/>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cstate="print">
                            <a:extLst>
                              <a:ext uri="{28A0092B-C50C-407E-A947-70E740481C1C}">
                                <a14:useLocalDpi xmlns:a14="http://schemas.microsoft.com/office/drawing/2010/main" val="0"/>
                              </a:ext>
                            </a:extLst>
                          </a:blip>
                          <a:srcRect l="4492" r="4492"/>
                          <a:stretch>
                            <a:fillRect/>
                          </a:stretch>
                        </pic:blipFill>
                        <pic:spPr bwMode="auto">
                          <a:xfrm>
                            <a:off x="0" y="0"/>
                            <a:ext cx="752475" cy="588645"/>
                          </a:xfrm>
                          <a:prstGeom prst="rect">
                            <a:avLst/>
                          </a:prstGeom>
                          <a:solidFill>
                            <a:srgbClr val="FFFFFF"/>
                          </a:solidFill>
                          <a:ln w="0">
                            <a:solidFill>
                              <a:srgbClr val="FFFFFF"/>
                            </a:solidFill>
                            <a:miter lim="800000"/>
                            <a:headEnd/>
                            <a:tailEnd/>
                          </a:ln>
                        </pic:spPr>
                      </pic:pic>
                    </a:graphicData>
                  </a:graphic>
                </wp:anchor>
              </w:drawing>
            </w:r>
          </w:p>
        </w:tc>
        <w:tc>
          <w:tcPr>
            <w:tcW w:w="794" w:type="pct"/>
            <w:tcBorders>
              <w:bottom w:val="single" w:sz="12" w:space="0" w:color="000000"/>
            </w:tcBorders>
          </w:tcPr>
          <w:p w14:paraId="6A687BC8" w14:textId="77777777" w:rsidR="00D24274" w:rsidRPr="0054373A" w:rsidRDefault="00D24274" w:rsidP="005330B9">
            <w:pPr>
              <w:rPr>
                <w:sz w:val="24"/>
              </w:rPr>
            </w:pPr>
            <w:r w:rsidRPr="0054373A">
              <w:rPr>
                <w:noProof/>
                <w:sz w:val="24"/>
                <w:lang w:val="en-US"/>
              </w:rPr>
              <w:drawing>
                <wp:anchor distT="0" distB="0" distL="114300" distR="114300" simplePos="0" relativeHeight="251659264" behindDoc="0" locked="1" layoutInCell="1" allowOverlap="0" wp14:anchorId="2B3A9D63" wp14:editId="02B4967E">
                  <wp:simplePos x="0" y="0"/>
                  <wp:positionH relativeFrom="column">
                    <wp:posOffset>1905</wp:posOffset>
                  </wp:positionH>
                  <wp:positionV relativeFrom="page">
                    <wp:posOffset>166370</wp:posOffset>
                  </wp:positionV>
                  <wp:extent cx="485775" cy="541655"/>
                  <wp:effectExtent l="19050" t="19050" r="28575" b="10795"/>
                  <wp:wrapSquare wrapText="bothSides"/>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41655"/>
                          </a:xfrm>
                          <a:prstGeom prst="rect">
                            <a:avLst/>
                          </a:prstGeom>
                          <a:solidFill>
                            <a:srgbClr val="FFFFFF"/>
                          </a:solidFill>
                          <a:ln w="0">
                            <a:solidFill>
                              <a:srgbClr val="FFFFFF"/>
                            </a:solidFill>
                            <a:miter lim="800000"/>
                            <a:headEnd/>
                            <a:tailEnd/>
                          </a:ln>
                        </pic:spPr>
                      </pic:pic>
                    </a:graphicData>
                  </a:graphic>
                </wp:anchor>
              </w:drawing>
            </w:r>
          </w:p>
        </w:tc>
        <w:tc>
          <w:tcPr>
            <w:tcW w:w="3536" w:type="pct"/>
            <w:gridSpan w:val="3"/>
            <w:tcBorders>
              <w:bottom w:val="single" w:sz="12" w:space="0" w:color="000000"/>
            </w:tcBorders>
          </w:tcPr>
          <w:p w14:paraId="45618863" w14:textId="77777777" w:rsidR="00D24274" w:rsidRPr="004B3551" w:rsidRDefault="00D24274" w:rsidP="005330B9">
            <w:pPr>
              <w:pStyle w:val="Heading8"/>
              <w:spacing w:beforeLines="30" w:before="72"/>
              <w:rPr>
                <w:rFonts w:ascii="Arial" w:hAnsi="Arial"/>
                <w:b w:val="0"/>
              </w:rPr>
            </w:pPr>
            <w:r w:rsidRPr="004B3551">
              <w:rPr>
                <w:rFonts w:ascii="Arial" w:hAnsi="Arial"/>
              </w:rPr>
              <w:t>CBD</w:t>
            </w:r>
          </w:p>
          <w:p w14:paraId="49BA2AE9" w14:textId="77777777" w:rsidR="00D24274" w:rsidRPr="00D24274" w:rsidRDefault="00D24274" w:rsidP="005330B9">
            <w:pPr>
              <w:jc w:val="right"/>
              <w:rPr>
                <w:b/>
                <w:sz w:val="18"/>
              </w:rPr>
            </w:pPr>
          </w:p>
        </w:tc>
      </w:tr>
      <w:tr w:rsidR="00D24274" w:rsidRPr="0054373A" w14:paraId="74084392" w14:textId="77777777" w:rsidTr="005330B9">
        <w:trPr>
          <w:trHeight w:val="1693"/>
        </w:trPr>
        <w:tc>
          <w:tcPr>
            <w:tcW w:w="2742" w:type="pct"/>
            <w:gridSpan w:val="3"/>
          </w:tcPr>
          <w:p w14:paraId="3D59CDBC" w14:textId="77777777" w:rsidR="00D24274" w:rsidRPr="0054373A" w:rsidRDefault="00D24274" w:rsidP="005330B9">
            <w:pPr>
              <w:rPr>
                <w:sz w:val="24"/>
              </w:rPr>
            </w:pPr>
          </w:p>
          <w:p w14:paraId="39368654" w14:textId="77777777" w:rsidR="00D24274" w:rsidRPr="0054373A" w:rsidRDefault="00D24274" w:rsidP="005330B9">
            <w:pPr>
              <w:rPr>
                <w:b/>
                <w:sz w:val="24"/>
              </w:rPr>
            </w:pPr>
            <w:r w:rsidRPr="0054373A">
              <w:rPr>
                <w:b/>
                <w:noProof/>
                <w:sz w:val="24"/>
                <w:lang w:val="en-US"/>
              </w:rPr>
              <w:drawing>
                <wp:inline distT="0" distB="0" distL="0" distR="0" wp14:anchorId="64FE03BD" wp14:editId="7FE24AB1">
                  <wp:extent cx="3017520" cy="1188720"/>
                  <wp:effectExtent l="0" t="0" r="0" b="0"/>
                  <wp:docPr id="4" name="Picture 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ch-CMYK-black [Conver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7520" cy="1188720"/>
                          </a:xfrm>
                          <a:prstGeom prst="rect">
                            <a:avLst/>
                          </a:prstGeom>
                          <a:noFill/>
                          <a:ln>
                            <a:noFill/>
                          </a:ln>
                        </pic:spPr>
                      </pic:pic>
                    </a:graphicData>
                  </a:graphic>
                </wp:inline>
              </w:drawing>
            </w:r>
          </w:p>
          <w:p w14:paraId="7BCC26F8" w14:textId="77777777" w:rsidR="00D24274" w:rsidRPr="0054373A" w:rsidRDefault="00D24274" w:rsidP="005330B9">
            <w:pPr>
              <w:rPr>
                <w:b/>
                <w:sz w:val="24"/>
              </w:rPr>
            </w:pPr>
          </w:p>
        </w:tc>
        <w:tc>
          <w:tcPr>
            <w:tcW w:w="847" w:type="pct"/>
          </w:tcPr>
          <w:p w14:paraId="61FFEBDB" w14:textId="77777777" w:rsidR="00D24274" w:rsidRPr="0054373A" w:rsidRDefault="00D24274" w:rsidP="005330B9">
            <w:pPr>
              <w:rPr>
                <w:sz w:val="24"/>
              </w:rPr>
            </w:pPr>
          </w:p>
        </w:tc>
        <w:tc>
          <w:tcPr>
            <w:tcW w:w="1410" w:type="pct"/>
          </w:tcPr>
          <w:p w14:paraId="320822D3" w14:textId="77777777" w:rsidR="00D24274" w:rsidRPr="0054373A" w:rsidRDefault="00D24274" w:rsidP="005330B9">
            <w:pPr>
              <w:spacing w:before="120"/>
              <w:rPr>
                <w:sz w:val="24"/>
              </w:rPr>
            </w:pPr>
            <w:r w:rsidRPr="0054373A">
              <w:rPr>
                <w:sz w:val="24"/>
              </w:rPr>
              <w:t>Distr.</w:t>
            </w:r>
          </w:p>
          <w:p w14:paraId="7D2CD290" w14:textId="57BC565A" w:rsidR="00D24274" w:rsidRPr="0054373A" w:rsidRDefault="00E83E3E" w:rsidP="005330B9">
            <w:pPr>
              <w:rPr>
                <w:sz w:val="24"/>
              </w:rPr>
            </w:pPr>
            <w:r>
              <w:rPr>
                <w:sz w:val="24"/>
              </w:rPr>
              <w:t>GENERAL</w:t>
            </w:r>
          </w:p>
          <w:p w14:paraId="3B96DD51" w14:textId="77777777" w:rsidR="00D24274" w:rsidRPr="0054373A" w:rsidRDefault="00D24274" w:rsidP="005330B9">
            <w:pPr>
              <w:rPr>
                <w:sz w:val="24"/>
              </w:rPr>
            </w:pPr>
          </w:p>
          <w:p w14:paraId="25B541C5" w14:textId="7B744050" w:rsidR="00D24274" w:rsidRPr="0054373A" w:rsidRDefault="00D24274" w:rsidP="005330B9">
            <w:pPr>
              <w:overflowPunct w:val="0"/>
              <w:autoSpaceDE w:val="0"/>
              <w:autoSpaceDN w:val="0"/>
              <w:adjustRightInd w:val="0"/>
              <w:rPr>
                <w:sz w:val="24"/>
              </w:rPr>
            </w:pPr>
            <w:r>
              <w:rPr>
                <w:sz w:val="24"/>
              </w:rPr>
              <w:t>CBD/CP</w:t>
            </w:r>
            <w:r w:rsidR="00E83E3E">
              <w:rPr>
                <w:sz w:val="24"/>
              </w:rPr>
              <w:t>/</w:t>
            </w:r>
            <w:r w:rsidRPr="0054373A">
              <w:rPr>
                <w:sz w:val="24"/>
              </w:rPr>
              <w:t>MOP/</w:t>
            </w:r>
            <w:r w:rsidR="00E83E3E">
              <w:rPr>
                <w:sz w:val="24"/>
              </w:rPr>
              <w:t>DEC/</w:t>
            </w:r>
            <w:r w:rsidRPr="0054373A">
              <w:rPr>
                <w:rFonts w:hint="eastAsia"/>
                <w:sz w:val="24"/>
              </w:rPr>
              <w:t>9</w:t>
            </w:r>
            <w:r>
              <w:rPr>
                <w:sz w:val="24"/>
              </w:rPr>
              <w:t>/</w:t>
            </w:r>
            <w:r w:rsidR="00262EA8">
              <w:rPr>
                <w:sz w:val="24"/>
              </w:rPr>
              <w:t>12</w:t>
            </w:r>
          </w:p>
          <w:p w14:paraId="35A8F823" w14:textId="36980853" w:rsidR="00D24274" w:rsidRPr="0054373A" w:rsidRDefault="00E83E3E" w:rsidP="005330B9">
            <w:pPr>
              <w:overflowPunct w:val="0"/>
              <w:autoSpaceDE w:val="0"/>
              <w:autoSpaceDN w:val="0"/>
              <w:adjustRightInd w:val="0"/>
              <w:rPr>
                <w:sz w:val="24"/>
              </w:rPr>
            </w:pPr>
            <w:r>
              <w:rPr>
                <w:sz w:val="24"/>
              </w:rPr>
              <w:t>30</w:t>
            </w:r>
            <w:r w:rsidR="00D24274">
              <w:rPr>
                <w:sz w:val="24"/>
              </w:rPr>
              <w:t xml:space="preserve"> Nov</w:t>
            </w:r>
            <w:r w:rsidR="00D24274" w:rsidRPr="0054373A">
              <w:rPr>
                <w:sz w:val="24"/>
              </w:rPr>
              <w:t>ember 20</w:t>
            </w:r>
            <w:r w:rsidR="00D24274" w:rsidRPr="0054373A">
              <w:rPr>
                <w:rFonts w:hint="eastAsia"/>
                <w:sz w:val="24"/>
              </w:rPr>
              <w:t>1</w:t>
            </w:r>
            <w:r w:rsidR="00D24274" w:rsidRPr="0054373A">
              <w:rPr>
                <w:sz w:val="24"/>
              </w:rPr>
              <w:t>8</w:t>
            </w:r>
          </w:p>
          <w:p w14:paraId="2E441AD3" w14:textId="77777777" w:rsidR="00D24274" w:rsidRPr="0054373A" w:rsidRDefault="00D24274" w:rsidP="005330B9">
            <w:pPr>
              <w:rPr>
                <w:sz w:val="24"/>
              </w:rPr>
            </w:pPr>
          </w:p>
          <w:p w14:paraId="05C5EEC4" w14:textId="77777777" w:rsidR="00D24274" w:rsidRPr="0054373A" w:rsidRDefault="00D24274" w:rsidP="005330B9">
            <w:pPr>
              <w:rPr>
                <w:sz w:val="24"/>
              </w:rPr>
            </w:pPr>
            <w:r w:rsidRPr="0054373A">
              <w:rPr>
                <w:rFonts w:hint="eastAsia"/>
                <w:sz w:val="24"/>
              </w:rPr>
              <w:t>CHINESE</w:t>
            </w:r>
          </w:p>
          <w:p w14:paraId="15658E14" w14:textId="77777777" w:rsidR="00D24274" w:rsidRPr="0054373A" w:rsidRDefault="00D24274" w:rsidP="005330B9">
            <w:pPr>
              <w:rPr>
                <w:rFonts w:ascii="Courier New" w:hAnsi="Courier New"/>
                <w:sz w:val="24"/>
              </w:rPr>
            </w:pPr>
            <w:r w:rsidRPr="0054373A">
              <w:rPr>
                <w:sz w:val="24"/>
              </w:rPr>
              <w:t>ORIGINAL: ENGLISH</w:t>
            </w:r>
          </w:p>
        </w:tc>
      </w:tr>
    </w:tbl>
    <w:p w14:paraId="078AD15D" w14:textId="77777777" w:rsidR="00E83E3E" w:rsidRDefault="00D24274" w:rsidP="00AE7242">
      <w:pPr>
        <w:spacing w:before="60"/>
        <w:ind w:right="4406"/>
        <w:jc w:val="left"/>
        <w:rPr>
          <w:rFonts w:hAnsi="SimSun"/>
          <w:color w:val="000000"/>
          <w:kern w:val="20"/>
          <w:sz w:val="24"/>
          <w:lang w:bidi="th-TH"/>
        </w:rPr>
      </w:pPr>
      <w:r w:rsidRPr="0099685E">
        <w:rPr>
          <w:rFonts w:hAnsi="SimSun" w:hint="eastAsia"/>
          <w:sz w:val="24"/>
          <w:lang w:bidi="th-TH"/>
        </w:rPr>
        <w:t>作为</w:t>
      </w:r>
      <w:r w:rsidRPr="0099685E">
        <w:rPr>
          <w:rFonts w:hAnsi="SimSun" w:hint="eastAsia"/>
          <w:color w:val="000000"/>
          <w:kern w:val="20"/>
          <w:sz w:val="24"/>
          <w:lang w:bidi="th-TH"/>
        </w:rPr>
        <w:t>卡塔赫纳生物安全议定书缔约方会议</w:t>
      </w:r>
      <w:r>
        <w:rPr>
          <w:rFonts w:hAnsi="SimSun" w:hint="eastAsia"/>
          <w:color w:val="000000"/>
          <w:kern w:val="20"/>
          <w:sz w:val="24"/>
          <w:lang w:bidi="th-TH"/>
        </w:rPr>
        <w:t>的</w:t>
      </w:r>
    </w:p>
    <w:p w14:paraId="7C151B9E" w14:textId="0445DF0E" w:rsidR="00AE7242" w:rsidRPr="003F4094" w:rsidRDefault="00AE7242" w:rsidP="00AE7242">
      <w:pPr>
        <w:spacing w:before="60"/>
        <w:ind w:right="4406"/>
        <w:jc w:val="left"/>
        <w:rPr>
          <w:rFonts w:cs="Times New Roman"/>
          <w:color w:val="000000"/>
          <w:kern w:val="20"/>
          <w:sz w:val="24"/>
        </w:rPr>
      </w:pPr>
      <w:r w:rsidRPr="003F4094">
        <w:rPr>
          <w:rFonts w:cs="Times New Roman"/>
          <w:color w:val="000000"/>
          <w:kern w:val="20"/>
          <w:sz w:val="24"/>
        </w:rPr>
        <w:t>生物多样性公约缔约方大会</w:t>
      </w:r>
    </w:p>
    <w:p w14:paraId="50D165AC" w14:textId="77777777" w:rsidR="00AE7242" w:rsidRPr="003F4094" w:rsidRDefault="003E5D69" w:rsidP="00AE7242">
      <w:pPr>
        <w:ind w:left="284" w:right="4398" w:hanging="284"/>
        <w:jc w:val="left"/>
        <w:rPr>
          <w:rFonts w:eastAsia="Malgun Gothic" w:cs="Times New Roman"/>
          <w:sz w:val="24"/>
        </w:rPr>
      </w:pPr>
      <w:r w:rsidRPr="003F4094">
        <w:rPr>
          <w:rFonts w:cs="Times New Roman"/>
          <w:sz w:val="24"/>
        </w:rPr>
        <w:t>第九</w:t>
      </w:r>
      <w:r w:rsidR="00AE7242" w:rsidRPr="003F4094">
        <w:rPr>
          <w:rFonts w:cs="Times New Roman"/>
          <w:sz w:val="24"/>
        </w:rPr>
        <w:t>次会议</w:t>
      </w:r>
    </w:p>
    <w:p w14:paraId="0C365945" w14:textId="77777777" w:rsidR="003E5D69" w:rsidRPr="003F4094" w:rsidRDefault="003E5D69" w:rsidP="003E5D69">
      <w:pPr>
        <w:pStyle w:val="Cornernotation"/>
        <w:ind w:left="230" w:right="3168" w:hanging="230"/>
        <w:rPr>
          <w:rFonts w:cs="Times New Roman"/>
          <w:bCs/>
          <w:iCs/>
          <w:sz w:val="24"/>
        </w:rPr>
      </w:pPr>
      <w:r w:rsidRPr="003F4094">
        <w:rPr>
          <w:rFonts w:cs="Times New Roman"/>
          <w:bCs/>
          <w:iCs/>
          <w:sz w:val="24"/>
        </w:rPr>
        <w:t>2018</w:t>
      </w:r>
      <w:r w:rsidRPr="003F4094">
        <w:rPr>
          <w:rFonts w:cs="Times New Roman"/>
          <w:bCs/>
          <w:iCs/>
          <w:sz w:val="24"/>
        </w:rPr>
        <w:t>年</w:t>
      </w:r>
      <w:r w:rsidRPr="003F4094">
        <w:rPr>
          <w:rFonts w:cs="Times New Roman"/>
          <w:bCs/>
          <w:iCs/>
          <w:sz w:val="24"/>
        </w:rPr>
        <w:t>11</w:t>
      </w:r>
      <w:r w:rsidRPr="003F4094">
        <w:rPr>
          <w:rFonts w:cs="Times New Roman"/>
          <w:bCs/>
          <w:iCs/>
          <w:sz w:val="24"/>
        </w:rPr>
        <w:t>月</w:t>
      </w:r>
      <w:r w:rsidRPr="003F4094">
        <w:rPr>
          <w:rFonts w:cs="Times New Roman"/>
          <w:bCs/>
          <w:iCs/>
          <w:sz w:val="24"/>
        </w:rPr>
        <w:t>17</w:t>
      </w:r>
      <w:r w:rsidRPr="003F4094">
        <w:rPr>
          <w:rFonts w:cs="Times New Roman"/>
          <w:bCs/>
          <w:iCs/>
          <w:sz w:val="24"/>
        </w:rPr>
        <w:t>日至</w:t>
      </w:r>
      <w:r w:rsidRPr="003F4094">
        <w:rPr>
          <w:rFonts w:cs="Times New Roman"/>
          <w:bCs/>
          <w:iCs/>
          <w:sz w:val="24"/>
        </w:rPr>
        <w:t>29</w:t>
      </w:r>
      <w:r w:rsidRPr="003F4094">
        <w:rPr>
          <w:rFonts w:cs="Times New Roman"/>
          <w:bCs/>
          <w:iCs/>
          <w:sz w:val="24"/>
        </w:rPr>
        <w:t>日，埃及沙姆沙伊赫</w:t>
      </w:r>
    </w:p>
    <w:p w14:paraId="1C0B611E" w14:textId="77777777" w:rsidR="00666863" w:rsidRPr="003F4094" w:rsidRDefault="00666863">
      <w:pPr>
        <w:pStyle w:val="Cornernotation"/>
        <w:ind w:right="3548"/>
        <w:rPr>
          <w:rFonts w:cs="Times New Roman"/>
          <w:kern w:val="22"/>
        </w:rPr>
      </w:pPr>
      <w:r w:rsidRPr="003F4094">
        <w:rPr>
          <w:rFonts w:cs="Times New Roman"/>
          <w:noProof/>
          <w:sz w:val="24"/>
        </w:rPr>
        <w:t>议程项目</w:t>
      </w:r>
      <w:r w:rsidR="0082638D" w:rsidRPr="003F4094">
        <w:rPr>
          <w:rFonts w:cs="Times New Roman"/>
          <w:noProof/>
          <w:sz w:val="24"/>
        </w:rPr>
        <w:t>17</w:t>
      </w:r>
    </w:p>
    <w:p w14:paraId="10E34E5B" w14:textId="7EA24B7A" w:rsidR="00E83E3E" w:rsidRDefault="00E83E3E" w:rsidP="000A458A">
      <w:pPr>
        <w:pStyle w:val="Heading1"/>
        <w:spacing w:before="120"/>
        <w:rPr>
          <w:rFonts w:eastAsia="SimHei" w:hAnsi="SimHei" w:cs="Times New Roman"/>
          <w:b w:val="0"/>
          <w:noProof/>
          <w:kern w:val="22"/>
          <w:sz w:val="28"/>
        </w:rPr>
      </w:pPr>
      <w:r>
        <w:rPr>
          <w:rFonts w:eastAsia="SimHei" w:hAnsi="SimHei" w:cs="Times New Roman" w:hint="eastAsia"/>
          <w:b w:val="0"/>
          <w:noProof/>
          <w:kern w:val="22"/>
          <w:sz w:val="28"/>
        </w:rPr>
        <w:t>卡塔赫纳生物安全议定书缔约方通过的决定</w:t>
      </w:r>
    </w:p>
    <w:p w14:paraId="7B998673" w14:textId="605B040A" w:rsidR="00666863" w:rsidRPr="00E83E3E" w:rsidRDefault="00E83E3E" w:rsidP="00511E76">
      <w:pPr>
        <w:pStyle w:val="Heading1"/>
        <w:spacing w:before="120"/>
        <w:rPr>
          <w:rFonts w:eastAsiaTheme="minorEastAsia" w:cs="Times New Roman"/>
          <w:kern w:val="22"/>
          <w:sz w:val="24"/>
        </w:rPr>
      </w:pPr>
      <w:r w:rsidRPr="00E83E3E">
        <w:rPr>
          <w:rFonts w:eastAsiaTheme="minorEastAsia" w:hAnsi="SimHei" w:cs="Times New Roman" w:hint="eastAsia"/>
          <w:noProof/>
          <w:kern w:val="22"/>
          <w:sz w:val="24"/>
        </w:rPr>
        <w:t>9</w:t>
      </w:r>
      <w:r w:rsidRPr="00E83E3E">
        <w:rPr>
          <w:rFonts w:eastAsiaTheme="minorEastAsia" w:hAnsi="SimHei" w:cs="Times New Roman"/>
          <w:noProof/>
          <w:kern w:val="22"/>
          <w:sz w:val="24"/>
        </w:rPr>
        <w:t xml:space="preserve">/12.  </w:t>
      </w:r>
      <w:r w:rsidR="0082638D" w:rsidRPr="00E83E3E">
        <w:rPr>
          <w:rFonts w:eastAsiaTheme="minorEastAsia" w:hAnsi="SimHei" w:cs="Times New Roman"/>
          <w:noProof/>
          <w:kern w:val="22"/>
          <w:sz w:val="24"/>
        </w:rPr>
        <w:t>改性活生物体的过境和封闭使用（第</w:t>
      </w:r>
      <w:r w:rsidR="0082638D" w:rsidRPr="00E83E3E">
        <w:rPr>
          <w:rFonts w:eastAsiaTheme="minorEastAsia" w:cs="Times New Roman"/>
          <w:noProof/>
          <w:kern w:val="22"/>
          <w:sz w:val="24"/>
        </w:rPr>
        <w:t>6</w:t>
      </w:r>
      <w:r w:rsidR="0082638D" w:rsidRPr="00E83E3E">
        <w:rPr>
          <w:rFonts w:eastAsiaTheme="minorEastAsia" w:hAnsi="SimHei" w:cs="Times New Roman"/>
          <w:noProof/>
          <w:kern w:val="22"/>
          <w:sz w:val="24"/>
        </w:rPr>
        <w:t>条）</w:t>
      </w:r>
    </w:p>
    <w:p w14:paraId="4DDE45B9" w14:textId="738E95E1" w:rsidR="0082638D" w:rsidRPr="003F4094" w:rsidRDefault="0082638D" w:rsidP="004F1B63">
      <w:pPr>
        <w:shd w:val="clear" w:color="auto" w:fill="FFFFFF" w:themeFill="background1"/>
        <w:adjustRightInd w:val="0"/>
        <w:snapToGrid w:val="0"/>
        <w:spacing w:before="120" w:after="120" w:line="240" w:lineRule="atLeast"/>
        <w:ind w:firstLine="490"/>
        <w:jc w:val="left"/>
        <w:rPr>
          <w:rFonts w:eastAsia="KaiTi" w:cs="Times New Roman"/>
          <w:kern w:val="22"/>
          <w:sz w:val="24"/>
        </w:rPr>
      </w:pPr>
      <w:bookmarkStart w:id="0" w:name="_Toc527468714"/>
      <w:bookmarkStart w:id="1" w:name="_Ref314474052"/>
      <w:r w:rsidRPr="003F4094">
        <w:rPr>
          <w:rFonts w:eastAsia="KaiTi" w:hAnsi="KaiTi" w:cs="Times New Roman"/>
          <w:kern w:val="22"/>
          <w:sz w:val="24"/>
        </w:rPr>
        <w:t>作为卡塔赫纳生物安全议定书缔约方会议的缔约方大会，</w:t>
      </w:r>
    </w:p>
    <w:bookmarkEnd w:id="0"/>
    <w:p w14:paraId="6325A6AB" w14:textId="695C257D" w:rsidR="0082638D" w:rsidRPr="00D24274" w:rsidRDefault="003F4094" w:rsidP="004F1B63">
      <w:pPr>
        <w:adjustRightInd w:val="0"/>
        <w:snapToGrid w:val="0"/>
        <w:spacing w:before="120" w:after="120" w:line="240" w:lineRule="atLeast"/>
        <w:ind w:firstLine="490"/>
        <w:jc w:val="left"/>
        <w:rPr>
          <w:rFonts w:eastAsiaTheme="minorEastAsia" w:cs="Times New Roman"/>
          <w:sz w:val="24"/>
        </w:rPr>
      </w:pPr>
      <w:r w:rsidRPr="00D24274">
        <w:rPr>
          <w:rFonts w:eastAsia="KaiTi" w:hAnsi="KaiTi" w:cs="Times New Roman"/>
          <w:kern w:val="22"/>
          <w:sz w:val="24"/>
        </w:rPr>
        <w:t>回顾</w:t>
      </w:r>
      <w:r w:rsidR="00D24274" w:rsidRPr="00D24274">
        <w:rPr>
          <w:rFonts w:eastAsiaTheme="minorEastAsia" w:cs="Times New Roman" w:hint="eastAsia"/>
          <w:sz w:val="24"/>
        </w:rPr>
        <w:t>第</w:t>
      </w:r>
      <w:hyperlink r:id="rId11" w:history="1">
        <w:r w:rsidR="0082638D" w:rsidRPr="00E83E3E">
          <w:rPr>
            <w:rStyle w:val="Hyperlink"/>
            <w:rFonts w:eastAsiaTheme="minorEastAsia"/>
            <w:sz w:val="24"/>
          </w:rPr>
          <w:t>BS-V</w:t>
        </w:r>
        <w:r w:rsidR="0082638D" w:rsidRPr="00E83E3E">
          <w:rPr>
            <w:rStyle w:val="Hyperlink"/>
            <w:rFonts w:eastAsiaTheme="minorEastAsia"/>
            <w:sz w:val="24"/>
          </w:rPr>
          <w:t>/</w:t>
        </w:r>
        <w:r w:rsidR="0082638D" w:rsidRPr="00E83E3E">
          <w:rPr>
            <w:rStyle w:val="Hyperlink"/>
            <w:rFonts w:eastAsiaTheme="minorEastAsia"/>
            <w:sz w:val="24"/>
          </w:rPr>
          <w:t>2</w:t>
        </w:r>
      </w:hyperlink>
      <w:bookmarkStart w:id="2" w:name="_GoBack"/>
      <w:bookmarkEnd w:id="2"/>
      <w:proofErr w:type="gramStart"/>
      <w:r w:rsidRPr="00D24274">
        <w:rPr>
          <w:rFonts w:eastAsiaTheme="minorEastAsia" w:cs="Times New Roman"/>
          <w:sz w:val="24"/>
        </w:rPr>
        <w:t>号决定</w:t>
      </w:r>
      <w:proofErr w:type="gramEnd"/>
      <w:r w:rsidRPr="00D24274">
        <w:rPr>
          <w:rFonts w:eastAsiaTheme="minorEastAsia" w:cs="Times New Roman"/>
          <w:sz w:val="24"/>
        </w:rPr>
        <w:t>第</w:t>
      </w:r>
      <w:r w:rsidR="0082638D" w:rsidRPr="00D24274">
        <w:rPr>
          <w:rFonts w:eastAsiaTheme="minorEastAsia" w:cs="Times New Roman"/>
          <w:sz w:val="24"/>
        </w:rPr>
        <w:t>1(a)</w:t>
      </w:r>
      <w:r w:rsidRPr="00D24274">
        <w:rPr>
          <w:rFonts w:eastAsiaTheme="minorEastAsia" w:cs="Times New Roman"/>
          <w:sz w:val="24"/>
        </w:rPr>
        <w:t>段和</w:t>
      </w:r>
      <w:hyperlink r:id="rId12" w:history="1">
        <w:r w:rsidR="0082638D" w:rsidRPr="00E83E3E">
          <w:rPr>
            <w:rStyle w:val="Hyperlink"/>
            <w:rFonts w:eastAsiaTheme="minorEastAsia"/>
            <w:sz w:val="24"/>
          </w:rPr>
          <w:t>BS-V</w:t>
        </w:r>
        <w:r w:rsidR="0082638D" w:rsidRPr="00E83E3E">
          <w:rPr>
            <w:rStyle w:val="Hyperlink"/>
            <w:rFonts w:eastAsiaTheme="minorEastAsia"/>
            <w:sz w:val="24"/>
          </w:rPr>
          <w:t>I</w:t>
        </w:r>
        <w:r w:rsidR="0082638D" w:rsidRPr="00E83E3E">
          <w:rPr>
            <w:rStyle w:val="Hyperlink"/>
            <w:rFonts w:eastAsiaTheme="minorEastAsia"/>
            <w:sz w:val="24"/>
          </w:rPr>
          <w:t>I/2</w:t>
        </w:r>
      </w:hyperlink>
      <w:proofErr w:type="gramStart"/>
      <w:r w:rsidRPr="00D24274">
        <w:rPr>
          <w:rFonts w:eastAsiaTheme="minorEastAsia" w:cs="Times New Roman"/>
          <w:sz w:val="24"/>
        </w:rPr>
        <w:t>号决定</w:t>
      </w:r>
      <w:proofErr w:type="gramEnd"/>
      <w:r w:rsidRPr="00D24274">
        <w:rPr>
          <w:rFonts w:eastAsiaTheme="minorEastAsia" w:cs="Times New Roman"/>
          <w:sz w:val="24"/>
        </w:rPr>
        <w:t>第</w:t>
      </w:r>
      <w:r w:rsidR="0082638D" w:rsidRPr="00D24274">
        <w:rPr>
          <w:rFonts w:eastAsiaTheme="minorEastAsia" w:cs="Times New Roman"/>
          <w:sz w:val="24"/>
        </w:rPr>
        <w:t>2(b)</w:t>
      </w:r>
      <w:r w:rsidRPr="00D24274">
        <w:rPr>
          <w:rFonts w:eastAsiaTheme="minorEastAsia" w:cs="Times New Roman"/>
          <w:sz w:val="24"/>
        </w:rPr>
        <w:t>段，</w:t>
      </w:r>
    </w:p>
    <w:p w14:paraId="3677CD81" w14:textId="63495DA1" w:rsidR="003F4094" w:rsidRPr="00D24274" w:rsidRDefault="00E83E3E" w:rsidP="004F1B63">
      <w:pPr>
        <w:adjustRightInd w:val="0"/>
        <w:snapToGrid w:val="0"/>
        <w:spacing w:before="120" w:after="120" w:line="240" w:lineRule="atLeast"/>
        <w:ind w:firstLine="490"/>
        <w:jc w:val="left"/>
        <w:rPr>
          <w:rFonts w:eastAsiaTheme="minorEastAsia" w:cs="Times New Roman"/>
          <w:sz w:val="24"/>
        </w:rPr>
      </w:pPr>
      <w:r w:rsidRPr="00E83E3E">
        <w:rPr>
          <w:rFonts w:eastAsia="KaiTi" w:hAnsi="KaiTi" w:cs="Times New Roman" w:hint="eastAsia"/>
          <w:kern w:val="22"/>
          <w:sz w:val="24"/>
        </w:rPr>
        <w:t>又</w:t>
      </w:r>
      <w:r w:rsidR="00FE0605" w:rsidRPr="00D24274">
        <w:rPr>
          <w:rFonts w:eastAsia="KaiTi" w:hAnsi="KaiTi" w:cs="Times New Roman"/>
          <w:kern w:val="22"/>
          <w:sz w:val="24"/>
        </w:rPr>
        <w:t>回顾</w:t>
      </w:r>
      <w:r w:rsidR="00D24274" w:rsidRPr="00D24274">
        <w:rPr>
          <w:rFonts w:eastAsiaTheme="minorEastAsia" w:cs="Times New Roman" w:hint="eastAsia"/>
          <w:sz w:val="24"/>
        </w:rPr>
        <w:t>第</w:t>
      </w:r>
      <w:hyperlink r:id="rId13" w:history="1">
        <w:r w:rsidR="00FE0605" w:rsidRPr="004F1B63">
          <w:rPr>
            <w:rStyle w:val="Hyperlink"/>
            <w:rFonts w:eastAsiaTheme="minorEastAsia"/>
            <w:sz w:val="24"/>
          </w:rPr>
          <w:t>CP-V</w:t>
        </w:r>
        <w:r w:rsidR="00FE0605" w:rsidRPr="004F1B63">
          <w:rPr>
            <w:rStyle w:val="Hyperlink"/>
            <w:rFonts w:eastAsiaTheme="minorEastAsia"/>
            <w:sz w:val="24"/>
          </w:rPr>
          <w:t>I</w:t>
        </w:r>
        <w:r w:rsidR="00FE0605" w:rsidRPr="004F1B63">
          <w:rPr>
            <w:rStyle w:val="Hyperlink"/>
            <w:rFonts w:eastAsiaTheme="minorEastAsia"/>
            <w:sz w:val="24"/>
          </w:rPr>
          <w:t>II/17</w:t>
        </w:r>
      </w:hyperlink>
      <w:proofErr w:type="gramStart"/>
      <w:r w:rsidR="00FE0605" w:rsidRPr="00D24274">
        <w:rPr>
          <w:rFonts w:eastAsiaTheme="minorEastAsia" w:cs="Times New Roman"/>
          <w:sz w:val="24"/>
        </w:rPr>
        <w:t>号决定</w:t>
      </w:r>
      <w:proofErr w:type="gramEnd"/>
      <w:r w:rsidR="00FE0605" w:rsidRPr="00D24274">
        <w:rPr>
          <w:rFonts w:eastAsiaTheme="minorEastAsia" w:cs="Times New Roman"/>
          <w:sz w:val="24"/>
        </w:rPr>
        <w:t xml:space="preserve"> </w:t>
      </w:r>
      <w:r w:rsidR="00FE0605" w:rsidRPr="00D24274">
        <w:rPr>
          <w:rFonts w:eastAsiaTheme="minorEastAsia" w:cs="Times New Roman"/>
          <w:sz w:val="24"/>
        </w:rPr>
        <w:t>，</w:t>
      </w:r>
      <w:r w:rsidR="008C2F5F" w:rsidRPr="00D24274">
        <w:rPr>
          <w:rFonts w:eastAsiaTheme="minorEastAsia" w:cs="Times New Roman"/>
          <w:sz w:val="24"/>
        </w:rPr>
        <w:t xml:space="preserve"> </w:t>
      </w:r>
    </w:p>
    <w:p w14:paraId="2D13B078" w14:textId="78ACF358" w:rsidR="0082638D" w:rsidRPr="003F4094" w:rsidRDefault="0082638D" w:rsidP="00E83E3E">
      <w:pPr>
        <w:pStyle w:val="ListParagraph"/>
        <w:numPr>
          <w:ilvl w:val="1"/>
          <w:numId w:val="31"/>
        </w:numPr>
        <w:tabs>
          <w:tab w:val="clear" w:pos="1571"/>
        </w:tabs>
        <w:adjustRightInd w:val="0"/>
        <w:snapToGrid w:val="0"/>
        <w:spacing w:before="120" w:after="120" w:line="240" w:lineRule="atLeast"/>
        <w:ind w:left="0" w:firstLine="490"/>
        <w:contextualSpacing w:val="0"/>
        <w:jc w:val="left"/>
        <w:rPr>
          <w:rFonts w:eastAsiaTheme="minorEastAsia" w:cs="Times New Roman"/>
          <w:sz w:val="24"/>
        </w:rPr>
      </w:pPr>
      <w:r w:rsidRPr="003F4094">
        <w:rPr>
          <w:rFonts w:eastAsia="KaiTi" w:hAnsi="KaiTi" w:cs="Times New Roman"/>
          <w:kern w:val="22"/>
          <w:sz w:val="24"/>
        </w:rPr>
        <w:t>表示注意到</w:t>
      </w:r>
      <w:r w:rsidR="00FE0605" w:rsidRPr="00FE0605">
        <w:rPr>
          <w:rFonts w:eastAsiaTheme="minorEastAsia" w:cs="Times New Roman" w:hint="eastAsia"/>
          <w:sz w:val="24"/>
        </w:rPr>
        <w:t>履约</w:t>
      </w:r>
      <w:r w:rsidRPr="003F4094">
        <w:rPr>
          <w:rFonts w:eastAsiaTheme="minorEastAsia" w:cs="Times New Roman"/>
          <w:sz w:val="24"/>
        </w:rPr>
        <w:t>委员会对缔约方作为封闭使用</w:t>
      </w:r>
      <w:r w:rsidR="00BE5734">
        <w:rPr>
          <w:rFonts w:eastAsiaTheme="minorEastAsia" w:cs="Times New Roman" w:hint="eastAsia"/>
          <w:sz w:val="24"/>
        </w:rPr>
        <w:t>的</w:t>
      </w:r>
      <w:r w:rsidRPr="003F4094">
        <w:rPr>
          <w:rFonts w:eastAsiaTheme="minorEastAsia" w:cs="Times New Roman"/>
          <w:sz w:val="24"/>
        </w:rPr>
        <w:t>决定向生物安全信息交换所提交的信息的</w:t>
      </w:r>
      <w:r w:rsidRPr="004F1B63">
        <w:rPr>
          <w:rFonts w:eastAsiaTheme="minorEastAsia" w:cs="Times New Roman"/>
          <w:sz w:val="24"/>
        </w:rPr>
        <w:t>评估；</w:t>
      </w:r>
      <w:r w:rsidR="00E83E3E" w:rsidRPr="004F1B63">
        <w:rPr>
          <w:rStyle w:val="FootnoteReference"/>
          <w:rFonts w:eastAsiaTheme="minorEastAsia"/>
          <w:sz w:val="24"/>
          <w:u w:val="none"/>
          <w:vertAlign w:val="superscript"/>
        </w:rPr>
        <w:footnoteReference w:id="1"/>
      </w:r>
    </w:p>
    <w:p w14:paraId="6765C6EE" w14:textId="77777777" w:rsidR="0082638D" w:rsidRPr="003F4094" w:rsidRDefault="0082638D" w:rsidP="00E83E3E">
      <w:pPr>
        <w:pStyle w:val="ListParagraph"/>
        <w:numPr>
          <w:ilvl w:val="1"/>
          <w:numId w:val="31"/>
        </w:numPr>
        <w:tabs>
          <w:tab w:val="clear" w:pos="1571"/>
        </w:tabs>
        <w:adjustRightInd w:val="0"/>
        <w:snapToGrid w:val="0"/>
        <w:spacing w:before="120" w:after="120" w:line="240" w:lineRule="atLeast"/>
        <w:ind w:left="0" w:firstLine="490"/>
        <w:contextualSpacing w:val="0"/>
        <w:jc w:val="left"/>
        <w:rPr>
          <w:rFonts w:eastAsiaTheme="minorEastAsia" w:cs="Times New Roman"/>
          <w:sz w:val="24"/>
        </w:rPr>
      </w:pPr>
      <w:r w:rsidRPr="003F4094">
        <w:rPr>
          <w:rFonts w:eastAsia="KaiTi" w:hAnsi="KaiTi" w:cs="Times New Roman"/>
          <w:kern w:val="22"/>
          <w:sz w:val="24"/>
        </w:rPr>
        <w:t>提醒</w:t>
      </w:r>
      <w:r w:rsidRPr="003F4094">
        <w:rPr>
          <w:rFonts w:eastAsiaTheme="minorEastAsia" w:cs="Times New Roman"/>
          <w:sz w:val="24"/>
        </w:rPr>
        <w:t>各缔约方：</w:t>
      </w:r>
    </w:p>
    <w:p w14:paraId="468D8269" w14:textId="5E6A2E17" w:rsidR="00654C69" w:rsidRPr="003F4094" w:rsidRDefault="00654C69" w:rsidP="00E83E3E">
      <w:pPr>
        <w:pStyle w:val="Cornernotation"/>
        <w:numPr>
          <w:ilvl w:val="1"/>
          <w:numId w:val="32"/>
        </w:numPr>
        <w:suppressLineNumbers/>
        <w:suppressAutoHyphens/>
        <w:adjustRightInd w:val="0"/>
        <w:snapToGrid w:val="0"/>
        <w:spacing w:before="120" w:after="120" w:line="240" w:lineRule="atLeast"/>
        <w:ind w:left="0" w:right="0" w:firstLine="490"/>
        <w:jc w:val="both"/>
        <w:rPr>
          <w:rFonts w:eastAsiaTheme="minorEastAsia" w:cs="Times New Roman"/>
          <w:color w:val="000000"/>
          <w:kern w:val="20"/>
          <w:sz w:val="24"/>
        </w:rPr>
      </w:pPr>
      <w:r w:rsidRPr="00654C69">
        <w:rPr>
          <w:rFonts w:eastAsiaTheme="minorEastAsia" w:cs="Times New Roman" w:hint="eastAsia"/>
          <w:color w:val="000000"/>
          <w:kern w:val="20"/>
          <w:sz w:val="24"/>
        </w:rPr>
        <w:t>《议定书》第</w:t>
      </w:r>
      <w:r w:rsidRPr="00654C69">
        <w:rPr>
          <w:rFonts w:eastAsiaTheme="minorEastAsia" w:cs="Times New Roman" w:hint="eastAsia"/>
          <w:color w:val="000000"/>
          <w:kern w:val="20"/>
          <w:sz w:val="24"/>
        </w:rPr>
        <w:t>3</w:t>
      </w:r>
      <w:r w:rsidRPr="00654C69">
        <w:rPr>
          <w:rFonts w:eastAsiaTheme="minorEastAsia" w:cs="Times New Roman" w:hint="eastAsia"/>
          <w:color w:val="000000"/>
          <w:kern w:val="20"/>
          <w:sz w:val="24"/>
        </w:rPr>
        <w:t>条</w:t>
      </w:r>
      <w:r w:rsidRPr="00654C69">
        <w:rPr>
          <w:rFonts w:eastAsiaTheme="minorEastAsia" w:cs="Times New Roman" w:hint="eastAsia"/>
          <w:color w:val="000000"/>
          <w:kern w:val="20"/>
          <w:sz w:val="24"/>
        </w:rPr>
        <w:t>(b)</w:t>
      </w:r>
      <w:r w:rsidRPr="00654C69">
        <w:rPr>
          <w:rFonts w:eastAsiaTheme="minorEastAsia" w:cs="Times New Roman" w:hint="eastAsia"/>
          <w:color w:val="000000"/>
          <w:kern w:val="20"/>
          <w:sz w:val="24"/>
        </w:rPr>
        <w:t>款明确了封闭使用的定义，即“在</w:t>
      </w:r>
      <w:proofErr w:type="gramStart"/>
      <w:r w:rsidRPr="00654C69">
        <w:rPr>
          <w:rFonts w:eastAsiaTheme="minorEastAsia" w:cs="Times New Roman" w:hint="eastAsia"/>
          <w:color w:val="000000"/>
          <w:kern w:val="20"/>
          <w:sz w:val="24"/>
        </w:rPr>
        <w:t>一</w:t>
      </w:r>
      <w:proofErr w:type="gramEnd"/>
      <w:r w:rsidRPr="00654C69">
        <w:rPr>
          <w:rFonts w:eastAsiaTheme="minorEastAsia" w:cs="Times New Roman" w:hint="eastAsia"/>
          <w:color w:val="000000"/>
          <w:kern w:val="20"/>
          <w:sz w:val="24"/>
        </w:rPr>
        <w:t>设施、装置或其他有形结构中进行的涉及改性活生物体的任何操作，且因对所涉改性活生物体采取了特定控制措施而有效地限制了其与外部环境的接触及其对外部环境所产生的影响”；</w:t>
      </w:r>
    </w:p>
    <w:p w14:paraId="3DD0C9D7" w14:textId="078AF385" w:rsidR="0082638D" w:rsidRPr="003F4094" w:rsidRDefault="0082638D" w:rsidP="00E83E3E">
      <w:pPr>
        <w:pStyle w:val="Cornernotation"/>
        <w:numPr>
          <w:ilvl w:val="1"/>
          <w:numId w:val="32"/>
        </w:numPr>
        <w:suppressLineNumbers/>
        <w:suppressAutoHyphens/>
        <w:adjustRightInd w:val="0"/>
        <w:snapToGrid w:val="0"/>
        <w:spacing w:before="120" w:after="120" w:line="240" w:lineRule="atLeast"/>
        <w:ind w:left="0" w:right="0" w:firstLine="490"/>
        <w:jc w:val="both"/>
        <w:rPr>
          <w:rFonts w:eastAsiaTheme="minorEastAsia" w:cs="Times New Roman"/>
          <w:color w:val="000000"/>
          <w:kern w:val="20"/>
          <w:sz w:val="24"/>
        </w:rPr>
      </w:pPr>
      <w:r w:rsidRPr="003F4094">
        <w:rPr>
          <w:rFonts w:eastAsiaTheme="minorEastAsia" w:cs="Times New Roman"/>
          <w:color w:val="000000"/>
          <w:kern w:val="20"/>
          <w:sz w:val="24"/>
        </w:rPr>
        <w:t>有意引入环境可包括为实验或商业目的</w:t>
      </w:r>
      <w:r w:rsidR="00BE5734">
        <w:rPr>
          <w:rFonts w:eastAsiaTheme="minorEastAsia" w:cs="Times New Roman" w:hint="eastAsia"/>
          <w:color w:val="000000"/>
          <w:kern w:val="20"/>
          <w:sz w:val="24"/>
        </w:rPr>
        <w:t>而</w:t>
      </w:r>
      <w:r w:rsidRPr="003F4094">
        <w:rPr>
          <w:rFonts w:eastAsiaTheme="minorEastAsia" w:cs="Times New Roman"/>
          <w:color w:val="000000"/>
          <w:kern w:val="20"/>
          <w:sz w:val="24"/>
        </w:rPr>
        <w:t>引入；</w:t>
      </w:r>
    </w:p>
    <w:p w14:paraId="0DDC12D4" w14:textId="77777777" w:rsidR="0082638D" w:rsidRPr="003F4094" w:rsidRDefault="007E681D" w:rsidP="00E83E3E">
      <w:pPr>
        <w:pStyle w:val="Cornernotation"/>
        <w:numPr>
          <w:ilvl w:val="1"/>
          <w:numId w:val="32"/>
        </w:numPr>
        <w:suppressLineNumbers/>
        <w:suppressAutoHyphens/>
        <w:adjustRightInd w:val="0"/>
        <w:snapToGrid w:val="0"/>
        <w:spacing w:before="120" w:after="120" w:line="240" w:lineRule="atLeast"/>
        <w:ind w:left="0" w:right="0" w:firstLine="490"/>
        <w:jc w:val="both"/>
        <w:rPr>
          <w:rFonts w:eastAsiaTheme="minorEastAsia" w:cs="Times New Roman"/>
          <w:color w:val="000000"/>
          <w:kern w:val="20"/>
          <w:sz w:val="24"/>
        </w:rPr>
      </w:pPr>
      <w:r>
        <w:rPr>
          <w:rFonts w:eastAsiaTheme="minorEastAsia" w:cs="Times New Roman" w:hint="eastAsia"/>
          <w:color w:val="000000"/>
          <w:kern w:val="20"/>
          <w:sz w:val="24"/>
        </w:rPr>
        <w:t>在未满足《议定书》</w:t>
      </w:r>
      <w:r w:rsidRPr="003F4094">
        <w:rPr>
          <w:rFonts w:eastAsiaTheme="minorEastAsia" w:cs="Times New Roman"/>
          <w:color w:val="000000"/>
          <w:kern w:val="20"/>
          <w:sz w:val="24"/>
        </w:rPr>
        <w:t>第</w:t>
      </w:r>
      <w:r w:rsidRPr="003F4094">
        <w:rPr>
          <w:rFonts w:eastAsiaTheme="minorEastAsia" w:cs="Times New Roman"/>
          <w:color w:val="000000"/>
          <w:kern w:val="20"/>
          <w:sz w:val="24"/>
        </w:rPr>
        <w:t>3</w:t>
      </w:r>
      <w:r w:rsidRPr="003F4094">
        <w:rPr>
          <w:rFonts w:eastAsiaTheme="minorEastAsia" w:cs="Times New Roman"/>
          <w:color w:val="000000"/>
          <w:kern w:val="20"/>
          <w:sz w:val="24"/>
        </w:rPr>
        <w:t>条</w:t>
      </w:r>
      <w:r w:rsidRPr="003F4094">
        <w:rPr>
          <w:rFonts w:eastAsiaTheme="minorEastAsia" w:cs="Times New Roman"/>
          <w:color w:val="000000"/>
          <w:kern w:val="20"/>
          <w:sz w:val="24"/>
        </w:rPr>
        <w:t>(b)</w:t>
      </w:r>
      <w:r>
        <w:rPr>
          <w:rFonts w:eastAsiaTheme="minorEastAsia" w:cs="Times New Roman" w:hint="eastAsia"/>
          <w:color w:val="000000"/>
          <w:kern w:val="20"/>
          <w:sz w:val="24"/>
        </w:rPr>
        <w:t>款所规定条件的情况下，</w:t>
      </w:r>
      <w:r w:rsidR="0082638D" w:rsidRPr="003F4094">
        <w:rPr>
          <w:rFonts w:eastAsiaTheme="minorEastAsia" w:cs="Times New Roman"/>
          <w:color w:val="000000"/>
          <w:kern w:val="20"/>
          <w:sz w:val="24"/>
        </w:rPr>
        <w:t>实地试验、限制性实地试验或实验性引入被视为有意引入环境</w:t>
      </w:r>
      <w:r>
        <w:rPr>
          <w:rFonts w:eastAsiaTheme="minorEastAsia" w:cs="Times New Roman" w:hint="eastAsia"/>
          <w:color w:val="000000"/>
          <w:kern w:val="20"/>
          <w:sz w:val="24"/>
        </w:rPr>
        <w:t>；</w:t>
      </w:r>
    </w:p>
    <w:p w14:paraId="4ECAFAB3" w14:textId="77777777" w:rsidR="00FE0605" w:rsidRDefault="007E681D" w:rsidP="00E83E3E">
      <w:pPr>
        <w:pStyle w:val="ListParagraph"/>
        <w:numPr>
          <w:ilvl w:val="1"/>
          <w:numId w:val="31"/>
        </w:numPr>
        <w:tabs>
          <w:tab w:val="clear" w:pos="1571"/>
        </w:tabs>
        <w:adjustRightInd w:val="0"/>
        <w:snapToGrid w:val="0"/>
        <w:spacing w:before="120" w:after="120" w:line="240" w:lineRule="atLeast"/>
        <w:ind w:left="0" w:firstLine="490"/>
        <w:contextualSpacing w:val="0"/>
        <w:jc w:val="left"/>
        <w:rPr>
          <w:rFonts w:eastAsiaTheme="minorEastAsia" w:cs="Times New Roman"/>
          <w:sz w:val="24"/>
        </w:rPr>
      </w:pPr>
      <w:r w:rsidRPr="007E681D">
        <w:rPr>
          <w:rFonts w:eastAsia="KaiTi" w:hAnsi="KaiTi" w:cs="Times New Roman" w:hint="eastAsia"/>
          <w:kern w:val="22"/>
          <w:sz w:val="24"/>
        </w:rPr>
        <w:t>又</w:t>
      </w:r>
      <w:r w:rsidR="00FE0605" w:rsidRPr="007E681D">
        <w:rPr>
          <w:rFonts w:eastAsia="KaiTi" w:hAnsi="KaiTi" w:cs="Times New Roman"/>
          <w:kern w:val="22"/>
          <w:sz w:val="24"/>
        </w:rPr>
        <w:t>提醒</w:t>
      </w:r>
      <w:r w:rsidR="00FE0605" w:rsidRPr="00FE0605">
        <w:rPr>
          <w:rFonts w:eastAsiaTheme="minorEastAsia" w:cs="Times New Roman"/>
          <w:sz w:val="24"/>
        </w:rPr>
        <w:t>各缔约方</w:t>
      </w:r>
      <w:r w:rsidR="00D603DC">
        <w:rPr>
          <w:rFonts w:eastAsiaTheme="minorEastAsia" w:cs="Times New Roman" w:hint="eastAsia"/>
          <w:sz w:val="24"/>
        </w:rPr>
        <w:t>其</w:t>
      </w:r>
      <w:r w:rsidR="00FE0605" w:rsidRPr="00FE0605">
        <w:rPr>
          <w:rFonts w:eastAsiaTheme="minorEastAsia" w:cs="Times New Roman"/>
          <w:sz w:val="24"/>
        </w:rPr>
        <w:t>根据第</w:t>
      </w:r>
      <w:r w:rsidR="00FE0605" w:rsidRPr="003F4094">
        <w:rPr>
          <w:rFonts w:eastAsiaTheme="minorEastAsia" w:cs="Times New Roman"/>
          <w:sz w:val="24"/>
        </w:rPr>
        <w:t>20</w:t>
      </w:r>
      <w:r w:rsidR="00FE0605" w:rsidRPr="003F4094">
        <w:rPr>
          <w:rFonts w:eastAsiaTheme="minorEastAsia" w:cs="Times New Roman"/>
          <w:sz w:val="24"/>
        </w:rPr>
        <w:t>条第</w:t>
      </w:r>
      <w:r w:rsidR="00FE0605" w:rsidRPr="003F4094">
        <w:rPr>
          <w:rFonts w:eastAsiaTheme="minorEastAsia" w:cs="Times New Roman"/>
          <w:sz w:val="24"/>
        </w:rPr>
        <w:t>3</w:t>
      </w:r>
      <w:r w:rsidR="00FE0605" w:rsidRPr="003F4094">
        <w:rPr>
          <w:rFonts w:eastAsiaTheme="minorEastAsia" w:cs="Times New Roman"/>
          <w:sz w:val="24"/>
        </w:rPr>
        <w:t>款</w:t>
      </w:r>
      <w:r w:rsidR="00FE0605" w:rsidRPr="003F4094">
        <w:rPr>
          <w:rFonts w:eastAsiaTheme="minorEastAsia" w:cs="Times New Roman"/>
          <w:sz w:val="24"/>
        </w:rPr>
        <w:t>(d)</w:t>
      </w:r>
      <w:r w:rsidR="00FE0605" w:rsidRPr="003F4094">
        <w:rPr>
          <w:rFonts w:eastAsiaTheme="minorEastAsia" w:cs="Times New Roman"/>
          <w:sz w:val="24"/>
        </w:rPr>
        <w:t>项承担的义务，</w:t>
      </w:r>
      <w:r w:rsidR="00D603DC">
        <w:rPr>
          <w:rFonts w:eastAsiaTheme="minorEastAsia" w:cs="Times New Roman" w:hint="eastAsia"/>
          <w:sz w:val="24"/>
        </w:rPr>
        <w:t>并</w:t>
      </w:r>
      <w:r w:rsidR="00D603DC" w:rsidRPr="00E1252E">
        <w:rPr>
          <w:rFonts w:eastAsia="KaiTi" w:hAnsi="KaiTi" w:cs="Times New Roman" w:hint="eastAsia"/>
          <w:kern w:val="22"/>
          <w:sz w:val="24"/>
        </w:rPr>
        <w:t>鼓励</w:t>
      </w:r>
      <w:r w:rsidR="00D603DC">
        <w:rPr>
          <w:rFonts w:eastAsiaTheme="minorEastAsia" w:cs="Times New Roman" w:hint="eastAsia"/>
          <w:sz w:val="24"/>
        </w:rPr>
        <w:t>其他国家政府</w:t>
      </w:r>
      <w:r w:rsidR="00FE0605" w:rsidRPr="003F4094">
        <w:rPr>
          <w:rFonts w:eastAsiaTheme="minorEastAsia" w:cs="Times New Roman"/>
          <w:sz w:val="24"/>
        </w:rPr>
        <w:t>在生物安全信息交换所</w:t>
      </w:r>
      <w:r w:rsidR="00D603DC">
        <w:rPr>
          <w:rFonts w:eastAsiaTheme="minorEastAsia" w:cs="Times New Roman"/>
          <w:sz w:val="24"/>
        </w:rPr>
        <w:t>公布其关于改性活生物体的进口或释放的最终决定</w:t>
      </w:r>
      <w:r w:rsidR="00FE0605" w:rsidRPr="003F4094">
        <w:rPr>
          <w:rFonts w:eastAsiaTheme="minorEastAsia" w:cs="Times New Roman"/>
          <w:sz w:val="24"/>
        </w:rPr>
        <w:t>；</w:t>
      </w:r>
    </w:p>
    <w:p w14:paraId="5C007AE5" w14:textId="00E90F0F" w:rsidR="00D603DC" w:rsidRDefault="00D603DC" w:rsidP="00E83E3E">
      <w:pPr>
        <w:pStyle w:val="ListParagraph"/>
        <w:numPr>
          <w:ilvl w:val="1"/>
          <w:numId w:val="31"/>
        </w:numPr>
        <w:tabs>
          <w:tab w:val="clear" w:pos="1571"/>
        </w:tabs>
        <w:adjustRightInd w:val="0"/>
        <w:snapToGrid w:val="0"/>
        <w:spacing w:before="120" w:after="120" w:line="240" w:lineRule="atLeast"/>
        <w:ind w:left="0" w:firstLine="490"/>
        <w:contextualSpacing w:val="0"/>
        <w:jc w:val="left"/>
        <w:rPr>
          <w:rFonts w:eastAsiaTheme="minorEastAsia" w:cs="Times New Roman"/>
          <w:sz w:val="24"/>
        </w:rPr>
      </w:pPr>
      <w:r w:rsidRPr="00E1252E">
        <w:rPr>
          <w:rFonts w:eastAsia="KaiTi" w:hAnsi="KaiTi" w:cs="Times New Roman" w:hint="eastAsia"/>
          <w:kern w:val="22"/>
          <w:sz w:val="24"/>
        </w:rPr>
        <w:t>鼓励</w:t>
      </w:r>
      <w:r w:rsidRPr="00D603DC">
        <w:rPr>
          <w:rFonts w:eastAsiaTheme="minorEastAsia" w:cs="Times New Roman" w:hint="eastAsia"/>
          <w:sz w:val="24"/>
        </w:rPr>
        <w:t>各缔约方</w:t>
      </w:r>
      <w:r>
        <w:rPr>
          <w:rFonts w:eastAsiaTheme="minorEastAsia" w:cs="Times New Roman" w:hint="eastAsia"/>
          <w:sz w:val="24"/>
        </w:rPr>
        <w:t>、</w:t>
      </w:r>
      <w:r w:rsidRPr="00D603DC">
        <w:rPr>
          <w:rFonts w:eastAsiaTheme="minorEastAsia" w:cs="Times New Roman" w:hint="eastAsia"/>
          <w:sz w:val="24"/>
        </w:rPr>
        <w:t>其他国家政府</w:t>
      </w:r>
      <w:r w:rsidR="003C105F">
        <w:rPr>
          <w:rFonts w:eastAsiaTheme="minorEastAsia" w:cs="Times New Roman" w:hint="eastAsia"/>
          <w:sz w:val="24"/>
        </w:rPr>
        <w:t>和相关组织进行合作，</w:t>
      </w:r>
      <w:r w:rsidRPr="00D603DC">
        <w:rPr>
          <w:rFonts w:eastAsiaTheme="minorEastAsia" w:cs="Times New Roman" w:hint="eastAsia"/>
          <w:sz w:val="24"/>
        </w:rPr>
        <w:t>分享经验</w:t>
      </w:r>
      <w:r w:rsidR="00511E76">
        <w:rPr>
          <w:rFonts w:eastAsiaTheme="minorEastAsia" w:cs="Times New Roman" w:hint="eastAsia"/>
          <w:sz w:val="24"/>
        </w:rPr>
        <w:t>，</w:t>
      </w:r>
      <w:r w:rsidRPr="00D603DC">
        <w:rPr>
          <w:rFonts w:eastAsiaTheme="minorEastAsia" w:cs="Times New Roman" w:hint="eastAsia"/>
          <w:sz w:val="24"/>
        </w:rPr>
        <w:t>促进能力发展，</w:t>
      </w:r>
      <w:r w:rsidR="00511E76">
        <w:rPr>
          <w:rFonts w:eastAsiaTheme="minorEastAsia" w:cs="Times New Roman" w:hint="eastAsia"/>
          <w:sz w:val="24"/>
        </w:rPr>
        <w:t>支持</w:t>
      </w:r>
      <w:r w:rsidR="003C105F">
        <w:rPr>
          <w:rFonts w:eastAsiaTheme="minorEastAsia" w:cs="Times New Roman" w:hint="eastAsia"/>
          <w:sz w:val="24"/>
        </w:rPr>
        <w:t>根据</w:t>
      </w:r>
      <w:r w:rsidR="003C105F">
        <w:rPr>
          <w:rFonts w:eastAsiaTheme="minorEastAsia" w:cs="Times New Roman"/>
          <w:sz w:val="24"/>
        </w:rPr>
        <w:t>《议定书</w:t>
      </w:r>
      <w:r w:rsidR="003C105F">
        <w:rPr>
          <w:rFonts w:eastAsiaTheme="minorEastAsia" w:cs="Times New Roman" w:hint="eastAsia"/>
          <w:sz w:val="24"/>
        </w:rPr>
        <w:t>》第</w:t>
      </w:r>
      <w:r w:rsidR="003C105F">
        <w:rPr>
          <w:rFonts w:eastAsiaTheme="minorEastAsia" w:cs="Times New Roman" w:hint="eastAsia"/>
          <w:sz w:val="24"/>
        </w:rPr>
        <w:t>3</w:t>
      </w:r>
      <w:r w:rsidR="003C105F">
        <w:rPr>
          <w:rFonts w:eastAsiaTheme="minorEastAsia" w:cs="Times New Roman" w:hint="eastAsia"/>
          <w:sz w:val="24"/>
        </w:rPr>
        <w:t>条</w:t>
      </w:r>
      <w:r w:rsidR="003C105F">
        <w:rPr>
          <w:rFonts w:eastAsiaTheme="minorEastAsia" w:cs="Times New Roman" w:hint="eastAsia"/>
          <w:sz w:val="24"/>
        </w:rPr>
        <w:t>(b)</w:t>
      </w:r>
      <w:r w:rsidR="003C105F">
        <w:rPr>
          <w:rFonts w:eastAsiaTheme="minorEastAsia" w:cs="Times New Roman" w:hint="eastAsia"/>
          <w:sz w:val="24"/>
        </w:rPr>
        <w:t>款</w:t>
      </w:r>
      <w:r w:rsidR="00511E76" w:rsidRPr="00654C69">
        <w:rPr>
          <w:rFonts w:eastAsiaTheme="minorEastAsia" w:cs="Times New Roman" w:hint="eastAsia"/>
          <w:color w:val="000000"/>
          <w:kern w:val="20"/>
          <w:sz w:val="24"/>
        </w:rPr>
        <w:t>采取</w:t>
      </w:r>
      <w:r w:rsidR="00511E76">
        <w:rPr>
          <w:rFonts w:eastAsiaTheme="minorEastAsia" w:cs="Times New Roman" w:hint="eastAsia"/>
          <w:color w:val="000000"/>
          <w:kern w:val="20"/>
          <w:sz w:val="24"/>
        </w:rPr>
        <w:t>封闭使用</w:t>
      </w:r>
      <w:r w:rsidR="00511E76" w:rsidRPr="00654C69">
        <w:rPr>
          <w:rFonts w:eastAsiaTheme="minorEastAsia" w:cs="Times New Roman" w:hint="eastAsia"/>
          <w:color w:val="000000"/>
          <w:kern w:val="20"/>
          <w:sz w:val="24"/>
        </w:rPr>
        <w:t>特定措施</w:t>
      </w:r>
      <w:r w:rsidR="00511E76">
        <w:rPr>
          <w:rFonts w:eastAsiaTheme="minorEastAsia" w:cs="Times New Roman" w:hint="eastAsia"/>
          <w:color w:val="000000"/>
          <w:kern w:val="20"/>
          <w:sz w:val="24"/>
        </w:rPr>
        <w:t>，</w:t>
      </w:r>
      <w:r w:rsidR="00511E76" w:rsidRPr="00654C69">
        <w:rPr>
          <w:rFonts w:eastAsiaTheme="minorEastAsia" w:cs="Times New Roman" w:hint="eastAsia"/>
          <w:color w:val="000000"/>
          <w:kern w:val="20"/>
          <w:sz w:val="24"/>
        </w:rPr>
        <w:t>有效地限制</w:t>
      </w:r>
      <w:r w:rsidR="00511E76">
        <w:rPr>
          <w:rFonts w:eastAsiaTheme="minorEastAsia" w:cs="Times New Roman" w:hint="eastAsia"/>
          <w:color w:val="000000"/>
          <w:kern w:val="20"/>
          <w:sz w:val="24"/>
        </w:rPr>
        <w:t>改性活生物体</w:t>
      </w:r>
      <w:r w:rsidR="00511E76" w:rsidRPr="00654C69">
        <w:rPr>
          <w:rFonts w:eastAsiaTheme="minorEastAsia" w:cs="Times New Roman" w:hint="eastAsia"/>
          <w:color w:val="000000"/>
          <w:kern w:val="20"/>
          <w:sz w:val="24"/>
        </w:rPr>
        <w:t>与外部环境的接触及其对外部环境的影响</w:t>
      </w:r>
      <w:r w:rsidR="00511E76">
        <w:rPr>
          <w:rFonts w:eastAsiaTheme="minorEastAsia" w:cs="Times New Roman" w:hint="eastAsia"/>
          <w:color w:val="000000"/>
          <w:kern w:val="20"/>
          <w:sz w:val="24"/>
        </w:rPr>
        <w:t>。</w:t>
      </w:r>
    </w:p>
    <w:bookmarkEnd w:id="1"/>
    <w:p w14:paraId="2139A183" w14:textId="5FD392EF" w:rsidR="00E83E3E" w:rsidRPr="000A458A" w:rsidRDefault="00666863" w:rsidP="000A458A">
      <w:pPr>
        <w:spacing w:before="120" w:after="120"/>
        <w:jc w:val="center"/>
        <w:rPr>
          <w:rFonts w:cs="Times New Roman"/>
          <w:kern w:val="22"/>
          <w:sz w:val="24"/>
        </w:rPr>
      </w:pPr>
      <w:r w:rsidRPr="003F4094">
        <w:rPr>
          <w:rFonts w:eastAsia="Univers" w:cs="Times New Roman"/>
          <w:kern w:val="22"/>
          <w:sz w:val="24"/>
        </w:rPr>
        <w:t>_______</w:t>
      </w:r>
      <w:r w:rsidR="008027F1" w:rsidRPr="003F4094">
        <w:rPr>
          <w:rFonts w:cs="Times New Roman"/>
          <w:kern w:val="22"/>
          <w:sz w:val="24"/>
        </w:rPr>
        <w:t xml:space="preserve"> </w:t>
      </w:r>
    </w:p>
    <w:sectPr w:rsidR="00E83E3E" w:rsidRPr="000A458A" w:rsidSect="000A458A">
      <w:headerReference w:type="even" r:id="rId14"/>
      <w:headerReference w:type="default" r:id="rId15"/>
      <w:type w:val="continuous"/>
      <w:pgSz w:w="12240" w:h="15840" w:code="1"/>
      <w:pgMar w:top="864" w:right="1440" w:bottom="576" w:left="1440" w:header="461"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80AFB" w14:textId="77777777" w:rsidR="00B15179" w:rsidRDefault="00B15179">
      <w:pPr>
        <w:rPr>
          <w:rFonts w:ascii="Univers" w:eastAsia="Univers" w:hAnsi="Univers" w:cs="Times New Roman"/>
        </w:rPr>
      </w:pPr>
      <w:r>
        <w:rPr>
          <w:rFonts w:ascii="Univers" w:eastAsia="Univers" w:hAnsi="Univers" w:cs="Times New Roman"/>
        </w:rPr>
        <w:separator/>
      </w:r>
    </w:p>
  </w:endnote>
  <w:endnote w:type="continuationSeparator" w:id="0">
    <w:p w14:paraId="6E638F95" w14:textId="77777777" w:rsidR="00B15179" w:rsidRDefault="00B15179">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69F54" w14:textId="77777777" w:rsidR="00B15179" w:rsidRDefault="00B15179">
      <w:pPr>
        <w:rPr>
          <w:rFonts w:ascii="Univers" w:eastAsia="Univers" w:hAnsi="Univers" w:cs="Times New Roman"/>
        </w:rPr>
      </w:pPr>
      <w:r>
        <w:rPr>
          <w:rFonts w:ascii="Univers" w:eastAsia="Univers" w:hAnsi="Univers" w:cs="Times New Roman"/>
        </w:rPr>
        <w:separator/>
      </w:r>
    </w:p>
  </w:footnote>
  <w:footnote w:type="continuationSeparator" w:id="0">
    <w:p w14:paraId="05630308" w14:textId="77777777" w:rsidR="00B15179" w:rsidRDefault="00B15179">
      <w:pPr>
        <w:rPr>
          <w:rFonts w:ascii="Univers" w:eastAsia="Univers" w:hAnsi="Univers" w:cs="Times New Roman"/>
        </w:rPr>
      </w:pPr>
      <w:r>
        <w:rPr>
          <w:rFonts w:ascii="Univers" w:eastAsia="Univers" w:hAnsi="Univers" w:cs="Times New Roman"/>
        </w:rPr>
        <w:continuationSeparator/>
      </w:r>
    </w:p>
  </w:footnote>
  <w:footnote w:id="1">
    <w:p w14:paraId="2DE18150" w14:textId="60BFEA95" w:rsidR="00E83E3E" w:rsidRPr="00E83E3E" w:rsidRDefault="00E83E3E" w:rsidP="00E83E3E">
      <w:pPr>
        <w:pStyle w:val="FootnoteText"/>
        <w:ind w:firstLine="0"/>
        <w:rPr>
          <w:rFonts w:eastAsiaTheme="minorEastAsia"/>
          <w:sz w:val="20"/>
          <w:szCs w:val="20"/>
        </w:rPr>
      </w:pPr>
      <w:r w:rsidRPr="000A458A">
        <w:rPr>
          <w:rStyle w:val="FootnoteReference"/>
          <w:rFonts w:eastAsiaTheme="minorEastAsia"/>
          <w:sz w:val="20"/>
          <w:szCs w:val="20"/>
          <w:u w:val="none"/>
        </w:rPr>
        <w:footnoteRef/>
      </w:r>
      <w:r w:rsidRPr="000A458A">
        <w:rPr>
          <w:rFonts w:eastAsiaTheme="minorEastAsia"/>
          <w:sz w:val="20"/>
          <w:szCs w:val="20"/>
        </w:rPr>
        <w:t xml:space="preserve"> </w:t>
      </w:r>
      <w:r w:rsidRPr="00E83E3E">
        <w:rPr>
          <w:rFonts w:eastAsiaTheme="minorEastAsia"/>
          <w:sz w:val="20"/>
          <w:szCs w:val="20"/>
        </w:rPr>
        <w:t xml:space="preserve"> </w:t>
      </w:r>
      <w:r w:rsidRPr="00E83E3E">
        <w:rPr>
          <w:rFonts w:eastAsiaTheme="minorEastAsia" w:hint="eastAsia"/>
          <w:sz w:val="20"/>
          <w:szCs w:val="20"/>
        </w:rPr>
        <w:t>见</w:t>
      </w:r>
      <w:r w:rsidRPr="00E83E3E">
        <w:rPr>
          <w:rFonts w:eastAsiaTheme="minorEastAsia"/>
          <w:kern w:val="18"/>
          <w:sz w:val="20"/>
          <w:szCs w:val="20"/>
        </w:rPr>
        <w:t>CBD/CP/MOP/9/2</w:t>
      </w:r>
      <w:r w:rsidRPr="00E83E3E">
        <w:rPr>
          <w:rFonts w:eastAsiaTheme="minorEastAsia" w:hint="eastAsia"/>
          <w:kern w:val="18"/>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AD68B" w14:textId="1B158729" w:rsidR="009E6536" w:rsidRDefault="009E6536" w:rsidP="009E6536">
    <w:pPr>
      <w:rPr>
        <w:rFonts w:ascii="Univers" w:hAnsi="Univers" w:cs="Times New Roman"/>
        <w:kern w:val="22"/>
      </w:rPr>
    </w:pPr>
    <w:r w:rsidRPr="004D1C8A">
      <w:rPr>
        <w:sz w:val="24"/>
      </w:rPr>
      <w:t>C</w:t>
    </w:r>
    <w:r w:rsidR="00907367">
      <w:rPr>
        <w:sz w:val="24"/>
      </w:rPr>
      <w:t>BD/CP</w:t>
    </w:r>
    <w:r w:rsidR="000A458A">
      <w:rPr>
        <w:sz w:val="24"/>
      </w:rPr>
      <w:t>/</w:t>
    </w:r>
    <w:r w:rsidR="000A458A" w:rsidRPr="0054373A">
      <w:rPr>
        <w:sz w:val="24"/>
      </w:rPr>
      <w:t>MOP/</w:t>
    </w:r>
    <w:r w:rsidR="000A458A">
      <w:rPr>
        <w:sz w:val="24"/>
      </w:rPr>
      <w:t>DEC/</w:t>
    </w:r>
    <w:r w:rsidR="000A458A" w:rsidRPr="0054373A">
      <w:rPr>
        <w:rFonts w:hint="eastAsia"/>
        <w:sz w:val="24"/>
      </w:rPr>
      <w:t>9</w:t>
    </w:r>
    <w:r w:rsidR="000A458A">
      <w:rPr>
        <w:sz w:val="24"/>
      </w:rPr>
      <w:t>/12</w:t>
    </w:r>
  </w:p>
  <w:p w14:paraId="78C586B5" w14:textId="77777777" w:rsidR="00660A89" w:rsidRDefault="00660A89"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D24274">
      <w:rPr>
        <w:noProof/>
        <w:sz w:val="24"/>
        <w:szCs w:val="22"/>
      </w:rPr>
      <w:t>2</w:t>
    </w:r>
    <w:r w:rsidRPr="00367DF4">
      <w:rPr>
        <w:sz w:val="24"/>
        <w:szCs w:val="22"/>
      </w:rPr>
      <w:fldChar w:fldCharType="end"/>
    </w:r>
  </w:p>
  <w:p w14:paraId="0CD093DC" w14:textId="77777777" w:rsidR="00660A89" w:rsidRDefault="00660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336E3" w14:textId="77777777" w:rsidR="009E6536" w:rsidRDefault="009E6536" w:rsidP="009E6536">
    <w:pPr>
      <w:ind w:left="252"/>
      <w:jc w:val="right"/>
      <w:rPr>
        <w:rFonts w:ascii="Univers" w:hAnsi="Univers" w:cs="Times New Roman"/>
        <w:kern w:val="22"/>
      </w:rPr>
    </w:pPr>
    <w:r w:rsidRPr="004D1C8A">
      <w:rPr>
        <w:sz w:val="24"/>
      </w:rPr>
      <w:t>C</w:t>
    </w:r>
    <w:r w:rsidR="00907367">
      <w:rPr>
        <w:sz w:val="24"/>
      </w:rPr>
      <w:t>BD/CP-</w:t>
    </w:r>
    <w:r w:rsidRPr="004D1C8A">
      <w:rPr>
        <w:sz w:val="24"/>
      </w:rPr>
      <w:t>MOP</w:t>
    </w:r>
    <w:r w:rsidRPr="00110D2C">
      <w:rPr>
        <w:color w:val="000000"/>
        <w:kern w:val="20"/>
        <w:sz w:val="24"/>
        <w:szCs w:val="22"/>
      </w:rPr>
      <w:t>/</w:t>
    </w:r>
    <w:r>
      <w:rPr>
        <w:color w:val="000000"/>
        <w:kern w:val="20"/>
        <w:sz w:val="24"/>
        <w:szCs w:val="22"/>
      </w:rPr>
      <w:t>9</w:t>
    </w:r>
    <w:r>
      <w:rPr>
        <w:rFonts w:cs="Times New Roman"/>
        <w:noProof/>
        <w:kern w:val="22"/>
      </w:rPr>
      <w:t>/</w:t>
    </w:r>
    <w:r w:rsidR="008E4644">
      <w:rPr>
        <w:rFonts w:cs="Times New Roman"/>
        <w:noProof/>
        <w:kern w:val="22"/>
      </w:rPr>
      <w:t>WG.2</w:t>
    </w:r>
    <w:r>
      <w:rPr>
        <w:rFonts w:cs="Times New Roman"/>
        <w:noProof/>
        <w:kern w:val="22"/>
      </w:rPr>
      <w:t>/CRP.xx</w:t>
    </w:r>
  </w:p>
  <w:p w14:paraId="36AD8F43" w14:textId="77777777" w:rsidR="0017652F" w:rsidRDefault="0017652F"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907367">
      <w:rPr>
        <w:noProof/>
        <w:sz w:val="24"/>
        <w:szCs w:val="22"/>
      </w:rPr>
      <w:t>3</w:t>
    </w:r>
    <w:r w:rsidRPr="00367DF4">
      <w:rPr>
        <w:sz w:val="24"/>
        <w:szCs w:val="22"/>
      </w:rPr>
      <w:fldChar w:fldCharType="end"/>
    </w:r>
  </w:p>
  <w:p w14:paraId="3B5DCD4A" w14:textId="77777777" w:rsidR="00660A89" w:rsidRDefault="00660A89">
    <w:pPr>
      <w:pStyle w:val="Header"/>
    </w:pPr>
  </w:p>
  <w:p w14:paraId="18996275" w14:textId="77777777" w:rsidR="0017652F" w:rsidRDefault="00176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17F600AA"/>
    <w:multiLevelType w:val="hybridMultilevel"/>
    <w:tmpl w:val="0726A9B6"/>
    <w:lvl w:ilvl="0" w:tplc="1F22D46C">
      <w:start w:val="1"/>
      <w:numFmt w:val="japaneseCounting"/>
      <w:lvlText w:val="%1."/>
      <w:lvlJc w:val="left"/>
      <w:pPr>
        <w:ind w:left="720" w:hanging="360"/>
      </w:pPr>
      <w:rPr>
        <w:rFonts w:ascii="Times New Roman" w:hAnsi="Times New Roman" w:hint="default"/>
        <w:b/>
      </w:rPr>
    </w:lvl>
    <w:lvl w:ilvl="1" w:tplc="3BF21642">
      <w:start w:val="1"/>
      <w:numFmt w:val="lowerLetter"/>
      <w:lvlText w:val="(%2)"/>
      <w:lvlJc w:val="left"/>
      <w:pPr>
        <w:ind w:left="1800" w:hanging="720"/>
      </w:pPr>
      <w:rPr>
        <w:rFonts w:ascii="Times New Roman" w:eastAsiaTheme="minorEastAsia" w:hAnsi="Times New Roman" w:cs="Times New Roman"/>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4"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8"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9"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620D6AEB"/>
    <w:multiLevelType w:val="multilevel"/>
    <w:tmpl w:val="734C8AC2"/>
    <w:lvl w:ilvl="0">
      <w:start w:val="1"/>
      <w:numFmt w:val="decimal"/>
      <w:lvlText w:val="%1."/>
      <w:lvlJc w:val="left"/>
      <w:pPr>
        <w:tabs>
          <w:tab w:val="num" w:pos="360"/>
        </w:tabs>
        <w:ind w:left="0" w:firstLine="0"/>
      </w:pPr>
      <w:rPr>
        <w:rFonts w:ascii="Times New Roman" w:hAnsi="Times New Roman" w:cs="Times New Roman" w:hint="default"/>
        <w:b w:val="0"/>
        <w:i w:val="0"/>
        <w:color w:val="auto"/>
        <w:sz w:val="24"/>
      </w:rPr>
    </w:lvl>
    <w:lvl w:ilvl="1">
      <w:start w:val="1"/>
      <w:numFmt w:val="decimal"/>
      <w:lvlText w:val="%2."/>
      <w:lvlJc w:val="left"/>
      <w:pPr>
        <w:tabs>
          <w:tab w:val="num" w:pos="1571"/>
        </w:tabs>
        <w:ind w:left="131"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8"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19"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num w:numId="1">
    <w:abstractNumId w:val="8"/>
  </w:num>
  <w:num w:numId="2">
    <w:abstractNumId w:val="7"/>
  </w:num>
  <w:num w:numId="3">
    <w:abstractNumId w:val="5"/>
  </w:num>
  <w:num w:numId="4">
    <w:abstractNumId w:val="10"/>
  </w:num>
  <w:num w:numId="5">
    <w:abstractNumId w:val="11"/>
  </w:num>
  <w:num w:numId="6">
    <w:abstractNumId w:val="13"/>
  </w:num>
  <w:num w:numId="7">
    <w:abstractNumId w:val="18"/>
  </w:num>
  <w:num w:numId="8">
    <w:abstractNumId w:val="12"/>
  </w:num>
  <w:num w:numId="9">
    <w:abstractNumId w:val="1"/>
  </w:num>
  <w:num w:numId="10">
    <w:abstractNumId w:val="5"/>
  </w:num>
  <w:num w:numId="11">
    <w:abstractNumId w:val="17"/>
  </w:num>
  <w:num w:numId="12">
    <w:abstractNumId w:val="13"/>
  </w:num>
  <w:num w:numId="13">
    <w:abstractNumId w:val="15"/>
  </w:num>
  <w:num w:numId="14">
    <w:abstractNumId w:val="7"/>
  </w:num>
  <w:num w:numId="15">
    <w:abstractNumId w:val="13"/>
  </w:num>
  <w:num w:numId="16">
    <w:abstractNumId w:val="11"/>
  </w:num>
  <w:num w:numId="17">
    <w:abstractNumId w:val="8"/>
  </w:num>
  <w:num w:numId="18">
    <w:abstractNumId w:val="19"/>
  </w:num>
  <w:num w:numId="19">
    <w:abstractNumId w:val="9"/>
  </w:num>
  <w:num w:numId="20">
    <w:abstractNumId w:val="13"/>
  </w:num>
  <w:num w:numId="21">
    <w:abstractNumId w:val="13"/>
  </w:num>
  <w:num w:numId="22">
    <w:abstractNumId w:val="13"/>
  </w:num>
  <w:num w:numId="23">
    <w:abstractNumId w:val="13"/>
  </w:num>
  <w:num w:numId="24">
    <w:abstractNumId w:val="0"/>
  </w:num>
  <w:num w:numId="25">
    <w:abstractNumId w:val="3"/>
  </w:num>
  <w:num w:numId="26">
    <w:abstractNumId w:val="6"/>
  </w:num>
  <w:num w:numId="27">
    <w:abstractNumId w:val="4"/>
  </w:num>
  <w:num w:numId="28">
    <w:abstractNumId w:val="14"/>
  </w:num>
  <w:num w:numId="29">
    <w:abstractNumId w:val="13"/>
  </w:num>
  <w:num w:numId="30">
    <w:abstractNumId w:val="13"/>
  </w:num>
  <w:num w:numId="31">
    <w:abstractNumId w:val="1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68A"/>
    <w:rsid w:val="000A319B"/>
    <w:rsid w:val="000A458A"/>
    <w:rsid w:val="000A5388"/>
    <w:rsid w:val="000B099A"/>
    <w:rsid w:val="000B42E0"/>
    <w:rsid w:val="000D0331"/>
    <w:rsid w:val="001467F6"/>
    <w:rsid w:val="001654F8"/>
    <w:rsid w:val="0017652F"/>
    <w:rsid w:val="001A18D7"/>
    <w:rsid w:val="001A4969"/>
    <w:rsid w:val="001A6314"/>
    <w:rsid w:val="001D28F7"/>
    <w:rsid w:val="001E0563"/>
    <w:rsid w:val="001E7F85"/>
    <w:rsid w:val="001F268A"/>
    <w:rsid w:val="001F5D0C"/>
    <w:rsid w:val="001F65C2"/>
    <w:rsid w:val="0022027E"/>
    <w:rsid w:val="00220462"/>
    <w:rsid w:val="00246F7F"/>
    <w:rsid w:val="002473F7"/>
    <w:rsid w:val="00262EA8"/>
    <w:rsid w:val="0029567E"/>
    <w:rsid w:val="002A3359"/>
    <w:rsid w:val="002B4AAD"/>
    <w:rsid w:val="003150CB"/>
    <w:rsid w:val="00355229"/>
    <w:rsid w:val="003A57C0"/>
    <w:rsid w:val="003C105F"/>
    <w:rsid w:val="003C201A"/>
    <w:rsid w:val="003C3818"/>
    <w:rsid w:val="003E5D69"/>
    <w:rsid w:val="003E6ED3"/>
    <w:rsid w:val="003F4094"/>
    <w:rsid w:val="00403279"/>
    <w:rsid w:val="004148C8"/>
    <w:rsid w:val="00474EF8"/>
    <w:rsid w:val="00497336"/>
    <w:rsid w:val="004F1B63"/>
    <w:rsid w:val="00502FC2"/>
    <w:rsid w:val="00511E76"/>
    <w:rsid w:val="005160B9"/>
    <w:rsid w:val="00526DA7"/>
    <w:rsid w:val="005465C3"/>
    <w:rsid w:val="005940FA"/>
    <w:rsid w:val="00595CF6"/>
    <w:rsid w:val="005C132E"/>
    <w:rsid w:val="005D02E8"/>
    <w:rsid w:val="005E4552"/>
    <w:rsid w:val="005E6475"/>
    <w:rsid w:val="0061237D"/>
    <w:rsid w:val="006154D2"/>
    <w:rsid w:val="00635F56"/>
    <w:rsid w:val="00654C69"/>
    <w:rsid w:val="00660A89"/>
    <w:rsid w:val="00666863"/>
    <w:rsid w:val="0067045C"/>
    <w:rsid w:val="00685EBE"/>
    <w:rsid w:val="006965B3"/>
    <w:rsid w:val="006D67C0"/>
    <w:rsid w:val="006F0B8D"/>
    <w:rsid w:val="00720748"/>
    <w:rsid w:val="00742E88"/>
    <w:rsid w:val="0079191A"/>
    <w:rsid w:val="007A4677"/>
    <w:rsid w:val="007E681D"/>
    <w:rsid w:val="008027F1"/>
    <w:rsid w:val="0082638D"/>
    <w:rsid w:val="00853EB8"/>
    <w:rsid w:val="008645B4"/>
    <w:rsid w:val="00887F31"/>
    <w:rsid w:val="008B1503"/>
    <w:rsid w:val="008C2F5F"/>
    <w:rsid w:val="008C37AA"/>
    <w:rsid w:val="008E4644"/>
    <w:rsid w:val="00907367"/>
    <w:rsid w:val="00924E62"/>
    <w:rsid w:val="00953C22"/>
    <w:rsid w:val="00955DEE"/>
    <w:rsid w:val="009658E0"/>
    <w:rsid w:val="0098360A"/>
    <w:rsid w:val="009908EE"/>
    <w:rsid w:val="009B7651"/>
    <w:rsid w:val="009D2834"/>
    <w:rsid w:val="009E6536"/>
    <w:rsid w:val="00A05940"/>
    <w:rsid w:val="00A06782"/>
    <w:rsid w:val="00A17F8C"/>
    <w:rsid w:val="00A31CA6"/>
    <w:rsid w:val="00A43CB6"/>
    <w:rsid w:val="00A57DDC"/>
    <w:rsid w:val="00A84376"/>
    <w:rsid w:val="00AA4091"/>
    <w:rsid w:val="00AA694D"/>
    <w:rsid w:val="00AD53FC"/>
    <w:rsid w:val="00AE7242"/>
    <w:rsid w:val="00AF2F1D"/>
    <w:rsid w:val="00B042A2"/>
    <w:rsid w:val="00B15179"/>
    <w:rsid w:val="00B22565"/>
    <w:rsid w:val="00B73049"/>
    <w:rsid w:val="00B85A8E"/>
    <w:rsid w:val="00BE5734"/>
    <w:rsid w:val="00C12149"/>
    <w:rsid w:val="00C161EB"/>
    <w:rsid w:val="00C66174"/>
    <w:rsid w:val="00C7690F"/>
    <w:rsid w:val="00C907DD"/>
    <w:rsid w:val="00C9504B"/>
    <w:rsid w:val="00C96D3B"/>
    <w:rsid w:val="00CA1A7A"/>
    <w:rsid w:val="00CC5CE1"/>
    <w:rsid w:val="00CC7B35"/>
    <w:rsid w:val="00CD2C7A"/>
    <w:rsid w:val="00CD3ED2"/>
    <w:rsid w:val="00D132C7"/>
    <w:rsid w:val="00D14C4B"/>
    <w:rsid w:val="00D24274"/>
    <w:rsid w:val="00D44135"/>
    <w:rsid w:val="00D603DC"/>
    <w:rsid w:val="00D82E38"/>
    <w:rsid w:val="00D90F93"/>
    <w:rsid w:val="00DF3D18"/>
    <w:rsid w:val="00DF7EF5"/>
    <w:rsid w:val="00E1252E"/>
    <w:rsid w:val="00E13B5C"/>
    <w:rsid w:val="00E33CA1"/>
    <w:rsid w:val="00E402B9"/>
    <w:rsid w:val="00E43F23"/>
    <w:rsid w:val="00E7190C"/>
    <w:rsid w:val="00E83E3E"/>
    <w:rsid w:val="00EA78DB"/>
    <w:rsid w:val="00EE4356"/>
    <w:rsid w:val="00EF36C9"/>
    <w:rsid w:val="00F27144"/>
    <w:rsid w:val="00F5045B"/>
    <w:rsid w:val="00F90E0F"/>
    <w:rsid w:val="00F92321"/>
    <w:rsid w:val="00FE0605"/>
    <w:rsid w:val="00FE136D"/>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B72F0"/>
  <w15:docId w15:val="{825FF403-93A4-4803-9519-57422076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cs="Angsana New"/>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Univers" w:cs="Arial"/>
      <w:b/>
      <w:bCs/>
      <w:i/>
      <w:iCs/>
    </w:rPr>
  </w:style>
  <w:style w:type="paragraph" w:styleId="Heading5">
    <w:name w:val="heading 5"/>
    <w:aliases w:val="Heading 5 - GTI"/>
    <w:basedOn w:val="Normal"/>
    <w:next w:val="Normal"/>
    <w:qFormat/>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link w:val="Heading8Char"/>
    <w:uiPriority w:val="99"/>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link w:val="Para1Char1"/>
    <w:pPr>
      <w:numPr>
        <w:numId w:val="1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15"/>
      </w:numPr>
      <w:tabs>
        <w:tab w:val="left" w:pos="1980"/>
      </w:tabs>
      <w:spacing w:before="80" w:after="80"/>
    </w:pPr>
    <w:rPr>
      <w:szCs w:val="20"/>
    </w:rPr>
  </w:style>
  <w:style w:type="paragraph" w:styleId="FootnoteText">
    <w:name w:val="footnote text"/>
    <w:basedOn w:val="Normal"/>
    <w:link w:val="FootnoteTextChar"/>
    <w:semiHidden/>
    <w:pPr>
      <w:keepLines/>
      <w:spacing w:after="60"/>
      <w:ind w:firstLine="720"/>
    </w:pPr>
    <w:rPr>
      <w:rFonts w:cs="Times New Roman"/>
      <w:sz w:val="18"/>
    </w:rPr>
  </w:style>
  <w:style w:type="character" w:styleId="FootnoteReference">
    <w:name w:val="footnote reference"/>
    <w:semiHidden/>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14"/>
      </w:numPr>
      <w:spacing w:before="120" w:after="120"/>
    </w:pPr>
    <w:rPr>
      <w:szCs w:val="20"/>
    </w:rPr>
  </w:style>
  <w:style w:type="paragraph" w:customStyle="1" w:styleId="Paranum">
    <w:name w:val="Paranum"/>
    <w:basedOn w:val="Para1"/>
    <w:pPr>
      <w:numPr>
        <w:numId w:val="17"/>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1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rPr>
      <w:rFonts w:cs="Times New Roman"/>
      <w:sz w:val="20"/>
      <w:szCs w:val="20"/>
    </w:rPr>
  </w:style>
  <w:style w:type="character" w:customStyle="1" w:styleId="CharChar1">
    <w:name w:val="Char Char1"/>
    <w:locked/>
    <w:rPr>
      <w:lang w:val="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link w:val="FootnoteText"/>
    <w:semiHidden/>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character" w:customStyle="1" w:styleId="Para1Char1">
    <w:name w:val="Para1 Char1"/>
    <w:link w:val="Para1"/>
    <w:rsid w:val="0082638D"/>
    <w:rPr>
      <w:rFonts w:cs="Angsana New"/>
      <w:snapToGrid w:val="0"/>
      <w:sz w:val="22"/>
      <w:szCs w:val="18"/>
      <w:lang w:val="en-GB"/>
    </w:rPr>
  </w:style>
  <w:style w:type="character" w:customStyle="1" w:styleId="Heading8Char">
    <w:name w:val="Heading 8 Char"/>
    <w:basedOn w:val="DefaultParagraphFont"/>
    <w:link w:val="Heading8"/>
    <w:uiPriority w:val="99"/>
    <w:rsid w:val="00D24274"/>
    <w:rPr>
      <w:rFonts w:ascii="Univers" w:hAnsi="Univers" w:cs="Angsana New"/>
      <w:b/>
      <w:sz w:val="32"/>
      <w:szCs w:val="24"/>
      <w:lang w:val="en-GB"/>
    </w:rPr>
  </w:style>
  <w:style w:type="character" w:styleId="UnresolvedMention">
    <w:name w:val="Unresolved Mention"/>
    <w:basedOn w:val="DefaultParagraphFont"/>
    <w:uiPriority w:val="99"/>
    <w:semiHidden/>
    <w:unhideWhenUsed/>
    <w:rsid w:val="00E83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bd.int/doc/decisions/mop-08/mop-08-dec-17-z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mop-07/mop-07-dec-02-z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meetings/bs/mop-05/official/mop-05-17-zh.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9AE9B-C847-4D78-866B-7583ECDC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UNEP/CBD/BS/COP-MOP/8/CRP.</dc:subject>
  <dc:creator>SCBD</dc:creator>
  <cp:lastModifiedBy>Yunqi Jia</cp:lastModifiedBy>
  <cp:revision>4</cp:revision>
  <cp:lastPrinted>2014-10-12T14:43:00Z</cp:lastPrinted>
  <dcterms:created xsi:type="dcterms:W3CDTF">2019-02-11T01:32:00Z</dcterms:created>
  <dcterms:modified xsi:type="dcterms:W3CDTF">2019-02-15T20:03:00Z</dcterms:modified>
</cp:coreProperties>
</file>