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82AD2" w14:paraId="4081CF44" w14:textId="77777777" w:rsidTr="00043B6C">
        <w:trPr>
          <w:trHeight w:val="709"/>
        </w:trPr>
        <w:tc>
          <w:tcPr>
            <w:tcW w:w="976" w:type="dxa"/>
            <w:tcBorders>
              <w:top w:val="nil"/>
              <w:left w:val="nil"/>
              <w:bottom w:val="single" w:sz="12" w:space="0" w:color="auto"/>
              <w:right w:val="nil"/>
            </w:tcBorders>
            <w:hideMark/>
          </w:tcPr>
          <w:p w14:paraId="1AAE5532" w14:textId="77777777" w:rsidR="00A82AD2" w:rsidRDefault="00A82AD2" w:rsidP="00043B6C">
            <w:r>
              <w:rPr>
                <w:noProof/>
                <w:lang w:val="fr-FR" w:eastAsia="fr-FR"/>
              </w:rPr>
              <w:drawing>
                <wp:inline distT="0" distB="0" distL="0" distR="0" wp14:anchorId="1340355F" wp14:editId="214C3EC7">
                  <wp:extent cx="476250" cy="400050"/>
                  <wp:effectExtent l="0" t="0" r="0" b="0"/>
                  <wp:docPr id="2" name="Imag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top w:val="nil"/>
              <w:left w:val="nil"/>
              <w:bottom w:val="single" w:sz="12" w:space="0" w:color="auto"/>
              <w:right w:val="nil"/>
            </w:tcBorders>
            <w:hideMark/>
          </w:tcPr>
          <w:p w14:paraId="2D0715A3" w14:textId="77777777" w:rsidR="00A82AD2" w:rsidRDefault="00A82AD2" w:rsidP="00043B6C">
            <w:r>
              <w:rPr>
                <w:noProof/>
                <w:lang w:val="fr-FR" w:eastAsia="fr-FR"/>
              </w:rPr>
              <w:drawing>
                <wp:inline distT="0" distB="0" distL="0" distR="0" wp14:anchorId="051113CA" wp14:editId="7B30E866">
                  <wp:extent cx="342900" cy="400050"/>
                  <wp:effectExtent l="0" t="0" r="0" b="0"/>
                  <wp:docPr id="5" name="Image 5"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14:paraId="03D5EA15" w14:textId="77777777" w:rsidR="00A82AD2" w:rsidRDefault="00A82AD2" w:rsidP="00043B6C">
            <w:pPr>
              <w:jc w:val="right"/>
              <w:rPr>
                <w:rFonts w:ascii="Arial" w:hAnsi="Arial" w:cs="Arial"/>
                <w:b/>
                <w:sz w:val="32"/>
                <w:szCs w:val="32"/>
              </w:rPr>
            </w:pPr>
            <w:r>
              <w:rPr>
                <w:rFonts w:ascii="Arial" w:hAnsi="Arial" w:cs="Arial"/>
                <w:b/>
                <w:sz w:val="32"/>
                <w:szCs w:val="32"/>
              </w:rPr>
              <w:t>CBD</w:t>
            </w:r>
          </w:p>
        </w:tc>
      </w:tr>
      <w:tr w:rsidR="00A82AD2" w:rsidRPr="00917F42" w14:paraId="21D71F20" w14:textId="77777777" w:rsidTr="00043B6C">
        <w:tc>
          <w:tcPr>
            <w:tcW w:w="6117" w:type="dxa"/>
            <w:gridSpan w:val="2"/>
            <w:tcBorders>
              <w:top w:val="single" w:sz="12" w:space="0" w:color="auto"/>
              <w:left w:val="nil"/>
              <w:bottom w:val="single" w:sz="36" w:space="0" w:color="auto"/>
              <w:right w:val="nil"/>
            </w:tcBorders>
            <w:vAlign w:val="center"/>
            <w:hideMark/>
          </w:tcPr>
          <w:p w14:paraId="4EF940EA" w14:textId="77777777" w:rsidR="00A82AD2" w:rsidRDefault="00A82AD2" w:rsidP="00043B6C">
            <w:r>
              <w:rPr>
                <w:noProof/>
                <w:szCs w:val="22"/>
                <w:lang w:val="fr-FR" w:eastAsia="fr-FR"/>
              </w:rPr>
              <w:drawing>
                <wp:inline distT="0" distB="0" distL="0" distR="0" wp14:anchorId="1E507DDA" wp14:editId="10F8E426">
                  <wp:extent cx="2886075" cy="1194494"/>
                  <wp:effectExtent l="0" t="0" r="0" b="5715"/>
                  <wp:docPr id="1" name="Image 1" descr="Descripción: 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ción: 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121" cy="1203618"/>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4B3C2959" w14:textId="77777777" w:rsidR="00A82AD2" w:rsidRPr="00917F42" w:rsidRDefault="00A82AD2" w:rsidP="00043B6C">
            <w:pPr>
              <w:ind w:left="1215"/>
              <w:rPr>
                <w:szCs w:val="22"/>
                <w:lang w:val="fr-FR"/>
              </w:rPr>
            </w:pPr>
            <w:r w:rsidRPr="00917F42">
              <w:rPr>
                <w:szCs w:val="22"/>
                <w:lang w:val="fr-FR"/>
              </w:rPr>
              <w:t>Distr.</w:t>
            </w:r>
          </w:p>
          <w:p w14:paraId="5E0B1B17" w14:textId="4CAC2609" w:rsidR="00A82AD2" w:rsidRPr="00917F42" w:rsidRDefault="003D15FD" w:rsidP="00043B6C">
            <w:pPr>
              <w:ind w:left="1215"/>
              <w:rPr>
                <w:szCs w:val="22"/>
                <w:lang w:val="fr-FR"/>
              </w:rPr>
            </w:pPr>
            <w:sdt>
              <w:sdtPr>
                <w:rPr>
                  <w:snapToGrid w:val="0"/>
                  <w:kern w:val="22"/>
                  <w:szCs w:val="22"/>
                  <w:lang w:val="fr-FR"/>
                </w:rPr>
                <w:alias w:val="Status"/>
                <w:id w:val="307985777"/>
                <w:placeholder>
                  <w:docPart w:val="0124BA1970504F51AC82DEE20BE971BA"/>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AD2" w:rsidRPr="00A82AD2">
                  <w:rPr>
                    <w:snapToGrid w:val="0"/>
                    <w:kern w:val="22"/>
                    <w:szCs w:val="22"/>
                    <w:lang w:val="fr-FR"/>
                  </w:rPr>
                  <w:t>GÉN</w:t>
                </w:r>
                <w:r w:rsidR="00A82AD2" w:rsidRPr="00D62BCC">
                  <w:rPr>
                    <w:snapToGrid w:val="0"/>
                    <w:kern w:val="22"/>
                    <w:szCs w:val="22"/>
                    <w:lang w:val="fr-FR"/>
                  </w:rPr>
                  <w:t>É</w:t>
                </w:r>
                <w:r w:rsidR="00A82AD2" w:rsidRPr="00A82AD2">
                  <w:rPr>
                    <w:snapToGrid w:val="0"/>
                    <w:kern w:val="22"/>
                    <w:szCs w:val="22"/>
                    <w:lang w:val="fr-FR"/>
                  </w:rPr>
                  <w:t>RAL</w:t>
                </w:r>
                <w:r w:rsidR="00A82AD2">
                  <w:rPr>
                    <w:snapToGrid w:val="0"/>
                    <w:kern w:val="22"/>
                    <w:szCs w:val="22"/>
                    <w:lang w:val="fr-FR"/>
                  </w:rPr>
                  <w:t>E</w:t>
                </w:r>
              </w:sdtContent>
            </w:sdt>
          </w:p>
          <w:p w14:paraId="6B1B2070" w14:textId="77777777" w:rsidR="00A82AD2" w:rsidRPr="00917F42" w:rsidRDefault="00A82AD2" w:rsidP="00043B6C">
            <w:pPr>
              <w:ind w:left="1215"/>
              <w:rPr>
                <w:szCs w:val="22"/>
                <w:lang w:val="fr-FR"/>
              </w:rPr>
            </w:pPr>
          </w:p>
          <w:p w14:paraId="0AB855C9" w14:textId="353D32A0" w:rsidR="00A82AD2" w:rsidRPr="00917F42" w:rsidRDefault="003D15FD" w:rsidP="00043B6C">
            <w:pPr>
              <w:ind w:left="1215"/>
              <w:rPr>
                <w:szCs w:val="22"/>
                <w:lang w:val="fr-FR"/>
              </w:rPr>
            </w:pPr>
            <w:sdt>
              <w:sdtPr>
                <w:rPr>
                  <w:lang w:val="fr-FR"/>
                </w:rPr>
                <w:alias w:val="Subject"/>
                <w:id w:val="2137136483"/>
                <w:placeholder>
                  <w:docPart w:val="CF8C279DF29E4B2A8237A0CEF418FA0D"/>
                </w:placeholder>
                <w:dataBinding w:prefixMappings="xmlns:ns0='http://purl.org/dc/elements/1.1/' xmlns:ns1='http://schemas.openxmlformats.org/package/2006/metadata/core-properties' " w:xpath="/ns1:coreProperties[1]/ns0:subject[1]" w:storeItemID="{6C3C8BC8-F283-45AE-878A-BAB7291924A1}"/>
                <w:text/>
              </w:sdtPr>
              <w:sdtEndPr/>
              <w:sdtContent>
                <w:r w:rsidR="00A82AD2" w:rsidRPr="00917F42">
                  <w:rPr>
                    <w:lang w:val="fr-FR"/>
                  </w:rPr>
                  <w:t>CBD/CP/MOP/</w:t>
                </w:r>
                <w:r w:rsidR="00917F42">
                  <w:rPr>
                    <w:lang w:val="fr-FR"/>
                  </w:rPr>
                  <w:t>DEC/9/</w:t>
                </w:r>
                <w:r w:rsidR="00A82AD2" w:rsidRPr="00917F42">
                  <w:rPr>
                    <w:lang w:val="fr-FR"/>
                  </w:rPr>
                  <w:t>13</w:t>
                </w:r>
              </w:sdtContent>
            </w:sdt>
            <w:r w:rsidR="00A82AD2" w:rsidRPr="00917F42">
              <w:rPr>
                <w:szCs w:val="22"/>
                <w:lang w:val="fr-FR"/>
              </w:rPr>
              <w:t xml:space="preserve"> </w:t>
            </w:r>
          </w:p>
          <w:p w14:paraId="5CBFC57A" w14:textId="6316FA5E" w:rsidR="00A82AD2" w:rsidRPr="00917F42" w:rsidRDefault="00917F42" w:rsidP="00043B6C">
            <w:pPr>
              <w:ind w:left="1215"/>
              <w:rPr>
                <w:szCs w:val="22"/>
                <w:lang w:val="fr-FR"/>
              </w:rPr>
            </w:pPr>
            <w:r w:rsidRPr="00917F42">
              <w:rPr>
                <w:szCs w:val="22"/>
                <w:lang w:val="fr-FR"/>
              </w:rPr>
              <w:t>30</w:t>
            </w:r>
            <w:r w:rsidR="00A82AD2" w:rsidRPr="00917F42">
              <w:rPr>
                <w:szCs w:val="22"/>
                <w:lang w:val="fr-FR"/>
              </w:rPr>
              <w:t xml:space="preserve"> novembre 2018</w:t>
            </w:r>
          </w:p>
          <w:p w14:paraId="4407C1C5" w14:textId="77777777" w:rsidR="00A82AD2" w:rsidRPr="00917F42" w:rsidRDefault="00A82AD2" w:rsidP="00043B6C">
            <w:pPr>
              <w:ind w:left="1215"/>
              <w:rPr>
                <w:szCs w:val="22"/>
                <w:lang w:val="fr-FR"/>
              </w:rPr>
            </w:pPr>
          </w:p>
          <w:p w14:paraId="78A18458" w14:textId="77777777" w:rsidR="00A82AD2" w:rsidRPr="00917F42" w:rsidRDefault="00A82AD2" w:rsidP="00043B6C">
            <w:pPr>
              <w:ind w:left="1215"/>
              <w:rPr>
                <w:szCs w:val="22"/>
                <w:lang w:val="fr-FR"/>
              </w:rPr>
            </w:pPr>
            <w:r w:rsidRPr="00917F42">
              <w:rPr>
                <w:szCs w:val="22"/>
                <w:lang w:val="fr-FR"/>
              </w:rPr>
              <w:t>FRANÇAIS</w:t>
            </w:r>
          </w:p>
          <w:p w14:paraId="675F25BE" w14:textId="77777777" w:rsidR="00A82AD2" w:rsidRPr="00917F42" w:rsidRDefault="00A82AD2" w:rsidP="00043B6C">
            <w:pPr>
              <w:ind w:left="1215"/>
              <w:rPr>
                <w:szCs w:val="22"/>
                <w:lang w:val="fr-FR"/>
              </w:rPr>
            </w:pPr>
            <w:r w:rsidRPr="00917F42">
              <w:rPr>
                <w:szCs w:val="22"/>
                <w:lang w:val="fr-FR"/>
              </w:rPr>
              <w:t>ORIGINAL: ANGLAIS</w:t>
            </w:r>
          </w:p>
          <w:p w14:paraId="4837DAF1" w14:textId="77777777" w:rsidR="00A82AD2" w:rsidRPr="00917F42" w:rsidRDefault="00A82AD2" w:rsidP="00043B6C">
            <w:pPr>
              <w:rPr>
                <w:lang w:val="fr-FR"/>
              </w:rPr>
            </w:pPr>
          </w:p>
        </w:tc>
      </w:tr>
    </w:tbl>
    <w:p w14:paraId="7B43B62E" w14:textId="77777777" w:rsidR="00A82AD2" w:rsidRPr="00A26B4B" w:rsidRDefault="00A82AD2" w:rsidP="00A82AD2">
      <w:pPr>
        <w:pStyle w:val="Cornernotation"/>
        <w:suppressLineNumbers/>
        <w:suppressAutoHyphens/>
        <w:kinsoku w:val="0"/>
        <w:overflowPunct w:val="0"/>
        <w:autoSpaceDE w:val="0"/>
        <w:autoSpaceDN w:val="0"/>
        <w:spacing w:before="60"/>
        <w:ind w:left="227" w:right="3780" w:hanging="227"/>
        <w:rPr>
          <w:snapToGrid w:val="0"/>
          <w:kern w:val="22"/>
          <w:szCs w:val="22"/>
          <w:lang w:val="fr-FR"/>
        </w:rPr>
      </w:pPr>
      <w:r w:rsidRPr="00A26B4B">
        <w:rPr>
          <w:snapToGrid w:val="0"/>
          <w:kern w:val="22"/>
          <w:szCs w:val="22"/>
          <w:lang w:val="fr-FR"/>
        </w:rPr>
        <w:t xml:space="preserve">CONFÉRENCE DES PARTIES À LA </w:t>
      </w:r>
      <w:r>
        <w:rPr>
          <w:snapToGrid w:val="0"/>
          <w:kern w:val="22"/>
          <w:szCs w:val="22"/>
          <w:lang w:val="fr-FR"/>
        </w:rPr>
        <w:t>CONVENTION SUR LA DIVERSITÉ</w:t>
      </w:r>
      <w:r w:rsidRPr="00A26B4B">
        <w:rPr>
          <w:snapToGrid w:val="0"/>
          <w:kern w:val="22"/>
          <w:szCs w:val="22"/>
          <w:lang w:val="fr-FR"/>
        </w:rPr>
        <w:t xml:space="preserve"> BIOLOGIQUE </w:t>
      </w:r>
      <w:r>
        <w:rPr>
          <w:snapToGrid w:val="0"/>
          <w:kern w:val="22"/>
          <w:szCs w:val="22"/>
          <w:lang w:val="fr-FR"/>
        </w:rPr>
        <w:t>SIÉGEANT EN TANT QUE RÉ</w:t>
      </w:r>
      <w:r w:rsidRPr="00A26B4B">
        <w:rPr>
          <w:snapToGrid w:val="0"/>
          <w:kern w:val="22"/>
          <w:szCs w:val="22"/>
          <w:lang w:val="fr-FR"/>
        </w:rPr>
        <w:t xml:space="preserve">UNION DES </w:t>
      </w:r>
      <w:r>
        <w:rPr>
          <w:snapToGrid w:val="0"/>
          <w:kern w:val="22"/>
          <w:szCs w:val="22"/>
          <w:lang w:val="fr-FR"/>
        </w:rPr>
        <w:t>PARTIES AU PROTOCOLE DE CARTAGENA SUR LA PRÉVENTION DES RISQUES BIOTECHNOLOGIQUES</w:t>
      </w:r>
    </w:p>
    <w:p w14:paraId="6FB0EB88" w14:textId="77777777" w:rsidR="00A82AD2" w:rsidRPr="00A26B4B" w:rsidRDefault="00A82AD2" w:rsidP="00A82AD2">
      <w:pPr>
        <w:pStyle w:val="Cornernotation"/>
        <w:suppressLineNumbers/>
        <w:suppressAutoHyphens/>
        <w:kinsoku w:val="0"/>
        <w:overflowPunct w:val="0"/>
        <w:autoSpaceDE w:val="0"/>
        <w:autoSpaceDN w:val="0"/>
        <w:ind w:left="0" w:right="4512" w:firstLine="0"/>
        <w:rPr>
          <w:snapToGrid w:val="0"/>
          <w:kern w:val="22"/>
          <w:szCs w:val="22"/>
          <w:lang w:val="fr-FR"/>
        </w:rPr>
      </w:pPr>
      <w:r w:rsidRPr="00A26B4B">
        <w:rPr>
          <w:snapToGrid w:val="0"/>
          <w:kern w:val="22"/>
          <w:szCs w:val="22"/>
          <w:lang w:val="fr-FR"/>
        </w:rPr>
        <w:t>Neuvième réunion</w:t>
      </w:r>
    </w:p>
    <w:p w14:paraId="7148C51A" w14:textId="2B139F9D" w:rsidR="00A82AD2" w:rsidRPr="00D37D26" w:rsidRDefault="00917F42" w:rsidP="00A82AD2">
      <w:pPr>
        <w:pStyle w:val="Cornernotation"/>
        <w:suppressLineNumbers/>
        <w:suppressAutoHyphens/>
        <w:kinsoku w:val="0"/>
        <w:overflowPunct w:val="0"/>
        <w:autoSpaceDE w:val="0"/>
        <w:autoSpaceDN w:val="0"/>
        <w:ind w:left="227" w:right="3780" w:hanging="227"/>
        <w:rPr>
          <w:snapToGrid w:val="0"/>
          <w:kern w:val="22"/>
          <w:szCs w:val="22"/>
          <w:lang w:val="fr-FR" w:eastAsia="nb-NO"/>
        </w:rPr>
      </w:pPr>
      <w:r>
        <w:rPr>
          <w:snapToGrid w:val="0"/>
          <w:kern w:val="22"/>
          <w:szCs w:val="22"/>
          <w:lang w:val="fr-FR" w:eastAsia="nb-NO"/>
        </w:rPr>
        <w:t>Sharm El-Sheikh, É</w:t>
      </w:r>
      <w:r w:rsidR="00A82AD2" w:rsidRPr="00D37D26">
        <w:rPr>
          <w:snapToGrid w:val="0"/>
          <w:kern w:val="22"/>
          <w:szCs w:val="22"/>
          <w:lang w:val="fr-FR" w:eastAsia="nb-NO"/>
        </w:rPr>
        <w:t>gypte, 17-29 novembre 2018</w:t>
      </w:r>
    </w:p>
    <w:p w14:paraId="5E91B622" w14:textId="002BCAFC" w:rsidR="00A82AD2" w:rsidRDefault="00A82AD2" w:rsidP="00A82AD2">
      <w:pPr>
        <w:spacing w:after="360"/>
        <w:rPr>
          <w:lang w:val="fr-CA"/>
        </w:rPr>
      </w:pPr>
      <w:r w:rsidRPr="003B148B">
        <w:rPr>
          <w:lang w:val="fr-CA"/>
        </w:rPr>
        <w:t>Point 15 de l’ordre du jour</w:t>
      </w:r>
    </w:p>
    <w:p w14:paraId="7BBD7AED" w14:textId="7859751F" w:rsidR="00917F42" w:rsidRPr="00917F42" w:rsidRDefault="00917F42" w:rsidP="00917F42">
      <w:pPr>
        <w:spacing w:before="360" w:after="360"/>
        <w:jc w:val="center"/>
        <w:rPr>
          <w:b/>
          <w:caps/>
          <w:kern w:val="22"/>
          <w:szCs w:val="22"/>
          <w:lang w:val="fr-FR"/>
        </w:rPr>
      </w:pPr>
      <w:r>
        <w:rPr>
          <w:b/>
          <w:caps/>
          <w:kern w:val="22"/>
          <w:szCs w:val="22"/>
          <w:lang w:val="fr-FR"/>
        </w:rPr>
        <w:t>DÉCISION ADOPTÉE PAR LES PARTIES AU PROTOCOLE DE CARTAGENA SUR LA PRÉVENTION DES RISQUES BIOTECHNOLOGIQUES</w:t>
      </w:r>
    </w:p>
    <w:p w14:paraId="70A9BE08" w14:textId="66162E50" w:rsidR="00C9161D" w:rsidRPr="00D37D26" w:rsidRDefault="003D15FD" w:rsidP="00172AF6">
      <w:pPr>
        <w:spacing w:before="120" w:after="240"/>
        <w:jc w:val="center"/>
        <w:rPr>
          <w:b/>
          <w:caps/>
          <w:lang w:val="fr-FR"/>
        </w:rPr>
      </w:pPr>
      <w:sdt>
        <w:sdtPr>
          <w:rPr>
            <w:rFonts w:eastAsia="Malgun Gothic"/>
            <w:b/>
            <w:snapToGrid w:val="0"/>
            <w:lang w:val="fr-FR" w:eastAsia="x-none"/>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917F42">
            <w:rPr>
              <w:rFonts w:eastAsia="Malgun Gothic"/>
              <w:b/>
              <w:snapToGrid w:val="0"/>
              <w:lang w:val="fr-FR" w:eastAsia="x-none"/>
            </w:rPr>
            <w:t>9/13.      E</w:t>
          </w:r>
          <w:r w:rsidR="00917F42" w:rsidRPr="00D37D26">
            <w:rPr>
              <w:rFonts w:eastAsia="Malgun Gothic"/>
              <w:b/>
              <w:snapToGrid w:val="0"/>
              <w:lang w:val="fr-FR" w:eastAsia="x-none"/>
            </w:rPr>
            <w:t>valuation des risques et gestion des risques (articles 15 et 16)</w:t>
          </w:r>
        </w:sdtContent>
      </w:sdt>
      <w:r w:rsidR="00105372" w:rsidRPr="00D37D26">
        <w:rPr>
          <w:b/>
          <w:caps/>
          <w:lang w:val="fr-FR"/>
        </w:rPr>
        <w:t xml:space="preserve"> </w:t>
      </w:r>
    </w:p>
    <w:p w14:paraId="0C807432" w14:textId="0CABBD15" w:rsidR="00D37D26" w:rsidRPr="006E00F7" w:rsidRDefault="00D37D26" w:rsidP="00DC767F">
      <w:pPr>
        <w:pStyle w:val="Para1"/>
        <w:numPr>
          <w:ilvl w:val="0"/>
          <w:numId w:val="0"/>
        </w:numPr>
        <w:suppressLineNumbers/>
        <w:suppressAutoHyphens/>
        <w:kinsoku w:val="0"/>
        <w:overflowPunct w:val="0"/>
        <w:autoSpaceDE w:val="0"/>
        <w:autoSpaceDN w:val="0"/>
        <w:adjustRightInd w:val="0"/>
        <w:ind w:firstLine="709"/>
        <w:rPr>
          <w:i/>
          <w:kern w:val="22"/>
          <w:szCs w:val="22"/>
          <w:lang w:val="fr-FR"/>
        </w:rPr>
      </w:pPr>
      <w:r w:rsidRPr="00414731">
        <w:rPr>
          <w:i/>
          <w:kern w:val="22"/>
          <w:szCs w:val="22"/>
          <w:lang w:val="fr-FR"/>
        </w:rPr>
        <w:t>La Conférence des Parties siég</w:t>
      </w:r>
      <w:r w:rsidR="00917F42">
        <w:rPr>
          <w:i/>
          <w:kern w:val="22"/>
          <w:szCs w:val="22"/>
          <w:lang w:val="fr-FR"/>
        </w:rPr>
        <w:t xml:space="preserve">eant en tant que réunion des </w:t>
      </w:r>
      <w:r>
        <w:rPr>
          <w:i/>
          <w:kern w:val="22"/>
          <w:szCs w:val="22"/>
          <w:lang w:val="fr-FR"/>
        </w:rPr>
        <w:t>Parties au Pro</w:t>
      </w:r>
      <w:r w:rsidRPr="00414731">
        <w:rPr>
          <w:i/>
          <w:kern w:val="22"/>
          <w:szCs w:val="22"/>
          <w:lang w:val="fr-FR"/>
        </w:rPr>
        <w:t xml:space="preserve">tocole de Cartagena </w:t>
      </w:r>
      <w:r>
        <w:rPr>
          <w:i/>
          <w:kern w:val="22"/>
          <w:szCs w:val="22"/>
          <w:lang w:val="fr-FR"/>
        </w:rPr>
        <w:t xml:space="preserve">sur la prévention des risques </w:t>
      </w:r>
      <w:r w:rsidRPr="006E00F7">
        <w:rPr>
          <w:i/>
          <w:kern w:val="22"/>
          <w:szCs w:val="22"/>
          <w:lang w:val="fr-FR"/>
        </w:rPr>
        <w:t>biotechnologiques,</w:t>
      </w:r>
    </w:p>
    <w:p w14:paraId="0045039C" w14:textId="77777777" w:rsidR="00DC767F" w:rsidRDefault="00D37D26" w:rsidP="00DC767F">
      <w:pPr>
        <w:pStyle w:val="Para1"/>
        <w:numPr>
          <w:ilvl w:val="0"/>
          <w:numId w:val="0"/>
        </w:numPr>
        <w:suppressLineNumbers/>
        <w:suppressAutoHyphens/>
        <w:kinsoku w:val="0"/>
        <w:overflowPunct w:val="0"/>
        <w:autoSpaceDE w:val="0"/>
        <w:autoSpaceDN w:val="0"/>
        <w:snapToGrid w:val="0"/>
        <w:ind w:firstLine="709"/>
        <w:rPr>
          <w:kern w:val="22"/>
          <w:szCs w:val="22"/>
          <w:lang w:val="fr-CA"/>
        </w:rPr>
      </w:pPr>
      <w:r w:rsidRPr="006E00F7">
        <w:rPr>
          <w:i/>
          <w:kern w:val="22"/>
          <w:szCs w:val="22"/>
          <w:lang w:val="fr-CA" w:bidi="fr-FR"/>
        </w:rPr>
        <w:t>Rappelant</w:t>
      </w:r>
      <w:r w:rsidRPr="006E00F7">
        <w:rPr>
          <w:szCs w:val="22"/>
          <w:lang w:val="fr-CA" w:bidi="fr-FR"/>
        </w:rPr>
        <w:t xml:space="preserve"> </w:t>
      </w:r>
      <w:r w:rsidRPr="006E00F7">
        <w:rPr>
          <w:kern w:val="22"/>
          <w:szCs w:val="22"/>
          <w:lang w:val="fr-CA" w:bidi="fr-FR"/>
        </w:rPr>
        <w:t>les décisions </w:t>
      </w:r>
      <w:hyperlink r:id="rId12" w:history="1">
        <w:r w:rsidRPr="006E00F7">
          <w:rPr>
            <w:rStyle w:val="Hyperlink"/>
            <w:sz w:val="22"/>
            <w:szCs w:val="22"/>
            <w:lang w:val="fr-CA" w:bidi="fr-FR"/>
          </w:rPr>
          <w:t>BS</w:t>
        </w:r>
        <w:r w:rsidRPr="006E00F7">
          <w:rPr>
            <w:rStyle w:val="Hyperlink"/>
            <w:sz w:val="22"/>
            <w:szCs w:val="22"/>
            <w:lang w:val="fr-CA" w:bidi="fr-FR"/>
          </w:rPr>
          <w:noBreakHyphen/>
        </w:r>
        <w:r w:rsidRPr="006E00F7">
          <w:rPr>
            <w:rStyle w:val="Hyperlink"/>
            <w:kern w:val="22"/>
            <w:sz w:val="22"/>
            <w:szCs w:val="22"/>
            <w:lang w:val="fr-CA" w:bidi="fr-FR"/>
          </w:rPr>
          <w:t>VII/12</w:t>
        </w:r>
      </w:hyperlink>
      <w:r w:rsidRPr="006E00F7">
        <w:rPr>
          <w:kern w:val="22"/>
          <w:szCs w:val="22"/>
          <w:lang w:val="fr-CA" w:bidi="fr-FR"/>
        </w:rPr>
        <w:t xml:space="preserve"> et </w:t>
      </w:r>
      <w:hyperlink r:id="rId13" w:history="1">
        <w:r w:rsidRPr="006E00F7">
          <w:rPr>
            <w:rStyle w:val="Hyperlink"/>
            <w:kern w:val="22"/>
            <w:sz w:val="22"/>
            <w:szCs w:val="22"/>
            <w:lang w:val="fr-CA" w:bidi="fr-FR"/>
          </w:rPr>
          <w:t>XII/24</w:t>
        </w:r>
      </w:hyperlink>
      <w:r w:rsidRPr="006E00F7">
        <w:rPr>
          <w:kern w:val="22"/>
          <w:szCs w:val="22"/>
          <w:lang w:val="fr-CA" w:bidi="fr-FR"/>
        </w:rPr>
        <w:t xml:space="preserve"> qui</w:t>
      </w:r>
      <w:r w:rsidRPr="00860D94">
        <w:rPr>
          <w:kern w:val="22"/>
          <w:szCs w:val="22"/>
          <w:lang w:val="fr-CA" w:bidi="fr-FR"/>
        </w:rPr>
        <w:t xml:space="preserve"> recommandent une approche coordonnée sur la question de la </w:t>
      </w:r>
      <w:r>
        <w:rPr>
          <w:kern w:val="22"/>
          <w:szCs w:val="22"/>
          <w:lang w:val="fr-CA" w:bidi="fr-FR"/>
        </w:rPr>
        <w:t>biologie de synthèse</w:t>
      </w:r>
      <w:r w:rsidRPr="00860D94">
        <w:rPr>
          <w:kern w:val="22"/>
          <w:szCs w:val="22"/>
          <w:lang w:val="fr-CA" w:bidi="fr-FR"/>
        </w:rPr>
        <w:t>,</w:t>
      </w:r>
    </w:p>
    <w:p w14:paraId="21745AF2" w14:textId="07115B98" w:rsidR="00D37D26" w:rsidRPr="00860D94" w:rsidRDefault="00D37D26" w:rsidP="00DC767F">
      <w:pPr>
        <w:pStyle w:val="Para1"/>
        <w:numPr>
          <w:ilvl w:val="0"/>
          <w:numId w:val="0"/>
        </w:numPr>
        <w:suppressLineNumbers/>
        <w:suppressAutoHyphens/>
        <w:kinsoku w:val="0"/>
        <w:overflowPunct w:val="0"/>
        <w:autoSpaceDE w:val="0"/>
        <w:autoSpaceDN w:val="0"/>
        <w:snapToGrid w:val="0"/>
        <w:ind w:firstLine="709"/>
        <w:rPr>
          <w:kern w:val="22"/>
          <w:szCs w:val="22"/>
          <w:lang w:val="fr-CA"/>
        </w:rPr>
      </w:pPr>
      <w:r w:rsidRPr="00860D94">
        <w:rPr>
          <w:i/>
          <w:kern w:val="22"/>
          <w:szCs w:val="22"/>
          <w:lang w:val="fr-CA" w:bidi="fr-FR"/>
        </w:rPr>
        <w:t>Réaffirmant</w:t>
      </w:r>
      <w:r>
        <w:rPr>
          <w:kern w:val="22"/>
          <w:szCs w:val="22"/>
          <w:lang w:val="fr-CA" w:bidi="fr-FR"/>
        </w:rPr>
        <w:t xml:space="preserve"> la décision </w:t>
      </w:r>
      <w:r w:rsidRPr="00860D94">
        <w:rPr>
          <w:kern w:val="22"/>
          <w:szCs w:val="22"/>
          <w:lang w:val="fr-CA" w:bidi="fr-FR"/>
        </w:rPr>
        <w:t>XII/24 de la Conférence</w:t>
      </w:r>
      <w:r>
        <w:rPr>
          <w:kern w:val="22"/>
          <w:szCs w:val="22"/>
          <w:lang w:val="fr-CA" w:bidi="fr-FR"/>
        </w:rPr>
        <w:t xml:space="preserve"> des Parties qui exhorte</w:t>
      </w:r>
      <w:r w:rsidRPr="00860D94">
        <w:rPr>
          <w:kern w:val="22"/>
          <w:szCs w:val="22"/>
          <w:lang w:val="fr-CA" w:bidi="fr-FR"/>
        </w:rPr>
        <w:t xml:space="preserve"> les Parties et invite </w:t>
      </w:r>
      <w:r>
        <w:rPr>
          <w:kern w:val="22"/>
          <w:szCs w:val="22"/>
          <w:lang w:val="fr-CA" w:bidi="fr-FR"/>
        </w:rPr>
        <w:t>les autres gouvernements à utilis</w:t>
      </w:r>
      <w:r w:rsidRPr="00860D94">
        <w:rPr>
          <w:kern w:val="22"/>
          <w:szCs w:val="22"/>
          <w:lang w:val="fr-CA" w:bidi="fr-FR"/>
        </w:rPr>
        <w:t>er une approche de précaution</w:t>
      </w:r>
      <w:r w:rsidRPr="00860D94">
        <w:rPr>
          <w:szCs w:val="22"/>
          <w:lang w:val="fr-CA" w:bidi="fr-FR"/>
        </w:rPr>
        <w:t xml:space="preserve">, conformément au préambule </w:t>
      </w:r>
      <w:r w:rsidR="00DC767F">
        <w:rPr>
          <w:szCs w:val="22"/>
          <w:lang w:val="fr-CA" w:bidi="fr-FR"/>
        </w:rPr>
        <w:t>de la Convention et à son ar</w:t>
      </w:r>
      <w:r>
        <w:rPr>
          <w:szCs w:val="22"/>
          <w:lang w:val="fr-CA" w:bidi="fr-FR"/>
        </w:rPr>
        <w:t>ticle 14, pour gérer les</w:t>
      </w:r>
      <w:r w:rsidRPr="00860D94">
        <w:rPr>
          <w:szCs w:val="22"/>
          <w:lang w:val="fr-CA" w:bidi="fr-FR"/>
        </w:rPr>
        <w:t xml:space="preserve"> menaces de réduction ou de perte significati</w:t>
      </w:r>
      <w:r>
        <w:rPr>
          <w:szCs w:val="22"/>
          <w:lang w:val="fr-CA" w:bidi="fr-FR"/>
        </w:rPr>
        <w:t>ve de diversité biologique présentées</w:t>
      </w:r>
      <w:r w:rsidRPr="00860D94">
        <w:rPr>
          <w:szCs w:val="22"/>
          <w:lang w:val="fr-CA" w:bidi="fr-FR"/>
        </w:rPr>
        <w:t xml:space="preserve"> par les organism</w:t>
      </w:r>
      <w:bookmarkStart w:id="0" w:name="_GoBack"/>
      <w:bookmarkEnd w:id="0"/>
      <w:r w:rsidRPr="00860D94">
        <w:rPr>
          <w:szCs w:val="22"/>
          <w:lang w:val="fr-CA" w:bidi="fr-FR"/>
        </w:rPr>
        <w:t xml:space="preserve">es, les composants et les produits issus de la </w:t>
      </w:r>
      <w:r>
        <w:rPr>
          <w:szCs w:val="22"/>
          <w:lang w:val="fr-CA" w:bidi="fr-FR"/>
        </w:rPr>
        <w:t>biologie de synthèse, conformément aux dispositions de</w:t>
      </w:r>
      <w:r w:rsidRPr="00860D94">
        <w:rPr>
          <w:szCs w:val="22"/>
          <w:lang w:val="fr-CA" w:bidi="fr-FR"/>
        </w:rPr>
        <w:t xml:space="preserve"> </w:t>
      </w:r>
      <w:r>
        <w:rPr>
          <w:szCs w:val="22"/>
          <w:lang w:val="fr-CA" w:bidi="fr-FR"/>
        </w:rPr>
        <w:t xml:space="preserve">la législation nationale et aux autres </w:t>
      </w:r>
      <w:r w:rsidRPr="00860D94">
        <w:rPr>
          <w:szCs w:val="22"/>
          <w:lang w:val="fr-CA" w:bidi="fr-FR"/>
        </w:rPr>
        <w:t>obligations internationales pertinentes,</w:t>
      </w:r>
    </w:p>
    <w:p w14:paraId="07D1B023" w14:textId="499A6859" w:rsidR="00D37D26" w:rsidRPr="00860D94" w:rsidRDefault="00D37D26" w:rsidP="00D37D26">
      <w:pPr>
        <w:pStyle w:val="Para1"/>
        <w:numPr>
          <w:ilvl w:val="0"/>
          <w:numId w:val="23"/>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 xml:space="preserve">Note </w:t>
      </w:r>
      <w:r w:rsidR="00D35A43">
        <w:rPr>
          <w:kern w:val="22"/>
          <w:szCs w:val="22"/>
          <w:lang w:val="fr-CA" w:bidi="fr-FR"/>
        </w:rPr>
        <w:t>la disponibilité de nombreux d</w:t>
      </w:r>
      <w:r w:rsidRPr="00860D94">
        <w:rPr>
          <w:kern w:val="22"/>
          <w:szCs w:val="22"/>
          <w:lang w:val="fr-CA" w:bidi="fr-FR"/>
        </w:rPr>
        <w:t>ocuments d</w:t>
      </w:r>
      <w:r>
        <w:rPr>
          <w:kern w:val="22"/>
          <w:szCs w:val="22"/>
          <w:lang w:val="fr-CA" w:bidi="fr-FR"/>
        </w:rPr>
        <w:t>’</w:t>
      </w:r>
      <w:r w:rsidRPr="00860D94">
        <w:rPr>
          <w:kern w:val="22"/>
          <w:szCs w:val="22"/>
          <w:lang w:val="fr-CA" w:bidi="fr-FR"/>
        </w:rPr>
        <w:t>orientation et d</w:t>
      </w:r>
      <w:r>
        <w:rPr>
          <w:kern w:val="22"/>
          <w:szCs w:val="22"/>
          <w:lang w:val="fr-CA" w:bidi="fr-FR"/>
        </w:rPr>
        <w:t>’autres ressources pour appuye</w:t>
      </w:r>
      <w:r w:rsidRPr="00860D94">
        <w:rPr>
          <w:kern w:val="22"/>
          <w:szCs w:val="22"/>
          <w:lang w:val="fr-CA" w:bidi="fr-FR"/>
        </w:rPr>
        <w:t>r le processus d</w:t>
      </w:r>
      <w:r>
        <w:rPr>
          <w:kern w:val="22"/>
          <w:szCs w:val="22"/>
          <w:lang w:val="fr-CA" w:bidi="fr-FR"/>
        </w:rPr>
        <w:t>’</w:t>
      </w:r>
      <w:r w:rsidRPr="00860D94">
        <w:rPr>
          <w:kern w:val="22"/>
          <w:szCs w:val="22"/>
          <w:lang w:val="fr-CA" w:bidi="fr-FR"/>
        </w:rPr>
        <w:t xml:space="preserve">évaluation des risques, mais </w:t>
      </w:r>
      <w:r w:rsidRPr="00860D94">
        <w:rPr>
          <w:i/>
          <w:kern w:val="22"/>
          <w:szCs w:val="22"/>
          <w:lang w:val="fr-CA" w:bidi="fr-FR"/>
        </w:rPr>
        <w:t>reconnaît</w:t>
      </w:r>
      <w:r w:rsidRPr="00860D94">
        <w:rPr>
          <w:kern w:val="22"/>
          <w:szCs w:val="22"/>
          <w:lang w:val="fr-CA" w:bidi="fr-FR"/>
        </w:rPr>
        <w:t xml:space="preserve"> les lacunes et les besoins</w:t>
      </w:r>
      <w:r>
        <w:rPr>
          <w:kern w:val="22"/>
          <w:szCs w:val="22"/>
          <w:lang w:val="fr-CA" w:bidi="fr-FR"/>
        </w:rPr>
        <w:t xml:space="preserve"> recensés par certaines Parties;</w:t>
      </w:r>
    </w:p>
    <w:p w14:paraId="125EE75D" w14:textId="7A76BDF9" w:rsidR="00D37D26" w:rsidRDefault="00D37D26" w:rsidP="00D37D26">
      <w:pPr>
        <w:pStyle w:val="Para1"/>
        <w:numPr>
          <w:ilvl w:val="0"/>
          <w:numId w:val="23"/>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Constate</w:t>
      </w:r>
      <w:r w:rsidR="00D35A43">
        <w:rPr>
          <w:kern w:val="22"/>
          <w:szCs w:val="22"/>
          <w:lang w:val="fr-CA" w:bidi="fr-FR"/>
        </w:rPr>
        <w:t xml:space="preserve"> la divergence de vues entre </w:t>
      </w:r>
      <w:r w:rsidRPr="00860D94">
        <w:rPr>
          <w:kern w:val="22"/>
          <w:szCs w:val="22"/>
          <w:lang w:val="fr-CA" w:bidi="fr-FR"/>
        </w:rPr>
        <w:t>les Parti</w:t>
      </w:r>
      <w:r>
        <w:rPr>
          <w:kern w:val="22"/>
          <w:szCs w:val="22"/>
          <w:lang w:val="fr-CA" w:bidi="fr-FR"/>
        </w:rPr>
        <w:t xml:space="preserve">es sur le point de savoir si des orientations </w:t>
      </w:r>
      <w:r w:rsidRPr="00860D94">
        <w:rPr>
          <w:kern w:val="22"/>
          <w:szCs w:val="22"/>
          <w:lang w:val="fr-CA" w:bidi="fr-FR"/>
        </w:rPr>
        <w:t>supplémentaires sur des aspects spécifiques de l</w:t>
      </w:r>
      <w:r>
        <w:rPr>
          <w:kern w:val="22"/>
          <w:szCs w:val="22"/>
          <w:lang w:val="fr-CA" w:bidi="fr-FR"/>
        </w:rPr>
        <w:t>’évaluation des risques sont requises;</w:t>
      </w:r>
    </w:p>
    <w:p w14:paraId="5DDE9A8C" w14:textId="6F0D624F" w:rsidR="00D37D26" w:rsidRPr="009B7EAC" w:rsidRDefault="00D37D26" w:rsidP="00D37D26">
      <w:pPr>
        <w:pStyle w:val="Para1"/>
        <w:numPr>
          <w:ilvl w:val="0"/>
          <w:numId w:val="23"/>
        </w:numPr>
        <w:suppressLineNumbers/>
        <w:tabs>
          <w:tab w:val="left" w:pos="720"/>
        </w:tabs>
        <w:suppressAutoHyphens/>
        <w:kinsoku w:val="0"/>
        <w:overflowPunct w:val="0"/>
        <w:autoSpaceDE w:val="0"/>
        <w:autoSpaceDN w:val="0"/>
        <w:snapToGrid w:val="0"/>
        <w:ind w:left="0" w:firstLine="720"/>
        <w:rPr>
          <w:kern w:val="22"/>
          <w:szCs w:val="22"/>
          <w:lang w:val="fr-CA"/>
        </w:rPr>
      </w:pPr>
      <w:r w:rsidRPr="009B7EAC">
        <w:rPr>
          <w:i/>
          <w:snapToGrid/>
          <w:spacing w:val="-4"/>
          <w:kern w:val="22"/>
          <w:szCs w:val="22"/>
          <w:lang w:val="fr-CA"/>
        </w:rPr>
        <w:t xml:space="preserve">Reconnaît aussi </w:t>
      </w:r>
      <w:r w:rsidRPr="009B7EAC">
        <w:rPr>
          <w:snapToGrid/>
          <w:spacing w:val="-4"/>
          <w:kern w:val="22"/>
          <w:szCs w:val="22"/>
          <w:lang w:val="fr-CA"/>
        </w:rPr>
        <w:t>que</w:t>
      </w:r>
      <w:r w:rsidR="00E01135">
        <w:rPr>
          <w:snapToGrid/>
          <w:spacing w:val="-4"/>
          <w:kern w:val="22"/>
          <w:szCs w:val="22"/>
          <w:lang w:val="fr-CA"/>
        </w:rPr>
        <w:t>,</w:t>
      </w:r>
      <w:r w:rsidR="00E01135" w:rsidRPr="00E01135">
        <w:rPr>
          <w:snapToGrid/>
          <w:spacing w:val="-4"/>
          <w:kern w:val="22"/>
          <w:szCs w:val="22"/>
          <w:lang w:val="fr-CA"/>
        </w:rPr>
        <w:t xml:space="preserve"> </w:t>
      </w:r>
      <w:r w:rsidR="00E01135">
        <w:rPr>
          <w:snapToGrid/>
          <w:spacing w:val="-4"/>
          <w:kern w:val="22"/>
          <w:szCs w:val="22"/>
          <w:lang w:val="fr-CA"/>
        </w:rPr>
        <w:t xml:space="preserve">puisque des </w:t>
      </w:r>
      <w:r w:rsidR="00E01135" w:rsidRPr="009B7EAC">
        <w:rPr>
          <w:snapToGrid/>
          <w:spacing w:val="-4"/>
          <w:kern w:val="22"/>
          <w:szCs w:val="22"/>
          <w:lang w:val="fr-CA"/>
        </w:rPr>
        <w:t xml:space="preserve">effets défavorables potentiels </w:t>
      </w:r>
      <w:r w:rsidR="00E01135">
        <w:rPr>
          <w:snapToGrid/>
          <w:spacing w:val="-4"/>
          <w:kern w:val="22"/>
          <w:szCs w:val="22"/>
          <w:lang w:val="fr-CA"/>
        </w:rPr>
        <w:t>peuvent résulter d’organismes résultant du forçage génétique,</w:t>
      </w:r>
      <w:r>
        <w:rPr>
          <w:snapToGrid/>
          <w:spacing w:val="-4"/>
          <w:kern w:val="22"/>
          <w:szCs w:val="22"/>
          <w:lang w:val="fr-CA"/>
        </w:rPr>
        <w:t xml:space="preserve"> </w:t>
      </w:r>
      <w:r w:rsidR="00E01135">
        <w:rPr>
          <w:snapToGrid/>
          <w:spacing w:val="-4"/>
          <w:kern w:val="22"/>
          <w:szCs w:val="22"/>
          <w:lang w:val="fr-CA"/>
        </w:rPr>
        <w:t xml:space="preserve">il convient d’effectuer </w:t>
      </w:r>
      <w:r>
        <w:rPr>
          <w:snapToGrid/>
          <w:spacing w:val="-4"/>
          <w:kern w:val="22"/>
          <w:szCs w:val="22"/>
          <w:lang w:val="fr-CA"/>
        </w:rPr>
        <w:t>des recherches et analyses et des orientations précises peuvent être utiles pour appuyer une évaluation des risques au cas par cas</w:t>
      </w:r>
      <w:r w:rsidR="00E01135">
        <w:rPr>
          <w:snapToGrid/>
          <w:spacing w:val="-4"/>
          <w:kern w:val="22"/>
          <w:szCs w:val="22"/>
          <w:lang w:val="fr-CA"/>
        </w:rPr>
        <w:t>,</w:t>
      </w:r>
      <w:r w:rsidR="00E01135" w:rsidRPr="00E01135">
        <w:rPr>
          <w:snapToGrid/>
          <w:spacing w:val="-4"/>
          <w:kern w:val="22"/>
          <w:szCs w:val="22"/>
          <w:lang w:val="fr-CA"/>
        </w:rPr>
        <w:t xml:space="preserve"> </w:t>
      </w:r>
      <w:r w:rsidR="00E01135" w:rsidRPr="009B7EAC">
        <w:rPr>
          <w:snapToGrid/>
          <w:spacing w:val="-4"/>
          <w:kern w:val="22"/>
          <w:szCs w:val="22"/>
          <w:lang w:val="fr-CA"/>
        </w:rPr>
        <w:t>av</w:t>
      </w:r>
      <w:r w:rsidR="00E01135">
        <w:rPr>
          <w:snapToGrid/>
          <w:spacing w:val="-4"/>
          <w:kern w:val="22"/>
          <w:szCs w:val="22"/>
          <w:lang w:val="fr-CA"/>
        </w:rPr>
        <w:t>ant d’envisager</w:t>
      </w:r>
      <w:r w:rsidR="00E01135" w:rsidRPr="009B7EAC">
        <w:rPr>
          <w:snapToGrid/>
          <w:spacing w:val="-4"/>
          <w:kern w:val="22"/>
          <w:szCs w:val="22"/>
          <w:lang w:val="fr-CA"/>
        </w:rPr>
        <w:t xml:space="preserve"> </w:t>
      </w:r>
      <w:r w:rsidR="00E01135">
        <w:rPr>
          <w:snapToGrid/>
          <w:spacing w:val="-4"/>
          <w:kern w:val="22"/>
          <w:szCs w:val="22"/>
          <w:lang w:val="fr-CA"/>
        </w:rPr>
        <w:t xml:space="preserve">la libération de tels </w:t>
      </w:r>
      <w:r w:rsidR="00E01135" w:rsidRPr="009B7EAC">
        <w:rPr>
          <w:snapToGrid/>
          <w:spacing w:val="-4"/>
          <w:kern w:val="22"/>
          <w:szCs w:val="22"/>
          <w:lang w:val="fr-CA"/>
        </w:rPr>
        <w:t>organism</w:t>
      </w:r>
      <w:r w:rsidR="00E01135">
        <w:rPr>
          <w:snapToGrid/>
          <w:spacing w:val="-4"/>
          <w:kern w:val="22"/>
          <w:szCs w:val="22"/>
          <w:lang w:val="fr-CA"/>
        </w:rPr>
        <w:t>e</w:t>
      </w:r>
      <w:r w:rsidR="00E01135" w:rsidRPr="009B7EAC">
        <w:rPr>
          <w:snapToGrid/>
          <w:spacing w:val="-4"/>
          <w:kern w:val="22"/>
          <w:szCs w:val="22"/>
          <w:lang w:val="fr-CA"/>
        </w:rPr>
        <w:t>s</w:t>
      </w:r>
      <w:r w:rsidR="00E01135">
        <w:rPr>
          <w:snapToGrid/>
          <w:spacing w:val="-4"/>
          <w:kern w:val="22"/>
          <w:szCs w:val="22"/>
          <w:lang w:val="fr-CA"/>
        </w:rPr>
        <w:t xml:space="preserve"> dans l’environnement</w:t>
      </w:r>
      <w:r w:rsidRPr="009B7EAC">
        <w:rPr>
          <w:snapToGrid/>
          <w:spacing w:val="-4"/>
          <w:kern w:val="22"/>
          <w:szCs w:val="22"/>
          <w:lang w:val="fr-CA"/>
        </w:rPr>
        <w:t>;</w:t>
      </w:r>
    </w:p>
    <w:p w14:paraId="3FDBDCCD" w14:textId="4F2008BE" w:rsidR="00D37D26" w:rsidRPr="007B787A" w:rsidRDefault="00D37D26" w:rsidP="00D37D26">
      <w:pPr>
        <w:pStyle w:val="Para1"/>
        <w:numPr>
          <w:ilvl w:val="0"/>
          <w:numId w:val="23"/>
        </w:numPr>
        <w:suppressLineNumbers/>
        <w:tabs>
          <w:tab w:val="left" w:pos="720"/>
        </w:tabs>
        <w:suppressAutoHyphens/>
        <w:kinsoku w:val="0"/>
        <w:overflowPunct w:val="0"/>
        <w:autoSpaceDE w:val="0"/>
        <w:autoSpaceDN w:val="0"/>
        <w:snapToGrid w:val="0"/>
        <w:ind w:left="0" w:firstLine="720"/>
        <w:rPr>
          <w:kern w:val="22"/>
          <w:szCs w:val="22"/>
          <w:lang w:val="fr-CA"/>
        </w:rPr>
      </w:pPr>
      <w:r w:rsidRPr="007B787A">
        <w:rPr>
          <w:i/>
          <w:snapToGrid/>
          <w:kern w:val="22"/>
          <w:szCs w:val="22"/>
          <w:lang w:val="fr-CA"/>
        </w:rPr>
        <w:t>Prend note</w:t>
      </w:r>
      <w:r w:rsidR="00E01135">
        <w:rPr>
          <w:snapToGrid/>
          <w:kern w:val="22"/>
          <w:szCs w:val="22"/>
          <w:lang w:val="fr-CA"/>
        </w:rPr>
        <w:t xml:space="preserve"> des conclusions du G</w:t>
      </w:r>
      <w:r w:rsidRPr="007B787A">
        <w:rPr>
          <w:snapToGrid/>
          <w:kern w:val="22"/>
          <w:szCs w:val="22"/>
          <w:lang w:val="fr-CA"/>
        </w:rPr>
        <w:t>roupe spécial d’experts techniqu</w:t>
      </w:r>
      <w:r>
        <w:rPr>
          <w:snapToGrid/>
          <w:kern w:val="22"/>
          <w:szCs w:val="22"/>
          <w:lang w:val="fr-CA"/>
        </w:rPr>
        <w:t>es sur la biologie de synthèse, à savoir, qu’</w:t>
      </w:r>
      <w:r w:rsidRPr="007B787A">
        <w:rPr>
          <w:snapToGrid/>
          <w:kern w:val="22"/>
          <w:szCs w:val="22"/>
          <w:lang w:val="fr-CA"/>
        </w:rPr>
        <w:t>en raison des incertitu</w:t>
      </w:r>
      <w:r>
        <w:rPr>
          <w:snapToGrid/>
          <w:kern w:val="22"/>
          <w:szCs w:val="22"/>
          <w:lang w:val="fr-CA"/>
        </w:rPr>
        <w:t>des actuelles concern</w:t>
      </w:r>
      <w:r w:rsidRPr="007B787A">
        <w:rPr>
          <w:snapToGrid/>
          <w:kern w:val="22"/>
          <w:szCs w:val="22"/>
          <w:lang w:val="fr-CA"/>
        </w:rPr>
        <w:t>ant le forçage génétique, il convient d’obtenir le consente</w:t>
      </w:r>
      <w:r>
        <w:rPr>
          <w:snapToGrid/>
          <w:kern w:val="22"/>
          <w:szCs w:val="22"/>
          <w:lang w:val="fr-CA"/>
        </w:rPr>
        <w:t>ment préalable, donné librement et en connaissance de cause des peu</w:t>
      </w:r>
      <w:r w:rsidRPr="007B787A">
        <w:rPr>
          <w:snapToGrid/>
          <w:kern w:val="22"/>
          <w:szCs w:val="22"/>
          <w:lang w:val="fr-CA"/>
        </w:rPr>
        <w:t>ples autochtones et communautés locales lorsqu</w:t>
      </w:r>
      <w:r>
        <w:rPr>
          <w:snapToGrid/>
          <w:kern w:val="22"/>
          <w:szCs w:val="22"/>
          <w:lang w:val="fr-CA"/>
        </w:rPr>
        <w:t xml:space="preserve">’une libération éventuelle d’organismes résultant du forçage génétique est envisagée, qui peuvent avoir un </w:t>
      </w:r>
      <w:r w:rsidRPr="007B787A">
        <w:rPr>
          <w:snapToGrid/>
          <w:kern w:val="22"/>
          <w:szCs w:val="22"/>
          <w:lang w:val="fr-CA"/>
        </w:rPr>
        <w:t xml:space="preserve">impact </w:t>
      </w:r>
      <w:r>
        <w:rPr>
          <w:snapToGrid/>
          <w:kern w:val="22"/>
          <w:szCs w:val="22"/>
          <w:lang w:val="fr-CA"/>
        </w:rPr>
        <w:t>sur leurs connaissances</w:t>
      </w:r>
      <w:r w:rsidRPr="007B787A">
        <w:rPr>
          <w:snapToGrid/>
          <w:kern w:val="22"/>
          <w:szCs w:val="22"/>
          <w:lang w:val="fr-CA"/>
        </w:rPr>
        <w:t>, innovation</w:t>
      </w:r>
      <w:r>
        <w:rPr>
          <w:snapToGrid/>
          <w:kern w:val="22"/>
          <w:szCs w:val="22"/>
          <w:lang w:val="fr-CA"/>
        </w:rPr>
        <w:t>s, pratiques, moyens de subsistance et utilisations traditionnels des terres et des eaux</w:t>
      </w:r>
      <w:r w:rsidRPr="007B787A">
        <w:rPr>
          <w:snapToGrid/>
          <w:kern w:val="22"/>
          <w:szCs w:val="22"/>
          <w:lang w:val="fr-CA"/>
        </w:rPr>
        <w:t>;</w:t>
      </w:r>
    </w:p>
    <w:p w14:paraId="70B28C8C" w14:textId="38E0E547" w:rsidR="00D37D26" w:rsidRPr="00860D94" w:rsidRDefault="00D37D26" w:rsidP="00D37D26">
      <w:pPr>
        <w:pStyle w:val="Para1"/>
        <w:numPr>
          <w:ilvl w:val="0"/>
          <w:numId w:val="23"/>
        </w:numPr>
        <w:suppressLineNumbers/>
        <w:suppressAutoHyphens/>
        <w:kinsoku w:val="0"/>
        <w:overflowPunct w:val="0"/>
        <w:autoSpaceDE w:val="0"/>
        <w:autoSpaceDN w:val="0"/>
        <w:snapToGrid w:val="0"/>
        <w:ind w:left="0" w:firstLine="709"/>
        <w:rPr>
          <w:kern w:val="22"/>
          <w:szCs w:val="22"/>
          <w:lang w:val="fr-CA"/>
        </w:rPr>
      </w:pPr>
      <w:r>
        <w:rPr>
          <w:i/>
          <w:kern w:val="22"/>
          <w:szCs w:val="22"/>
          <w:lang w:val="fr-CA" w:bidi="fr-FR"/>
        </w:rPr>
        <w:lastRenderedPageBreak/>
        <w:t xml:space="preserve">Demande </w:t>
      </w:r>
      <w:r>
        <w:rPr>
          <w:kern w:val="22"/>
          <w:szCs w:val="22"/>
          <w:lang w:val="fr-CA" w:bidi="fr-FR"/>
        </w:rPr>
        <w:t>une large coopération internationale, un</w:t>
      </w:r>
      <w:r w:rsidRPr="00860D94">
        <w:rPr>
          <w:kern w:val="22"/>
          <w:szCs w:val="22"/>
          <w:lang w:val="fr-CA" w:bidi="fr-FR"/>
        </w:rPr>
        <w:t xml:space="preserve"> partage des connaissances et </w:t>
      </w:r>
      <w:r>
        <w:rPr>
          <w:kern w:val="22"/>
          <w:szCs w:val="22"/>
          <w:lang w:val="fr-CA" w:bidi="fr-FR"/>
        </w:rPr>
        <w:t xml:space="preserve">un renforcement </w:t>
      </w:r>
      <w:r w:rsidRPr="00860D94">
        <w:rPr>
          <w:kern w:val="22"/>
          <w:szCs w:val="22"/>
          <w:lang w:val="fr-CA" w:bidi="fr-FR"/>
        </w:rPr>
        <w:t>des capacités pour soutenir</w:t>
      </w:r>
      <w:r>
        <w:rPr>
          <w:kern w:val="22"/>
          <w:szCs w:val="22"/>
          <w:lang w:val="fr-CA" w:bidi="fr-FR"/>
        </w:rPr>
        <w:t xml:space="preserve">, entre autres, les Parties dans l’évaluation des </w:t>
      </w:r>
      <w:r w:rsidRPr="00860D94">
        <w:rPr>
          <w:kern w:val="22"/>
          <w:szCs w:val="22"/>
          <w:lang w:val="fr-CA" w:bidi="fr-FR"/>
        </w:rPr>
        <w:t>effets défavorables</w:t>
      </w:r>
      <w:r>
        <w:rPr>
          <w:kern w:val="22"/>
          <w:szCs w:val="22"/>
          <w:lang w:val="fr-CA" w:bidi="fr-FR"/>
        </w:rPr>
        <w:t xml:space="preserve"> potentiels sur </w:t>
      </w:r>
      <w:r w:rsidRPr="00860D94">
        <w:rPr>
          <w:kern w:val="22"/>
          <w:szCs w:val="22"/>
          <w:lang w:val="fr-CA" w:bidi="fr-FR"/>
        </w:rPr>
        <w:t xml:space="preserve">la conservation et </w:t>
      </w:r>
      <w:r>
        <w:rPr>
          <w:kern w:val="22"/>
          <w:szCs w:val="22"/>
          <w:lang w:val="fr-CA" w:bidi="fr-FR"/>
        </w:rPr>
        <w:t>l’</w:t>
      </w:r>
      <w:r w:rsidRPr="00860D94">
        <w:rPr>
          <w:kern w:val="22"/>
          <w:szCs w:val="22"/>
          <w:lang w:val="fr-CA" w:bidi="fr-FR"/>
        </w:rPr>
        <w:t>utilisation durab</w:t>
      </w:r>
      <w:r>
        <w:rPr>
          <w:kern w:val="22"/>
          <w:szCs w:val="22"/>
          <w:lang w:val="fr-CA" w:bidi="fr-FR"/>
        </w:rPr>
        <w:t>le de la diversité biologique résultant</w:t>
      </w:r>
      <w:r w:rsidRPr="00860D94">
        <w:rPr>
          <w:kern w:val="22"/>
          <w:szCs w:val="22"/>
          <w:lang w:val="fr-CA" w:bidi="fr-FR"/>
        </w:rPr>
        <w:t xml:space="preserve"> </w:t>
      </w:r>
      <w:r w:rsidR="006E00F7">
        <w:rPr>
          <w:lang w:val="fr-CA" w:bidi="fr-FR"/>
        </w:rPr>
        <w:t>de poissons vi</w:t>
      </w:r>
      <w:r w:rsidR="00143F32">
        <w:rPr>
          <w:lang w:val="fr-CA" w:bidi="fr-FR"/>
        </w:rPr>
        <w:t xml:space="preserve">vants modifiés ou </w:t>
      </w:r>
      <w:r w:rsidR="006E00F7">
        <w:rPr>
          <w:lang w:val="fr-CA" w:bidi="fr-FR"/>
        </w:rPr>
        <w:t>d’autres</w:t>
      </w:r>
      <w:r>
        <w:rPr>
          <w:lang w:val="fr-CA" w:bidi="fr-FR"/>
        </w:rPr>
        <w:t xml:space="preserve"> </w:t>
      </w:r>
      <w:r w:rsidRPr="00860D94">
        <w:rPr>
          <w:lang w:val="fr-CA" w:bidi="fr-FR"/>
        </w:rPr>
        <w:t xml:space="preserve">organismes vivants modifiés </w:t>
      </w:r>
      <w:r w:rsidRPr="00860D94">
        <w:rPr>
          <w:kern w:val="22"/>
          <w:szCs w:val="22"/>
          <w:lang w:val="fr-CA" w:bidi="fr-FR"/>
        </w:rPr>
        <w:t xml:space="preserve">produits </w:t>
      </w:r>
      <w:r w:rsidR="00143F32">
        <w:rPr>
          <w:kern w:val="22"/>
          <w:szCs w:val="22"/>
          <w:lang w:val="fr-CA" w:bidi="fr-FR"/>
        </w:rPr>
        <w:t>par les</w:t>
      </w:r>
      <w:r w:rsidR="006E00F7">
        <w:rPr>
          <w:kern w:val="22"/>
          <w:szCs w:val="22"/>
          <w:lang w:val="fr-CA" w:bidi="fr-FR"/>
        </w:rPr>
        <w:t xml:space="preserve"> nouvelles avancées de la biotechnologie mod</w:t>
      </w:r>
      <w:r w:rsidR="00143F32">
        <w:rPr>
          <w:kern w:val="22"/>
          <w:szCs w:val="22"/>
          <w:lang w:val="fr-CA" w:bidi="fr-FR"/>
        </w:rPr>
        <w:t xml:space="preserve">erne, y compris </w:t>
      </w:r>
      <w:r w:rsidR="00E01135">
        <w:rPr>
          <w:kern w:val="22"/>
          <w:szCs w:val="22"/>
          <w:lang w:val="fr-CA" w:bidi="fr-FR"/>
        </w:rPr>
        <w:t>les organismes vivants modifiés issus d’une réécriture génomique</w:t>
      </w:r>
      <w:r w:rsidR="006E00F7">
        <w:rPr>
          <w:kern w:val="22"/>
          <w:szCs w:val="22"/>
          <w:lang w:val="fr-CA" w:bidi="fr-FR"/>
        </w:rPr>
        <w:t xml:space="preserve"> et l</w:t>
      </w:r>
      <w:r>
        <w:rPr>
          <w:kern w:val="22"/>
          <w:szCs w:val="22"/>
          <w:lang w:val="fr-CA" w:bidi="fr-FR"/>
        </w:rPr>
        <w:t xml:space="preserve">es </w:t>
      </w:r>
      <w:r w:rsidRPr="00860D94">
        <w:rPr>
          <w:kern w:val="22"/>
          <w:szCs w:val="22"/>
          <w:lang w:val="fr-CA" w:bidi="fr-FR"/>
        </w:rPr>
        <w:t>organismes vivan</w:t>
      </w:r>
      <w:r>
        <w:rPr>
          <w:kern w:val="22"/>
          <w:szCs w:val="22"/>
          <w:lang w:val="fr-CA" w:bidi="fr-FR"/>
        </w:rPr>
        <w:t>ts modifiés ayant subi un forçage génétique</w:t>
      </w:r>
      <w:r w:rsidRPr="00860D94">
        <w:rPr>
          <w:kern w:val="22"/>
          <w:szCs w:val="22"/>
          <w:lang w:val="fr-CA" w:bidi="fr-FR"/>
        </w:rPr>
        <w:t>, en tenant compte des risques pour la santé humaine, de la valeur de la biodiversité pour les peuples autochtones et les communautés locales, et des expériences p</w:t>
      </w:r>
      <w:r>
        <w:rPr>
          <w:kern w:val="22"/>
          <w:szCs w:val="22"/>
          <w:lang w:val="fr-CA" w:bidi="fr-FR"/>
        </w:rPr>
        <w:t>ertinentes de chaque pays en matière d’</w:t>
      </w:r>
      <w:r w:rsidR="00E01135">
        <w:rPr>
          <w:kern w:val="22"/>
          <w:szCs w:val="22"/>
          <w:lang w:val="fr-CA" w:bidi="fr-FR"/>
        </w:rPr>
        <w:t>évaluation des risques présentés par</w:t>
      </w:r>
      <w:r w:rsidRPr="00860D94">
        <w:rPr>
          <w:kern w:val="22"/>
          <w:szCs w:val="22"/>
          <w:lang w:val="fr-CA" w:bidi="fr-FR"/>
        </w:rPr>
        <w:t xml:space="preserve"> ces org</w:t>
      </w:r>
      <w:r>
        <w:rPr>
          <w:kern w:val="22"/>
          <w:szCs w:val="22"/>
          <w:lang w:val="fr-CA" w:bidi="fr-FR"/>
        </w:rPr>
        <w:t>anismes, conformément à l’annexe </w:t>
      </w:r>
      <w:r w:rsidRPr="00860D94">
        <w:rPr>
          <w:kern w:val="22"/>
          <w:szCs w:val="22"/>
          <w:lang w:val="fr-CA" w:bidi="fr-FR"/>
        </w:rPr>
        <w:t>III du Pr</w:t>
      </w:r>
      <w:r>
        <w:rPr>
          <w:kern w:val="22"/>
          <w:szCs w:val="22"/>
          <w:lang w:val="fr-CA" w:bidi="fr-FR"/>
        </w:rPr>
        <w:t>otocole de Cartagena;</w:t>
      </w:r>
    </w:p>
    <w:p w14:paraId="0CC6BC2A" w14:textId="77777777" w:rsidR="00D37D26" w:rsidRPr="00860D94" w:rsidRDefault="00D37D26" w:rsidP="00D37D26">
      <w:pPr>
        <w:pStyle w:val="Para1"/>
        <w:numPr>
          <w:ilvl w:val="0"/>
          <w:numId w:val="23"/>
        </w:numPr>
        <w:suppressLineNumbers/>
        <w:suppressAutoHyphens/>
        <w:kinsoku w:val="0"/>
        <w:overflowPunct w:val="0"/>
        <w:autoSpaceDE w:val="0"/>
        <w:autoSpaceDN w:val="0"/>
        <w:snapToGrid w:val="0"/>
        <w:ind w:left="0" w:firstLine="720"/>
        <w:rPr>
          <w:kern w:val="22"/>
          <w:szCs w:val="22"/>
          <w:lang w:val="fr-CA"/>
        </w:rPr>
      </w:pPr>
      <w:r>
        <w:rPr>
          <w:i/>
          <w:kern w:val="22"/>
          <w:szCs w:val="22"/>
          <w:lang w:val="fr-CA" w:bidi="fr-FR"/>
        </w:rPr>
        <w:t>Décide</w:t>
      </w:r>
      <w:r w:rsidRPr="00860D94">
        <w:rPr>
          <w:kern w:val="22"/>
          <w:szCs w:val="22"/>
          <w:lang w:val="fr-CA" w:bidi="fr-FR"/>
        </w:rPr>
        <w:t xml:space="preserve"> </w:t>
      </w:r>
      <w:r>
        <w:rPr>
          <w:kern w:val="22"/>
          <w:szCs w:val="22"/>
          <w:lang w:val="fr-CA" w:bidi="fr-FR"/>
        </w:rPr>
        <w:t xml:space="preserve">de mettre en place </w:t>
      </w:r>
      <w:r w:rsidRPr="00860D94">
        <w:rPr>
          <w:kern w:val="22"/>
          <w:szCs w:val="22"/>
          <w:lang w:val="fr-CA" w:bidi="fr-FR"/>
        </w:rPr>
        <w:t>un processus d</w:t>
      </w:r>
      <w:r>
        <w:rPr>
          <w:kern w:val="22"/>
          <w:szCs w:val="22"/>
          <w:lang w:val="fr-CA" w:bidi="fr-FR"/>
        </w:rPr>
        <w:t>’identification et de hiérarchisation des problèmes spécifiques concernant l’</w:t>
      </w:r>
      <w:r w:rsidRPr="00860D94">
        <w:rPr>
          <w:kern w:val="22"/>
          <w:szCs w:val="22"/>
          <w:lang w:val="fr-CA" w:bidi="fr-FR"/>
        </w:rPr>
        <w:t>éva</w:t>
      </w:r>
      <w:r>
        <w:rPr>
          <w:kern w:val="22"/>
          <w:szCs w:val="22"/>
          <w:lang w:val="fr-CA" w:bidi="fr-FR"/>
        </w:rPr>
        <w:t>luation des risques présentés par les</w:t>
      </w:r>
      <w:r w:rsidRPr="00860D94">
        <w:rPr>
          <w:kern w:val="22"/>
          <w:szCs w:val="22"/>
          <w:lang w:val="fr-CA" w:bidi="fr-FR"/>
        </w:rPr>
        <w:t xml:space="preserve"> organismes vivants modifiés</w:t>
      </w:r>
      <w:r>
        <w:rPr>
          <w:kern w:val="22"/>
          <w:szCs w:val="22"/>
          <w:lang w:val="fr-CA" w:bidi="fr-FR"/>
        </w:rPr>
        <w:t>,</w:t>
      </w:r>
      <w:r w:rsidRPr="00860D94">
        <w:rPr>
          <w:kern w:val="22"/>
          <w:szCs w:val="22"/>
          <w:lang w:val="fr-CA" w:bidi="fr-FR"/>
        </w:rPr>
        <w:t xml:space="preserve"> aux fins d</w:t>
      </w:r>
      <w:r>
        <w:rPr>
          <w:kern w:val="22"/>
          <w:szCs w:val="22"/>
          <w:lang w:val="fr-CA" w:bidi="fr-FR"/>
        </w:rPr>
        <w:t>’</w:t>
      </w:r>
      <w:r w:rsidRPr="00860D94">
        <w:rPr>
          <w:kern w:val="22"/>
          <w:szCs w:val="22"/>
          <w:lang w:val="fr-CA" w:bidi="fr-FR"/>
        </w:rPr>
        <w:t xml:space="preserve">examen par la </w:t>
      </w:r>
      <w:r>
        <w:rPr>
          <w:kern w:val="22"/>
          <w:szCs w:val="22"/>
          <w:lang w:val="fr-CA" w:bidi="fr-FR"/>
        </w:rPr>
        <w:t xml:space="preserve">Conférence des Parties siégeant en tant que réunion des Parties au Protocole de Cartagena, en vue d’élaborer d’autres orientations </w:t>
      </w:r>
      <w:r w:rsidRPr="00860D94">
        <w:rPr>
          <w:kern w:val="22"/>
          <w:szCs w:val="22"/>
          <w:lang w:val="fr-CA" w:bidi="fr-FR"/>
        </w:rPr>
        <w:t>sur l</w:t>
      </w:r>
      <w:r>
        <w:rPr>
          <w:kern w:val="22"/>
          <w:szCs w:val="22"/>
          <w:lang w:val="fr-CA" w:bidi="fr-FR"/>
        </w:rPr>
        <w:t>’</w:t>
      </w:r>
      <w:r w:rsidRPr="00860D94">
        <w:rPr>
          <w:kern w:val="22"/>
          <w:szCs w:val="22"/>
          <w:lang w:val="fr-CA" w:bidi="fr-FR"/>
        </w:rPr>
        <w:t>évaluati</w:t>
      </w:r>
      <w:r>
        <w:rPr>
          <w:kern w:val="22"/>
          <w:szCs w:val="22"/>
          <w:lang w:val="fr-CA" w:bidi="fr-FR"/>
        </w:rPr>
        <w:t>on des risques pour les problèmes</w:t>
      </w:r>
      <w:r w:rsidRPr="00860D94">
        <w:rPr>
          <w:kern w:val="22"/>
          <w:szCs w:val="22"/>
          <w:lang w:val="fr-CA" w:bidi="fr-FR"/>
        </w:rPr>
        <w:t xml:space="preserve"> spécifiques ident</w:t>
      </w:r>
      <w:r>
        <w:rPr>
          <w:kern w:val="22"/>
          <w:szCs w:val="22"/>
          <w:lang w:val="fr-CA" w:bidi="fr-FR"/>
        </w:rPr>
        <w:t>ifiés, compte tenu de l’annexe I;</w:t>
      </w:r>
    </w:p>
    <w:p w14:paraId="3F2D60EA" w14:textId="66A2C735" w:rsidR="00D37D26" w:rsidRPr="00860D94" w:rsidRDefault="00D37D26" w:rsidP="00D37D26">
      <w:pPr>
        <w:pStyle w:val="Para1"/>
        <w:numPr>
          <w:ilvl w:val="0"/>
          <w:numId w:val="23"/>
        </w:numPr>
        <w:suppressLineNumbers/>
        <w:suppressAutoHyphens/>
        <w:kinsoku w:val="0"/>
        <w:overflowPunct w:val="0"/>
        <w:autoSpaceDE w:val="0"/>
        <w:autoSpaceDN w:val="0"/>
        <w:snapToGrid w:val="0"/>
        <w:ind w:left="0" w:firstLine="720"/>
        <w:rPr>
          <w:kern w:val="22"/>
          <w:szCs w:val="22"/>
          <w:lang w:val="fr-CA"/>
        </w:rPr>
      </w:pPr>
      <w:r>
        <w:rPr>
          <w:i/>
          <w:kern w:val="22"/>
          <w:szCs w:val="22"/>
          <w:lang w:val="fr-CA" w:bidi="fr-FR"/>
        </w:rPr>
        <w:t>Décide aussi</w:t>
      </w:r>
      <w:r w:rsidRPr="00860D94">
        <w:rPr>
          <w:i/>
          <w:kern w:val="22"/>
          <w:szCs w:val="22"/>
          <w:lang w:val="fr-CA" w:bidi="fr-FR"/>
        </w:rPr>
        <w:t xml:space="preserve"> </w:t>
      </w:r>
      <w:r w:rsidRPr="00860D94">
        <w:rPr>
          <w:kern w:val="22"/>
          <w:szCs w:val="22"/>
          <w:lang w:val="fr-CA" w:bidi="fr-FR"/>
        </w:rPr>
        <w:t>d</w:t>
      </w:r>
      <w:r>
        <w:rPr>
          <w:kern w:val="22"/>
          <w:szCs w:val="22"/>
          <w:lang w:val="fr-CA" w:bidi="fr-FR"/>
        </w:rPr>
        <w:t>’</w:t>
      </w:r>
      <w:r w:rsidRPr="00860D94">
        <w:rPr>
          <w:kern w:val="22"/>
          <w:szCs w:val="22"/>
          <w:lang w:val="fr-CA" w:bidi="fr-FR"/>
        </w:rPr>
        <w:t xml:space="preserve">examiner, à sa dixième réunion, </w:t>
      </w:r>
      <w:r>
        <w:rPr>
          <w:kern w:val="22"/>
          <w:szCs w:val="22"/>
          <w:lang w:val="fr-CA" w:bidi="fr-FR"/>
        </w:rPr>
        <w:t xml:space="preserve">la question de savoir </w:t>
      </w:r>
      <w:r w:rsidRPr="00860D94">
        <w:rPr>
          <w:kern w:val="22"/>
          <w:szCs w:val="22"/>
          <w:lang w:val="fr-CA" w:bidi="fr-FR"/>
        </w:rPr>
        <w:t>si du matériel d</w:t>
      </w:r>
      <w:r>
        <w:rPr>
          <w:kern w:val="22"/>
          <w:szCs w:val="22"/>
          <w:lang w:val="fr-CA" w:bidi="fr-FR"/>
        </w:rPr>
        <w:t>’</w:t>
      </w:r>
      <w:r w:rsidRPr="00860D94">
        <w:rPr>
          <w:kern w:val="22"/>
          <w:szCs w:val="22"/>
          <w:lang w:val="fr-CA" w:bidi="fr-FR"/>
        </w:rPr>
        <w:t>orientation supplémentaire sur l</w:t>
      </w:r>
      <w:r>
        <w:rPr>
          <w:kern w:val="22"/>
          <w:szCs w:val="22"/>
          <w:lang w:val="fr-CA" w:bidi="fr-FR"/>
        </w:rPr>
        <w:t>’</w:t>
      </w:r>
      <w:r w:rsidRPr="00860D94">
        <w:rPr>
          <w:kern w:val="22"/>
          <w:szCs w:val="22"/>
          <w:lang w:val="fr-CA" w:bidi="fr-FR"/>
        </w:rPr>
        <w:t>évaluation des r</w:t>
      </w:r>
      <w:r>
        <w:rPr>
          <w:kern w:val="22"/>
          <w:szCs w:val="22"/>
          <w:lang w:val="fr-CA" w:bidi="fr-FR"/>
        </w:rPr>
        <w:t xml:space="preserve">isques est nécessaire pour : </w:t>
      </w:r>
      <w:r w:rsidR="00143F32">
        <w:rPr>
          <w:kern w:val="22"/>
          <w:szCs w:val="22"/>
          <w:lang w:val="fr-CA" w:bidi="fr-FR"/>
        </w:rPr>
        <w:t>a</w:t>
      </w:r>
      <w:r w:rsidRPr="00860D94">
        <w:rPr>
          <w:kern w:val="22"/>
          <w:szCs w:val="22"/>
          <w:lang w:val="fr-CA" w:bidi="fr-FR"/>
        </w:rPr>
        <w:t xml:space="preserve">) </w:t>
      </w:r>
      <w:r>
        <w:rPr>
          <w:kern w:val="22"/>
          <w:szCs w:val="22"/>
          <w:lang w:val="fr-CA" w:bidi="fr-FR"/>
        </w:rPr>
        <w:t xml:space="preserve">les </w:t>
      </w:r>
      <w:r w:rsidRPr="00860D94">
        <w:rPr>
          <w:kern w:val="22"/>
          <w:szCs w:val="22"/>
          <w:lang w:val="fr-CA" w:bidi="fr-FR"/>
        </w:rPr>
        <w:t xml:space="preserve">organismes vivants modifiés </w:t>
      </w:r>
      <w:r>
        <w:rPr>
          <w:kern w:val="22"/>
          <w:szCs w:val="22"/>
          <w:lang w:val="fr-CA" w:bidi="fr-FR"/>
        </w:rPr>
        <w:t>ayant</w:t>
      </w:r>
      <w:r w:rsidR="00143F32">
        <w:rPr>
          <w:kern w:val="22"/>
          <w:szCs w:val="22"/>
          <w:lang w:val="fr-CA" w:bidi="fr-FR"/>
        </w:rPr>
        <w:t xml:space="preserve"> subi un forçage génétique, et b</w:t>
      </w:r>
      <w:r>
        <w:rPr>
          <w:kern w:val="22"/>
          <w:szCs w:val="22"/>
          <w:lang w:val="fr-CA" w:bidi="fr-FR"/>
        </w:rPr>
        <w:t xml:space="preserve">) les </w:t>
      </w:r>
      <w:r w:rsidR="0066711F">
        <w:rPr>
          <w:kern w:val="22"/>
          <w:szCs w:val="22"/>
          <w:lang w:val="fr-CA" w:bidi="fr-FR"/>
        </w:rPr>
        <w:t>poissons vivants modifiés</w:t>
      </w:r>
      <w:r>
        <w:rPr>
          <w:kern w:val="22"/>
          <w:szCs w:val="22"/>
          <w:lang w:val="fr-CA" w:bidi="fr-FR"/>
        </w:rPr>
        <w:t>;</w:t>
      </w:r>
    </w:p>
    <w:p w14:paraId="4AEBB9B0" w14:textId="0A71B719" w:rsidR="00D37D26" w:rsidRPr="00860D94" w:rsidRDefault="00D37D26" w:rsidP="00D37D26">
      <w:pPr>
        <w:pStyle w:val="Para1"/>
        <w:numPr>
          <w:ilvl w:val="0"/>
          <w:numId w:val="23"/>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Décide en outre</w:t>
      </w:r>
      <w:r w:rsidRPr="00860D94">
        <w:rPr>
          <w:kern w:val="22"/>
          <w:szCs w:val="22"/>
          <w:lang w:val="fr-CA" w:bidi="fr-FR"/>
        </w:rPr>
        <w:t xml:space="preserve"> d</w:t>
      </w:r>
      <w:r>
        <w:rPr>
          <w:kern w:val="22"/>
          <w:szCs w:val="22"/>
          <w:lang w:val="fr-CA" w:bidi="fr-FR"/>
        </w:rPr>
        <w:t>e constituer</w:t>
      </w:r>
      <w:r w:rsidR="00917F42">
        <w:rPr>
          <w:kern w:val="22"/>
          <w:szCs w:val="22"/>
          <w:lang w:val="fr-CA" w:bidi="fr-FR"/>
        </w:rPr>
        <w:t xml:space="preserve"> un G</w:t>
      </w:r>
      <w:r w:rsidRPr="00860D94">
        <w:rPr>
          <w:kern w:val="22"/>
          <w:szCs w:val="22"/>
          <w:lang w:val="fr-CA" w:bidi="fr-FR"/>
        </w:rPr>
        <w:t>roupe spécial d</w:t>
      </w:r>
      <w:r>
        <w:rPr>
          <w:kern w:val="22"/>
          <w:szCs w:val="22"/>
          <w:lang w:val="fr-CA" w:bidi="fr-FR"/>
        </w:rPr>
        <w:t>’</w:t>
      </w:r>
      <w:r w:rsidRPr="00860D94">
        <w:rPr>
          <w:kern w:val="22"/>
          <w:szCs w:val="22"/>
          <w:lang w:val="fr-CA" w:bidi="fr-FR"/>
        </w:rPr>
        <w:t>experts techniques sur l</w:t>
      </w:r>
      <w:r>
        <w:rPr>
          <w:kern w:val="22"/>
          <w:szCs w:val="22"/>
          <w:lang w:val="fr-CA" w:bidi="fr-FR"/>
        </w:rPr>
        <w:t>’</w:t>
      </w:r>
      <w:r w:rsidRPr="00860D94">
        <w:rPr>
          <w:kern w:val="22"/>
          <w:szCs w:val="22"/>
          <w:lang w:val="fr-CA" w:bidi="fr-FR"/>
        </w:rPr>
        <w:t>évaluation des risques, composé d</w:t>
      </w:r>
      <w:r>
        <w:rPr>
          <w:kern w:val="22"/>
          <w:szCs w:val="22"/>
          <w:lang w:val="fr-CA" w:bidi="fr-FR"/>
        </w:rPr>
        <w:t xml:space="preserve">e spécialistes sélectionnés selon le mode de fonctionnement </w:t>
      </w:r>
      <w:r w:rsidRPr="00860D94">
        <w:rPr>
          <w:noProof/>
          <w:kern w:val="22"/>
          <w:szCs w:val="22"/>
          <w:lang w:val="fr-CA" w:bidi="fr-FR"/>
        </w:rPr>
        <w:t>consolidé de l</w:t>
      </w:r>
      <w:r>
        <w:rPr>
          <w:noProof/>
          <w:kern w:val="22"/>
          <w:szCs w:val="22"/>
          <w:lang w:val="fr-CA" w:bidi="fr-FR"/>
        </w:rPr>
        <w:t>’</w:t>
      </w:r>
      <w:r w:rsidRPr="00860D94">
        <w:rPr>
          <w:noProof/>
          <w:kern w:val="22"/>
          <w:szCs w:val="22"/>
          <w:lang w:val="fr-CA" w:bidi="fr-FR"/>
        </w:rPr>
        <w:t>Organe</w:t>
      </w:r>
      <w:r w:rsidRPr="00860D94">
        <w:rPr>
          <w:kern w:val="22"/>
          <w:szCs w:val="22"/>
          <w:lang w:val="fr-CA" w:bidi="fr-FR"/>
        </w:rPr>
        <w:t xml:space="preserve"> subsidiaire chargé de fournir des avis scientifique</w:t>
      </w:r>
      <w:r>
        <w:rPr>
          <w:kern w:val="22"/>
          <w:szCs w:val="22"/>
          <w:lang w:val="fr-CA" w:bidi="fr-FR"/>
        </w:rPr>
        <w:t>s, techniques et technologiques</w:t>
      </w:r>
      <w:r w:rsidRPr="00860D94">
        <w:rPr>
          <w:rStyle w:val="FootnoteReference"/>
          <w:rFonts w:eastAsiaTheme="majorEastAsia"/>
          <w:kern w:val="22"/>
          <w:szCs w:val="22"/>
          <w:lang w:val="fr-CA" w:bidi="fr-FR"/>
        </w:rPr>
        <w:footnoteReference w:id="1"/>
      </w:r>
      <w:r>
        <w:rPr>
          <w:kern w:val="22"/>
          <w:szCs w:val="22"/>
          <w:lang w:val="fr-CA" w:bidi="fr-FR"/>
        </w:rPr>
        <w:t xml:space="preserve">, en accord avec le mandat figurant </w:t>
      </w:r>
      <w:r w:rsidRPr="00860D94">
        <w:rPr>
          <w:kern w:val="22"/>
          <w:szCs w:val="22"/>
          <w:lang w:val="fr-CA" w:bidi="fr-FR"/>
        </w:rPr>
        <w:t>à l</w:t>
      </w:r>
      <w:r>
        <w:rPr>
          <w:kern w:val="22"/>
          <w:szCs w:val="22"/>
          <w:lang w:val="fr-CA" w:bidi="fr-FR"/>
        </w:rPr>
        <w:t>’annexe II;</w:t>
      </w:r>
    </w:p>
    <w:p w14:paraId="503F761E" w14:textId="0F7FCEBD" w:rsidR="00D37D26" w:rsidRPr="00860D94" w:rsidRDefault="00D37D26" w:rsidP="00D37D26">
      <w:pPr>
        <w:pStyle w:val="Para1"/>
        <w:numPr>
          <w:ilvl w:val="0"/>
          <w:numId w:val="23"/>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Décide</w:t>
      </w:r>
      <w:r w:rsidRPr="00860D94">
        <w:rPr>
          <w:kern w:val="22"/>
          <w:szCs w:val="22"/>
          <w:lang w:val="fr-CA" w:bidi="fr-FR"/>
        </w:rPr>
        <w:t xml:space="preserve"> d</w:t>
      </w:r>
      <w:r>
        <w:rPr>
          <w:kern w:val="22"/>
          <w:szCs w:val="22"/>
          <w:lang w:val="fr-CA" w:bidi="fr-FR"/>
        </w:rPr>
        <w:t>e proroger</w:t>
      </w:r>
      <w:r w:rsidRPr="00860D94">
        <w:rPr>
          <w:kern w:val="22"/>
          <w:szCs w:val="22"/>
          <w:lang w:val="fr-CA" w:bidi="fr-FR"/>
        </w:rPr>
        <w:t xml:space="preserve"> le forum en ligne sur l</w:t>
      </w:r>
      <w:r>
        <w:rPr>
          <w:kern w:val="22"/>
          <w:szCs w:val="22"/>
          <w:lang w:val="fr-CA" w:bidi="fr-FR"/>
        </w:rPr>
        <w:t>’</w:t>
      </w:r>
      <w:r w:rsidRPr="00860D94">
        <w:rPr>
          <w:kern w:val="22"/>
          <w:szCs w:val="22"/>
          <w:lang w:val="fr-CA" w:bidi="fr-FR"/>
        </w:rPr>
        <w:t>évaluation des risques et la gestion des risques</w:t>
      </w:r>
      <w:r>
        <w:rPr>
          <w:kern w:val="22"/>
          <w:szCs w:val="22"/>
          <w:lang w:val="fr-CA" w:bidi="fr-FR"/>
        </w:rPr>
        <w:t>,</w:t>
      </w:r>
      <w:r w:rsidRPr="00860D94">
        <w:rPr>
          <w:kern w:val="22"/>
          <w:szCs w:val="22"/>
          <w:lang w:val="fr-CA" w:bidi="fr-FR"/>
        </w:rPr>
        <w:t xml:space="preserve"> afin d</w:t>
      </w:r>
      <w:r>
        <w:rPr>
          <w:kern w:val="22"/>
          <w:szCs w:val="22"/>
          <w:lang w:val="fr-CA" w:bidi="fr-FR"/>
        </w:rPr>
        <w:t>’</w:t>
      </w:r>
      <w:r w:rsidR="00917F42">
        <w:rPr>
          <w:kern w:val="22"/>
          <w:szCs w:val="22"/>
          <w:lang w:val="fr-CA" w:bidi="fr-FR"/>
        </w:rPr>
        <w:t>aider le G</w:t>
      </w:r>
      <w:r w:rsidRPr="00860D94">
        <w:rPr>
          <w:kern w:val="22"/>
          <w:szCs w:val="22"/>
          <w:lang w:val="fr-CA" w:bidi="fr-FR"/>
        </w:rPr>
        <w:t>roupe spécial d</w:t>
      </w:r>
      <w:r>
        <w:rPr>
          <w:kern w:val="22"/>
          <w:szCs w:val="22"/>
          <w:lang w:val="fr-CA" w:bidi="fr-FR"/>
        </w:rPr>
        <w:t>’</w:t>
      </w:r>
      <w:r w:rsidRPr="00860D94">
        <w:rPr>
          <w:kern w:val="22"/>
          <w:szCs w:val="22"/>
          <w:lang w:val="fr-CA" w:bidi="fr-FR"/>
        </w:rPr>
        <w:t>experts techniques sur l</w:t>
      </w:r>
      <w:r>
        <w:rPr>
          <w:kern w:val="22"/>
          <w:szCs w:val="22"/>
          <w:lang w:val="fr-CA" w:bidi="fr-FR"/>
        </w:rPr>
        <w:t>’évaluation des risques;</w:t>
      </w:r>
    </w:p>
    <w:p w14:paraId="2DA34D4B" w14:textId="61BE10DF" w:rsidR="00D37D26" w:rsidRPr="00860D94" w:rsidRDefault="00D37D26" w:rsidP="00D37D26">
      <w:pPr>
        <w:pStyle w:val="Para1"/>
        <w:numPr>
          <w:ilvl w:val="0"/>
          <w:numId w:val="23"/>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 xml:space="preserve">Invite </w:t>
      </w:r>
      <w:r w:rsidRPr="00D35A43">
        <w:rPr>
          <w:kern w:val="22"/>
          <w:szCs w:val="22"/>
          <w:lang w:val="fr-CA" w:bidi="fr-FR"/>
        </w:rPr>
        <w:t xml:space="preserve">les </w:t>
      </w:r>
      <w:r w:rsidRPr="00860D94">
        <w:rPr>
          <w:kern w:val="22"/>
          <w:szCs w:val="22"/>
          <w:lang w:val="fr-CA" w:bidi="fr-FR"/>
        </w:rPr>
        <w:t xml:space="preserve">Parties, </w:t>
      </w:r>
      <w:r>
        <w:rPr>
          <w:kern w:val="22"/>
          <w:szCs w:val="22"/>
          <w:lang w:val="fr-CA" w:bidi="fr-FR"/>
        </w:rPr>
        <w:t xml:space="preserve">les </w:t>
      </w:r>
      <w:r w:rsidRPr="00860D94">
        <w:rPr>
          <w:kern w:val="22"/>
          <w:szCs w:val="22"/>
          <w:lang w:val="fr-CA" w:bidi="fr-FR"/>
        </w:rPr>
        <w:t xml:space="preserve">autres gouvernements, les peuples autochtones et communautés locales et les </w:t>
      </w:r>
      <w:r>
        <w:rPr>
          <w:kern w:val="22"/>
          <w:szCs w:val="22"/>
          <w:lang w:val="fr-CA" w:bidi="fr-FR"/>
        </w:rPr>
        <w:t>organisations compétentes à transm</w:t>
      </w:r>
      <w:r w:rsidRPr="00860D94">
        <w:rPr>
          <w:kern w:val="22"/>
          <w:szCs w:val="22"/>
          <w:lang w:val="fr-CA" w:bidi="fr-FR"/>
        </w:rPr>
        <w:t>ettre à la Secrétaire exécutive toute in</w:t>
      </w:r>
      <w:r>
        <w:rPr>
          <w:kern w:val="22"/>
          <w:szCs w:val="22"/>
          <w:lang w:val="fr-CA" w:bidi="fr-FR"/>
        </w:rPr>
        <w:t xml:space="preserve">formation pertinente sur </w:t>
      </w:r>
      <w:r w:rsidRPr="00860D94">
        <w:rPr>
          <w:kern w:val="22"/>
          <w:szCs w:val="22"/>
          <w:lang w:val="fr-CA" w:bidi="fr-FR"/>
        </w:rPr>
        <w:t>les trava</w:t>
      </w:r>
      <w:r w:rsidR="00917F42">
        <w:rPr>
          <w:kern w:val="22"/>
          <w:szCs w:val="22"/>
          <w:lang w:val="fr-CA" w:bidi="fr-FR"/>
        </w:rPr>
        <w:t>ux du forum en ligne et du G</w:t>
      </w:r>
      <w:r>
        <w:rPr>
          <w:kern w:val="22"/>
          <w:szCs w:val="22"/>
          <w:lang w:val="fr-CA" w:bidi="fr-FR"/>
        </w:rPr>
        <w:t>roupe spécia</w:t>
      </w:r>
      <w:r w:rsidR="00917F42">
        <w:rPr>
          <w:kern w:val="22"/>
          <w:szCs w:val="22"/>
          <w:lang w:val="fr-CA" w:bidi="fr-FR"/>
        </w:rPr>
        <w:t>l d’experts techniques</w:t>
      </w:r>
      <w:r>
        <w:rPr>
          <w:kern w:val="22"/>
          <w:szCs w:val="22"/>
          <w:lang w:val="fr-CA" w:bidi="fr-FR"/>
        </w:rPr>
        <w:t>;</w:t>
      </w:r>
    </w:p>
    <w:p w14:paraId="6CD8FB67" w14:textId="77777777" w:rsidR="00D37D26" w:rsidRPr="00860D94" w:rsidRDefault="00D37D26" w:rsidP="00D37D26">
      <w:pPr>
        <w:pStyle w:val="Para1"/>
        <w:numPr>
          <w:ilvl w:val="0"/>
          <w:numId w:val="23"/>
        </w:numPr>
        <w:suppressLineNumbers/>
        <w:tabs>
          <w:tab w:val="left" w:pos="720"/>
        </w:tabs>
        <w:suppressAutoHyphens/>
        <w:kinsoku w:val="0"/>
        <w:overflowPunct w:val="0"/>
        <w:autoSpaceDE w:val="0"/>
        <w:autoSpaceDN w:val="0"/>
        <w:snapToGrid w:val="0"/>
        <w:ind w:left="0" w:firstLine="720"/>
        <w:rPr>
          <w:kern w:val="22"/>
          <w:szCs w:val="22"/>
          <w:lang w:val="fr-CA"/>
        </w:rPr>
      </w:pPr>
      <w:r w:rsidRPr="00860D94">
        <w:rPr>
          <w:i/>
          <w:kern w:val="22"/>
          <w:szCs w:val="22"/>
          <w:lang w:val="fr-CA" w:bidi="fr-FR"/>
        </w:rPr>
        <w:t>Demande</w:t>
      </w:r>
      <w:r>
        <w:rPr>
          <w:kern w:val="22"/>
          <w:szCs w:val="22"/>
          <w:lang w:val="fr-CA" w:bidi="fr-FR"/>
        </w:rPr>
        <w:t xml:space="preserve"> à la Secrétaire exécutive, dans la limite des ressources disponibles</w:t>
      </w:r>
      <w:r w:rsidRPr="00860D94">
        <w:rPr>
          <w:kern w:val="22"/>
          <w:szCs w:val="22"/>
          <w:lang w:val="fr-CA" w:bidi="fr-FR"/>
        </w:rPr>
        <w:t>, de :</w:t>
      </w:r>
    </w:p>
    <w:p w14:paraId="5B31915B" w14:textId="26FD8503" w:rsidR="00D37D26" w:rsidRPr="00860D94" w:rsidRDefault="00D37D26" w:rsidP="00D37D26">
      <w:pPr>
        <w:pStyle w:val="ListParagraph"/>
        <w:numPr>
          <w:ilvl w:val="0"/>
          <w:numId w:val="22"/>
        </w:numPr>
        <w:suppressLineNumbers/>
        <w:tabs>
          <w:tab w:val="left" w:pos="1440"/>
        </w:tabs>
        <w:suppressAutoHyphens/>
        <w:kinsoku w:val="0"/>
        <w:overflowPunct w:val="0"/>
        <w:autoSpaceDE w:val="0"/>
        <w:autoSpaceDN w:val="0"/>
        <w:spacing w:before="120" w:after="120"/>
        <w:ind w:left="0" w:firstLine="720"/>
        <w:contextualSpacing w:val="0"/>
        <w:rPr>
          <w:snapToGrid w:val="0"/>
          <w:kern w:val="22"/>
          <w:szCs w:val="22"/>
          <w:lang w:val="fr-CA"/>
        </w:rPr>
      </w:pPr>
      <w:r>
        <w:rPr>
          <w:snapToGrid w:val="0"/>
          <w:kern w:val="22"/>
          <w:szCs w:val="22"/>
          <w:lang w:val="fr-CA" w:bidi="fr-FR"/>
        </w:rPr>
        <w:t>Commander une étude éclairant</w:t>
      </w:r>
      <w:r w:rsidRPr="00860D94">
        <w:rPr>
          <w:snapToGrid w:val="0"/>
          <w:kern w:val="22"/>
          <w:szCs w:val="22"/>
          <w:lang w:val="fr-CA" w:bidi="fr-FR"/>
        </w:rPr>
        <w:t xml:space="preserve"> l</w:t>
      </w:r>
      <w:r>
        <w:rPr>
          <w:snapToGrid w:val="0"/>
          <w:kern w:val="22"/>
          <w:szCs w:val="22"/>
          <w:lang w:val="fr-CA" w:bidi="fr-FR"/>
        </w:rPr>
        <w:t>’</w:t>
      </w:r>
      <w:r w:rsidRPr="00860D94">
        <w:rPr>
          <w:snapToGrid w:val="0"/>
          <w:kern w:val="22"/>
          <w:szCs w:val="22"/>
          <w:lang w:val="fr-CA" w:bidi="fr-FR"/>
        </w:rPr>
        <w:t>application de l</w:t>
      </w:r>
      <w:r>
        <w:rPr>
          <w:snapToGrid w:val="0"/>
          <w:kern w:val="22"/>
          <w:szCs w:val="22"/>
          <w:lang w:val="fr-CA" w:bidi="fr-FR"/>
        </w:rPr>
        <w:t>’</w:t>
      </w:r>
      <w:r w:rsidR="001127A3">
        <w:rPr>
          <w:snapToGrid w:val="0"/>
          <w:kern w:val="22"/>
          <w:szCs w:val="22"/>
          <w:lang w:val="fr-CA" w:bidi="fr-FR"/>
        </w:rPr>
        <w:t xml:space="preserve">annexe I aux </w:t>
      </w:r>
      <w:r w:rsidR="001127A3">
        <w:rPr>
          <w:lang w:val="fr-CA" w:bidi="fr-FR"/>
        </w:rPr>
        <w:t xml:space="preserve">: </w:t>
      </w:r>
      <w:r w:rsidR="001127A3">
        <w:rPr>
          <w:kern w:val="22"/>
          <w:szCs w:val="22"/>
          <w:lang w:val="fr-CA" w:bidi="fr-FR"/>
        </w:rPr>
        <w:t>i</w:t>
      </w:r>
      <w:r w:rsidRPr="00860D94">
        <w:rPr>
          <w:kern w:val="22"/>
          <w:szCs w:val="22"/>
          <w:lang w:val="fr-CA" w:bidi="fr-FR"/>
        </w:rPr>
        <w:t xml:space="preserve">) organismes vivants modifiés </w:t>
      </w:r>
      <w:r>
        <w:rPr>
          <w:kern w:val="22"/>
          <w:szCs w:val="22"/>
          <w:lang w:val="fr-CA" w:bidi="fr-FR"/>
        </w:rPr>
        <w:t>ayant subi un forçage génétique</w:t>
      </w:r>
      <w:r w:rsidR="001127A3">
        <w:rPr>
          <w:kern w:val="22"/>
          <w:szCs w:val="22"/>
          <w:lang w:val="fr-CA" w:bidi="fr-FR"/>
        </w:rPr>
        <w:t>,</w:t>
      </w:r>
      <w:r>
        <w:rPr>
          <w:kern w:val="22"/>
          <w:szCs w:val="22"/>
          <w:lang w:val="fr-CA" w:bidi="fr-FR"/>
        </w:rPr>
        <w:t xml:space="preserve"> et </w:t>
      </w:r>
      <w:r w:rsidRPr="00860D94">
        <w:rPr>
          <w:kern w:val="22"/>
          <w:szCs w:val="22"/>
          <w:lang w:val="fr-CA" w:bidi="fr-FR"/>
        </w:rPr>
        <w:t xml:space="preserve">ii) </w:t>
      </w:r>
      <w:r w:rsidR="0066711F">
        <w:rPr>
          <w:kern w:val="22"/>
          <w:szCs w:val="22"/>
          <w:lang w:val="fr-CA" w:bidi="fr-FR"/>
        </w:rPr>
        <w:t>poissons vivants modifiés</w:t>
      </w:r>
      <w:r w:rsidRPr="00860D94">
        <w:rPr>
          <w:kern w:val="22"/>
          <w:szCs w:val="22"/>
          <w:lang w:val="fr-CA" w:bidi="fr-FR"/>
        </w:rPr>
        <w:t xml:space="preserve">, pour faciliter </w:t>
      </w:r>
      <w:r>
        <w:rPr>
          <w:kern w:val="22"/>
          <w:szCs w:val="22"/>
          <w:lang w:val="fr-CA" w:bidi="fr-FR"/>
        </w:rPr>
        <w:t xml:space="preserve">le processus visé </w:t>
      </w:r>
      <w:r>
        <w:rPr>
          <w:noProof/>
          <w:kern w:val="22"/>
          <w:szCs w:val="22"/>
          <w:lang w:val="fr-CA" w:bidi="fr-FR"/>
        </w:rPr>
        <w:t>au paragraphe </w:t>
      </w:r>
      <w:r w:rsidR="003B148B">
        <w:rPr>
          <w:noProof/>
          <w:kern w:val="22"/>
          <w:szCs w:val="22"/>
          <w:lang w:val="fr-CA" w:bidi="fr-FR"/>
        </w:rPr>
        <w:t>6</w:t>
      </w:r>
      <w:r w:rsidRPr="00860D94">
        <w:rPr>
          <w:noProof/>
          <w:kern w:val="22"/>
          <w:szCs w:val="22"/>
          <w:lang w:val="fr-CA" w:bidi="fr-FR"/>
        </w:rPr>
        <w:t xml:space="preserve"> ci</w:t>
      </w:r>
      <w:r>
        <w:rPr>
          <w:noProof/>
          <w:kern w:val="22"/>
          <w:szCs w:val="22"/>
          <w:lang w:val="fr-CA" w:bidi="fr-FR"/>
        </w:rPr>
        <w:noBreakHyphen/>
      </w:r>
      <w:r w:rsidRPr="00860D94">
        <w:rPr>
          <w:noProof/>
          <w:kern w:val="22"/>
          <w:szCs w:val="22"/>
          <w:lang w:val="fr-CA" w:bidi="fr-FR"/>
        </w:rPr>
        <w:t>dessus, et</w:t>
      </w:r>
      <w:r>
        <w:rPr>
          <w:kern w:val="22"/>
          <w:szCs w:val="22"/>
          <w:lang w:val="fr-CA" w:bidi="fr-FR"/>
        </w:rPr>
        <w:t xml:space="preserve"> </w:t>
      </w:r>
      <w:r w:rsidRPr="00860D94">
        <w:rPr>
          <w:kern w:val="22"/>
          <w:szCs w:val="22"/>
          <w:lang w:val="fr-CA" w:bidi="fr-FR"/>
        </w:rPr>
        <w:t xml:space="preserve">présenter </w:t>
      </w:r>
      <w:r>
        <w:rPr>
          <w:kern w:val="22"/>
          <w:szCs w:val="22"/>
          <w:lang w:val="fr-CA" w:bidi="fr-FR"/>
        </w:rPr>
        <w:t>cette étude au f</w:t>
      </w:r>
      <w:r w:rsidRPr="00860D94">
        <w:rPr>
          <w:kern w:val="22"/>
          <w:szCs w:val="22"/>
          <w:lang w:val="fr-CA" w:bidi="fr-FR"/>
        </w:rPr>
        <w:t xml:space="preserve">orum en ligne à composition non limitée et au </w:t>
      </w:r>
      <w:r w:rsidR="00917F42">
        <w:rPr>
          <w:kern w:val="22"/>
          <w:szCs w:val="22"/>
          <w:lang w:val="fr-CA" w:bidi="fr-FR"/>
        </w:rPr>
        <w:t>G</w:t>
      </w:r>
      <w:r>
        <w:rPr>
          <w:kern w:val="22"/>
          <w:szCs w:val="22"/>
          <w:lang w:val="fr-CA" w:bidi="fr-FR"/>
        </w:rPr>
        <w:t xml:space="preserve">roupe spécial d’experts techniques sur l’évaluation </w:t>
      </w:r>
      <w:r w:rsidR="00917F42">
        <w:rPr>
          <w:kern w:val="22"/>
          <w:szCs w:val="22"/>
          <w:lang w:val="fr-CA" w:bidi="fr-FR"/>
        </w:rPr>
        <w:t xml:space="preserve">des risques </w:t>
      </w:r>
      <w:r>
        <w:rPr>
          <w:kern w:val="22"/>
          <w:szCs w:val="22"/>
          <w:lang w:val="fr-CA" w:bidi="fr-FR"/>
        </w:rPr>
        <w:t xml:space="preserve">et la gestion des </w:t>
      </w:r>
      <w:r w:rsidRPr="00860D94">
        <w:rPr>
          <w:kern w:val="22"/>
          <w:szCs w:val="22"/>
          <w:lang w:val="fr-CA" w:bidi="fr-FR"/>
        </w:rPr>
        <w:t>risques</w:t>
      </w:r>
      <w:r>
        <w:rPr>
          <w:kern w:val="22"/>
          <w:szCs w:val="22"/>
          <w:lang w:val="fr-CA" w:bidi="fr-FR"/>
        </w:rPr>
        <w:t>;</w:t>
      </w:r>
      <w:r w:rsidRPr="00860D94">
        <w:rPr>
          <w:kern w:val="22"/>
          <w:szCs w:val="22"/>
          <w:lang w:val="fr-CA" w:bidi="fr-FR"/>
        </w:rPr>
        <w:t xml:space="preserve"> </w:t>
      </w:r>
    </w:p>
    <w:p w14:paraId="17A2427A" w14:textId="3894EABB" w:rsidR="00D37D26" w:rsidRPr="00860D94" w:rsidRDefault="00D37D26" w:rsidP="00D37D26">
      <w:pPr>
        <w:pStyle w:val="ListParagraph"/>
        <w:numPr>
          <w:ilvl w:val="0"/>
          <w:numId w:val="22"/>
        </w:numPr>
        <w:suppressLineNumbers/>
        <w:tabs>
          <w:tab w:val="left" w:pos="1440"/>
        </w:tabs>
        <w:suppressAutoHyphens/>
        <w:kinsoku w:val="0"/>
        <w:overflowPunct w:val="0"/>
        <w:autoSpaceDE w:val="0"/>
        <w:autoSpaceDN w:val="0"/>
        <w:spacing w:before="120" w:after="120"/>
        <w:ind w:left="0" w:firstLine="720"/>
        <w:contextualSpacing w:val="0"/>
        <w:rPr>
          <w:snapToGrid w:val="0"/>
          <w:kern w:val="22"/>
          <w:szCs w:val="22"/>
          <w:lang w:val="fr-CA"/>
        </w:rPr>
      </w:pPr>
      <w:r w:rsidRPr="00860D94">
        <w:rPr>
          <w:snapToGrid w:val="0"/>
          <w:kern w:val="22"/>
          <w:szCs w:val="22"/>
          <w:lang w:val="fr-CA" w:bidi="fr-FR"/>
        </w:rPr>
        <w:t xml:space="preserve">Recueillir et </w:t>
      </w:r>
      <w:r>
        <w:rPr>
          <w:snapToGrid w:val="0"/>
          <w:kern w:val="22"/>
          <w:szCs w:val="22"/>
          <w:lang w:val="fr-CA" w:bidi="fr-FR"/>
        </w:rPr>
        <w:t>résumer</w:t>
      </w:r>
      <w:r w:rsidRPr="00860D94">
        <w:rPr>
          <w:snapToGrid w:val="0"/>
          <w:kern w:val="22"/>
          <w:szCs w:val="22"/>
          <w:lang w:val="fr-CA" w:bidi="fr-FR"/>
        </w:rPr>
        <w:t xml:space="preserve"> les informations pertinentes pour faciliter le t</w:t>
      </w:r>
      <w:r w:rsidR="00E50BA7">
        <w:rPr>
          <w:snapToGrid w:val="0"/>
          <w:kern w:val="22"/>
          <w:szCs w:val="22"/>
          <w:lang w:val="fr-CA" w:bidi="fr-FR"/>
        </w:rPr>
        <w:t>ravail du forum en ligne et du G</w:t>
      </w:r>
      <w:r w:rsidRPr="00860D94">
        <w:rPr>
          <w:snapToGrid w:val="0"/>
          <w:kern w:val="22"/>
          <w:szCs w:val="22"/>
          <w:lang w:val="fr-CA" w:bidi="fr-FR"/>
        </w:rPr>
        <w:t>roupe spécial d</w:t>
      </w:r>
      <w:r>
        <w:rPr>
          <w:snapToGrid w:val="0"/>
          <w:kern w:val="22"/>
          <w:szCs w:val="22"/>
          <w:lang w:val="fr-CA" w:bidi="fr-FR"/>
        </w:rPr>
        <w:t>’</w:t>
      </w:r>
      <w:r w:rsidRPr="00860D94">
        <w:rPr>
          <w:snapToGrid w:val="0"/>
          <w:kern w:val="22"/>
          <w:szCs w:val="22"/>
          <w:lang w:val="fr-CA" w:bidi="fr-FR"/>
        </w:rPr>
        <w:t>experts techniques</w:t>
      </w:r>
      <w:r>
        <w:rPr>
          <w:snapToGrid w:val="0"/>
          <w:kern w:val="22"/>
          <w:szCs w:val="22"/>
          <w:lang w:val="fr-CA" w:bidi="fr-FR"/>
        </w:rPr>
        <w:t>;</w:t>
      </w:r>
    </w:p>
    <w:p w14:paraId="46DD03CF" w14:textId="77777777" w:rsidR="00D37D26" w:rsidRPr="00860D94" w:rsidRDefault="00D37D26" w:rsidP="00D37D26">
      <w:pPr>
        <w:pStyle w:val="ListParagraph"/>
        <w:numPr>
          <w:ilvl w:val="0"/>
          <w:numId w:val="22"/>
        </w:numPr>
        <w:suppressLineNumbers/>
        <w:tabs>
          <w:tab w:val="left" w:pos="1440"/>
        </w:tabs>
        <w:suppressAutoHyphens/>
        <w:kinsoku w:val="0"/>
        <w:overflowPunct w:val="0"/>
        <w:autoSpaceDE w:val="0"/>
        <w:autoSpaceDN w:val="0"/>
        <w:spacing w:before="120" w:after="120"/>
        <w:ind w:left="0" w:firstLine="720"/>
        <w:contextualSpacing w:val="0"/>
        <w:rPr>
          <w:snapToGrid w:val="0"/>
          <w:color w:val="000000"/>
          <w:kern w:val="22"/>
          <w:szCs w:val="22"/>
          <w:lang w:val="fr-CA"/>
        </w:rPr>
      </w:pPr>
      <w:r w:rsidRPr="00860D94">
        <w:rPr>
          <w:snapToGrid w:val="0"/>
          <w:color w:val="000000"/>
          <w:kern w:val="22"/>
          <w:szCs w:val="22"/>
          <w:lang w:val="fr-CA" w:bidi="fr-FR"/>
        </w:rPr>
        <w:t>Aider le modérateur principal du forum en lig</w:t>
      </w:r>
      <w:r>
        <w:rPr>
          <w:snapToGrid w:val="0"/>
          <w:color w:val="000000"/>
          <w:kern w:val="22"/>
          <w:szCs w:val="22"/>
          <w:lang w:val="fr-CA" w:bidi="fr-FR"/>
        </w:rPr>
        <w:t>ne à organiser des débats et à rendre compte de leurs résultats;</w:t>
      </w:r>
    </w:p>
    <w:p w14:paraId="27E7EC99" w14:textId="5C0707AC" w:rsidR="00D37D26" w:rsidRPr="00860D94" w:rsidRDefault="00D37D26" w:rsidP="00D37D26">
      <w:pPr>
        <w:pStyle w:val="ListParagraph"/>
        <w:numPr>
          <w:ilvl w:val="0"/>
          <w:numId w:val="22"/>
        </w:numPr>
        <w:suppressLineNumbers/>
        <w:tabs>
          <w:tab w:val="left" w:pos="1440"/>
        </w:tabs>
        <w:suppressAutoHyphens/>
        <w:kinsoku w:val="0"/>
        <w:overflowPunct w:val="0"/>
        <w:autoSpaceDE w:val="0"/>
        <w:autoSpaceDN w:val="0"/>
        <w:spacing w:before="120" w:after="120"/>
        <w:ind w:left="0" w:firstLine="720"/>
        <w:contextualSpacing w:val="0"/>
        <w:rPr>
          <w:noProof/>
          <w:snapToGrid w:val="0"/>
          <w:kern w:val="22"/>
          <w:szCs w:val="22"/>
          <w:lang w:val="fr-CA"/>
        </w:rPr>
      </w:pPr>
      <w:r w:rsidRPr="00860D94">
        <w:rPr>
          <w:snapToGrid w:val="0"/>
          <w:kern w:val="22"/>
          <w:szCs w:val="22"/>
          <w:lang w:val="fr-CA" w:bidi="fr-FR"/>
        </w:rPr>
        <w:t xml:space="preserve">Convoquer une réunion en </w:t>
      </w:r>
      <w:r w:rsidRPr="00860D94">
        <w:rPr>
          <w:noProof/>
          <w:snapToGrid w:val="0"/>
          <w:kern w:val="22"/>
          <w:szCs w:val="22"/>
          <w:lang w:val="fr-CA" w:bidi="fr-FR"/>
        </w:rPr>
        <w:t>face</w:t>
      </w:r>
      <w:r>
        <w:rPr>
          <w:noProof/>
          <w:snapToGrid w:val="0"/>
          <w:kern w:val="22"/>
          <w:szCs w:val="22"/>
          <w:lang w:val="fr-CA" w:bidi="fr-FR"/>
        </w:rPr>
        <w:noBreakHyphen/>
      </w:r>
      <w:r w:rsidRPr="00860D94">
        <w:rPr>
          <w:noProof/>
          <w:snapToGrid w:val="0"/>
          <w:kern w:val="22"/>
          <w:szCs w:val="22"/>
          <w:lang w:val="fr-CA" w:bidi="fr-FR"/>
        </w:rPr>
        <w:t>à</w:t>
      </w:r>
      <w:r w:rsidR="00917F42">
        <w:rPr>
          <w:noProof/>
          <w:snapToGrid w:val="0"/>
          <w:kern w:val="22"/>
          <w:szCs w:val="22"/>
          <w:lang w:val="fr-CA" w:bidi="fr-FR"/>
        </w:rPr>
        <w:noBreakHyphen/>
        <w:t>face du G</w:t>
      </w:r>
      <w:r w:rsidRPr="00860D94">
        <w:rPr>
          <w:noProof/>
          <w:snapToGrid w:val="0"/>
          <w:kern w:val="22"/>
          <w:szCs w:val="22"/>
          <w:lang w:val="fr-CA" w:bidi="fr-FR"/>
        </w:rPr>
        <w:t>roupe spécial d</w:t>
      </w:r>
      <w:r>
        <w:rPr>
          <w:noProof/>
          <w:snapToGrid w:val="0"/>
          <w:kern w:val="22"/>
          <w:szCs w:val="22"/>
          <w:lang w:val="fr-CA" w:bidi="fr-FR"/>
        </w:rPr>
        <w:t>’</w:t>
      </w:r>
      <w:r w:rsidRPr="00860D94">
        <w:rPr>
          <w:noProof/>
          <w:snapToGrid w:val="0"/>
          <w:kern w:val="22"/>
          <w:szCs w:val="22"/>
          <w:lang w:val="fr-CA" w:bidi="fr-FR"/>
        </w:rPr>
        <w:t>experts techniques sur l</w:t>
      </w:r>
      <w:r>
        <w:rPr>
          <w:noProof/>
          <w:snapToGrid w:val="0"/>
          <w:kern w:val="22"/>
          <w:szCs w:val="22"/>
          <w:lang w:val="fr-CA" w:bidi="fr-FR"/>
        </w:rPr>
        <w:t>’</w:t>
      </w:r>
      <w:r w:rsidRPr="00860D94">
        <w:rPr>
          <w:noProof/>
          <w:snapToGrid w:val="0"/>
          <w:kern w:val="22"/>
          <w:szCs w:val="22"/>
          <w:lang w:val="fr-CA" w:bidi="fr-FR"/>
        </w:rPr>
        <w:t xml:space="preserve">évaluation des </w:t>
      </w:r>
      <w:r>
        <w:rPr>
          <w:noProof/>
          <w:snapToGrid w:val="0"/>
          <w:kern w:val="22"/>
          <w:szCs w:val="22"/>
          <w:lang w:val="fr-CA" w:bidi="fr-FR"/>
        </w:rPr>
        <w:t>risques;</w:t>
      </w:r>
    </w:p>
    <w:p w14:paraId="076C7F9A" w14:textId="73AB14BC" w:rsidR="00D37D26" w:rsidRPr="00890D44" w:rsidRDefault="00D37D26" w:rsidP="00851C3A">
      <w:pPr>
        <w:pStyle w:val="ListParagraph"/>
        <w:numPr>
          <w:ilvl w:val="0"/>
          <w:numId w:val="23"/>
        </w:numPr>
        <w:ind w:left="0" w:firstLine="720"/>
        <w:rPr>
          <w:i/>
          <w:kern w:val="22"/>
          <w:szCs w:val="22"/>
          <w:lang w:val="fr-CA"/>
        </w:rPr>
      </w:pPr>
      <w:r w:rsidRPr="00860D94">
        <w:rPr>
          <w:i/>
          <w:kern w:val="22"/>
          <w:szCs w:val="22"/>
          <w:lang w:val="fr-CA" w:bidi="fr-FR"/>
        </w:rPr>
        <w:t xml:space="preserve">Demande </w:t>
      </w:r>
      <w:r>
        <w:rPr>
          <w:kern w:val="22"/>
          <w:szCs w:val="22"/>
          <w:lang w:val="fr-CA" w:bidi="fr-FR"/>
        </w:rPr>
        <w:t xml:space="preserve">à </w:t>
      </w:r>
      <w:r w:rsidRPr="00860D94">
        <w:rPr>
          <w:noProof/>
          <w:kern w:val="22"/>
          <w:szCs w:val="22"/>
          <w:lang w:val="fr-CA" w:bidi="fr-FR"/>
        </w:rPr>
        <w:t>l</w:t>
      </w:r>
      <w:r>
        <w:rPr>
          <w:noProof/>
          <w:kern w:val="22"/>
          <w:szCs w:val="22"/>
          <w:lang w:val="fr-CA" w:bidi="fr-FR"/>
        </w:rPr>
        <w:t>’</w:t>
      </w:r>
      <w:r w:rsidRPr="00860D94">
        <w:rPr>
          <w:noProof/>
          <w:kern w:val="22"/>
          <w:szCs w:val="22"/>
          <w:lang w:val="fr-CA" w:bidi="fr-FR"/>
        </w:rPr>
        <w:t>Organe</w:t>
      </w:r>
      <w:r w:rsidRPr="00860D94">
        <w:rPr>
          <w:kern w:val="22"/>
          <w:szCs w:val="22"/>
          <w:lang w:val="fr-CA" w:bidi="fr-FR"/>
        </w:rPr>
        <w:t xml:space="preserve"> subsidiaire chargé de fournir des avis scientifiques, techniques et technologiques </w:t>
      </w:r>
      <w:r>
        <w:rPr>
          <w:kern w:val="22"/>
          <w:szCs w:val="22"/>
          <w:lang w:val="fr-CA" w:bidi="fr-FR"/>
        </w:rPr>
        <w:t>de formuler une recommandation sur la question de savoir si du</w:t>
      </w:r>
      <w:r w:rsidRPr="00860D94">
        <w:rPr>
          <w:kern w:val="22"/>
          <w:szCs w:val="22"/>
          <w:lang w:val="fr-CA" w:bidi="fr-FR"/>
        </w:rPr>
        <w:t xml:space="preserve"> matériel d</w:t>
      </w:r>
      <w:r>
        <w:rPr>
          <w:kern w:val="22"/>
          <w:szCs w:val="22"/>
          <w:lang w:val="fr-CA" w:bidi="fr-FR"/>
        </w:rPr>
        <w:t>’</w:t>
      </w:r>
      <w:r w:rsidRPr="00860D94">
        <w:rPr>
          <w:kern w:val="22"/>
          <w:szCs w:val="22"/>
          <w:lang w:val="fr-CA" w:bidi="fr-FR"/>
        </w:rPr>
        <w:t>orientation supplémentaire sur l</w:t>
      </w:r>
      <w:r>
        <w:rPr>
          <w:kern w:val="22"/>
          <w:szCs w:val="22"/>
          <w:lang w:val="fr-CA" w:bidi="fr-FR"/>
        </w:rPr>
        <w:t>’</w:t>
      </w:r>
      <w:r w:rsidRPr="00860D94">
        <w:rPr>
          <w:kern w:val="22"/>
          <w:szCs w:val="22"/>
          <w:lang w:val="fr-CA" w:bidi="fr-FR"/>
        </w:rPr>
        <w:t>é</w:t>
      </w:r>
      <w:r>
        <w:rPr>
          <w:kern w:val="22"/>
          <w:szCs w:val="22"/>
          <w:lang w:val="fr-CA" w:bidi="fr-FR"/>
        </w:rPr>
        <w:t xml:space="preserve">valuation des risques est nécessaire pour : </w:t>
      </w:r>
      <w:r w:rsidR="00917F42">
        <w:rPr>
          <w:kern w:val="22"/>
          <w:szCs w:val="22"/>
          <w:lang w:val="fr-CA" w:bidi="fr-FR"/>
        </w:rPr>
        <w:t>a</w:t>
      </w:r>
      <w:r w:rsidRPr="00860D94">
        <w:rPr>
          <w:kern w:val="22"/>
          <w:szCs w:val="22"/>
          <w:lang w:val="fr-CA" w:bidi="fr-FR"/>
        </w:rPr>
        <w:t xml:space="preserve">) </w:t>
      </w:r>
      <w:r>
        <w:rPr>
          <w:kern w:val="22"/>
          <w:szCs w:val="22"/>
          <w:lang w:val="fr-CA" w:bidi="fr-FR"/>
        </w:rPr>
        <w:t xml:space="preserve">les </w:t>
      </w:r>
      <w:r w:rsidRPr="00860D94">
        <w:rPr>
          <w:kern w:val="22"/>
          <w:szCs w:val="22"/>
          <w:lang w:val="fr-CA" w:bidi="fr-FR"/>
        </w:rPr>
        <w:t xml:space="preserve">organismes vivants modifiés </w:t>
      </w:r>
      <w:r>
        <w:rPr>
          <w:kern w:val="22"/>
          <w:szCs w:val="22"/>
          <w:lang w:val="fr-CA" w:bidi="fr-FR"/>
        </w:rPr>
        <w:t>ayant subi un forçage génétique</w:t>
      </w:r>
      <w:r w:rsidR="00917F42">
        <w:rPr>
          <w:kern w:val="22"/>
          <w:szCs w:val="22"/>
          <w:lang w:val="fr-CA" w:bidi="fr-FR"/>
        </w:rPr>
        <w:t>, et b</w:t>
      </w:r>
      <w:r w:rsidRPr="00860D94">
        <w:rPr>
          <w:kern w:val="22"/>
          <w:szCs w:val="22"/>
          <w:lang w:val="fr-CA" w:bidi="fr-FR"/>
        </w:rPr>
        <w:t xml:space="preserve">) </w:t>
      </w:r>
      <w:r>
        <w:rPr>
          <w:kern w:val="22"/>
          <w:szCs w:val="22"/>
          <w:lang w:val="fr-CA" w:bidi="fr-FR"/>
        </w:rPr>
        <w:t xml:space="preserve">les </w:t>
      </w:r>
      <w:r w:rsidR="0066711F">
        <w:rPr>
          <w:kern w:val="22"/>
          <w:szCs w:val="22"/>
          <w:lang w:val="fr-CA" w:bidi="fr-FR"/>
        </w:rPr>
        <w:t>poissons vivants modifiés</w:t>
      </w:r>
      <w:r>
        <w:rPr>
          <w:kern w:val="22"/>
          <w:szCs w:val="22"/>
          <w:lang w:val="fr-CA" w:bidi="fr-FR"/>
        </w:rPr>
        <w:t>,</w:t>
      </w:r>
      <w:r w:rsidRPr="00860D94">
        <w:rPr>
          <w:kern w:val="22"/>
          <w:szCs w:val="22"/>
          <w:lang w:val="fr-CA" w:bidi="fr-FR"/>
        </w:rPr>
        <w:t xml:space="preserve"> pour examen par la </w:t>
      </w:r>
      <w:r w:rsidRPr="00860D94">
        <w:rPr>
          <w:snapToGrid w:val="0"/>
          <w:kern w:val="22"/>
          <w:szCs w:val="22"/>
          <w:lang w:val="fr-CA" w:bidi="fr-FR"/>
        </w:rPr>
        <w:t>Conférence des Parties siégeant en tant que réunion des Pa</w:t>
      </w:r>
      <w:r>
        <w:rPr>
          <w:snapToGrid w:val="0"/>
          <w:kern w:val="22"/>
          <w:szCs w:val="22"/>
          <w:lang w:val="fr-CA" w:bidi="fr-FR"/>
        </w:rPr>
        <w:t>rties au Protocole de Cartagena</w:t>
      </w:r>
      <w:r w:rsidRPr="00860D94">
        <w:rPr>
          <w:kern w:val="22"/>
          <w:szCs w:val="22"/>
          <w:lang w:val="fr-CA" w:bidi="fr-FR"/>
        </w:rPr>
        <w:t xml:space="preserve"> à sa dixième réunion.</w:t>
      </w:r>
    </w:p>
    <w:p w14:paraId="6867FE80" w14:textId="77777777" w:rsidR="00D37D26" w:rsidRDefault="00D37D26" w:rsidP="00D37D26">
      <w:pPr>
        <w:spacing w:after="120"/>
        <w:contextualSpacing/>
        <w:rPr>
          <w:i/>
          <w:kern w:val="22"/>
          <w:szCs w:val="22"/>
          <w:lang w:val="fr-CA"/>
        </w:rPr>
      </w:pPr>
    </w:p>
    <w:p w14:paraId="3B255D8C" w14:textId="2382880C" w:rsidR="00A82AD2" w:rsidRDefault="00A82AD2" w:rsidP="00D37D26">
      <w:pPr>
        <w:spacing w:after="120"/>
        <w:contextualSpacing/>
        <w:rPr>
          <w:i/>
          <w:kern w:val="22"/>
          <w:szCs w:val="22"/>
          <w:lang w:val="fr-CA"/>
        </w:rPr>
      </w:pPr>
    </w:p>
    <w:p w14:paraId="61A9F313" w14:textId="77777777" w:rsidR="00A82AD2" w:rsidRDefault="00A82AD2" w:rsidP="00D37D26">
      <w:pPr>
        <w:spacing w:after="120"/>
        <w:contextualSpacing/>
        <w:rPr>
          <w:i/>
          <w:kern w:val="22"/>
          <w:szCs w:val="22"/>
          <w:lang w:val="fr-CA"/>
        </w:rPr>
      </w:pPr>
    </w:p>
    <w:p w14:paraId="7BC8325D" w14:textId="77777777" w:rsidR="00D37D26" w:rsidRPr="00860D94" w:rsidRDefault="00D37D26" w:rsidP="00D37D26">
      <w:pPr>
        <w:jc w:val="center"/>
        <w:rPr>
          <w:i/>
          <w:kern w:val="22"/>
          <w:szCs w:val="22"/>
          <w:lang w:val="fr-CA"/>
        </w:rPr>
      </w:pPr>
      <w:r>
        <w:rPr>
          <w:i/>
          <w:kern w:val="22"/>
          <w:szCs w:val="22"/>
          <w:lang w:val="fr-CA" w:bidi="fr-FR"/>
        </w:rPr>
        <w:t>Annexe </w:t>
      </w:r>
      <w:r w:rsidRPr="00860D94">
        <w:rPr>
          <w:i/>
          <w:kern w:val="22"/>
          <w:szCs w:val="22"/>
          <w:lang w:val="fr-CA" w:bidi="fr-FR"/>
        </w:rPr>
        <w:t>I</w:t>
      </w:r>
    </w:p>
    <w:p w14:paraId="4A412620" w14:textId="77777777" w:rsidR="00D37D26" w:rsidRPr="00860D94" w:rsidRDefault="00D37D26" w:rsidP="00E50BA7">
      <w:pPr>
        <w:suppressLineNumbers/>
        <w:suppressAutoHyphens/>
        <w:kinsoku w:val="0"/>
        <w:overflowPunct w:val="0"/>
        <w:autoSpaceDE w:val="0"/>
        <w:autoSpaceDN w:val="0"/>
        <w:spacing w:before="120" w:after="360"/>
        <w:jc w:val="center"/>
        <w:rPr>
          <w:b/>
          <w:snapToGrid w:val="0"/>
          <w:kern w:val="22"/>
          <w:szCs w:val="22"/>
          <w:lang w:val="fr-CA"/>
        </w:rPr>
      </w:pPr>
      <w:r>
        <w:rPr>
          <w:b/>
          <w:snapToGrid w:val="0"/>
          <w:kern w:val="22"/>
          <w:szCs w:val="22"/>
          <w:lang w:val="fr-CA" w:bidi="fr-FR"/>
        </w:rPr>
        <w:t>Identification et hiérarch</w:t>
      </w:r>
      <w:r w:rsidRPr="00860D94">
        <w:rPr>
          <w:b/>
          <w:snapToGrid w:val="0"/>
          <w:kern w:val="22"/>
          <w:szCs w:val="22"/>
          <w:lang w:val="fr-CA" w:bidi="fr-FR"/>
        </w:rPr>
        <w:t>isation</w:t>
      </w:r>
      <w:r>
        <w:rPr>
          <w:b/>
          <w:snapToGrid w:val="0"/>
          <w:kern w:val="22"/>
          <w:szCs w:val="22"/>
          <w:lang w:val="fr-CA" w:bidi="fr-FR"/>
        </w:rPr>
        <w:t xml:space="preserve"> des problèmes spécifiques d’évaluation des risques présentés par les</w:t>
      </w:r>
      <w:r w:rsidRPr="00860D94">
        <w:rPr>
          <w:b/>
          <w:snapToGrid w:val="0"/>
          <w:kern w:val="22"/>
          <w:szCs w:val="22"/>
          <w:lang w:val="fr-CA" w:bidi="fr-FR"/>
        </w:rPr>
        <w:t xml:space="preserve"> organ</w:t>
      </w:r>
      <w:r>
        <w:rPr>
          <w:b/>
          <w:snapToGrid w:val="0"/>
          <w:kern w:val="22"/>
          <w:szCs w:val="22"/>
          <w:lang w:val="fr-CA" w:bidi="fr-FR"/>
        </w:rPr>
        <w:t xml:space="preserve">ismes vivants modifiés méritant </w:t>
      </w:r>
      <w:r w:rsidRPr="00860D94">
        <w:rPr>
          <w:b/>
          <w:snapToGrid w:val="0"/>
          <w:kern w:val="22"/>
          <w:szCs w:val="22"/>
          <w:lang w:val="fr-CA" w:bidi="fr-FR"/>
        </w:rPr>
        <w:t>examen</w:t>
      </w:r>
    </w:p>
    <w:p w14:paraId="40607BB5" w14:textId="59E300AD" w:rsidR="00D37D26" w:rsidRPr="00860D94" w:rsidRDefault="00D37D26" w:rsidP="00D37D26">
      <w:pPr>
        <w:suppressLineNumbers/>
        <w:suppressAutoHyphens/>
        <w:kinsoku w:val="0"/>
        <w:overflowPunct w:val="0"/>
        <w:autoSpaceDE w:val="0"/>
        <w:autoSpaceDN w:val="0"/>
        <w:spacing w:before="120" w:after="120"/>
        <w:ind w:firstLine="720"/>
        <w:rPr>
          <w:snapToGrid w:val="0"/>
          <w:kern w:val="22"/>
          <w:szCs w:val="22"/>
          <w:lang w:val="fr-CA"/>
        </w:rPr>
      </w:pPr>
      <w:r w:rsidRPr="00860D94">
        <w:rPr>
          <w:snapToGrid w:val="0"/>
          <w:kern w:val="22"/>
          <w:szCs w:val="22"/>
          <w:lang w:val="fr-CA" w:bidi="fr-FR"/>
        </w:rPr>
        <w:t>Le processus permettant de recommander des problèmes spécifiques d</w:t>
      </w:r>
      <w:r>
        <w:rPr>
          <w:snapToGrid w:val="0"/>
          <w:kern w:val="22"/>
          <w:szCs w:val="22"/>
          <w:lang w:val="fr-CA" w:bidi="fr-FR"/>
        </w:rPr>
        <w:t>’</w:t>
      </w:r>
      <w:r w:rsidRPr="00860D94">
        <w:rPr>
          <w:snapToGrid w:val="0"/>
          <w:kern w:val="22"/>
          <w:szCs w:val="22"/>
          <w:lang w:val="fr-CA" w:bidi="fr-FR"/>
        </w:rPr>
        <w:t>évaluation des risques aux fins d</w:t>
      </w:r>
      <w:r>
        <w:rPr>
          <w:snapToGrid w:val="0"/>
          <w:kern w:val="22"/>
          <w:szCs w:val="22"/>
          <w:lang w:val="fr-CA" w:bidi="fr-FR"/>
        </w:rPr>
        <w:t>’</w:t>
      </w:r>
      <w:r w:rsidRPr="00860D94">
        <w:rPr>
          <w:snapToGrid w:val="0"/>
          <w:kern w:val="22"/>
          <w:szCs w:val="22"/>
          <w:lang w:val="fr-CA" w:bidi="fr-FR"/>
        </w:rPr>
        <w:t xml:space="preserve">examen par la Conférence des Parties siégeant en tant que réunion des Parties au Protocole de Cartagena </w:t>
      </w:r>
      <w:r>
        <w:rPr>
          <w:snapToGrid w:val="0"/>
          <w:kern w:val="22"/>
          <w:szCs w:val="22"/>
          <w:lang w:val="fr-CA" w:bidi="fr-FR"/>
        </w:rPr>
        <w:t xml:space="preserve">sur la prévention des risques biotechnologiques </w:t>
      </w:r>
      <w:r w:rsidRPr="00860D94">
        <w:rPr>
          <w:snapToGrid w:val="0"/>
          <w:kern w:val="22"/>
          <w:szCs w:val="22"/>
          <w:lang w:val="fr-CA" w:bidi="fr-FR"/>
        </w:rPr>
        <w:t>devrait inclure une analyse structurée pour évaluer</w:t>
      </w:r>
      <w:r>
        <w:rPr>
          <w:snapToGrid w:val="0"/>
          <w:kern w:val="22"/>
          <w:szCs w:val="22"/>
          <w:lang w:val="fr-CA" w:bidi="fr-FR"/>
        </w:rPr>
        <w:t xml:space="preserve"> si les problèmes spéci</w:t>
      </w:r>
      <w:r w:rsidR="00B81513">
        <w:rPr>
          <w:snapToGrid w:val="0"/>
          <w:kern w:val="22"/>
          <w:szCs w:val="22"/>
          <w:lang w:val="fr-CA" w:bidi="fr-FR"/>
        </w:rPr>
        <w:t>fiques remplissent les critères suivants</w:t>
      </w:r>
      <w:r w:rsidRPr="00860D94">
        <w:rPr>
          <w:snapToGrid w:val="0"/>
          <w:kern w:val="22"/>
          <w:szCs w:val="22"/>
          <w:lang w:val="fr-CA" w:bidi="fr-FR"/>
        </w:rPr>
        <w:t> :</w:t>
      </w:r>
    </w:p>
    <w:p w14:paraId="50769FAD" w14:textId="77777777" w:rsidR="00D37D26" w:rsidRPr="00860D94" w:rsidRDefault="00D37D26" w:rsidP="00D37D26">
      <w:pPr>
        <w:suppressLineNumbers/>
        <w:tabs>
          <w:tab w:val="left" w:pos="1440"/>
        </w:tabs>
        <w:suppressAutoHyphens/>
        <w:kinsoku w:val="0"/>
        <w:overflowPunct w:val="0"/>
        <w:autoSpaceDE w:val="0"/>
        <w:autoSpaceDN w:val="0"/>
        <w:spacing w:before="120" w:after="120"/>
        <w:ind w:firstLine="720"/>
        <w:rPr>
          <w:snapToGrid w:val="0"/>
          <w:kern w:val="22"/>
          <w:szCs w:val="22"/>
          <w:lang w:val="fr-CA"/>
        </w:rPr>
      </w:pPr>
      <w:r>
        <w:rPr>
          <w:snapToGrid w:val="0"/>
          <w:kern w:val="22"/>
          <w:szCs w:val="22"/>
          <w:lang w:val="fr-CA" w:bidi="fr-FR"/>
        </w:rPr>
        <w:t xml:space="preserve">a) </w:t>
      </w:r>
      <w:r>
        <w:rPr>
          <w:snapToGrid w:val="0"/>
          <w:kern w:val="22"/>
          <w:szCs w:val="22"/>
          <w:lang w:val="fr-CA" w:bidi="fr-FR"/>
        </w:rPr>
        <w:tab/>
        <w:t>Ils sont identifié</w:t>
      </w:r>
      <w:r w:rsidRPr="00860D94">
        <w:rPr>
          <w:snapToGrid w:val="0"/>
          <w:kern w:val="22"/>
          <w:szCs w:val="22"/>
          <w:lang w:val="fr-CA" w:bidi="fr-FR"/>
        </w:rPr>
        <w:t>s par les P</w:t>
      </w:r>
      <w:r>
        <w:rPr>
          <w:snapToGrid w:val="0"/>
          <w:kern w:val="22"/>
          <w:szCs w:val="22"/>
          <w:lang w:val="fr-CA" w:bidi="fr-FR"/>
        </w:rPr>
        <w:t>arties comme des questions prioritaires,</w:t>
      </w:r>
      <w:r w:rsidRPr="00860D94">
        <w:rPr>
          <w:snapToGrid w:val="0"/>
          <w:kern w:val="22"/>
          <w:szCs w:val="22"/>
          <w:lang w:val="fr-CA" w:bidi="fr-FR"/>
        </w:rPr>
        <w:t xml:space="preserve"> en prenant en compte les difficultés d</w:t>
      </w:r>
      <w:r>
        <w:rPr>
          <w:snapToGrid w:val="0"/>
          <w:kern w:val="22"/>
          <w:szCs w:val="22"/>
          <w:lang w:val="fr-CA" w:bidi="fr-FR"/>
        </w:rPr>
        <w:t>’</w:t>
      </w:r>
      <w:r w:rsidRPr="00860D94">
        <w:rPr>
          <w:snapToGrid w:val="0"/>
          <w:kern w:val="22"/>
          <w:szCs w:val="22"/>
          <w:lang w:val="fr-CA" w:bidi="fr-FR"/>
        </w:rPr>
        <w:t>évaluation des risques, en particulier celles rencontrées par les</w:t>
      </w:r>
      <w:r>
        <w:rPr>
          <w:snapToGrid w:val="0"/>
          <w:kern w:val="22"/>
          <w:szCs w:val="22"/>
          <w:lang w:val="fr-CA" w:bidi="fr-FR"/>
        </w:rPr>
        <w:t xml:space="preserve"> pays en développement Parties e</w:t>
      </w:r>
      <w:r w:rsidRPr="00860D94">
        <w:rPr>
          <w:snapToGrid w:val="0"/>
          <w:kern w:val="22"/>
          <w:szCs w:val="22"/>
          <w:lang w:val="fr-CA" w:bidi="fr-FR"/>
        </w:rPr>
        <w:t>t les pays à économie en transition</w:t>
      </w:r>
      <w:r>
        <w:rPr>
          <w:snapToGrid w:val="0"/>
          <w:kern w:val="22"/>
          <w:szCs w:val="22"/>
          <w:lang w:val="fr-CA" w:bidi="fr-FR"/>
        </w:rPr>
        <w:t>;</w:t>
      </w:r>
    </w:p>
    <w:p w14:paraId="71D89047" w14:textId="77777777" w:rsidR="00D37D26" w:rsidRPr="00860D94" w:rsidRDefault="00D37D26" w:rsidP="00D37D26">
      <w:pPr>
        <w:suppressLineNumbers/>
        <w:tabs>
          <w:tab w:val="left" w:pos="1440"/>
        </w:tabs>
        <w:suppressAutoHyphens/>
        <w:kinsoku w:val="0"/>
        <w:overflowPunct w:val="0"/>
        <w:autoSpaceDE w:val="0"/>
        <w:autoSpaceDN w:val="0"/>
        <w:spacing w:before="120" w:after="120"/>
        <w:ind w:firstLine="720"/>
        <w:rPr>
          <w:snapToGrid w:val="0"/>
          <w:kern w:val="22"/>
          <w:szCs w:val="22"/>
          <w:lang w:val="fr-CA"/>
        </w:rPr>
      </w:pPr>
      <w:r>
        <w:rPr>
          <w:snapToGrid w:val="0"/>
          <w:kern w:val="22"/>
          <w:szCs w:val="22"/>
          <w:lang w:val="fr-CA" w:bidi="fr-FR"/>
        </w:rPr>
        <w:t>b)</w:t>
      </w:r>
      <w:r>
        <w:rPr>
          <w:snapToGrid w:val="0"/>
          <w:kern w:val="22"/>
          <w:szCs w:val="22"/>
          <w:lang w:val="fr-CA" w:bidi="fr-FR"/>
        </w:rPr>
        <w:tab/>
        <w:t>Ils entrent dans le champ d’application et font partie de l’objectif</w:t>
      </w:r>
      <w:r w:rsidRPr="00860D94">
        <w:rPr>
          <w:snapToGrid w:val="0"/>
          <w:kern w:val="22"/>
          <w:szCs w:val="22"/>
          <w:lang w:val="fr-CA" w:bidi="fr-FR"/>
        </w:rPr>
        <w:t xml:space="preserve"> du Protocole de Cartagena</w:t>
      </w:r>
      <w:r>
        <w:rPr>
          <w:snapToGrid w:val="0"/>
          <w:kern w:val="22"/>
          <w:szCs w:val="22"/>
          <w:lang w:val="fr-CA" w:bidi="fr-FR"/>
        </w:rPr>
        <w:t>;</w:t>
      </w:r>
    </w:p>
    <w:p w14:paraId="1C23EB3B" w14:textId="7BA6334D" w:rsidR="00D37D26" w:rsidRPr="00860D94" w:rsidRDefault="00D37D26" w:rsidP="00D37D26">
      <w:pPr>
        <w:suppressLineNumbers/>
        <w:tabs>
          <w:tab w:val="left" w:pos="1440"/>
        </w:tabs>
        <w:suppressAutoHyphens/>
        <w:kinsoku w:val="0"/>
        <w:overflowPunct w:val="0"/>
        <w:autoSpaceDE w:val="0"/>
        <w:autoSpaceDN w:val="0"/>
        <w:spacing w:before="120" w:after="120"/>
        <w:ind w:firstLine="720"/>
        <w:rPr>
          <w:snapToGrid w:val="0"/>
          <w:kern w:val="22"/>
          <w:szCs w:val="22"/>
          <w:lang w:val="fr-CA"/>
        </w:rPr>
      </w:pPr>
      <w:r>
        <w:rPr>
          <w:snapToGrid w:val="0"/>
          <w:kern w:val="22"/>
          <w:szCs w:val="22"/>
          <w:lang w:val="fr-CA" w:bidi="fr-FR"/>
        </w:rPr>
        <w:t xml:space="preserve">c) </w:t>
      </w:r>
      <w:r>
        <w:rPr>
          <w:snapToGrid w:val="0"/>
          <w:kern w:val="22"/>
          <w:szCs w:val="22"/>
          <w:lang w:val="fr-CA" w:bidi="fr-FR"/>
        </w:rPr>
        <w:tab/>
        <w:t>Ils présentent des difficultés pour les</w:t>
      </w:r>
      <w:r w:rsidRPr="00860D94">
        <w:rPr>
          <w:snapToGrid w:val="0"/>
          <w:kern w:val="22"/>
          <w:szCs w:val="22"/>
          <w:lang w:val="fr-CA" w:bidi="fr-FR"/>
        </w:rPr>
        <w:t xml:space="preserve"> cadres, </w:t>
      </w:r>
      <w:r>
        <w:rPr>
          <w:snapToGrid w:val="0"/>
          <w:kern w:val="22"/>
          <w:szCs w:val="22"/>
          <w:lang w:val="fr-CA" w:bidi="fr-FR"/>
        </w:rPr>
        <w:t>les orientation</w:t>
      </w:r>
      <w:r w:rsidRPr="00860D94">
        <w:rPr>
          <w:snapToGrid w:val="0"/>
          <w:kern w:val="22"/>
          <w:szCs w:val="22"/>
          <w:lang w:val="fr-CA" w:bidi="fr-FR"/>
        </w:rPr>
        <w:t xml:space="preserve">s et </w:t>
      </w:r>
      <w:r>
        <w:rPr>
          <w:snapToGrid w:val="0"/>
          <w:kern w:val="22"/>
          <w:szCs w:val="22"/>
          <w:lang w:val="fr-CA" w:bidi="fr-FR"/>
        </w:rPr>
        <w:t xml:space="preserve">les </w:t>
      </w:r>
      <w:r w:rsidRPr="00860D94">
        <w:rPr>
          <w:snapToGrid w:val="0"/>
          <w:kern w:val="22"/>
          <w:szCs w:val="22"/>
          <w:lang w:val="fr-CA" w:bidi="fr-FR"/>
        </w:rPr>
        <w:t>méthodes d</w:t>
      </w:r>
      <w:r>
        <w:rPr>
          <w:snapToGrid w:val="0"/>
          <w:kern w:val="22"/>
          <w:szCs w:val="22"/>
          <w:lang w:val="fr-CA" w:bidi="fr-FR"/>
        </w:rPr>
        <w:t>’</w:t>
      </w:r>
      <w:r w:rsidRPr="00860D94">
        <w:rPr>
          <w:snapToGrid w:val="0"/>
          <w:kern w:val="22"/>
          <w:szCs w:val="22"/>
          <w:lang w:val="fr-CA" w:bidi="fr-FR"/>
        </w:rPr>
        <w:t xml:space="preserve">évaluation des risques, </w:t>
      </w:r>
      <w:r w:rsidR="00E50BA7">
        <w:rPr>
          <w:snapToGrid w:val="0"/>
          <w:kern w:val="22"/>
          <w:szCs w:val="22"/>
          <w:lang w:val="fr-CA" w:bidi="fr-FR"/>
        </w:rPr>
        <w:t>comme par exemple</w:t>
      </w:r>
      <w:r>
        <w:rPr>
          <w:snapToGrid w:val="0"/>
          <w:kern w:val="22"/>
          <w:szCs w:val="22"/>
          <w:lang w:val="fr-CA" w:bidi="fr-FR"/>
        </w:rPr>
        <w:t xml:space="preserve"> </w:t>
      </w:r>
      <w:r w:rsidR="00917F42">
        <w:rPr>
          <w:snapToGrid w:val="0"/>
          <w:kern w:val="22"/>
          <w:szCs w:val="22"/>
          <w:lang w:val="fr-CA" w:bidi="fr-FR"/>
        </w:rPr>
        <w:t xml:space="preserve">lorsque </w:t>
      </w:r>
      <w:r>
        <w:rPr>
          <w:snapToGrid w:val="0"/>
          <w:kern w:val="22"/>
          <w:szCs w:val="22"/>
          <w:lang w:val="fr-CA" w:bidi="fr-FR"/>
        </w:rPr>
        <w:t xml:space="preserve">le problème en question a été examiné en utilisant les </w:t>
      </w:r>
      <w:r w:rsidRPr="00860D94">
        <w:rPr>
          <w:snapToGrid w:val="0"/>
          <w:kern w:val="22"/>
          <w:szCs w:val="22"/>
          <w:lang w:val="fr-CA" w:bidi="fr-FR"/>
        </w:rPr>
        <w:t>cadres d</w:t>
      </w:r>
      <w:r>
        <w:rPr>
          <w:snapToGrid w:val="0"/>
          <w:kern w:val="22"/>
          <w:szCs w:val="22"/>
          <w:lang w:val="fr-CA" w:bidi="fr-FR"/>
        </w:rPr>
        <w:t>’</w:t>
      </w:r>
      <w:r w:rsidRPr="00860D94">
        <w:rPr>
          <w:snapToGrid w:val="0"/>
          <w:kern w:val="22"/>
          <w:szCs w:val="22"/>
          <w:lang w:val="fr-CA" w:bidi="fr-FR"/>
        </w:rPr>
        <w:t xml:space="preserve">évaluation des risques </w:t>
      </w:r>
      <w:r>
        <w:rPr>
          <w:snapToGrid w:val="0"/>
          <w:kern w:val="22"/>
          <w:szCs w:val="22"/>
          <w:lang w:val="fr-CA" w:bidi="fr-FR"/>
        </w:rPr>
        <w:t>en place, mais présente des difficulté</w:t>
      </w:r>
      <w:r w:rsidRPr="00860D94">
        <w:rPr>
          <w:snapToGrid w:val="0"/>
          <w:kern w:val="22"/>
          <w:szCs w:val="22"/>
          <w:lang w:val="fr-CA" w:bidi="fr-FR"/>
        </w:rPr>
        <w:t>s technique</w:t>
      </w:r>
      <w:r>
        <w:rPr>
          <w:snapToGrid w:val="0"/>
          <w:kern w:val="22"/>
          <w:szCs w:val="22"/>
          <w:lang w:val="fr-CA" w:bidi="fr-FR"/>
        </w:rPr>
        <w:t>s ou méthodologiques spécifique</w:t>
      </w:r>
      <w:r w:rsidRPr="00860D94">
        <w:rPr>
          <w:snapToGrid w:val="0"/>
          <w:kern w:val="22"/>
          <w:szCs w:val="22"/>
          <w:lang w:val="fr-CA" w:bidi="fr-FR"/>
        </w:rPr>
        <w:t>s</w:t>
      </w:r>
      <w:r>
        <w:rPr>
          <w:snapToGrid w:val="0"/>
          <w:kern w:val="22"/>
          <w:szCs w:val="22"/>
          <w:lang w:val="fr-CA" w:bidi="fr-FR"/>
        </w:rPr>
        <w:t xml:space="preserve"> qui doivent être examinées plus avant; </w:t>
      </w:r>
    </w:p>
    <w:p w14:paraId="2903FE97" w14:textId="77777777" w:rsidR="00D37D26" w:rsidRPr="00860D94" w:rsidRDefault="00D37D26" w:rsidP="00D37D26">
      <w:pPr>
        <w:suppressLineNumbers/>
        <w:tabs>
          <w:tab w:val="left" w:pos="1440"/>
        </w:tabs>
        <w:suppressAutoHyphens/>
        <w:kinsoku w:val="0"/>
        <w:overflowPunct w:val="0"/>
        <w:autoSpaceDE w:val="0"/>
        <w:autoSpaceDN w:val="0"/>
        <w:spacing w:before="120" w:after="120"/>
        <w:ind w:firstLine="720"/>
        <w:rPr>
          <w:snapToGrid w:val="0"/>
          <w:kern w:val="22"/>
          <w:szCs w:val="22"/>
          <w:lang w:val="fr-CA"/>
        </w:rPr>
      </w:pPr>
      <w:r w:rsidRPr="00860D94">
        <w:rPr>
          <w:snapToGrid w:val="0"/>
          <w:kern w:val="22"/>
          <w:szCs w:val="22"/>
          <w:lang w:val="fr-CA" w:bidi="fr-FR"/>
        </w:rPr>
        <w:t xml:space="preserve">d) </w:t>
      </w:r>
      <w:r w:rsidRPr="00860D94">
        <w:rPr>
          <w:snapToGrid w:val="0"/>
          <w:kern w:val="22"/>
          <w:szCs w:val="22"/>
          <w:lang w:val="fr-CA" w:bidi="fr-FR"/>
        </w:rPr>
        <w:tab/>
        <w:t>L</w:t>
      </w:r>
      <w:r>
        <w:rPr>
          <w:snapToGrid w:val="0"/>
          <w:kern w:val="22"/>
          <w:szCs w:val="22"/>
          <w:lang w:val="fr-CA" w:bidi="fr-FR"/>
        </w:rPr>
        <w:t>es difficulté</w:t>
      </w:r>
      <w:r w:rsidRPr="00860D94">
        <w:rPr>
          <w:snapToGrid w:val="0"/>
          <w:kern w:val="22"/>
          <w:szCs w:val="22"/>
          <w:lang w:val="fr-CA" w:bidi="fr-FR"/>
        </w:rPr>
        <w:t>s</w:t>
      </w:r>
      <w:r>
        <w:rPr>
          <w:snapToGrid w:val="0"/>
          <w:kern w:val="22"/>
          <w:szCs w:val="22"/>
          <w:lang w:val="fr-CA" w:bidi="fr-FR"/>
        </w:rPr>
        <w:t xml:space="preserve"> présentées par la gestion du problème </w:t>
      </w:r>
      <w:r w:rsidRPr="00860D94">
        <w:rPr>
          <w:snapToGrid w:val="0"/>
          <w:kern w:val="22"/>
          <w:szCs w:val="22"/>
          <w:lang w:val="fr-CA" w:bidi="fr-FR"/>
        </w:rPr>
        <w:t>spécifique sont clairement décrit</w:t>
      </w:r>
      <w:r>
        <w:rPr>
          <w:snapToGrid w:val="0"/>
          <w:kern w:val="22"/>
          <w:szCs w:val="22"/>
          <w:lang w:val="fr-CA" w:bidi="fr-FR"/>
        </w:rPr>
        <w:t>e</w:t>
      </w:r>
      <w:r w:rsidRPr="00860D94">
        <w:rPr>
          <w:snapToGrid w:val="0"/>
          <w:kern w:val="22"/>
          <w:szCs w:val="22"/>
          <w:lang w:val="fr-CA" w:bidi="fr-FR"/>
        </w:rPr>
        <w:t>s</w:t>
      </w:r>
      <w:r>
        <w:rPr>
          <w:snapToGrid w:val="0"/>
          <w:kern w:val="22"/>
          <w:szCs w:val="22"/>
          <w:lang w:val="fr-CA" w:bidi="fr-FR"/>
        </w:rPr>
        <w:t>;</w:t>
      </w:r>
    </w:p>
    <w:p w14:paraId="194ABDA0" w14:textId="7A51A90F" w:rsidR="00D37D26" w:rsidRPr="00860D94" w:rsidRDefault="00917F42" w:rsidP="00D37D26">
      <w:pPr>
        <w:suppressLineNumbers/>
        <w:suppressAutoHyphens/>
        <w:kinsoku w:val="0"/>
        <w:overflowPunct w:val="0"/>
        <w:autoSpaceDE w:val="0"/>
        <w:autoSpaceDN w:val="0"/>
        <w:spacing w:before="120" w:after="120"/>
        <w:rPr>
          <w:snapToGrid w:val="0"/>
          <w:kern w:val="22"/>
          <w:szCs w:val="22"/>
          <w:lang w:val="fr-CA"/>
        </w:rPr>
      </w:pPr>
      <w:r>
        <w:rPr>
          <w:snapToGrid w:val="0"/>
          <w:kern w:val="22"/>
          <w:szCs w:val="22"/>
          <w:lang w:val="fr-CA" w:bidi="fr-FR"/>
        </w:rPr>
        <w:t xml:space="preserve">et </w:t>
      </w:r>
      <w:r w:rsidR="00E50BA7">
        <w:rPr>
          <w:snapToGrid w:val="0"/>
          <w:kern w:val="22"/>
          <w:szCs w:val="22"/>
          <w:lang w:val="fr-CA" w:bidi="fr-FR"/>
        </w:rPr>
        <w:t>en prenant en compte</w:t>
      </w:r>
      <w:r w:rsidR="00D37D26" w:rsidRPr="00860D94">
        <w:rPr>
          <w:snapToGrid w:val="0"/>
          <w:kern w:val="22"/>
          <w:szCs w:val="22"/>
          <w:lang w:val="fr-CA" w:bidi="fr-FR"/>
        </w:rPr>
        <w:t>, entre autres :</w:t>
      </w:r>
    </w:p>
    <w:p w14:paraId="635963A3" w14:textId="4E849C0D" w:rsidR="00D37D26" w:rsidRPr="00860D94" w:rsidRDefault="00E50BA7" w:rsidP="00D37D26">
      <w:pPr>
        <w:suppressLineNumbers/>
        <w:suppressAutoHyphens/>
        <w:kinsoku w:val="0"/>
        <w:overflowPunct w:val="0"/>
        <w:autoSpaceDE w:val="0"/>
        <w:autoSpaceDN w:val="0"/>
        <w:spacing w:before="120" w:after="120"/>
        <w:ind w:left="709"/>
        <w:rPr>
          <w:snapToGrid w:val="0"/>
          <w:kern w:val="22"/>
          <w:szCs w:val="22"/>
          <w:lang w:val="fr-CA"/>
        </w:rPr>
      </w:pPr>
      <w:r>
        <w:rPr>
          <w:snapToGrid w:val="0"/>
          <w:kern w:val="22"/>
          <w:szCs w:val="22"/>
          <w:lang w:val="fr-CA" w:bidi="fr-FR"/>
        </w:rPr>
        <w:t xml:space="preserve"> e) </w:t>
      </w:r>
      <w:r>
        <w:rPr>
          <w:snapToGrid w:val="0"/>
          <w:kern w:val="22"/>
          <w:szCs w:val="22"/>
          <w:lang w:val="fr-CA" w:bidi="fr-FR"/>
        </w:rPr>
        <w:tab/>
        <w:t>L</w:t>
      </w:r>
      <w:r w:rsidR="00D37D26">
        <w:rPr>
          <w:snapToGrid w:val="0"/>
          <w:kern w:val="22"/>
          <w:szCs w:val="22"/>
          <w:lang w:val="fr-CA" w:bidi="fr-FR"/>
        </w:rPr>
        <w:t>e</w:t>
      </w:r>
      <w:r w:rsidR="00917F42">
        <w:rPr>
          <w:snapToGrid w:val="0"/>
          <w:kern w:val="22"/>
          <w:szCs w:val="22"/>
          <w:lang w:val="fr-CA" w:bidi="fr-FR"/>
        </w:rPr>
        <w:t>s problèmes spécifiques concerna</w:t>
      </w:r>
      <w:r w:rsidR="00D37D26">
        <w:rPr>
          <w:snapToGrid w:val="0"/>
          <w:kern w:val="22"/>
          <w:szCs w:val="22"/>
          <w:lang w:val="fr-CA" w:bidi="fr-FR"/>
        </w:rPr>
        <w:t>nt d</w:t>
      </w:r>
      <w:r w:rsidR="00D37D26" w:rsidRPr="00860D94">
        <w:rPr>
          <w:snapToGrid w:val="0"/>
          <w:kern w:val="22"/>
          <w:szCs w:val="22"/>
          <w:lang w:val="fr-CA" w:bidi="fr-FR"/>
        </w:rPr>
        <w:t>es organismes vivants modifiés qui :</w:t>
      </w:r>
    </w:p>
    <w:p w14:paraId="77504D1D" w14:textId="423B9F87" w:rsidR="00D37D26" w:rsidRPr="00860D94" w:rsidRDefault="00D37D26" w:rsidP="00D37D26">
      <w:pPr>
        <w:suppressLineNumbers/>
        <w:suppressAutoHyphens/>
        <w:kinsoku w:val="0"/>
        <w:overflowPunct w:val="0"/>
        <w:autoSpaceDE w:val="0"/>
        <w:autoSpaceDN w:val="0"/>
        <w:spacing w:before="120" w:after="120"/>
        <w:ind w:left="1980" w:hanging="540"/>
        <w:rPr>
          <w:snapToGrid w:val="0"/>
          <w:kern w:val="22"/>
          <w:szCs w:val="22"/>
          <w:lang w:val="fr-CA"/>
        </w:rPr>
      </w:pPr>
      <w:r w:rsidRPr="00860D94">
        <w:rPr>
          <w:snapToGrid w:val="0"/>
          <w:kern w:val="22"/>
          <w:szCs w:val="22"/>
          <w:lang w:val="fr-CA" w:bidi="fr-FR"/>
        </w:rPr>
        <w:t>i)</w:t>
      </w:r>
      <w:r w:rsidRPr="00860D94">
        <w:rPr>
          <w:snapToGrid w:val="0"/>
          <w:kern w:val="22"/>
          <w:szCs w:val="22"/>
          <w:lang w:val="fr-CA" w:bidi="fr-FR"/>
        </w:rPr>
        <w:tab/>
        <w:t>Sont susceptibles de causer des effets défavo</w:t>
      </w:r>
      <w:r w:rsidR="001127A3">
        <w:rPr>
          <w:snapToGrid w:val="0"/>
          <w:kern w:val="22"/>
          <w:szCs w:val="22"/>
          <w:lang w:val="fr-CA" w:bidi="fr-FR"/>
        </w:rPr>
        <w:t>rables</w:t>
      </w:r>
      <w:r w:rsidRPr="00860D94">
        <w:rPr>
          <w:snapToGrid w:val="0"/>
          <w:kern w:val="22"/>
          <w:szCs w:val="22"/>
          <w:lang w:val="fr-CA" w:bidi="fr-FR"/>
        </w:rPr>
        <w:t xml:space="preserve"> sur la diversité biologique, </w:t>
      </w:r>
      <w:r w:rsidR="00DC399B">
        <w:rPr>
          <w:snapToGrid w:val="0"/>
          <w:kern w:val="22"/>
          <w:szCs w:val="22"/>
          <w:lang w:val="fr-CA" w:bidi="fr-FR"/>
        </w:rPr>
        <w:t>en particulier d</w:t>
      </w:r>
      <w:r w:rsidR="001127A3">
        <w:rPr>
          <w:snapToGrid w:val="0"/>
          <w:kern w:val="22"/>
          <w:szCs w:val="22"/>
          <w:lang w:val="fr-CA" w:bidi="fr-FR"/>
        </w:rPr>
        <w:t xml:space="preserve">es effets qui sont graves ou irréversibles, </w:t>
      </w:r>
      <w:r w:rsidRPr="00860D94">
        <w:rPr>
          <w:snapToGrid w:val="0"/>
          <w:kern w:val="22"/>
          <w:szCs w:val="22"/>
          <w:lang w:val="fr-CA" w:bidi="fr-FR"/>
        </w:rPr>
        <w:t xml:space="preserve">compte </w:t>
      </w:r>
      <w:r>
        <w:rPr>
          <w:snapToGrid w:val="0"/>
          <w:kern w:val="22"/>
          <w:szCs w:val="22"/>
          <w:lang w:val="fr-CA" w:bidi="fr-FR"/>
        </w:rPr>
        <w:t xml:space="preserve">tenu </w:t>
      </w:r>
      <w:r w:rsidRPr="00860D94">
        <w:rPr>
          <w:snapToGrid w:val="0"/>
          <w:kern w:val="22"/>
          <w:szCs w:val="22"/>
          <w:lang w:val="fr-CA" w:bidi="fr-FR"/>
        </w:rPr>
        <w:t xml:space="preserve">de la nécessité urgente de protéger certains aspects </w:t>
      </w:r>
      <w:r>
        <w:rPr>
          <w:snapToGrid w:val="0"/>
          <w:kern w:val="22"/>
          <w:szCs w:val="22"/>
          <w:lang w:val="fr-CA" w:bidi="fr-FR"/>
        </w:rPr>
        <w:t xml:space="preserve">spécifiques </w:t>
      </w:r>
      <w:r w:rsidRPr="00860D94">
        <w:rPr>
          <w:snapToGrid w:val="0"/>
          <w:kern w:val="22"/>
          <w:szCs w:val="22"/>
          <w:lang w:val="fr-CA" w:bidi="fr-FR"/>
        </w:rPr>
        <w:t>de la biodiversité</w:t>
      </w:r>
      <w:r>
        <w:rPr>
          <w:snapToGrid w:val="0"/>
          <w:kern w:val="22"/>
          <w:szCs w:val="22"/>
          <w:lang w:val="fr-CA" w:bidi="fr-FR"/>
        </w:rPr>
        <w:t>, tels qu’</w:t>
      </w:r>
      <w:r w:rsidRPr="00860D94">
        <w:rPr>
          <w:snapToGrid w:val="0"/>
          <w:kern w:val="22"/>
          <w:szCs w:val="22"/>
          <w:lang w:val="fr-CA" w:bidi="fr-FR"/>
        </w:rPr>
        <w:t>une espèce endé</w:t>
      </w:r>
      <w:r>
        <w:rPr>
          <w:snapToGrid w:val="0"/>
          <w:kern w:val="22"/>
          <w:szCs w:val="22"/>
          <w:lang w:val="fr-CA" w:bidi="fr-FR"/>
        </w:rPr>
        <w:t xml:space="preserve">mique/rare, ou un habitat ou </w:t>
      </w:r>
      <w:r w:rsidRPr="00860D94">
        <w:rPr>
          <w:snapToGrid w:val="0"/>
          <w:kern w:val="22"/>
          <w:szCs w:val="22"/>
          <w:lang w:val="fr-CA" w:bidi="fr-FR"/>
        </w:rPr>
        <w:t xml:space="preserve">écosystème unique, </w:t>
      </w:r>
      <w:r>
        <w:rPr>
          <w:snapToGrid w:val="0"/>
          <w:kern w:val="22"/>
          <w:szCs w:val="22"/>
          <w:lang w:val="fr-CA" w:bidi="fr-FR"/>
        </w:rPr>
        <w:t xml:space="preserve">en tenant compte </w:t>
      </w:r>
      <w:r w:rsidRPr="00860D94">
        <w:rPr>
          <w:snapToGrid w:val="0"/>
          <w:kern w:val="22"/>
          <w:szCs w:val="22"/>
          <w:lang w:val="fr-CA" w:bidi="fr-FR"/>
        </w:rPr>
        <w:t>des</w:t>
      </w:r>
      <w:r>
        <w:rPr>
          <w:snapToGrid w:val="0"/>
          <w:kern w:val="22"/>
          <w:szCs w:val="22"/>
          <w:lang w:val="fr-CA" w:bidi="fr-FR"/>
        </w:rPr>
        <w:t xml:space="preserve"> risques pour la santé humaine et de la valeur de</w:t>
      </w:r>
      <w:r w:rsidRPr="00860D94">
        <w:rPr>
          <w:snapToGrid w:val="0"/>
          <w:kern w:val="22"/>
          <w:szCs w:val="22"/>
          <w:lang w:val="fr-CA" w:bidi="fr-FR"/>
        </w:rPr>
        <w:t xml:space="preserve"> la diversité biologique pour les peuples autochtones et les communautés locales</w:t>
      </w:r>
      <w:r>
        <w:rPr>
          <w:snapToGrid w:val="0"/>
          <w:kern w:val="22"/>
          <w:szCs w:val="22"/>
          <w:lang w:val="fr-CA" w:bidi="fr-FR"/>
        </w:rPr>
        <w:t>;</w:t>
      </w:r>
    </w:p>
    <w:p w14:paraId="5EAB36C3" w14:textId="77777777" w:rsidR="00D37D26" w:rsidRPr="00860D94" w:rsidRDefault="00D37D26" w:rsidP="00D37D26">
      <w:pPr>
        <w:suppressLineNumbers/>
        <w:suppressAutoHyphens/>
        <w:kinsoku w:val="0"/>
        <w:overflowPunct w:val="0"/>
        <w:autoSpaceDE w:val="0"/>
        <w:autoSpaceDN w:val="0"/>
        <w:spacing w:before="120" w:after="120"/>
        <w:ind w:left="1980" w:hanging="540"/>
        <w:rPr>
          <w:snapToGrid w:val="0"/>
          <w:kern w:val="22"/>
          <w:szCs w:val="22"/>
          <w:lang w:val="fr-CA"/>
        </w:rPr>
      </w:pPr>
      <w:r w:rsidRPr="00860D94">
        <w:rPr>
          <w:snapToGrid w:val="0"/>
          <w:kern w:val="22"/>
          <w:szCs w:val="22"/>
          <w:lang w:val="fr-CA" w:bidi="fr-FR"/>
        </w:rPr>
        <w:t xml:space="preserve">ii) </w:t>
      </w:r>
      <w:r w:rsidRPr="00860D94">
        <w:rPr>
          <w:snapToGrid w:val="0"/>
          <w:kern w:val="22"/>
          <w:szCs w:val="22"/>
          <w:lang w:val="fr-CA" w:bidi="fr-FR"/>
        </w:rPr>
        <w:tab/>
        <w:t>P</w:t>
      </w:r>
      <w:r>
        <w:rPr>
          <w:snapToGrid w:val="0"/>
          <w:kern w:val="22"/>
          <w:szCs w:val="22"/>
          <w:lang w:val="fr-CA" w:bidi="fr-FR"/>
        </w:rPr>
        <w:t>euvent être introduits</w:t>
      </w:r>
      <w:r w:rsidRPr="00860D94">
        <w:rPr>
          <w:snapToGrid w:val="0"/>
          <w:kern w:val="22"/>
          <w:szCs w:val="22"/>
          <w:lang w:val="fr-CA" w:bidi="fr-FR"/>
        </w:rPr>
        <w:t xml:space="preserve"> dans l</w:t>
      </w:r>
      <w:r>
        <w:rPr>
          <w:snapToGrid w:val="0"/>
          <w:kern w:val="22"/>
          <w:szCs w:val="22"/>
          <w:lang w:val="fr-CA" w:bidi="fr-FR"/>
        </w:rPr>
        <w:t xml:space="preserve">’environnement intentionnellement ou </w:t>
      </w:r>
      <w:r w:rsidRPr="00860D94">
        <w:rPr>
          <w:snapToGrid w:val="0"/>
          <w:kern w:val="22"/>
          <w:szCs w:val="22"/>
          <w:lang w:val="fr-CA" w:bidi="fr-FR"/>
        </w:rPr>
        <w:t>accidentellement</w:t>
      </w:r>
      <w:r>
        <w:rPr>
          <w:snapToGrid w:val="0"/>
          <w:kern w:val="22"/>
          <w:szCs w:val="22"/>
          <w:lang w:val="fr-CA" w:bidi="fr-FR"/>
        </w:rPr>
        <w:t>;</w:t>
      </w:r>
    </w:p>
    <w:p w14:paraId="6960BFF6" w14:textId="77777777" w:rsidR="00D37D26" w:rsidRPr="00860D94" w:rsidRDefault="00D37D26" w:rsidP="00D37D26">
      <w:pPr>
        <w:suppressLineNumbers/>
        <w:suppressAutoHyphens/>
        <w:kinsoku w:val="0"/>
        <w:overflowPunct w:val="0"/>
        <w:autoSpaceDE w:val="0"/>
        <w:autoSpaceDN w:val="0"/>
        <w:spacing w:before="120" w:after="120"/>
        <w:ind w:left="1980" w:hanging="540"/>
        <w:rPr>
          <w:snapToGrid w:val="0"/>
          <w:kern w:val="22"/>
          <w:szCs w:val="22"/>
          <w:lang w:val="fr-CA"/>
        </w:rPr>
      </w:pPr>
      <w:r w:rsidRPr="00860D94">
        <w:rPr>
          <w:snapToGrid w:val="0"/>
          <w:kern w:val="22"/>
          <w:szCs w:val="22"/>
          <w:lang w:val="fr-CA" w:bidi="fr-FR"/>
        </w:rPr>
        <w:t>iii)</w:t>
      </w:r>
      <w:r w:rsidRPr="00860D94">
        <w:rPr>
          <w:snapToGrid w:val="0"/>
          <w:kern w:val="22"/>
          <w:szCs w:val="22"/>
          <w:lang w:val="fr-CA" w:bidi="fr-FR"/>
        </w:rPr>
        <w:tab/>
        <w:t xml:space="preserve">Sont susceptibles de se </w:t>
      </w:r>
      <w:r>
        <w:rPr>
          <w:noProof/>
          <w:snapToGrid w:val="0"/>
          <w:kern w:val="22"/>
          <w:szCs w:val="22"/>
          <w:lang w:val="fr-CA" w:bidi="fr-FR"/>
        </w:rPr>
        <w:t>propager</w:t>
      </w:r>
      <w:r w:rsidRPr="00860D94">
        <w:rPr>
          <w:noProof/>
          <w:snapToGrid w:val="0"/>
          <w:kern w:val="22"/>
          <w:szCs w:val="22"/>
          <w:lang w:val="fr-CA" w:bidi="fr-FR"/>
        </w:rPr>
        <w:t xml:space="preserve"> au</w:t>
      </w:r>
      <w:r>
        <w:rPr>
          <w:noProof/>
          <w:snapToGrid w:val="0"/>
          <w:kern w:val="22"/>
          <w:szCs w:val="22"/>
          <w:lang w:val="fr-CA" w:bidi="fr-FR"/>
        </w:rPr>
        <w:noBreakHyphen/>
      </w:r>
      <w:r w:rsidRPr="00860D94">
        <w:rPr>
          <w:noProof/>
          <w:snapToGrid w:val="0"/>
          <w:kern w:val="22"/>
          <w:szCs w:val="22"/>
          <w:lang w:val="fr-CA" w:bidi="fr-FR"/>
        </w:rPr>
        <w:t>delà des</w:t>
      </w:r>
      <w:r w:rsidRPr="00860D94">
        <w:rPr>
          <w:snapToGrid w:val="0"/>
          <w:kern w:val="22"/>
          <w:szCs w:val="22"/>
          <w:lang w:val="fr-CA" w:bidi="fr-FR"/>
        </w:rPr>
        <w:t xml:space="preserve"> frontières nationales</w:t>
      </w:r>
      <w:r>
        <w:rPr>
          <w:snapToGrid w:val="0"/>
          <w:kern w:val="22"/>
          <w:szCs w:val="22"/>
          <w:lang w:val="fr-CA" w:bidi="fr-FR"/>
        </w:rPr>
        <w:t>;</w:t>
      </w:r>
      <w:r w:rsidRPr="00860D94">
        <w:rPr>
          <w:snapToGrid w:val="0"/>
          <w:kern w:val="22"/>
          <w:szCs w:val="22"/>
          <w:lang w:val="fr-CA" w:bidi="fr-FR"/>
        </w:rPr>
        <w:t xml:space="preserve"> </w:t>
      </w:r>
    </w:p>
    <w:p w14:paraId="3FB13A80" w14:textId="77777777" w:rsidR="00D37D26" w:rsidRPr="00860D94" w:rsidRDefault="00D37D26" w:rsidP="00D37D26">
      <w:pPr>
        <w:suppressLineNumbers/>
        <w:suppressAutoHyphens/>
        <w:kinsoku w:val="0"/>
        <w:overflowPunct w:val="0"/>
        <w:autoSpaceDE w:val="0"/>
        <w:autoSpaceDN w:val="0"/>
        <w:spacing w:before="120" w:after="120"/>
        <w:ind w:left="1980" w:hanging="540"/>
        <w:rPr>
          <w:snapToGrid w:val="0"/>
          <w:kern w:val="22"/>
          <w:szCs w:val="22"/>
          <w:lang w:val="fr-CA"/>
        </w:rPr>
      </w:pPr>
      <w:r w:rsidRPr="00860D94">
        <w:rPr>
          <w:snapToGrid w:val="0"/>
          <w:kern w:val="22"/>
          <w:szCs w:val="22"/>
          <w:lang w:val="fr-CA" w:bidi="fr-FR"/>
        </w:rPr>
        <w:t>iv)</w:t>
      </w:r>
      <w:r w:rsidRPr="00860D94">
        <w:rPr>
          <w:snapToGrid w:val="0"/>
          <w:kern w:val="22"/>
          <w:szCs w:val="22"/>
          <w:lang w:val="fr-CA" w:bidi="fr-FR"/>
        </w:rPr>
        <w:tab/>
        <w:t>Sont déjà commercialisés ou utilisés quelque part dans le monde, ou sont susceptibles de l</w:t>
      </w:r>
      <w:r>
        <w:rPr>
          <w:snapToGrid w:val="0"/>
          <w:kern w:val="22"/>
          <w:szCs w:val="22"/>
          <w:lang w:val="fr-CA" w:bidi="fr-FR"/>
        </w:rPr>
        <w:t>’</w:t>
      </w:r>
      <w:r w:rsidRPr="00860D94">
        <w:rPr>
          <w:snapToGrid w:val="0"/>
          <w:kern w:val="22"/>
          <w:szCs w:val="22"/>
          <w:lang w:val="fr-CA" w:bidi="fr-FR"/>
        </w:rPr>
        <w:t>être</w:t>
      </w:r>
      <w:r>
        <w:rPr>
          <w:snapToGrid w:val="0"/>
          <w:kern w:val="22"/>
          <w:szCs w:val="22"/>
          <w:lang w:val="fr-CA" w:bidi="fr-FR"/>
        </w:rPr>
        <w:t>;</w:t>
      </w:r>
    </w:p>
    <w:p w14:paraId="0D1E1D31" w14:textId="3B2A6203" w:rsidR="00D37D26" w:rsidRPr="00860D94" w:rsidRDefault="00917F42" w:rsidP="00D35A43">
      <w:pPr>
        <w:suppressLineNumbers/>
        <w:suppressAutoHyphens/>
        <w:kinsoku w:val="0"/>
        <w:overflowPunct w:val="0"/>
        <w:autoSpaceDE w:val="0"/>
        <w:autoSpaceDN w:val="0"/>
        <w:spacing w:before="120" w:after="600"/>
        <w:rPr>
          <w:snapToGrid w:val="0"/>
          <w:kern w:val="22"/>
          <w:szCs w:val="22"/>
          <w:lang w:val="fr-CA"/>
        </w:rPr>
      </w:pPr>
      <w:r>
        <w:rPr>
          <w:snapToGrid w:val="0"/>
          <w:kern w:val="22"/>
          <w:szCs w:val="22"/>
          <w:lang w:val="fr-CA" w:bidi="fr-FR"/>
        </w:rPr>
        <w:t xml:space="preserve">et </w:t>
      </w:r>
      <w:r w:rsidR="00D37D26" w:rsidRPr="00860D94">
        <w:rPr>
          <w:snapToGrid w:val="0"/>
          <w:kern w:val="22"/>
          <w:szCs w:val="22"/>
          <w:lang w:val="fr-CA" w:bidi="fr-FR"/>
        </w:rPr>
        <w:t>envisager</w:t>
      </w:r>
      <w:r w:rsidR="00D37D26">
        <w:rPr>
          <w:snapToGrid w:val="0"/>
          <w:kern w:val="22"/>
          <w:szCs w:val="22"/>
          <w:lang w:val="fr-CA" w:bidi="fr-FR"/>
        </w:rPr>
        <w:t xml:space="preserve"> un ex</w:t>
      </w:r>
      <w:r w:rsidR="00E50BA7">
        <w:rPr>
          <w:snapToGrid w:val="0"/>
          <w:kern w:val="22"/>
          <w:szCs w:val="22"/>
          <w:lang w:val="fr-CA" w:bidi="fr-FR"/>
        </w:rPr>
        <w:t>ercice d’inventaire pour déterminer si des ressources ont été élaborées pour</w:t>
      </w:r>
      <w:r w:rsidR="00D37D26">
        <w:rPr>
          <w:snapToGrid w:val="0"/>
          <w:kern w:val="22"/>
          <w:szCs w:val="22"/>
          <w:lang w:val="fr-CA" w:bidi="fr-FR"/>
        </w:rPr>
        <w:t xml:space="preserve"> des problèmes semblables </w:t>
      </w:r>
      <w:r w:rsidR="00D37D26" w:rsidRPr="00860D94">
        <w:rPr>
          <w:snapToGrid w:val="0"/>
          <w:kern w:val="22"/>
          <w:szCs w:val="22"/>
          <w:lang w:val="fr-CA" w:bidi="fr-FR"/>
        </w:rPr>
        <w:t>par des or</w:t>
      </w:r>
      <w:r w:rsidR="00D37D26">
        <w:rPr>
          <w:snapToGrid w:val="0"/>
          <w:kern w:val="22"/>
          <w:szCs w:val="22"/>
          <w:lang w:val="fr-CA" w:bidi="fr-FR"/>
        </w:rPr>
        <w:t>ganismes nationaux, régionaux ou internationaux et, le cas échéant</w:t>
      </w:r>
      <w:r w:rsidR="00D37D26" w:rsidRPr="00860D94">
        <w:rPr>
          <w:snapToGrid w:val="0"/>
          <w:kern w:val="22"/>
          <w:szCs w:val="22"/>
          <w:lang w:val="fr-CA" w:bidi="fr-FR"/>
        </w:rPr>
        <w:t xml:space="preserve">, </w:t>
      </w:r>
      <w:r w:rsidR="00D37D26">
        <w:rPr>
          <w:noProof/>
          <w:snapToGrid w:val="0"/>
          <w:kern w:val="22"/>
          <w:szCs w:val="22"/>
          <w:lang w:val="fr-CA" w:bidi="fr-FR"/>
        </w:rPr>
        <w:t>si ces ressources</w:t>
      </w:r>
      <w:r w:rsidR="00D37D26" w:rsidRPr="00860D94">
        <w:rPr>
          <w:noProof/>
          <w:snapToGrid w:val="0"/>
          <w:kern w:val="22"/>
          <w:szCs w:val="22"/>
          <w:lang w:val="fr-CA" w:bidi="fr-FR"/>
        </w:rPr>
        <w:t xml:space="preserve"> peuve</w:t>
      </w:r>
      <w:r w:rsidR="00D37D26" w:rsidRPr="00860D94">
        <w:rPr>
          <w:snapToGrid w:val="0"/>
          <w:kern w:val="22"/>
          <w:szCs w:val="22"/>
          <w:lang w:val="fr-CA" w:bidi="fr-FR"/>
        </w:rPr>
        <w:t>n</w:t>
      </w:r>
      <w:r w:rsidR="00D37D26">
        <w:rPr>
          <w:snapToGrid w:val="0"/>
          <w:kern w:val="22"/>
          <w:szCs w:val="22"/>
          <w:lang w:val="fr-CA" w:bidi="fr-FR"/>
        </w:rPr>
        <w:t xml:space="preserve">t être révisées ou adaptées à </w:t>
      </w:r>
      <w:r w:rsidR="00D37D26" w:rsidRPr="00860D94">
        <w:rPr>
          <w:snapToGrid w:val="0"/>
          <w:kern w:val="22"/>
          <w:szCs w:val="22"/>
          <w:lang w:val="fr-CA" w:bidi="fr-FR"/>
        </w:rPr>
        <w:t>l</w:t>
      </w:r>
      <w:r w:rsidR="00D37D26">
        <w:rPr>
          <w:snapToGrid w:val="0"/>
          <w:kern w:val="22"/>
          <w:szCs w:val="22"/>
          <w:lang w:val="fr-CA" w:bidi="fr-FR"/>
        </w:rPr>
        <w:t>’</w:t>
      </w:r>
      <w:r w:rsidR="00D37D26" w:rsidRPr="00860D94">
        <w:rPr>
          <w:snapToGrid w:val="0"/>
          <w:kern w:val="22"/>
          <w:szCs w:val="22"/>
          <w:lang w:val="fr-CA" w:bidi="fr-FR"/>
        </w:rPr>
        <w:t>objectif du Protocole de Cartagena</w:t>
      </w:r>
      <w:r w:rsidR="00D37D26">
        <w:rPr>
          <w:snapToGrid w:val="0"/>
          <w:kern w:val="22"/>
          <w:szCs w:val="22"/>
          <w:lang w:val="fr-CA" w:bidi="fr-FR"/>
        </w:rPr>
        <w:t>, selon qu’il convient</w:t>
      </w:r>
      <w:r w:rsidR="00D37D26" w:rsidRPr="00860D94">
        <w:rPr>
          <w:snapToGrid w:val="0"/>
          <w:kern w:val="22"/>
          <w:szCs w:val="22"/>
          <w:lang w:val="fr-CA" w:bidi="fr-FR"/>
        </w:rPr>
        <w:t>.</w:t>
      </w:r>
    </w:p>
    <w:p w14:paraId="5752885D" w14:textId="2F151091" w:rsidR="00D37D26" w:rsidRPr="00860D94" w:rsidRDefault="00D37D26" w:rsidP="00D37D26">
      <w:pPr>
        <w:keepNext/>
        <w:suppressLineNumbers/>
        <w:suppressAutoHyphens/>
        <w:kinsoku w:val="0"/>
        <w:overflowPunct w:val="0"/>
        <w:autoSpaceDE w:val="0"/>
        <w:autoSpaceDN w:val="0"/>
        <w:spacing w:before="120" w:after="120"/>
        <w:jc w:val="center"/>
        <w:rPr>
          <w:i/>
          <w:snapToGrid w:val="0"/>
          <w:kern w:val="22"/>
          <w:szCs w:val="22"/>
          <w:lang w:val="fr-CA"/>
        </w:rPr>
      </w:pPr>
      <w:r>
        <w:rPr>
          <w:i/>
          <w:snapToGrid w:val="0"/>
          <w:kern w:val="22"/>
          <w:szCs w:val="22"/>
          <w:lang w:val="fr-CA" w:bidi="fr-FR"/>
        </w:rPr>
        <w:t>Annexe </w:t>
      </w:r>
      <w:r w:rsidRPr="00860D94">
        <w:rPr>
          <w:i/>
          <w:snapToGrid w:val="0"/>
          <w:kern w:val="22"/>
          <w:szCs w:val="22"/>
          <w:lang w:val="fr-CA" w:bidi="fr-FR"/>
        </w:rPr>
        <w:t>II</w:t>
      </w:r>
    </w:p>
    <w:p w14:paraId="14462E08" w14:textId="77777777" w:rsidR="00D37D26" w:rsidRPr="00860D94" w:rsidRDefault="00D37D26" w:rsidP="00E50BA7">
      <w:pPr>
        <w:suppressLineNumbers/>
        <w:suppressAutoHyphens/>
        <w:kinsoku w:val="0"/>
        <w:overflowPunct w:val="0"/>
        <w:autoSpaceDE w:val="0"/>
        <w:autoSpaceDN w:val="0"/>
        <w:spacing w:before="120" w:after="360"/>
        <w:jc w:val="center"/>
        <w:rPr>
          <w:b/>
          <w:kern w:val="22"/>
          <w:szCs w:val="22"/>
          <w:lang w:val="fr-CA"/>
        </w:rPr>
      </w:pPr>
      <w:r>
        <w:rPr>
          <w:b/>
          <w:color w:val="000000"/>
          <w:lang w:val="fr-CA" w:bidi="fr-FR"/>
        </w:rPr>
        <w:t>Mandat du G</w:t>
      </w:r>
      <w:r w:rsidRPr="00860D94">
        <w:rPr>
          <w:b/>
          <w:color w:val="000000"/>
          <w:lang w:val="fr-CA" w:bidi="fr-FR"/>
        </w:rPr>
        <w:t>roupe spécial d</w:t>
      </w:r>
      <w:r>
        <w:rPr>
          <w:b/>
          <w:color w:val="000000"/>
          <w:lang w:val="fr-CA" w:bidi="fr-FR"/>
        </w:rPr>
        <w:t>’</w:t>
      </w:r>
      <w:r w:rsidRPr="00860D94">
        <w:rPr>
          <w:b/>
          <w:color w:val="000000"/>
          <w:lang w:val="fr-CA" w:bidi="fr-FR"/>
        </w:rPr>
        <w:t>experts techniques sur l</w:t>
      </w:r>
      <w:r>
        <w:rPr>
          <w:b/>
          <w:color w:val="000000"/>
          <w:lang w:val="fr-CA" w:bidi="fr-FR"/>
        </w:rPr>
        <w:t>’</w:t>
      </w:r>
      <w:r w:rsidRPr="00860D94">
        <w:rPr>
          <w:b/>
          <w:color w:val="000000"/>
          <w:lang w:val="fr-CA" w:bidi="fr-FR"/>
        </w:rPr>
        <w:t>évaluation des risques</w:t>
      </w:r>
    </w:p>
    <w:p w14:paraId="63609F01" w14:textId="77777777" w:rsidR="00D37D26" w:rsidRPr="00860D94" w:rsidRDefault="00D37D26" w:rsidP="00D37D26">
      <w:pPr>
        <w:suppressLineNumbers/>
        <w:suppressAutoHyphens/>
        <w:kinsoku w:val="0"/>
        <w:overflowPunct w:val="0"/>
        <w:autoSpaceDE w:val="0"/>
        <w:autoSpaceDN w:val="0"/>
        <w:spacing w:before="120" w:after="120"/>
        <w:rPr>
          <w:kern w:val="22"/>
          <w:szCs w:val="22"/>
          <w:lang w:val="fr-CA"/>
        </w:rPr>
      </w:pPr>
      <w:r w:rsidRPr="00860D94">
        <w:rPr>
          <w:kern w:val="22"/>
          <w:szCs w:val="22"/>
          <w:lang w:val="fr-CA" w:bidi="fr-FR"/>
        </w:rPr>
        <w:t>Le Groupe spécial d</w:t>
      </w:r>
      <w:r>
        <w:rPr>
          <w:kern w:val="22"/>
          <w:szCs w:val="22"/>
          <w:lang w:val="fr-CA" w:bidi="fr-FR"/>
        </w:rPr>
        <w:t>’</w:t>
      </w:r>
      <w:r w:rsidRPr="00860D94">
        <w:rPr>
          <w:kern w:val="22"/>
          <w:szCs w:val="22"/>
          <w:lang w:val="fr-CA" w:bidi="fr-FR"/>
        </w:rPr>
        <w:t>experts techniques sur l</w:t>
      </w:r>
      <w:r>
        <w:rPr>
          <w:kern w:val="22"/>
          <w:szCs w:val="22"/>
          <w:lang w:val="fr-CA" w:bidi="fr-FR"/>
        </w:rPr>
        <w:t>’</w:t>
      </w:r>
      <w:r w:rsidRPr="00860D94">
        <w:rPr>
          <w:kern w:val="22"/>
          <w:szCs w:val="22"/>
          <w:lang w:val="fr-CA" w:bidi="fr-FR"/>
        </w:rPr>
        <w:t>évaluat</w:t>
      </w:r>
      <w:r>
        <w:rPr>
          <w:kern w:val="22"/>
          <w:szCs w:val="22"/>
          <w:lang w:val="fr-CA" w:bidi="fr-FR"/>
        </w:rPr>
        <w:t xml:space="preserve">ion des risques, </w:t>
      </w:r>
      <w:r w:rsidRPr="00860D94">
        <w:rPr>
          <w:kern w:val="22"/>
          <w:szCs w:val="22"/>
          <w:lang w:val="fr-CA" w:bidi="fr-FR"/>
        </w:rPr>
        <w:t xml:space="preserve">compte </w:t>
      </w:r>
      <w:r>
        <w:rPr>
          <w:kern w:val="22"/>
          <w:szCs w:val="22"/>
          <w:lang w:val="fr-CA" w:bidi="fr-FR"/>
        </w:rPr>
        <w:t xml:space="preserve">tenu </w:t>
      </w:r>
      <w:r w:rsidRPr="00860D94">
        <w:rPr>
          <w:kern w:val="22"/>
          <w:szCs w:val="22"/>
          <w:lang w:val="fr-CA" w:bidi="fr-FR"/>
        </w:rPr>
        <w:t>des travaux réalisés par le Groupe spécial d</w:t>
      </w:r>
      <w:r>
        <w:rPr>
          <w:kern w:val="22"/>
          <w:szCs w:val="22"/>
          <w:lang w:val="fr-CA" w:bidi="fr-FR"/>
        </w:rPr>
        <w:t>’</w:t>
      </w:r>
      <w:r w:rsidRPr="00860D94">
        <w:rPr>
          <w:kern w:val="22"/>
          <w:szCs w:val="22"/>
          <w:lang w:val="fr-CA" w:bidi="fr-FR"/>
        </w:rPr>
        <w:t xml:space="preserve">experts techniques sur la </w:t>
      </w:r>
      <w:r>
        <w:rPr>
          <w:kern w:val="22"/>
          <w:szCs w:val="22"/>
          <w:lang w:val="fr-CA" w:bidi="fr-FR"/>
        </w:rPr>
        <w:t>biologie de synthèse, est chargé de</w:t>
      </w:r>
      <w:r w:rsidRPr="00860D94">
        <w:rPr>
          <w:kern w:val="22"/>
          <w:szCs w:val="22"/>
          <w:lang w:val="fr-CA" w:bidi="fr-FR"/>
        </w:rPr>
        <w:t> :</w:t>
      </w:r>
    </w:p>
    <w:p w14:paraId="300D83CF" w14:textId="63FEE13C" w:rsidR="001127A3" w:rsidRDefault="00D37D26" w:rsidP="001127A3">
      <w:pPr>
        <w:pStyle w:val="Para1"/>
        <w:numPr>
          <w:ilvl w:val="0"/>
          <w:numId w:val="0"/>
        </w:numPr>
        <w:suppressLineNumbers/>
        <w:tabs>
          <w:tab w:val="left" w:pos="0"/>
        </w:tabs>
        <w:suppressAutoHyphens/>
        <w:kinsoku w:val="0"/>
        <w:overflowPunct w:val="0"/>
        <w:autoSpaceDE w:val="0"/>
        <w:autoSpaceDN w:val="0"/>
        <w:snapToGrid w:val="0"/>
        <w:ind w:firstLine="709"/>
        <w:rPr>
          <w:kern w:val="22"/>
          <w:szCs w:val="22"/>
          <w:lang w:val="fr-CA"/>
        </w:rPr>
      </w:pPr>
      <w:r>
        <w:rPr>
          <w:kern w:val="22"/>
          <w:szCs w:val="22"/>
          <w:lang w:val="fr-CA" w:bidi="fr-FR"/>
        </w:rPr>
        <w:t>a)</w:t>
      </w:r>
      <w:r>
        <w:rPr>
          <w:kern w:val="22"/>
          <w:szCs w:val="22"/>
          <w:lang w:val="fr-CA" w:bidi="fr-FR"/>
        </w:rPr>
        <w:tab/>
        <w:t>E</w:t>
      </w:r>
      <w:r w:rsidRPr="00860D94">
        <w:rPr>
          <w:kern w:val="22"/>
          <w:szCs w:val="22"/>
          <w:lang w:val="fr-CA" w:bidi="fr-FR"/>
        </w:rPr>
        <w:t>xaminer l</w:t>
      </w:r>
      <w:r>
        <w:rPr>
          <w:kern w:val="22"/>
          <w:szCs w:val="22"/>
          <w:lang w:val="fr-CA" w:bidi="fr-FR"/>
        </w:rPr>
        <w:t>’étude dont il est question au paragraphe </w:t>
      </w:r>
      <w:r>
        <w:rPr>
          <w:noProof/>
          <w:kern w:val="22"/>
          <w:szCs w:val="22"/>
          <w:lang w:val="fr-CA" w:bidi="fr-FR"/>
        </w:rPr>
        <w:t>11</w:t>
      </w:r>
      <w:r w:rsidRPr="00860D94">
        <w:rPr>
          <w:noProof/>
          <w:kern w:val="22"/>
          <w:szCs w:val="22"/>
          <w:lang w:val="fr-CA" w:bidi="fr-FR"/>
        </w:rPr>
        <w:t xml:space="preserve"> </w:t>
      </w:r>
      <w:r w:rsidR="00917F42">
        <w:rPr>
          <w:noProof/>
          <w:kern w:val="22"/>
          <w:szCs w:val="22"/>
          <w:lang w:val="fr-CA" w:bidi="fr-FR"/>
        </w:rPr>
        <w:t>a) de la décision CP-9/13,</w:t>
      </w:r>
      <w:r w:rsidRPr="00860D94">
        <w:rPr>
          <w:noProof/>
          <w:kern w:val="22"/>
          <w:szCs w:val="22"/>
          <w:lang w:val="fr-CA" w:bidi="fr-FR"/>
        </w:rPr>
        <w:t xml:space="preserve"> et effectuer une analyse</w:t>
      </w:r>
      <w:r>
        <w:rPr>
          <w:noProof/>
          <w:kern w:val="22"/>
          <w:szCs w:val="22"/>
          <w:lang w:val="fr-CA" w:bidi="fr-FR"/>
        </w:rPr>
        <w:t xml:space="preserve"> sur</w:t>
      </w:r>
      <w:r w:rsidR="001127A3">
        <w:rPr>
          <w:noProof/>
          <w:kern w:val="22"/>
          <w:szCs w:val="22"/>
          <w:lang w:val="fr-CA" w:bidi="fr-FR"/>
        </w:rPr>
        <w:t> :</w:t>
      </w:r>
      <w:r>
        <w:rPr>
          <w:noProof/>
          <w:kern w:val="22"/>
          <w:szCs w:val="22"/>
          <w:lang w:val="fr-CA" w:bidi="fr-FR"/>
        </w:rPr>
        <w:t xml:space="preserve"> </w:t>
      </w:r>
      <w:r w:rsidR="001127A3">
        <w:rPr>
          <w:noProof/>
          <w:kern w:val="22"/>
          <w:szCs w:val="22"/>
          <w:lang w:val="fr-CA" w:bidi="fr-FR"/>
        </w:rPr>
        <w:t>i</w:t>
      </w:r>
      <w:r w:rsidRPr="00860D94">
        <w:rPr>
          <w:noProof/>
          <w:kern w:val="22"/>
          <w:szCs w:val="22"/>
          <w:lang w:val="fr-CA" w:bidi="fr-FR"/>
        </w:rPr>
        <w:t>)</w:t>
      </w:r>
      <w:r>
        <w:rPr>
          <w:kern w:val="22"/>
          <w:szCs w:val="22"/>
          <w:lang w:val="fr-CA" w:bidi="fr-FR"/>
        </w:rPr>
        <w:t xml:space="preserve"> l</w:t>
      </w:r>
      <w:r w:rsidRPr="00860D94">
        <w:rPr>
          <w:kern w:val="22"/>
          <w:szCs w:val="22"/>
          <w:lang w:val="fr-CA" w:bidi="fr-FR"/>
        </w:rPr>
        <w:t xml:space="preserve">es organismes vivants modifiés </w:t>
      </w:r>
      <w:r>
        <w:rPr>
          <w:kern w:val="22"/>
          <w:szCs w:val="22"/>
          <w:lang w:val="fr-CA" w:bidi="fr-FR"/>
        </w:rPr>
        <w:t>ayant subi un forçage génétique</w:t>
      </w:r>
      <w:r w:rsidR="001127A3">
        <w:rPr>
          <w:kern w:val="22"/>
          <w:szCs w:val="22"/>
          <w:lang w:val="fr-CA" w:bidi="fr-FR"/>
        </w:rPr>
        <w:t xml:space="preserve">, et </w:t>
      </w:r>
      <w:r>
        <w:rPr>
          <w:kern w:val="22"/>
          <w:szCs w:val="22"/>
          <w:lang w:val="fr-CA" w:bidi="fr-FR"/>
        </w:rPr>
        <w:t>ii) l</w:t>
      </w:r>
      <w:r w:rsidRPr="00860D94">
        <w:rPr>
          <w:kern w:val="22"/>
          <w:szCs w:val="22"/>
          <w:lang w:val="fr-CA" w:bidi="fr-FR"/>
        </w:rPr>
        <w:t xml:space="preserve">es </w:t>
      </w:r>
      <w:r w:rsidR="0066711F">
        <w:rPr>
          <w:kern w:val="22"/>
          <w:szCs w:val="22"/>
          <w:lang w:val="fr-CA" w:bidi="fr-FR"/>
        </w:rPr>
        <w:t>poissons vivants modifiés</w:t>
      </w:r>
      <w:r>
        <w:rPr>
          <w:kern w:val="22"/>
          <w:szCs w:val="22"/>
          <w:lang w:val="fr-CA" w:bidi="fr-FR"/>
        </w:rPr>
        <w:t>, conformément à l’annexe </w:t>
      </w:r>
      <w:r w:rsidRPr="00860D94">
        <w:rPr>
          <w:kern w:val="22"/>
          <w:szCs w:val="22"/>
          <w:lang w:val="fr-CA" w:bidi="fr-FR"/>
        </w:rPr>
        <w:t>I</w:t>
      </w:r>
      <w:r>
        <w:rPr>
          <w:kern w:val="22"/>
          <w:szCs w:val="22"/>
          <w:lang w:val="fr-CA" w:bidi="fr-FR"/>
        </w:rPr>
        <w:t>, et conforté</w:t>
      </w:r>
      <w:r w:rsidR="00E50BA7">
        <w:rPr>
          <w:kern w:val="22"/>
          <w:szCs w:val="22"/>
          <w:lang w:val="fr-CA" w:bidi="fr-FR"/>
        </w:rPr>
        <w:t>e</w:t>
      </w:r>
      <w:r>
        <w:rPr>
          <w:kern w:val="22"/>
          <w:szCs w:val="22"/>
          <w:lang w:val="fr-CA" w:bidi="fr-FR"/>
        </w:rPr>
        <w:t xml:space="preserve"> par les</w:t>
      </w:r>
      <w:r w:rsidRPr="00860D94">
        <w:rPr>
          <w:kern w:val="22"/>
          <w:szCs w:val="22"/>
          <w:lang w:val="fr-CA" w:bidi="fr-FR"/>
        </w:rPr>
        <w:t xml:space="preserve"> données de l</w:t>
      </w:r>
      <w:r>
        <w:rPr>
          <w:kern w:val="22"/>
          <w:szCs w:val="22"/>
          <w:lang w:val="fr-CA" w:bidi="fr-FR"/>
        </w:rPr>
        <w:t>’</w:t>
      </w:r>
      <w:r w:rsidRPr="00860D94">
        <w:rPr>
          <w:kern w:val="22"/>
          <w:szCs w:val="22"/>
          <w:lang w:val="fr-CA" w:bidi="fr-FR"/>
        </w:rPr>
        <w:t>étude</w:t>
      </w:r>
      <w:r>
        <w:rPr>
          <w:kern w:val="22"/>
          <w:szCs w:val="22"/>
          <w:lang w:val="fr-CA" w:bidi="fr-FR"/>
        </w:rPr>
        <w:t>;</w:t>
      </w:r>
      <w:r w:rsidRPr="00860D94">
        <w:rPr>
          <w:kern w:val="22"/>
          <w:szCs w:val="22"/>
          <w:lang w:val="fr-CA" w:bidi="fr-FR"/>
        </w:rPr>
        <w:t xml:space="preserve"> </w:t>
      </w:r>
    </w:p>
    <w:p w14:paraId="76321A76" w14:textId="7213DED6" w:rsidR="001127A3" w:rsidRDefault="00D37D26" w:rsidP="001127A3">
      <w:pPr>
        <w:pStyle w:val="Para1"/>
        <w:numPr>
          <w:ilvl w:val="0"/>
          <w:numId w:val="0"/>
        </w:numPr>
        <w:suppressLineNumbers/>
        <w:tabs>
          <w:tab w:val="left" w:pos="0"/>
        </w:tabs>
        <w:suppressAutoHyphens/>
        <w:kinsoku w:val="0"/>
        <w:overflowPunct w:val="0"/>
        <w:autoSpaceDE w:val="0"/>
        <w:autoSpaceDN w:val="0"/>
        <w:snapToGrid w:val="0"/>
        <w:ind w:firstLine="709"/>
        <w:rPr>
          <w:kern w:val="22"/>
          <w:szCs w:val="22"/>
          <w:lang w:val="fr-CA"/>
        </w:rPr>
      </w:pPr>
      <w:r>
        <w:rPr>
          <w:kern w:val="22"/>
          <w:szCs w:val="22"/>
          <w:lang w:val="fr-CA" w:bidi="fr-FR"/>
        </w:rPr>
        <w:lastRenderedPageBreak/>
        <w:t xml:space="preserve">b) </w:t>
      </w:r>
      <w:r>
        <w:rPr>
          <w:kern w:val="22"/>
          <w:szCs w:val="22"/>
          <w:lang w:val="fr-CA" w:bidi="fr-FR"/>
        </w:rPr>
        <w:tab/>
        <w:t>E</w:t>
      </w:r>
      <w:r w:rsidRPr="00860D94">
        <w:rPr>
          <w:kern w:val="22"/>
          <w:szCs w:val="22"/>
          <w:lang w:val="fr-CA" w:bidi="fr-FR"/>
        </w:rPr>
        <w:t xml:space="preserve">xaminer les besoins et les priorités </w:t>
      </w:r>
      <w:r>
        <w:rPr>
          <w:kern w:val="22"/>
          <w:szCs w:val="22"/>
          <w:lang w:val="fr-CA" w:bidi="fr-FR"/>
        </w:rPr>
        <w:t>pour l’élaboration d’autres orientation</w:t>
      </w:r>
      <w:r w:rsidRPr="00860D94">
        <w:rPr>
          <w:kern w:val="22"/>
          <w:szCs w:val="22"/>
          <w:lang w:val="fr-CA" w:bidi="fr-FR"/>
        </w:rPr>
        <w:t>s</w:t>
      </w:r>
      <w:r>
        <w:rPr>
          <w:kern w:val="22"/>
          <w:szCs w:val="22"/>
          <w:lang w:val="fr-CA" w:bidi="fr-FR"/>
        </w:rPr>
        <w:t>, ainsi</w:t>
      </w:r>
      <w:r w:rsidRPr="00860D94">
        <w:rPr>
          <w:kern w:val="22"/>
          <w:szCs w:val="22"/>
          <w:lang w:val="fr-CA" w:bidi="fr-FR"/>
        </w:rPr>
        <w:t xml:space="preserve"> </w:t>
      </w:r>
      <w:r>
        <w:rPr>
          <w:kern w:val="22"/>
          <w:szCs w:val="22"/>
          <w:lang w:val="fr-CA" w:bidi="fr-FR"/>
        </w:rPr>
        <w:t xml:space="preserve">que </w:t>
      </w:r>
      <w:r w:rsidRPr="00860D94">
        <w:rPr>
          <w:kern w:val="22"/>
          <w:szCs w:val="22"/>
          <w:lang w:val="fr-CA" w:bidi="fr-FR"/>
        </w:rPr>
        <w:t xml:space="preserve">les lacunes </w:t>
      </w:r>
      <w:r>
        <w:rPr>
          <w:kern w:val="22"/>
          <w:szCs w:val="22"/>
          <w:lang w:val="fr-CA" w:bidi="fr-FR"/>
        </w:rPr>
        <w:t>subsistant dans l</w:t>
      </w:r>
      <w:r w:rsidRPr="00860D94">
        <w:rPr>
          <w:kern w:val="22"/>
          <w:szCs w:val="22"/>
          <w:lang w:val="fr-CA" w:bidi="fr-FR"/>
        </w:rPr>
        <w:t>es orientations existantes</w:t>
      </w:r>
      <w:r>
        <w:rPr>
          <w:kern w:val="22"/>
          <w:szCs w:val="22"/>
          <w:lang w:val="fr-CA" w:bidi="fr-FR"/>
        </w:rPr>
        <w:t>,</w:t>
      </w:r>
      <w:r w:rsidRPr="00860D94">
        <w:rPr>
          <w:kern w:val="22"/>
          <w:szCs w:val="22"/>
          <w:lang w:val="fr-CA" w:bidi="fr-FR"/>
        </w:rPr>
        <w:t xml:space="preserve"> </w:t>
      </w:r>
      <w:r w:rsidR="00E50BA7">
        <w:rPr>
          <w:kern w:val="22"/>
          <w:szCs w:val="22"/>
          <w:lang w:val="fr-CA" w:bidi="fr-FR"/>
        </w:rPr>
        <w:t>tels que recensé</w:t>
      </w:r>
      <w:r w:rsidRPr="00860D94">
        <w:rPr>
          <w:kern w:val="22"/>
          <w:szCs w:val="22"/>
          <w:lang w:val="fr-CA" w:bidi="fr-FR"/>
        </w:rPr>
        <w:t>s par les P</w:t>
      </w:r>
      <w:r>
        <w:rPr>
          <w:kern w:val="22"/>
          <w:szCs w:val="22"/>
          <w:lang w:val="fr-CA" w:bidi="fr-FR"/>
        </w:rPr>
        <w:t>arties en application de la décision </w:t>
      </w:r>
      <w:r w:rsidRPr="00860D94">
        <w:rPr>
          <w:kern w:val="22"/>
          <w:szCs w:val="22"/>
          <w:lang w:val="fr-CA" w:bidi="fr-FR"/>
        </w:rPr>
        <w:t>VIII/CP</w:t>
      </w:r>
      <w:r>
        <w:rPr>
          <w:kern w:val="22"/>
          <w:szCs w:val="22"/>
          <w:lang w:val="fr-CA" w:bidi="fr-FR"/>
        </w:rPr>
        <w:noBreakHyphen/>
      </w:r>
      <w:r w:rsidRPr="00860D94">
        <w:rPr>
          <w:kern w:val="22"/>
          <w:szCs w:val="22"/>
          <w:lang w:val="fr-CA" w:bidi="fr-FR"/>
        </w:rPr>
        <w:t>12</w:t>
      </w:r>
      <w:r w:rsidR="00E50BA7">
        <w:rPr>
          <w:kern w:val="22"/>
          <w:szCs w:val="22"/>
          <w:lang w:val="fr-CA" w:bidi="fr-FR"/>
        </w:rPr>
        <w:t>,</w:t>
      </w:r>
      <w:r w:rsidRPr="00860D94">
        <w:rPr>
          <w:kern w:val="22"/>
          <w:szCs w:val="22"/>
          <w:lang w:val="fr-CA" w:bidi="fr-FR"/>
        </w:rPr>
        <w:t xml:space="preserve"> concer</w:t>
      </w:r>
      <w:r>
        <w:rPr>
          <w:kern w:val="22"/>
          <w:szCs w:val="22"/>
          <w:lang w:val="fr-CA" w:bidi="fr-FR"/>
        </w:rPr>
        <w:t>nant des sujets spécifiques relatifs à l’évaluation des risques,</w:t>
      </w:r>
      <w:r w:rsidRPr="00860D94">
        <w:rPr>
          <w:kern w:val="22"/>
          <w:szCs w:val="22"/>
          <w:lang w:val="fr-CA" w:bidi="fr-FR"/>
        </w:rPr>
        <w:t xml:space="preserve"> et préparer une analyse</w:t>
      </w:r>
      <w:r>
        <w:rPr>
          <w:kern w:val="22"/>
          <w:szCs w:val="22"/>
          <w:lang w:val="fr-CA" w:bidi="fr-FR"/>
        </w:rPr>
        <w:t>;</w:t>
      </w:r>
      <w:r w:rsidRPr="00860D94">
        <w:rPr>
          <w:kern w:val="22"/>
          <w:szCs w:val="22"/>
          <w:lang w:val="fr-CA" w:bidi="fr-FR"/>
        </w:rPr>
        <w:t xml:space="preserve"> </w:t>
      </w:r>
    </w:p>
    <w:p w14:paraId="18981F2D" w14:textId="41AE6BA3" w:rsidR="001127A3" w:rsidRDefault="00D37D26" w:rsidP="001127A3">
      <w:pPr>
        <w:pStyle w:val="Para1"/>
        <w:numPr>
          <w:ilvl w:val="0"/>
          <w:numId w:val="0"/>
        </w:numPr>
        <w:suppressLineNumbers/>
        <w:tabs>
          <w:tab w:val="left" w:pos="0"/>
        </w:tabs>
        <w:suppressAutoHyphens/>
        <w:kinsoku w:val="0"/>
        <w:overflowPunct w:val="0"/>
        <w:autoSpaceDE w:val="0"/>
        <w:autoSpaceDN w:val="0"/>
        <w:snapToGrid w:val="0"/>
        <w:ind w:firstLine="709"/>
        <w:rPr>
          <w:kern w:val="22"/>
          <w:szCs w:val="22"/>
          <w:lang w:val="fr-CA" w:bidi="fr-FR"/>
        </w:rPr>
      </w:pPr>
      <w:r w:rsidRPr="00860D94">
        <w:rPr>
          <w:kern w:val="22"/>
          <w:szCs w:val="22"/>
          <w:lang w:val="fr-CA" w:bidi="fr-FR"/>
        </w:rPr>
        <w:t xml:space="preserve">c) </w:t>
      </w:r>
      <w:r w:rsidRPr="00860D94">
        <w:rPr>
          <w:kern w:val="22"/>
          <w:szCs w:val="22"/>
          <w:lang w:val="fr-CA" w:bidi="fr-FR"/>
        </w:rPr>
        <w:tab/>
      </w:r>
      <w:r>
        <w:rPr>
          <w:kern w:val="22"/>
          <w:szCs w:val="22"/>
          <w:lang w:val="fr-CA" w:bidi="fr-FR"/>
        </w:rPr>
        <w:t>Formuler des recommanda</w:t>
      </w:r>
      <w:r w:rsidR="00DC399B">
        <w:rPr>
          <w:kern w:val="22"/>
          <w:szCs w:val="22"/>
          <w:lang w:val="fr-CA" w:bidi="fr-FR"/>
        </w:rPr>
        <w:t>tions sur i) la nécessité d’élabore</w:t>
      </w:r>
      <w:r>
        <w:rPr>
          <w:kern w:val="22"/>
          <w:szCs w:val="22"/>
          <w:lang w:val="fr-CA" w:bidi="fr-FR"/>
        </w:rPr>
        <w:t>r des orientation</w:t>
      </w:r>
      <w:r w:rsidRPr="00860D94">
        <w:rPr>
          <w:kern w:val="22"/>
          <w:szCs w:val="22"/>
          <w:lang w:val="fr-CA" w:bidi="fr-FR"/>
        </w:rPr>
        <w:t>s sur l</w:t>
      </w:r>
      <w:r>
        <w:rPr>
          <w:kern w:val="22"/>
          <w:szCs w:val="22"/>
          <w:lang w:val="fr-CA" w:bidi="fr-FR"/>
        </w:rPr>
        <w:t>’</w:t>
      </w:r>
      <w:r w:rsidRPr="00860D94">
        <w:rPr>
          <w:kern w:val="22"/>
          <w:szCs w:val="22"/>
          <w:lang w:val="fr-CA" w:bidi="fr-FR"/>
        </w:rPr>
        <w:t xml:space="preserve">évaluation des risques </w:t>
      </w:r>
      <w:r>
        <w:rPr>
          <w:kern w:val="22"/>
          <w:szCs w:val="22"/>
          <w:lang w:val="fr-CA" w:bidi="fr-FR"/>
        </w:rPr>
        <w:t xml:space="preserve">présentés par les organismes vivants modifiés </w:t>
      </w:r>
      <w:r w:rsidR="001127A3">
        <w:rPr>
          <w:kern w:val="22"/>
          <w:szCs w:val="22"/>
          <w:lang w:val="fr-CA" w:bidi="fr-FR"/>
        </w:rPr>
        <w:t>ayant subi un forçage génétique</w:t>
      </w:r>
      <w:r w:rsidRPr="00860D94">
        <w:rPr>
          <w:kern w:val="22"/>
          <w:szCs w:val="22"/>
          <w:lang w:val="fr-CA" w:bidi="fr-FR"/>
        </w:rPr>
        <w:t xml:space="preserve"> e</w:t>
      </w:r>
      <w:r>
        <w:rPr>
          <w:kern w:val="22"/>
          <w:szCs w:val="22"/>
          <w:lang w:val="fr-CA" w:bidi="fr-FR"/>
        </w:rPr>
        <w:t xml:space="preserve">t les </w:t>
      </w:r>
      <w:r w:rsidR="0066711F">
        <w:rPr>
          <w:kern w:val="22"/>
          <w:szCs w:val="22"/>
          <w:lang w:val="fr-CA" w:bidi="fr-FR"/>
        </w:rPr>
        <w:t>poissons vivants modifiés</w:t>
      </w:r>
      <w:r w:rsidR="00E50BA7">
        <w:rPr>
          <w:kern w:val="22"/>
          <w:szCs w:val="22"/>
          <w:lang w:val="fr-CA" w:bidi="fr-FR"/>
        </w:rPr>
        <w:t>, et ii) toute</w:t>
      </w:r>
      <w:r>
        <w:rPr>
          <w:kern w:val="22"/>
          <w:szCs w:val="22"/>
          <w:lang w:val="fr-CA" w:bidi="fr-FR"/>
        </w:rPr>
        <w:t xml:space="preserve"> modification</w:t>
      </w:r>
      <w:r w:rsidR="00F66493">
        <w:rPr>
          <w:kern w:val="22"/>
          <w:szCs w:val="22"/>
          <w:lang w:val="fr-CA" w:bidi="fr-FR"/>
        </w:rPr>
        <w:t xml:space="preserve"> </w:t>
      </w:r>
      <w:r>
        <w:rPr>
          <w:kern w:val="22"/>
          <w:szCs w:val="22"/>
          <w:lang w:val="fr-CA" w:bidi="fr-FR"/>
        </w:rPr>
        <w:t xml:space="preserve">à apporter </w:t>
      </w:r>
      <w:r w:rsidRPr="00860D94">
        <w:rPr>
          <w:kern w:val="22"/>
          <w:szCs w:val="22"/>
          <w:lang w:val="fr-CA" w:bidi="fr-FR"/>
        </w:rPr>
        <w:t>à l</w:t>
      </w:r>
      <w:r>
        <w:rPr>
          <w:kern w:val="22"/>
          <w:szCs w:val="22"/>
          <w:lang w:val="fr-CA" w:bidi="fr-FR"/>
        </w:rPr>
        <w:t>’</w:t>
      </w:r>
      <w:r w:rsidRPr="00860D94">
        <w:rPr>
          <w:kern w:val="22"/>
          <w:szCs w:val="22"/>
          <w:lang w:val="fr-CA" w:bidi="fr-FR"/>
        </w:rPr>
        <w:t>anne</w:t>
      </w:r>
      <w:r>
        <w:rPr>
          <w:kern w:val="22"/>
          <w:szCs w:val="22"/>
          <w:lang w:val="fr-CA" w:bidi="fr-FR"/>
        </w:rPr>
        <w:t>xe I</w:t>
      </w:r>
      <w:r w:rsidR="002749F5">
        <w:rPr>
          <w:kern w:val="22"/>
          <w:szCs w:val="22"/>
          <w:lang w:val="fr-CA" w:bidi="fr-FR"/>
        </w:rPr>
        <w:t xml:space="preserve"> de la décision CP-9/13</w:t>
      </w:r>
      <w:r w:rsidR="001127A3">
        <w:rPr>
          <w:kern w:val="22"/>
          <w:szCs w:val="22"/>
          <w:lang w:val="fr-CA" w:bidi="fr-FR"/>
        </w:rPr>
        <w:t>;</w:t>
      </w:r>
    </w:p>
    <w:p w14:paraId="765CDA9E" w14:textId="597FF26D" w:rsidR="00D37D26" w:rsidRPr="001127A3" w:rsidRDefault="002749F5" w:rsidP="002749F5">
      <w:pPr>
        <w:pStyle w:val="Para1"/>
        <w:numPr>
          <w:ilvl w:val="0"/>
          <w:numId w:val="0"/>
        </w:numPr>
        <w:suppressLineNumbers/>
        <w:tabs>
          <w:tab w:val="left" w:pos="0"/>
        </w:tabs>
        <w:suppressAutoHyphens/>
        <w:kinsoku w:val="0"/>
        <w:overflowPunct w:val="0"/>
        <w:autoSpaceDE w:val="0"/>
        <w:autoSpaceDN w:val="0"/>
        <w:snapToGrid w:val="0"/>
        <w:spacing w:after="240"/>
        <w:ind w:firstLine="709"/>
        <w:rPr>
          <w:kern w:val="22"/>
          <w:szCs w:val="22"/>
          <w:lang w:val="fr-CA"/>
        </w:rPr>
      </w:pPr>
      <w:r>
        <w:rPr>
          <w:kern w:val="22"/>
          <w:szCs w:val="22"/>
          <w:lang w:val="fr-CA" w:bidi="fr-FR"/>
        </w:rPr>
        <w:t xml:space="preserve">d) </w:t>
      </w:r>
      <w:r>
        <w:rPr>
          <w:kern w:val="22"/>
          <w:szCs w:val="22"/>
          <w:lang w:val="fr-CA" w:bidi="fr-FR"/>
        </w:rPr>
        <w:tab/>
        <w:t>Établir</w:t>
      </w:r>
      <w:r w:rsidR="00D37D26" w:rsidRPr="00860D94">
        <w:rPr>
          <w:kern w:val="22"/>
          <w:szCs w:val="22"/>
          <w:lang w:val="fr-CA" w:bidi="fr-FR"/>
        </w:rPr>
        <w:t xml:space="preserve"> un rapport</w:t>
      </w:r>
      <w:r w:rsidR="00D37D26">
        <w:rPr>
          <w:kern w:val="22"/>
          <w:szCs w:val="22"/>
          <w:lang w:val="fr-CA" w:bidi="fr-FR"/>
        </w:rPr>
        <w:t>,</w:t>
      </w:r>
      <w:r w:rsidR="00851C3A">
        <w:rPr>
          <w:kern w:val="22"/>
          <w:szCs w:val="22"/>
          <w:lang w:val="fr-CA" w:bidi="fr-FR"/>
        </w:rPr>
        <w:t xml:space="preserve"> pour exam</w:t>
      </w:r>
      <w:r w:rsidR="00D37D26" w:rsidRPr="00860D94">
        <w:rPr>
          <w:kern w:val="22"/>
          <w:szCs w:val="22"/>
          <w:lang w:val="fr-CA" w:bidi="fr-FR"/>
        </w:rPr>
        <w:t>en par l</w:t>
      </w:r>
      <w:r w:rsidR="00D37D26">
        <w:rPr>
          <w:kern w:val="22"/>
          <w:szCs w:val="22"/>
          <w:lang w:val="fr-CA" w:bidi="fr-FR"/>
        </w:rPr>
        <w:t>’</w:t>
      </w:r>
      <w:r w:rsidR="00D37D26">
        <w:rPr>
          <w:rStyle w:val="st"/>
          <w:kern w:val="22"/>
          <w:szCs w:val="22"/>
          <w:lang w:val="fr-CA" w:bidi="fr-FR"/>
        </w:rPr>
        <w:t>Organe subsidiaire chargé de fournir d</w:t>
      </w:r>
      <w:r w:rsidR="00D37D26" w:rsidRPr="00860D94">
        <w:rPr>
          <w:rStyle w:val="st"/>
          <w:kern w:val="22"/>
          <w:szCs w:val="22"/>
          <w:lang w:val="fr-CA" w:bidi="fr-FR"/>
        </w:rPr>
        <w:t>es avis scientifiques, techniques et technologiques</w:t>
      </w:r>
      <w:r w:rsidR="00D37D26">
        <w:rPr>
          <w:rStyle w:val="st"/>
          <w:kern w:val="22"/>
          <w:szCs w:val="22"/>
          <w:lang w:val="fr-CA" w:bidi="fr-FR"/>
        </w:rPr>
        <w:t>,</w:t>
      </w:r>
      <w:r w:rsidR="00851C3A">
        <w:rPr>
          <w:kern w:val="22"/>
          <w:szCs w:val="22"/>
          <w:lang w:val="fr-CA" w:bidi="fr-FR"/>
        </w:rPr>
        <w:t xml:space="preserve"> en </w:t>
      </w:r>
      <w:r w:rsidR="00D37D26" w:rsidRPr="00860D94">
        <w:rPr>
          <w:kern w:val="22"/>
          <w:szCs w:val="22"/>
          <w:lang w:val="fr-CA" w:bidi="fr-FR"/>
        </w:rPr>
        <w:t>vue de permettre à l</w:t>
      </w:r>
      <w:r w:rsidR="00D37D26">
        <w:rPr>
          <w:kern w:val="22"/>
          <w:szCs w:val="22"/>
          <w:lang w:val="fr-CA" w:bidi="fr-FR"/>
        </w:rPr>
        <w:t>’</w:t>
      </w:r>
      <w:r w:rsidR="00D37D26">
        <w:rPr>
          <w:rStyle w:val="st"/>
          <w:kern w:val="22"/>
          <w:szCs w:val="22"/>
          <w:lang w:val="fr-CA" w:bidi="fr-FR"/>
        </w:rPr>
        <w:t>O</w:t>
      </w:r>
      <w:r w:rsidR="00D37D26" w:rsidRPr="00860D94">
        <w:rPr>
          <w:rStyle w:val="st"/>
          <w:kern w:val="22"/>
          <w:szCs w:val="22"/>
          <w:lang w:val="fr-CA" w:bidi="fr-FR"/>
        </w:rPr>
        <w:t xml:space="preserve">rgane subsidiaire </w:t>
      </w:r>
      <w:r w:rsidR="00D37D26">
        <w:rPr>
          <w:kern w:val="22"/>
          <w:szCs w:val="22"/>
          <w:lang w:val="fr-CA" w:bidi="fr-FR"/>
        </w:rPr>
        <w:t>d’élaborer</w:t>
      </w:r>
      <w:r w:rsidR="001127A3">
        <w:rPr>
          <w:kern w:val="22"/>
          <w:szCs w:val="22"/>
          <w:lang w:val="fr-CA" w:bidi="fr-FR"/>
        </w:rPr>
        <w:t xml:space="preserve"> une </w:t>
      </w:r>
      <w:r w:rsidR="00D37D26" w:rsidRPr="00860D94">
        <w:rPr>
          <w:kern w:val="22"/>
          <w:szCs w:val="22"/>
          <w:lang w:val="fr-CA" w:bidi="fr-FR"/>
        </w:rPr>
        <w:t>recommandation</w:t>
      </w:r>
      <w:r w:rsidR="00D37D26">
        <w:rPr>
          <w:kern w:val="22"/>
          <w:szCs w:val="22"/>
          <w:lang w:val="fr-CA" w:bidi="fr-FR"/>
        </w:rPr>
        <w:t>,</w:t>
      </w:r>
      <w:r w:rsidR="00F66493">
        <w:rPr>
          <w:kern w:val="22"/>
          <w:szCs w:val="22"/>
          <w:lang w:val="fr-CA" w:bidi="fr-FR"/>
        </w:rPr>
        <w:t xml:space="preserve"> pour </w:t>
      </w:r>
      <w:r w:rsidR="00D37D26" w:rsidRPr="00860D94">
        <w:rPr>
          <w:kern w:val="22"/>
          <w:szCs w:val="22"/>
          <w:lang w:val="fr-CA" w:bidi="fr-FR"/>
        </w:rPr>
        <w:t xml:space="preserve">examen par la Conférence des Parties siégeant en tant que réunion des Parties au Protocole de Cartagena </w:t>
      </w:r>
      <w:r w:rsidR="00D37D26">
        <w:rPr>
          <w:kern w:val="22"/>
          <w:szCs w:val="22"/>
          <w:lang w:val="fr-CA" w:bidi="fr-FR"/>
        </w:rPr>
        <w:t xml:space="preserve">sur la prévention des risques biotechnologiques </w:t>
      </w:r>
      <w:r w:rsidR="00D37D26" w:rsidRPr="00860D94">
        <w:rPr>
          <w:kern w:val="22"/>
          <w:szCs w:val="22"/>
          <w:lang w:val="fr-CA" w:bidi="fr-FR"/>
        </w:rPr>
        <w:t>à sa dixième réunion</w:t>
      </w:r>
      <w:r w:rsidR="00D37D26">
        <w:rPr>
          <w:kern w:val="22"/>
          <w:szCs w:val="22"/>
          <w:lang w:val="fr-CA" w:bidi="fr-FR"/>
        </w:rPr>
        <w:t>.</w:t>
      </w:r>
    </w:p>
    <w:p w14:paraId="48D24824" w14:textId="55BD2221" w:rsidR="00B3369F" w:rsidRPr="0015210A" w:rsidRDefault="00D87517" w:rsidP="00CC6C49">
      <w:pPr>
        <w:suppressLineNumbers/>
        <w:suppressAutoHyphens/>
        <w:kinsoku w:val="0"/>
        <w:overflowPunct w:val="0"/>
        <w:autoSpaceDE w:val="0"/>
        <w:autoSpaceDN w:val="0"/>
        <w:snapToGrid w:val="0"/>
        <w:spacing w:before="120" w:after="120"/>
        <w:jc w:val="center"/>
        <w:rPr>
          <w:rFonts w:ascii="Times New Roman Bold" w:hAnsi="Times New Roman Bold" w:cs="Times New Roman Bold"/>
          <w:b/>
          <w:bCs/>
          <w:caps/>
          <w:snapToGrid w:val="0"/>
          <w:kern w:val="22"/>
          <w:szCs w:val="22"/>
        </w:rPr>
      </w:pPr>
      <w:r w:rsidRPr="0015210A">
        <w:rPr>
          <w:snapToGrid w:val="0"/>
          <w:kern w:val="22"/>
          <w:szCs w:val="22"/>
          <w:lang w:eastAsia="en-CA"/>
        </w:rPr>
        <w:t>__________</w:t>
      </w:r>
    </w:p>
    <w:sectPr w:rsidR="00B3369F" w:rsidRPr="0015210A"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52CCF" w14:textId="77777777" w:rsidR="003D15FD" w:rsidRDefault="003D15FD" w:rsidP="00CF1848">
      <w:r>
        <w:separator/>
      </w:r>
    </w:p>
  </w:endnote>
  <w:endnote w:type="continuationSeparator" w:id="0">
    <w:p w14:paraId="7051662E" w14:textId="77777777" w:rsidR="003D15FD" w:rsidRDefault="003D15F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85A03" w14:textId="77777777" w:rsidR="003D15FD" w:rsidRDefault="003D15FD" w:rsidP="00CF1848">
      <w:r>
        <w:separator/>
      </w:r>
    </w:p>
  </w:footnote>
  <w:footnote w:type="continuationSeparator" w:id="0">
    <w:p w14:paraId="7609BDFE" w14:textId="77777777" w:rsidR="003D15FD" w:rsidRDefault="003D15FD" w:rsidP="00CF1848">
      <w:r>
        <w:continuationSeparator/>
      </w:r>
    </w:p>
  </w:footnote>
  <w:footnote w:id="1">
    <w:p w14:paraId="633BD974" w14:textId="77777777" w:rsidR="00D37D26" w:rsidRPr="00407853" w:rsidRDefault="00D37D26" w:rsidP="00D37D26">
      <w:pPr>
        <w:pStyle w:val="FootnoteText"/>
        <w:kinsoku w:val="0"/>
        <w:overflowPunct w:val="0"/>
        <w:autoSpaceDE w:val="0"/>
        <w:autoSpaceDN w:val="0"/>
        <w:ind w:firstLine="0"/>
        <w:jc w:val="left"/>
        <w:rPr>
          <w:kern w:val="18"/>
          <w:lang w:val="fr-FR"/>
        </w:rPr>
      </w:pPr>
      <w:r w:rsidRPr="0068290F">
        <w:rPr>
          <w:rStyle w:val="FootnoteReference"/>
          <w:rFonts w:eastAsiaTheme="majorEastAsia"/>
          <w:kern w:val="18"/>
          <w:lang w:val="fr-FR" w:bidi="fr-FR"/>
        </w:rPr>
        <w:footnoteRef/>
      </w:r>
      <w:r w:rsidRPr="00407853">
        <w:rPr>
          <w:kern w:val="18"/>
          <w:lang w:val="fr-FR" w:bidi="fr-FR"/>
        </w:rPr>
        <w:t xml:space="preserve"> </w:t>
      </w:r>
      <w:hyperlink r:id="rId1" w:history="1">
        <w:r w:rsidRPr="00407853">
          <w:rPr>
            <w:rStyle w:val="Hyperlink"/>
            <w:kern w:val="18"/>
            <w:lang w:val="fr-FR" w:bidi="fr-FR"/>
          </w:rPr>
          <w:t>Décision VIII/10</w:t>
        </w:r>
      </w:hyperlink>
      <w:r w:rsidRPr="00407853">
        <w:rPr>
          <w:kern w:val="18"/>
          <w:lang w:val="fr-FR" w:bidi="fr-FR"/>
        </w:rPr>
        <w:t>, annexe 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351A7E17" w:rsidR="00534681" w:rsidRPr="00917F42" w:rsidRDefault="00917F42" w:rsidP="00534681">
        <w:pPr>
          <w:pStyle w:val="Header"/>
          <w:rPr>
            <w:lang w:val="fr-FR"/>
          </w:rPr>
        </w:pPr>
        <w:r>
          <w:rPr>
            <w:lang w:val="fr-FR"/>
          </w:rPr>
          <w:t>CBD/CP/MOP/DEC/9/13</w:t>
        </w:r>
      </w:p>
    </w:sdtContent>
  </w:sdt>
  <w:p w14:paraId="57597240"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D35A43">
      <w:rPr>
        <w:noProof/>
        <w:lang w:val="fr-FR"/>
      </w:rPr>
      <w:t>2</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1A1E67C0" w:rsidR="009505C9" w:rsidRPr="00917F42" w:rsidRDefault="00917F42" w:rsidP="009505C9">
        <w:pPr>
          <w:pStyle w:val="Header"/>
          <w:jc w:val="right"/>
          <w:rPr>
            <w:lang w:val="fr-FR"/>
          </w:rPr>
        </w:pPr>
        <w:r>
          <w:rPr>
            <w:lang w:val="fr-FR"/>
          </w:rPr>
          <w:t>CBD/CP/MOP/DEC/9/13</w:t>
        </w:r>
      </w:p>
    </w:sdtContent>
  </w:sdt>
  <w:p w14:paraId="7E9B8683"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D35A43">
      <w:rPr>
        <w:noProof/>
        <w:lang w:val="fr-FR"/>
      </w:rPr>
      <w:t>3</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C3974"/>
    <w:multiLevelType w:val="hybridMultilevel"/>
    <w:tmpl w:val="6C26654A"/>
    <w:lvl w:ilvl="0" w:tplc="0C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BBA75B1"/>
    <w:multiLevelType w:val="hybridMultilevel"/>
    <w:tmpl w:val="C736EB7C"/>
    <w:lvl w:ilvl="0" w:tplc="3A3446A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16B6E"/>
    <w:multiLevelType w:val="hybridMultilevel"/>
    <w:tmpl w:val="B142CAEC"/>
    <w:lvl w:ilvl="0" w:tplc="9D4605C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8"/>
  </w:num>
  <w:num w:numId="5">
    <w:abstractNumId w:val="6"/>
  </w:num>
  <w:num w:numId="6">
    <w:abstractNumId w:val="0"/>
  </w:num>
  <w:num w:numId="7">
    <w:abstractNumId w:val="3"/>
  </w:num>
  <w:num w:numId="8">
    <w:abstractNumId w:val="5"/>
    <w:lvlOverride w:ilvl="0">
      <w:startOverride w:val="1"/>
    </w:lvlOverride>
  </w:num>
  <w:num w:numId="9">
    <w:abstractNumId w:val="12"/>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1"/>
  </w:num>
  <w:num w:numId="15">
    <w:abstractNumId w:val="9"/>
  </w:num>
  <w:num w:numId="16">
    <w:abstractNumId w:val="1"/>
  </w:num>
  <w:num w:numId="17">
    <w:abstractNumId w:val="13"/>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51D54"/>
    <w:rsid w:val="000640E6"/>
    <w:rsid w:val="000D700C"/>
    <w:rsid w:val="000E673A"/>
    <w:rsid w:val="000E6C9B"/>
    <w:rsid w:val="000F74F5"/>
    <w:rsid w:val="00105372"/>
    <w:rsid w:val="001127A3"/>
    <w:rsid w:val="00131E7A"/>
    <w:rsid w:val="001372FB"/>
    <w:rsid w:val="00143F32"/>
    <w:rsid w:val="0015210A"/>
    <w:rsid w:val="00172AF6"/>
    <w:rsid w:val="00176CEE"/>
    <w:rsid w:val="002749F5"/>
    <w:rsid w:val="00280D60"/>
    <w:rsid w:val="003200C1"/>
    <w:rsid w:val="00372F74"/>
    <w:rsid w:val="00381F3D"/>
    <w:rsid w:val="003B148B"/>
    <w:rsid w:val="003D15FD"/>
    <w:rsid w:val="003F7224"/>
    <w:rsid w:val="00400129"/>
    <w:rsid w:val="00405146"/>
    <w:rsid w:val="0042412C"/>
    <w:rsid w:val="00427D21"/>
    <w:rsid w:val="00431427"/>
    <w:rsid w:val="004644C2"/>
    <w:rsid w:val="00467F9C"/>
    <w:rsid w:val="00534681"/>
    <w:rsid w:val="005864D0"/>
    <w:rsid w:val="006122BA"/>
    <w:rsid w:val="0061445E"/>
    <w:rsid w:val="0066711F"/>
    <w:rsid w:val="006B2290"/>
    <w:rsid w:val="006C061A"/>
    <w:rsid w:val="006D709E"/>
    <w:rsid w:val="006E00F7"/>
    <w:rsid w:val="006F1189"/>
    <w:rsid w:val="00717D88"/>
    <w:rsid w:val="007942D3"/>
    <w:rsid w:val="007B6C09"/>
    <w:rsid w:val="007E09DA"/>
    <w:rsid w:val="008037DD"/>
    <w:rsid w:val="008112E5"/>
    <w:rsid w:val="008178B6"/>
    <w:rsid w:val="00851C3A"/>
    <w:rsid w:val="00865B74"/>
    <w:rsid w:val="00917F42"/>
    <w:rsid w:val="00930BA1"/>
    <w:rsid w:val="0093169E"/>
    <w:rsid w:val="009505C9"/>
    <w:rsid w:val="0096790A"/>
    <w:rsid w:val="009C200D"/>
    <w:rsid w:val="009F64B7"/>
    <w:rsid w:val="00A82AD2"/>
    <w:rsid w:val="00AE2F0D"/>
    <w:rsid w:val="00B242A5"/>
    <w:rsid w:val="00B3369F"/>
    <w:rsid w:val="00B41360"/>
    <w:rsid w:val="00B81513"/>
    <w:rsid w:val="00C8445E"/>
    <w:rsid w:val="00C9161D"/>
    <w:rsid w:val="00CB5563"/>
    <w:rsid w:val="00CC6C49"/>
    <w:rsid w:val="00CF1848"/>
    <w:rsid w:val="00D041F3"/>
    <w:rsid w:val="00D12044"/>
    <w:rsid w:val="00D35A43"/>
    <w:rsid w:val="00D37D26"/>
    <w:rsid w:val="00D7198F"/>
    <w:rsid w:val="00D76A18"/>
    <w:rsid w:val="00D80016"/>
    <w:rsid w:val="00D87517"/>
    <w:rsid w:val="00DC1BF0"/>
    <w:rsid w:val="00DC399B"/>
    <w:rsid w:val="00DC767F"/>
    <w:rsid w:val="00DD118C"/>
    <w:rsid w:val="00E01135"/>
    <w:rsid w:val="00E50BA7"/>
    <w:rsid w:val="00E66235"/>
    <w:rsid w:val="00E83C24"/>
    <w:rsid w:val="00E9318D"/>
    <w:rsid w:val="00F66493"/>
    <w:rsid w:val="00F94774"/>
    <w:rsid w:val="00FC53DB"/>
    <w:rsid w:val="00FF771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1DF13B3E-CAF4-4326-9961-76519B96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051D54"/>
    <w:pPr>
      <w:spacing w:after="160" w:line="240" w:lineRule="exact"/>
      <w:jc w:val="left"/>
    </w:pPr>
    <w:rPr>
      <w:rFonts w:asciiTheme="minorHAnsi" w:eastAsiaTheme="minorEastAsia" w:hAnsiTheme="minorHAnsi" w:cstheme="minorBidi"/>
      <w:vertAlign w:val="superscript"/>
      <w:lang w:val="fr-CA"/>
    </w:rPr>
  </w:style>
  <w:style w:type="table" w:customStyle="1" w:styleId="TableGrid1">
    <w:name w:val="Table Grid1"/>
    <w:basedOn w:val="TableNormal"/>
    <w:next w:val="TableGrid"/>
    <w:rsid w:val="00051D54"/>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00C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200C1"/>
    <w:rPr>
      <w:rFonts w:ascii="Times New Roman" w:eastAsia="Times New Roman" w:hAnsi="Times New Roman" w:cs="Times New Roman"/>
      <w:b/>
      <w:bCs/>
      <w:sz w:val="20"/>
      <w:szCs w:val="20"/>
      <w:lang w:val="en-GB"/>
    </w:rPr>
  </w:style>
  <w:style w:type="character" w:customStyle="1" w:styleId="st">
    <w:name w:val="st"/>
    <w:rsid w:val="00DC1BF0"/>
  </w:style>
  <w:style w:type="character" w:customStyle="1" w:styleId="Para1Char1">
    <w:name w:val="Para1 Char1"/>
    <w:rsid w:val="00DC1BF0"/>
    <w:rPr>
      <w:rFonts w:ascii="Times New Roman" w:eastAsia="MS Mincho" w:hAnsi="Times New Roman" w:cs="Angsana New"/>
      <w:snapToGrid w:val="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2/cop-12-dec-24-fr.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mop-07/mop-07-dec-12-fr.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08/cop-08-dec-10-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124BA1970504F51AC82DEE20BE971BA"/>
        <w:category>
          <w:name w:val="Général"/>
          <w:gallery w:val="placeholder"/>
        </w:category>
        <w:types>
          <w:type w:val="bbPlcHdr"/>
        </w:types>
        <w:behaviors>
          <w:behavior w:val="content"/>
        </w:behaviors>
        <w:guid w:val="{8E980FAD-468E-4F9C-A0D7-CFD50817252C}"/>
      </w:docPartPr>
      <w:docPartBody>
        <w:p w:rsidR="002E3AAD" w:rsidRDefault="0082513A" w:rsidP="0082513A">
          <w:pPr>
            <w:pStyle w:val="0124BA1970504F51AC82DEE20BE971BA"/>
          </w:pPr>
          <w:r>
            <w:rPr>
              <w:rStyle w:val="PlaceholderText"/>
            </w:rPr>
            <w:t>[Status]</w:t>
          </w:r>
        </w:p>
      </w:docPartBody>
    </w:docPart>
    <w:docPart>
      <w:docPartPr>
        <w:name w:val="CF8C279DF29E4B2A8237A0CEF418FA0D"/>
        <w:category>
          <w:name w:val="Général"/>
          <w:gallery w:val="placeholder"/>
        </w:category>
        <w:types>
          <w:type w:val="bbPlcHdr"/>
        </w:types>
        <w:behaviors>
          <w:behavior w:val="content"/>
        </w:behaviors>
        <w:guid w:val="{C27F16DE-E563-4F2D-9CA1-654B0C3A4678}"/>
      </w:docPartPr>
      <w:docPartBody>
        <w:p w:rsidR="002E3AAD" w:rsidRDefault="0082513A" w:rsidP="0082513A">
          <w:pPr>
            <w:pStyle w:val="CF8C279DF29E4B2A8237A0CEF418FA0D"/>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3125B"/>
    <w:rsid w:val="002406C6"/>
    <w:rsid w:val="00261E9A"/>
    <w:rsid w:val="002E3AAD"/>
    <w:rsid w:val="00500A2B"/>
    <w:rsid w:val="005559E6"/>
    <w:rsid w:val="0058288D"/>
    <w:rsid w:val="006801B3"/>
    <w:rsid w:val="00720F63"/>
    <w:rsid w:val="007E0662"/>
    <w:rsid w:val="007F1B76"/>
    <w:rsid w:val="00810A55"/>
    <w:rsid w:val="0082513A"/>
    <w:rsid w:val="008C6619"/>
    <w:rsid w:val="008D420E"/>
    <w:rsid w:val="008E798C"/>
    <w:rsid w:val="0098642F"/>
    <w:rsid w:val="009A7269"/>
    <w:rsid w:val="00AC294F"/>
    <w:rsid w:val="00AD1C12"/>
    <w:rsid w:val="00B46171"/>
    <w:rsid w:val="00CE6602"/>
    <w:rsid w:val="00DF7E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13A"/>
  </w:style>
  <w:style w:type="paragraph" w:customStyle="1" w:styleId="C444DEE40D7C456B82AF1A09CD132ABF">
    <w:name w:val="C444DEE40D7C456B82AF1A09CD132ABF"/>
    <w:rsid w:val="00CE6602"/>
    <w:pPr>
      <w:spacing w:after="160" w:line="259" w:lineRule="auto"/>
    </w:pPr>
  </w:style>
  <w:style w:type="paragraph" w:customStyle="1" w:styleId="0124BA1970504F51AC82DEE20BE971BA">
    <w:name w:val="0124BA1970504F51AC82DEE20BE971BA"/>
    <w:rsid w:val="0082513A"/>
    <w:pPr>
      <w:spacing w:after="160" w:line="259" w:lineRule="auto"/>
    </w:pPr>
    <w:rPr>
      <w:lang w:val="fr-FR" w:eastAsia="fr-FR"/>
    </w:rPr>
  </w:style>
  <w:style w:type="paragraph" w:customStyle="1" w:styleId="CF8C279DF29E4B2A8237A0CEF418FA0D">
    <w:name w:val="CF8C279DF29E4B2A8237A0CEF418FA0D"/>
    <w:rsid w:val="0082513A"/>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D7F666-8077-43D7-8FEA-A648476B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1620</Words>
  <Characters>8915</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9/13.      Evaluation des risques et gestion des risques (articles 15 et 16)</vt:lpstr>
      <vt:lpstr>EVALUATION DES RISQUES ET GESTION DES RISQUES (ARTICLES 15 ET 16)</vt:lpstr>
    </vt:vector>
  </TitlesOfParts>
  <Company>SCBD</Company>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9/13.      Evaluation des risques et gestion des risques (articles 15 et 16)</dc:title>
  <dc:subject>CBD/CP/MOP/DEC/9/13</dc:subject>
  <dc:creator>SCBD</dc:creator>
  <cp:lastModifiedBy>Finn Kinley</cp:lastModifiedBy>
  <cp:revision>8</cp:revision>
  <cp:lastPrinted>2018-11-26T22:11:00Z</cp:lastPrinted>
  <dcterms:created xsi:type="dcterms:W3CDTF">2018-11-28T11:25:00Z</dcterms:created>
  <dcterms:modified xsi:type="dcterms:W3CDTF">2019-02-13T23:14:00Z</dcterms:modified>
  <cp:contentStatus>GÉNÉRALE</cp:contentStatus>
</cp:coreProperties>
</file>