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E248C4">
        <w:trPr>
          <w:trHeight w:val="709"/>
        </w:trPr>
        <w:tc>
          <w:tcPr>
            <w:tcW w:w="976" w:type="dxa"/>
            <w:tcBorders>
              <w:bottom w:val="single" w:sz="12" w:space="0" w:color="auto"/>
            </w:tcBorders>
          </w:tcPr>
          <w:p w:rsidR="00E248C4" w:rsidRDefault="00B851A1">
            <w:pPr>
              <w:rPr>
                <w:kern w:val="22"/>
                <w:lang w:val="es-ES"/>
              </w:rPr>
            </w:pPr>
            <w:r>
              <w:rPr>
                <w:noProof/>
                <w:snapToGrid/>
                <w:kern w:val="22"/>
                <w:lang w:val="es-UY" w:eastAsia="es-UY"/>
              </w:rPr>
              <w:drawing>
                <wp:inline distT="0" distB="0" distL="0" distR="0">
                  <wp:extent cx="431800" cy="368300"/>
                  <wp:effectExtent l="1905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E248C4" w:rsidRDefault="00B851A1">
            <w:pPr>
              <w:rPr>
                <w:kern w:val="22"/>
                <w:lang w:val="es-ES"/>
              </w:rPr>
            </w:pPr>
            <w:r>
              <w:rPr>
                <w:noProof/>
                <w:snapToGrid/>
                <w:kern w:val="22"/>
                <w:lang w:val="es-UY" w:eastAsia="es-UY"/>
              </w:rPr>
              <w:drawing>
                <wp:inline distT="0" distB="0" distL="0" distR="0">
                  <wp:extent cx="342900" cy="393700"/>
                  <wp:effectExtent l="1905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4290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E248C4" w:rsidRDefault="00E248C4">
            <w:pPr>
              <w:jc w:val="right"/>
              <w:rPr>
                <w:rFonts w:ascii="Arial" w:hAnsi="Arial"/>
                <w:b/>
                <w:kern w:val="22"/>
                <w:sz w:val="32"/>
                <w:lang w:val="es-ES"/>
              </w:rPr>
            </w:pPr>
            <w:r>
              <w:rPr>
                <w:rFonts w:ascii="Arial" w:hAnsi="Arial"/>
                <w:b/>
                <w:noProof/>
                <w:kern w:val="22"/>
                <w:sz w:val="32"/>
                <w:lang w:val="es-ES"/>
              </w:rPr>
              <w:t>CBD</w:t>
            </w:r>
          </w:p>
        </w:tc>
      </w:tr>
      <w:tr w:rsidR="00E248C4">
        <w:tc>
          <w:tcPr>
            <w:tcW w:w="6117" w:type="dxa"/>
            <w:gridSpan w:val="2"/>
            <w:tcBorders>
              <w:top w:val="single" w:sz="12" w:space="0" w:color="auto"/>
              <w:bottom w:val="single" w:sz="36" w:space="0" w:color="auto"/>
            </w:tcBorders>
            <w:vAlign w:val="center"/>
          </w:tcPr>
          <w:p w:rsidR="00E248C4" w:rsidRDefault="00B851A1">
            <w:pPr>
              <w:rPr>
                <w:kern w:val="22"/>
                <w:lang w:val="es-ES"/>
              </w:rPr>
            </w:pPr>
            <w:r>
              <w:rPr>
                <w:noProof/>
                <w:snapToGrid/>
                <w:kern w:val="22"/>
                <w:lang w:val="es-UY" w:eastAsia="es-UY"/>
              </w:rPr>
              <w:drawing>
                <wp:inline distT="0" distB="0" distL="0" distR="0">
                  <wp:extent cx="2908300" cy="1041400"/>
                  <wp:effectExtent l="19050" t="0" r="635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8300" cy="10414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E248C4" w:rsidRDefault="00E248C4">
            <w:pPr>
              <w:ind w:left="1215"/>
              <w:jc w:val="left"/>
              <w:rPr>
                <w:kern w:val="22"/>
                <w:lang w:val="es-ES"/>
              </w:rPr>
            </w:pPr>
            <w:r>
              <w:rPr>
                <w:noProof/>
                <w:kern w:val="22"/>
                <w:lang w:val="es-ES"/>
              </w:rPr>
              <w:t>Distr.</w:t>
            </w:r>
          </w:p>
          <w:p w:rsidR="00E248C4" w:rsidRDefault="00E248C4">
            <w:pPr>
              <w:ind w:left="1215"/>
              <w:jc w:val="left"/>
              <w:rPr>
                <w:kern w:val="22"/>
                <w:lang w:val="es-ES"/>
              </w:rPr>
            </w:pPr>
            <w:r>
              <w:rPr>
                <w:noProof/>
                <w:kern w:val="22"/>
                <w:lang w:val="es-ES"/>
              </w:rPr>
              <w:t>GENERAL</w:t>
            </w:r>
          </w:p>
          <w:p w:rsidR="00E248C4" w:rsidRDefault="00E248C4">
            <w:pPr>
              <w:ind w:left="1215"/>
              <w:jc w:val="left"/>
              <w:rPr>
                <w:kern w:val="22"/>
                <w:lang w:val="es-ES"/>
              </w:rPr>
            </w:pPr>
          </w:p>
          <w:p w:rsidR="00E248C4" w:rsidRDefault="00E248C4">
            <w:pPr>
              <w:ind w:left="1215"/>
              <w:jc w:val="left"/>
              <w:rPr>
                <w:kern w:val="22"/>
                <w:lang w:val="es-ES"/>
              </w:rPr>
            </w:pPr>
            <w:r>
              <w:rPr>
                <w:noProof/>
                <w:kern w:val="22"/>
                <w:lang w:val="es-ES"/>
              </w:rPr>
              <w:t>CBD/CP/MOP/DEC/9/14</w:t>
            </w:r>
          </w:p>
          <w:p w:rsidR="00E248C4" w:rsidRDefault="00E248C4">
            <w:pPr>
              <w:ind w:left="1215"/>
              <w:jc w:val="left"/>
              <w:rPr>
                <w:kern w:val="22"/>
                <w:lang w:val="es-ES"/>
              </w:rPr>
            </w:pPr>
            <w:r>
              <w:rPr>
                <w:noProof/>
                <w:kern w:val="22"/>
                <w:lang w:val="es-ES"/>
              </w:rPr>
              <w:t>30 de noviembre de 2018</w:t>
            </w:r>
          </w:p>
          <w:p w:rsidR="00E248C4" w:rsidRDefault="00E248C4">
            <w:pPr>
              <w:ind w:left="1215"/>
              <w:jc w:val="left"/>
              <w:rPr>
                <w:kern w:val="22"/>
                <w:lang w:val="es-ES"/>
              </w:rPr>
            </w:pPr>
          </w:p>
          <w:p w:rsidR="00E248C4" w:rsidRDefault="00E248C4">
            <w:pPr>
              <w:ind w:left="1215"/>
              <w:jc w:val="left"/>
              <w:rPr>
                <w:kern w:val="22"/>
                <w:lang w:val="es-ES"/>
              </w:rPr>
            </w:pPr>
            <w:r>
              <w:rPr>
                <w:noProof/>
                <w:kern w:val="22"/>
                <w:lang w:val="es-ES"/>
              </w:rPr>
              <w:t>ESPAÑOL</w:t>
            </w:r>
          </w:p>
          <w:p w:rsidR="00E248C4" w:rsidRDefault="00E248C4">
            <w:pPr>
              <w:ind w:left="1215"/>
              <w:jc w:val="left"/>
              <w:rPr>
                <w:kern w:val="22"/>
                <w:lang w:val="es-ES"/>
              </w:rPr>
            </w:pPr>
            <w:r>
              <w:rPr>
                <w:noProof/>
                <w:kern w:val="22"/>
                <w:lang w:val="es-ES"/>
              </w:rPr>
              <w:t>ORIGINAL:</w:t>
            </w:r>
            <w:r>
              <w:rPr>
                <w:kern w:val="22"/>
                <w:lang w:val="es-ES"/>
              </w:rPr>
              <w:t xml:space="preserve"> </w:t>
            </w:r>
            <w:r>
              <w:rPr>
                <w:noProof/>
                <w:kern w:val="22"/>
                <w:lang w:val="es-ES"/>
              </w:rPr>
              <w:t>INGLÉS</w:t>
            </w:r>
          </w:p>
          <w:p w:rsidR="00E248C4" w:rsidRDefault="00E248C4">
            <w:pPr>
              <w:jc w:val="left"/>
              <w:rPr>
                <w:kern w:val="22"/>
                <w:lang w:val="es-ES"/>
              </w:rPr>
            </w:pPr>
          </w:p>
        </w:tc>
      </w:tr>
    </w:tbl>
    <w:p w:rsidR="00E248C4" w:rsidRDefault="00E248C4">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E248C4" w:rsidRDefault="00E248C4">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E248C4" w:rsidRDefault="00E248C4">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E248C4" w:rsidRDefault="00E248C4">
      <w:pPr>
        <w:rPr>
          <w:kern w:val="22"/>
          <w:lang w:val="es-ES"/>
        </w:rPr>
      </w:pPr>
      <w:r>
        <w:rPr>
          <w:noProof/>
          <w:color w:val="000000"/>
          <w:kern w:val="22"/>
          <w:lang w:val="es-ES"/>
        </w:rPr>
        <w:t xml:space="preserve">Tema </w:t>
      </w:r>
      <w:r>
        <w:rPr>
          <w:noProof/>
          <w:kern w:val="22"/>
          <w:lang w:val="es-ES"/>
        </w:rPr>
        <w:t>18 del programa</w:t>
      </w:r>
    </w:p>
    <w:p w:rsidR="00E248C4" w:rsidRDefault="00E248C4">
      <w:pPr>
        <w:pStyle w:val="Heading1"/>
        <w:tabs>
          <w:tab w:val="clear" w:pos="720"/>
        </w:tabs>
        <w:rPr>
          <w:kern w:val="22"/>
          <w:lang w:val="es-ES"/>
        </w:rPr>
      </w:pPr>
      <w:r>
        <w:rPr>
          <w:noProof/>
          <w:kern w:val="22"/>
        </w:rPr>
        <w:t>Decisión adoptada por las Partes en el Protocolo de Cartagena sobre seguridad de la Biotecnología</w:t>
      </w:r>
    </w:p>
    <w:p w:rsidR="00E248C4" w:rsidRDefault="00E248C4">
      <w:pPr>
        <w:spacing w:before="120" w:after="240"/>
        <w:jc w:val="center"/>
        <w:rPr>
          <w:b/>
          <w:caps/>
          <w:kern w:val="22"/>
          <w:lang w:val="es-ES"/>
        </w:rPr>
      </w:pPr>
      <w:r>
        <w:rPr>
          <w:b/>
          <w:caps/>
          <w:kern w:val="22"/>
          <w:lang w:val="es-ES"/>
        </w:rPr>
        <w:t>9/14.</w:t>
      </w:r>
      <w:r>
        <w:rPr>
          <w:b/>
          <w:caps/>
          <w:kern w:val="22"/>
          <w:lang w:val="es-ES"/>
        </w:rPr>
        <w:tab/>
      </w:r>
      <w:r>
        <w:rPr>
          <w:b/>
          <w:kern w:val="22"/>
          <w:lang w:val="es-ES"/>
        </w:rPr>
        <w:t>Consideraciones socioeconómicas (artículo 26)</w:t>
      </w:r>
    </w:p>
    <w:p w:rsidR="00E248C4" w:rsidRDefault="00E248C4">
      <w:pPr>
        <w:suppressLineNumbers/>
        <w:suppressAutoHyphens/>
        <w:adjustRightInd w:val="0"/>
        <w:snapToGrid w:val="0"/>
        <w:spacing w:before="120" w:after="120"/>
        <w:ind w:firstLine="720"/>
        <w:rPr>
          <w:i/>
          <w:color w:val="000000"/>
          <w:kern w:val="22"/>
          <w:lang w:val="es-ES"/>
        </w:rPr>
      </w:pPr>
      <w:r>
        <w:rPr>
          <w:i/>
          <w:kern w:val="22"/>
          <w:lang w:val="es-ES"/>
        </w:rPr>
        <w:t>La Conferencia de las Partes que actúa como reunión de las Partes en el Protocolo de Cartagena sobre Seguridad de la Biotecnología,</w:t>
      </w:r>
    </w:p>
    <w:p w:rsidR="00E248C4" w:rsidRDefault="00E248C4">
      <w:pPr>
        <w:pStyle w:val="Para1"/>
        <w:numPr>
          <w:ilvl w:val="0"/>
          <w:numId w:val="0"/>
        </w:numPr>
        <w:suppressLineNumbers/>
        <w:suppressAutoHyphens/>
        <w:ind w:firstLine="720"/>
        <w:rPr>
          <w:kern w:val="22"/>
          <w:szCs w:val="24"/>
          <w:lang w:val="es-ES"/>
        </w:rPr>
      </w:pPr>
      <w:r>
        <w:rPr>
          <w:i/>
          <w:szCs w:val="24"/>
          <w:lang w:val="es-ES"/>
        </w:rPr>
        <w:t>Recordando</w:t>
      </w:r>
      <w:r>
        <w:rPr>
          <w:szCs w:val="24"/>
          <w:lang w:val="es-ES"/>
        </w:rPr>
        <w:t xml:space="preserve"> las decisiones </w:t>
      </w:r>
      <w:hyperlink r:id="rId10" w:history="1">
        <w:r>
          <w:rPr>
            <w:rStyle w:val="Hyperlink"/>
            <w:sz w:val="22"/>
            <w:szCs w:val="24"/>
            <w:lang w:val="es-ES"/>
          </w:rPr>
          <w:t>BS-VI/13</w:t>
        </w:r>
      </w:hyperlink>
      <w:r>
        <w:rPr>
          <w:szCs w:val="24"/>
          <w:lang w:val="es-ES"/>
        </w:rPr>
        <w:t xml:space="preserve">, </w:t>
      </w:r>
      <w:hyperlink r:id="rId11" w:history="1">
        <w:r>
          <w:rPr>
            <w:rStyle w:val="Hyperlink"/>
            <w:sz w:val="22"/>
            <w:szCs w:val="24"/>
            <w:lang w:val="es-ES"/>
          </w:rPr>
          <w:t>BS-VII/13</w:t>
        </w:r>
      </w:hyperlink>
      <w:r>
        <w:rPr>
          <w:szCs w:val="24"/>
          <w:lang w:val="es-ES"/>
        </w:rPr>
        <w:t xml:space="preserve"> y </w:t>
      </w:r>
      <w:hyperlink r:id="rId12" w:history="1">
        <w:r>
          <w:rPr>
            <w:rStyle w:val="Hyperlink"/>
            <w:sz w:val="22"/>
            <w:szCs w:val="24"/>
            <w:lang w:val="es-ES"/>
          </w:rPr>
          <w:t>CP-VIII/13</w:t>
        </w:r>
      </w:hyperlink>
      <w:r>
        <w:rPr>
          <w:szCs w:val="24"/>
          <w:lang w:val="es-ES"/>
        </w:rPr>
        <w:t>,</w:t>
      </w:r>
    </w:p>
    <w:p w:rsidR="00E248C4" w:rsidRDefault="00E248C4">
      <w:pPr>
        <w:pStyle w:val="Para1"/>
        <w:numPr>
          <w:ilvl w:val="0"/>
          <w:numId w:val="0"/>
        </w:numPr>
        <w:suppressLineNumbers/>
        <w:suppressAutoHyphens/>
        <w:spacing w:before="0" w:after="0"/>
        <w:ind w:firstLine="720"/>
        <w:rPr>
          <w:i/>
          <w:kern w:val="22"/>
          <w:szCs w:val="24"/>
          <w:lang w:val="es-ES"/>
        </w:rPr>
      </w:pPr>
      <w:r>
        <w:rPr>
          <w:i/>
          <w:kern w:val="22"/>
          <w:szCs w:val="24"/>
          <w:lang w:val="es-ES"/>
        </w:rPr>
        <w:t>Recordando</w:t>
      </w:r>
      <w:r>
        <w:rPr>
          <w:kern w:val="22"/>
          <w:szCs w:val="24"/>
          <w:lang w:val="es-ES"/>
        </w:rPr>
        <w:t xml:space="preserve"> que, de conformidad con el artículo 26, párrafo 1, las Partes, al adoptar una decisión sobre importaci</w:t>
      </w:r>
      <w:r w:rsidR="007836CF">
        <w:rPr>
          <w:kern w:val="22"/>
          <w:szCs w:val="24"/>
          <w:lang w:val="es-ES"/>
        </w:rPr>
        <w:t>o</w:t>
      </w:r>
      <w:r>
        <w:rPr>
          <w:kern w:val="22"/>
          <w:szCs w:val="24"/>
          <w:lang w:val="es-ES"/>
        </w:rPr>
        <w:t>n</w:t>
      </w:r>
      <w:r w:rsidR="007836CF">
        <w:rPr>
          <w:kern w:val="22"/>
          <w:szCs w:val="24"/>
          <w:lang w:val="es-ES"/>
        </w:rPr>
        <w:t>es</w:t>
      </w:r>
      <w:r>
        <w:rPr>
          <w:kern w:val="22"/>
          <w:szCs w:val="24"/>
          <w:lang w:val="es-ES"/>
        </w:rPr>
        <w:t xml:space="preserve"> con arreglo</w:t>
      </w:r>
      <w:r w:rsidR="007836CF">
        <w:rPr>
          <w:kern w:val="22"/>
          <w:szCs w:val="24"/>
          <w:lang w:val="es-ES"/>
        </w:rPr>
        <w:t xml:space="preserve"> al Protocolo o</w:t>
      </w:r>
      <w:r>
        <w:rPr>
          <w:kern w:val="22"/>
          <w:szCs w:val="24"/>
          <w:lang w:val="es-ES"/>
        </w:rPr>
        <w:t xml:space="preserve"> a las medidas nacionales que rigen la aplicación del Protocolo, podrán tener en cuenta, de forma compatible con sus obligaciones internacionales, las consideraciones socioeconómicas resultantes de los efectos de los organismos vivos modificados para la conservación y la utilización sostenible de la diversidad biológica, especialmente en relación con el valor que la diversidad biológica tiene para las comunidades indígenas y locales,</w:t>
      </w:r>
    </w:p>
    <w:p w:rsidR="00E248C4" w:rsidRDefault="00E248C4">
      <w:pPr>
        <w:suppressLineNumbers/>
        <w:suppressAutoHyphens/>
        <w:kinsoku w:val="0"/>
        <w:overflowPunct w:val="0"/>
        <w:autoSpaceDE w:val="0"/>
        <w:autoSpaceDN w:val="0"/>
        <w:snapToGrid w:val="0"/>
        <w:spacing w:before="120" w:after="120"/>
        <w:ind w:firstLine="720"/>
        <w:rPr>
          <w:kern w:val="22"/>
          <w:highlight w:val="yellow"/>
          <w:lang w:val="es-ES"/>
        </w:rPr>
      </w:pPr>
      <w:r>
        <w:rPr>
          <w:i/>
          <w:kern w:val="22"/>
          <w:lang w:val="es-ES"/>
        </w:rPr>
        <w:t>Reconociendo</w:t>
      </w:r>
      <w:r>
        <w:rPr>
          <w:kern w:val="22"/>
          <w:lang w:val="es-ES"/>
        </w:rPr>
        <w:t xml:space="preserve"> que ninguna disposición de la “Orientación para la evaluación de consideraciones socioeconómicas en el contexto del artículo 26 del Protocolo de Cartagena sobre Seguridad de la Biotecnología”, que </w:t>
      </w:r>
      <w:r w:rsidR="007836CF">
        <w:rPr>
          <w:kern w:val="22"/>
          <w:lang w:val="es-ES"/>
        </w:rPr>
        <w:t>es de</w:t>
      </w:r>
      <w:r>
        <w:rPr>
          <w:kern w:val="22"/>
          <w:lang w:val="es-ES"/>
        </w:rPr>
        <w:t xml:space="preserve"> carácter voluntario, p</w:t>
      </w:r>
      <w:r w:rsidR="007836CF">
        <w:rPr>
          <w:kern w:val="22"/>
          <w:lang w:val="es-ES"/>
        </w:rPr>
        <w:t>o</w:t>
      </w:r>
      <w:r>
        <w:rPr>
          <w:kern w:val="22"/>
          <w:lang w:val="es-ES"/>
        </w:rPr>
        <w:t>d</w:t>
      </w:r>
      <w:r w:rsidR="007836CF">
        <w:rPr>
          <w:kern w:val="22"/>
          <w:lang w:val="es-ES"/>
        </w:rPr>
        <w:t>rá</w:t>
      </w:r>
      <w:r>
        <w:rPr>
          <w:kern w:val="22"/>
          <w:lang w:val="es-ES"/>
        </w:rPr>
        <w:t xml:space="preserve"> interpretarse </w:t>
      </w:r>
      <w:r w:rsidR="007836CF">
        <w:rPr>
          <w:kern w:val="22"/>
          <w:lang w:val="es-ES"/>
        </w:rPr>
        <w:t>o</w:t>
      </w:r>
      <w:r>
        <w:rPr>
          <w:kern w:val="22"/>
          <w:lang w:val="es-ES"/>
        </w:rPr>
        <w:t xml:space="preserve"> utilizarse para apoyar </w:t>
      </w:r>
      <w:r w:rsidR="007836CF">
        <w:rPr>
          <w:kern w:val="22"/>
          <w:lang w:val="es-ES"/>
        </w:rPr>
        <w:t>barreras</w:t>
      </w:r>
      <w:r>
        <w:rPr>
          <w:kern w:val="22"/>
          <w:lang w:val="es-ES"/>
        </w:rPr>
        <w:t xml:space="preserve"> no arancelari</w:t>
      </w:r>
      <w:r w:rsidR="007836CF">
        <w:rPr>
          <w:kern w:val="22"/>
          <w:lang w:val="es-ES"/>
        </w:rPr>
        <w:t>a</w:t>
      </w:r>
      <w:r>
        <w:rPr>
          <w:kern w:val="22"/>
          <w:lang w:val="es-ES"/>
        </w:rPr>
        <w:t>s al comercio o</w:t>
      </w:r>
      <w:r w:rsidR="007836CF">
        <w:rPr>
          <w:kern w:val="22"/>
          <w:lang w:val="es-ES"/>
        </w:rPr>
        <w:t xml:space="preserve"> para</w:t>
      </w:r>
      <w:r>
        <w:rPr>
          <w:kern w:val="22"/>
          <w:lang w:val="es-ES"/>
        </w:rPr>
        <w:t xml:space="preserve"> justificar </w:t>
      </w:r>
      <w:r w:rsidR="007836CF">
        <w:rPr>
          <w:kern w:val="22"/>
          <w:lang w:val="es-ES"/>
        </w:rPr>
        <w:t xml:space="preserve">incumplimientos </w:t>
      </w:r>
      <w:r>
        <w:rPr>
          <w:kern w:val="22"/>
          <w:lang w:val="es-ES"/>
        </w:rPr>
        <w:t>de las obligaciones establecidas por el derecho internacional de los derechos humanos, en particular los derechos de los pueblos indígenas y las comunidades locales,</w:t>
      </w:r>
    </w:p>
    <w:p w:rsidR="00E248C4" w:rsidRDefault="00E248C4">
      <w:pPr>
        <w:suppressLineNumbers/>
        <w:suppressAutoHyphens/>
        <w:kinsoku w:val="0"/>
        <w:overflowPunct w:val="0"/>
        <w:autoSpaceDE w:val="0"/>
        <w:autoSpaceDN w:val="0"/>
        <w:snapToGrid w:val="0"/>
        <w:spacing w:before="120" w:after="120"/>
        <w:ind w:firstLine="720"/>
        <w:rPr>
          <w:kern w:val="22"/>
          <w:lang w:val="es-ES"/>
        </w:rPr>
      </w:pPr>
      <w:r>
        <w:rPr>
          <w:kern w:val="22"/>
          <w:lang w:val="es-ES"/>
        </w:rPr>
        <w:t>Reconociendo que los acuerdos comerci</w:t>
      </w:r>
      <w:r w:rsidR="00380B3B">
        <w:rPr>
          <w:kern w:val="22"/>
          <w:lang w:val="es-ES"/>
        </w:rPr>
        <w:t>ales</w:t>
      </w:r>
      <w:r>
        <w:rPr>
          <w:kern w:val="22"/>
          <w:lang w:val="es-ES"/>
        </w:rPr>
        <w:t xml:space="preserve"> y a</w:t>
      </w:r>
      <w:r w:rsidR="00380B3B">
        <w:rPr>
          <w:kern w:val="22"/>
          <w:lang w:val="es-ES"/>
        </w:rPr>
        <w:t>mbienta</w:t>
      </w:r>
      <w:r>
        <w:rPr>
          <w:kern w:val="22"/>
          <w:lang w:val="es-ES"/>
        </w:rPr>
        <w:t>le</w:t>
      </w:r>
      <w:r w:rsidR="00380B3B">
        <w:rPr>
          <w:kern w:val="22"/>
          <w:lang w:val="es-ES"/>
        </w:rPr>
        <w:t>s</w:t>
      </w:r>
      <w:r>
        <w:rPr>
          <w:kern w:val="22"/>
          <w:lang w:val="es-ES"/>
        </w:rPr>
        <w:t xml:space="preserve"> debe</w:t>
      </w:r>
      <w:r w:rsidR="00380B3B">
        <w:rPr>
          <w:kern w:val="22"/>
          <w:lang w:val="es-ES"/>
        </w:rPr>
        <w:t>ría</w:t>
      </w:r>
      <w:r>
        <w:rPr>
          <w:kern w:val="22"/>
          <w:lang w:val="es-ES"/>
        </w:rPr>
        <w:t xml:space="preserve">n ser mutuamente complementarios </w:t>
      </w:r>
      <w:r w:rsidR="00380B3B">
        <w:rPr>
          <w:kern w:val="22"/>
          <w:lang w:val="es-ES"/>
        </w:rPr>
        <w:t>e</w:t>
      </w:r>
      <w:r>
        <w:rPr>
          <w:kern w:val="22"/>
          <w:lang w:val="es-ES"/>
        </w:rPr>
        <w:t xml:space="preserve">n </w:t>
      </w:r>
      <w:r w:rsidR="00380B3B">
        <w:rPr>
          <w:kern w:val="22"/>
          <w:lang w:val="es-ES"/>
        </w:rPr>
        <w:t>a</w:t>
      </w:r>
      <w:r>
        <w:rPr>
          <w:kern w:val="22"/>
          <w:lang w:val="es-ES"/>
        </w:rPr>
        <w:t xml:space="preserve">ras </w:t>
      </w:r>
      <w:r w:rsidR="00380B3B">
        <w:rPr>
          <w:kern w:val="22"/>
          <w:lang w:val="es-ES"/>
        </w:rPr>
        <w:t>de</w:t>
      </w:r>
      <w:r>
        <w:rPr>
          <w:kern w:val="22"/>
          <w:lang w:val="es-ES"/>
        </w:rPr>
        <w:t xml:space="preserve"> lograr el desarrollo sostenible,</w:t>
      </w:r>
    </w:p>
    <w:p w:rsidR="00E248C4" w:rsidRDefault="00E248C4">
      <w:pPr>
        <w:suppressLineNumbers/>
        <w:suppressAutoHyphens/>
        <w:kinsoku w:val="0"/>
        <w:overflowPunct w:val="0"/>
        <w:autoSpaceDE w:val="0"/>
        <w:autoSpaceDN w:val="0"/>
        <w:snapToGrid w:val="0"/>
        <w:spacing w:before="120" w:after="120"/>
        <w:ind w:firstLine="720"/>
        <w:rPr>
          <w:kern w:val="22"/>
          <w:lang w:val="es-ES"/>
        </w:rPr>
      </w:pPr>
      <w:r>
        <w:rPr>
          <w:i/>
          <w:kern w:val="22"/>
          <w:lang w:val="es-ES"/>
        </w:rPr>
        <w:t>Poniendo de relieve</w:t>
      </w:r>
      <w:r>
        <w:rPr>
          <w:kern w:val="22"/>
          <w:lang w:val="es-ES"/>
        </w:rPr>
        <w:t xml:space="preserve"> que </w:t>
      </w:r>
      <w:r w:rsidR="00380B3B">
        <w:rPr>
          <w:kern w:val="22"/>
          <w:lang w:val="es-ES"/>
        </w:rPr>
        <w:t>no se debe interpretar que e</w:t>
      </w:r>
      <w:r>
        <w:rPr>
          <w:kern w:val="22"/>
          <w:lang w:val="es-ES"/>
        </w:rPr>
        <w:t xml:space="preserve">l Protocolo implica una modificación de los derechos y las obligaciones de una Parte </w:t>
      </w:r>
      <w:r w:rsidR="00587192">
        <w:rPr>
          <w:kern w:val="22"/>
          <w:lang w:val="es-ES"/>
        </w:rPr>
        <w:t>contraídos en virtud</w:t>
      </w:r>
      <w:r>
        <w:rPr>
          <w:kern w:val="22"/>
          <w:lang w:val="es-ES"/>
        </w:rPr>
        <w:t xml:space="preserve"> </w:t>
      </w:r>
      <w:r w:rsidR="00587192">
        <w:rPr>
          <w:kern w:val="22"/>
          <w:lang w:val="es-ES"/>
        </w:rPr>
        <w:t>de</w:t>
      </w:r>
      <w:r>
        <w:rPr>
          <w:kern w:val="22"/>
          <w:lang w:val="es-ES"/>
        </w:rPr>
        <w:t xml:space="preserve"> otros acuerdos internacionales existentes,</w:t>
      </w:r>
    </w:p>
    <w:p w:rsidR="00E248C4" w:rsidRDefault="00E248C4">
      <w:pPr>
        <w:suppressLineNumbers/>
        <w:suppressAutoHyphens/>
        <w:kinsoku w:val="0"/>
        <w:overflowPunct w:val="0"/>
        <w:autoSpaceDE w:val="0"/>
        <w:autoSpaceDN w:val="0"/>
        <w:snapToGrid w:val="0"/>
        <w:spacing w:before="120" w:after="120"/>
        <w:ind w:firstLine="720"/>
        <w:rPr>
          <w:kern w:val="22"/>
          <w:lang w:val="es-ES"/>
        </w:rPr>
      </w:pPr>
      <w:r>
        <w:rPr>
          <w:i/>
          <w:kern w:val="22"/>
          <w:lang w:val="es-ES"/>
        </w:rPr>
        <w:t>Entendiendo</w:t>
      </w:r>
      <w:r>
        <w:rPr>
          <w:kern w:val="22"/>
          <w:lang w:val="es-ES"/>
        </w:rPr>
        <w:t xml:space="preserve"> que la intención de los párrafos anteriores no es subordinar el presente Protocolo a otros acuerdos internacionales,</w:t>
      </w:r>
    </w:p>
    <w:p w:rsidR="00E248C4" w:rsidRDefault="00E248C4">
      <w:pPr>
        <w:suppressLineNumbers/>
        <w:suppressAutoHyphens/>
        <w:kinsoku w:val="0"/>
        <w:overflowPunct w:val="0"/>
        <w:autoSpaceDE w:val="0"/>
        <w:autoSpaceDN w:val="0"/>
        <w:snapToGrid w:val="0"/>
        <w:spacing w:before="120" w:after="120"/>
        <w:ind w:firstLine="720"/>
        <w:rPr>
          <w:i/>
          <w:kern w:val="22"/>
          <w:lang w:val="es-ES"/>
        </w:rPr>
      </w:pPr>
      <w:r>
        <w:rPr>
          <w:i/>
          <w:kern w:val="22"/>
          <w:lang w:val="es-ES"/>
        </w:rPr>
        <w:t>Recordando</w:t>
      </w:r>
      <w:r>
        <w:rPr>
          <w:kern w:val="22"/>
          <w:lang w:val="es-ES"/>
        </w:rPr>
        <w:t xml:space="preserve"> que la Orientación es</w:t>
      </w:r>
      <w:r w:rsidR="00380B3B">
        <w:rPr>
          <w:kern w:val="22"/>
          <w:lang w:val="es-ES"/>
        </w:rPr>
        <w:t>tá pensada para que sea</w:t>
      </w:r>
      <w:r>
        <w:rPr>
          <w:kern w:val="22"/>
          <w:lang w:val="es-ES"/>
        </w:rPr>
        <w:t xml:space="preserve"> utili</w:t>
      </w:r>
      <w:r w:rsidR="00380B3B">
        <w:rPr>
          <w:kern w:val="22"/>
          <w:lang w:val="es-ES"/>
        </w:rPr>
        <w:t>zada</w:t>
      </w:r>
      <w:r>
        <w:rPr>
          <w:kern w:val="22"/>
          <w:lang w:val="es-ES"/>
        </w:rPr>
        <w:t xml:space="preserve"> en forma voluntaria,</w:t>
      </w:r>
    </w:p>
    <w:p w:rsidR="00E248C4" w:rsidRDefault="00E248C4">
      <w:pPr>
        <w:pStyle w:val="Para1"/>
        <w:numPr>
          <w:ilvl w:val="0"/>
          <w:numId w:val="2"/>
        </w:numPr>
        <w:suppressLineNumbers/>
        <w:tabs>
          <w:tab w:val="clear" w:pos="360"/>
        </w:tabs>
        <w:suppressAutoHyphens/>
        <w:ind w:firstLine="720"/>
        <w:rPr>
          <w:kern w:val="22"/>
          <w:szCs w:val="24"/>
          <w:lang w:val="es-ES"/>
        </w:rPr>
      </w:pPr>
      <w:r>
        <w:rPr>
          <w:i/>
          <w:kern w:val="22"/>
          <w:szCs w:val="24"/>
          <w:lang w:val="es-ES"/>
        </w:rPr>
        <w:lastRenderedPageBreak/>
        <w:t>Toma nota</w:t>
      </w:r>
      <w:r>
        <w:rPr>
          <w:kern w:val="22"/>
          <w:szCs w:val="24"/>
          <w:lang w:val="es-ES"/>
        </w:rPr>
        <w:t xml:space="preserve"> de la “Orientación para la evaluación de consideraciones socioeconómicas en el contexto del artículo 26 del Protocolo de Cartagena sobre Seguridad de la Biotecnología”</w:t>
      </w:r>
      <w:r>
        <w:rPr>
          <w:rStyle w:val="FootnoteReference"/>
          <w:kern w:val="22"/>
          <w:szCs w:val="24"/>
          <w:lang w:val="es-ES"/>
        </w:rPr>
        <w:footnoteReference w:id="1"/>
      </w:r>
      <w:r>
        <w:rPr>
          <w:kern w:val="22"/>
          <w:szCs w:val="24"/>
          <w:lang w:val="es-ES"/>
        </w:rPr>
        <w:t>;</w:t>
      </w:r>
    </w:p>
    <w:p w:rsidR="00E248C4" w:rsidRDefault="00E248C4">
      <w:pPr>
        <w:pStyle w:val="Para1"/>
        <w:numPr>
          <w:ilvl w:val="0"/>
          <w:numId w:val="2"/>
        </w:numPr>
        <w:suppressLineNumbers/>
        <w:tabs>
          <w:tab w:val="clear" w:pos="360"/>
        </w:tabs>
        <w:suppressAutoHyphens/>
        <w:ind w:firstLine="720"/>
        <w:rPr>
          <w:kern w:val="22"/>
          <w:szCs w:val="24"/>
          <w:lang w:val="es-ES"/>
        </w:rPr>
      </w:pPr>
      <w:r>
        <w:rPr>
          <w:i/>
          <w:kern w:val="22"/>
          <w:szCs w:val="24"/>
          <w:lang w:val="es-ES"/>
        </w:rPr>
        <w:t>Invita</w:t>
      </w:r>
      <w:r>
        <w:rPr>
          <w:kern w:val="22"/>
          <w:szCs w:val="24"/>
          <w:lang w:val="es-ES"/>
        </w:rPr>
        <w:t xml:space="preserve"> a las Partes, otros Gobiernos, organizaciones pertinentes y otros interesados directos, según proceda, a que utilicen la Orientación de carácter voluntario y presenten experiencias preliminares u</w:t>
      </w:r>
      <w:r w:rsidR="00380B3B">
        <w:rPr>
          <w:kern w:val="22"/>
          <w:szCs w:val="24"/>
          <w:lang w:val="es-ES"/>
        </w:rPr>
        <w:t>tilizand</w:t>
      </w:r>
      <w:r>
        <w:rPr>
          <w:kern w:val="22"/>
          <w:szCs w:val="24"/>
          <w:lang w:val="es-ES"/>
        </w:rPr>
        <w:t>o la Orientación, así como ejemplos de metodologías y aplicaciones de consideraciones socioeconómicas teniendo en cuenta los elementos de la Orientación de carácter voluntario, preferentemen</w:t>
      </w:r>
      <w:r w:rsidR="00587192">
        <w:rPr>
          <w:kern w:val="22"/>
          <w:szCs w:val="24"/>
          <w:lang w:val="es-ES"/>
        </w:rPr>
        <w:t>te en forma de estudios de caso</w:t>
      </w:r>
      <w:r>
        <w:rPr>
          <w:kern w:val="22"/>
          <w:szCs w:val="24"/>
          <w:lang w:val="es-ES"/>
        </w:rPr>
        <w:t>;</w:t>
      </w:r>
    </w:p>
    <w:p w:rsidR="00E248C4" w:rsidRDefault="00E248C4">
      <w:pPr>
        <w:pStyle w:val="Para1"/>
        <w:numPr>
          <w:ilvl w:val="0"/>
          <w:numId w:val="2"/>
        </w:numPr>
        <w:suppressLineNumbers/>
        <w:tabs>
          <w:tab w:val="clear" w:pos="360"/>
        </w:tabs>
        <w:suppressAutoHyphens/>
        <w:ind w:firstLine="720"/>
        <w:rPr>
          <w:kern w:val="22"/>
          <w:szCs w:val="24"/>
          <w:lang w:val="es-ES"/>
        </w:rPr>
      </w:pPr>
      <w:r>
        <w:rPr>
          <w:i/>
          <w:kern w:val="22"/>
          <w:szCs w:val="24"/>
          <w:lang w:val="es-ES"/>
        </w:rPr>
        <w:t>Establece</w:t>
      </w:r>
      <w:r>
        <w:rPr>
          <w:kern w:val="22"/>
          <w:szCs w:val="24"/>
          <w:lang w:val="es-ES"/>
        </w:rPr>
        <w:t xml:space="preserve"> un foro en línea sobre consideraciones socioeconómicas a través del Centro de Intercambio de Información sobre Seguridad de la Biotecnología;</w:t>
      </w:r>
    </w:p>
    <w:p w:rsidR="00E248C4" w:rsidRDefault="00E248C4">
      <w:pPr>
        <w:pStyle w:val="Para1"/>
        <w:numPr>
          <w:ilvl w:val="0"/>
          <w:numId w:val="2"/>
        </w:numPr>
        <w:suppressLineNumbers/>
        <w:tabs>
          <w:tab w:val="clear" w:pos="360"/>
        </w:tabs>
        <w:suppressAutoHyphens/>
        <w:ind w:firstLine="720"/>
        <w:rPr>
          <w:kern w:val="22"/>
          <w:szCs w:val="24"/>
          <w:lang w:val="es-ES"/>
        </w:rPr>
      </w:pPr>
      <w:r>
        <w:rPr>
          <w:i/>
          <w:kern w:val="22"/>
          <w:szCs w:val="24"/>
          <w:lang w:val="es-ES"/>
        </w:rPr>
        <w:t>Pide</w:t>
      </w:r>
      <w:r>
        <w:rPr>
          <w:kern w:val="22"/>
          <w:szCs w:val="24"/>
          <w:lang w:val="es-ES"/>
        </w:rPr>
        <w:t xml:space="preserve"> a la Secretaria Ejecutiva que: a) recopile la información presentada en respuesta al párrafo 2 </w:t>
      </w:r>
      <w:r w:rsidR="00587192">
        <w:rPr>
          <w:kern w:val="22"/>
          <w:szCs w:val="24"/>
          <w:lang w:val="es-ES"/>
        </w:rPr>
        <w:t>anterior</w:t>
      </w:r>
      <w:r>
        <w:rPr>
          <w:kern w:val="22"/>
          <w:szCs w:val="24"/>
          <w:lang w:val="es-ES"/>
        </w:rPr>
        <w:t>; b) organice debates del foro en línea, dirigidos por moderadores, para comentar</w:t>
      </w:r>
      <w:r w:rsidR="00587192">
        <w:rPr>
          <w:kern w:val="22"/>
          <w:szCs w:val="24"/>
          <w:lang w:val="es-ES"/>
        </w:rPr>
        <w:t xml:space="preserve"> sobre </w:t>
      </w:r>
      <w:r>
        <w:rPr>
          <w:kern w:val="22"/>
          <w:szCs w:val="24"/>
          <w:lang w:val="es-ES"/>
        </w:rPr>
        <w:t xml:space="preserve">la </w:t>
      </w:r>
      <w:r w:rsidR="00587192">
        <w:rPr>
          <w:kern w:val="22"/>
          <w:szCs w:val="24"/>
          <w:lang w:val="es-ES"/>
        </w:rPr>
        <w:t xml:space="preserve">información recopilada </w:t>
      </w:r>
      <w:r>
        <w:rPr>
          <w:kern w:val="22"/>
          <w:szCs w:val="24"/>
          <w:lang w:val="es-ES"/>
        </w:rPr>
        <w:t xml:space="preserve">y aportar opiniones para su examen; c) seleccione, en consulta con la Mesa de la Conferencia de las Partes que actúa como reunión de las Partes en el Protocolo de Cartagena, dos relatores para que hagan una síntesis de la labor de los debates en línea </w:t>
      </w:r>
      <w:r w:rsidR="00587192">
        <w:rPr>
          <w:kern w:val="22"/>
          <w:szCs w:val="24"/>
          <w:lang w:val="es-ES"/>
        </w:rPr>
        <w:t xml:space="preserve">dirigidos por moderadores </w:t>
      </w:r>
      <w:r>
        <w:rPr>
          <w:kern w:val="22"/>
          <w:szCs w:val="24"/>
          <w:lang w:val="es-ES"/>
        </w:rPr>
        <w:t>y preparen un informe;</w:t>
      </w:r>
    </w:p>
    <w:p w:rsidR="00E248C4" w:rsidRDefault="00B42733">
      <w:pPr>
        <w:pStyle w:val="Para1"/>
        <w:numPr>
          <w:ilvl w:val="0"/>
          <w:numId w:val="2"/>
        </w:numPr>
        <w:suppressLineNumbers/>
        <w:tabs>
          <w:tab w:val="clear" w:pos="360"/>
        </w:tabs>
        <w:suppressAutoHyphens/>
        <w:ind w:firstLine="720"/>
        <w:rPr>
          <w:kern w:val="22"/>
          <w:szCs w:val="24"/>
          <w:lang w:val="es-ES"/>
        </w:rPr>
      </w:pPr>
      <w:r>
        <w:rPr>
          <w:i/>
          <w:kern w:val="22"/>
          <w:szCs w:val="24"/>
          <w:lang w:val="es-ES"/>
        </w:rPr>
        <w:t>Amplía</w:t>
      </w:r>
      <w:r w:rsidR="00E248C4">
        <w:rPr>
          <w:kern w:val="22"/>
          <w:szCs w:val="24"/>
          <w:lang w:val="es-ES"/>
        </w:rPr>
        <w:t xml:space="preserve"> </w:t>
      </w:r>
      <w:r>
        <w:rPr>
          <w:kern w:val="22"/>
          <w:szCs w:val="24"/>
          <w:lang w:val="es-ES"/>
        </w:rPr>
        <w:t>la actuación d</w:t>
      </w:r>
      <w:r w:rsidR="00E248C4">
        <w:rPr>
          <w:kern w:val="22"/>
          <w:szCs w:val="24"/>
          <w:lang w:val="es-ES"/>
        </w:rPr>
        <w:t xml:space="preserve">el Grupo Especial de Expertos Técnicos </w:t>
      </w:r>
      <w:r>
        <w:rPr>
          <w:kern w:val="22"/>
          <w:szCs w:val="24"/>
          <w:lang w:val="es-ES"/>
        </w:rPr>
        <w:t>en</w:t>
      </w:r>
      <w:r w:rsidR="00E248C4">
        <w:rPr>
          <w:kern w:val="22"/>
          <w:szCs w:val="24"/>
          <w:lang w:val="es-ES"/>
        </w:rPr>
        <w:t xml:space="preserve"> Consideraciones Socioeconómicas</w:t>
      </w:r>
      <w:r>
        <w:rPr>
          <w:kern w:val="22"/>
          <w:szCs w:val="24"/>
          <w:lang w:val="es-ES"/>
        </w:rPr>
        <w:t xml:space="preserve"> para </w:t>
      </w:r>
      <w:r w:rsidR="00E248C4">
        <w:rPr>
          <w:kern w:val="22"/>
          <w:szCs w:val="24"/>
          <w:lang w:val="es-ES"/>
        </w:rPr>
        <w:t>que examine las conclusiones del foro en línea con</w:t>
      </w:r>
      <w:r>
        <w:rPr>
          <w:kern w:val="22"/>
          <w:szCs w:val="24"/>
          <w:lang w:val="es-ES"/>
        </w:rPr>
        <w:t>forme</w:t>
      </w:r>
      <w:r w:rsidR="00E248C4">
        <w:rPr>
          <w:kern w:val="22"/>
          <w:szCs w:val="24"/>
          <w:lang w:val="es-ES"/>
        </w:rPr>
        <w:t xml:space="preserve"> al mandato que figura en el anexo, y </w:t>
      </w:r>
      <w:r w:rsidR="00E248C4">
        <w:rPr>
          <w:i/>
          <w:kern w:val="22"/>
          <w:szCs w:val="24"/>
          <w:lang w:val="es-ES"/>
        </w:rPr>
        <w:t>pide</w:t>
      </w:r>
      <w:r w:rsidR="00E248C4">
        <w:rPr>
          <w:kern w:val="22"/>
          <w:szCs w:val="24"/>
          <w:lang w:val="es-ES"/>
        </w:rPr>
        <w:t xml:space="preserve"> a la Secretaria Ejecutiva que, con sujeción a la disponibilidad de recursos, convoque una reunión presencial del Grupo;</w:t>
      </w:r>
    </w:p>
    <w:p w:rsidR="00E248C4" w:rsidRDefault="00E248C4">
      <w:pPr>
        <w:pStyle w:val="Para1"/>
        <w:numPr>
          <w:ilvl w:val="0"/>
          <w:numId w:val="2"/>
        </w:numPr>
        <w:suppressLineNumbers/>
        <w:tabs>
          <w:tab w:val="clear" w:pos="360"/>
        </w:tabs>
        <w:suppressAutoHyphens/>
        <w:ind w:firstLine="720"/>
        <w:rPr>
          <w:kern w:val="22"/>
          <w:szCs w:val="24"/>
          <w:lang w:val="es-ES"/>
        </w:rPr>
      </w:pPr>
      <w:r>
        <w:rPr>
          <w:i/>
          <w:kern w:val="22"/>
          <w:szCs w:val="24"/>
          <w:lang w:val="es-ES"/>
        </w:rPr>
        <w:t>Decide</w:t>
      </w:r>
      <w:r>
        <w:rPr>
          <w:kern w:val="22"/>
          <w:szCs w:val="24"/>
          <w:lang w:val="es-ES"/>
        </w:rPr>
        <w:t xml:space="preserve"> que en su décima reunión examinará las conclusiones del proceso </w:t>
      </w:r>
      <w:r w:rsidR="00587192">
        <w:rPr>
          <w:kern w:val="22"/>
          <w:szCs w:val="24"/>
          <w:lang w:val="es-ES"/>
        </w:rPr>
        <w:t>delineado</w:t>
      </w:r>
      <w:r>
        <w:rPr>
          <w:kern w:val="22"/>
          <w:szCs w:val="24"/>
          <w:lang w:val="es-ES"/>
        </w:rPr>
        <w:t xml:space="preserve"> en la presente decisión.</w:t>
      </w:r>
    </w:p>
    <w:p w:rsidR="00E248C4" w:rsidRDefault="00E248C4">
      <w:pPr>
        <w:pStyle w:val="Para1"/>
        <w:numPr>
          <w:ilvl w:val="0"/>
          <w:numId w:val="0"/>
        </w:numPr>
        <w:rPr>
          <w:kern w:val="22"/>
          <w:szCs w:val="24"/>
          <w:lang w:val="es-ES"/>
        </w:rPr>
      </w:pPr>
    </w:p>
    <w:p w:rsidR="00E248C4" w:rsidRDefault="00E248C4">
      <w:pPr>
        <w:suppressLineNumbers/>
        <w:suppressAutoHyphens/>
        <w:kinsoku w:val="0"/>
        <w:overflowPunct w:val="0"/>
        <w:autoSpaceDE w:val="0"/>
        <w:autoSpaceDN w:val="0"/>
        <w:snapToGrid w:val="0"/>
        <w:spacing w:before="120" w:after="120"/>
        <w:jc w:val="center"/>
        <w:rPr>
          <w:kern w:val="22"/>
          <w:lang w:val="es-ES"/>
        </w:rPr>
      </w:pPr>
      <w:r>
        <w:rPr>
          <w:i/>
          <w:kern w:val="22"/>
          <w:lang w:val="es-ES"/>
        </w:rPr>
        <w:t>Anexo</w:t>
      </w:r>
    </w:p>
    <w:p w:rsidR="00E248C4" w:rsidRDefault="00E248C4">
      <w:pPr>
        <w:suppressLineNumbers/>
        <w:suppressAutoHyphens/>
        <w:kinsoku w:val="0"/>
        <w:overflowPunct w:val="0"/>
        <w:autoSpaceDE w:val="0"/>
        <w:autoSpaceDN w:val="0"/>
        <w:snapToGrid w:val="0"/>
        <w:spacing w:before="120" w:after="120"/>
        <w:jc w:val="center"/>
        <w:rPr>
          <w:b/>
          <w:kern w:val="22"/>
          <w:lang w:val="es-ES"/>
        </w:rPr>
      </w:pPr>
      <w:r>
        <w:rPr>
          <w:b/>
          <w:kern w:val="22"/>
          <w:lang w:val="es-ES"/>
        </w:rPr>
        <w:t xml:space="preserve">MANDATO PARA EL GRUPO ESPECIAL DE EXPERTOS TÉCNICOS </w:t>
      </w:r>
      <w:r w:rsidR="00B42733">
        <w:rPr>
          <w:b/>
          <w:kern w:val="22"/>
          <w:lang w:val="es-ES"/>
        </w:rPr>
        <w:t>EN</w:t>
      </w:r>
      <w:r>
        <w:rPr>
          <w:b/>
          <w:kern w:val="22"/>
          <w:lang w:val="es-ES"/>
        </w:rPr>
        <w:t xml:space="preserve"> CONSIDERACIONES SOCIOECONÓMICAS</w:t>
      </w:r>
    </w:p>
    <w:p w:rsidR="00E248C4" w:rsidRDefault="00E248C4">
      <w:pPr>
        <w:suppressLineNumbers/>
        <w:suppressAutoHyphens/>
        <w:kinsoku w:val="0"/>
        <w:overflowPunct w:val="0"/>
        <w:autoSpaceDE w:val="0"/>
        <w:autoSpaceDN w:val="0"/>
        <w:snapToGrid w:val="0"/>
        <w:spacing w:before="120" w:after="120"/>
        <w:rPr>
          <w:kern w:val="22"/>
          <w:lang w:val="es-ES"/>
        </w:rPr>
      </w:pPr>
      <w:r>
        <w:rPr>
          <w:kern w:val="22"/>
          <w:lang w:val="es-ES"/>
        </w:rPr>
        <w:t xml:space="preserve">El Grupo Especial de Expertos Técnicos </w:t>
      </w:r>
      <w:r w:rsidR="00B42733">
        <w:rPr>
          <w:kern w:val="22"/>
          <w:lang w:val="es-ES"/>
        </w:rPr>
        <w:t>en</w:t>
      </w:r>
      <w:r>
        <w:rPr>
          <w:kern w:val="22"/>
          <w:lang w:val="es-ES"/>
        </w:rPr>
        <w:t xml:space="preserve"> Consideraciones Socioeconómicas:</w:t>
      </w:r>
    </w:p>
    <w:p w:rsidR="00E248C4" w:rsidRDefault="00E248C4">
      <w:pPr>
        <w:numPr>
          <w:ilvl w:val="1"/>
          <w:numId w:val="21"/>
        </w:numPr>
        <w:suppressLineNumbers/>
        <w:suppressAutoHyphens/>
        <w:kinsoku w:val="0"/>
        <w:overflowPunct w:val="0"/>
        <w:autoSpaceDE w:val="0"/>
        <w:autoSpaceDN w:val="0"/>
        <w:snapToGrid w:val="0"/>
        <w:spacing w:before="120" w:after="120"/>
        <w:ind w:left="0" w:firstLine="720"/>
        <w:rPr>
          <w:kern w:val="22"/>
          <w:lang w:val="es-ES"/>
        </w:rPr>
      </w:pPr>
      <w:r>
        <w:rPr>
          <w:kern w:val="22"/>
          <w:lang w:val="es-ES"/>
        </w:rPr>
        <w:t xml:space="preserve">Examinará los aportes recibidos en respuesta al párrafo 2 de la decisión CP-9/14 y las conclusiones de los debates en línea dirigidos por moderadores y utilizará esa información para complementar la Orientación de carácter voluntario, indicando para qué etapa del proceso de evaluación descrito en la Orientación de carácter voluntario puede resultar pertinente </w:t>
      </w:r>
      <w:r w:rsidR="00B42733">
        <w:rPr>
          <w:kern w:val="22"/>
          <w:lang w:val="es-ES"/>
        </w:rPr>
        <w:t>l</w:t>
      </w:r>
      <w:r>
        <w:rPr>
          <w:kern w:val="22"/>
          <w:lang w:val="es-ES"/>
        </w:rPr>
        <w:t>a información;</w:t>
      </w:r>
    </w:p>
    <w:p w:rsidR="00E248C4" w:rsidRDefault="00E248C4">
      <w:pPr>
        <w:numPr>
          <w:ilvl w:val="1"/>
          <w:numId w:val="21"/>
        </w:numPr>
        <w:suppressLineNumbers/>
        <w:suppressAutoHyphens/>
        <w:kinsoku w:val="0"/>
        <w:overflowPunct w:val="0"/>
        <w:autoSpaceDE w:val="0"/>
        <w:autoSpaceDN w:val="0"/>
        <w:snapToGrid w:val="0"/>
        <w:spacing w:before="120" w:after="120"/>
        <w:ind w:left="0" w:firstLine="720"/>
        <w:rPr>
          <w:kern w:val="22"/>
          <w:lang w:val="es-ES"/>
        </w:rPr>
      </w:pPr>
      <w:r>
        <w:rPr>
          <w:kern w:val="22"/>
          <w:lang w:val="es-ES"/>
        </w:rPr>
        <w:t xml:space="preserve">Sobre la base de ese examen, preparará un informe </w:t>
      </w:r>
      <w:r w:rsidR="00B42733">
        <w:rPr>
          <w:kern w:val="22"/>
          <w:lang w:val="es-ES"/>
        </w:rPr>
        <w:t>de</w:t>
      </w:r>
      <w:r>
        <w:rPr>
          <w:kern w:val="22"/>
          <w:lang w:val="es-ES"/>
        </w:rPr>
        <w:t xml:space="preserve"> su labor y lo presentará </w:t>
      </w:r>
      <w:r w:rsidR="00B42733">
        <w:rPr>
          <w:kern w:val="22"/>
          <w:lang w:val="es-ES"/>
        </w:rPr>
        <w:t>a</w:t>
      </w:r>
      <w:r>
        <w:rPr>
          <w:kern w:val="22"/>
          <w:lang w:val="es-ES"/>
        </w:rPr>
        <w:t xml:space="preserve"> la Conferencia de las Partes que actúa como reunión de las Partes en el Protocolo de Cartagena </w:t>
      </w:r>
      <w:r w:rsidR="00B42733">
        <w:rPr>
          <w:kern w:val="22"/>
          <w:lang w:val="es-ES"/>
        </w:rPr>
        <w:t xml:space="preserve">para que lo considere </w:t>
      </w:r>
      <w:r>
        <w:rPr>
          <w:kern w:val="22"/>
          <w:lang w:val="es-ES"/>
        </w:rPr>
        <w:t>en su décima reunión.</w:t>
      </w:r>
    </w:p>
    <w:p w:rsidR="00E248C4" w:rsidRDefault="00E248C4">
      <w:pPr>
        <w:pStyle w:val="Para1"/>
        <w:numPr>
          <w:ilvl w:val="0"/>
          <w:numId w:val="0"/>
        </w:numPr>
        <w:rPr>
          <w:kern w:val="22"/>
          <w:szCs w:val="24"/>
          <w:lang w:val="es-ES"/>
        </w:rPr>
      </w:pPr>
    </w:p>
    <w:p w:rsidR="00E248C4" w:rsidRDefault="00E248C4">
      <w:pPr>
        <w:jc w:val="center"/>
        <w:rPr>
          <w:kern w:val="22"/>
          <w:lang w:val="es-ES"/>
        </w:rPr>
      </w:pPr>
      <w:r>
        <w:rPr>
          <w:kern w:val="22"/>
          <w:lang w:val="es-ES"/>
        </w:rPr>
        <w:t>__________</w:t>
      </w:r>
    </w:p>
    <w:p w:rsidR="00E248C4" w:rsidRDefault="00E248C4">
      <w:pPr>
        <w:rPr>
          <w:kern w:val="22"/>
          <w:lang w:val="es-ES"/>
        </w:rPr>
      </w:pPr>
    </w:p>
    <w:sectPr w:rsidR="00E248C4">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AB2" w:rsidRDefault="00C37AB2">
      <w:r>
        <w:separator/>
      </w:r>
    </w:p>
  </w:endnote>
  <w:endnote w:type="continuationSeparator" w:id="0">
    <w:p w:rsidR="00C37AB2" w:rsidRDefault="00C37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AB2" w:rsidRDefault="00C37AB2">
      <w:r>
        <w:separator/>
      </w:r>
    </w:p>
  </w:footnote>
  <w:footnote w:type="continuationSeparator" w:id="0">
    <w:p w:rsidR="00C37AB2" w:rsidRDefault="00C37AB2">
      <w:r>
        <w:continuationSeparator/>
      </w:r>
    </w:p>
  </w:footnote>
  <w:footnote w:id="1">
    <w:p w:rsidR="00E248C4" w:rsidRDefault="00E248C4">
      <w:pPr>
        <w:pStyle w:val="FootnoteText"/>
        <w:ind w:firstLine="0"/>
        <w:jc w:val="left"/>
      </w:pPr>
      <w:r>
        <w:rPr>
          <w:rStyle w:val="FootnoteReference"/>
          <w:sz w:val="18"/>
          <w:lang w:val="es-ES"/>
        </w:rPr>
        <w:footnoteRef/>
      </w:r>
      <w:r>
        <w:rPr>
          <w:lang w:val="es-ES"/>
        </w:rPr>
        <w:t xml:space="preserve"> Que figura en el </w:t>
      </w:r>
      <w:r>
        <w:rPr>
          <w:color w:val="000000"/>
          <w:lang w:val="es-ES"/>
        </w:rPr>
        <w:t>anexo</w:t>
      </w:r>
      <w:r>
        <w:rPr>
          <w:lang w:val="es-ES"/>
        </w:rPr>
        <w:t xml:space="preserve"> del documento CBD/CP/MOP/9/10.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C4" w:rsidRDefault="00E248C4">
    <w:pPr>
      <w:pStyle w:val="Header"/>
      <w:tabs>
        <w:tab w:val="clear" w:pos="4320"/>
        <w:tab w:val="clear" w:pos="8640"/>
      </w:tabs>
      <w:jc w:val="left"/>
      <w:rPr>
        <w:kern w:val="22"/>
        <w:lang w:val="es-ES"/>
      </w:rPr>
    </w:pPr>
    <w:r>
      <w:rPr>
        <w:kern w:val="22"/>
        <w:lang w:val="es-ES"/>
      </w:rPr>
      <w:t>CBD/CP/MOP/DEC/9/14</w:t>
    </w:r>
  </w:p>
  <w:p w:rsidR="00E248C4" w:rsidRDefault="00E248C4">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4F4E86" w:rsidRPr="004F4E86">
      <w:rPr>
        <w:noProof/>
        <w:kern w:val="22"/>
      </w:rPr>
      <w:t>2</w:t>
    </w:r>
    <w:r>
      <w:rPr>
        <w:kern w:val="22"/>
        <w:lang w:val="es-ES"/>
      </w:rPr>
      <w:fldChar w:fldCharType="end"/>
    </w:r>
  </w:p>
  <w:p w:rsidR="00E248C4" w:rsidRDefault="00E248C4">
    <w:pPr>
      <w:pStyle w:val="Header"/>
      <w:tabs>
        <w:tab w:val="clear" w:pos="4320"/>
        <w:tab w:val="clear" w:pos="8640"/>
      </w:tabs>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C4" w:rsidRDefault="00E248C4">
    <w:pPr>
      <w:pStyle w:val="Header"/>
      <w:jc w:val="right"/>
      <w:rPr>
        <w:lang w:val="fr-FR"/>
      </w:rPr>
    </w:pPr>
    <w:r>
      <w:rPr>
        <w:lang w:val="fr-FR"/>
      </w:rPr>
      <w:t>CBD/CP/MOP/DEC/9/14</w:t>
    </w:r>
  </w:p>
  <w:p w:rsidR="00E248C4" w:rsidRDefault="00E248C4">
    <w:pPr>
      <w:pStyle w:val="Header"/>
      <w:jc w:val="right"/>
      <w:rPr>
        <w:lang w:val="fr-FR"/>
      </w:rPr>
    </w:pPr>
    <w:r>
      <w:rPr>
        <w:lang w:val="fr-FR"/>
      </w:rPr>
      <w:t xml:space="preserve">Page </w:t>
    </w:r>
    <w:r>
      <w:rPr>
        <w:lang w:val="fr-FR"/>
      </w:rPr>
      <w:fldChar w:fldCharType="begin"/>
    </w:r>
    <w:r>
      <w:rPr>
        <w:lang w:val="fr-FR"/>
      </w:rPr>
      <w:instrText xml:space="preserve"> PAGE   \* MERGEFORMAT </w:instrText>
    </w:r>
    <w:r>
      <w:rPr>
        <w:lang w:val="fr-FR"/>
      </w:rPr>
      <w:fldChar w:fldCharType="separate"/>
    </w:r>
    <w:r>
      <w:rPr>
        <w:noProof/>
      </w:rPr>
      <w:t>3</w:t>
    </w:r>
    <w:r>
      <w:rPr>
        <w:lang w:val="fr-FR"/>
      </w:rPr>
      <w:fldChar w:fldCharType="end"/>
    </w:r>
  </w:p>
  <w:p w:rsidR="00E248C4" w:rsidRDefault="00E248C4">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cs="Times New Roman" w:hint="default"/>
        <w:b w:val="0"/>
        <w:i w:val="0"/>
      </w:rPr>
    </w:lvl>
    <w:lvl w:ilvl="2" w:tplc="1009001B">
      <w:start w:val="1"/>
      <w:numFmt w:val="lowerRoman"/>
      <w:lvlText w:val="%3."/>
      <w:lvlJc w:val="right"/>
      <w:pPr>
        <w:ind w:left="2084" w:hanging="180"/>
      </w:pPr>
      <w:rPr>
        <w:rFonts w:cs="Times New Roman"/>
      </w:rPr>
    </w:lvl>
    <w:lvl w:ilvl="3" w:tplc="1009000F" w:tentative="1">
      <w:start w:val="1"/>
      <w:numFmt w:val="decimal"/>
      <w:lvlText w:val="%4."/>
      <w:lvlJc w:val="left"/>
      <w:pPr>
        <w:ind w:left="2804" w:hanging="360"/>
      </w:pPr>
      <w:rPr>
        <w:rFonts w:cs="Times New Roman"/>
      </w:rPr>
    </w:lvl>
    <w:lvl w:ilvl="4" w:tplc="10090019" w:tentative="1">
      <w:start w:val="1"/>
      <w:numFmt w:val="lowerLetter"/>
      <w:lvlText w:val="%5."/>
      <w:lvlJc w:val="left"/>
      <w:pPr>
        <w:ind w:left="3524" w:hanging="360"/>
      </w:pPr>
      <w:rPr>
        <w:rFonts w:cs="Times New Roman"/>
      </w:rPr>
    </w:lvl>
    <w:lvl w:ilvl="5" w:tplc="1009001B" w:tentative="1">
      <w:start w:val="1"/>
      <w:numFmt w:val="lowerRoman"/>
      <w:lvlText w:val="%6."/>
      <w:lvlJc w:val="right"/>
      <w:pPr>
        <w:ind w:left="4244" w:hanging="180"/>
      </w:pPr>
      <w:rPr>
        <w:rFonts w:cs="Times New Roman"/>
      </w:rPr>
    </w:lvl>
    <w:lvl w:ilvl="6" w:tplc="1009000F" w:tentative="1">
      <w:start w:val="1"/>
      <w:numFmt w:val="decimal"/>
      <w:lvlText w:val="%7."/>
      <w:lvlJc w:val="left"/>
      <w:pPr>
        <w:ind w:left="4964" w:hanging="360"/>
      </w:pPr>
      <w:rPr>
        <w:rFonts w:cs="Times New Roman"/>
      </w:rPr>
    </w:lvl>
    <w:lvl w:ilvl="7" w:tplc="10090019" w:tentative="1">
      <w:start w:val="1"/>
      <w:numFmt w:val="lowerLetter"/>
      <w:lvlText w:val="%8."/>
      <w:lvlJc w:val="left"/>
      <w:pPr>
        <w:ind w:left="5684" w:hanging="360"/>
      </w:pPr>
      <w:rPr>
        <w:rFonts w:cs="Times New Roman"/>
      </w:rPr>
    </w:lvl>
    <w:lvl w:ilvl="8" w:tplc="1009001B" w:tentative="1">
      <w:start w:val="1"/>
      <w:numFmt w:val="lowerRoman"/>
      <w:lvlText w:val="%9."/>
      <w:lvlJc w:val="right"/>
      <w:pPr>
        <w:ind w:left="6404" w:hanging="180"/>
      </w:pPr>
      <w:rPr>
        <w:rFonts w:cs="Times New Roman"/>
      </w:rPr>
    </w:lvl>
  </w:abstractNum>
  <w:abstractNum w:abstractNumId="1">
    <w:nsid w:val="05B22F1E"/>
    <w:multiLevelType w:val="hybridMultilevel"/>
    <w:tmpl w:val="E836EAA8"/>
    <w:lvl w:ilvl="0" w:tplc="6310EFF2">
      <w:start w:val="1"/>
      <w:numFmt w:val="lowerLetter"/>
      <w:lvlText w:val="%1)"/>
      <w:lvlJc w:val="left"/>
      <w:pPr>
        <w:tabs>
          <w:tab w:val="num" w:pos="720"/>
        </w:tabs>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6310EFF2">
      <w:start w:val="1"/>
      <w:numFmt w:val="lowerLetter"/>
      <w:lvlText w:val="%2)"/>
      <w:lvlJc w:val="left"/>
      <w:pPr>
        <w:tabs>
          <w:tab w:val="num" w:pos="1440"/>
        </w:tabs>
        <w:ind w:left="21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1D4758D"/>
    <w:multiLevelType w:val="multilevel"/>
    <w:tmpl w:val="9E72F3B0"/>
    <w:lvl w:ilvl="0">
      <w:start w:val="1"/>
      <w:numFmt w:val="lowerLetter"/>
      <w:lvlText w:val="%1)"/>
      <w:lvlJc w:val="left"/>
      <w:pPr>
        <w:tabs>
          <w:tab w:val="num" w:pos="720"/>
        </w:tabs>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2F2D03A2"/>
    <w:multiLevelType w:val="hybridMultilevel"/>
    <w:tmpl w:val="230AA08E"/>
    <w:lvl w:ilvl="0" w:tplc="8F261AF2">
      <w:start w:val="1"/>
      <w:numFmt w:val="lowerLetter"/>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8"/>
  </w:num>
  <w:num w:numId="4">
    <w:abstractNumId w:val="10"/>
  </w:num>
  <w:num w:numId="5">
    <w:abstractNumId w:val="9"/>
  </w:num>
  <w:num w:numId="6">
    <w:abstractNumId w:val="2"/>
  </w:num>
  <w:num w:numId="7">
    <w:abstractNumId w:val="4"/>
  </w:num>
  <w:num w:numId="8">
    <w:abstractNumId w:val="8"/>
    <w:lvlOverride w:ilvl="0">
      <w:startOverride w:val="1"/>
    </w:lvlOverride>
  </w:num>
  <w:num w:numId="9">
    <w:abstractNumId w:val="13"/>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2"/>
  </w:num>
  <w:num w:numId="15">
    <w:abstractNumId w:val="11"/>
  </w:num>
  <w:num w:numId="16">
    <w:abstractNumId w:val="3"/>
  </w:num>
  <w:num w:numId="17">
    <w:abstractNumId w:val="14"/>
  </w:num>
  <w:num w:numId="18">
    <w:abstractNumId w:val="15"/>
  </w:num>
  <w:num w:numId="19">
    <w:abstractNumId w:val="0"/>
  </w:num>
  <w:num w:numId="20">
    <w:abstractNumId w:val="7"/>
  </w:num>
  <w:num w:numId="21">
    <w:abstractNumId w:val="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15FC0"/>
    <w:rsid w:val="00017A01"/>
    <w:rsid w:val="0004663B"/>
    <w:rsid w:val="0007520D"/>
    <w:rsid w:val="000D19D8"/>
    <w:rsid w:val="000E4044"/>
    <w:rsid w:val="000E673A"/>
    <w:rsid w:val="000F74F5"/>
    <w:rsid w:val="00105372"/>
    <w:rsid w:val="00111FF7"/>
    <w:rsid w:val="00131E7A"/>
    <w:rsid w:val="001372FB"/>
    <w:rsid w:val="00147971"/>
    <w:rsid w:val="001701CA"/>
    <w:rsid w:val="00172AF6"/>
    <w:rsid w:val="00176CEE"/>
    <w:rsid w:val="00196621"/>
    <w:rsid w:val="001A47E4"/>
    <w:rsid w:val="00251137"/>
    <w:rsid w:val="002B784E"/>
    <w:rsid w:val="002C41BC"/>
    <w:rsid w:val="002D7E41"/>
    <w:rsid w:val="00331FDE"/>
    <w:rsid w:val="00340509"/>
    <w:rsid w:val="00372F74"/>
    <w:rsid w:val="00380B3B"/>
    <w:rsid w:val="00384D94"/>
    <w:rsid w:val="003A4F57"/>
    <w:rsid w:val="003C7054"/>
    <w:rsid w:val="003E1580"/>
    <w:rsid w:val="003E2C2B"/>
    <w:rsid w:val="003E6470"/>
    <w:rsid w:val="003F7224"/>
    <w:rsid w:val="00402F24"/>
    <w:rsid w:val="00405146"/>
    <w:rsid w:val="0042412C"/>
    <w:rsid w:val="00425097"/>
    <w:rsid w:val="00427D21"/>
    <w:rsid w:val="00440AD3"/>
    <w:rsid w:val="00447A62"/>
    <w:rsid w:val="004644C2"/>
    <w:rsid w:val="00467F9C"/>
    <w:rsid w:val="004901A9"/>
    <w:rsid w:val="004912D3"/>
    <w:rsid w:val="00493D8B"/>
    <w:rsid w:val="004C04E0"/>
    <w:rsid w:val="004F2A64"/>
    <w:rsid w:val="004F4E86"/>
    <w:rsid w:val="005108D1"/>
    <w:rsid w:val="00534681"/>
    <w:rsid w:val="00553A5B"/>
    <w:rsid w:val="00587192"/>
    <w:rsid w:val="005A17D4"/>
    <w:rsid w:val="006122BA"/>
    <w:rsid w:val="0061445E"/>
    <w:rsid w:val="006370D2"/>
    <w:rsid w:val="0065453A"/>
    <w:rsid w:val="00676CC1"/>
    <w:rsid w:val="0069340D"/>
    <w:rsid w:val="006B2290"/>
    <w:rsid w:val="006E2ADF"/>
    <w:rsid w:val="006F1189"/>
    <w:rsid w:val="00717D88"/>
    <w:rsid w:val="00742678"/>
    <w:rsid w:val="007836CF"/>
    <w:rsid w:val="00792816"/>
    <w:rsid w:val="007942D3"/>
    <w:rsid w:val="007A3AC3"/>
    <w:rsid w:val="007A5B6C"/>
    <w:rsid w:val="007B6C09"/>
    <w:rsid w:val="007D5360"/>
    <w:rsid w:val="007E09DA"/>
    <w:rsid w:val="00817392"/>
    <w:rsid w:val="008178B6"/>
    <w:rsid w:val="008242B1"/>
    <w:rsid w:val="0084481C"/>
    <w:rsid w:val="00845CC1"/>
    <w:rsid w:val="00865B74"/>
    <w:rsid w:val="008754EA"/>
    <w:rsid w:val="00884866"/>
    <w:rsid w:val="008F2ADB"/>
    <w:rsid w:val="00911D31"/>
    <w:rsid w:val="0092616D"/>
    <w:rsid w:val="00930BA1"/>
    <w:rsid w:val="0093169E"/>
    <w:rsid w:val="009505C9"/>
    <w:rsid w:val="00957FFB"/>
    <w:rsid w:val="0097721B"/>
    <w:rsid w:val="0097789A"/>
    <w:rsid w:val="00983E20"/>
    <w:rsid w:val="009C200D"/>
    <w:rsid w:val="009C7617"/>
    <w:rsid w:val="00A60C29"/>
    <w:rsid w:val="00A72E2E"/>
    <w:rsid w:val="00B3369F"/>
    <w:rsid w:val="00B3390D"/>
    <w:rsid w:val="00B3515B"/>
    <w:rsid w:val="00B42733"/>
    <w:rsid w:val="00B50546"/>
    <w:rsid w:val="00B851A1"/>
    <w:rsid w:val="00BB421C"/>
    <w:rsid w:val="00BD3A1F"/>
    <w:rsid w:val="00C27A6C"/>
    <w:rsid w:val="00C37AB2"/>
    <w:rsid w:val="00C87E8B"/>
    <w:rsid w:val="00C9161D"/>
    <w:rsid w:val="00C91B6C"/>
    <w:rsid w:val="00C9637E"/>
    <w:rsid w:val="00CB537B"/>
    <w:rsid w:val="00CD33BD"/>
    <w:rsid w:val="00CD58EB"/>
    <w:rsid w:val="00CF1848"/>
    <w:rsid w:val="00D12044"/>
    <w:rsid w:val="00D76A18"/>
    <w:rsid w:val="00D8330A"/>
    <w:rsid w:val="00DD118C"/>
    <w:rsid w:val="00DE3F2C"/>
    <w:rsid w:val="00DF574B"/>
    <w:rsid w:val="00E248C4"/>
    <w:rsid w:val="00E66235"/>
    <w:rsid w:val="00E83C24"/>
    <w:rsid w:val="00E86348"/>
    <w:rsid w:val="00E9318D"/>
    <w:rsid w:val="00EB52E8"/>
    <w:rsid w:val="00F10433"/>
    <w:rsid w:val="00F55B92"/>
    <w:rsid w:val="00F94774"/>
    <w:rsid w:val="00FC53DB"/>
    <w:rsid w:val="00FD691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0"/>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8">
    <w:name w:val="Char Char8"/>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7">
    <w:name w:val="Char Char7"/>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6">
    <w:name w:val="Char Char6"/>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color w:val="17365D"/>
      <w:spacing w:val="5"/>
      <w:kern w:val="28"/>
      <w:sz w:val="52"/>
      <w:szCs w:val="52"/>
    </w:rPr>
  </w:style>
  <w:style w:type="character" w:customStyle="1" w:styleId="CharChar5">
    <w:name w:val="Char Char5"/>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i/>
      <w:iCs/>
      <w:color w:val="4F81BD"/>
      <w:spacing w:val="15"/>
      <w:sz w:val="24"/>
    </w:rPr>
  </w:style>
  <w:style w:type="character" w:customStyle="1" w:styleId="CharChar4">
    <w:name w:val="Char Char4"/>
    <w:basedOn w:val="DefaultParagraphFont"/>
    <w:locked/>
    <w:rPr>
      <w:rFonts w:ascii="Times New Roman" w:eastAsia="Times New Roman" w:hAnsi="Times New Roman" w:cs="Times New Roman"/>
      <w:i/>
      <w:iCs/>
      <w:color w:val="4F81BD"/>
      <w:spacing w:val="15"/>
      <w:lang w:val="en-US"/>
    </w:rPr>
  </w:style>
  <w:style w:type="character" w:customStyle="1" w:styleId="CharChar17">
    <w:name w:val="Char Char17"/>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3">
    <w:name w:val="Char Char3"/>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2">
    <w:name w:val="Char Char2"/>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pPr>
      <w:spacing w:after="120" w:line="240" w:lineRule="exact"/>
    </w:pPr>
  </w:style>
  <w:style w:type="character" w:customStyle="1" w:styleId="CharChar1">
    <w:name w:val="Char Char1"/>
    <w:basedOn w:val="DefaultParagraphFont"/>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
    <w:name w:val="Char Char"/>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 Char,Footnote Reference Superscript Char,-E Fußnotenzeichen Char,(Diplomarbeit FZ) Char,(Diplomarbeit FZ)1 Char,(Diplomarbeit FZ)2 Char,(Diplomarbeit FZ)3 Char,(Diplomarbeit FZ)4 Char,(Diplomarbeit FZ)5 Char"/>
    <w:basedOn w:val="DefaultParagraphFont"/>
    <w:locked/>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
    <w:pPr>
      <w:keepLines/>
      <w:spacing w:after="60"/>
      <w:ind w:firstLine="720"/>
    </w:pPr>
    <w:rPr>
      <w:sz w:val="18"/>
      <w:szCs w:val="20"/>
      <w:lang/>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6">
    <w:name w:val="Char Char16"/>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5">
    <w:name w:val="Char Char15"/>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4">
    <w:name w:val="Char Char14"/>
    <w:basedOn w:val="DefaultParagraphFont"/>
    <w:locked/>
    <w:rPr>
      <w:rFonts w:ascii="Times New Roman" w:eastAsia="Times New Roman" w:hAnsi="Times New Roman" w:cs="Arial"/>
      <w:b/>
      <w:bCs/>
      <w:i/>
      <w:sz w:val="22"/>
      <w:lang w:val="en-GB"/>
    </w:rPr>
  </w:style>
  <w:style w:type="paragraph" w:customStyle="1" w:styleId="Heading4indent">
    <w:name w:val="Heading 4 indent"/>
    <w:basedOn w:val="Heading4"/>
    <w:pPr>
      <w:ind w:left="720"/>
      <w:outlineLvl w:val="9"/>
    </w:pPr>
  </w:style>
  <w:style w:type="character" w:customStyle="1" w:styleId="CharChar13">
    <w:name w:val="Char Char13"/>
    <w:basedOn w:val="DefaultParagraphFont"/>
    <w:locked/>
    <w:rPr>
      <w:rFonts w:ascii="Times New Roman" w:eastAsia="Times New Roman" w:hAnsi="Times New Roman" w:cs="Times New Roman"/>
      <w:bCs/>
      <w:i/>
      <w:sz w:val="26"/>
      <w:szCs w:val="26"/>
      <w:lang w:val="en-CA"/>
    </w:rPr>
  </w:style>
  <w:style w:type="character" w:customStyle="1" w:styleId="CharChar12">
    <w:name w:val="Char Char12"/>
    <w:basedOn w:val="DefaultParagraphFont"/>
    <w:locked/>
    <w:rPr>
      <w:rFonts w:ascii="Times New Roman" w:eastAsia="Times New Roman" w:hAnsi="Times New Roman" w:cs="Times New Roman"/>
      <w:sz w:val="22"/>
      <w:u w:val="single"/>
      <w:lang w:val="en-GB"/>
    </w:rPr>
  </w:style>
  <w:style w:type="character" w:customStyle="1" w:styleId="CharChar11">
    <w:name w:val="Char Char11"/>
    <w:basedOn w:val="DefaultParagraphFont"/>
    <w:locked/>
    <w:rPr>
      <w:rFonts w:ascii="Times New Roman" w:eastAsia="Times New Roman" w:hAnsi="Times New Roman" w:cs="Times New Roman"/>
      <w:b/>
      <w:sz w:val="28"/>
      <w:lang w:val="en-GB"/>
    </w:rPr>
  </w:style>
  <w:style w:type="character" w:customStyle="1" w:styleId="CharChar10">
    <w:name w:val="Char Char10"/>
    <w:basedOn w:val="DefaultParagraphFont"/>
    <w:locked/>
    <w:rPr>
      <w:rFonts w:ascii="Times New Roman" w:eastAsia="Times New Roman" w:hAnsi="Times New Roman" w:cs="Times New Roman"/>
      <w:b/>
      <w:sz w:val="32"/>
      <w:lang w:val="en-GB"/>
    </w:rPr>
  </w:style>
  <w:style w:type="character" w:customStyle="1" w:styleId="CharChar9">
    <w:name w:val="Char Char9"/>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tabs>
        <w:tab w:val="clear" w:pos="360"/>
      </w:tabs>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contextualSpacing/>
    </w:pPr>
  </w:style>
  <w:style w:type="paragraph" w:styleId="Caption">
    <w:name w:val="caption"/>
    <w:basedOn w:val="Normal"/>
    <w:next w:val="Normal"/>
    <w:qFormat/>
    <w:pPr>
      <w:keepNext/>
      <w:keepLines/>
      <w:spacing w:after="200"/>
    </w:pPr>
    <w:rPr>
      <w:b/>
      <w:iCs/>
      <w:szCs w:val="18"/>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number">
    <w:name w:val="number"/>
    <w:aliases w:val="Footnote Reference Superscript,-E Fußnotenzeichen,(Diplomarbeit FZ),(Diplomarbeit FZ)1,(Diplomarbeit FZ)2,(Diplomarbeit FZ)3,(Diplomarbeit FZ)4,(Diplomarbeit FZ)5,(Diplomarbeit FZ)6,(Diplomarbeit FZ)7,(Diplomarbeit FZ)8,16 Poin"/>
    <w:basedOn w:val="Normal"/>
    <w:pPr>
      <w:spacing w:after="160" w:line="240" w:lineRule="exact"/>
      <w:jc w:val="left"/>
    </w:pPr>
    <w:rPr>
      <w:szCs w:val="20"/>
      <w:vertAlign w:val="superscript"/>
      <w:lang w:val="es-ES"/>
    </w:rPr>
  </w:style>
  <w:style w:type="character" w:customStyle="1" w:styleId="FootnoteTextChar">
    <w:name w:val="Footnote Text Char"/>
    <w:aliases w:val="Geneva 9 Char1,Font: Geneva 9 Char1,Boston 10 Char1,f Char1,ft Char2,Fotnotstext Char Char1,ft Char Char1,single space Char1,FOOTNOTES Char1,ADB Char1,single space1 Char1,footnote text1 Char1,FOOTNOTES1 Char1,fn1 Char1,ADB1 Char1"/>
    <w:link w:val="FootnoteText"/>
    <w:rPr>
      <w:snapToGrid w:val="0"/>
      <w:sz w:val="18"/>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oc/decisions/mop-08/mop-08-dec-13-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mop-07/mop-07-dec-13-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mop-06/full/mop-06-dec-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4334</Characters>
  <Application>Microsoft Office Word</Application>
  <DocSecurity>0</DocSecurity>
  <Lines>84</Lines>
  <Paragraphs>40</Paragraphs>
  <ScaleCrop>false</ScaleCrop>
  <Company>Hewlett-Packard</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9/14.	Socio-economic considerations (Article 26)</dc:title>
  <dc:subject>CBD/CP/MOP/DEC/9/14</dc:subject>
  <dc:creator>CP MOP 9</dc:creator>
  <cp:keywords>Convention on Biological Diversity, Cartagena Protocol on Biosafety, Socio-economic considerations (Article 26)</cp:keywords>
  <cp:lastModifiedBy>Laura Perez</cp:lastModifiedBy>
  <cp:revision>2</cp:revision>
  <cp:lastPrinted>2018-11-27T18:46:00Z</cp:lastPrinted>
  <dcterms:created xsi:type="dcterms:W3CDTF">2019-02-14T16:48:00Z</dcterms:created>
  <dcterms:modified xsi:type="dcterms:W3CDTF">2019-02-14T16:48:00Z</dcterms:modified>
</cp:coreProperties>
</file>