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54C0" w:rsidRDefault="00B554C0" w:rsidP="00FA2F6B">
      <w:pPr>
        <w:rPr>
          <w:kern w:val="22"/>
          <w:szCs w:val="22"/>
          <w:lang w:val="fr-FR"/>
        </w:rPr>
      </w:pPr>
    </w:p>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4988"/>
        <w:gridCol w:w="4243"/>
      </w:tblGrid>
      <w:tr w:rsidR="00B554C0" w:rsidTr="00B554C0">
        <w:trPr>
          <w:trHeight w:val="709"/>
        </w:trPr>
        <w:tc>
          <w:tcPr>
            <w:tcW w:w="976" w:type="dxa"/>
            <w:tcBorders>
              <w:top w:val="nil"/>
              <w:left w:val="nil"/>
              <w:bottom w:val="single" w:sz="12" w:space="0" w:color="auto"/>
              <w:right w:val="nil"/>
            </w:tcBorders>
            <w:hideMark/>
          </w:tcPr>
          <w:p w:rsidR="00B554C0" w:rsidRDefault="00B554C0" w:rsidP="00B51846">
            <w:r>
              <w:rPr>
                <w:noProof/>
                <w:lang w:val="fr-FR" w:eastAsia="fr-FR"/>
              </w:rPr>
              <w:drawing>
                <wp:inline distT="0" distB="0" distL="0" distR="0" wp14:anchorId="3C83A4C0" wp14:editId="215426EE">
                  <wp:extent cx="476250" cy="400050"/>
                  <wp:effectExtent l="0" t="0" r="0" b="0"/>
                  <wp:docPr id="2" name="Image 2"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p>
        </w:tc>
        <w:tc>
          <w:tcPr>
            <w:tcW w:w="4988" w:type="dxa"/>
            <w:tcBorders>
              <w:top w:val="nil"/>
              <w:left w:val="nil"/>
              <w:bottom w:val="single" w:sz="12" w:space="0" w:color="auto"/>
              <w:right w:val="nil"/>
            </w:tcBorders>
            <w:hideMark/>
          </w:tcPr>
          <w:p w:rsidR="00B554C0" w:rsidRDefault="00B554C0" w:rsidP="00B51846">
            <w:r>
              <w:rPr>
                <w:noProof/>
                <w:lang w:val="fr-FR" w:eastAsia="fr-FR"/>
              </w:rPr>
              <w:drawing>
                <wp:inline distT="0" distB="0" distL="0" distR="0" wp14:anchorId="34662F62" wp14:editId="4F34A1E9">
                  <wp:extent cx="342900" cy="400050"/>
                  <wp:effectExtent l="0" t="0" r="0" b="0"/>
                  <wp:docPr id="5" name="Image 5"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2900" cy="400050"/>
                          </a:xfrm>
                          <a:prstGeom prst="rect">
                            <a:avLst/>
                          </a:prstGeom>
                          <a:noFill/>
                          <a:ln>
                            <a:noFill/>
                          </a:ln>
                        </pic:spPr>
                      </pic:pic>
                    </a:graphicData>
                  </a:graphic>
                </wp:inline>
              </w:drawing>
            </w:r>
          </w:p>
        </w:tc>
        <w:tc>
          <w:tcPr>
            <w:tcW w:w="4243" w:type="dxa"/>
            <w:tcBorders>
              <w:top w:val="nil"/>
              <w:left w:val="nil"/>
              <w:bottom w:val="single" w:sz="12" w:space="0" w:color="auto"/>
              <w:right w:val="nil"/>
            </w:tcBorders>
            <w:hideMark/>
          </w:tcPr>
          <w:p w:rsidR="00B554C0" w:rsidRDefault="00B554C0" w:rsidP="00B51846">
            <w:pPr>
              <w:jc w:val="right"/>
              <w:rPr>
                <w:rFonts w:ascii="Arial" w:hAnsi="Arial" w:cs="Arial"/>
                <w:b/>
                <w:sz w:val="32"/>
                <w:szCs w:val="32"/>
              </w:rPr>
            </w:pPr>
            <w:r>
              <w:rPr>
                <w:rFonts w:ascii="Arial" w:hAnsi="Arial" w:cs="Arial"/>
                <w:b/>
                <w:sz w:val="32"/>
                <w:szCs w:val="32"/>
              </w:rPr>
              <w:t>CBD</w:t>
            </w:r>
          </w:p>
        </w:tc>
      </w:tr>
      <w:tr w:rsidR="00B554C0" w:rsidRPr="00041523" w:rsidTr="00B554C0">
        <w:tc>
          <w:tcPr>
            <w:tcW w:w="5964" w:type="dxa"/>
            <w:gridSpan w:val="2"/>
            <w:tcBorders>
              <w:top w:val="single" w:sz="12" w:space="0" w:color="auto"/>
              <w:left w:val="nil"/>
              <w:bottom w:val="single" w:sz="36" w:space="0" w:color="auto"/>
              <w:right w:val="nil"/>
            </w:tcBorders>
            <w:vAlign w:val="center"/>
            <w:hideMark/>
          </w:tcPr>
          <w:p w:rsidR="00B554C0" w:rsidRDefault="00B554C0" w:rsidP="00B51846">
            <w:r>
              <w:rPr>
                <w:noProof/>
                <w:szCs w:val="22"/>
                <w:lang w:val="fr-FR" w:eastAsia="fr-FR"/>
              </w:rPr>
              <w:drawing>
                <wp:inline distT="0" distB="0" distL="0" distR="0" wp14:anchorId="31344348" wp14:editId="3D06009E">
                  <wp:extent cx="2886075" cy="1194494"/>
                  <wp:effectExtent l="0" t="0" r="0" b="5715"/>
                  <wp:docPr id="1" name="Image 1" descr="Descripción: 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Descripción: CBD_logo_fr-CMYK-black [Conver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8121" cy="1203618"/>
                          </a:xfrm>
                          <a:prstGeom prst="rect">
                            <a:avLst/>
                          </a:prstGeom>
                          <a:noFill/>
                          <a:ln>
                            <a:noFill/>
                          </a:ln>
                        </pic:spPr>
                      </pic:pic>
                    </a:graphicData>
                  </a:graphic>
                </wp:inline>
              </w:drawing>
            </w:r>
          </w:p>
        </w:tc>
        <w:tc>
          <w:tcPr>
            <w:tcW w:w="4243" w:type="dxa"/>
            <w:tcBorders>
              <w:top w:val="single" w:sz="12" w:space="0" w:color="auto"/>
              <w:left w:val="nil"/>
              <w:bottom w:val="single" w:sz="36" w:space="0" w:color="auto"/>
              <w:right w:val="nil"/>
            </w:tcBorders>
          </w:tcPr>
          <w:p w:rsidR="00B554C0" w:rsidRPr="00FA1D55" w:rsidRDefault="00B554C0" w:rsidP="00B51846">
            <w:pPr>
              <w:ind w:left="1215"/>
              <w:rPr>
                <w:szCs w:val="22"/>
                <w:lang w:val="en-AU"/>
              </w:rPr>
            </w:pPr>
            <w:r w:rsidRPr="00FA1D55">
              <w:rPr>
                <w:szCs w:val="22"/>
                <w:lang w:val="en-AU"/>
              </w:rPr>
              <w:t>Distr.</w:t>
            </w:r>
          </w:p>
          <w:p w:rsidR="00B554C0" w:rsidRPr="00FA1D55" w:rsidRDefault="0034297F" w:rsidP="00B51846">
            <w:pPr>
              <w:ind w:left="1215"/>
              <w:rPr>
                <w:szCs w:val="22"/>
                <w:lang w:val="en-AU"/>
              </w:rPr>
            </w:pPr>
            <w:sdt>
              <w:sdtPr>
                <w:rPr>
                  <w:snapToGrid w:val="0"/>
                  <w:kern w:val="22"/>
                  <w:szCs w:val="22"/>
                  <w:lang w:val="en-AU"/>
                </w:rPr>
                <w:alias w:val="Status"/>
                <w:id w:val="307985777"/>
                <w:placeholder>
                  <w:docPart w:val="34CB42CB7A144D2B81F5D0AC4CCB7F6E"/>
                </w:placeholder>
                <w:dataBinding w:prefixMappings="xmlns:ns0='http://purl.org/dc/elements/1.1/' xmlns:ns1='http://schemas.openxmlformats.org/package/2006/metadata/core-properties' " w:xpath="/ns1:coreProperties[1]/ns1:contentStatus[1]" w:storeItemID="{6C3C8BC8-F283-45AE-878A-BAB7291924A1}"/>
                <w:text/>
              </w:sdtPr>
              <w:sdtEndPr/>
              <w:sdtContent>
                <w:r w:rsidR="00041523" w:rsidRPr="00FA1D55">
                  <w:rPr>
                    <w:snapToGrid w:val="0"/>
                    <w:kern w:val="22"/>
                    <w:szCs w:val="22"/>
                    <w:lang w:val="en-AU"/>
                  </w:rPr>
                  <w:t>GENERAL</w:t>
                </w:r>
                <w:r w:rsidR="00B554C0" w:rsidRPr="00FA1D55">
                  <w:rPr>
                    <w:snapToGrid w:val="0"/>
                    <w:kern w:val="22"/>
                    <w:szCs w:val="22"/>
                    <w:lang w:val="en-AU"/>
                  </w:rPr>
                  <w:t>E</w:t>
                </w:r>
              </w:sdtContent>
            </w:sdt>
          </w:p>
          <w:p w:rsidR="00B554C0" w:rsidRPr="00FA1D55" w:rsidRDefault="00B554C0" w:rsidP="00B51846">
            <w:pPr>
              <w:ind w:left="1215"/>
              <w:rPr>
                <w:szCs w:val="22"/>
                <w:lang w:val="en-AU"/>
              </w:rPr>
            </w:pPr>
          </w:p>
          <w:p w:rsidR="00B554C0" w:rsidRPr="00FA1D55" w:rsidRDefault="0034297F" w:rsidP="00B554C0">
            <w:pPr>
              <w:ind w:left="1215"/>
              <w:rPr>
                <w:szCs w:val="22"/>
                <w:lang w:val="en-AU"/>
              </w:rPr>
            </w:pPr>
            <w:sdt>
              <w:sdtPr>
                <w:rPr>
                  <w:lang w:val="en-AU"/>
                </w:rPr>
                <w:alias w:val="Subject"/>
                <w:tag w:val=""/>
                <w:id w:val="2137136483"/>
                <w:placeholder>
                  <w:docPart w:val="BAD69FDD8E4E4CB886DAF50A643EF1FB"/>
                </w:placeholder>
                <w:dataBinding w:prefixMappings="xmlns:ns0='http://purl.org/dc/elements/1.1/' xmlns:ns1='http://schemas.openxmlformats.org/package/2006/metadata/core-properties' " w:xpath="/ns1:coreProperties[1]/ns0:subject[1]" w:storeItemID="{6C3C8BC8-F283-45AE-878A-BAB7291924A1}"/>
                <w:text/>
              </w:sdtPr>
              <w:sdtEndPr/>
              <w:sdtContent>
                <w:r w:rsidR="00B554C0" w:rsidRPr="00FA1D55">
                  <w:rPr>
                    <w:lang w:val="en-AU"/>
                  </w:rPr>
                  <w:t>CBD/CP/MOP/</w:t>
                </w:r>
                <w:r w:rsidR="00041523" w:rsidRPr="00FA1D55">
                  <w:rPr>
                    <w:lang w:val="en-AU"/>
                  </w:rPr>
                  <w:t>DEC/9/14</w:t>
                </w:r>
              </w:sdtContent>
            </w:sdt>
          </w:p>
          <w:p w:rsidR="00B554C0" w:rsidRPr="00041523" w:rsidRDefault="00041523" w:rsidP="00B554C0">
            <w:pPr>
              <w:ind w:left="1215"/>
              <w:rPr>
                <w:szCs w:val="22"/>
                <w:lang w:val="fr-FR"/>
              </w:rPr>
            </w:pPr>
            <w:r>
              <w:rPr>
                <w:szCs w:val="22"/>
                <w:lang w:val="fr-FR"/>
              </w:rPr>
              <w:t>30</w:t>
            </w:r>
            <w:r w:rsidR="00B554C0" w:rsidRPr="00041523">
              <w:rPr>
                <w:szCs w:val="22"/>
                <w:lang w:val="fr-FR"/>
              </w:rPr>
              <w:t xml:space="preserve"> novembre 2018</w:t>
            </w:r>
          </w:p>
          <w:p w:rsidR="00B554C0" w:rsidRPr="00041523" w:rsidRDefault="00B554C0" w:rsidP="00B51846">
            <w:pPr>
              <w:ind w:left="1215"/>
              <w:rPr>
                <w:szCs w:val="22"/>
                <w:lang w:val="fr-FR"/>
              </w:rPr>
            </w:pPr>
          </w:p>
          <w:p w:rsidR="00B554C0" w:rsidRPr="00041523" w:rsidRDefault="00B554C0" w:rsidP="00B51846">
            <w:pPr>
              <w:ind w:left="1215"/>
              <w:rPr>
                <w:szCs w:val="22"/>
                <w:lang w:val="fr-FR"/>
              </w:rPr>
            </w:pPr>
            <w:r w:rsidRPr="00041523">
              <w:rPr>
                <w:szCs w:val="22"/>
                <w:lang w:val="fr-FR"/>
              </w:rPr>
              <w:t>FRANÇAIS</w:t>
            </w:r>
          </w:p>
          <w:p w:rsidR="00B554C0" w:rsidRPr="00041523" w:rsidRDefault="00B554C0" w:rsidP="00B51846">
            <w:pPr>
              <w:ind w:left="1215"/>
              <w:rPr>
                <w:szCs w:val="22"/>
                <w:lang w:val="fr-FR"/>
              </w:rPr>
            </w:pPr>
            <w:r w:rsidRPr="00041523">
              <w:rPr>
                <w:szCs w:val="22"/>
                <w:lang w:val="fr-FR"/>
              </w:rPr>
              <w:t>ORIGINAL</w:t>
            </w:r>
            <w:r w:rsidR="00FC6992">
              <w:rPr>
                <w:szCs w:val="22"/>
                <w:lang w:val="fr-FR"/>
              </w:rPr>
              <w:t xml:space="preserve"> </w:t>
            </w:r>
            <w:bookmarkStart w:id="0" w:name="_GoBack"/>
            <w:bookmarkEnd w:id="0"/>
            <w:r w:rsidRPr="00041523">
              <w:rPr>
                <w:szCs w:val="22"/>
                <w:lang w:val="fr-FR"/>
              </w:rPr>
              <w:t>: ANGLAIS</w:t>
            </w:r>
          </w:p>
          <w:p w:rsidR="00B554C0" w:rsidRPr="00041523" w:rsidRDefault="00B554C0" w:rsidP="00B51846">
            <w:pPr>
              <w:rPr>
                <w:lang w:val="fr-FR"/>
              </w:rPr>
            </w:pPr>
          </w:p>
        </w:tc>
      </w:tr>
    </w:tbl>
    <w:p w:rsidR="00B554C0" w:rsidRPr="00B554C0" w:rsidRDefault="00B554C0" w:rsidP="00B554C0">
      <w:pPr>
        <w:pStyle w:val="NoSpacing"/>
        <w:ind w:left="142" w:right="4682" w:hanging="142"/>
        <w:rPr>
          <w:rFonts w:ascii="Times New Roman" w:hAnsi="Times New Roman"/>
          <w:lang w:val="fr-FR"/>
        </w:rPr>
      </w:pPr>
      <w:r w:rsidRPr="00B554C0">
        <w:rPr>
          <w:rFonts w:ascii="Times New Roman" w:hAnsi="Times New Roman"/>
          <w:snapToGrid w:val="0"/>
          <w:kern w:val="22"/>
          <w:lang w:val="fr-FR"/>
        </w:rPr>
        <w:t>CONFÉRENCE DES PARTIES À LA CONVENTION SUR LA DIVERSITÉ BIOLOGIQUE SIÉGEANT EN TANT QUE RÉUNION DES PARTIES AU PROTOCOLE DE CARTAGENA SUR LA PRÉVENTION DES RISQUES BIOTECHNOLOGIQUES</w:t>
      </w:r>
    </w:p>
    <w:p w:rsidR="00B554C0" w:rsidRPr="00B554C0" w:rsidRDefault="00B554C0" w:rsidP="00B554C0">
      <w:pPr>
        <w:pStyle w:val="NoSpacing"/>
        <w:rPr>
          <w:rFonts w:ascii="Times New Roman" w:hAnsi="Times New Roman"/>
          <w:lang w:val="fr-FR"/>
        </w:rPr>
      </w:pPr>
      <w:r w:rsidRPr="00B554C0">
        <w:rPr>
          <w:rFonts w:ascii="Times New Roman" w:hAnsi="Times New Roman"/>
          <w:snapToGrid w:val="0"/>
          <w:kern w:val="22"/>
          <w:lang w:val="fr-FR"/>
        </w:rPr>
        <w:t xml:space="preserve">Neuvième </w:t>
      </w:r>
      <w:r w:rsidRPr="00B554C0">
        <w:rPr>
          <w:rFonts w:ascii="Times New Roman" w:hAnsi="Times New Roman"/>
          <w:lang w:val="fr-FR"/>
        </w:rPr>
        <w:t>réunion</w:t>
      </w:r>
    </w:p>
    <w:p w:rsidR="00B554C0" w:rsidRPr="00B554C0" w:rsidRDefault="00041523" w:rsidP="00B554C0">
      <w:pPr>
        <w:pStyle w:val="NoSpacing"/>
        <w:rPr>
          <w:rFonts w:ascii="Times New Roman" w:hAnsi="Times New Roman"/>
          <w:lang w:val="fr-FR"/>
        </w:rPr>
      </w:pPr>
      <w:r>
        <w:rPr>
          <w:rFonts w:ascii="Times New Roman" w:hAnsi="Times New Roman"/>
          <w:lang w:val="fr-FR"/>
        </w:rPr>
        <w:t>Sharm el-Sheikh, Égypte</w:t>
      </w:r>
      <w:r w:rsidR="00B554C0" w:rsidRPr="00B554C0">
        <w:rPr>
          <w:rFonts w:ascii="Times New Roman" w:hAnsi="Times New Roman"/>
          <w:lang w:val="fr-FR"/>
        </w:rPr>
        <w:t>, 17-29 novembre 2018</w:t>
      </w:r>
    </w:p>
    <w:p w:rsidR="00041523" w:rsidRDefault="00B554C0" w:rsidP="00B554C0">
      <w:pPr>
        <w:rPr>
          <w:lang w:val="fr-FR"/>
        </w:rPr>
      </w:pPr>
      <w:r w:rsidRPr="00B554C0">
        <w:rPr>
          <w:lang w:val="fr-FR"/>
        </w:rPr>
        <w:t>Point 18 de l’ordre du jour</w:t>
      </w:r>
    </w:p>
    <w:p w:rsidR="00B554C0" w:rsidRPr="00041523" w:rsidRDefault="00041523" w:rsidP="00041523">
      <w:pPr>
        <w:spacing w:before="360" w:after="360"/>
        <w:jc w:val="center"/>
        <w:rPr>
          <w:b/>
          <w:caps/>
          <w:kern w:val="22"/>
          <w:szCs w:val="22"/>
          <w:lang w:val="fr-FR"/>
        </w:rPr>
      </w:pPr>
      <w:r>
        <w:rPr>
          <w:b/>
          <w:caps/>
          <w:kern w:val="22"/>
          <w:szCs w:val="22"/>
          <w:lang w:val="fr-FR"/>
        </w:rPr>
        <w:t>DÉCISION ADOPTÉE PAR LES PARTIES AU PROTOCOLE DE CARTAGENA SUR LA PRÉVENTION DES RISQUES BIOTECHNOLOGIQUES</w:t>
      </w:r>
    </w:p>
    <w:p w:rsidR="00FA2F6B" w:rsidRPr="00041523" w:rsidRDefault="0034297F" w:rsidP="00041523">
      <w:pPr>
        <w:spacing w:before="240" w:after="240"/>
        <w:jc w:val="center"/>
        <w:rPr>
          <w:b/>
          <w:caps/>
          <w:kern w:val="22"/>
          <w:lang w:val="fr-FR"/>
        </w:rPr>
      </w:pPr>
      <w:sdt>
        <w:sdtPr>
          <w:rPr>
            <w:b/>
            <w:caps/>
            <w:snapToGrid w:val="0"/>
            <w:kern w:val="22"/>
            <w:szCs w:val="22"/>
            <w:lang w:val="fr-FR"/>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041523">
            <w:rPr>
              <w:b/>
              <w:caps/>
              <w:snapToGrid w:val="0"/>
              <w:kern w:val="22"/>
              <w:szCs w:val="22"/>
              <w:lang w:val="fr-FR"/>
            </w:rPr>
            <w:t xml:space="preserve">9/14.      </w:t>
          </w:r>
          <w:r w:rsidR="00041523">
            <w:rPr>
              <w:b/>
              <w:snapToGrid w:val="0"/>
              <w:kern w:val="22"/>
              <w:szCs w:val="22"/>
              <w:lang w:val="fr-FR"/>
            </w:rPr>
            <w:t>C</w:t>
          </w:r>
          <w:r w:rsidR="00041523" w:rsidRPr="0045560E">
            <w:rPr>
              <w:b/>
              <w:snapToGrid w:val="0"/>
              <w:kern w:val="22"/>
              <w:szCs w:val="22"/>
              <w:lang w:val="fr-FR"/>
            </w:rPr>
            <w:t>onsid</w:t>
          </w:r>
          <w:r w:rsidR="00041523">
            <w:rPr>
              <w:b/>
              <w:snapToGrid w:val="0"/>
              <w:kern w:val="22"/>
              <w:szCs w:val="22"/>
              <w:lang w:val="fr-FR"/>
            </w:rPr>
            <w:t>é</w:t>
          </w:r>
          <w:r w:rsidR="00041523" w:rsidRPr="0045560E">
            <w:rPr>
              <w:b/>
              <w:snapToGrid w:val="0"/>
              <w:kern w:val="22"/>
              <w:szCs w:val="22"/>
              <w:lang w:val="fr-FR"/>
            </w:rPr>
            <w:t>rations socio</w:t>
          </w:r>
          <w:r w:rsidR="00041523">
            <w:rPr>
              <w:b/>
              <w:snapToGrid w:val="0"/>
              <w:kern w:val="22"/>
              <w:szCs w:val="22"/>
              <w:lang w:val="fr-FR"/>
            </w:rPr>
            <w:t>é</w:t>
          </w:r>
          <w:r w:rsidR="00041523" w:rsidRPr="0045560E">
            <w:rPr>
              <w:b/>
              <w:snapToGrid w:val="0"/>
              <w:kern w:val="22"/>
              <w:szCs w:val="22"/>
              <w:lang w:val="fr-FR"/>
            </w:rPr>
            <w:t>conomiques (article 26)</w:t>
          </w:r>
        </w:sdtContent>
      </w:sdt>
    </w:p>
    <w:p w:rsidR="00676CC1" w:rsidRPr="0045560E" w:rsidRDefault="00FA2F6B" w:rsidP="006370D2">
      <w:pPr>
        <w:adjustRightInd w:val="0"/>
        <w:snapToGrid w:val="0"/>
        <w:spacing w:before="120" w:after="120"/>
        <w:ind w:firstLine="720"/>
        <w:rPr>
          <w:i/>
          <w:color w:val="000000" w:themeColor="text1"/>
          <w:kern w:val="22"/>
          <w:szCs w:val="22"/>
          <w:lang w:val="fr-FR"/>
        </w:rPr>
      </w:pPr>
      <w:r w:rsidRPr="0045560E">
        <w:rPr>
          <w:i/>
          <w:kern w:val="22"/>
          <w:szCs w:val="22"/>
          <w:lang w:val="fr-FR"/>
        </w:rPr>
        <w:t>La Conférence de</w:t>
      </w:r>
      <w:r w:rsidR="00041523">
        <w:rPr>
          <w:i/>
          <w:kern w:val="22"/>
          <w:szCs w:val="22"/>
          <w:lang w:val="fr-FR"/>
        </w:rPr>
        <w:t>s Parties siégeant en tant que r</w:t>
      </w:r>
      <w:r w:rsidRPr="0045560E">
        <w:rPr>
          <w:i/>
          <w:kern w:val="22"/>
          <w:szCs w:val="22"/>
          <w:lang w:val="fr-FR"/>
        </w:rPr>
        <w:t>éunion des Parties au Protocole de Cartagena sur la prévention des risques biotechnologiques</w:t>
      </w:r>
      <w:r w:rsidR="006370D2" w:rsidRPr="0045560E">
        <w:rPr>
          <w:i/>
          <w:color w:val="000000" w:themeColor="text1"/>
          <w:kern w:val="22"/>
          <w:szCs w:val="22"/>
          <w:lang w:val="fr-FR"/>
        </w:rPr>
        <w:t>,</w:t>
      </w:r>
    </w:p>
    <w:p w:rsidR="00676CC1" w:rsidRPr="0045560E" w:rsidRDefault="00FA2F6B" w:rsidP="00FA2F6B">
      <w:pPr>
        <w:pStyle w:val="Para1"/>
        <w:numPr>
          <w:ilvl w:val="0"/>
          <w:numId w:val="0"/>
        </w:numPr>
        <w:ind w:left="720"/>
        <w:rPr>
          <w:i/>
          <w:kern w:val="22"/>
          <w:szCs w:val="22"/>
          <w:lang w:val="fr-FR"/>
        </w:rPr>
      </w:pPr>
      <w:r w:rsidRPr="0045560E">
        <w:rPr>
          <w:i/>
          <w:kern w:val="22"/>
          <w:szCs w:val="22"/>
          <w:lang w:val="fr-FR"/>
        </w:rPr>
        <w:t xml:space="preserve">Rappelant </w:t>
      </w:r>
      <w:r w:rsidRPr="0045560E">
        <w:rPr>
          <w:kern w:val="22"/>
          <w:szCs w:val="22"/>
          <w:lang w:val="fr-FR"/>
        </w:rPr>
        <w:t xml:space="preserve">les décisions </w:t>
      </w:r>
      <w:hyperlink r:id="rId12" w:history="1">
        <w:r w:rsidRPr="0045560E">
          <w:rPr>
            <w:rStyle w:val="Hyperlink"/>
            <w:kern w:val="22"/>
            <w:sz w:val="22"/>
            <w:szCs w:val="22"/>
            <w:lang w:val="fr-FR"/>
          </w:rPr>
          <w:t>BS-VI/13</w:t>
        </w:r>
      </w:hyperlink>
      <w:r w:rsidRPr="0045560E">
        <w:rPr>
          <w:kern w:val="22"/>
          <w:szCs w:val="22"/>
          <w:lang w:val="fr-FR"/>
        </w:rPr>
        <w:t xml:space="preserve">, </w:t>
      </w:r>
      <w:hyperlink r:id="rId13" w:history="1">
        <w:r w:rsidRPr="0045560E">
          <w:rPr>
            <w:rStyle w:val="Hyperlink"/>
            <w:kern w:val="22"/>
            <w:sz w:val="22"/>
            <w:szCs w:val="22"/>
            <w:lang w:val="fr-FR"/>
          </w:rPr>
          <w:t>BS-VII/13</w:t>
        </w:r>
      </w:hyperlink>
      <w:r w:rsidRPr="0045560E">
        <w:rPr>
          <w:kern w:val="22"/>
          <w:szCs w:val="22"/>
          <w:lang w:val="fr-FR"/>
        </w:rPr>
        <w:t xml:space="preserve"> et </w:t>
      </w:r>
      <w:hyperlink r:id="rId14" w:history="1">
        <w:r w:rsidRPr="0045560E">
          <w:rPr>
            <w:rStyle w:val="Hyperlink"/>
            <w:kern w:val="22"/>
            <w:sz w:val="22"/>
            <w:szCs w:val="22"/>
            <w:lang w:val="fr-FR"/>
          </w:rPr>
          <w:t>CP-VIII/13</w:t>
        </w:r>
      </w:hyperlink>
      <w:r w:rsidR="00676CC1" w:rsidRPr="0045560E">
        <w:rPr>
          <w:kern w:val="22"/>
          <w:szCs w:val="22"/>
          <w:lang w:val="fr-FR"/>
        </w:rPr>
        <w:t>,</w:t>
      </w:r>
    </w:p>
    <w:p w:rsidR="00FA2F6B" w:rsidRPr="0045560E" w:rsidRDefault="00FA2F6B" w:rsidP="00D50FB2">
      <w:pPr>
        <w:pStyle w:val="Para1"/>
        <w:numPr>
          <w:ilvl w:val="0"/>
          <w:numId w:val="0"/>
        </w:numPr>
        <w:ind w:firstLine="709"/>
        <w:rPr>
          <w:kern w:val="22"/>
          <w:szCs w:val="22"/>
          <w:lang w:val="fr-FR"/>
        </w:rPr>
      </w:pPr>
      <w:r w:rsidRPr="0045560E">
        <w:rPr>
          <w:i/>
          <w:snapToGrid/>
          <w:kern w:val="22"/>
          <w:szCs w:val="22"/>
          <w:lang w:val="fr-FR"/>
        </w:rPr>
        <w:t>Rappelant</w:t>
      </w:r>
      <w:r w:rsidRPr="0045560E">
        <w:rPr>
          <w:snapToGrid/>
          <w:kern w:val="22"/>
          <w:szCs w:val="22"/>
          <w:lang w:val="fr-FR"/>
        </w:rPr>
        <w:t xml:space="preserve"> que, conformément au paragraphe 1 de l'article 26, les Parties, lorsqu’elles prennent une</w:t>
      </w:r>
      <w:r w:rsidRPr="0045560E">
        <w:rPr>
          <w:kern w:val="22"/>
          <w:szCs w:val="22"/>
          <w:lang w:val="fr-FR"/>
        </w:rPr>
        <w:t xml:space="preserve"> </w:t>
      </w:r>
      <w:r w:rsidRPr="0045560E">
        <w:rPr>
          <w:snapToGrid/>
          <w:kern w:val="22"/>
          <w:szCs w:val="22"/>
          <w:lang w:val="fr-FR"/>
        </w:rPr>
        <w:t>décision concernant l’i</w:t>
      </w:r>
      <w:r w:rsidR="00FA1D55">
        <w:rPr>
          <w:snapToGrid/>
          <w:kern w:val="22"/>
          <w:szCs w:val="22"/>
          <w:lang w:val="fr-FR"/>
        </w:rPr>
        <w:t xml:space="preserve">mportation, en vertu du </w:t>
      </w:r>
      <w:r w:rsidRPr="0045560E">
        <w:rPr>
          <w:snapToGrid/>
          <w:kern w:val="22"/>
          <w:szCs w:val="22"/>
          <w:lang w:val="fr-FR"/>
        </w:rPr>
        <w:t>Protocole ou en vertu des mesures nationales qu’elles ont prises pour appliquer le Protocol</w:t>
      </w:r>
      <w:r w:rsidR="00F45512">
        <w:rPr>
          <w:snapToGrid/>
          <w:kern w:val="22"/>
          <w:szCs w:val="22"/>
          <w:lang w:val="fr-FR"/>
        </w:rPr>
        <w:t>e, peuvent tenir compte, en acco</w:t>
      </w:r>
      <w:r w:rsidRPr="0045560E">
        <w:rPr>
          <w:snapToGrid/>
          <w:kern w:val="22"/>
          <w:szCs w:val="22"/>
          <w:lang w:val="fr-FR"/>
        </w:rPr>
        <w:t>rd avec leurs obligations intern</w:t>
      </w:r>
      <w:r w:rsidR="00FA1D55">
        <w:rPr>
          <w:snapToGrid/>
          <w:kern w:val="22"/>
          <w:szCs w:val="22"/>
          <w:lang w:val="fr-FR"/>
        </w:rPr>
        <w:t>ationales, des incidences socio</w:t>
      </w:r>
      <w:r w:rsidRPr="0045560E">
        <w:rPr>
          <w:snapToGrid/>
          <w:kern w:val="22"/>
          <w:szCs w:val="22"/>
          <w:lang w:val="fr-FR"/>
        </w:rPr>
        <w:t>économi</w:t>
      </w:r>
      <w:r w:rsidR="00F45512">
        <w:rPr>
          <w:snapToGrid/>
          <w:kern w:val="22"/>
          <w:szCs w:val="22"/>
          <w:lang w:val="fr-FR"/>
        </w:rPr>
        <w:t xml:space="preserve">ques de l’impact des organismes </w:t>
      </w:r>
      <w:r w:rsidRPr="0045560E">
        <w:rPr>
          <w:snapToGrid/>
          <w:kern w:val="22"/>
          <w:szCs w:val="22"/>
          <w:lang w:val="fr-FR"/>
        </w:rPr>
        <w:t>vivants modifiés sur la conservation et l’utilisation durable de la diversité biologique, eu égard à la valeur de la diversité biologique pour les communautés autochtones et locales, en particulier,</w:t>
      </w:r>
    </w:p>
    <w:p w:rsidR="00D50FB2" w:rsidRPr="0045560E" w:rsidRDefault="00D50FB2" w:rsidP="00D50FB2">
      <w:pPr>
        <w:suppressLineNumbers/>
        <w:suppressAutoHyphens/>
        <w:kinsoku w:val="0"/>
        <w:overflowPunct w:val="0"/>
        <w:autoSpaceDE w:val="0"/>
        <w:autoSpaceDN w:val="0"/>
        <w:snapToGrid w:val="0"/>
        <w:spacing w:before="120" w:after="120"/>
        <w:ind w:firstLine="720"/>
        <w:rPr>
          <w:kern w:val="22"/>
          <w:szCs w:val="22"/>
          <w:lang w:val="fr-FR"/>
        </w:rPr>
      </w:pPr>
      <w:r w:rsidRPr="0045560E">
        <w:rPr>
          <w:i/>
          <w:kern w:val="22"/>
          <w:szCs w:val="22"/>
          <w:lang w:val="fr-FR"/>
        </w:rPr>
        <w:t>Reconnaissant</w:t>
      </w:r>
      <w:r w:rsidRPr="0045560E">
        <w:rPr>
          <w:kern w:val="22"/>
          <w:szCs w:val="22"/>
          <w:lang w:val="fr-FR"/>
        </w:rPr>
        <w:t xml:space="preserve"> que les </w:t>
      </w:r>
      <w:r w:rsidRPr="0045560E">
        <w:rPr>
          <w:kern w:val="22"/>
          <w:lang w:val="fr-FR"/>
        </w:rPr>
        <w:t>« Orientations sur l'évaluation des considérations socioéconomiques dans le contexte de l'article 26 du Protocole de Cartagena sur la prévention des risques biotechnologiques »</w:t>
      </w:r>
      <w:r w:rsidRPr="0045560E">
        <w:rPr>
          <w:kern w:val="22"/>
          <w:szCs w:val="22"/>
          <w:lang w:val="fr-FR"/>
        </w:rPr>
        <w:t xml:space="preserve"> ne peu</w:t>
      </w:r>
      <w:r w:rsidR="006D63D2">
        <w:rPr>
          <w:kern w:val="22"/>
          <w:szCs w:val="22"/>
          <w:lang w:val="fr-FR"/>
        </w:rPr>
        <w:t xml:space="preserve">vent en aucun cas </w:t>
      </w:r>
      <w:r w:rsidRPr="0045560E">
        <w:rPr>
          <w:kern w:val="22"/>
          <w:szCs w:val="22"/>
          <w:lang w:val="fr-FR"/>
        </w:rPr>
        <w:t>être interprété</w:t>
      </w:r>
      <w:r w:rsidR="006D63D2">
        <w:rPr>
          <w:kern w:val="22"/>
          <w:szCs w:val="22"/>
          <w:lang w:val="fr-FR"/>
        </w:rPr>
        <w:t>es</w:t>
      </w:r>
      <w:r w:rsidRPr="0045560E">
        <w:rPr>
          <w:kern w:val="22"/>
          <w:szCs w:val="22"/>
          <w:lang w:val="fr-FR"/>
        </w:rPr>
        <w:t xml:space="preserve"> ou utilisé</w:t>
      </w:r>
      <w:r w:rsidR="006D63D2">
        <w:rPr>
          <w:kern w:val="22"/>
          <w:szCs w:val="22"/>
          <w:lang w:val="fr-FR"/>
        </w:rPr>
        <w:t>es</w:t>
      </w:r>
      <w:r w:rsidR="00FA1D55">
        <w:rPr>
          <w:kern w:val="22"/>
          <w:szCs w:val="22"/>
          <w:lang w:val="fr-FR"/>
        </w:rPr>
        <w:t xml:space="preserve"> pour justifier des barrière</w:t>
      </w:r>
      <w:r w:rsidRPr="0045560E">
        <w:rPr>
          <w:kern w:val="22"/>
          <w:szCs w:val="22"/>
          <w:lang w:val="fr-FR"/>
        </w:rPr>
        <w:t>s non tarifaires au commerce, ou des manquements aux obligations en matière de droit international des droits de l'homme, notamment en ce qui concerne les droits des p</w:t>
      </w:r>
      <w:r w:rsidR="006D63D2">
        <w:rPr>
          <w:kern w:val="22"/>
          <w:szCs w:val="22"/>
          <w:lang w:val="fr-FR"/>
        </w:rPr>
        <w:t xml:space="preserve">euples autochtones </w:t>
      </w:r>
      <w:r w:rsidRPr="0045560E">
        <w:rPr>
          <w:kern w:val="22"/>
          <w:szCs w:val="22"/>
          <w:lang w:val="fr-FR"/>
        </w:rPr>
        <w:t>et des communautés locales,</w:t>
      </w:r>
    </w:p>
    <w:p w:rsidR="00D50FB2" w:rsidRPr="0045560E" w:rsidRDefault="00D50FB2" w:rsidP="00D50FB2">
      <w:pPr>
        <w:suppressLineNumbers/>
        <w:suppressAutoHyphens/>
        <w:kinsoku w:val="0"/>
        <w:overflowPunct w:val="0"/>
        <w:autoSpaceDE w:val="0"/>
        <w:autoSpaceDN w:val="0"/>
        <w:snapToGrid w:val="0"/>
        <w:spacing w:before="120" w:after="120"/>
        <w:ind w:firstLine="720"/>
        <w:rPr>
          <w:kern w:val="22"/>
          <w:szCs w:val="22"/>
          <w:lang w:val="fr-FR"/>
        </w:rPr>
      </w:pPr>
      <w:r w:rsidRPr="0045560E">
        <w:rPr>
          <w:i/>
          <w:kern w:val="22"/>
          <w:szCs w:val="22"/>
          <w:lang w:val="fr-FR"/>
        </w:rPr>
        <w:t>Consciente</w:t>
      </w:r>
      <w:r w:rsidRPr="0045560E">
        <w:rPr>
          <w:kern w:val="22"/>
          <w:szCs w:val="22"/>
          <w:lang w:val="fr-FR"/>
        </w:rPr>
        <w:t xml:space="preserve"> que les accords </w:t>
      </w:r>
      <w:r w:rsidR="00041523">
        <w:rPr>
          <w:kern w:val="22"/>
          <w:szCs w:val="22"/>
          <w:lang w:val="fr-FR"/>
        </w:rPr>
        <w:t>relatifs au commerce</w:t>
      </w:r>
      <w:r w:rsidRPr="0045560E">
        <w:rPr>
          <w:kern w:val="22"/>
          <w:szCs w:val="22"/>
          <w:lang w:val="fr-FR"/>
        </w:rPr>
        <w:t xml:space="preserve"> et </w:t>
      </w:r>
      <w:r w:rsidR="00041523">
        <w:rPr>
          <w:kern w:val="22"/>
          <w:szCs w:val="22"/>
          <w:lang w:val="fr-FR"/>
        </w:rPr>
        <w:t>à l’environnement</w:t>
      </w:r>
      <w:r w:rsidRPr="0045560E">
        <w:rPr>
          <w:kern w:val="22"/>
          <w:szCs w:val="22"/>
          <w:lang w:val="fr-FR"/>
        </w:rPr>
        <w:t xml:space="preserve"> devraient se renfo</w:t>
      </w:r>
      <w:r w:rsidR="00642167">
        <w:rPr>
          <w:kern w:val="22"/>
          <w:szCs w:val="22"/>
          <w:lang w:val="fr-FR"/>
        </w:rPr>
        <w:t xml:space="preserve">rcer mutuellement en vue de </w:t>
      </w:r>
      <w:r w:rsidR="00041523">
        <w:rPr>
          <w:kern w:val="22"/>
          <w:szCs w:val="22"/>
          <w:lang w:val="fr-FR"/>
        </w:rPr>
        <w:t>parvenir à</w:t>
      </w:r>
      <w:r w:rsidRPr="0045560E">
        <w:rPr>
          <w:kern w:val="22"/>
          <w:szCs w:val="22"/>
          <w:lang w:val="fr-FR"/>
        </w:rPr>
        <w:t xml:space="preserve"> un développement durable,</w:t>
      </w:r>
    </w:p>
    <w:p w:rsidR="00D50FB2" w:rsidRPr="0045560E" w:rsidRDefault="00D50FB2" w:rsidP="00D50FB2">
      <w:pPr>
        <w:suppressLineNumbers/>
        <w:suppressAutoHyphens/>
        <w:kinsoku w:val="0"/>
        <w:overflowPunct w:val="0"/>
        <w:autoSpaceDE w:val="0"/>
        <w:autoSpaceDN w:val="0"/>
        <w:snapToGrid w:val="0"/>
        <w:spacing w:before="120" w:after="120"/>
        <w:ind w:firstLine="720"/>
        <w:rPr>
          <w:kern w:val="22"/>
          <w:szCs w:val="22"/>
          <w:lang w:val="fr-FR"/>
        </w:rPr>
      </w:pPr>
      <w:r w:rsidRPr="0045560E">
        <w:rPr>
          <w:i/>
          <w:kern w:val="22"/>
          <w:szCs w:val="22"/>
          <w:lang w:val="fr-FR"/>
        </w:rPr>
        <w:t>Soulignant</w:t>
      </w:r>
      <w:r w:rsidR="00642167">
        <w:rPr>
          <w:kern w:val="22"/>
          <w:szCs w:val="22"/>
          <w:lang w:val="fr-FR"/>
        </w:rPr>
        <w:t xml:space="preserve"> que les dispositions du Protocole ne peuvent être interprétées</w:t>
      </w:r>
      <w:r w:rsidRPr="0045560E">
        <w:rPr>
          <w:kern w:val="22"/>
          <w:szCs w:val="22"/>
          <w:lang w:val="fr-FR"/>
        </w:rPr>
        <w:t xml:space="preserve"> comme entraînant une modification des droits et </w:t>
      </w:r>
      <w:r w:rsidR="00642167">
        <w:rPr>
          <w:kern w:val="22"/>
          <w:szCs w:val="22"/>
          <w:lang w:val="fr-FR"/>
        </w:rPr>
        <w:t xml:space="preserve">des </w:t>
      </w:r>
      <w:r w:rsidRPr="0045560E">
        <w:rPr>
          <w:kern w:val="22"/>
          <w:szCs w:val="22"/>
          <w:lang w:val="fr-FR"/>
        </w:rPr>
        <w:t>obligations d'une Partie en vertu de tout accord international existant,</w:t>
      </w:r>
    </w:p>
    <w:p w:rsidR="00D50FB2" w:rsidRPr="0045560E" w:rsidRDefault="00D50FB2" w:rsidP="00D50FB2">
      <w:pPr>
        <w:suppressLineNumbers/>
        <w:suppressAutoHyphens/>
        <w:kinsoku w:val="0"/>
        <w:overflowPunct w:val="0"/>
        <w:autoSpaceDE w:val="0"/>
        <w:autoSpaceDN w:val="0"/>
        <w:snapToGrid w:val="0"/>
        <w:spacing w:before="120" w:after="120"/>
        <w:ind w:firstLine="720"/>
        <w:rPr>
          <w:kern w:val="22"/>
          <w:szCs w:val="22"/>
          <w:lang w:val="fr-FR"/>
        </w:rPr>
      </w:pPr>
      <w:r w:rsidRPr="0045560E">
        <w:rPr>
          <w:i/>
          <w:kern w:val="22"/>
          <w:szCs w:val="22"/>
          <w:lang w:val="fr-FR"/>
        </w:rPr>
        <w:t>Considérant</w:t>
      </w:r>
      <w:r w:rsidRPr="0045560E">
        <w:rPr>
          <w:kern w:val="22"/>
          <w:szCs w:val="22"/>
          <w:lang w:val="fr-FR"/>
        </w:rPr>
        <w:t xml:space="preserve"> que ce q</w:t>
      </w:r>
      <w:r w:rsidR="00642167">
        <w:rPr>
          <w:kern w:val="22"/>
          <w:szCs w:val="22"/>
          <w:lang w:val="fr-FR"/>
        </w:rPr>
        <w:t>ui précède n’a pas pour objet de</w:t>
      </w:r>
      <w:r w:rsidRPr="0045560E">
        <w:rPr>
          <w:kern w:val="22"/>
          <w:szCs w:val="22"/>
          <w:lang w:val="fr-FR"/>
        </w:rPr>
        <w:t xml:space="preserve"> subordonner le Protocole à d'autres accords internationaux,</w:t>
      </w:r>
    </w:p>
    <w:p w:rsidR="008F2ADB" w:rsidRPr="0045560E" w:rsidRDefault="00D50FB2" w:rsidP="00D50FB2">
      <w:pPr>
        <w:suppressLineNumbers/>
        <w:suppressAutoHyphens/>
        <w:kinsoku w:val="0"/>
        <w:overflowPunct w:val="0"/>
        <w:autoSpaceDE w:val="0"/>
        <w:autoSpaceDN w:val="0"/>
        <w:snapToGrid w:val="0"/>
        <w:spacing w:before="120" w:after="120"/>
        <w:ind w:firstLine="720"/>
        <w:rPr>
          <w:kern w:val="22"/>
          <w:szCs w:val="22"/>
          <w:lang w:val="fr-FR"/>
        </w:rPr>
      </w:pPr>
      <w:r w:rsidRPr="0045560E">
        <w:rPr>
          <w:i/>
          <w:kern w:val="22"/>
          <w:szCs w:val="22"/>
          <w:lang w:val="fr-FR"/>
        </w:rPr>
        <w:t>Rappelant</w:t>
      </w:r>
      <w:r w:rsidRPr="0045560E">
        <w:rPr>
          <w:kern w:val="22"/>
          <w:szCs w:val="22"/>
          <w:lang w:val="fr-FR"/>
        </w:rPr>
        <w:t xml:space="preserve"> que le</w:t>
      </w:r>
      <w:r w:rsidR="00B572B4" w:rsidRPr="0045560E">
        <w:rPr>
          <w:kern w:val="22"/>
          <w:szCs w:val="22"/>
          <w:lang w:val="fr-FR"/>
        </w:rPr>
        <w:t>s Orientations</w:t>
      </w:r>
      <w:r w:rsidRPr="0045560E">
        <w:rPr>
          <w:kern w:val="22"/>
          <w:szCs w:val="22"/>
          <w:lang w:val="fr-FR"/>
        </w:rPr>
        <w:t xml:space="preserve"> </w:t>
      </w:r>
      <w:r w:rsidR="00B572B4" w:rsidRPr="0045560E">
        <w:rPr>
          <w:kern w:val="22"/>
          <w:szCs w:val="22"/>
          <w:lang w:val="fr-FR"/>
        </w:rPr>
        <w:t>sont</w:t>
      </w:r>
      <w:r w:rsidRPr="0045560E">
        <w:rPr>
          <w:kern w:val="22"/>
          <w:szCs w:val="22"/>
          <w:lang w:val="fr-FR"/>
        </w:rPr>
        <w:t xml:space="preserve"> destiné</w:t>
      </w:r>
      <w:r w:rsidR="00B572B4" w:rsidRPr="0045560E">
        <w:rPr>
          <w:kern w:val="22"/>
          <w:szCs w:val="22"/>
          <w:lang w:val="fr-FR"/>
        </w:rPr>
        <w:t>es</w:t>
      </w:r>
      <w:r w:rsidRPr="0045560E">
        <w:rPr>
          <w:kern w:val="22"/>
          <w:szCs w:val="22"/>
          <w:lang w:val="fr-FR"/>
        </w:rPr>
        <w:t xml:space="preserve"> à être utilisé</w:t>
      </w:r>
      <w:r w:rsidR="00B572B4" w:rsidRPr="0045560E">
        <w:rPr>
          <w:kern w:val="22"/>
          <w:szCs w:val="22"/>
          <w:lang w:val="fr-FR"/>
        </w:rPr>
        <w:t>es</w:t>
      </w:r>
      <w:r w:rsidR="00642167">
        <w:rPr>
          <w:kern w:val="22"/>
          <w:szCs w:val="22"/>
          <w:lang w:val="fr-FR"/>
        </w:rPr>
        <w:t xml:space="preserve"> sur une base volontaire</w:t>
      </w:r>
      <w:r w:rsidR="008F2ADB" w:rsidRPr="0045560E">
        <w:rPr>
          <w:kern w:val="22"/>
          <w:szCs w:val="22"/>
          <w:lang w:val="fr-FR"/>
        </w:rPr>
        <w:t>,</w:t>
      </w:r>
    </w:p>
    <w:p w:rsidR="00676CC1" w:rsidRPr="0045560E" w:rsidRDefault="00B572B4" w:rsidP="00884866">
      <w:pPr>
        <w:pStyle w:val="Para1"/>
        <w:ind w:firstLine="720"/>
        <w:rPr>
          <w:kern w:val="22"/>
          <w:szCs w:val="22"/>
          <w:lang w:val="fr-FR"/>
        </w:rPr>
      </w:pPr>
      <w:r w:rsidRPr="0045560E">
        <w:rPr>
          <w:i/>
          <w:kern w:val="22"/>
          <w:szCs w:val="22"/>
          <w:lang w:val="fr-FR"/>
        </w:rPr>
        <w:lastRenderedPageBreak/>
        <w:t xml:space="preserve">Prend note </w:t>
      </w:r>
      <w:r w:rsidRPr="0045560E">
        <w:rPr>
          <w:kern w:val="22"/>
          <w:szCs w:val="22"/>
          <w:lang w:val="fr-FR"/>
        </w:rPr>
        <w:t xml:space="preserve">des </w:t>
      </w:r>
      <w:r w:rsidRPr="0045560E">
        <w:rPr>
          <w:kern w:val="22"/>
          <w:lang w:val="fr-FR"/>
        </w:rPr>
        <w:t>« Orientations sur l'évaluation des considérations socioéconomiques dans le contexte de l'article 26 du Protocole de Cartagena sur la prévention des risques biotechnologiques »</w:t>
      </w:r>
      <w:r w:rsidRPr="0045560E">
        <w:rPr>
          <w:rStyle w:val="FootnoteReference"/>
          <w:kern w:val="22"/>
          <w:szCs w:val="22"/>
          <w:lang w:val="fr-FR"/>
        </w:rPr>
        <w:footnoteReference w:id="1"/>
      </w:r>
      <w:r w:rsidR="00676CC1" w:rsidRPr="0045560E">
        <w:rPr>
          <w:kern w:val="22"/>
          <w:szCs w:val="22"/>
          <w:lang w:val="fr-FR"/>
        </w:rPr>
        <w:t>;</w:t>
      </w:r>
    </w:p>
    <w:p w:rsidR="00676CC1" w:rsidRPr="0045560E" w:rsidRDefault="00B572B4" w:rsidP="00884866">
      <w:pPr>
        <w:pStyle w:val="Para1"/>
        <w:ind w:firstLine="720"/>
        <w:rPr>
          <w:kern w:val="22"/>
          <w:szCs w:val="22"/>
          <w:lang w:val="fr-FR"/>
        </w:rPr>
      </w:pPr>
      <w:r w:rsidRPr="0045560E">
        <w:rPr>
          <w:i/>
          <w:kern w:val="22"/>
          <w:szCs w:val="22"/>
          <w:lang w:val="fr-FR"/>
        </w:rPr>
        <w:t xml:space="preserve">Invite </w:t>
      </w:r>
      <w:r w:rsidRPr="0045560E">
        <w:rPr>
          <w:kern w:val="22"/>
          <w:szCs w:val="22"/>
          <w:lang w:val="fr-FR"/>
        </w:rPr>
        <w:t>les Parties, les autres gouvernements, les organisations compétentes et les autres parties prenantes, selon qu</w:t>
      </w:r>
      <w:r w:rsidR="00642167">
        <w:rPr>
          <w:kern w:val="22"/>
          <w:szCs w:val="22"/>
          <w:lang w:val="fr-FR"/>
        </w:rPr>
        <w:t>'il convient</w:t>
      </w:r>
      <w:r w:rsidR="00041523">
        <w:rPr>
          <w:kern w:val="22"/>
          <w:szCs w:val="22"/>
          <w:lang w:val="fr-FR"/>
        </w:rPr>
        <w:t>, à utiliser les O</w:t>
      </w:r>
      <w:r w:rsidRPr="0045560E">
        <w:rPr>
          <w:kern w:val="22"/>
          <w:szCs w:val="22"/>
          <w:lang w:val="fr-FR"/>
        </w:rPr>
        <w:t xml:space="preserve">rientations </w:t>
      </w:r>
      <w:r w:rsidR="00041523">
        <w:rPr>
          <w:kern w:val="22"/>
          <w:szCs w:val="22"/>
          <w:lang w:val="fr-FR"/>
        </w:rPr>
        <w:t>facultatives</w:t>
      </w:r>
      <w:r w:rsidRPr="0045560E">
        <w:rPr>
          <w:kern w:val="22"/>
          <w:szCs w:val="22"/>
          <w:lang w:val="fr-FR"/>
        </w:rPr>
        <w:t xml:space="preserve"> et </w:t>
      </w:r>
      <w:r w:rsidR="006D63D2">
        <w:rPr>
          <w:kern w:val="22"/>
          <w:szCs w:val="22"/>
          <w:lang w:val="fr-FR"/>
        </w:rPr>
        <w:t xml:space="preserve">à </w:t>
      </w:r>
      <w:r w:rsidRPr="0045560E">
        <w:rPr>
          <w:kern w:val="22"/>
          <w:szCs w:val="22"/>
          <w:lang w:val="fr-FR"/>
        </w:rPr>
        <w:t>communiquer des d</w:t>
      </w:r>
      <w:r w:rsidR="00642167">
        <w:rPr>
          <w:kern w:val="22"/>
          <w:szCs w:val="22"/>
          <w:lang w:val="fr-FR"/>
        </w:rPr>
        <w:t>onnées d'expérience initiales, ainsi que</w:t>
      </w:r>
      <w:r w:rsidRPr="0045560E">
        <w:rPr>
          <w:kern w:val="22"/>
          <w:szCs w:val="22"/>
          <w:lang w:val="fr-FR"/>
        </w:rPr>
        <w:t xml:space="preserve"> des exemples de méthodes </w:t>
      </w:r>
      <w:r w:rsidR="006D63D2">
        <w:rPr>
          <w:kern w:val="22"/>
          <w:szCs w:val="22"/>
          <w:lang w:val="fr-FR"/>
        </w:rPr>
        <w:t>d’évaluation</w:t>
      </w:r>
      <w:r w:rsidRPr="0045560E">
        <w:rPr>
          <w:kern w:val="22"/>
          <w:szCs w:val="22"/>
          <w:lang w:val="fr-FR"/>
        </w:rPr>
        <w:t xml:space="preserve"> de</w:t>
      </w:r>
      <w:r w:rsidR="006D63D2">
        <w:rPr>
          <w:kern w:val="22"/>
          <w:szCs w:val="22"/>
          <w:lang w:val="fr-FR"/>
        </w:rPr>
        <w:t>s</w:t>
      </w:r>
      <w:r w:rsidRPr="0045560E">
        <w:rPr>
          <w:kern w:val="22"/>
          <w:szCs w:val="22"/>
          <w:lang w:val="fr-FR"/>
        </w:rPr>
        <w:t xml:space="preserve"> considérations socioéconomiques </w:t>
      </w:r>
      <w:r w:rsidR="006D63D2">
        <w:rPr>
          <w:kern w:val="22"/>
          <w:szCs w:val="22"/>
          <w:lang w:val="fr-FR"/>
        </w:rPr>
        <w:t xml:space="preserve">et de mise en application, </w:t>
      </w:r>
      <w:r w:rsidRPr="0045560E">
        <w:rPr>
          <w:kern w:val="22"/>
          <w:szCs w:val="22"/>
          <w:lang w:val="fr-FR"/>
        </w:rPr>
        <w:t xml:space="preserve">sur la base des </w:t>
      </w:r>
      <w:r w:rsidR="00642167">
        <w:rPr>
          <w:kern w:val="22"/>
          <w:szCs w:val="22"/>
          <w:lang w:val="fr-FR"/>
        </w:rPr>
        <w:t>éléments qui figurent dans les O</w:t>
      </w:r>
      <w:r w:rsidRPr="0045560E">
        <w:rPr>
          <w:kern w:val="22"/>
          <w:szCs w:val="22"/>
          <w:lang w:val="fr-FR"/>
        </w:rPr>
        <w:t xml:space="preserve">rientations </w:t>
      </w:r>
      <w:r w:rsidR="00642167">
        <w:rPr>
          <w:kern w:val="22"/>
          <w:szCs w:val="22"/>
          <w:lang w:val="fr-FR"/>
        </w:rPr>
        <w:t xml:space="preserve">facultatives, </w:t>
      </w:r>
      <w:r w:rsidRPr="0045560E">
        <w:rPr>
          <w:kern w:val="22"/>
          <w:szCs w:val="22"/>
          <w:lang w:val="fr-FR"/>
        </w:rPr>
        <w:t>et de préfér</w:t>
      </w:r>
      <w:r w:rsidR="00041523">
        <w:rPr>
          <w:kern w:val="22"/>
          <w:szCs w:val="22"/>
          <w:lang w:val="fr-FR"/>
        </w:rPr>
        <w:t>ence sous forme d'études de cas</w:t>
      </w:r>
      <w:r w:rsidR="00676CC1" w:rsidRPr="0045560E">
        <w:rPr>
          <w:kern w:val="22"/>
          <w:szCs w:val="22"/>
          <w:lang w:val="fr-FR"/>
        </w:rPr>
        <w:t>;</w:t>
      </w:r>
    </w:p>
    <w:p w:rsidR="00440AD3" w:rsidRPr="0045560E" w:rsidRDefault="00E446C1" w:rsidP="00884866">
      <w:pPr>
        <w:pStyle w:val="Para1"/>
        <w:ind w:firstLine="720"/>
        <w:rPr>
          <w:kern w:val="22"/>
          <w:szCs w:val="22"/>
          <w:lang w:val="fr-FR"/>
        </w:rPr>
      </w:pPr>
      <w:r>
        <w:rPr>
          <w:i/>
          <w:kern w:val="22"/>
          <w:szCs w:val="22"/>
          <w:lang w:val="fr-FR"/>
        </w:rPr>
        <w:t>Instaure</w:t>
      </w:r>
      <w:r w:rsidR="00642167">
        <w:rPr>
          <w:kern w:val="22"/>
          <w:szCs w:val="22"/>
          <w:lang w:val="fr-FR"/>
        </w:rPr>
        <w:t xml:space="preserve"> un forum en ligne</w:t>
      </w:r>
      <w:r w:rsidR="00041523">
        <w:rPr>
          <w:kern w:val="22"/>
          <w:szCs w:val="22"/>
          <w:lang w:val="fr-FR"/>
        </w:rPr>
        <w:t xml:space="preserve"> sur les considérations socio</w:t>
      </w:r>
      <w:r w:rsidR="00B572B4" w:rsidRPr="0045560E">
        <w:rPr>
          <w:kern w:val="22"/>
          <w:szCs w:val="22"/>
          <w:lang w:val="fr-FR"/>
        </w:rPr>
        <w:t xml:space="preserve">économiques </w:t>
      </w:r>
      <w:r w:rsidR="00642167">
        <w:rPr>
          <w:kern w:val="22"/>
          <w:szCs w:val="22"/>
          <w:lang w:val="fr-FR"/>
        </w:rPr>
        <w:t>dans le cadre</w:t>
      </w:r>
      <w:r w:rsidR="006D63D2">
        <w:rPr>
          <w:kern w:val="22"/>
          <w:szCs w:val="22"/>
          <w:lang w:val="fr-FR"/>
        </w:rPr>
        <w:t xml:space="preserve"> du</w:t>
      </w:r>
      <w:r w:rsidR="00B572B4" w:rsidRPr="0045560E">
        <w:rPr>
          <w:kern w:val="22"/>
          <w:szCs w:val="22"/>
          <w:lang w:val="fr-FR"/>
        </w:rPr>
        <w:t xml:space="preserve"> Centre d'échange pour la préventio</w:t>
      </w:r>
      <w:r w:rsidR="00041523">
        <w:rPr>
          <w:kern w:val="22"/>
          <w:szCs w:val="22"/>
          <w:lang w:val="fr-FR"/>
        </w:rPr>
        <w:t>n des risques biotechnologiques</w:t>
      </w:r>
      <w:r w:rsidR="00440AD3" w:rsidRPr="0045560E">
        <w:rPr>
          <w:kern w:val="22"/>
          <w:szCs w:val="22"/>
          <w:lang w:val="fr-FR"/>
        </w:rPr>
        <w:t>;</w:t>
      </w:r>
    </w:p>
    <w:p w:rsidR="00440AD3" w:rsidRPr="0045560E" w:rsidRDefault="00B572B4" w:rsidP="00884866">
      <w:pPr>
        <w:pStyle w:val="Para1"/>
        <w:ind w:firstLine="720"/>
        <w:rPr>
          <w:kern w:val="22"/>
          <w:szCs w:val="22"/>
          <w:lang w:val="fr-FR"/>
        </w:rPr>
      </w:pPr>
      <w:r w:rsidRPr="0045560E">
        <w:rPr>
          <w:i/>
          <w:kern w:val="22"/>
          <w:szCs w:val="22"/>
          <w:lang w:val="fr-FR"/>
        </w:rPr>
        <w:t>Prie</w:t>
      </w:r>
      <w:r w:rsidRPr="0045560E">
        <w:rPr>
          <w:kern w:val="22"/>
          <w:szCs w:val="22"/>
          <w:lang w:val="fr-FR"/>
        </w:rPr>
        <w:t xml:space="preserve"> la Secrétaire exécutive </w:t>
      </w:r>
      <w:r w:rsidR="00041523">
        <w:rPr>
          <w:kern w:val="22"/>
          <w:szCs w:val="22"/>
          <w:lang w:val="fr-FR"/>
        </w:rPr>
        <w:t xml:space="preserve">de : a) </w:t>
      </w:r>
      <w:r w:rsidRPr="0045560E">
        <w:rPr>
          <w:kern w:val="22"/>
          <w:szCs w:val="22"/>
          <w:lang w:val="fr-FR"/>
        </w:rPr>
        <w:t>compiler les informations communiquées en application d</w:t>
      </w:r>
      <w:r w:rsidR="00642167">
        <w:rPr>
          <w:kern w:val="22"/>
          <w:szCs w:val="22"/>
          <w:lang w:val="fr-FR"/>
        </w:rPr>
        <w:t>u paragraphe 2 ci-dessus,</w:t>
      </w:r>
      <w:r w:rsidR="00041523">
        <w:rPr>
          <w:kern w:val="22"/>
          <w:szCs w:val="22"/>
          <w:lang w:val="fr-FR"/>
        </w:rPr>
        <w:t xml:space="preserve"> b) </w:t>
      </w:r>
      <w:r w:rsidRPr="0045560E">
        <w:rPr>
          <w:kern w:val="22"/>
          <w:szCs w:val="22"/>
          <w:lang w:val="fr-FR"/>
        </w:rPr>
        <w:t xml:space="preserve">organiser des débats </w:t>
      </w:r>
      <w:r w:rsidR="00642167">
        <w:rPr>
          <w:kern w:val="22"/>
          <w:szCs w:val="22"/>
          <w:lang w:val="fr-FR"/>
        </w:rPr>
        <w:t xml:space="preserve">du forum en ligne </w:t>
      </w:r>
      <w:r w:rsidRPr="0045560E">
        <w:rPr>
          <w:kern w:val="22"/>
          <w:szCs w:val="22"/>
          <w:lang w:val="fr-FR"/>
        </w:rPr>
        <w:t>animés par un modérateur</w:t>
      </w:r>
      <w:r w:rsidR="00F53AB7">
        <w:rPr>
          <w:kern w:val="22"/>
          <w:szCs w:val="22"/>
          <w:lang w:val="fr-FR"/>
        </w:rPr>
        <w:t>, afin d’obteni</w:t>
      </w:r>
      <w:r w:rsidRPr="0045560E">
        <w:rPr>
          <w:kern w:val="22"/>
          <w:szCs w:val="22"/>
          <w:lang w:val="fr-FR"/>
        </w:rPr>
        <w:t xml:space="preserve">r des observations </w:t>
      </w:r>
      <w:r w:rsidR="00F53AB7">
        <w:rPr>
          <w:kern w:val="22"/>
          <w:szCs w:val="22"/>
          <w:lang w:val="fr-FR"/>
        </w:rPr>
        <w:t xml:space="preserve">et d’autres points de vue pour réviser </w:t>
      </w:r>
      <w:r w:rsidR="00F53AB7" w:rsidRPr="0045560E">
        <w:rPr>
          <w:kern w:val="22"/>
          <w:szCs w:val="22"/>
          <w:lang w:val="fr-FR"/>
        </w:rPr>
        <w:t>cette compilation d'informations</w:t>
      </w:r>
      <w:r w:rsidR="00F53AB7">
        <w:rPr>
          <w:kern w:val="22"/>
          <w:szCs w:val="22"/>
          <w:lang w:val="fr-FR"/>
        </w:rPr>
        <w:t>,</w:t>
      </w:r>
      <w:r w:rsidRPr="0045560E">
        <w:rPr>
          <w:kern w:val="22"/>
          <w:szCs w:val="22"/>
          <w:lang w:val="fr-FR"/>
        </w:rPr>
        <w:t xml:space="preserve"> </w:t>
      </w:r>
      <w:r w:rsidR="006D63D2">
        <w:rPr>
          <w:kern w:val="22"/>
          <w:szCs w:val="22"/>
          <w:lang w:val="fr-FR"/>
        </w:rPr>
        <w:t xml:space="preserve">et </w:t>
      </w:r>
      <w:r w:rsidR="00F53AB7">
        <w:rPr>
          <w:kern w:val="22"/>
          <w:szCs w:val="22"/>
          <w:lang w:val="fr-FR"/>
        </w:rPr>
        <w:t xml:space="preserve">c) </w:t>
      </w:r>
      <w:r w:rsidRPr="0045560E">
        <w:rPr>
          <w:kern w:val="22"/>
          <w:szCs w:val="22"/>
          <w:lang w:val="fr-FR"/>
        </w:rPr>
        <w:t>désigner, en consultation avec le Bureau de la Conférence de</w:t>
      </w:r>
      <w:r w:rsidR="00F53AB7">
        <w:rPr>
          <w:kern w:val="22"/>
          <w:szCs w:val="22"/>
          <w:lang w:val="fr-FR"/>
        </w:rPr>
        <w:t>s Parties siégeant en tant que r</w:t>
      </w:r>
      <w:r w:rsidRPr="0045560E">
        <w:rPr>
          <w:kern w:val="22"/>
          <w:szCs w:val="22"/>
          <w:lang w:val="fr-FR"/>
        </w:rPr>
        <w:t xml:space="preserve">éunion des Parties au Protocole de Cartagena, deux rapporteurs chargés de résumer les débats en ligne animés </w:t>
      </w:r>
      <w:r w:rsidR="00F53AB7">
        <w:rPr>
          <w:kern w:val="22"/>
          <w:szCs w:val="22"/>
          <w:lang w:val="fr-FR"/>
        </w:rPr>
        <w:t>par un modérateur et d’établir un rapport</w:t>
      </w:r>
      <w:r w:rsidRPr="0045560E">
        <w:rPr>
          <w:kern w:val="22"/>
          <w:szCs w:val="22"/>
          <w:lang w:val="fr-FR"/>
        </w:rPr>
        <w:t>;</w:t>
      </w:r>
    </w:p>
    <w:p w:rsidR="00251137" w:rsidRPr="0045560E" w:rsidRDefault="00FA267A" w:rsidP="00884866">
      <w:pPr>
        <w:pStyle w:val="Para1"/>
        <w:ind w:firstLine="720"/>
        <w:rPr>
          <w:kern w:val="22"/>
          <w:szCs w:val="22"/>
          <w:lang w:val="fr-FR"/>
        </w:rPr>
      </w:pPr>
      <w:r w:rsidRPr="0045560E">
        <w:rPr>
          <w:i/>
          <w:kern w:val="22"/>
          <w:szCs w:val="22"/>
          <w:lang w:val="fr-FR"/>
        </w:rPr>
        <w:t>Prolonge</w:t>
      </w:r>
      <w:r w:rsidRPr="0045560E">
        <w:rPr>
          <w:kern w:val="22"/>
          <w:szCs w:val="22"/>
          <w:lang w:val="fr-FR"/>
        </w:rPr>
        <w:t xml:space="preserve"> le mandat du Groupe spécial d'experts techniques </w:t>
      </w:r>
      <w:r w:rsidR="00041523">
        <w:rPr>
          <w:kern w:val="22"/>
          <w:szCs w:val="22"/>
          <w:lang w:val="fr-FR"/>
        </w:rPr>
        <w:t>sur les</w:t>
      </w:r>
      <w:r w:rsidRPr="0045560E">
        <w:rPr>
          <w:kern w:val="22"/>
          <w:szCs w:val="22"/>
          <w:lang w:val="fr-FR"/>
        </w:rPr>
        <w:t xml:space="preserve"> cons</w:t>
      </w:r>
      <w:r w:rsidR="00F53AB7">
        <w:rPr>
          <w:kern w:val="22"/>
          <w:szCs w:val="22"/>
          <w:lang w:val="fr-FR"/>
        </w:rPr>
        <w:t>idérations socioéconomiques, afin</w:t>
      </w:r>
      <w:r w:rsidRPr="0045560E">
        <w:rPr>
          <w:kern w:val="22"/>
          <w:szCs w:val="22"/>
          <w:lang w:val="fr-FR"/>
        </w:rPr>
        <w:t xml:space="preserve"> qu'il examine les résultats d</w:t>
      </w:r>
      <w:r w:rsidR="00E446C1">
        <w:rPr>
          <w:kern w:val="22"/>
          <w:szCs w:val="22"/>
          <w:lang w:val="fr-FR"/>
        </w:rPr>
        <w:t>es débats du</w:t>
      </w:r>
      <w:r w:rsidRPr="0045560E">
        <w:rPr>
          <w:kern w:val="22"/>
          <w:szCs w:val="22"/>
          <w:lang w:val="fr-FR"/>
        </w:rPr>
        <w:t xml:space="preserve"> forum en ligne, conformément au mandat énoncé dans l'annexe, et </w:t>
      </w:r>
      <w:r w:rsidRPr="006D63D2">
        <w:rPr>
          <w:i/>
          <w:kern w:val="22"/>
          <w:szCs w:val="22"/>
          <w:lang w:val="fr-FR"/>
        </w:rPr>
        <w:t>prie</w:t>
      </w:r>
      <w:r w:rsidRPr="0045560E">
        <w:rPr>
          <w:kern w:val="22"/>
          <w:szCs w:val="22"/>
          <w:lang w:val="fr-FR"/>
        </w:rPr>
        <w:t xml:space="preserve"> la Secrétaire exécutive, en fonction des ressources disponibles, d'organiser une r</w:t>
      </w:r>
      <w:r w:rsidR="00041523">
        <w:rPr>
          <w:kern w:val="22"/>
          <w:szCs w:val="22"/>
          <w:lang w:val="fr-FR"/>
        </w:rPr>
        <w:t>éunion en face à face du Groupe</w:t>
      </w:r>
      <w:r w:rsidR="004912D3" w:rsidRPr="0045560E">
        <w:rPr>
          <w:kern w:val="22"/>
          <w:szCs w:val="22"/>
          <w:lang w:val="fr-FR"/>
        </w:rPr>
        <w:t>;</w:t>
      </w:r>
    </w:p>
    <w:p w:rsidR="00251137" w:rsidRPr="0045560E" w:rsidRDefault="00FA267A" w:rsidP="00D961BE">
      <w:pPr>
        <w:pStyle w:val="Para1"/>
        <w:spacing w:after="240"/>
        <w:ind w:firstLine="720"/>
        <w:rPr>
          <w:kern w:val="22"/>
          <w:szCs w:val="22"/>
          <w:lang w:val="fr-FR"/>
        </w:rPr>
      </w:pPr>
      <w:r w:rsidRPr="0045560E">
        <w:rPr>
          <w:i/>
          <w:kern w:val="22"/>
          <w:szCs w:val="22"/>
          <w:lang w:val="fr-FR"/>
        </w:rPr>
        <w:t>Décide</w:t>
      </w:r>
      <w:r w:rsidRPr="0045560E">
        <w:rPr>
          <w:kern w:val="22"/>
          <w:szCs w:val="22"/>
          <w:lang w:val="fr-FR"/>
        </w:rPr>
        <w:t xml:space="preserve"> d'examiner, à sa dixième réunion, les résultats du processus décrit ci-dessus.</w:t>
      </w:r>
    </w:p>
    <w:p w:rsidR="00427D21" w:rsidRPr="0045560E" w:rsidRDefault="00427D21" w:rsidP="00251137">
      <w:pPr>
        <w:pStyle w:val="Para1"/>
        <w:numPr>
          <w:ilvl w:val="0"/>
          <w:numId w:val="0"/>
        </w:numPr>
        <w:rPr>
          <w:kern w:val="22"/>
          <w:szCs w:val="22"/>
          <w:lang w:val="fr-FR"/>
        </w:rPr>
      </w:pPr>
    </w:p>
    <w:p w:rsidR="003E1580" w:rsidRPr="0045560E" w:rsidRDefault="003E1580" w:rsidP="003E1580">
      <w:pPr>
        <w:suppressLineNumbers/>
        <w:suppressAutoHyphens/>
        <w:kinsoku w:val="0"/>
        <w:overflowPunct w:val="0"/>
        <w:autoSpaceDE w:val="0"/>
        <w:autoSpaceDN w:val="0"/>
        <w:snapToGrid w:val="0"/>
        <w:spacing w:before="120" w:after="120"/>
        <w:jc w:val="center"/>
        <w:rPr>
          <w:kern w:val="22"/>
          <w:szCs w:val="22"/>
          <w:lang w:val="fr-FR"/>
        </w:rPr>
      </w:pPr>
      <w:r w:rsidRPr="0045560E">
        <w:rPr>
          <w:i/>
          <w:kern w:val="22"/>
          <w:szCs w:val="22"/>
          <w:lang w:val="fr-FR"/>
        </w:rPr>
        <w:t>Annex</w:t>
      </w:r>
      <w:r w:rsidR="00FA267A" w:rsidRPr="0045560E">
        <w:rPr>
          <w:i/>
          <w:kern w:val="22"/>
          <w:szCs w:val="22"/>
          <w:lang w:val="fr-FR"/>
        </w:rPr>
        <w:t>e</w:t>
      </w:r>
    </w:p>
    <w:p w:rsidR="003E1580" w:rsidRPr="0045560E" w:rsidRDefault="00FA267A" w:rsidP="008951FC">
      <w:pPr>
        <w:suppressLineNumbers/>
        <w:suppressAutoHyphens/>
        <w:kinsoku w:val="0"/>
        <w:overflowPunct w:val="0"/>
        <w:autoSpaceDE w:val="0"/>
        <w:autoSpaceDN w:val="0"/>
        <w:snapToGrid w:val="0"/>
        <w:spacing w:before="120" w:after="240"/>
        <w:jc w:val="center"/>
        <w:rPr>
          <w:b/>
          <w:kern w:val="22"/>
          <w:szCs w:val="22"/>
          <w:lang w:val="fr-FR"/>
        </w:rPr>
      </w:pPr>
      <w:r w:rsidRPr="0045560E">
        <w:rPr>
          <w:b/>
          <w:kern w:val="22"/>
          <w:szCs w:val="22"/>
          <w:lang w:val="fr-FR"/>
        </w:rPr>
        <w:t>MANDAT DU GROUP</w:t>
      </w:r>
      <w:r w:rsidR="00041523">
        <w:rPr>
          <w:b/>
          <w:kern w:val="22"/>
          <w:szCs w:val="22"/>
          <w:lang w:val="fr-FR"/>
        </w:rPr>
        <w:t>E SPÉCIAL D'EXPERTS TECHNIQUES SUR L</w:t>
      </w:r>
      <w:r w:rsidRPr="0045560E">
        <w:rPr>
          <w:b/>
          <w:kern w:val="22"/>
          <w:szCs w:val="22"/>
          <w:lang w:val="fr-FR"/>
        </w:rPr>
        <w:t>ES CONSIDÉRATIONS SOCIOÉCONOMIQUES</w:t>
      </w:r>
    </w:p>
    <w:p w:rsidR="003E1580" w:rsidRPr="0045560E" w:rsidRDefault="00FA267A" w:rsidP="003E1580">
      <w:pPr>
        <w:suppressLineNumbers/>
        <w:suppressAutoHyphens/>
        <w:kinsoku w:val="0"/>
        <w:overflowPunct w:val="0"/>
        <w:autoSpaceDE w:val="0"/>
        <w:autoSpaceDN w:val="0"/>
        <w:snapToGrid w:val="0"/>
        <w:spacing w:before="120" w:after="120"/>
        <w:rPr>
          <w:kern w:val="22"/>
          <w:szCs w:val="22"/>
          <w:lang w:val="fr-FR"/>
        </w:rPr>
      </w:pPr>
      <w:r w:rsidRPr="0045560E">
        <w:rPr>
          <w:kern w:val="22"/>
          <w:szCs w:val="22"/>
          <w:lang w:val="fr-FR"/>
        </w:rPr>
        <w:t>Le Groupe</w:t>
      </w:r>
      <w:r w:rsidR="00041523">
        <w:rPr>
          <w:kern w:val="22"/>
          <w:szCs w:val="22"/>
          <w:lang w:val="fr-FR"/>
        </w:rPr>
        <w:t xml:space="preserve"> spécial d'experts techniques sur le</w:t>
      </w:r>
      <w:r w:rsidRPr="0045560E">
        <w:rPr>
          <w:kern w:val="22"/>
          <w:szCs w:val="22"/>
          <w:lang w:val="fr-FR"/>
        </w:rPr>
        <w:t xml:space="preserve">s considérations socioéconomiques </w:t>
      </w:r>
      <w:r w:rsidR="003E1580" w:rsidRPr="0045560E">
        <w:rPr>
          <w:kern w:val="22"/>
          <w:szCs w:val="22"/>
          <w:lang w:val="fr-FR"/>
        </w:rPr>
        <w:t>:</w:t>
      </w:r>
    </w:p>
    <w:p w:rsidR="003E1580" w:rsidRPr="0045560E" w:rsidRDefault="003E1580" w:rsidP="00E446C1">
      <w:pPr>
        <w:suppressLineNumbers/>
        <w:suppressAutoHyphens/>
        <w:kinsoku w:val="0"/>
        <w:overflowPunct w:val="0"/>
        <w:autoSpaceDE w:val="0"/>
        <w:autoSpaceDN w:val="0"/>
        <w:snapToGrid w:val="0"/>
        <w:spacing w:before="120" w:after="120"/>
        <w:ind w:firstLine="720"/>
        <w:rPr>
          <w:kern w:val="22"/>
          <w:szCs w:val="22"/>
          <w:lang w:val="fr-FR"/>
        </w:rPr>
      </w:pPr>
      <w:r w:rsidRPr="0045560E">
        <w:rPr>
          <w:kern w:val="22"/>
          <w:szCs w:val="22"/>
          <w:lang w:val="fr-FR"/>
        </w:rPr>
        <w:t>a)</w:t>
      </w:r>
      <w:r w:rsidRPr="0045560E">
        <w:rPr>
          <w:kern w:val="22"/>
          <w:szCs w:val="22"/>
          <w:lang w:val="fr-FR"/>
        </w:rPr>
        <w:tab/>
      </w:r>
      <w:r w:rsidR="00FA267A" w:rsidRPr="0045560E">
        <w:rPr>
          <w:kern w:val="22"/>
          <w:szCs w:val="22"/>
          <w:lang w:val="fr-FR"/>
        </w:rPr>
        <w:t>Examin</w:t>
      </w:r>
      <w:r w:rsidR="00E036EE">
        <w:rPr>
          <w:kern w:val="22"/>
          <w:szCs w:val="22"/>
          <w:lang w:val="fr-FR"/>
        </w:rPr>
        <w:t>e les communications trans</w:t>
      </w:r>
      <w:r w:rsidR="008951FC">
        <w:rPr>
          <w:kern w:val="22"/>
          <w:szCs w:val="22"/>
          <w:lang w:val="fr-FR"/>
        </w:rPr>
        <w:t>mises</w:t>
      </w:r>
      <w:r w:rsidR="00E446C1" w:rsidRPr="0045560E">
        <w:rPr>
          <w:kern w:val="22"/>
          <w:szCs w:val="22"/>
          <w:lang w:val="fr-FR"/>
        </w:rPr>
        <w:t xml:space="preserve"> </w:t>
      </w:r>
      <w:r w:rsidR="00FA267A" w:rsidRPr="0045560E">
        <w:rPr>
          <w:kern w:val="22"/>
          <w:szCs w:val="22"/>
          <w:lang w:val="fr-FR"/>
        </w:rPr>
        <w:t>en application du paragraphe 2 de la décision</w:t>
      </w:r>
      <w:r w:rsidR="00E446C1">
        <w:rPr>
          <w:kern w:val="22"/>
          <w:szCs w:val="22"/>
          <w:lang w:val="fr-FR"/>
        </w:rPr>
        <w:t> </w:t>
      </w:r>
      <w:r w:rsidR="00FA267A" w:rsidRPr="0045560E">
        <w:rPr>
          <w:kern w:val="22"/>
          <w:szCs w:val="22"/>
          <w:lang w:val="fr-FR"/>
        </w:rPr>
        <w:t>CP</w:t>
      </w:r>
      <w:r w:rsidR="00E446C1">
        <w:rPr>
          <w:kern w:val="22"/>
          <w:szCs w:val="22"/>
          <w:lang w:val="fr-FR"/>
        </w:rPr>
        <w:t>-</w:t>
      </w:r>
      <w:r w:rsidR="00041523">
        <w:rPr>
          <w:kern w:val="22"/>
          <w:szCs w:val="22"/>
          <w:lang w:val="fr-FR"/>
        </w:rPr>
        <w:t>9/14,</w:t>
      </w:r>
      <w:r w:rsidR="00FA267A" w:rsidRPr="0045560E">
        <w:rPr>
          <w:kern w:val="22"/>
          <w:szCs w:val="22"/>
          <w:lang w:val="fr-FR"/>
        </w:rPr>
        <w:t xml:space="preserve"> </w:t>
      </w:r>
      <w:r w:rsidR="00E446C1">
        <w:rPr>
          <w:kern w:val="22"/>
          <w:szCs w:val="22"/>
          <w:lang w:val="fr-FR"/>
        </w:rPr>
        <w:t>ainsi que</w:t>
      </w:r>
      <w:r w:rsidR="00FA267A" w:rsidRPr="0045560E">
        <w:rPr>
          <w:kern w:val="22"/>
          <w:szCs w:val="22"/>
          <w:lang w:val="fr-FR"/>
        </w:rPr>
        <w:t xml:space="preserve"> les résultats des discussions en ligne animées par un modérateur</w:t>
      </w:r>
      <w:r w:rsidR="00E446C1">
        <w:rPr>
          <w:kern w:val="22"/>
          <w:szCs w:val="22"/>
          <w:lang w:val="fr-FR"/>
        </w:rPr>
        <w:t>,</w:t>
      </w:r>
      <w:r w:rsidR="00FA267A" w:rsidRPr="0045560E">
        <w:rPr>
          <w:kern w:val="22"/>
          <w:szCs w:val="22"/>
          <w:lang w:val="fr-FR"/>
        </w:rPr>
        <w:t xml:space="preserve"> et utilise ces informations pour compléter les Orientations facultatives, en indiquant pour quelle étape du processus d'éval</w:t>
      </w:r>
      <w:r w:rsidR="00041523">
        <w:rPr>
          <w:kern w:val="22"/>
          <w:szCs w:val="22"/>
          <w:lang w:val="fr-FR"/>
        </w:rPr>
        <w:t>uation, comme indiqué dans les Orientations facultativ</w:t>
      </w:r>
      <w:r w:rsidR="00FA267A" w:rsidRPr="0045560E">
        <w:rPr>
          <w:kern w:val="22"/>
          <w:szCs w:val="22"/>
          <w:lang w:val="fr-FR"/>
        </w:rPr>
        <w:t>es, ces informations pourraient être pertinentes</w:t>
      </w:r>
      <w:r w:rsidRPr="0045560E">
        <w:rPr>
          <w:kern w:val="22"/>
          <w:szCs w:val="22"/>
          <w:lang w:val="fr-FR"/>
        </w:rPr>
        <w:t>;</w:t>
      </w:r>
    </w:p>
    <w:p w:rsidR="003E1580" w:rsidRPr="0045560E" w:rsidRDefault="003E1580" w:rsidP="00FA267A">
      <w:pPr>
        <w:suppressLineNumbers/>
        <w:suppressAutoHyphens/>
        <w:kinsoku w:val="0"/>
        <w:overflowPunct w:val="0"/>
        <w:autoSpaceDE w:val="0"/>
        <w:autoSpaceDN w:val="0"/>
        <w:snapToGrid w:val="0"/>
        <w:spacing w:before="120" w:after="120"/>
        <w:ind w:firstLine="720"/>
        <w:rPr>
          <w:kern w:val="22"/>
          <w:szCs w:val="22"/>
          <w:lang w:val="fr-FR"/>
        </w:rPr>
      </w:pPr>
      <w:r w:rsidRPr="0045560E">
        <w:rPr>
          <w:kern w:val="22"/>
          <w:szCs w:val="22"/>
          <w:lang w:val="fr-FR"/>
        </w:rPr>
        <w:t>b)</w:t>
      </w:r>
      <w:r w:rsidRPr="0045560E">
        <w:rPr>
          <w:kern w:val="22"/>
          <w:szCs w:val="22"/>
          <w:lang w:val="fr-FR"/>
        </w:rPr>
        <w:tab/>
      </w:r>
      <w:r w:rsidR="008951FC">
        <w:rPr>
          <w:kern w:val="22"/>
          <w:szCs w:val="22"/>
          <w:lang w:val="fr-FR"/>
        </w:rPr>
        <w:t xml:space="preserve"> Élabore</w:t>
      </w:r>
      <w:r w:rsidR="003B75B8" w:rsidRPr="0045560E">
        <w:rPr>
          <w:kern w:val="22"/>
          <w:szCs w:val="22"/>
          <w:lang w:val="fr-FR"/>
        </w:rPr>
        <w:t>, sur la base de cet exa</w:t>
      </w:r>
      <w:r w:rsidR="008951FC">
        <w:rPr>
          <w:kern w:val="22"/>
          <w:szCs w:val="22"/>
          <w:lang w:val="fr-FR"/>
        </w:rPr>
        <w:t>men, un rapport faisant état de ses travaux et présente ce rapport</w:t>
      </w:r>
      <w:r w:rsidR="003B75B8" w:rsidRPr="0045560E">
        <w:rPr>
          <w:kern w:val="22"/>
          <w:szCs w:val="22"/>
          <w:lang w:val="fr-FR"/>
        </w:rPr>
        <w:t xml:space="preserve"> à la Conférence de</w:t>
      </w:r>
      <w:r w:rsidR="00041523">
        <w:rPr>
          <w:kern w:val="22"/>
          <w:szCs w:val="22"/>
          <w:lang w:val="fr-FR"/>
        </w:rPr>
        <w:t>s Parties siégeant en tant que r</w:t>
      </w:r>
      <w:r w:rsidR="003B75B8" w:rsidRPr="0045560E">
        <w:rPr>
          <w:kern w:val="22"/>
          <w:szCs w:val="22"/>
          <w:lang w:val="fr-FR"/>
        </w:rPr>
        <w:t>éunion des Parties au Protocole de Cartagena</w:t>
      </w:r>
      <w:r w:rsidR="00041523">
        <w:rPr>
          <w:kern w:val="22"/>
          <w:szCs w:val="22"/>
          <w:lang w:val="fr-FR"/>
        </w:rPr>
        <w:t>,</w:t>
      </w:r>
      <w:r w:rsidR="003B75B8" w:rsidRPr="0045560E">
        <w:rPr>
          <w:kern w:val="22"/>
          <w:szCs w:val="22"/>
          <w:lang w:val="fr-FR"/>
        </w:rPr>
        <w:t xml:space="preserve"> pour examen à sa dixième réunion.</w:t>
      </w:r>
    </w:p>
    <w:p w:rsidR="00251137" w:rsidRPr="0045560E" w:rsidRDefault="00251137" w:rsidP="00331FDE">
      <w:pPr>
        <w:pStyle w:val="Para1"/>
        <w:numPr>
          <w:ilvl w:val="0"/>
          <w:numId w:val="0"/>
        </w:numPr>
        <w:rPr>
          <w:kern w:val="22"/>
          <w:szCs w:val="22"/>
          <w:lang w:val="fr-FR"/>
        </w:rPr>
      </w:pPr>
    </w:p>
    <w:p w:rsidR="00C9161D" w:rsidRPr="0045560E" w:rsidRDefault="00C9161D" w:rsidP="00676CC1">
      <w:pPr>
        <w:jc w:val="center"/>
        <w:rPr>
          <w:kern w:val="22"/>
          <w:szCs w:val="22"/>
          <w:lang w:val="fr-FR"/>
        </w:rPr>
      </w:pPr>
      <w:r w:rsidRPr="0045560E">
        <w:rPr>
          <w:kern w:val="22"/>
          <w:szCs w:val="22"/>
          <w:lang w:val="fr-FR"/>
        </w:rPr>
        <w:t>______</w:t>
      </w:r>
      <w:r w:rsidR="00A60C29" w:rsidRPr="0045560E">
        <w:rPr>
          <w:kern w:val="22"/>
          <w:szCs w:val="22"/>
          <w:lang w:val="fr-FR"/>
        </w:rPr>
        <w:t>____</w:t>
      </w:r>
    </w:p>
    <w:p w:rsidR="00B3369F" w:rsidRPr="0045560E" w:rsidRDefault="00B3369F" w:rsidP="00676CC1">
      <w:pPr>
        <w:rPr>
          <w:kern w:val="22"/>
          <w:szCs w:val="22"/>
          <w:lang w:val="fr-FR"/>
        </w:rPr>
      </w:pPr>
    </w:p>
    <w:sectPr w:rsidR="00B3369F" w:rsidRPr="0045560E" w:rsidSect="009C200D">
      <w:headerReference w:type="even" r:id="rId15"/>
      <w:headerReference w:type="default" r:id="rId16"/>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297F" w:rsidRDefault="0034297F" w:rsidP="00CF1848">
      <w:r>
        <w:separator/>
      </w:r>
    </w:p>
  </w:endnote>
  <w:endnote w:type="continuationSeparator" w:id="0">
    <w:p w:rsidR="0034297F" w:rsidRDefault="0034297F"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297F" w:rsidRDefault="0034297F" w:rsidP="00CF1848">
      <w:r>
        <w:separator/>
      </w:r>
    </w:p>
  </w:footnote>
  <w:footnote w:type="continuationSeparator" w:id="0">
    <w:p w:rsidR="0034297F" w:rsidRDefault="0034297F" w:rsidP="00CF1848">
      <w:r>
        <w:continuationSeparator/>
      </w:r>
    </w:p>
  </w:footnote>
  <w:footnote w:id="1">
    <w:p w:rsidR="00B572B4" w:rsidRPr="00E446C1" w:rsidRDefault="00B572B4" w:rsidP="00B572B4">
      <w:pPr>
        <w:pStyle w:val="FootnoteText"/>
        <w:ind w:firstLine="0"/>
        <w:rPr>
          <w:lang w:val="fr-FR"/>
        </w:rPr>
      </w:pPr>
      <w:r w:rsidRPr="00E446C1">
        <w:rPr>
          <w:rStyle w:val="FootnoteReference"/>
          <w:lang w:val="fr-FR"/>
        </w:rPr>
        <w:footnoteRef/>
      </w:r>
      <w:r w:rsidR="00992083">
        <w:rPr>
          <w:lang w:val="fr-FR"/>
        </w:rPr>
        <w:t xml:space="preserve"> Figurant à l’</w:t>
      </w:r>
      <w:r w:rsidR="00E446C1" w:rsidRPr="00E446C1">
        <w:rPr>
          <w:lang w:val="fr-FR"/>
        </w:rPr>
        <w:t>annexe du document CBD/CP/MOP/9/10.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kern w:val="22"/>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rsidR="00534681" w:rsidRPr="00041523" w:rsidRDefault="00041523" w:rsidP="00884866">
        <w:pPr>
          <w:pStyle w:val="Header"/>
          <w:tabs>
            <w:tab w:val="clear" w:pos="4320"/>
            <w:tab w:val="clear" w:pos="8640"/>
          </w:tabs>
          <w:jc w:val="left"/>
          <w:rPr>
            <w:noProof/>
            <w:kern w:val="22"/>
            <w:lang w:val="fr-FR"/>
          </w:rPr>
        </w:pPr>
        <w:r>
          <w:rPr>
            <w:noProof/>
            <w:kern w:val="22"/>
            <w:lang w:val="fr-FR"/>
          </w:rPr>
          <w:t>CBD/CP/MOP/DEC/9/14</w:t>
        </w:r>
      </w:p>
    </w:sdtContent>
  </w:sdt>
  <w:p w:rsidR="00534681" w:rsidRPr="00041523" w:rsidRDefault="00534681" w:rsidP="00884866">
    <w:pPr>
      <w:pStyle w:val="Header"/>
      <w:tabs>
        <w:tab w:val="clear" w:pos="4320"/>
        <w:tab w:val="clear" w:pos="8640"/>
      </w:tabs>
      <w:jc w:val="left"/>
      <w:rPr>
        <w:noProof/>
        <w:kern w:val="22"/>
        <w:lang w:val="fr-FR"/>
      </w:rPr>
    </w:pPr>
    <w:r w:rsidRPr="00041523">
      <w:rPr>
        <w:noProof/>
        <w:kern w:val="22"/>
        <w:lang w:val="fr-FR"/>
      </w:rPr>
      <w:t xml:space="preserve">Page </w:t>
    </w:r>
    <w:r w:rsidR="00904798" w:rsidRPr="00884866">
      <w:rPr>
        <w:noProof/>
        <w:kern w:val="22"/>
      </w:rPr>
      <w:fldChar w:fldCharType="begin"/>
    </w:r>
    <w:r w:rsidRPr="00041523">
      <w:rPr>
        <w:noProof/>
        <w:kern w:val="22"/>
        <w:lang w:val="fr-FR"/>
      </w:rPr>
      <w:instrText xml:space="preserve"> PAGE   \* MERGEFORMAT </w:instrText>
    </w:r>
    <w:r w:rsidR="00904798" w:rsidRPr="00884866">
      <w:rPr>
        <w:noProof/>
        <w:kern w:val="22"/>
      </w:rPr>
      <w:fldChar w:fldCharType="separate"/>
    </w:r>
    <w:r w:rsidR="00E036EE">
      <w:rPr>
        <w:noProof/>
        <w:kern w:val="22"/>
        <w:lang w:val="fr-FR"/>
      </w:rPr>
      <w:t>2</w:t>
    </w:r>
    <w:r w:rsidR="00904798" w:rsidRPr="00884866">
      <w:rPr>
        <w:noProof/>
        <w:kern w:val="22"/>
      </w:rPr>
      <w:fldChar w:fldCharType="end"/>
    </w:r>
  </w:p>
  <w:p w:rsidR="00534681" w:rsidRPr="00041523" w:rsidRDefault="00534681" w:rsidP="00884866">
    <w:pPr>
      <w:pStyle w:val="Header"/>
      <w:tabs>
        <w:tab w:val="clear" w:pos="4320"/>
        <w:tab w:val="clear" w:pos="8640"/>
      </w:tabs>
      <w:jc w:val="left"/>
      <w:rPr>
        <w:noProof/>
        <w:kern w:val="22"/>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rsidR="009505C9" w:rsidRPr="00041523" w:rsidRDefault="00041523" w:rsidP="009505C9">
        <w:pPr>
          <w:pStyle w:val="Header"/>
          <w:jc w:val="right"/>
          <w:rPr>
            <w:lang w:val="fr-FR"/>
          </w:rPr>
        </w:pPr>
        <w:r>
          <w:rPr>
            <w:lang w:val="fr-FR"/>
          </w:rPr>
          <w:t>CBD/CP/MOP/DEC/9/14</w:t>
        </w:r>
      </w:p>
    </w:sdtContent>
  </w:sdt>
  <w:p w:rsidR="009505C9" w:rsidRPr="00000614" w:rsidRDefault="009505C9" w:rsidP="009505C9">
    <w:pPr>
      <w:pStyle w:val="Header"/>
      <w:jc w:val="right"/>
      <w:rPr>
        <w:lang w:val="fr-FR"/>
      </w:rPr>
    </w:pPr>
    <w:r w:rsidRPr="00000614">
      <w:rPr>
        <w:lang w:val="fr-FR"/>
      </w:rPr>
      <w:t xml:space="preserve">Page </w:t>
    </w:r>
    <w:r w:rsidR="00904798">
      <w:fldChar w:fldCharType="begin"/>
    </w:r>
    <w:r w:rsidRPr="00000614">
      <w:rPr>
        <w:lang w:val="fr-FR"/>
      </w:rPr>
      <w:instrText xml:space="preserve"> PAGE   \* MERGEFORMAT </w:instrText>
    </w:r>
    <w:r w:rsidR="00904798">
      <w:fldChar w:fldCharType="separate"/>
    </w:r>
    <w:r w:rsidR="009C200D" w:rsidRPr="00000614">
      <w:rPr>
        <w:noProof/>
        <w:lang w:val="fr-FR"/>
      </w:rPr>
      <w:t>1</w:t>
    </w:r>
    <w:r w:rsidR="00904798">
      <w:rPr>
        <w:noProof/>
      </w:rPr>
      <w:fldChar w:fldCharType="end"/>
    </w:r>
  </w:p>
  <w:p w:rsidR="009505C9" w:rsidRPr="00000614" w:rsidRDefault="009505C9">
    <w:pPr>
      <w:pStyle w:val="Heade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67868"/>
    <w:multiLevelType w:val="hybridMultilevel"/>
    <w:tmpl w:val="D916D63A"/>
    <w:lvl w:ilvl="0" w:tplc="29109CA6">
      <w:start w:val="1"/>
      <w:numFmt w:val="decimal"/>
      <w:lvlText w:val="%1."/>
      <w:lvlJc w:val="left"/>
      <w:pPr>
        <w:ind w:left="644" w:hanging="360"/>
      </w:pPr>
      <w:rPr>
        <w:rFonts w:ascii="Times New Roman" w:eastAsia="Times New Roman" w:hAnsi="Times New Roman" w:cs="Times New Roman"/>
        <w:b w:val="0"/>
        <w:i w:val="0"/>
      </w:rPr>
    </w:lvl>
    <w:lvl w:ilvl="1" w:tplc="133C4270">
      <w:start w:val="1"/>
      <w:numFmt w:val="lowerLetter"/>
      <w:lvlText w:val="(%2)"/>
      <w:lvlJc w:val="left"/>
      <w:pPr>
        <w:ind w:left="1364" w:hanging="360"/>
      </w:pPr>
      <w:rPr>
        <w:rFonts w:hint="default"/>
        <w:b w:val="0"/>
        <w:i w:val="0"/>
      </w:rPr>
    </w:lvl>
    <w:lvl w:ilvl="2" w:tplc="1009001B">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1"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2F2D03A2"/>
    <w:multiLevelType w:val="hybridMultilevel"/>
    <w:tmpl w:val="230AA08E"/>
    <w:lvl w:ilvl="0" w:tplc="8F261AF2">
      <w:start w:val="1"/>
      <w:numFmt w:val="lowerLetter"/>
      <w:lvlText w:val="(%1)"/>
      <w:lvlJc w:val="left"/>
      <w:pPr>
        <w:ind w:left="1800" w:hanging="360"/>
      </w:pPr>
      <w:rPr>
        <w:rFonts w:hint="default"/>
        <w:b w:val="0"/>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6"/>
  </w:num>
  <w:num w:numId="4">
    <w:abstractNumId w:val="8"/>
  </w:num>
  <w:num w:numId="5">
    <w:abstractNumId w:val="7"/>
  </w:num>
  <w:num w:numId="6">
    <w:abstractNumId w:val="1"/>
  </w:num>
  <w:num w:numId="7">
    <w:abstractNumId w:val="3"/>
  </w:num>
  <w:num w:numId="8">
    <w:abstractNumId w:val="6"/>
    <w:lvlOverride w:ilvl="0">
      <w:startOverride w:val="1"/>
    </w:lvlOverride>
  </w:num>
  <w:num w:numId="9">
    <w:abstractNumId w:val="11"/>
  </w:num>
  <w:num w:numId="10">
    <w:abstractNumId w:val="6"/>
    <w:lvlOverride w:ilvl="0">
      <w:startOverride w:val="1"/>
    </w:lvlOverride>
  </w:num>
  <w:num w:numId="11">
    <w:abstractNumId w:val="6"/>
    <w:lvlOverride w:ilvl="0">
      <w:startOverride w:val="1"/>
    </w:lvlOverride>
  </w:num>
  <w:num w:numId="12">
    <w:abstractNumId w:val="6"/>
    <w:lvlOverride w:ilvl="0">
      <w:startOverride w:val="1"/>
    </w:lvlOverride>
  </w:num>
  <w:num w:numId="13">
    <w:abstractNumId w:val="6"/>
    <w:lvlOverride w:ilvl="0">
      <w:startOverride w:val="1"/>
    </w:lvlOverride>
  </w:num>
  <w:num w:numId="14">
    <w:abstractNumId w:val="10"/>
  </w:num>
  <w:num w:numId="15">
    <w:abstractNumId w:val="9"/>
  </w:num>
  <w:num w:numId="16">
    <w:abstractNumId w:val="2"/>
  </w:num>
  <w:num w:numId="17">
    <w:abstractNumId w:val="12"/>
  </w:num>
  <w:num w:numId="18">
    <w:abstractNumId w:val="13"/>
  </w:num>
  <w:num w:numId="19">
    <w:abstractNumId w:val="0"/>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oNotDisplayPageBoundaries/>
  <w:activeWritingStyle w:appName="MSWord" w:lang="fr-FR" w:vendorID="64" w:dllVersion="6" w:nlCheck="1" w:checkStyle="1"/>
  <w:activeWritingStyle w:appName="MSWord" w:lang="en-CA" w:vendorID="64" w:dllVersion="6" w:nlCheck="1" w:checkStyle="1"/>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fr-FR" w:vendorID="64" w:dllVersion="4096" w:nlCheck="1" w:checkStyle="0"/>
  <w:activeWritingStyle w:appName="MSWord" w:lang="fr-FR" w:vendorID="64" w:dllVersion="131078" w:nlCheck="1" w:checkStyle="1"/>
  <w:activeWritingStyle w:appName="MSWord" w:lang="en-GB" w:vendorID="64" w:dllVersion="131078" w:nlCheck="1" w:checkStyle="1"/>
  <w:activeWritingStyle w:appName="MSWord" w:lang="en-AU" w:vendorID="64" w:dllVersion="131078" w:nlCheck="1" w:checkStyle="1"/>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1D"/>
    <w:rsid w:val="00000614"/>
    <w:rsid w:val="00017A01"/>
    <w:rsid w:val="00041523"/>
    <w:rsid w:val="0004663B"/>
    <w:rsid w:val="000804E6"/>
    <w:rsid w:val="000D19D8"/>
    <w:rsid w:val="000E4044"/>
    <w:rsid w:val="000E673A"/>
    <w:rsid w:val="000F74F5"/>
    <w:rsid w:val="00105372"/>
    <w:rsid w:val="00131E7A"/>
    <w:rsid w:val="001372FB"/>
    <w:rsid w:val="001701CA"/>
    <w:rsid w:val="00172AF6"/>
    <w:rsid w:val="00176CEE"/>
    <w:rsid w:val="00251137"/>
    <w:rsid w:val="00270FDC"/>
    <w:rsid w:val="002B784E"/>
    <w:rsid w:val="002D7E41"/>
    <w:rsid w:val="00331FDE"/>
    <w:rsid w:val="00340509"/>
    <w:rsid w:val="0034297F"/>
    <w:rsid w:val="00372F74"/>
    <w:rsid w:val="003A59CC"/>
    <w:rsid w:val="003B75B8"/>
    <w:rsid w:val="003C7054"/>
    <w:rsid w:val="003E1580"/>
    <w:rsid w:val="003E2C2B"/>
    <w:rsid w:val="003E6470"/>
    <w:rsid w:val="003F7224"/>
    <w:rsid w:val="00402F24"/>
    <w:rsid w:val="00405146"/>
    <w:rsid w:val="0042412C"/>
    <w:rsid w:val="00425097"/>
    <w:rsid w:val="00427D21"/>
    <w:rsid w:val="00440AD3"/>
    <w:rsid w:val="00447A62"/>
    <w:rsid w:val="0045560E"/>
    <w:rsid w:val="004644C2"/>
    <w:rsid w:val="00467F9C"/>
    <w:rsid w:val="004912D3"/>
    <w:rsid w:val="00493D8B"/>
    <w:rsid w:val="00534681"/>
    <w:rsid w:val="0054402A"/>
    <w:rsid w:val="005A17D4"/>
    <w:rsid w:val="006122BA"/>
    <w:rsid w:val="0061445E"/>
    <w:rsid w:val="006370D2"/>
    <w:rsid w:val="00642167"/>
    <w:rsid w:val="00676CC1"/>
    <w:rsid w:val="006B2290"/>
    <w:rsid w:val="006D63D2"/>
    <w:rsid w:val="006E2ADF"/>
    <w:rsid w:val="006F1189"/>
    <w:rsid w:val="00717D88"/>
    <w:rsid w:val="00742678"/>
    <w:rsid w:val="007942D3"/>
    <w:rsid w:val="007A3496"/>
    <w:rsid w:val="007A5B6C"/>
    <w:rsid w:val="007B6C09"/>
    <w:rsid w:val="007D5360"/>
    <w:rsid w:val="007E09DA"/>
    <w:rsid w:val="00817392"/>
    <w:rsid w:val="008178B6"/>
    <w:rsid w:val="00865B74"/>
    <w:rsid w:val="00877A72"/>
    <w:rsid w:val="00884866"/>
    <w:rsid w:val="008951FC"/>
    <w:rsid w:val="008F2ADB"/>
    <w:rsid w:val="00904798"/>
    <w:rsid w:val="00911D31"/>
    <w:rsid w:val="0092616D"/>
    <w:rsid w:val="00930BA1"/>
    <w:rsid w:val="0093169E"/>
    <w:rsid w:val="009505C9"/>
    <w:rsid w:val="00957FFB"/>
    <w:rsid w:val="00983E20"/>
    <w:rsid w:val="00992083"/>
    <w:rsid w:val="009C200D"/>
    <w:rsid w:val="00A60C29"/>
    <w:rsid w:val="00A72E2E"/>
    <w:rsid w:val="00AB0542"/>
    <w:rsid w:val="00B26FC2"/>
    <w:rsid w:val="00B3369F"/>
    <w:rsid w:val="00B3390D"/>
    <w:rsid w:val="00B3515B"/>
    <w:rsid w:val="00B50546"/>
    <w:rsid w:val="00B554C0"/>
    <w:rsid w:val="00B572B4"/>
    <w:rsid w:val="00BD3A1F"/>
    <w:rsid w:val="00C54752"/>
    <w:rsid w:val="00C70770"/>
    <w:rsid w:val="00C9161D"/>
    <w:rsid w:val="00C91B6C"/>
    <w:rsid w:val="00CD33BD"/>
    <w:rsid w:val="00CF1848"/>
    <w:rsid w:val="00D12044"/>
    <w:rsid w:val="00D50FB2"/>
    <w:rsid w:val="00D76A18"/>
    <w:rsid w:val="00D961BE"/>
    <w:rsid w:val="00DC5BE6"/>
    <w:rsid w:val="00DD118C"/>
    <w:rsid w:val="00DE3F2C"/>
    <w:rsid w:val="00DF574B"/>
    <w:rsid w:val="00E036EE"/>
    <w:rsid w:val="00E446C1"/>
    <w:rsid w:val="00E66235"/>
    <w:rsid w:val="00E83C24"/>
    <w:rsid w:val="00E86348"/>
    <w:rsid w:val="00E9318D"/>
    <w:rsid w:val="00EB3D5B"/>
    <w:rsid w:val="00EB52E8"/>
    <w:rsid w:val="00F10433"/>
    <w:rsid w:val="00F45512"/>
    <w:rsid w:val="00F53AB7"/>
    <w:rsid w:val="00F94774"/>
    <w:rsid w:val="00FA1D55"/>
    <w:rsid w:val="00FA267A"/>
    <w:rsid w:val="00FA2F6B"/>
    <w:rsid w:val="00FC53DB"/>
    <w:rsid w:val="00FC6992"/>
    <w:rsid w:val="00FD6918"/>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3731BA3E-A4D0-4346-8A97-E93969E20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uiPriority w:val="99"/>
    <w:semiHidden/>
    <w:rsid w:val="007E09DA"/>
    <w:rPr>
      <w:sz w:val="16"/>
    </w:rPr>
  </w:style>
  <w:style w:type="paragraph" w:styleId="CommentText">
    <w:name w:val="annotation text"/>
    <w:basedOn w:val="Normal"/>
    <w:link w:val="CommentTextChar"/>
    <w:uiPriority w:val="99"/>
    <w:rsid w:val="007E09DA"/>
    <w:pPr>
      <w:spacing w:after="120" w:line="240" w:lineRule="exact"/>
    </w:pPr>
  </w:style>
  <w:style w:type="character" w:customStyle="1" w:styleId="CommentTextChar">
    <w:name w:val="Comment Text Char"/>
    <w:basedOn w:val="DefaultParagraphFont"/>
    <w:link w:val="CommentText"/>
    <w:uiPriority w:val="99"/>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A72E2E"/>
    <w:pPr>
      <w:spacing w:after="160" w:line="240" w:lineRule="exact"/>
      <w:jc w:val="left"/>
    </w:pPr>
    <w:rPr>
      <w:rFonts w:asciiTheme="minorHAnsi" w:eastAsiaTheme="minorEastAsia" w:hAnsiTheme="minorHAnsi" w:cstheme="minorBidi"/>
      <w:vertAlign w:val="superscript"/>
      <w:lang w:val="fr-CA"/>
    </w:rPr>
  </w:style>
  <w:style w:type="character" w:customStyle="1" w:styleId="Para1Char1">
    <w:name w:val="Para1 Char1"/>
    <w:rsid w:val="00676CC1"/>
    <w:rPr>
      <w:rFonts w:cs="Angsana New"/>
      <w:snapToGrid w:val="0"/>
      <w:sz w:val="22"/>
      <w:szCs w:val="18"/>
      <w:lang w:val="en-GB"/>
    </w:rPr>
  </w:style>
  <w:style w:type="character" w:customStyle="1" w:styleId="Mentionnonrsolue1">
    <w:name w:val="Mention non résolue1"/>
    <w:basedOn w:val="DefaultParagraphFont"/>
    <w:uiPriority w:val="99"/>
    <w:semiHidden/>
    <w:unhideWhenUsed/>
    <w:rsid w:val="00FA2F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50662">
      <w:bodyDiv w:val="1"/>
      <w:marLeft w:val="0"/>
      <w:marRight w:val="0"/>
      <w:marTop w:val="0"/>
      <w:marBottom w:val="0"/>
      <w:divBdr>
        <w:top w:val="none" w:sz="0" w:space="0" w:color="auto"/>
        <w:left w:val="none" w:sz="0" w:space="0" w:color="auto"/>
        <w:bottom w:val="none" w:sz="0" w:space="0" w:color="auto"/>
        <w:right w:val="none" w:sz="0" w:space="0" w:color="auto"/>
      </w:divBdr>
    </w:div>
    <w:div w:id="33969088">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12025934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bd.int/doc/decisions/mop-07/mop-07-dec-13-fr.pdf" TargetMode="Externa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cbd.int/decision/mop/default.shtml?id=1324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s://www.cbd.int/doc/decisions/mop-08/mop-08-dec-13-fr.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34CB42CB7A144D2B81F5D0AC4CCB7F6E"/>
        <w:category>
          <w:name w:val="Général"/>
          <w:gallery w:val="placeholder"/>
        </w:category>
        <w:types>
          <w:type w:val="bbPlcHdr"/>
        </w:types>
        <w:behaviors>
          <w:behavior w:val="content"/>
        </w:behaviors>
        <w:guid w:val="{4CD57B09-4092-4705-85CF-75CE1A9C65EC}"/>
      </w:docPartPr>
      <w:docPartBody>
        <w:p w:rsidR="007579BB" w:rsidRDefault="009B0F62" w:rsidP="009B0F62">
          <w:pPr>
            <w:pStyle w:val="34CB42CB7A144D2B81F5D0AC4CCB7F6E"/>
          </w:pPr>
          <w:r>
            <w:rPr>
              <w:rStyle w:val="PlaceholderText"/>
            </w:rPr>
            <w:t>[Status]</w:t>
          </w:r>
        </w:p>
      </w:docPartBody>
    </w:docPart>
    <w:docPart>
      <w:docPartPr>
        <w:name w:val="BAD69FDD8E4E4CB886DAF50A643EF1FB"/>
        <w:category>
          <w:name w:val="Général"/>
          <w:gallery w:val="placeholder"/>
        </w:category>
        <w:types>
          <w:type w:val="bbPlcHdr"/>
        </w:types>
        <w:behaviors>
          <w:behavior w:val="content"/>
        </w:behaviors>
        <w:guid w:val="{31BAB8BF-7F85-442D-BFFD-1C047F5FFFF9}"/>
      </w:docPartPr>
      <w:docPartBody>
        <w:p w:rsidR="007579BB" w:rsidRDefault="009B0F62" w:rsidP="009B0F62">
          <w:pPr>
            <w:pStyle w:val="BAD69FDD8E4E4CB886DAF50A643EF1FB"/>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hyphenationZone w:val="425"/>
  <w:characterSpacingControl w:val="doNotCompress"/>
  <w:compat>
    <w:useFELayout/>
    <w:compatSetting w:name="compatibilityMode" w:uri="http://schemas.microsoft.com/office/word" w:val="12"/>
  </w:compat>
  <w:rsids>
    <w:rsidRoot w:val="00810A55"/>
    <w:rsid w:val="00261E9A"/>
    <w:rsid w:val="00317DA5"/>
    <w:rsid w:val="00456AB0"/>
    <w:rsid w:val="00500A2B"/>
    <w:rsid w:val="0058288D"/>
    <w:rsid w:val="005D1AC1"/>
    <w:rsid w:val="006801B3"/>
    <w:rsid w:val="00720F63"/>
    <w:rsid w:val="007579BB"/>
    <w:rsid w:val="007F1B76"/>
    <w:rsid w:val="00810A55"/>
    <w:rsid w:val="008C6619"/>
    <w:rsid w:val="008D2C2A"/>
    <w:rsid w:val="008D420E"/>
    <w:rsid w:val="009515AD"/>
    <w:rsid w:val="0098642F"/>
    <w:rsid w:val="009B0F62"/>
    <w:rsid w:val="00A2150A"/>
    <w:rsid w:val="00A34133"/>
    <w:rsid w:val="00AF5F02"/>
    <w:rsid w:val="00CE6602"/>
    <w:rsid w:val="00DF340E"/>
    <w:rsid w:val="00E05294"/>
    <w:rsid w:val="00FB1F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2C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B0F62"/>
  </w:style>
  <w:style w:type="paragraph" w:customStyle="1" w:styleId="C444DEE40D7C456B82AF1A09CD132ABF">
    <w:name w:val="C444DEE40D7C456B82AF1A09CD132ABF"/>
    <w:rsid w:val="00CE6602"/>
    <w:pPr>
      <w:spacing w:after="160" w:line="259" w:lineRule="auto"/>
    </w:pPr>
  </w:style>
  <w:style w:type="paragraph" w:customStyle="1" w:styleId="2BCC674BC51343BE89CC844E7A2AF5A7">
    <w:name w:val="2BCC674BC51343BE89CC844E7A2AF5A7"/>
    <w:rsid w:val="00DF340E"/>
    <w:pPr>
      <w:spacing w:after="160" w:line="259" w:lineRule="auto"/>
    </w:pPr>
    <w:rPr>
      <w:lang w:val="en-CA" w:eastAsia="en-CA"/>
    </w:rPr>
  </w:style>
  <w:style w:type="paragraph" w:customStyle="1" w:styleId="34CB42CB7A144D2B81F5D0AC4CCB7F6E">
    <w:name w:val="34CB42CB7A144D2B81F5D0AC4CCB7F6E"/>
    <w:rsid w:val="009B0F62"/>
    <w:pPr>
      <w:spacing w:after="160" w:line="259" w:lineRule="auto"/>
    </w:pPr>
    <w:rPr>
      <w:lang w:val="fr-FR" w:eastAsia="fr-FR"/>
    </w:rPr>
  </w:style>
  <w:style w:type="paragraph" w:customStyle="1" w:styleId="FF3D9643F7274BBF8FE7ADF1AA37FB37">
    <w:name w:val="FF3D9643F7274BBF8FE7ADF1AA37FB37"/>
    <w:rsid w:val="009B0F62"/>
    <w:pPr>
      <w:spacing w:after="160" w:line="259" w:lineRule="auto"/>
    </w:pPr>
    <w:rPr>
      <w:lang w:val="fr-FR" w:eastAsia="fr-FR"/>
    </w:rPr>
  </w:style>
  <w:style w:type="paragraph" w:customStyle="1" w:styleId="2EC81D64926A4A6786707358ACC5C440">
    <w:name w:val="2EC81D64926A4A6786707358ACC5C440"/>
    <w:rsid w:val="009B0F62"/>
    <w:pPr>
      <w:spacing w:after="160" w:line="259" w:lineRule="auto"/>
    </w:pPr>
    <w:rPr>
      <w:lang w:val="fr-FR" w:eastAsia="fr-FR"/>
    </w:rPr>
  </w:style>
  <w:style w:type="paragraph" w:customStyle="1" w:styleId="31D5AB8F0569472B8A8C08A8AB36B28B">
    <w:name w:val="31D5AB8F0569472B8A8C08A8AB36B28B"/>
    <w:rsid w:val="009B0F62"/>
    <w:pPr>
      <w:spacing w:after="160" w:line="259" w:lineRule="auto"/>
    </w:pPr>
    <w:rPr>
      <w:lang w:val="fr-FR" w:eastAsia="fr-FR"/>
    </w:rPr>
  </w:style>
  <w:style w:type="paragraph" w:customStyle="1" w:styleId="C2CF39727A024224A9B588699C635B6B">
    <w:name w:val="C2CF39727A024224A9B588699C635B6B"/>
    <w:rsid w:val="009B0F62"/>
    <w:pPr>
      <w:spacing w:after="160" w:line="259" w:lineRule="auto"/>
    </w:pPr>
    <w:rPr>
      <w:lang w:val="fr-FR" w:eastAsia="fr-FR"/>
    </w:rPr>
  </w:style>
  <w:style w:type="paragraph" w:customStyle="1" w:styleId="BAD69FDD8E4E4CB886DAF50A643EF1FB">
    <w:name w:val="BAD69FDD8E4E4CB886DAF50A643EF1FB"/>
    <w:rsid w:val="009B0F62"/>
    <w:pPr>
      <w:spacing w:after="160" w:line="259" w:lineRule="auto"/>
    </w:pPr>
    <w:rPr>
      <w:lang w:val="fr-FR" w:eastAsia="fr-FR"/>
    </w:rPr>
  </w:style>
  <w:style w:type="paragraph" w:customStyle="1" w:styleId="BAE0B9F4B70846FDAF0A3042E2824903">
    <w:name w:val="BAE0B9F4B70846FDAF0A3042E2824903"/>
    <w:rsid w:val="009B0F62"/>
    <w:pPr>
      <w:spacing w:after="160" w:line="259" w:lineRule="auto"/>
    </w:pPr>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2871462-A441-4994-B9D8-62FCED3F5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794</Words>
  <Characters>4368</Characters>
  <Application>Microsoft Office Word</Application>
  <DocSecurity>0</DocSecurity>
  <Lines>36</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9/14.      Considérations socioéconomiques (article 26)</vt:lpstr>
      <vt:lpstr>ConsidÉrations socioÉconomiques (Article 26)</vt:lpstr>
    </vt:vector>
  </TitlesOfParts>
  <Company>SCBD</Company>
  <LinksUpToDate>false</LinksUpToDate>
  <CharactersWithSpaces>5152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9/14.      Considérations socioéconomiques (article 26)</dc:title>
  <dc:subject>CBD/CP/MOP/DEC/9/14</dc:subject>
  <dc:creator>CP-MOP</dc:creator>
  <cp:keywords>Convention on Biological Diversity, Cartagena Protocol on Biosafety, Socio-economic considerations (Article 26)</cp:keywords>
  <cp:lastModifiedBy>Finn Kinley</cp:lastModifiedBy>
  <cp:revision>13</cp:revision>
  <cp:lastPrinted>2018-11-27T18:46:00Z</cp:lastPrinted>
  <dcterms:created xsi:type="dcterms:W3CDTF">2018-11-28T11:20:00Z</dcterms:created>
  <dcterms:modified xsi:type="dcterms:W3CDTF">2019-02-13T23:16:00Z</dcterms:modified>
  <cp:contentStatus>GENERALE</cp:contentStatus>
</cp:coreProperties>
</file>