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78" w:type="dxa"/>
        <w:tblBorders>
          <w:bottom w:val="single" w:sz="30" w:space="0" w:color="000000"/>
        </w:tblBorders>
        <w:tblLayout w:type="fixed"/>
        <w:tblLook w:val="0000" w:firstRow="0" w:lastRow="0" w:firstColumn="0" w:lastColumn="0" w:noHBand="0" w:noVBand="0"/>
      </w:tblPr>
      <w:tblGrid>
        <w:gridCol w:w="17"/>
        <w:gridCol w:w="980"/>
        <w:gridCol w:w="1260"/>
        <w:gridCol w:w="2106"/>
        <w:gridCol w:w="1080"/>
        <w:gridCol w:w="3780"/>
        <w:gridCol w:w="55"/>
      </w:tblGrid>
      <w:tr w:rsidR="006E100C" w:rsidRPr="00670504" w14:paraId="60EE9E85" w14:textId="77777777" w:rsidTr="00183A79">
        <w:trPr>
          <w:gridBefore w:val="1"/>
          <w:wBefore w:w="17" w:type="dxa"/>
          <w:trHeight w:val="965"/>
        </w:trPr>
        <w:tc>
          <w:tcPr>
            <w:tcW w:w="980" w:type="dxa"/>
            <w:tcBorders>
              <w:bottom w:val="single" w:sz="12" w:space="0" w:color="000000"/>
            </w:tcBorders>
          </w:tcPr>
          <w:p w14:paraId="45A82B3E" w14:textId="77777777" w:rsidR="006E100C" w:rsidRPr="00F95751" w:rsidRDefault="00811F14" w:rsidP="001B1997">
            <w:pPr>
              <w:pStyle w:val="Para1"/>
              <w:numPr>
                <w:ilvl w:val="0"/>
                <w:numId w:val="0"/>
              </w:numPr>
              <w:rPr>
                <w:color w:val="000000"/>
                <w:kern w:val="22"/>
                <w:sz w:val="20"/>
              </w:rPr>
            </w:pPr>
            <w:r w:rsidRPr="00811F14">
              <w:rPr>
                <w:noProof/>
                <w:color w:val="000000"/>
                <w:kern w:val="22"/>
                <w:sz w:val="20"/>
                <w:lang w:eastAsia="en-GB"/>
              </w:rPr>
              <w:drawing>
                <wp:inline distT="0" distB="0" distL="0" distR="0" wp14:anchorId="37BA8514" wp14:editId="099025D6">
                  <wp:extent cx="543698" cy="460067"/>
                  <wp:effectExtent l="19050" t="0" r="8752" b="0"/>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261" cy="463928"/>
                          </a:xfrm>
                          <a:prstGeom prst="rect">
                            <a:avLst/>
                          </a:prstGeom>
                          <a:noFill/>
                          <a:ln>
                            <a:noFill/>
                          </a:ln>
                        </pic:spPr>
                      </pic:pic>
                    </a:graphicData>
                  </a:graphic>
                </wp:inline>
              </w:drawing>
            </w:r>
          </w:p>
        </w:tc>
        <w:tc>
          <w:tcPr>
            <w:tcW w:w="1260" w:type="dxa"/>
            <w:tcBorders>
              <w:bottom w:val="single" w:sz="12" w:space="0" w:color="000000"/>
            </w:tcBorders>
          </w:tcPr>
          <w:p w14:paraId="5F8FCB27" w14:textId="77777777" w:rsidR="006E100C" w:rsidRPr="008A7C86" w:rsidRDefault="00811F14" w:rsidP="00DF2A45">
            <w:pPr>
              <w:spacing w:before="120" w:after="120"/>
              <w:ind w:left="26"/>
              <w:rPr>
                <w:snapToGrid w:val="0"/>
                <w:color w:val="000000"/>
                <w:kern w:val="22"/>
                <w:sz w:val="20"/>
              </w:rPr>
            </w:pPr>
            <w:r w:rsidRPr="00811F14">
              <w:rPr>
                <w:noProof/>
                <w:snapToGrid w:val="0"/>
                <w:color w:val="000000"/>
                <w:kern w:val="22"/>
                <w:sz w:val="20"/>
                <w:lang w:eastAsia="en-GB"/>
              </w:rPr>
              <w:drawing>
                <wp:inline distT="0" distB="0" distL="0" distR="0" wp14:anchorId="7A0846D9" wp14:editId="2A92F74F">
                  <wp:extent cx="458744" cy="510545"/>
                  <wp:effectExtent l="19050" t="0" r="0" b="0"/>
                  <wp:docPr id="6" name="Image 1" descr="nr UNEP bw (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 UNEP bw (R) "/>
                          <pic:cNvPicPr>
                            <a:picLocks noChangeAspect="1" noChangeArrowheads="1"/>
                          </pic:cNvPicPr>
                        </pic:nvPicPr>
                        <pic:blipFill>
                          <a:blip r:embed="rId10"/>
                          <a:srcRect/>
                          <a:stretch>
                            <a:fillRect/>
                          </a:stretch>
                        </pic:blipFill>
                        <pic:spPr bwMode="auto">
                          <a:xfrm>
                            <a:off x="0" y="0"/>
                            <a:ext cx="460542" cy="512546"/>
                          </a:xfrm>
                          <a:prstGeom prst="rect">
                            <a:avLst/>
                          </a:prstGeom>
                          <a:noFill/>
                          <a:ln w="9525">
                            <a:noFill/>
                            <a:miter lim="800000"/>
                            <a:headEnd/>
                            <a:tailEnd/>
                          </a:ln>
                        </pic:spPr>
                      </pic:pic>
                    </a:graphicData>
                  </a:graphic>
                </wp:inline>
              </w:drawing>
            </w:r>
          </w:p>
        </w:tc>
        <w:tc>
          <w:tcPr>
            <w:tcW w:w="7021" w:type="dxa"/>
            <w:gridSpan w:val="4"/>
            <w:tcBorders>
              <w:bottom w:val="single" w:sz="12" w:space="0" w:color="000000"/>
            </w:tcBorders>
          </w:tcPr>
          <w:p w14:paraId="2A718B02" w14:textId="77777777" w:rsidR="006E100C" w:rsidRPr="00BA1A09" w:rsidRDefault="006E100C" w:rsidP="00811F14">
            <w:pPr>
              <w:spacing w:before="120" w:after="120"/>
              <w:jc w:val="right"/>
              <w:rPr>
                <w:b/>
                <w:snapToGrid w:val="0"/>
                <w:color w:val="000000"/>
                <w:kern w:val="22"/>
                <w:sz w:val="20"/>
              </w:rPr>
            </w:pPr>
            <w:r w:rsidRPr="00BA1A09">
              <w:rPr>
                <w:rFonts w:ascii="Arial" w:eastAsia="Arial" w:hAnsi="Arial" w:cs="Arial"/>
                <w:b/>
                <w:snapToGrid w:val="0"/>
                <w:color w:val="000000"/>
                <w:kern w:val="22"/>
                <w:sz w:val="32"/>
                <w:lang w:val="ru-RU" w:bidi="ru-RU"/>
              </w:rPr>
              <w:t>CBD</w:t>
            </w:r>
          </w:p>
        </w:tc>
      </w:tr>
      <w:tr w:rsidR="006E100C" w:rsidRPr="00670504" w14:paraId="40C7C40B" w14:textId="77777777" w:rsidTr="000715C5">
        <w:trPr>
          <w:gridAfter w:val="1"/>
          <w:wAfter w:w="55" w:type="dxa"/>
          <w:trHeight w:val="1693"/>
        </w:trPr>
        <w:tc>
          <w:tcPr>
            <w:tcW w:w="4363" w:type="dxa"/>
            <w:gridSpan w:val="4"/>
            <w:tcBorders>
              <w:bottom w:val="single" w:sz="30" w:space="0" w:color="000000"/>
            </w:tcBorders>
          </w:tcPr>
          <w:p w14:paraId="3D444981" w14:textId="77777777" w:rsidR="006E100C" w:rsidRPr="00F95751" w:rsidRDefault="006E100C" w:rsidP="001B1997">
            <w:pPr>
              <w:spacing w:before="120" w:after="120"/>
              <w:rPr>
                <w:snapToGrid w:val="0"/>
                <w:color w:val="000000"/>
                <w:kern w:val="22"/>
                <w:sz w:val="20"/>
              </w:rPr>
            </w:pPr>
            <w:r>
              <w:rPr>
                <w:snapToGrid w:val="0"/>
                <w:color w:val="000000"/>
                <w:kern w:val="22"/>
                <w:sz w:val="20"/>
                <w:lang w:val="ru-RU" w:bidi="ru-RU"/>
              </w:rPr>
              <w:t xml:space="preserve"> </w:t>
            </w:r>
            <w:r>
              <w:rPr>
                <w:noProof/>
                <w:szCs w:val="22"/>
                <w:lang w:eastAsia="en-GB"/>
              </w:rPr>
              <w:drawing>
                <wp:inline distT="0" distB="0" distL="0" distR="0" wp14:anchorId="63264A91" wp14:editId="4F0797B5">
                  <wp:extent cx="2620010" cy="1081405"/>
                  <wp:effectExtent l="19050" t="0" r="88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620010" cy="1081405"/>
                          </a:xfrm>
                          <a:prstGeom prst="rect">
                            <a:avLst/>
                          </a:prstGeom>
                          <a:noFill/>
                          <a:ln w="9525">
                            <a:noFill/>
                            <a:miter lim="800000"/>
                            <a:headEnd/>
                            <a:tailEnd/>
                          </a:ln>
                        </pic:spPr>
                      </pic:pic>
                    </a:graphicData>
                  </a:graphic>
                </wp:inline>
              </w:drawing>
            </w:r>
          </w:p>
        </w:tc>
        <w:tc>
          <w:tcPr>
            <w:tcW w:w="1080" w:type="dxa"/>
            <w:tcBorders>
              <w:bottom w:val="single" w:sz="30" w:space="0" w:color="000000"/>
            </w:tcBorders>
          </w:tcPr>
          <w:p w14:paraId="7FC4B6FF" w14:textId="77777777" w:rsidR="006E100C" w:rsidRPr="00F95751" w:rsidRDefault="006E100C" w:rsidP="001B1997">
            <w:pPr>
              <w:spacing w:before="120" w:after="120"/>
              <w:rPr>
                <w:snapToGrid w:val="0"/>
                <w:color w:val="000000"/>
                <w:kern w:val="22"/>
                <w:sz w:val="20"/>
              </w:rPr>
            </w:pPr>
          </w:p>
        </w:tc>
        <w:tc>
          <w:tcPr>
            <w:tcW w:w="3780" w:type="dxa"/>
            <w:tcBorders>
              <w:bottom w:val="single" w:sz="30" w:space="0" w:color="000000"/>
            </w:tcBorders>
          </w:tcPr>
          <w:p w14:paraId="38AD4C5F" w14:textId="77777777" w:rsidR="006E100C" w:rsidRPr="008E1B21" w:rsidRDefault="006E100C" w:rsidP="00DF2A45">
            <w:pPr>
              <w:ind w:left="822"/>
              <w:rPr>
                <w:b/>
                <w:snapToGrid w:val="0"/>
                <w:color w:val="000000"/>
                <w:kern w:val="22"/>
                <w:szCs w:val="22"/>
              </w:rPr>
            </w:pPr>
            <w:r w:rsidRPr="00F353D3">
              <w:rPr>
                <w:snapToGrid w:val="0"/>
                <w:color w:val="000000"/>
                <w:kern w:val="22"/>
                <w:lang w:val="en-US" w:bidi="ru-RU"/>
              </w:rPr>
              <w:t>Distr.</w:t>
            </w:r>
          </w:p>
          <w:p w14:paraId="6B57BC8A" w14:textId="451C495D" w:rsidR="006E100C" w:rsidRPr="008E1B21" w:rsidRDefault="00DF2A45" w:rsidP="00DF2A45">
            <w:pPr>
              <w:ind w:left="822"/>
              <w:rPr>
                <w:snapToGrid w:val="0"/>
                <w:color w:val="000000"/>
                <w:kern w:val="22"/>
              </w:rPr>
            </w:pPr>
            <w:r>
              <w:rPr>
                <w:snapToGrid w:val="0"/>
                <w:color w:val="000000"/>
                <w:kern w:val="22"/>
                <w:lang w:val="en-US" w:bidi="ru-RU"/>
              </w:rPr>
              <w:t>GENERAL</w:t>
            </w:r>
          </w:p>
          <w:p w14:paraId="1FE8E6C8" w14:textId="77777777" w:rsidR="006E100C" w:rsidRPr="00BA1A09" w:rsidRDefault="006E100C" w:rsidP="00DF2A45">
            <w:pPr>
              <w:ind w:left="822"/>
              <w:rPr>
                <w:snapToGrid w:val="0"/>
                <w:color w:val="000000"/>
                <w:kern w:val="22"/>
              </w:rPr>
            </w:pPr>
          </w:p>
          <w:p w14:paraId="44EA48D1" w14:textId="0B9E37B5" w:rsidR="006E100C" w:rsidRPr="00BA1A09" w:rsidRDefault="00F6573A" w:rsidP="00DF2A45">
            <w:pPr>
              <w:ind w:left="822"/>
              <w:rPr>
                <w:snapToGrid w:val="0"/>
                <w:color w:val="000000"/>
                <w:kern w:val="22"/>
              </w:rPr>
            </w:pPr>
            <w:sdt>
              <w:sdtPr>
                <w:rPr>
                  <w:lang w:val="en-US"/>
                </w:rPr>
                <w:alias w:val="Subject"/>
                <w:tag w:val=""/>
                <w:id w:val="2137136483"/>
                <w:placeholder>
                  <w:docPart w:val="3820E7D014024C5381A078FEA781F65A"/>
                </w:placeholder>
                <w:dataBinding w:prefixMappings="xmlns:ns0='http://purl.org/dc/elements/1.1/' xmlns:ns1='http://schemas.openxmlformats.org/package/2006/metadata/core-properties' " w:xpath="/ns1:coreProperties[1]/ns0:subject[1]" w:storeItemID="{6C3C8BC8-F283-45AE-878A-BAB7291924A1}"/>
                <w:text/>
              </w:sdtPr>
              <w:sdtEndPr/>
              <w:sdtContent>
                <w:r w:rsidR="00E9086D" w:rsidRPr="009E4A1A">
                  <w:rPr>
                    <w:lang w:val="en-US"/>
                  </w:rPr>
                  <w:t>CBD/CP/MOP/</w:t>
                </w:r>
                <w:r w:rsidR="00DF2A45">
                  <w:rPr>
                    <w:lang w:val="en-US"/>
                  </w:rPr>
                  <w:t>DEC/9/14</w:t>
                </w:r>
              </w:sdtContent>
            </w:sdt>
          </w:p>
          <w:p w14:paraId="6AF862AC" w14:textId="2C026330" w:rsidR="006E100C" w:rsidRDefault="00DF2A45" w:rsidP="00DF2A45">
            <w:pPr>
              <w:ind w:left="822"/>
              <w:rPr>
                <w:snapToGrid w:val="0"/>
                <w:color w:val="000000"/>
                <w:kern w:val="22"/>
              </w:rPr>
            </w:pPr>
            <w:r>
              <w:rPr>
                <w:snapToGrid w:val="0"/>
                <w:color w:val="000000"/>
                <w:kern w:val="22"/>
                <w:lang w:val="ru-RU"/>
              </w:rPr>
              <w:t>30</w:t>
            </w:r>
            <w:r w:rsidR="006E100C" w:rsidRPr="007245D9">
              <w:rPr>
                <w:snapToGrid w:val="0"/>
                <w:color w:val="000000"/>
                <w:kern w:val="22"/>
              </w:rPr>
              <w:t xml:space="preserve"> </w:t>
            </w:r>
            <w:r w:rsidR="006E100C">
              <w:rPr>
                <w:snapToGrid w:val="0"/>
                <w:color w:val="000000"/>
                <w:kern w:val="22"/>
                <w:lang w:val="en-US"/>
              </w:rPr>
              <w:t>November</w:t>
            </w:r>
            <w:r w:rsidR="006E100C">
              <w:rPr>
                <w:snapToGrid w:val="0"/>
                <w:color w:val="000000"/>
                <w:kern w:val="22"/>
              </w:rPr>
              <w:t xml:space="preserve"> 2018</w:t>
            </w:r>
          </w:p>
          <w:p w14:paraId="349E5615" w14:textId="77777777" w:rsidR="006E100C" w:rsidRDefault="006E100C" w:rsidP="00DF2A45">
            <w:pPr>
              <w:ind w:left="822"/>
              <w:rPr>
                <w:snapToGrid w:val="0"/>
                <w:color w:val="000000"/>
                <w:kern w:val="22"/>
              </w:rPr>
            </w:pPr>
            <w:bookmarkStart w:id="0" w:name="_GoBack"/>
            <w:bookmarkEnd w:id="0"/>
          </w:p>
          <w:p w14:paraId="395936A6" w14:textId="77777777" w:rsidR="006E100C" w:rsidRPr="00254898" w:rsidRDefault="006E100C" w:rsidP="00DF2A45">
            <w:pPr>
              <w:ind w:left="822"/>
              <w:rPr>
                <w:snapToGrid w:val="0"/>
                <w:color w:val="000000"/>
                <w:kern w:val="22"/>
              </w:rPr>
            </w:pPr>
            <w:r>
              <w:rPr>
                <w:snapToGrid w:val="0"/>
                <w:color w:val="000000"/>
                <w:kern w:val="22"/>
              </w:rPr>
              <w:t>RUSSIAN</w:t>
            </w:r>
          </w:p>
          <w:p w14:paraId="62A3556E" w14:textId="77777777" w:rsidR="006E100C" w:rsidRDefault="006E100C" w:rsidP="00DF2A45">
            <w:pPr>
              <w:ind w:left="822"/>
              <w:rPr>
                <w:snapToGrid w:val="0"/>
                <w:color w:val="000000"/>
                <w:kern w:val="22"/>
                <w:lang w:bidi="ru-RU"/>
              </w:rPr>
            </w:pPr>
            <w:r w:rsidRPr="00254898">
              <w:rPr>
                <w:snapToGrid w:val="0"/>
                <w:color w:val="000000"/>
                <w:kern w:val="22"/>
                <w:lang w:bidi="ru-RU"/>
              </w:rPr>
              <w:t>ORIGINAL: ENGLISH</w:t>
            </w:r>
          </w:p>
          <w:p w14:paraId="2E926209" w14:textId="77777777" w:rsidR="00DF2A45" w:rsidRPr="00670504" w:rsidRDefault="00DF2A45" w:rsidP="00DF2A45">
            <w:pPr>
              <w:ind w:left="822"/>
              <w:rPr>
                <w:snapToGrid w:val="0"/>
                <w:color w:val="000000"/>
                <w:kern w:val="22"/>
              </w:rPr>
            </w:pPr>
          </w:p>
        </w:tc>
      </w:tr>
    </w:tbl>
    <w:p w14:paraId="4AB8AC7E" w14:textId="77777777" w:rsidR="006E100C" w:rsidRPr="00F353D3" w:rsidRDefault="00E41FE9" w:rsidP="006E100C">
      <w:pPr>
        <w:pStyle w:val="Cornernotation"/>
        <w:spacing w:before="60"/>
        <w:ind w:right="4575"/>
        <w:rPr>
          <w:snapToGrid w:val="0"/>
          <w:color w:val="000000"/>
          <w:kern w:val="22"/>
          <w:szCs w:val="22"/>
          <w:lang w:val="ru-RU"/>
        </w:rPr>
      </w:pPr>
      <w:r w:rsidRPr="00DB00E6">
        <w:rPr>
          <w:color w:val="000000"/>
          <w:lang w:val="ru-RU" w:bidi="he-IL"/>
        </w:rPr>
        <w:t>КОНФЕРЕНЦИЯ СТОРОН КОНВЕНЦИИ О БИОЛОГИЧЕСКОМ РАЗНООБРАЗИИ, ВЫСТУПАЮЩАЯ В КАЧЕСТВЕ СОВЕЩАНИЯ СТОРОН КАРТАХЕНСКОГО ПРОТОКОЛА ПО БИОБЕЗОПАСНОСТИ</w:t>
      </w:r>
      <w:r w:rsidR="006E100C" w:rsidRPr="00670504">
        <w:rPr>
          <w:snapToGrid w:val="0"/>
          <w:color w:val="000000"/>
          <w:kern w:val="22"/>
          <w:szCs w:val="22"/>
          <w:lang w:val="ru-RU" w:bidi="ru-RU"/>
        </w:rPr>
        <w:t xml:space="preserve"> </w:t>
      </w:r>
    </w:p>
    <w:p w14:paraId="29BE3717" w14:textId="77777777" w:rsidR="006E100C" w:rsidRPr="00F353D3" w:rsidRDefault="00E41FE9" w:rsidP="006E100C">
      <w:pPr>
        <w:pStyle w:val="Cornernotation"/>
        <w:rPr>
          <w:snapToGrid w:val="0"/>
          <w:color w:val="000000"/>
          <w:kern w:val="22"/>
          <w:szCs w:val="22"/>
          <w:lang w:val="ru-RU"/>
        </w:rPr>
      </w:pPr>
      <w:r>
        <w:rPr>
          <w:lang w:val="ru-RU"/>
        </w:rPr>
        <w:t>Девятое</w:t>
      </w:r>
      <w:r w:rsidRPr="00DB00E6">
        <w:rPr>
          <w:lang w:val="ru-RU"/>
        </w:rPr>
        <w:t xml:space="preserve"> </w:t>
      </w:r>
      <w:r w:rsidR="006E100C" w:rsidRPr="00670504">
        <w:rPr>
          <w:snapToGrid w:val="0"/>
          <w:color w:val="000000"/>
          <w:kern w:val="22"/>
          <w:szCs w:val="22"/>
          <w:lang w:val="ru-RU" w:bidi="ru-RU"/>
        </w:rPr>
        <w:t>совещание</w:t>
      </w:r>
    </w:p>
    <w:p w14:paraId="0154349E" w14:textId="77777777" w:rsidR="006E100C" w:rsidRDefault="006E100C" w:rsidP="006E100C">
      <w:pPr>
        <w:pStyle w:val="Cornernotation"/>
        <w:rPr>
          <w:szCs w:val="22"/>
          <w:lang w:val="ru-RU"/>
        </w:rPr>
      </w:pPr>
      <w:bookmarkStart w:id="1" w:name="OLE_LINK1"/>
      <w:bookmarkStart w:id="2" w:name="OLE_LINK2"/>
      <w:r>
        <w:rPr>
          <w:lang w:val="ru-RU"/>
        </w:rPr>
        <w:t>Шарм-эш-Шейх</w:t>
      </w:r>
      <w:r w:rsidRPr="00ED0C36">
        <w:rPr>
          <w:lang w:val="ru-RU"/>
        </w:rPr>
        <w:t xml:space="preserve">, </w:t>
      </w:r>
      <w:r>
        <w:rPr>
          <w:lang w:val="ru-RU"/>
        </w:rPr>
        <w:t>Египет, 17-29</w:t>
      </w:r>
      <w:r w:rsidRPr="00ED0C36">
        <w:rPr>
          <w:lang w:val="ru-RU"/>
        </w:rPr>
        <w:t xml:space="preserve"> </w:t>
      </w:r>
      <w:r>
        <w:rPr>
          <w:lang w:val="ru-RU"/>
        </w:rPr>
        <w:t>ноября</w:t>
      </w:r>
      <w:r w:rsidRPr="00ED0C36">
        <w:rPr>
          <w:lang w:val="ru-RU"/>
        </w:rPr>
        <w:t xml:space="preserve"> 201</w:t>
      </w:r>
      <w:bookmarkEnd w:id="1"/>
      <w:bookmarkEnd w:id="2"/>
      <w:r>
        <w:rPr>
          <w:lang w:val="ru-RU"/>
        </w:rPr>
        <w:t>8</w:t>
      </w:r>
      <w:r w:rsidRPr="00ED0C36">
        <w:rPr>
          <w:lang w:val="ru-RU"/>
        </w:rPr>
        <w:t xml:space="preserve"> года</w:t>
      </w:r>
      <w:r w:rsidRPr="00ED0C36">
        <w:rPr>
          <w:szCs w:val="22"/>
          <w:lang w:val="ru-RU"/>
        </w:rPr>
        <w:t xml:space="preserve"> </w:t>
      </w:r>
    </w:p>
    <w:p w14:paraId="16733AE9" w14:textId="77777777" w:rsidR="00C9161D" w:rsidRPr="00277168" w:rsidRDefault="0042549B" w:rsidP="00C9161D">
      <w:pPr>
        <w:rPr>
          <w:lang w:val="ru-RU"/>
        </w:rPr>
      </w:pPr>
      <w:r w:rsidRPr="00277168">
        <w:rPr>
          <w:snapToGrid w:val="0"/>
          <w:szCs w:val="22"/>
          <w:lang w:val="ru-RU"/>
        </w:rPr>
        <w:t xml:space="preserve">Пункт </w:t>
      </w:r>
      <w:r w:rsidR="00E9086D" w:rsidRPr="00F6573A">
        <w:rPr>
          <w:snapToGrid w:val="0"/>
          <w:szCs w:val="22"/>
          <w:lang w:val="ru-RU"/>
        </w:rPr>
        <w:t>1</w:t>
      </w:r>
      <w:r w:rsidR="00195F6B" w:rsidRPr="00F6573A">
        <w:rPr>
          <w:snapToGrid w:val="0"/>
          <w:szCs w:val="22"/>
          <w:lang w:val="ru-RU"/>
        </w:rPr>
        <w:t>8</w:t>
      </w:r>
      <w:r w:rsidRPr="00277168">
        <w:rPr>
          <w:snapToGrid w:val="0"/>
          <w:szCs w:val="22"/>
          <w:lang w:val="ru-RU"/>
        </w:rPr>
        <w:t xml:space="preserve"> повестки дня</w:t>
      </w:r>
    </w:p>
    <w:p w14:paraId="5DA7C83F" w14:textId="78BBEA5B" w:rsidR="00C9161D" w:rsidRPr="00FF3BC8" w:rsidRDefault="00F6573A" w:rsidP="00172AF6">
      <w:pPr>
        <w:spacing w:before="120" w:after="240"/>
        <w:jc w:val="center"/>
        <w:rPr>
          <w:b/>
          <w:caps/>
          <w:lang w:val="ru-RU"/>
        </w:rPr>
      </w:pPr>
      <w:sdt>
        <w:sdtPr>
          <w:rPr>
            <w:b/>
            <w:caps/>
            <w:snapToGrid w:val="0"/>
            <w:kern w:val="22"/>
            <w:szCs w:val="22"/>
            <w:lang w:val="ru-RU"/>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B12EC6" w:rsidRPr="00235CC2">
            <w:rPr>
              <w:rFonts w:eastAsia="Calibri"/>
              <w:b/>
              <w:bCs/>
              <w:snapToGrid w:val="0"/>
              <w:szCs w:val="22"/>
              <w:lang w:val="ru-RU"/>
            </w:rPr>
            <w:t>РЕШЕНИЕ, ПРИНЯТОЕ СТОРОНАМИ КАРТАХЕНСКОГО ПРОТОКОЛА ПО БИОБЕЗОПАСНОСТИ</w:t>
          </w:r>
        </w:sdtContent>
      </w:sdt>
      <w:r w:rsidR="00B12EC6" w:rsidRPr="00235CC2">
        <w:rPr>
          <w:rFonts w:eastAsia="Calibri"/>
          <w:b/>
          <w:bCs/>
          <w:snapToGrid w:val="0"/>
          <w:szCs w:val="22"/>
          <w:lang w:val="ru-RU"/>
        </w:rPr>
        <w:t xml:space="preserve"> </w:t>
      </w:r>
    </w:p>
    <w:p w14:paraId="127AB550" w14:textId="6BE7D188" w:rsidR="00B12EC6" w:rsidRDefault="00B12EC6" w:rsidP="00B12EC6">
      <w:pPr>
        <w:shd w:val="clear" w:color="auto" w:fill="FFFFFF" w:themeFill="background1"/>
        <w:spacing w:before="120" w:after="120"/>
        <w:ind w:firstLine="720"/>
        <w:jc w:val="center"/>
        <w:rPr>
          <w:b/>
          <w:kern w:val="22"/>
          <w:szCs w:val="22"/>
          <w:lang w:val="ru-RU"/>
        </w:rPr>
      </w:pPr>
      <w:r>
        <w:rPr>
          <w:b/>
          <w:snapToGrid w:val="0"/>
          <w:kern w:val="22"/>
          <w:szCs w:val="22"/>
          <w:lang w:val="ru-RU"/>
        </w:rPr>
        <w:t>9/14.</w:t>
      </w:r>
      <w:r w:rsidRPr="00F6573A">
        <w:rPr>
          <w:b/>
          <w:caps/>
          <w:snapToGrid w:val="0"/>
          <w:kern w:val="22"/>
          <w:szCs w:val="22"/>
          <w:lang w:val="ru-RU"/>
        </w:rPr>
        <w:tab/>
      </w:r>
      <w:r w:rsidRPr="00E9086D">
        <w:rPr>
          <w:b/>
          <w:snapToGrid w:val="0"/>
          <w:kern w:val="22"/>
          <w:szCs w:val="22"/>
          <w:lang w:val="ru-RU"/>
        </w:rPr>
        <w:t>Социально-экономические соображения (статья 26)</w:t>
      </w:r>
    </w:p>
    <w:p w14:paraId="63F0251E" w14:textId="4F918892" w:rsidR="00E41FE9" w:rsidRPr="00E9086D" w:rsidRDefault="00E41FE9" w:rsidP="00E41FE9">
      <w:pPr>
        <w:shd w:val="clear" w:color="auto" w:fill="FFFFFF" w:themeFill="background1"/>
        <w:spacing w:before="120" w:after="120"/>
        <w:ind w:firstLine="720"/>
        <w:rPr>
          <w:iCs/>
          <w:kern w:val="22"/>
          <w:lang w:val="ru-RU"/>
        </w:rPr>
      </w:pPr>
      <w:r w:rsidRPr="00E9086D">
        <w:rPr>
          <w:i/>
          <w:iCs/>
          <w:kern w:val="22"/>
          <w:lang w:val="ru-RU"/>
        </w:rPr>
        <w:t xml:space="preserve">Конференция </w:t>
      </w:r>
      <w:r w:rsidR="00B12EC6">
        <w:rPr>
          <w:i/>
          <w:iCs/>
          <w:kern w:val="22"/>
          <w:lang w:val="ru-RU"/>
        </w:rPr>
        <w:t>Сторон, выступающая в качестве C</w:t>
      </w:r>
      <w:r w:rsidRPr="00E9086D">
        <w:rPr>
          <w:i/>
          <w:iCs/>
          <w:kern w:val="22"/>
          <w:lang w:val="ru-RU"/>
        </w:rPr>
        <w:t>овещания Сторон Картахенского протокола по биобезопасности,</w:t>
      </w:r>
      <w:r w:rsidR="00946392" w:rsidRPr="00E9086D">
        <w:rPr>
          <w:i/>
          <w:iCs/>
          <w:kern w:val="22"/>
          <w:lang w:val="ru-RU"/>
        </w:rPr>
        <w:t xml:space="preserve"> </w:t>
      </w:r>
    </w:p>
    <w:p w14:paraId="0ECCD3C8" w14:textId="77777777" w:rsidR="00E9086D" w:rsidRPr="00E9086D" w:rsidRDefault="00E9086D" w:rsidP="00E9086D">
      <w:pPr>
        <w:pStyle w:val="Para1"/>
        <w:numPr>
          <w:ilvl w:val="0"/>
          <w:numId w:val="0"/>
        </w:numPr>
        <w:ind w:firstLine="720"/>
        <w:rPr>
          <w:kern w:val="22"/>
          <w:szCs w:val="22"/>
          <w:lang w:val="ru-RU"/>
        </w:rPr>
      </w:pPr>
      <w:r w:rsidRPr="00E9086D">
        <w:rPr>
          <w:i/>
          <w:kern w:val="22"/>
          <w:szCs w:val="22"/>
          <w:lang w:val="ru-RU"/>
        </w:rPr>
        <w:t>ссылаясь</w:t>
      </w:r>
      <w:r w:rsidRPr="00E9086D">
        <w:rPr>
          <w:kern w:val="22"/>
          <w:szCs w:val="22"/>
          <w:lang w:val="ru-RU"/>
        </w:rPr>
        <w:t xml:space="preserve"> на решения </w:t>
      </w:r>
      <w:hyperlink r:id="rId12" w:history="1">
        <w:r w:rsidRPr="00E9086D">
          <w:rPr>
            <w:rStyle w:val="Hyperlink"/>
            <w:kern w:val="22"/>
            <w:sz w:val="22"/>
            <w:szCs w:val="22"/>
            <w:lang w:val="ru-RU"/>
          </w:rPr>
          <w:t>BS-VI/13</w:t>
        </w:r>
      </w:hyperlink>
      <w:r w:rsidRPr="00E9086D">
        <w:rPr>
          <w:kern w:val="22"/>
          <w:szCs w:val="22"/>
          <w:lang w:val="ru-RU"/>
        </w:rPr>
        <w:t xml:space="preserve">, </w:t>
      </w:r>
      <w:hyperlink r:id="rId13" w:history="1">
        <w:r w:rsidRPr="00E9086D">
          <w:rPr>
            <w:rStyle w:val="Hyperlink"/>
            <w:kern w:val="22"/>
            <w:sz w:val="22"/>
            <w:szCs w:val="22"/>
            <w:lang w:val="ru-RU"/>
          </w:rPr>
          <w:t>BS-VII/13</w:t>
        </w:r>
      </w:hyperlink>
      <w:r w:rsidRPr="00E9086D">
        <w:rPr>
          <w:kern w:val="22"/>
          <w:szCs w:val="22"/>
          <w:lang w:val="ru-RU"/>
        </w:rPr>
        <w:t xml:space="preserve"> и </w:t>
      </w:r>
      <w:hyperlink r:id="rId14" w:history="1">
        <w:r w:rsidRPr="00E9086D">
          <w:rPr>
            <w:rStyle w:val="Hyperlink"/>
            <w:kern w:val="22"/>
            <w:sz w:val="22"/>
            <w:szCs w:val="22"/>
            <w:lang w:val="ru-RU"/>
          </w:rPr>
          <w:t>CP-VIII/13</w:t>
        </w:r>
      </w:hyperlink>
      <w:r w:rsidRPr="00E9086D">
        <w:rPr>
          <w:kern w:val="22"/>
          <w:szCs w:val="22"/>
          <w:lang w:val="ru-RU"/>
        </w:rPr>
        <w:t>,</w:t>
      </w:r>
    </w:p>
    <w:p w14:paraId="62E55800" w14:textId="6C699893" w:rsidR="00E9086D" w:rsidRPr="00E9086D" w:rsidRDefault="00E9086D" w:rsidP="00E9086D">
      <w:pPr>
        <w:pStyle w:val="Para1"/>
        <w:numPr>
          <w:ilvl w:val="0"/>
          <w:numId w:val="0"/>
        </w:numPr>
        <w:ind w:firstLine="720"/>
        <w:rPr>
          <w:i/>
          <w:kern w:val="22"/>
          <w:szCs w:val="22"/>
          <w:lang w:val="ru-RU"/>
        </w:rPr>
      </w:pPr>
      <w:r w:rsidRPr="00E9086D">
        <w:rPr>
          <w:i/>
          <w:kern w:val="22"/>
          <w:szCs w:val="22"/>
          <w:lang w:val="ru-RU"/>
        </w:rPr>
        <w:t xml:space="preserve">ссылаясь </w:t>
      </w:r>
      <w:r w:rsidRPr="00E9086D">
        <w:rPr>
          <w:kern w:val="22"/>
          <w:szCs w:val="22"/>
          <w:lang w:val="ru-RU"/>
        </w:rPr>
        <w:t xml:space="preserve">на то, что согласно пункту 1 статьи 26 Стороны при принятии решения об импорте в соответствии </w:t>
      </w:r>
      <w:r w:rsidR="00E21D49">
        <w:rPr>
          <w:kern w:val="22"/>
          <w:szCs w:val="22"/>
          <w:lang w:val="ru-RU"/>
        </w:rPr>
        <w:t xml:space="preserve">c </w:t>
      </w:r>
      <w:r w:rsidR="00E55C65">
        <w:rPr>
          <w:kern w:val="22"/>
          <w:szCs w:val="22"/>
          <w:lang w:val="ru-RU"/>
        </w:rPr>
        <w:t>Протоколом или</w:t>
      </w:r>
      <w:r w:rsidRPr="00E9086D">
        <w:rPr>
          <w:kern w:val="22"/>
          <w:szCs w:val="22"/>
          <w:lang w:val="ru-RU"/>
        </w:rPr>
        <w:t xml:space="preserve"> их </w:t>
      </w:r>
      <w:r w:rsidR="008C2EF5">
        <w:rPr>
          <w:kern w:val="22"/>
          <w:szCs w:val="22"/>
          <w:lang w:val="ru-RU"/>
        </w:rPr>
        <w:t>национальными</w:t>
      </w:r>
      <w:r w:rsidRPr="00E9086D">
        <w:rPr>
          <w:kern w:val="22"/>
          <w:szCs w:val="22"/>
          <w:lang w:val="ru-RU"/>
        </w:rPr>
        <w:t xml:space="preserve"> мерами по осуществлению Протокола могут</w:t>
      </w:r>
      <w:r w:rsidR="00E55C65">
        <w:rPr>
          <w:kern w:val="22"/>
          <w:szCs w:val="22"/>
          <w:lang w:val="ru-RU"/>
        </w:rPr>
        <w:t>,</w:t>
      </w:r>
      <w:r w:rsidRPr="00E9086D">
        <w:rPr>
          <w:kern w:val="22"/>
          <w:szCs w:val="22"/>
          <w:lang w:val="ru-RU"/>
        </w:rPr>
        <w:t xml:space="preserve"> </w:t>
      </w:r>
      <w:r w:rsidR="00E55C65">
        <w:rPr>
          <w:kern w:val="22"/>
          <w:szCs w:val="22"/>
          <w:lang w:val="ru-RU"/>
        </w:rPr>
        <w:t>сообразно своим международным обязательствам,</w:t>
      </w:r>
      <w:r w:rsidRPr="00E9086D">
        <w:rPr>
          <w:kern w:val="22"/>
          <w:szCs w:val="22"/>
          <w:lang w:val="ru-RU"/>
        </w:rPr>
        <w:t xml:space="preserve"> учитывать социально-экономические соображения, обусловленные неблагоприятным воздействием живых измененных организмов на сохранение и устойчивое использование биологического разнообразия, прежде всего в отношении ценности биологического разнообразия для коренных и местных общин,</w:t>
      </w:r>
    </w:p>
    <w:p w14:paraId="136DE89F" w14:textId="77777777" w:rsidR="00E9086D" w:rsidRPr="00E9086D" w:rsidRDefault="00E9086D" w:rsidP="00E9086D">
      <w:pPr>
        <w:suppressLineNumbers/>
        <w:suppressAutoHyphens/>
        <w:kinsoku w:val="0"/>
        <w:overflowPunct w:val="0"/>
        <w:autoSpaceDE w:val="0"/>
        <w:autoSpaceDN w:val="0"/>
        <w:snapToGrid w:val="0"/>
        <w:spacing w:before="120" w:after="120"/>
        <w:ind w:firstLine="720"/>
        <w:rPr>
          <w:kern w:val="22"/>
          <w:szCs w:val="22"/>
          <w:highlight w:val="yellow"/>
          <w:lang w:val="ru-RU"/>
        </w:rPr>
      </w:pPr>
      <w:r w:rsidRPr="00E9086D">
        <w:rPr>
          <w:i/>
          <w:kern w:val="22"/>
          <w:szCs w:val="22"/>
          <w:lang w:val="ru-RU"/>
        </w:rPr>
        <w:t>признавая</w:t>
      </w:r>
      <w:r w:rsidRPr="00E9086D">
        <w:rPr>
          <w:kern w:val="22"/>
          <w:szCs w:val="22"/>
          <w:lang w:val="ru-RU"/>
        </w:rPr>
        <w:t>, что никакие элементы содержания добровольных «Руководящих указаний по оценке социально-экономических соображений в контексте статьи 26 Картахенского протокола по биобезопасности» не могут быть интерпретированы или использованы для поддержки нетарифных торговых барьеров или для оправдания нарушений международных правовых обязательств в области прав человека, в частности прав коренных народов и местных общин,</w:t>
      </w:r>
    </w:p>
    <w:p w14:paraId="7A81CF76" w14:textId="44B1DBAB" w:rsidR="00E9086D" w:rsidRPr="00E9086D" w:rsidRDefault="00E9086D" w:rsidP="00E9086D">
      <w:pPr>
        <w:suppressLineNumbers/>
        <w:suppressAutoHyphens/>
        <w:kinsoku w:val="0"/>
        <w:overflowPunct w:val="0"/>
        <w:autoSpaceDE w:val="0"/>
        <w:autoSpaceDN w:val="0"/>
        <w:snapToGrid w:val="0"/>
        <w:spacing w:before="120" w:after="120"/>
        <w:ind w:firstLine="720"/>
        <w:rPr>
          <w:kern w:val="22"/>
          <w:szCs w:val="22"/>
          <w:lang w:val="ru-RU"/>
        </w:rPr>
      </w:pPr>
      <w:r w:rsidRPr="00E9086D">
        <w:rPr>
          <w:i/>
          <w:kern w:val="22"/>
          <w:szCs w:val="22"/>
          <w:lang w:val="ru-RU"/>
        </w:rPr>
        <w:t>признавая</w:t>
      </w:r>
      <w:r w:rsidRPr="00E9086D">
        <w:rPr>
          <w:kern w:val="22"/>
          <w:szCs w:val="22"/>
          <w:lang w:val="ru-RU"/>
        </w:rPr>
        <w:t xml:space="preserve">, что </w:t>
      </w:r>
      <w:r w:rsidR="00F2757B" w:rsidRPr="00E9086D">
        <w:rPr>
          <w:kern w:val="22"/>
          <w:szCs w:val="22"/>
          <w:lang w:val="ru-RU"/>
        </w:rPr>
        <w:t xml:space="preserve">для достижения устойчивого развития </w:t>
      </w:r>
      <w:r w:rsidRPr="00E9086D">
        <w:rPr>
          <w:kern w:val="22"/>
          <w:szCs w:val="22"/>
          <w:lang w:val="ru-RU"/>
        </w:rPr>
        <w:t>торговые и природоохранные соглашения должны быть взаимодополняющими,</w:t>
      </w:r>
    </w:p>
    <w:p w14:paraId="6100C871" w14:textId="77777777" w:rsidR="00E9086D" w:rsidRPr="00E9086D" w:rsidRDefault="00E9086D" w:rsidP="00E9086D">
      <w:pPr>
        <w:suppressLineNumbers/>
        <w:suppressAutoHyphens/>
        <w:kinsoku w:val="0"/>
        <w:overflowPunct w:val="0"/>
        <w:autoSpaceDE w:val="0"/>
        <w:autoSpaceDN w:val="0"/>
        <w:snapToGrid w:val="0"/>
        <w:spacing w:before="120" w:after="120"/>
        <w:ind w:firstLine="720"/>
        <w:rPr>
          <w:kern w:val="22"/>
          <w:szCs w:val="22"/>
          <w:lang w:val="ru-RU"/>
        </w:rPr>
      </w:pPr>
      <w:r w:rsidRPr="00E9086D">
        <w:rPr>
          <w:i/>
          <w:kern w:val="22"/>
          <w:szCs w:val="22"/>
          <w:lang w:val="ru-RU"/>
        </w:rPr>
        <w:t>подчеркивая</w:t>
      </w:r>
      <w:r w:rsidRPr="00E9086D">
        <w:rPr>
          <w:kern w:val="22"/>
          <w:szCs w:val="22"/>
          <w:lang w:val="ru-RU"/>
        </w:rPr>
        <w:t>, что Протокол не интерпретируется как предполагающий изменение прав и обязательств Стороны в соответствии с любыми существующими международными соглашениями,</w:t>
      </w:r>
    </w:p>
    <w:p w14:paraId="76168A83" w14:textId="77777777" w:rsidR="00E9086D" w:rsidRPr="00E9086D" w:rsidRDefault="00E9086D" w:rsidP="00E9086D">
      <w:pPr>
        <w:suppressLineNumbers/>
        <w:suppressAutoHyphens/>
        <w:kinsoku w:val="0"/>
        <w:overflowPunct w:val="0"/>
        <w:autoSpaceDE w:val="0"/>
        <w:autoSpaceDN w:val="0"/>
        <w:snapToGrid w:val="0"/>
        <w:spacing w:before="120" w:after="120"/>
        <w:ind w:firstLine="720"/>
        <w:rPr>
          <w:kern w:val="22"/>
          <w:szCs w:val="22"/>
          <w:lang w:val="ru-RU"/>
        </w:rPr>
      </w:pPr>
      <w:r w:rsidRPr="00E9086D">
        <w:rPr>
          <w:i/>
          <w:kern w:val="22"/>
          <w:szCs w:val="22"/>
          <w:lang w:val="ru-RU"/>
        </w:rPr>
        <w:t>исходя из того понимания</w:t>
      </w:r>
      <w:r w:rsidRPr="00E9086D">
        <w:rPr>
          <w:kern w:val="22"/>
          <w:szCs w:val="22"/>
          <w:lang w:val="ru-RU"/>
        </w:rPr>
        <w:t>, что в констатирующей части выше не преследуется цель подчинения Протокола другим международным соглашениям,</w:t>
      </w:r>
    </w:p>
    <w:p w14:paraId="59CCC045" w14:textId="77777777" w:rsidR="00E9086D" w:rsidRPr="00E9086D" w:rsidRDefault="00E9086D" w:rsidP="00E9086D">
      <w:pPr>
        <w:suppressLineNumbers/>
        <w:suppressAutoHyphens/>
        <w:kinsoku w:val="0"/>
        <w:overflowPunct w:val="0"/>
        <w:autoSpaceDE w:val="0"/>
        <w:autoSpaceDN w:val="0"/>
        <w:snapToGrid w:val="0"/>
        <w:spacing w:before="120" w:after="120"/>
        <w:ind w:firstLine="720"/>
        <w:rPr>
          <w:i/>
          <w:kern w:val="22"/>
          <w:szCs w:val="22"/>
          <w:lang w:val="ru-RU"/>
        </w:rPr>
      </w:pPr>
      <w:r w:rsidRPr="00E9086D">
        <w:rPr>
          <w:i/>
          <w:kern w:val="22"/>
          <w:szCs w:val="22"/>
          <w:lang w:val="ru-RU"/>
        </w:rPr>
        <w:t>напоминая о том</w:t>
      </w:r>
      <w:r w:rsidRPr="00E9086D">
        <w:rPr>
          <w:kern w:val="22"/>
          <w:szCs w:val="22"/>
          <w:lang w:val="ru-RU"/>
        </w:rPr>
        <w:t>, что Руководящие указания предназначены для использования на добровольной основе,</w:t>
      </w:r>
    </w:p>
    <w:p w14:paraId="1EF8FA80" w14:textId="77777777" w:rsidR="00E9086D" w:rsidRPr="00E9086D" w:rsidRDefault="00E9086D" w:rsidP="00E9086D">
      <w:pPr>
        <w:pStyle w:val="Para1"/>
        <w:numPr>
          <w:ilvl w:val="0"/>
          <w:numId w:val="2"/>
        </w:numPr>
        <w:tabs>
          <w:tab w:val="clear" w:pos="360"/>
        </w:tabs>
        <w:ind w:firstLine="720"/>
        <w:rPr>
          <w:kern w:val="22"/>
          <w:szCs w:val="22"/>
          <w:lang w:val="ru-RU"/>
        </w:rPr>
      </w:pPr>
      <w:r w:rsidRPr="00E9086D">
        <w:rPr>
          <w:i/>
          <w:kern w:val="22"/>
          <w:szCs w:val="22"/>
          <w:lang w:val="ru-RU"/>
        </w:rPr>
        <w:lastRenderedPageBreak/>
        <w:t>принимает к сведению</w:t>
      </w:r>
      <w:r w:rsidRPr="00E9086D">
        <w:rPr>
          <w:kern w:val="22"/>
          <w:szCs w:val="22"/>
          <w:lang w:val="ru-RU"/>
        </w:rPr>
        <w:t xml:space="preserve"> «Руководящие указания по оценке социально-экономических соображений в контексте статьи 26 Картахенского протокола по биобезопасности»</w:t>
      </w:r>
      <w:r w:rsidRPr="00E9086D">
        <w:rPr>
          <w:rStyle w:val="FootnoteReference"/>
          <w:kern w:val="22"/>
          <w:szCs w:val="22"/>
          <w:lang w:val="ru-RU"/>
        </w:rPr>
        <w:footnoteReference w:id="1"/>
      </w:r>
      <w:r w:rsidRPr="00E9086D">
        <w:rPr>
          <w:kern w:val="22"/>
          <w:szCs w:val="22"/>
          <w:lang w:val="ru-RU"/>
        </w:rPr>
        <w:t>;</w:t>
      </w:r>
    </w:p>
    <w:p w14:paraId="50AEB566" w14:textId="73BD3B69" w:rsidR="00E9086D" w:rsidRPr="00E9086D" w:rsidRDefault="00E9086D" w:rsidP="00E9086D">
      <w:pPr>
        <w:pStyle w:val="Para1"/>
        <w:numPr>
          <w:ilvl w:val="0"/>
          <w:numId w:val="2"/>
        </w:numPr>
        <w:tabs>
          <w:tab w:val="clear" w:pos="360"/>
        </w:tabs>
        <w:ind w:firstLine="720"/>
        <w:rPr>
          <w:kern w:val="22"/>
          <w:szCs w:val="22"/>
          <w:lang w:val="ru-RU"/>
        </w:rPr>
      </w:pPr>
      <w:r w:rsidRPr="00E9086D">
        <w:rPr>
          <w:i/>
          <w:kern w:val="22"/>
          <w:szCs w:val="22"/>
          <w:lang w:val="ru-RU"/>
        </w:rPr>
        <w:t>предлагает</w:t>
      </w:r>
      <w:r w:rsidRPr="00E9086D">
        <w:rPr>
          <w:kern w:val="22"/>
          <w:szCs w:val="22"/>
          <w:lang w:val="ru-RU"/>
        </w:rPr>
        <w:t xml:space="preserve"> Сторонам, другим правительствам, соответствующим организациям и другим субъектам сообразно обстоятельствам использовать добровольные Руководящие указания и сообщать о начальном опыте их использования, а также представлять примеры методик и использования социально-экономических соображений в свете элементов Руководящих указаний, желательно в форме анализа практических примеров;</w:t>
      </w:r>
    </w:p>
    <w:p w14:paraId="5971ED09" w14:textId="77777777" w:rsidR="00E9086D" w:rsidRPr="00E9086D" w:rsidRDefault="00E9086D" w:rsidP="00E9086D">
      <w:pPr>
        <w:pStyle w:val="Para1"/>
        <w:numPr>
          <w:ilvl w:val="0"/>
          <w:numId w:val="2"/>
        </w:numPr>
        <w:tabs>
          <w:tab w:val="clear" w:pos="360"/>
        </w:tabs>
        <w:ind w:firstLine="720"/>
        <w:rPr>
          <w:kern w:val="22"/>
          <w:szCs w:val="22"/>
          <w:lang w:val="ru-RU"/>
        </w:rPr>
      </w:pPr>
      <w:r w:rsidRPr="00E9086D">
        <w:rPr>
          <w:i/>
          <w:kern w:val="22"/>
          <w:szCs w:val="22"/>
          <w:lang w:val="ru-RU"/>
        </w:rPr>
        <w:t>учреждает</w:t>
      </w:r>
      <w:r w:rsidRPr="00E9086D">
        <w:rPr>
          <w:kern w:val="22"/>
          <w:szCs w:val="22"/>
          <w:lang w:val="ru-RU"/>
        </w:rPr>
        <w:t xml:space="preserve"> онлайновый форум по социально-экономическим соображениям посредством Механизма посредничества по биобезопасности;</w:t>
      </w:r>
    </w:p>
    <w:p w14:paraId="029F4A17" w14:textId="4F11CEF4" w:rsidR="00E9086D" w:rsidRPr="00E9086D" w:rsidRDefault="00E9086D" w:rsidP="00E9086D">
      <w:pPr>
        <w:pStyle w:val="Para1"/>
        <w:numPr>
          <w:ilvl w:val="0"/>
          <w:numId w:val="2"/>
        </w:numPr>
        <w:tabs>
          <w:tab w:val="clear" w:pos="360"/>
        </w:tabs>
        <w:ind w:firstLine="720"/>
        <w:rPr>
          <w:kern w:val="22"/>
          <w:szCs w:val="22"/>
          <w:lang w:val="ru-RU"/>
        </w:rPr>
      </w:pPr>
      <w:r w:rsidRPr="00E9086D">
        <w:rPr>
          <w:i/>
          <w:kern w:val="22"/>
          <w:szCs w:val="22"/>
          <w:lang w:val="ru-RU"/>
        </w:rPr>
        <w:t>поручает</w:t>
      </w:r>
      <w:r w:rsidRPr="00E9086D">
        <w:rPr>
          <w:kern w:val="22"/>
          <w:szCs w:val="22"/>
          <w:lang w:val="ru-RU"/>
        </w:rPr>
        <w:t xml:space="preserve"> Исполнительному секретарю: a) обобщить информацию, представленную в соответствии с пунктом 2 выше, b) организовать координируемые дискуссии в рамках онлайнового форума для представления замечаний и мнений по обзору представленных материалов, c) выбрать в консультации с бюро Конференции Сторон, выступающей в качестве Совещания Сторон Картахенского протокола, двух докладчиков для подведения итогов работы координируемого онлайнового форума и подготовки доклада;</w:t>
      </w:r>
    </w:p>
    <w:p w14:paraId="33EA0356" w14:textId="77777777" w:rsidR="00E9086D" w:rsidRPr="00E9086D" w:rsidRDefault="00E9086D" w:rsidP="00E9086D">
      <w:pPr>
        <w:pStyle w:val="Para1"/>
        <w:numPr>
          <w:ilvl w:val="0"/>
          <w:numId w:val="2"/>
        </w:numPr>
        <w:tabs>
          <w:tab w:val="clear" w:pos="360"/>
        </w:tabs>
        <w:ind w:firstLine="720"/>
        <w:rPr>
          <w:kern w:val="22"/>
          <w:szCs w:val="22"/>
          <w:lang w:val="ru-RU"/>
        </w:rPr>
      </w:pPr>
      <w:r w:rsidRPr="00E9086D">
        <w:rPr>
          <w:i/>
          <w:kern w:val="22"/>
          <w:szCs w:val="22"/>
          <w:lang w:val="ru-RU"/>
        </w:rPr>
        <w:t>продляет</w:t>
      </w:r>
      <w:r w:rsidRPr="00E9086D">
        <w:rPr>
          <w:kern w:val="22"/>
          <w:szCs w:val="22"/>
          <w:lang w:val="ru-RU"/>
        </w:rPr>
        <w:t xml:space="preserve"> мандат Специальной группы технических экспертов по социально-экономическим соображениям для обзора итогов онлайнового форума в соответствии с кругом полномочий, приведенным в приложении, и </w:t>
      </w:r>
      <w:r w:rsidRPr="00E9086D">
        <w:rPr>
          <w:i/>
          <w:kern w:val="22"/>
          <w:szCs w:val="22"/>
          <w:lang w:val="ru-RU"/>
        </w:rPr>
        <w:t>поручает</w:t>
      </w:r>
      <w:r w:rsidRPr="00E9086D">
        <w:rPr>
          <w:kern w:val="22"/>
          <w:szCs w:val="22"/>
          <w:lang w:val="ru-RU"/>
        </w:rPr>
        <w:t xml:space="preserve"> Исполнительному секретарю при условии наличия ресурсов созвать очное совещание Группы;</w:t>
      </w:r>
    </w:p>
    <w:p w14:paraId="338ECFD0" w14:textId="62C01E3E" w:rsidR="00E9086D" w:rsidRPr="00E9086D" w:rsidRDefault="00E9086D" w:rsidP="00E9086D">
      <w:pPr>
        <w:pStyle w:val="Para1"/>
        <w:numPr>
          <w:ilvl w:val="0"/>
          <w:numId w:val="2"/>
        </w:numPr>
        <w:tabs>
          <w:tab w:val="clear" w:pos="360"/>
        </w:tabs>
        <w:ind w:firstLine="720"/>
        <w:rPr>
          <w:kern w:val="22"/>
          <w:szCs w:val="22"/>
          <w:lang w:val="ru-RU"/>
        </w:rPr>
      </w:pPr>
      <w:r w:rsidRPr="00E9086D">
        <w:rPr>
          <w:i/>
          <w:kern w:val="22"/>
          <w:szCs w:val="22"/>
          <w:lang w:val="ru-RU"/>
        </w:rPr>
        <w:t>постановляет</w:t>
      </w:r>
      <w:r w:rsidR="005B694D">
        <w:rPr>
          <w:kern w:val="22"/>
          <w:szCs w:val="22"/>
          <w:lang w:val="ru-RU"/>
        </w:rPr>
        <w:t xml:space="preserve"> рассмотреть </w:t>
      </w:r>
      <w:r w:rsidRPr="00E9086D">
        <w:rPr>
          <w:kern w:val="22"/>
          <w:szCs w:val="22"/>
          <w:lang w:val="ru-RU"/>
        </w:rPr>
        <w:t>итоги описанного выше процесса</w:t>
      </w:r>
      <w:r w:rsidR="00380CC3">
        <w:rPr>
          <w:kern w:val="22"/>
          <w:szCs w:val="22"/>
          <w:lang w:val="ru-RU"/>
        </w:rPr>
        <w:t xml:space="preserve"> на своем десятом</w:t>
      </w:r>
      <w:r w:rsidR="00380CC3" w:rsidRPr="00E9086D">
        <w:rPr>
          <w:kern w:val="22"/>
          <w:szCs w:val="22"/>
          <w:lang w:val="ru-RU"/>
        </w:rPr>
        <w:t xml:space="preserve"> совещании</w:t>
      </w:r>
      <w:r w:rsidRPr="00E9086D">
        <w:rPr>
          <w:kern w:val="22"/>
          <w:szCs w:val="22"/>
          <w:lang w:val="ru-RU"/>
        </w:rPr>
        <w:t>.</w:t>
      </w:r>
    </w:p>
    <w:p w14:paraId="08C739AE" w14:textId="77777777" w:rsidR="00E9086D" w:rsidRPr="00E9086D" w:rsidRDefault="00E9086D" w:rsidP="00E9086D">
      <w:pPr>
        <w:suppressLineNumbers/>
        <w:suppressAutoHyphens/>
        <w:kinsoku w:val="0"/>
        <w:overflowPunct w:val="0"/>
        <w:autoSpaceDE w:val="0"/>
        <w:autoSpaceDN w:val="0"/>
        <w:snapToGrid w:val="0"/>
        <w:spacing w:before="120" w:after="120"/>
        <w:jc w:val="center"/>
        <w:rPr>
          <w:kern w:val="22"/>
          <w:szCs w:val="22"/>
          <w:lang w:val="ru-RU"/>
        </w:rPr>
      </w:pPr>
      <w:r w:rsidRPr="00E9086D">
        <w:rPr>
          <w:i/>
          <w:kern w:val="22"/>
          <w:szCs w:val="22"/>
          <w:lang w:val="ru-RU"/>
        </w:rPr>
        <w:t>Приложение</w:t>
      </w:r>
    </w:p>
    <w:p w14:paraId="5DFC76E4" w14:textId="77777777" w:rsidR="00E9086D" w:rsidRPr="00E9086D" w:rsidRDefault="00E9086D" w:rsidP="00E9086D">
      <w:pPr>
        <w:suppressLineNumbers/>
        <w:suppressAutoHyphens/>
        <w:kinsoku w:val="0"/>
        <w:overflowPunct w:val="0"/>
        <w:autoSpaceDE w:val="0"/>
        <w:autoSpaceDN w:val="0"/>
        <w:snapToGrid w:val="0"/>
        <w:spacing w:before="120" w:after="120"/>
        <w:jc w:val="center"/>
        <w:rPr>
          <w:b/>
          <w:kern w:val="22"/>
          <w:szCs w:val="22"/>
          <w:lang w:val="ru-RU"/>
        </w:rPr>
      </w:pPr>
      <w:r w:rsidRPr="00E9086D">
        <w:rPr>
          <w:b/>
          <w:kern w:val="22"/>
          <w:szCs w:val="22"/>
          <w:lang w:val="ru-RU"/>
        </w:rPr>
        <w:t>КРУГ ПОЛНОМОЧИЙ СПЕЦИАЛЬНОЙ ГРУППЫ ТЕХНИЧЕСКИХ ЭКСПЕРТОВ ПО СОЦИАЛЬНО-ЭКОНОМИЧЕСКИМ СООБРАЖЕНИЯМ</w:t>
      </w:r>
    </w:p>
    <w:p w14:paraId="3969E8E3" w14:textId="77777777" w:rsidR="00E9086D" w:rsidRPr="00E9086D" w:rsidRDefault="00E9086D" w:rsidP="00E9086D">
      <w:pPr>
        <w:suppressLineNumbers/>
        <w:suppressAutoHyphens/>
        <w:kinsoku w:val="0"/>
        <w:overflowPunct w:val="0"/>
        <w:autoSpaceDE w:val="0"/>
        <w:autoSpaceDN w:val="0"/>
        <w:snapToGrid w:val="0"/>
        <w:spacing w:before="120" w:after="120"/>
        <w:ind w:firstLine="720"/>
        <w:rPr>
          <w:kern w:val="22"/>
          <w:szCs w:val="22"/>
          <w:lang w:val="ru-RU"/>
        </w:rPr>
      </w:pPr>
      <w:r w:rsidRPr="00E9086D">
        <w:rPr>
          <w:kern w:val="22"/>
          <w:szCs w:val="22"/>
          <w:lang w:val="ru-RU"/>
        </w:rPr>
        <w:t>Специальная группа технических экспертов по социально-экономическим соображениям:</w:t>
      </w:r>
    </w:p>
    <w:p w14:paraId="2F18210F" w14:textId="5E38964B" w:rsidR="00E9086D" w:rsidRPr="00E9086D" w:rsidRDefault="00E9086D" w:rsidP="00E9086D">
      <w:pPr>
        <w:suppressLineNumbers/>
        <w:suppressAutoHyphens/>
        <w:kinsoku w:val="0"/>
        <w:overflowPunct w:val="0"/>
        <w:autoSpaceDE w:val="0"/>
        <w:autoSpaceDN w:val="0"/>
        <w:snapToGrid w:val="0"/>
        <w:spacing w:before="120" w:after="120"/>
        <w:ind w:firstLine="720"/>
        <w:rPr>
          <w:kern w:val="22"/>
          <w:szCs w:val="22"/>
          <w:lang w:val="ru-RU"/>
        </w:rPr>
      </w:pPr>
      <w:r w:rsidRPr="00E9086D">
        <w:rPr>
          <w:kern w:val="22"/>
          <w:szCs w:val="22"/>
          <w:lang w:val="ru-RU"/>
        </w:rPr>
        <w:t>a)</w:t>
      </w:r>
      <w:r w:rsidRPr="00E9086D">
        <w:rPr>
          <w:kern w:val="22"/>
          <w:szCs w:val="22"/>
          <w:lang w:val="ru-RU"/>
        </w:rPr>
        <w:tab/>
        <w:t>проводит обзор материалов, представленных в соответс</w:t>
      </w:r>
      <w:r w:rsidR="003F1C6C">
        <w:rPr>
          <w:kern w:val="22"/>
          <w:szCs w:val="22"/>
          <w:lang w:val="ru-RU"/>
        </w:rPr>
        <w:t>твии с пунктом 2 решения CP-9/14</w:t>
      </w:r>
      <w:r w:rsidRPr="00E9086D">
        <w:rPr>
          <w:kern w:val="22"/>
          <w:szCs w:val="22"/>
          <w:lang w:val="ru-RU"/>
        </w:rPr>
        <w:t xml:space="preserve">, и итогов работы координируемого онлайнового форума и использует эту информацию для дополнения добровольных Руководящих указаний путем </w:t>
      </w:r>
      <w:r w:rsidR="00114452">
        <w:rPr>
          <w:kern w:val="22"/>
          <w:szCs w:val="22"/>
          <w:lang w:val="ru-RU"/>
        </w:rPr>
        <w:t>обозначения</w:t>
      </w:r>
      <w:r w:rsidRPr="00E9086D">
        <w:rPr>
          <w:kern w:val="22"/>
          <w:szCs w:val="22"/>
          <w:lang w:val="ru-RU"/>
        </w:rPr>
        <w:t xml:space="preserve"> этапа процесса оценки, описанного в добровольных Руководящих указаниях, к которому может относиться соответствующая информация;</w:t>
      </w:r>
    </w:p>
    <w:p w14:paraId="72FEFCED" w14:textId="78837CC3" w:rsidR="0042549B" w:rsidRPr="004E3A0F" w:rsidRDefault="00E9086D" w:rsidP="004E3A0F">
      <w:pPr>
        <w:suppressLineNumbers/>
        <w:suppressAutoHyphens/>
        <w:kinsoku w:val="0"/>
        <w:overflowPunct w:val="0"/>
        <w:autoSpaceDE w:val="0"/>
        <w:autoSpaceDN w:val="0"/>
        <w:snapToGrid w:val="0"/>
        <w:spacing w:before="120" w:after="120"/>
        <w:ind w:firstLine="720"/>
        <w:rPr>
          <w:kern w:val="22"/>
          <w:szCs w:val="22"/>
          <w:lang w:val="ru-RU"/>
        </w:rPr>
      </w:pPr>
      <w:r w:rsidRPr="00E9086D">
        <w:rPr>
          <w:kern w:val="22"/>
          <w:szCs w:val="22"/>
          <w:lang w:val="ru-RU"/>
        </w:rPr>
        <w:t>b)</w:t>
      </w:r>
      <w:r w:rsidRPr="00E9086D">
        <w:rPr>
          <w:kern w:val="22"/>
          <w:szCs w:val="22"/>
          <w:lang w:val="ru-RU"/>
        </w:rPr>
        <w:tab/>
        <w:t xml:space="preserve">на основе этого обзора подготавливает доклад о своей работе и представляет его для рассмотрения </w:t>
      </w:r>
      <w:r w:rsidR="00C50F0D">
        <w:rPr>
          <w:kern w:val="22"/>
          <w:szCs w:val="22"/>
          <w:lang w:val="ru-RU"/>
        </w:rPr>
        <w:t>на</w:t>
      </w:r>
      <w:r w:rsidR="00C50F0D" w:rsidRPr="00E9086D">
        <w:rPr>
          <w:kern w:val="22"/>
          <w:szCs w:val="22"/>
          <w:lang w:val="ru-RU"/>
        </w:rPr>
        <w:t xml:space="preserve"> десятом совещани</w:t>
      </w:r>
      <w:r w:rsidR="00C50F0D">
        <w:rPr>
          <w:kern w:val="22"/>
          <w:szCs w:val="22"/>
          <w:lang w:val="ru-RU"/>
        </w:rPr>
        <w:t>и Конференции</w:t>
      </w:r>
      <w:r w:rsidRPr="00E9086D">
        <w:rPr>
          <w:kern w:val="22"/>
          <w:szCs w:val="22"/>
          <w:lang w:val="ru-RU"/>
        </w:rPr>
        <w:t xml:space="preserve"> Сторон, выступающей в качестве Совещания </w:t>
      </w:r>
      <w:r w:rsidR="00C50F0D">
        <w:rPr>
          <w:kern w:val="22"/>
          <w:szCs w:val="22"/>
          <w:lang w:val="ru-RU"/>
        </w:rPr>
        <w:t>Сторон Картахенского протокола</w:t>
      </w:r>
      <w:r w:rsidRPr="00E9086D">
        <w:rPr>
          <w:kern w:val="22"/>
          <w:szCs w:val="22"/>
          <w:lang w:val="ru-RU"/>
        </w:rPr>
        <w:t>.</w:t>
      </w:r>
    </w:p>
    <w:p w14:paraId="3B3A128C" w14:textId="77777777" w:rsidR="0042549B" w:rsidRPr="00E9086D" w:rsidRDefault="0042549B" w:rsidP="00FF3BC8">
      <w:pPr>
        <w:jc w:val="center"/>
        <w:rPr>
          <w:lang w:val="ru-RU"/>
        </w:rPr>
      </w:pPr>
    </w:p>
    <w:p w14:paraId="3DE667D7" w14:textId="77777777" w:rsidR="00C9161D" w:rsidRPr="00E9086D" w:rsidRDefault="00C9161D" w:rsidP="00FF3BC8">
      <w:pPr>
        <w:jc w:val="center"/>
        <w:rPr>
          <w:lang w:val="ru-RU"/>
        </w:rPr>
      </w:pPr>
      <w:r w:rsidRPr="00E9086D">
        <w:rPr>
          <w:lang w:val="ru-RU"/>
        </w:rPr>
        <w:t>______</w:t>
      </w:r>
    </w:p>
    <w:p w14:paraId="4B2A7AEC" w14:textId="77777777" w:rsidR="00B3369F" w:rsidRPr="00E9086D" w:rsidRDefault="00B3369F" w:rsidP="00FF3BC8">
      <w:pPr>
        <w:rPr>
          <w:lang w:val="ru-RU"/>
        </w:rPr>
      </w:pPr>
    </w:p>
    <w:sectPr w:rsidR="00B3369F" w:rsidRPr="00E9086D" w:rsidSect="00811F14">
      <w:headerReference w:type="even" r:id="rId15"/>
      <w:headerReference w:type="default" r:id="rId16"/>
      <w:pgSz w:w="12240" w:h="15840"/>
      <w:pgMar w:top="426"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62D2F" w14:textId="77777777" w:rsidR="007417CC" w:rsidRDefault="007417CC" w:rsidP="00CF1848">
      <w:r>
        <w:separator/>
      </w:r>
    </w:p>
  </w:endnote>
  <w:endnote w:type="continuationSeparator" w:id="0">
    <w:p w14:paraId="1793C537" w14:textId="77777777" w:rsidR="007417CC" w:rsidRDefault="007417CC"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00"/>
    <w:family w:val="auto"/>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84A0A" w14:textId="77777777" w:rsidR="007417CC" w:rsidRDefault="007417CC" w:rsidP="00CF1848">
      <w:r>
        <w:separator/>
      </w:r>
    </w:p>
  </w:footnote>
  <w:footnote w:type="continuationSeparator" w:id="0">
    <w:p w14:paraId="25ABE106" w14:textId="77777777" w:rsidR="007417CC" w:rsidRDefault="007417CC" w:rsidP="00CF1848">
      <w:r>
        <w:continuationSeparator/>
      </w:r>
    </w:p>
  </w:footnote>
  <w:footnote w:id="1">
    <w:p w14:paraId="504B13BB" w14:textId="77777777" w:rsidR="00E9086D" w:rsidRPr="009814C0" w:rsidRDefault="00E9086D" w:rsidP="00E9086D">
      <w:pPr>
        <w:pStyle w:val="FootnoteText"/>
        <w:ind w:firstLine="0"/>
        <w:rPr>
          <w:lang w:val="ru-RU"/>
        </w:rPr>
      </w:pPr>
      <w:r>
        <w:rPr>
          <w:rStyle w:val="FootnoteReference"/>
        </w:rPr>
        <w:footnoteRef/>
      </w:r>
      <w:r w:rsidRPr="009814C0">
        <w:rPr>
          <w:lang w:val="ru-RU"/>
        </w:rPr>
        <w:t xml:space="preserve"> </w:t>
      </w:r>
      <w:r>
        <w:rPr>
          <w:lang w:val="ru-RU"/>
        </w:rPr>
        <w:t>Приводятся в приложении к документу</w:t>
      </w:r>
      <w:r w:rsidRPr="009814C0">
        <w:rPr>
          <w:lang w:val="ru-RU"/>
        </w:rPr>
        <w:t xml:space="preserve"> </w:t>
      </w:r>
      <w:r>
        <w:rPr>
          <w:snapToGrid w:val="0"/>
          <w:color w:val="000000"/>
          <w:kern w:val="22"/>
        </w:rPr>
        <w:t>CBD</w:t>
      </w:r>
      <w:r w:rsidRPr="009814C0">
        <w:rPr>
          <w:snapToGrid w:val="0"/>
          <w:color w:val="000000"/>
          <w:kern w:val="22"/>
          <w:lang w:val="ru-RU"/>
        </w:rPr>
        <w:t>/</w:t>
      </w:r>
      <w:r>
        <w:rPr>
          <w:snapToGrid w:val="0"/>
          <w:color w:val="000000"/>
          <w:kern w:val="22"/>
        </w:rPr>
        <w:t>CP</w:t>
      </w:r>
      <w:r w:rsidRPr="009814C0">
        <w:rPr>
          <w:snapToGrid w:val="0"/>
          <w:color w:val="000000"/>
          <w:kern w:val="22"/>
          <w:lang w:val="ru-RU"/>
        </w:rPr>
        <w:t>/</w:t>
      </w:r>
      <w:r>
        <w:rPr>
          <w:snapToGrid w:val="0"/>
          <w:color w:val="000000"/>
          <w:kern w:val="22"/>
        </w:rPr>
        <w:t>MOP</w:t>
      </w:r>
      <w:r>
        <w:rPr>
          <w:snapToGrid w:val="0"/>
          <w:color w:val="000000"/>
          <w:kern w:val="22"/>
          <w:lang w:val="ru-RU"/>
        </w:rPr>
        <w:t>/9/10</w:t>
      </w:r>
      <w:r w:rsidRPr="009814C0">
        <w:rPr>
          <w:snapToGrid w:val="0"/>
          <w:color w:val="000000"/>
          <w:kern w:val="22"/>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ru-RU"/>
      </w:rPr>
      <w:alias w:val="Subject"/>
      <w:tag w:val=""/>
      <w:id w:val="105164689"/>
      <w:dataBinding w:prefixMappings="xmlns:ns0='http://purl.org/dc/elements/1.1/' xmlns:ns1='http://schemas.openxmlformats.org/package/2006/metadata/core-properties' " w:xpath="/ns1:coreProperties[1]/ns0:subject[1]" w:storeItemID="{6C3C8BC8-F283-45AE-878A-BAB7291924A1}"/>
      <w:text/>
    </w:sdtPr>
    <w:sdtEndPr/>
    <w:sdtContent>
      <w:p w14:paraId="1F2869E3" w14:textId="582C652F" w:rsidR="00534681" w:rsidRPr="000715C5" w:rsidRDefault="00DF2A45" w:rsidP="00534681">
        <w:pPr>
          <w:pStyle w:val="Header"/>
          <w:rPr>
            <w:lang w:val="ru-RU"/>
          </w:rPr>
        </w:pPr>
        <w:r w:rsidRPr="00F6573A">
          <w:rPr>
            <w:lang w:val="ru-RU"/>
          </w:rPr>
          <w:t>CBD</w:t>
        </w:r>
        <w:r w:rsidRPr="00F6573A">
          <w:rPr>
            <w:lang w:val="ru-RU"/>
          </w:rPr>
          <w:t>/CP/MOP/DEC/9/14</w:t>
        </w:r>
      </w:p>
    </w:sdtContent>
  </w:sdt>
  <w:p w14:paraId="6C72F870" w14:textId="77777777" w:rsidR="00534681" w:rsidRPr="00F6573A" w:rsidRDefault="00FF3BC8" w:rsidP="00534681">
    <w:pPr>
      <w:pStyle w:val="Header"/>
      <w:rPr>
        <w:lang w:val="ru-RU"/>
      </w:rPr>
    </w:pPr>
    <w:r>
      <w:rPr>
        <w:lang w:val="ru-RU"/>
      </w:rPr>
      <w:t>Страница</w:t>
    </w:r>
    <w:r w:rsidR="00534681" w:rsidRPr="00F6573A">
      <w:rPr>
        <w:lang w:val="ru-RU"/>
      </w:rPr>
      <w:t xml:space="preserve"> </w:t>
    </w:r>
    <w:r w:rsidR="0055524E">
      <w:fldChar w:fldCharType="begin"/>
    </w:r>
    <w:r w:rsidR="00534681" w:rsidRPr="00F6573A">
      <w:rPr>
        <w:lang w:val="ru-RU"/>
      </w:rPr>
      <w:instrText xml:space="preserve"> </w:instrText>
    </w:r>
    <w:r w:rsidR="00534681" w:rsidRPr="00000614">
      <w:rPr>
        <w:lang w:val="fr-FR"/>
      </w:rPr>
      <w:instrText>PAGE</w:instrText>
    </w:r>
    <w:r w:rsidR="00534681" w:rsidRPr="00F6573A">
      <w:rPr>
        <w:lang w:val="ru-RU"/>
      </w:rPr>
      <w:instrText xml:space="preserve">   \* </w:instrText>
    </w:r>
    <w:r w:rsidR="00534681" w:rsidRPr="00000614">
      <w:rPr>
        <w:lang w:val="fr-FR"/>
      </w:rPr>
      <w:instrText>MERGEFORMAT</w:instrText>
    </w:r>
    <w:r w:rsidR="00534681" w:rsidRPr="00F6573A">
      <w:rPr>
        <w:lang w:val="ru-RU"/>
      </w:rPr>
      <w:instrText xml:space="preserve"> </w:instrText>
    </w:r>
    <w:r w:rsidR="0055524E">
      <w:fldChar w:fldCharType="separate"/>
    </w:r>
    <w:r w:rsidR="00C50F0D" w:rsidRPr="00F6573A">
      <w:rPr>
        <w:noProof/>
        <w:lang w:val="ru-RU"/>
      </w:rPr>
      <w:t>2</w:t>
    </w:r>
    <w:r w:rsidR="0055524E">
      <w:rPr>
        <w:noProof/>
      </w:rPr>
      <w:fldChar w:fldCharType="end"/>
    </w:r>
  </w:p>
  <w:p w14:paraId="11B1CBC3" w14:textId="77777777" w:rsidR="00534681" w:rsidRPr="00F6573A" w:rsidRDefault="00534681">
    <w:pPr>
      <w:pStyle w:val="Header"/>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ru-RU"/>
      </w:rPr>
      <w:alias w:val="Subject"/>
      <w:tag w:val=""/>
      <w:id w:val="-1179114370"/>
      <w:dataBinding w:prefixMappings="xmlns:ns0='http://purl.org/dc/elements/1.1/' xmlns:ns1='http://schemas.openxmlformats.org/package/2006/metadata/core-properties' " w:xpath="/ns1:coreProperties[1]/ns0:subject[1]" w:storeItemID="{6C3C8BC8-F283-45AE-878A-BAB7291924A1}"/>
      <w:text/>
    </w:sdtPr>
    <w:sdtEndPr/>
    <w:sdtContent>
      <w:p w14:paraId="5214AE98" w14:textId="41E4A139" w:rsidR="009505C9" w:rsidRPr="000715C5" w:rsidRDefault="00DF2A45" w:rsidP="009505C9">
        <w:pPr>
          <w:pStyle w:val="Header"/>
          <w:jc w:val="right"/>
          <w:rPr>
            <w:lang w:val="ru-RU"/>
          </w:rPr>
        </w:pPr>
        <w:r w:rsidRPr="00F6573A">
          <w:rPr>
            <w:lang w:val="ru-RU"/>
          </w:rPr>
          <w:t>CBD</w:t>
        </w:r>
        <w:r w:rsidRPr="00F6573A">
          <w:rPr>
            <w:lang w:val="ru-RU"/>
          </w:rPr>
          <w:t>/CP/MOP/DEC/9/14</w:t>
        </w:r>
      </w:p>
    </w:sdtContent>
  </w:sdt>
  <w:p w14:paraId="7E7AD0C3" w14:textId="77777777" w:rsidR="009505C9" w:rsidRPr="00F6573A" w:rsidRDefault="00195F6B" w:rsidP="009505C9">
    <w:pPr>
      <w:pStyle w:val="Header"/>
      <w:jc w:val="right"/>
      <w:rPr>
        <w:lang w:val="ru-RU"/>
      </w:rPr>
    </w:pPr>
    <w:r>
      <w:rPr>
        <w:lang w:val="ru-RU"/>
      </w:rPr>
      <w:t>Страница</w:t>
    </w:r>
    <w:r w:rsidR="009505C9" w:rsidRPr="00F6573A">
      <w:rPr>
        <w:lang w:val="ru-RU"/>
      </w:rPr>
      <w:t xml:space="preserve"> </w:t>
    </w:r>
    <w:r w:rsidR="0055524E">
      <w:fldChar w:fldCharType="begin"/>
    </w:r>
    <w:r w:rsidR="009505C9" w:rsidRPr="00F6573A">
      <w:rPr>
        <w:lang w:val="ru-RU"/>
      </w:rPr>
      <w:instrText xml:space="preserve"> </w:instrText>
    </w:r>
    <w:r w:rsidR="009505C9" w:rsidRPr="00000614">
      <w:rPr>
        <w:lang w:val="fr-FR"/>
      </w:rPr>
      <w:instrText>PAGE</w:instrText>
    </w:r>
    <w:r w:rsidR="009505C9" w:rsidRPr="00F6573A">
      <w:rPr>
        <w:lang w:val="ru-RU"/>
      </w:rPr>
      <w:instrText xml:space="preserve">   \* </w:instrText>
    </w:r>
    <w:r w:rsidR="009505C9" w:rsidRPr="00000614">
      <w:rPr>
        <w:lang w:val="fr-FR"/>
      </w:rPr>
      <w:instrText>MERGEFORMAT</w:instrText>
    </w:r>
    <w:r w:rsidR="009505C9" w:rsidRPr="00F6573A">
      <w:rPr>
        <w:lang w:val="ru-RU"/>
      </w:rPr>
      <w:instrText xml:space="preserve"> </w:instrText>
    </w:r>
    <w:r w:rsidR="0055524E">
      <w:fldChar w:fldCharType="separate"/>
    </w:r>
    <w:r w:rsidR="00E9086D" w:rsidRPr="00F6573A">
      <w:rPr>
        <w:noProof/>
        <w:lang w:val="ru-RU"/>
      </w:rPr>
      <w:t>3</w:t>
    </w:r>
    <w:r w:rsidR="0055524E">
      <w:rPr>
        <w:noProof/>
      </w:rPr>
      <w:fldChar w:fldCharType="end"/>
    </w:r>
  </w:p>
  <w:p w14:paraId="48A7B6FC" w14:textId="77777777" w:rsidR="009505C9" w:rsidRPr="00F6573A" w:rsidRDefault="009505C9">
    <w:pPr>
      <w:pStyle w:val="Head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7868"/>
    <w:multiLevelType w:val="hybridMultilevel"/>
    <w:tmpl w:val="D916D63A"/>
    <w:lvl w:ilvl="0" w:tplc="29109CA6">
      <w:start w:val="1"/>
      <w:numFmt w:val="decimal"/>
      <w:lvlText w:val="%1."/>
      <w:lvlJc w:val="left"/>
      <w:pPr>
        <w:ind w:left="644" w:hanging="360"/>
      </w:pPr>
      <w:rPr>
        <w:rFonts w:ascii="Times New Roman" w:eastAsia="Times New Roman" w:hAnsi="Times New Roman" w:cs="Times New Roman"/>
        <w:b w:val="0"/>
        <w:i w:val="0"/>
      </w:rPr>
    </w:lvl>
    <w:lvl w:ilvl="1" w:tplc="133C4270">
      <w:start w:val="1"/>
      <w:numFmt w:val="lowerLetter"/>
      <w:lvlText w:val="(%2)"/>
      <w:lvlJc w:val="left"/>
      <w:pPr>
        <w:ind w:left="1364" w:hanging="360"/>
      </w:pPr>
      <w:rPr>
        <w:rFonts w:hint="default"/>
        <w:b w:val="0"/>
        <w:i w:val="0"/>
      </w:rPr>
    </w:lvl>
    <w:lvl w:ilvl="2" w:tplc="1009001B">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 w15:restartNumberingAfterBreak="0">
    <w:nsid w:val="042B04EE"/>
    <w:multiLevelType w:val="hybridMultilevel"/>
    <w:tmpl w:val="A5AA06B8"/>
    <w:lvl w:ilvl="0" w:tplc="2456457E">
      <w:start w:val="1"/>
      <w:numFmt w:val="decimal"/>
      <w:lvlText w:val="%1."/>
      <w:lvlJc w:val="left"/>
      <w:pPr>
        <w:ind w:left="644" w:hanging="360"/>
      </w:pPr>
      <w:rPr>
        <w:rFonts w:ascii="Times New Roman" w:eastAsia="Times New Roman" w:hAnsi="Times New Roman" w:cs="Times New Roman"/>
        <w:i w:val="0"/>
      </w:rPr>
    </w:lvl>
    <w:lvl w:ilvl="1" w:tplc="10090019">
      <w:start w:val="1"/>
      <w:numFmt w:val="lowerLetter"/>
      <w:lvlText w:val="%2."/>
      <w:lvlJc w:val="left"/>
      <w:pPr>
        <w:ind w:left="1364" w:hanging="360"/>
      </w:pPr>
    </w:lvl>
    <w:lvl w:ilvl="2" w:tplc="1009001B">
      <w:start w:val="1"/>
      <w:numFmt w:val="lowerRoman"/>
      <w:lvlText w:val="%3."/>
      <w:lvlJc w:val="right"/>
      <w:pPr>
        <w:ind w:left="2084" w:hanging="180"/>
      </w:pPr>
    </w:lvl>
    <w:lvl w:ilvl="3" w:tplc="1009000F">
      <w:start w:val="1"/>
      <w:numFmt w:val="decimal"/>
      <w:lvlText w:val="%4."/>
      <w:lvlJc w:val="left"/>
      <w:pPr>
        <w:ind w:left="2804" w:hanging="360"/>
      </w:pPr>
    </w:lvl>
    <w:lvl w:ilvl="4" w:tplc="10090019">
      <w:start w:val="1"/>
      <w:numFmt w:val="lowerLetter"/>
      <w:lvlText w:val="%5."/>
      <w:lvlJc w:val="left"/>
      <w:pPr>
        <w:ind w:left="3524" w:hanging="360"/>
      </w:pPr>
    </w:lvl>
    <w:lvl w:ilvl="5" w:tplc="1009001B">
      <w:start w:val="1"/>
      <w:numFmt w:val="lowerRoman"/>
      <w:lvlText w:val="%6."/>
      <w:lvlJc w:val="right"/>
      <w:pPr>
        <w:ind w:left="4244" w:hanging="180"/>
      </w:pPr>
    </w:lvl>
    <w:lvl w:ilvl="6" w:tplc="1009000F">
      <w:start w:val="1"/>
      <w:numFmt w:val="decimal"/>
      <w:lvlText w:val="%7."/>
      <w:lvlJc w:val="left"/>
      <w:pPr>
        <w:ind w:left="4964" w:hanging="360"/>
      </w:pPr>
    </w:lvl>
    <w:lvl w:ilvl="7" w:tplc="10090019">
      <w:start w:val="1"/>
      <w:numFmt w:val="lowerLetter"/>
      <w:lvlText w:val="%8."/>
      <w:lvlJc w:val="left"/>
      <w:pPr>
        <w:ind w:left="5684" w:hanging="360"/>
      </w:pPr>
    </w:lvl>
    <w:lvl w:ilvl="8" w:tplc="1009001B">
      <w:start w:val="1"/>
      <w:numFmt w:val="lowerRoman"/>
      <w:lvlText w:val="%9."/>
      <w:lvlJc w:val="right"/>
      <w:pPr>
        <w:ind w:left="6404" w:hanging="180"/>
      </w:p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F2D03A2"/>
    <w:multiLevelType w:val="hybridMultilevel"/>
    <w:tmpl w:val="562E77C0"/>
    <w:lvl w:ilvl="0" w:tplc="040C0017">
      <w:start w:val="1"/>
      <w:numFmt w:val="lowerLetter"/>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28383C9C"/>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0D6AEB"/>
    <w:multiLevelType w:val="multilevel"/>
    <w:tmpl w:val="F4A4C8DE"/>
    <w:lvl w:ilvl="0">
      <w:start w:val="1"/>
      <w:numFmt w:val="decimal"/>
      <w:lvlText w:val="%1."/>
      <w:lvlJc w:val="left"/>
      <w:pPr>
        <w:tabs>
          <w:tab w:val="num" w:pos="360"/>
        </w:tabs>
        <w:ind w:left="0" w:firstLine="0"/>
      </w:pPr>
      <w:rPr>
        <w:rFonts w:ascii="Times New Roman" w:hAnsi="Times New Roman" w:cs="Times New Roman" w:hint="default"/>
        <w:b w:val="0"/>
        <w:i w:val="0"/>
        <w:color w:val="auto"/>
        <w:sz w:val="22"/>
        <w:lang w:val="ru-RU"/>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0B4A1F"/>
    <w:multiLevelType w:val="multilevel"/>
    <w:tmpl w:val="7DAA4052"/>
    <w:lvl w:ilvl="0">
      <w:start w:val="1"/>
      <w:numFmt w:val="lowerLetter"/>
      <w:lvlText w:val="%1)"/>
      <w:lvlJc w:val="left"/>
      <w:pPr>
        <w:tabs>
          <w:tab w:val="num" w:pos="360"/>
        </w:tabs>
        <w:ind w:left="0" w:firstLine="0"/>
      </w:pPr>
      <w:rPr>
        <w:rFonts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9"/>
  </w:num>
  <w:num w:numId="3">
    <w:abstractNumId w:val="7"/>
  </w:num>
  <w:num w:numId="4">
    <w:abstractNumId w:val="9"/>
  </w:num>
  <w:num w:numId="5">
    <w:abstractNumId w:val="8"/>
  </w:num>
  <w:num w:numId="6">
    <w:abstractNumId w:val="2"/>
  </w:num>
  <w:num w:numId="7">
    <w:abstractNumId w:val="4"/>
  </w:num>
  <w:num w:numId="8">
    <w:abstractNumId w:val="7"/>
    <w:lvlOverride w:ilvl="0">
      <w:startOverride w:val="1"/>
    </w:lvlOverride>
  </w:num>
  <w:num w:numId="9">
    <w:abstractNumId w:val="13"/>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1"/>
  </w:num>
  <w:num w:numId="15">
    <w:abstractNumId w:val="10"/>
  </w:num>
  <w:num w:numId="16">
    <w:abstractNumId w:val="3"/>
  </w:num>
  <w:num w:numId="17">
    <w:abstractNumId w:val="14"/>
  </w:num>
  <w:num w:numId="18">
    <w:abstractNumId w:val="15"/>
  </w:num>
  <w:num w:numId="19">
    <w:abstractNumId w:val="0"/>
  </w:num>
  <w:num w:numId="20">
    <w:abstractNumId w:val="6"/>
  </w:num>
  <w:num w:numId="21">
    <w:abstractNumId w:val="16"/>
  </w:num>
  <w:num w:numId="22">
    <w:abstractNumId w:val="1"/>
  </w:num>
  <w:num w:numId="23">
    <w:abstractNumId w:val="12"/>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2292D"/>
    <w:rsid w:val="00064057"/>
    <w:rsid w:val="000715C5"/>
    <w:rsid w:val="000E673A"/>
    <w:rsid w:val="000F74F5"/>
    <w:rsid w:val="00105372"/>
    <w:rsid w:val="00114452"/>
    <w:rsid w:val="00131E7A"/>
    <w:rsid w:val="001372FB"/>
    <w:rsid w:val="00172AF6"/>
    <w:rsid w:val="00176CEE"/>
    <w:rsid w:val="00183A79"/>
    <w:rsid w:val="00195F6B"/>
    <w:rsid w:val="001F2572"/>
    <w:rsid w:val="001F5F38"/>
    <w:rsid w:val="00203480"/>
    <w:rsid w:val="00277168"/>
    <w:rsid w:val="002A68C3"/>
    <w:rsid w:val="0031777B"/>
    <w:rsid w:val="00340509"/>
    <w:rsid w:val="00350862"/>
    <w:rsid w:val="003640D8"/>
    <w:rsid w:val="00366138"/>
    <w:rsid w:val="00372F74"/>
    <w:rsid w:val="00380CC3"/>
    <w:rsid w:val="003D0330"/>
    <w:rsid w:val="003F1C6C"/>
    <w:rsid w:val="003F7224"/>
    <w:rsid w:val="00405146"/>
    <w:rsid w:val="00421573"/>
    <w:rsid w:val="0042412C"/>
    <w:rsid w:val="0042549B"/>
    <w:rsid w:val="00427D21"/>
    <w:rsid w:val="004644C2"/>
    <w:rsid w:val="00467F9C"/>
    <w:rsid w:val="00472449"/>
    <w:rsid w:val="00480E57"/>
    <w:rsid w:val="004E3A0F"/>
    <w:rsid w:val="005001E4"/>
    <w:rsid w:val="00534681"/>
    <w:rsid w:val="0055524E"/>
    <w:rsid w:val="005B694D"/>
    <w:rsid w:val="006122BA"/>
    <w:rsid w:val="0061445E"/>
    <w:rsid w:val="00653253"/>
    <w:rsid w:val="0066062E"/>
    <w:rsid w:val="00661C63"/>
    <w:rsid w:val="00674A96"/>
    <w:rsid w:val="006B2290"/>
    <w:rsid w:val="006E100C"/>
    <w:rsid w:val="006E2ADF"/>
    <w:rsid w:val="006F1189"/>
    <w:rsid w:val="007167C6"/>
    <w:rsid w:val="00717D88"/>
    <w:rsid w:val="007417CC"/>
    <w:rsid w:val="007942D3"/>
    <w:rsid w:val="007B6C09"/>
    <w:rsid w:val="007E09DA"/>
    <w:rsid w:val="00811F14"/>
    <w:rsid w:val="00812392"/>
    <w:rsid w:val="008178B6"/>
    <w:rsid w:val="00865B74"/>
    <w:rsid w:val="00866A5D"/>
    <w:rsid w:val="008C2EF5"/>
    <w:rsid w:val="00903993"/>
    <w:rsid w:val="00930BA1"/>
    <w:rsid w:val="0093169E"/>
    <w:rsid w:val="00946392"/>
    <w:rsid w:val="009505C9"/>
    <w:rsid w:val="00983E20"/>
    <w:rsid w:val="009C200D"/>
    <w:rsid w:val="00A005EA"/>
    <w:rsid w:val="00A229D6"/>
    <w:rsid w:val="00A72E2E"/>
    <w:rsid w:val="00AC03E9"/>
    <w:rsid w:val="00B12EC6"/>
    <w:rsid w:val="00B3369F"/>
    <w:rsid w:val="00BD23ED"/>
    <w:rsid w:val="00C349EA"/>
    <w:rsid w:val="00C4553F"/>
    <w:rsid w:val="00C50F0D"/>
    <w:rsid w:val="00C54FE4"/>
    <w:rsid w:val="00C9161D"/>
    <w:rsid w:val="00C950FC"/>
    <w:rsid w:val="00CA2B62"/>
    <w:rsid w:val="00CF1848"/>
    <w:rsid w:val="00D12044"/>
    <w:rsid w:val="00D76A18"/>
    <w:rsid w:val="00DD118C"/>
    <w:rsid w:val="00DF2A45"/>
    <w:rsid w:val="00E21D49"/>
    <w:rsid w:val="00E25700"/>
    <w:rsid w:val="00E41FE9"/>
    <w:rsid w:val="00E55C65"/>
    <w:rsid w:val="00E66235"/>
    <w:rsid w:val="00E83C24"/>
    <w:rsid w:val="00E9086D"/>
    <w:rsid w:val="00E9318D"/>
    <w:rsid w:val="00EF2588"/>
    <w:rsid w:val="00F10433"/>
    <w:rsid w:val="00F25AA5"/>
    <w:rsid w:val="00F2757B"/>
    <w:rsid w:val="00F5572E"/>
    <w:rsid w:val="00F55F9F"/>
    <w:rsid w:val="00F65210"/>
    <w:rsid w:val="00F6573A"/>
    <w:rsid w:val="00F94774"/>
    <w:rsid w:val="00FC53DB"/>
    <w:rsid w:val="00FF3B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0893A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67"/>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A72E2E"/>
    <w:pPr>
      <w:spacing w:after="160" w:line="240" w:lineRule="exact"/>
      <w:jc w:val="left"/>
    </w:pPr>
    <w:rPr>
      <w:rFonts w:asciiTheme="minorHAnsi" w:eastAsiaTheme="minorEastAsia" w:hAnsiTheme="minorHAnsi" w:cstheme="minorBidi"/>
      <w:vertAlign w:val="superscript"/>
      <w:lang w:val="fr-CA"/>
    </w:rPr>
  </w:style>
  <w:style w:type="character" w:customStyle="1" w:styleId="StyleFootnoteReferencenumberFootnoteReferenceSuperscript-EF">
    <w:name w:val="Style Footnote ReferencenumberFootnote Reference Superscript-E F..."/>
    <w:rsid w:val="00195F6B"/>
    <w:rPr>
      <w:strike w:val="0"/>
      <w:dstrike w:val="0"/>
      <w:kern w:val="22"/>
      <w:sz w:val="18"/>
      <w:u w:val="none"/>
      <w:effect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mop-07/mop-07-dec-13-ru.pdf"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mop-06/full/mop-06-dec-ru.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mop-08/mop-08-dec-13-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3820E7D014024C5381A078FEA781F65A"/>
        <w:category>
          <w:name w:val="Общие"/>
          <w:gallery w:val="placeholder"/>
        </w:category>
        <w:types>
          <w:type w:val="bbPlcHdr"/>
        </w:types>
        <w:behaviors>
          <w:behavior w:val="content"/>
        </w:behaviors>
        <w:guid w:val="{D39AF7C5-210A-4904-A2B9-1F9A380BBCAE}"/>
      </w:docPartPr>
      <w:docPartBody>
        <w:p w:rsidR="00C30585" w:rsidRDefault="00233041" w:rsidP="00233041">
          <w:pPr>
            <w:pStyle w:val="3820E7D014024C5381A078FEA781F65A"/>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00"/>
    <w:family w:val="auto"/>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44AE6"/>
    <w:rsid w:val="001265A1"/>
    <w:rsid w:val="00202AF2"/>
    <w:rsid w:val="00233041"/>
    <w:rsid w:val="00261E9A"/>
    <w:rsid w:val="00317DA5"/>
    <w:rsid w:val="00500A2B"/>
    <w:rsid w:val="00507420"/>
    <w:rsid w:val="0058288D"/>
    <w:rsid w:val="00597991"/>
    <w:rsid w:val="006801B3"/>
    <w:rsid w:val="00720F63"/>
    <w:rsid w:val="007F1B76"/>
    <w:rsid w:val="00810A55"/>
    <w:rsid w:val="00826489"/>
    <w:rsid w:val="008C6619"/>
    <w:rsid w:val="008D420E"/>
    <w:rsid w:val="0098642F"/>
    <w:rsid w:val="00C30585"/>
    <w:rsid w:val="00CE6602"/>
    <w:rsid w:val="00D21FA5"/>
    <w:rsid w:val="00DF340E"/>
    <w:rsid w:val="00E872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74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97991"/>
  </w:style>
  <w:style w:type="paragraph" w:customStyle="1" w:styleId="C444DEE40D7C456B82AF1A09CD132ABF">
    <w:name w:val="C444DEE40D7C456B82AF1A09CD132ABF"/>
    <w:rsid w:val="00CE6602"/>
    <w:pPr>
      <w:spacing w:after="160" w:line="259" w:lineRule="auto"/>
    </w:pPr>
  </w:style>
  <w:style w:type="paragraph" w:customStyle="1" w:styleId="2BCC674BC51343BE89CC844E7A2AF5A7">
    <w:name w:val="2BCC674BC51343BE89CC844E7A2AF5A7"/>
    <w:rsid w:val="00DF340E"/>
    <w:pPr>
      <w:spacing w:after="160" w:line="259" w:lineRule="auto"/>
    </w:pPr>
    <w:rPr>
      <w:lang w:val="en-CA" w:eastAsia="en-CA"/>
    </w:rPr>
  </w:style>
  <w:style w:type="paragraph" w:customStyle="1" w:styleId="3820E7D014024C5381A078FEA781F65A">
    <w:name w:val="3820E7D014024C5381A078FEA781F65A"/>
    <w:rsid w:val="00233041"/>
    <w:rPr>
      <w:lang w:val="fr-CH" w:eastAsia="fr-CH"/>
    </w:rPr>
  </w:style>
  <w:style w:type="paragraph" w:customStyle="1" w:styleId="48A099651FE54B959166552663AC4F8B">
    <w:name w:val="48A099651FE54B959166552663AC4F8B"/>
    <w:rsid w:val="001265A1"/>
    <w:rPr>
      <w:lang w:val="fr-FR" w:eastAsia="fr-FR"/>
    </w:rPr>
  </w:style>
  <w:style w:type="paragraph" w:customStyle="1" w:styleId="28CF13800D564C43855B58A4E146F2B8">
    <w:name w:val="28CF13800D564C43855B58A4E146F2B8"/>
    <w:rsid w:val="001265A1"/>
    <w:rPr>
      <w:lang w:val="fr-FR" w:eastAsia="fr-FR"/>
    </w:rPr>
  </w:style>
  <w:style w:type="paragraph" w:customStyle="1" w:styleId="5A44AB8564BB4FF1ADF1BFBE45CD589D">
    <w:name w:val="5A44AB8564BB4FF1ADF1BFBE45CD589D"/>
    <w:rsid w:val="00597991"/>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1A675F-C8AF-4A56-A31C-826885072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СОЦИАЛЬНО-ЭКОНОМИЧЕСКИЕ СООБРАЖЕНИЯ (СТАТЬЯ 26)</vt:lpstr>
    </vt:vector>
  </TitlesOfParts>
  <Company>SCBD</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СТОРОНАМИ КАРТАХЕНСКОГО ПРОТОКОЛА ПО БИОБЕЗОПАСНОСТИ</dc:title>
  <dc:subject>CBD/CP/MOP/DEC/9/14</dc:subject>
  <dc:creator>SCBD</dc:creator>
  <cp:lastModifiedBy>Tatiana Zavarzina</cp:lastModifiedBy>
  <cp:revision>6</cp:revision>
  <cp:lastPrinted>2018-11-19T12:47:00Z</cp:lastPrinted>
  <dcterms:created xsi:type="dcterms:W3CDTF">2019-02-14T01:17:00Z</dcterms:created>
  <dcterms:modified xsi:type="dcterms:W3CDTF">2019-02-14T16:42:00Z</dcterms:modified>
  <cp:contentStatus>GENERAL</cp:contentStatus>
</cp:coreProperties>
</file>