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111629">
        <w:trPr>
          <w:trHeight w:val="709"/>
        </w:trPr>
        <w:tc>
          <w:tcPr>
            <w:tcW w:w="976" w:type="dxa"/>
            <w:tcBorders>
              <w:bottom w:val="single" w:sz="12" w:space="0" w:color="auto"/>
            </w:tcBorders>
          </w:tcPr>
          <w:p w:rsidR="00111629" w:rsidRDefault="00471DE0">
            <w:pPr>
              <w:suppressLineNumbers/>
              <w:suppressAutoHyphens/>
              <w:rPr>
                <w:kern w:val="22"/>
                <w:lang w:val="es-ES"/>
              </w:rPr>
            </w:pPr>
            <w:r>
              <w:rPr>
                <w:noProof/>
                <w:snapToGrid/>
                <w:kern w:val="22"/>
                <w:lang w:val="es-UY" w:eastAsia="es-UY"/>
              </w:rPr>
              <w:drawing>
                <wp:inline distT="0" distB="0" distL="0" distR="0">
                  <wp:extent cx="431800" cy="368300"/>
                  <wp:effectExtent l="19050" t="0" r="635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31800" cy="36830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111629" w:rsidRDefault="00471DE0">
            <w:pPr>
              <w:suppressLineNumbers/>
              <w:suppressAutoHyphens/>
              <w:rPr>
                <w:kern w:val="22"/>
                <w:lang w:val="es-ES"/>
              </w:rPr>
            </w:pPr>
            <w:r>
              <w:rPr>
                <w:noProof/>
                <w:snapToGrid/>
                <w:kern w:val="22"/>
                <w:lang w:val="es-UY" w:eastAsia="es-UY"/>
              </w:rPr>
              <w:drawing>
                <wp:inline distT="0" distB="0" distL="0" distR="0">
                  <wp:extent cx="342900" cy="393700"/>
                  <wp:effectExtent l="1905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42900" cy="39370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111629" w:rsidRDefault="00111629">
            <w:pPr>
              <w:suppressLineNumbers/>
              <w:suppressAutoHyphens/>
              <w:jc w:val="right"/>
              <w:rPr>
                <w:rFonts w:ascii="Arial" w:hAnsi="Arial"/>
                <w:b/>
                <w:kern w:val="22"/>
                <w:sz w:val="32"/>
                <w:lang w:val="es-ES"/>
              </w:rPr>
            </w:pPr>
            <w:r>
              <w:rPr>
                <w:rFonts w:ascii="Arial" w:hAnsi="Arial"/>
                <w:b/>
                <w:noProof/>
                <w:kern w:val="22"/>
                <w:sz w:val="32"/>
                <w:lang w:val="es-ES"/>
              </w:rPr>
              <w:t>CBD</w:t>
            </w:r>
          </w:p>
        </w:tc>
      </w:tr>
      <w:tr w:rsidR="00111629">
        <w:tc>
          <w:tcPr>
            <w:tcW w:w="6117" w:type="dxa"/>
            <w:gridSpan w:val="2"/>
            <w:tcBorders>
              <w:top w:val="single" w:sz="12" w:space="0" w:color="auto"/>
              <w:bottom w:val="single" w:sz="36" w:space="0" w:color="auto"/>
            </w:tcBorders>
            <w:vAlign w:val="center"/>
          </w:tcPr>
          <w:p w:rsidR="00111629" w:rsidRDefault="00471DE0">
            <w:pPr>
              <w:suppressLineNumbers/>
              <w:suppressAutoHyphens/>
              <w:rPr>
                <w:kern w:val="22"/>
                <w:lang w:val="es-ES"/>
              </w:rPr>
            </w:pPr>
            <w:r>
              <w:rPr>
                <w:noProof/>
                <w:snapToGrid/>
                <w:kern w:val="22"/>
                <w:lang w:val="es-UY" w:eastAsia="es-UY"/>
              </w:rPr>
              <w:drawing>
                <wp:inline distT="0" distB="0" distL="0" distR="0">
                  <wp:extent cx="2908300" cy="1041400"/>
                  <wp:effectExtent l="19050" t="0" r="635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908300" cy="104140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111629" w:rsidRDefault="00111629">
            <w:pPr>
              <w:suppressLineNumbers/>
              <w:suppressAutoHyphens/>
              <w:ind w:left="1215"/>
              <w:jc w:val="left"/>
              <w:rPr>
                <w:kern w:val="22"/>
                <w:lang w:val="es-ES"/>
              </w:rPr>
            </w:pPr>
            <w:r>
              <w:rPr>
                <w:noProof/>
                <w:kern w:val="22"/>
                <w:lang w:val="es-ES"/>
              </w:rPr>
              <w:t>Distr.</w:t>
            </w:r>
          </w:p>
          <w:p w:rsidR="00111629" w:rsidRDefault="00111629">
            <w:pPr>
              <w:suppressLineNumbers/>
              <w:suppressAutoHyphens/>
              <w:ind w:left="1215"/>
              <w:jc w:val="left"/>
              <w:rPr>
                <w:kern w:val="22"/>
                <w:lang w:val="es-ES"/>
              </w:rPr>
            </w:pPr>
            <w:r>
              <w:rPr>
                <w:noProof/>
                <w:kern w:val="22"/>
                <w:lang w:val="es-ES"/>
              </w:rPr>
              <w:t>GENERAL</w:t>
            </w:r>
          </w:p>
          <w:p w:rsidR="00111629" w:rsidRDefault="00111629">
            <w:pPr>
              <w:suppressLineNumbers/>
              <w:suppressAutoHyphens/>
              <w:ind w:left="1215"/>
              <w:jc w:val="left"/>
              <w:rPr>
                <w:kern w:val="22"/>
                <w:lang w:val="es-ES"/>
              </w:rPr>
            </w:pPr>
          </w:p>
          <w:p w:rsidR="00111629" w:rsidRDefault="00111629">
            <w:pPr>
              <w:suppressLineNumbers/>
              <w:suppressAutoHyphens/>
              <w:ind w:left="1215"/>
              <w:jc w:val="left"/>
              <w:rPr>
                <w:kern w:val="22"/>
                <w:lang w:val="es-ES"/>
              </w:rPr>
            </w:pPr>
            <w:r>
              <w:rPr>
                <w:noProof/>
                <w:kern w:val="22"/>
                <w:lang w:val="es-ES"/>
              </w:rPr>
              <w:t>CBD/CP/MOP/DEC/9/15</w:t>
            </w:r>
          </w:p>
          <w:p w:rsidR="00111629" w:rsidRDefault="00111629">
            <w:pPr>
              <w:suppressLineNumbers/>
              <w:suppressAutoHyphens/>
              <w:ind w:left="1215"/>
              <w:jc w:val="left"/>
              <w:rPr>
                <w:kern w:val="22"/>
                <w:lang w:val="es-ES"/>
              </w:rPr>
            </w:pPr>
            <w:r>
              <w:rPr>
                <w:noProof/>
                <w:kern w:val="22"/>
                <w:lang w:val="es-ES"/>
              </w:rPr>
              <w:t>30 de noviembre de 2018</w:t>
            </w:r>
          </w:p>
          <w:p w:rsidR="00111629" w:rsidRDefault="00111629">
            <w:pPr>
              <w:suppressLineNumbers/>
              <w:suppressAutoHyphens/>
              <w:ind w:left="1215"/>
              <w:jc w:val="left"/>
              <w:rPr>
                <w:kern w:val="22"/>
                <w:lang w:val="es-ES"/>
              </w:rPr>
            </w:pPr>
          </w:p>
          <w:p w:rsidR="00111629" w:rsidRDefault="00111629">
            <w:pPr>
              <w:suppressLineNumbers/>
              <w:suppressAutoHyphens/>
              <w:ind w:left="1215"/>
              <w:jc w:val="left"/>
              <w:rPr>
                <w:kern w:val="22"/>
                <w:lang w:val="es-ES"/>
              </w:rPr>
            </w:pPr>
            <w:r>
              <w:rPr>
                <w:noProof/>
                <w:kern w:val="22"/>
                <w:lang w:val="es-ES"/>
              </w:rPr>
              <w:t>ESPAÑOL</w:t>
            </w:r>
          </w:p>
          <w:p w:rsidR="00111629" w:rsidRDefault="00111629">
            <w:pPr>
              <w:suppressLineNumbers/>
              <w:suppressAutoHyphens/>
              <w:ind w:left="1215"/>
              <w:jc w:val="left"/>
              <w:rPr>
                <w:kern w:val="22"/>
                <w:lang w:val="es-ES"/>
              </w:rPr>
            </w:pPr>
            <w:r>
              <w:rPr>
                <w:noProof/>
                <w:kern w:val="22"/>
                <w:lang w:val="es-ES"/>
              </w:rPr>
              <w:t>ORIGINAL:</w:t>
            </w:r>
            <w:r>
              <w:rPr>
                <w:kern w:val="22"/>
                <w:lang w:val="es-ES"/>
              </w:rPr>
              <w:t xml:space="preserve"> </w:t>
            </w:r>
            <w:r>
              <w:rPr>
                <w:noProof/>
                <w:kern w:val="22"/>
                <w:lang w:val="es-ES"/>
              </w:rPr>
              <w:t>INGLÉS</w:t>
            </w:r>
          </w:p>
          <w:p w:rsidR="00111629" w:rsidRDefault="00111629">
            <w:pPr>
              <w:suppressLineNumbers/>
              <w:suppressAutoHyphens/>
              <w:jc w:val="left"/>
              <w:rPr>
                <w:kern w:val="22"/>
                <w:lang w:val="es-ES"/>
              </w:rPr>
            </w:pPr>
          </w:p>
        </w:tc>
      </w:tr>
    </w:tbl>
    <w:p w:rsidR="00111629" w:rsidRDefault="00111629">
      <w:pPr>
        <w:pStyle w:val="Cornernotation"/>
        <w:suppressLineNumbers/>
        <w:suppressAutoHyphens/>
        <w:kinsoku w:val="0"/>
        <w:overflowPunct w:val="0"/>
        <w:autoSpaceDE w:val="0"/>
        <w:autoSpaceDN w:val="0"/>
        <w:spacing w:before="60"/>
        <w:ind w:left="227" w:right="3780" w:hanging="227"/>
        <w:rPr>
          <w:kern w:val="22"/>
          <w:lang w:val="es-ES"/>
        </w:rPr>
      </w:pPr>
      <w:bookmarkStart w:id="0" w:name="_Hlk530040340"/>
      <w:r>
        <w:rPr>
          <w:noProof/>
          <w:kern w:val="22"/>
          <w:lang w:val="es-ES"/>
        </w:rPr>
        <w:t>CONFERENCIA DE LAS PARTES EN EL CONVENIO SOBRE LA DIVERSIDAD BIOLÓGICA QUE ACTÚA COMO REUNIÓN DE LAS PARTES EN EL PROTOCOLO DE CARTAGENA SOBRE SEGURIDAD DE LA BIOTECNOLOGÍA</w:t>
      </w:r>
    </w:p>
    <w:p w:rsidR="00111629" w:rsidRDefault="00111629">
      <w:pPr>
        <w:pStyle w:val="Cornernotation"/>
        <w:suppressLineNumbers/>
        <w:suppressAutoHyphens/>
        <w:kinsoku w:val="0"/>
        <w:overflowPunct w:val="0"/>
        <w:autoSpaceDE w:val="0"/>
        <w:autoSpaceDN w:val="0"/>
        <w:ind w:left="0" w:right="4512" w:firstLine="0"/>
        <w:rPr>
          <w:kern w:val="22"/>
          <w:lang w:val="es-ES"/>
        </w:rPr>
      </w:pPr>
      <w:r>
        <w:rPr>
          <w:noProof/>
          <w:kern w:val="22"/>
          <w:lang w:val="es-ES"/>
        </w:rPr>
        <w:t>Novena reunión</w:t>
      </w:r>
    </w:p>
    <w:p w:rsidR="00111629" w:rsidRDefault="00111629">
      <w:pPr>
        <w:suppressLineNumbers/>
        <w:suppressAutoHyphens/>
        <w:kinsoku w:val="0"/>
        <w:overflowPunct w:val="0"/>
        <w:autoSpaceDE w:val="0"/>
        <w:autoSpaceDN w:val="0"/>
        <w:rPr>
          <w:kern w:val="22"/>
          <w:lang w:val="es-ES"/>
        </w:rPr>
      </w:pPr>
      <w:bookmarkStart w:id="1" w:name="_Hlk505863673"/>
      <w:r>
        <w:rPr>
          <w:noProof/>
          <w:kern w:val="22"/>
          <w:lang w:val="es-ES"/>
        </w:rPr>
        <w:t>Sharm el-Sheikh (Egipto), 17 a 29 de noviembre de 2018</w:t>
      </w:r>
      <w:bookmarkEnd w:id="1"/>
    </w:p>
    <w:bookmarkEnd w:id="0"/>
    <w:p w:rsidR="00111629" w:rsidRDefault="00111629">
      <w:pPr>
        <w:pStyle w:val="Cornernotation"/>
        <w:suppressLineNumbers/>
        <w:suppressAutoHyphens/>
        <w:ind w:right="3973"/>
        <w:rPr>
          <w:color w:val="000000"/>
          <w:kern w:val="22"/>
          <w:lang w:val="es-ES"/>
        </w:rPr>
      </w:pPr>
      <w:r>
        <w:rPr>
          <w:noProof/>
          <w:color w:val="000000"/>
          <w:kern w:val="22"/>
          <w:lang w:val="es-ES"/>
        </w:rPr>
        <w:t>Tema 19 del programa</w:t>
      </w:r>
    </w:p>
    <w:p w:rsidR="00111629" w:rsidRDefault="00111629">
      <w:pPr>
        <w:pStyle w:val="Heading1"/>
        <w:suppressLineNumbers/>
        <w:suppressAutoHyphens/>
        <w:rPr>
          <w:kern w:val="22"/>
          <w:lang w:val="es-ES"/>
        </w:rPr>
      </w:pPr>
      <w:r>
        <w:rPr>
          <w:rFonts w:ascii="Times New Roman Bold" w:hAnsi="Times New Roman Bold"/>
          <w:noProof/>
          <w:kern w:val="22"/>
        </w:rPr>
        <w:t xml:space="preserve">Decisión adoptada por las Partes en el Protocolo DE </w:t>
      </w:r>
      <w:r>
        <w:rPr>
          <w:kern w:val="22"/>
          <w:lang w:val="es-ES"/>
        </w:rPr>
        <w:t>nagoya - kuala lumpur SoBRE RESPONSABILIDAD Y COMPENSACIÓN suplementarIO AL PROTOCOLO DE cartagena SOBRE SEGURIDAD DE LA BIOTECNOLOGÍA</w:t>
      </w:r>
    </w:p>
    <w:p w:rsidR="00111629" w:rsidRDefault="00111629">
      <w:pPr>
        <w:suppressLineNumbers/>
        <w:suppressAutoHyphens/>
        <w:spacing w:before="240" w:after="120"/>
        <w:jc w:val="center"/>
        <w:rPr>
          <w:b/>
          <w:caps/>
          <w:kern w:val="22"/>
          <w:lang w:val="es-ES"/>
        </w:rPr>
      </w:pPr>
      <w:r>
        <w:rPr>
          <w:b/>
          <w:caps/>
          <w:kern w:val="22"/>
          <w:lang w:val="es-ES"/>
        </w:rPr>
        <w:t>9/15.</w:t>
      </w:r>
      <w:r>
        <w:rPr>
          <w:b/>
          <w:caps/>
          <w:kern w:val="22"/>
          <w:lang w:val="es-ES"/>
        </w:rPr>
        <w:tab/>
      </w:r>
      <w:r>
        <w:rPr>
          <w:b/>
          <w:kern w:val="22"/>
          <w:lang w:val="es-ES"/>
        </w:rPr>
        <w:t>Protocolo Suplementario de Nagoya – Kuala Lumpur sobre Responsabilidad y Compensación</w:t>
      </w:r>
    </w:p>
    <w:p w:rsidR="00111629" w:rsidRDefault="00111629">
      <w:pPr>
        <w:suppressLineNumbers/>
        <w:suppressAutoHyphens/>
        <w:spacing w:before="120" w:after="120"/>
        <w:ind w:firstLine="720"/>
        <w:rPr>
          <w:kern w:val="22"/>
          <w:lang w:val="es-ES"/>
        </w:rPr>
      </w:pPr>
      <w:r>
        <w:rPr>
          <w:i/>
          <w:kern w:val="22"/>
          <w:lang w:val="es-ES"/>
        </w:rPr>
        <w:t xml:space="preserve">La Conferencia de las Partes que actúa como reunión de las Partes en el Protocolo de Cartagena </w:t>
      </w:r>
      <w:r w:rsidR="003F68EA">
        <w:rPr>
          <w:i/>
          <w:kern w:val="22"/>
          <w:lang w:val="es-ES"/>
        </w:rPr>
        <w:t xml:space="preserve">sobre Seguridad de la Biotecnología </w:t>
      </w:r>
      <w:r>
        <w:rPr>
          <w:i/>
          <w:kern w:val="22"/>
          <w:lang w:val="es-ES"/>
        </w:rPr>
        <w:t>que actúa como reunión de las Partes en el Protocolo Suplementario de Nagoya – Kuala Lumpur sobre Responsabilidad y Compensación</w:t>
      </w:r>
      <w:r>
        <w:rPr>
          <w:rStyle w:val="FootnoteReference"/>
          <w:kern w:val="22"/>
          <w:lang w:val="es-ES"/>
        </w:rPr>
        <w:footnoteReference w:id="1"/>
      </w:r>
      <w:r w:rsidRPr="001D24EB">
        <w:rPr>
          <w:kern w:val="22"/>
          <w:lang w:val="es-ES"/>
        </w:rPr>
        <w:t>,</w:t>
      </w:r>
    </w:p>
    <w:p w:rsidR="00111629" w:rsidRDefault="00111629">
      <w:pPr>
        <w:pStyle w:val="Para1"/>
        <w:numPr>
          <w:ilvl w:val="0"/>
          <w:numId w:val="2"/>
        </w:numPr>
        <w:suppressLineNumbers/>
        <w:tabs>
          <w:tab w:val="clear" w:pos="360"/>
        </w:tabs>
        <w:suppressAutoHyphens/>
        <w:spacing w:before="0" w:after="0"/>
        <w:ind w:firstLine="720"/>
        <w:rPr>
          <w:i/>
          <w:kern w:val="22"/>
          <w:szCs w:val="24"/>
          <w:lang w:val="es-ES"/>
        </w:rPr>
      </w:pPr>
      <w:r>
        <w:rPr>
          <w:i/>
          <w:kern w:val="22"/>
          <w:szCs w:val="24"/>
          <w:lang w:val="es-ES"/>
        </w:rPr>
        <w:t xml:space="preserve">Acoge con satisfacción </w:t>
      </w:r>
      <w:r>
        <w:rPr>
          <w:kern w:val="22"/>
          <w:szCs w:val="24"/>
          <w:lang w:val="es-ES"/>
        </w:rPr>
        <w:t>la entrada en vigor del Protocolo de Nagoya – Kuala Lumpur sobre Responsabilidad y Compensación Suplementario al Protocolo de Cartagena sobre Seguridad de la Biotecnología;</w:t>
      </w:r>
    </w:p>
    <w:p w:rsidR="00111629" w:rsidRDefault="00111629">
      <w:pPr>
        <w:pStyle w:val="Para1"/>
        <w:numPr>
          <w:ilvl w:val="0"/>
          <w:numId w:val="2"/>
        </w:numPr>
        <w:suppressLineNumbers/>
        <w:tabs>
          <w:tab w:val="clear" w:pos="360"/>
        </w:tabs>
        <w:suppressAutoHyphens/>
        <w:ind w:firstLine="720"/>
        <w:rPr>
          <w:i/>
          <w:kern w:val="22"/>
          <w:szCs w:val="24"/>
          <w:lang w:val="es-ES"/>
        </w:rPr>
      </w:pPr>
      <w:r>
        <w:rPr>
          <w:i/>
          <w:kern w:val="22"/>
          <w:szCs w:val="24"/>
          <w:lang w:val="es-ES"/>
        </w:rPr>
        <w:t>Felicita</w:t>
      </w:r>
      <w:r>
        <w:rPr>
          <w:kern w:val="22"/>
          <w:szCs w:val="24"/>
          <w:lang w:val="es-ES"/>
        </w:rPr>
        <w:t xml:space="preserve"> a las Partes que han depositado su</w:t>
      </w:r>
      <w:r w:rsidR="003F68EA">
        <w:rPr>
          <w:kern w:val="22"/>
          <w:szCs w:val="24"/>
          <w:lang w:val="es-ES"/>
        </w:rPr>
        <w:t>s</w:t>
      </w:r>
      <w:r>
        <w:rPr>
          <w:kern w:val="22"/>
          <w:szCs w:val="24"/>
          <w:lang w:val="es-ES"/>
        </w:rPr>
        <w:t xml:space="preserve"> instrumento</w:t>
      </w:r>
      <w:r w:rsidR="003F68EA">
        <w:rPr>
          <w:kern w:val="22"/>
          <w:szCs w:val="24"/>
          <w:lang w:val="es-ES"/>
        </w:rPr>
        <w:t>s</w:t>
      </w:r>
      <w:r>
        <w:rPr>
          <w:kern w:val="22"/>
          <w:szCs w:val="24"/>
          <w:lang w:val="es-ES"/>
        </w:rPr>
        <w:t xml:space="preserve"> de ratificación, aceptación, aprobación o adhesión al Protocolo Suplementario y las </w:t>
      </w:r>
      <w:r>
        <w:rPr>
          <w:i/>
          <w:kern w:val="22"/>
          <w:szCs w:val="24"/>
          <w:lang w:val="es-ES"/>
        </w:rPr>
        <w:t>insta</w:t>
      </w:r>
      <w:r>
        <w:rPr>
          <w:kern w:val="22"/>
          <w:szCs w:val="24"/>
          <w:lang w:val="es-ES"/>
        </w:rPr>
        <w:t xml:space="preserve"> a dar los pasos necesarios para su aplicación;</w:t>
      </w:r>
    </w:p>
    <w:p w:rsidR="00111629" w:rsidRDefault="00111629">
      <w:pPr>
        <w:pStyle w:val="Para1"/>
        <w:numPr>
          <w:ilvl w:val="0"/>
          <w:numId w:val="2"/>
        </w:numPr>
        <w:suppressLineNumbers/>
        <w:tabs>
          <w:tab w:val="clear" w:pos="360"/>
        </w:tabs>
        <w:suppressAutoHyphens/>
        <w:ind w:firstLine="720"/>
        <w:rPr>
          <w:i/>
          <w:kern w:val="22"/>
          <w:szCs w:val="24"/>
          <w:lang w:val="es-ES"/>
        </w:rPr>
      </w:pPr>
      <w:r>
        <w:rPr>
          <w:i/>
          <w:kern w:val="22"/>
          <w:szCs w:val="24"/>
          <w:lang w:val="es-ES"/>
        </w:rPr>
        <w:t xml:space="preserve">Insta </w:t>
      </w:r>
      <w:r>
        <w:rPr>
          <w:kern w:val="22"/>
          <w:szCs w:val="24"/>
          <w:lang w:val="es-ES"/>
        </w:rPr>
        <w:t>a todas las Partes en el Protocolo de Cartagena sobre Seguridad de la Biotecnología que aún no lo hayan hecho a que depositen su</w:t>
      </w:r>
      <w:r w:rsidR="003F68EA">
        <w:rPr>
          <w:kern w:val="22"/>
          <w:szCs w:val="24"/>
          <w:lang w:val="es-ES"/>
        </w:rPr>
        <w:t>s</w:t>
      </w:r>
      <w:r>
        <w:rPr>
          <w:kern w:val="22"/>
          <w:szCs w:val="24"/>
          <w:lang w:val="es-ES"/>
        </w:rPr>
        <w:t xml:space="preserve"> instrumento</w:t>
      </w:r>
      <w:r w:rsidR="003F68EA">
        <w:rPr>
          <w:kern w:val="22"/>
          <w:szCs w:val="24"/>
          <w:lang w:val="es-ES"/>
        </w:rPr>
        <w:t>s</w:t>
      </w:r>
      <w:r>
        <w:rPr>
          <w:kern w:val="22"/>
          <w:szCs w:val="24"/>
          <w:lang w:val="es-ES"/>
        </w:rPr>
        <w:t xml:space="preserve"> de ratificación, aceptación, aprobación o adhesión al Protocolo Suplementario a la mayor brevedad posible;</w:t>
      </w:r>
    </w:p>
    <w:p w:rsidR="00111629" w:rsidRDefault="00111629">
      <w:pPr>
        <w:pStyle w:val="Para1"/>
        <w:numPr>
          <w:ilvl w:val="0"/>
          <w:numId w:val="2"/>
        </w:numPr>
        <w:suppressLineNumbers/>
        <w:tabs>
          <w:tab w:val="clear" w:pos="360"/>
        </w:tabs>
        <w:suppressAutoHyphens/>
        <w:ind w:firstLine="720"/>
        <w:rPr>
          <w:kern w:val="22"/>
          <w:szCs w:val="24"/>
          <w:lang w:val="es-ES"/>
        </w:rPr>
      </w:pPr>
      <w:r>
        <w:rPr>
          <w:i/>
          <w:kern w:val="22"/>
          <w:szCs w:val="24"/>
          <w:lang w:val="es-ES"/>
        </w:rPr>
        <w:t xml:space="preserve">Acoge con satisfacción </w:t>
      </w:r>
      <w:r>
        <w:rPr>
          <w:kern w:val="22"/>
          <w:szCs w:val="24"/>
          <w:lang w:val="es-ES"/>
        </w:rPr>
        <w:t xml:space="preserve">las actividades emprendidas para facilitar la entrada en vigor y la aplicación del Protocolo Suplementario, así como el apoyo prestado por donantes </w:t>
      </w:r>
      <w:r w:rsidR="003F68EA">
        <w:rPr>
          <w:kern w:val="22"/>
          <w:szCs w:val="24"/>
          <w:lang w:val="es-ES"/>
        </w:rPr>
        <w:t>en este sentido</w:t>
      </w:r>
      <w:r>
        <w:rPr>
          <w:kern w:val="22"/>
          <w:szCs w:val="24"/>
          <w:lang w:val="es-ES"/>
        </w:rPr>
        <w:t>;</w:t>
      </w:r>
    </w:p>
    <w:p w:rsidR="00111629" w:rsidRDefault="00111629">
      <w:pPr>
        <w:pStyle w:val="Para1"/>
        <w:numPr>
          <w:ilvl w:val="0"/>
          <w:numId w:val="2"/>
        </w:numPr>
        <w:suppressLineNumbers/>
        <w:tabs>
          <w:tab w:val="clear" w:pos="360"/>
        </w:tabs>
        <w:suppressAutoHyphens/>
        <w:ind w:firstLine="720"/>
        <w:rPr>
          <w:i/>
          <w:kern w:val="22"/>
          <w:szCs w:val="24"/>
          <w:lang w:val="es-ES"/>
        </w:rPr>
      </w:pPr>
      <w:r>
        <w:rPr>
          <w:i/>
          <w:kern w:val="22"/>
          <w:szCs w:val="24"/>
          <w:lang w:val="es-ES"/>
        </w:rPr>
        <w:t xml:space="preserve">Pide </w:t>
      </w:r>
      <w:r>
        <w:rPr>
          <w:kern w:val="22"/>
          <w:szCs w:val="24"/>
          <w:lang w:val="es-ES"/>
        </w:rPr>
        <w:t xml:space="preserve">a la Secretaria Ejecutiva que, con sujeción a la disponibilidad de </w:t>
      </w:r>
      <w:r w:rsidR="003F68EA">
        <w:rPr>
          <w:kern w:val="22"/>
          <w:szCs w:val="24"/>
          <w:lang w:val="es-ES"/>
        </w:rPr>
        <w:t>recursos</w:t>
      </w:r>
      <w:r>
        <w:rPr>
          <w:kern w:val="22"/>
          <w:szCs w:val="24"/>
          <w:lang w:val="es-ES"/>
        </w:rPr>
        <w:t xml:space="preserve"> del Fondo Fiduciario Voluntario, continúe </w:t>
      </w:r>
      <w:r w:rsidR="003F68EA">
        <w:rPr>
          <w:kern w:val="22"/>
          <w:szCs w:val="24"/>
          <w:lang w:val="es-ES"/>
        </w:rPr>
        <w:t>ll</w:t>
      </w:r>
      <w:r>
        <w:rPr>
          <w:kern w:val="22"/>
          <w:szCs w:val="24"/>
          <w:lang w:val="es-ES"/>
        </w:rPr>
        <w:t>e</w:t>
      </w:r>
      <w:r w:rsidR="003F68EA">
        <w:rPr>
          <w:kern w:val="22"/>
          <w:szCs w:val="24"/>
          <w:lang w:val="es-ES"/>
        </w:rPr>
        <w:t>va</w:t>
      </w:r>
      <w:r>
        <w:rPr>
          <w:kern w:val="22"/>
          <w:szCs w:val="24"/>
          <w:lang w:val="es-ES"/>
        </w:rPr>
        <w:t xml:space="preserve">ndo </w:t>
      </w:r>
      <w:r w:rsidR="003F68EA">
        <w:rPr>
          <w:kern w:val="22"/>
          <w:szCs w:val="24"/>
          <w:lang w:val="es-ES"/>
        </w:rPr>
        <w:t xml:space="preserve">a cabo </w:t>
      </w:r>
      <w:r>
        <w:rPr>
          <w:kern w:val="22"/>
          <w:szCs w:val="24"/>
          <w:lang w:val="es-ES"/>
        </w:rPr>
        <w:t xml:space="preserve">actividades de concienciación y de creación de capacidad y que brinde apoyo a las Partes para la aplicación del Protocolo Suplementario </w:t>
      </w:r>
      <w:r w:rsidR="003F68EA">
        <w:rPr>
          <w:kern w:val="22"/>
          <w:szCs w:val="24"/>
          <w:lang w:val="es-ES"/>
        </w:rPr>
        <w:t xml:space="preserve">a </w:t>
      </w:r>
      <w:r>
        <w:rPr>
          <w:kern w:val="22"/>
          <w:szCs w:val="24"/>
          <w:lang w:val="es-ES"/>
        </w:rPr>
        <w:t>n</w:t>
      </w:r>
      <w:r w:rsidR="003F68EA">
        <w:rPr>
          <w:kern w:val="22"/>
          <w:szCs w:val="24"/>
          <w:lang w:val="es-ES"/>
        </w:rPr>
        <w:t>iv</w:t>
      </w:r>
      <w:r>
        <w:rPr>
          <w:kern w:val="22"/>
          <w:szCs w:val="24"/>
          <w:lang w:val="es-ES"/>
        </w:rPr>
        <w:t>el nacional;</w:t>
      </w:r>
    </w:p>
    <w:p w:rsidR="00111629" w:rsidRDefault="00111629">
      <w:pPr>
        <w:pStyle w:val="Para1"/>
        <w:numPr>
          <w:ilvl w:val="0"/>
          <w:numId w:val="2"/>
        </w:numPr>
        <w:suppressLineNumbers/>
        <w:tabs>
          <w:tab w:val="clear" w:pos="360"/>
        </w:tabs>
        <w:suppressAutoHyphens/>
        <w:ind w:firstLine="720"/>
        <w:rPr>
          <w:i/>
          <w:kern w:val="22"/>
          <w:szCs w:val="24"/>
          <w:lang w:val="es-ES"/>
        </w:rPr>
      </w:pPr>
      <w:r>
        <w:rPr>
          <w:i/>
          <w:kern w:val="22"/>
          <w:szCs w:val="24"/>
          <w:lang w:val="es-ES"/>
        </w:rPr>
        <w:t xml:space="preserve">Pide </w:t>
      </w:r>
      <w:r>
        <w:rPr>
          <w:kern w:val="22"/>
          <w:szCs w:val="24"/>
          <w:lang w:val="es-ES"/>
        </w:rPr>
        <w:t>a las Partes en el Protocolo Suplementario que designen una autoridad competente para desempeñ</w:t>
      </w:r>
      <w:r w:rsidR="003F68EA">
        <w:rPr>
          <w:kern w:val="22"/>
          <w:szCs w:val="24"/>
          <w:lang w:val="es-ES"/>
        </w:rPr>
        <w:t>ar</w:t>
      </w:r>
      <w:r>
        <w:rPr>
          <w:kern w:val="22"/>
          <w:szCs w:val="24"/>
          <w:lang w:val="es-ES"/>
        </w:rPr>
        <w:t xml:space="preserve"> las funciones previstas en el artículo 5 del Protocolo Suplementario y que publiquen en el Centro de Intercambio de Información sobre Seguridad de la Biotecnología los datos de contacto de sus autoridades competentes;</w:t>
      </w:r>
    </w:p>
    <w:p w:rsidR="00111629" w:rsidRDefault="00111629">
      <w:pPr>
        <w:pStyle w:val="Para1"/>
        <w:numPr>
          <w:ilvl w:val="0"/>
          <w:numId w:val="2"/>
        </w:numPr>
        <w:suppressLineNumbers/>
        <w:tabs>
          <w:tab w:val="clear" w:pos="360"/>
        </w:tabs>
        <w:suppressAutoHyphens/>
        <w:ind w:firstLine="720"/>
        <w:rPr>
          <w:i/>
          <w:kern w:val="22"/>
          <w:szCs w:val="24"/>
          <w:lang w:val="es-ES"/>
        </w:rPr>
      </w:pPr>
      <w:r>
        <w:rPr>
          <w:i/>
          <w:kern w:val="22"/>
          <w:szCs w:val="24"/>
          <w:lang w:val="es-ES"/>
        </w:rPr>
        <w:lastRenderedPageBreak/>
        <w:t xml:space="preserve">Pide </w:t>
      </w:r>
      <w:r>
        <w:rPr>
          <w:kern w:val="22"/>
          <w:szCs w:val="24"/>
          <w:lang w:val="es-ES"/>
        </w:rPr>
        <w:t xml:space="preserve">a las Partes en el Protocolo Suplementario que informen e </w:t>
      </w:r>
      <w:r>
        <w:rPr>
          <w:i/>
          <w:kern w:val="22"/>
          <w:szCs w:val="24"/>
          <w:lang w:val="es-ES"/>
        </w:rPr>
        <w:t>invita</w:t>
      </w:r>
      <w:r>
        <w:rPr>
          <w:kern w:val="22"/>
          <w:szCs w:val="24"/>
          <w:lang w:val="es-ES"/>
        </w:rPr>
        <w:t xml:space="preserve"> a otros Gobiernos a informar sobre las medidas adoptadas para aplicar el Protocolo Suplementario</w:t>
      </w:r>
      <w:r w:rsidR="003F68EA">
        <w:rPr>
          <w:kern w:val="22"/>
          <w:szCs w:val="24"/>
          <w:lang w:val="es-ES"/>
        </w:rPr>
        <w:t xml:space="preserve"> </w:t>
      </w:r>
      <w:r>
        <w:rPr>
          <w:kern w:val="22"/>
          <w:szCs w:val="24"/>
          <w:lang w:val="es-ES"/>
        </w:rPr>
        <w:t>respondiendo a las preguntas referidas al Protocolo Suplementario incluidas en el formato para la presentación de los cuartos informes nacionales en virtud del Protocolo de Cartagena que figura en el anexo de la decisión CP-9/5;</w:t>
      </w:r>
    </w:p>
    <w:p w:rsidR="00111629" w:rsidRDefault="00111629">
      <w:pPr>
        <w:pStyle w:val="Para1"/>
        <w:numPr>
          <w:ilvl w:val="0"/>
          <w:numId w:val="2"/>
        </w:numPr>
        <w:suppressLineNumbers/>
        <w:tabs>
          <w:tab w:val="clear" w:pos="360"/>
        </w:tabs>
        <w:suppressAutoHyphens/>
        <w:ind w:firstLine="720"/>
        <w:rPr>
          <w:i/>
          <w:kern w:val="22"/>
          <w:szCs w:val="24"/>
          <w:lang w:val="es-ES"/>
        </w:rPr>
      </w:pPr>
      <w:r>
        <w:rPr>
          <w:i/>
          <w:kern w:val="22"/>
          <w:szCs w:val="24"/>
          <w:lang w:val="es-ES"/>
        </w:rPr>
        <w:t xml:space="preserve">Pide </w:t>
      </w:r>
      <w:r>
        <w:rPr>
          <w:kern w:val="22"/>
          <w:szCs w:val="24"/>
          <w:lang w:val="es-ES"/>
        </w:rPr>
        <w:t xml:space="preserve">a la Secretaria Ejecutiva que, con sujeción a la disponibilidad de recursos del Fondo Fiduciario Voluntario, lleve a cabo un estudio exhaustivo de las cuestiones que se enumeran a continuación, para consideración de la Conferencia de las Partes que actúa como reunión de las Partes en el Protocolo de Cartagena sobre Seguridad de la Biotecnología que actúa como reunión de las Partes en el </w:t>
      </w:r>
      <w:r w:rsidR="003F68EA">
        <w:rPr>
          <w:kern w:val="22"/>
          <w:szCs w:val="24"/>
          <w:lang w:val="es-ES"/>
        </w:rPr>
        <w:t>Pr</w:t>
      </w:r>
      <w:r>
        <w:rPr>
          <w:kern w:val="22"/>
          <w:szCs w:val="24"/>
          <w:lang w:val="es-ES"/>
        </w:rPr>
        <w:t>o</w:t>
      </w:r>
      <w:r w:rsidR="003F68EA">
        <w:rPr>
          <w:kern w:val="22"/>
          <w:szCs w:val="24"/>
          <w:lang w:val="es-ES"/>
        </w:rPr>
        <w:t>t</w:t>
      </w:r>
      <w:r>
        <w:rPr>
          <w:kern w:val="22"/>
          <w:szCs w:val="24"/>
          <w:lang w:val="es-ES"/>
        </w:rPr>
        <w:t>o</w:t>
      </w:r>
      <w:r w:rsidR="003F68EA">
        <w:rPr>
          <w:kern w:val="22"/>
          <w:szCs w:val="24"/>
          <w:lang w:val="es-ES"/>
        </w:rPr>
        <w:t>colo</w:t>
      </w:r>
      <w:r>
        <w:rPr>
          <w:kern w:val="22"/>
          <w:szCs w:val="24"/>
          <w:lang w:val="es-ES"/>
        </w:rPr>
        <w:t xml:space="preserve"> Suplementario en su próxima reunión:</w:t>
      </w:r>
    </w:p>
    <w:p w:rsidR="00111629" w:rsidRDefault="00111629">
      <w:pPr>
        <w:pStyle w:val="Para1"/>
        <w:numPr>
          <w:ilvl w:val="0"/>
          <w:numId w:val="19"/>
        </w:numPr>
        <w:suppressLineNumbers/>
        <w:suppressAutoHyphens/>
        <w:spacing w:before="0"/>
        <w:ind w:left="0" w:firstLine="720"/>
        <w:rPr>
          <w:kern w:val="22"/>
          <w:szCs w:val="24"/>
          <w:lang w:val="es-ES"/>
        </w:rPr>
      </w:pPr>
      <w:r>
        <w:rPr>
          <w:kern w:val="22"/>
          <w:szCs w:val="24"/>
          <w:lang w:val="es-ES"/>
        </w:rPr>
        <w:t>Las modalidades de mecanismos de garantía financiera;</w:t>
      </w:r>
    </w:p>
    <w:p w:rsidR="00111629" w:rsidRDefault="00111629">
      <w:pPr>
        <w:pStyle w:val="Para1"/>
        <w:numPr>
          <w:ilvl w:val="0"/>
          <w:numId w:val="19"/>
        </w:numPr>
        <w:suppressLineNumbers/>
        <w:suppressAutoHyphens/>
        <w:spacing w:before="0"/>
        <w:ind w:left="0" w:firstLine="720"/>
        <w:rPr>
          <w:kern w:val="22"/>
          <w:szCs w:val="24"/>
          <w:lang w:val="es-ES"/>
        </w:rPr>
      </w:pPr>
      <w:r>
        <w:rPr>
          <w:kern w:val="22"/>
          <w:szCs w:val="24"/>
          <w:lang w:val="es-ES"/>
        </w:rPr>
        <w:t xml:space="preserve">Una evaluación de los impactos ambientales, económicos y sociales de </w:t>
      </w:r>
      <w:r w:rsidR="003F68EA">
        <w:rPr>
          <w:kern w:val="22"/>
          <w:szCs w:val="24"/>
          <w:lang w:val="es-ES"/>
        </w:rPr>
        <w:t>tale</w:t>
      </w:r>
      <w:r>
        <w:rPr>
          <w:kern w:val="22"/>
          <w:szCs w:val="24"/>
          <w:lang w:val="es-ES"/>
        </w:rPr>
        <w:t xml:space="preserve">s mecanismos, </w:t>
      </w:r>
      <w:r w:rsidR="003F68EA">
        <w:rPr>
          <w:kern w:val="22"/>
          <w:szCs w:val="24"/>
          <w:lang w:val="es-ES"/>
        </w:rPr>
        <w:t xml:space="preserve">en </w:t>
      </w:r>
      <w:r>
        <w:rPr>
          <w:kern w:val="22"/>
          <w:szCs w:val="24"/>
          <w:lang w:val="es-ES"/>
        </w:rPr>
        <w:t>particular en los países en desarrollo;</w:t>
      </w:r>
    </w:p>
    <w:p w:rsidR="00111629" w:rsidRDefault="00111629">
      <w:pPr>
        <w:pStyle w:val="Para1"/>
        <w:numPr>
          <w:ilvl w:val="0"/>
          <w:numId w:val="19"/>
        </w:numPr>
        <w:suppressLineNumbers/>
        <w:suppressAutoHyphens/>
        <w:spacing w:before="0"/>
        <w:ind w:left="0" w:firstLine="720"/>
        <w:rPr>
          <w:kern w:val="22"/>
          <w:szCs w:val="24"/>
          <w:lang w:val="es-ES"/>
        </w:rPr>
      </w:pPr>
      <w:r>
        <w:rPr>
          <w:kern w:val="22"/>
          <w:szCs w:val="24"/>
          <w:lang w:val="es-ES"/>
        </w:rPr>
        <w:t>Una de</w:t>
      </w:r>
      <w:r w:rsidR="003F68EA">
        <w:rPr>
          <w:kern w:val="22"/>
          <w:szCs w:val="24"/>
          <w:lang w:val="es-ES"/>
        </w:rPr>
        <w:t>termi</w:t>
      </w:r>
      <w:r>
        <w:rPr>
          <w:kern w:val="22"/>
          <w:szCs w:val="24"/>
          <w:lang w:val="es-ES"/>
        </w:rPr>
        <w:t xml:space="preserve">nación de </w:t>
      </w:r>
      <w:r w:rsidR="001D24EB">
        <w:rPr>
          <w:kern w:val="22"/>
          <w:szCs w:val="24"/>
          <w:lang w:val="es-ES"/>
        </w:rPr>
        <w:t xml:space="preserve">cuáles son </w:t>
      </w:r>
      <w:r>
        <w:rPr>
          <w:kern w:val="22"/>
          <w:szCs w:val="24"/>
          <w:lang w:val="es-ES"/>
        </w:rPr>
        <w:t>las entidades apropiadas para proporcionar garantía financiera;</w:t>
      </w:r>
    </w:p>
    <w:p w:rsidR="00111629" w:rsidRDefault="00111629">
      <w:pPr>
        <w:pStyle w:val="Para1"/>
        <w:numPr>
          <w:ilvl w:val="0"/>
          <w:numId w:val="2"/>
        </w:numPr>
        <w:suppressLineNumbers/>
        <w:tabs>
          <w:tab w:val="clear" w:pos="360"/>
        </w:tabs>
        <w:suppressAutoHyphens/>
        <w:ind w:firstLine="720"/>
        <w:rPr>
          <w:kern w:val="22"/>
          <w:szCs w:val="24"/>
          <w:lang w:val="es-ES"/>
        </w:rPr>
      </w:pPr>
      <w:r>
        <w:rPr>
          <w:i/>
          <w:kern w:val="22"/>
          <w:szCs w:val="24"/>
          <w:lang w:val="es-ES"/>
        </w:rPr>
        <w:t>Pide también</w:t>
      </w:r>
      <w:r>
        <w:rPr>
          <w:kern w:val="22"/>
          <w:szCs w:val="24"/>
          <w:lang w:val="es-ES"/>
        </w:rPr>
        <w:t xml:space="preserve"> a la Secretaria Ejecutiva que</w:t>
      </w:r>
      <w:r w:rsidR="003F68EA" w:rsidRPr="003F68EA">
        <w:rPr>
          <w:kern w:val="22"/>
          <w:szCs w:val="24"/>
          <w:lang w:val="es-ES"/>
        </w:rPr>
        <w:t xml:space="preserve"> </w:t>
      </w:r>
      <w:r w:rsidR="003F68EA">
        <w:rPr>
          <w:kern w:val="22"/>
          <w:szCs w:val="24"/>
          <w:lang w:val="es-ES"/>
        </w:rPr>
        <w:t>cree el formato común apropiado</w:t>
      </w:r>
      <w:r>
        <w:rPr>
          <w:kern w:val="22"/>
          <w:szCs w:val="24"/>
          <w:lang w:val="es-ES"/>
        </w:rPr>
        <w:t xml:space="preserve"> en el Centro de Intercambio de Información sobre Seguridad de la Biotecnología para que las Partes puedan compartir los datos de contacto de sus autoridades competentes de conformidad con el artículo 5 del Protocolo Suplementario.</w:t>
      </w:r>
    </w:p>
    <w:p w:rsidR="00111629" w:rsidRDefault="00111629">
      <w:pPr>
        <w:pStyle w:val="Para1"/>
        <w:numPr>
          <w:ilvl w:val="0"/>
          <w:numId w:val="0"/>
        </w:numPr>
        <w:suppressLineNumbers/>
        <w:suppressAutoHyphens/>
        <w:jc w:val="center"/>
        <w:rPr>
          <w:kern w:val="22"/>
          <w:szCs w:val="24"/>
          <w:lang w:val="es-ES"/>
        </w:rPr>
      </w:pPr>
      <w:r>
        <w:rPr>
          <w:kern w:val="22"/>
          <w:szCs w:val="24"/>
          <w:lang w:val="es-ES"/>
        </w:rPr>
        <w:t>__________</w:t>
      </w:r>
    </w:p>
    <w:sectPr w:rsidR="00111629">
      <w:headerReference w:type="even" r:id="rId10"/>
      <w:headerReference w:type="default" r:id="rId11"/>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F1A" w:rsidRDefault="001B2F1A">
      <w:r>
        <w:separator/>
      </w:r>
    </w:p>
  </w:endnote>
  <w:endnote w:type="continuationSeparator" w:id="0">
    <w:p w:rsidR="001B2F1A" w:rsidRDefault="001B2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20000003" w:usb1="00000000" w:usb2="00000000" w:usb3="00000000" w:csb0="000001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F1A" w:rsidRDefault="001B2F1A">
      <w:r>
        <w:separator/>
      </w:r>
    </w:p>
  </w:footnote>
  <w:footnote w:type="continuationSeparator" w:id="0">
    <w:p w:rsidR="001B2F1A" w:rsidRDefault="001B2F1A">
      <w:r>
        <w:continuationSeparator/>
      </w:r>
    </w:p>
  </w:footnote>
  <w:footnote w:id="1">
    <w:p w:rsidR="00111629" w:rsidRPr="00B963CB" w:rsidRDefault="00111629">
      <w:pPr>
        <w:pStyle w:val="Para1"/>
        <w:keepLines/>
        <w:numPr>
          <w:ilvl w:val="0"/>
          <w:numId w:val="0"/>
        </w:numPr>
        <w:spacing w:before="0" w:after="60"/>
        <w:jc w:val="left"/>
        <w:rPr>
          <w:sz w:val="18"/>
        </w:rPr>
      </w:pPr>
      <w:r w:rsidRPr="00B963CB">
        <w:rPr>
          <w:kern w:val="18"/>
          <w:sz w:val="18"/>
          <w:vertAlign w:val="superscript"/>
        </w:rPr>
        <w:footnoteRef/>
      </w:r>
      <w:r w:rsidRPr="00B963CB">
        <w:rPr>
          <w:kern w:val="18"/>
          <w:sz w:val="18"/>
        </w:rPr>
        <w:t xml:space="preserve"> </w:t>
      </w:r>
      <w:r w:rsidRPr="00B963CB">
        <w:rPr>
          <w:kern w:val="18"/>
          <w:sz w:val="18"/>
          <w:lang w:val="es-ES"/>
        </w:rPr>
        <w:t>De conformidad con el artículo 14, párrafo 1, del Protoc</w:t>
      </w:r>
      <w:r w:rsidR="001D24EB">
        <w:rPr>
          <w:kern w:val="18"/>
          <w:sz w:val="18"/>
          <w:lang w:val="es-ES"/>
        </w:rPr>
        <w:t>olo Suplementario y</w:t>
      </w:r>
      <w:r w:rsidRPr="00B963CB">
        <w:rPr>
          <w:kern w:val="18"/>
          <w:sz w:val="18"/>
          <w:lang w:val="es-ES"/>
        </w:rPr>
        <w:t xml:space="preserve"> sujeto al párrafo 2 del artículo 32 del Convenio, la Conferencia de las Partes que actúa como reunión de las Partes en el Protocolo actuará como reunión de las Partes en el Protocolo Suplementario.</w:t>
      </w:r>
      <w:r w:rsidRPr="00B963CB">
        <w:rPr>
          <w:kern w:val="18"/>
          <w:sz w:val="18"/>
        </w:rPr>
        <w:t xml:space="preserve"> </w:t>
      </w:r>
      <w:r w:rsidRPr="00B963CB">
        <w:rPr>
          <w:kern w:val="18"/>
          <w:sz w:val="18"/>
          <w:lang w:val="es-ES"/>
        </w:rPr>
        <w:t>Por consiguiente, la presente decisión fue adoptada por las Partes en el Protocolo Suplementario.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29" w:rsidRDefault="00111629">
    <w:pPr>
      <w:pStyle w:val="Header"/>
      <w:tabs>
        <w:tab w:val="clear" w:pos="4320"/>
        <w:tab w:val="clear" w:pos="8640"/>
      </w:tabs>
      <w:jc w:val="left"/>
      <w:rPr>
        <w:kern w:val="22"/>
        <w:lang w:val="es-ES"/>
      </w:rPr>
    </w:pPr>
    <w:r>
      <w:rPr>
        <w:kern w:val="22"/>
        <w:lang w:val="es-ES"/>
      </w:rPr>
      <w:t>CBD/CP/MOP/DEC/9/15</w:t>
    </w:r>
  </w:p>
  <w:p w:rsidR="00111629" w:rsidRDefault="00111629">
    <w:pPr>
      <w:pStyle w:val="Header"/>
      <w:tabs>
        <w:tab w:val="clear" w:pos="4320"/>
        <w:tab w:val="clear" w:pos="8640"/>
      </w:tabs>
      <w:jc w:val="left"/>
      <w:rPr>
        <w:kern w:val="22"/>
        <w:lang w:val="es-ES"/>
      </w:rPr>
    </w:pPr>
    <w:r>
      <w:rPr>
        <w:kern w:val="22"/>
        <w:lang w:val="es-ES"/>
      </w:rPr>
      <w:t xml:space="preserve">Página </w:t>
    </w:r>
    <w:r>
      <w:rPr>
        <w:kern w:val="22"/>
        <w:lang w:val="es-ES"/>
      </w:rPr>
      <w:fldChar w:fldCharType="begin"/>
    </w:r>
    <w:r>
      <w:rPr>
        <w:kern w:val="22"/>
        <w:lang w:val="es-ES"/>
      </w:rPr>
      <w:instrText xml:space="preserve"> PAGE   \* MERGEFORMAT </w:instrText>
    </w:r>
    <w:r>
      <w:rPr>
        <w:kern w:val="22"/>
        <w:lang w:val="es-ES"/>
      </w:rPr>
      <w:fldChar w:fldCharType="separate"/>
    </w:r>
    <w:r w:rsidR="00471DE0" w:rsidRPr="00471DE0">
      <w:rPr>
        <w:noProof/>
        <w:kern w:val="22"/>
      </w:rPr>
      <w:t>2</w:t>
    </w:r>
    <w:r>
      <w:rPr>
        <w:kern w:val="22"/>
        <w:lang w:val="es-ES"/>
      </w:rPr>
      <w:fldChar w:fldCharType="end"/>
    </w:r>
  </w:p>
  <w:p w:rsidR="00111629" w:rsidRDefault="00111629">
    <w:pPr>
      <w:pStyle w:val="Header"/>
      <w:tabs>
        <w:tab w:val="clear" w:pos="4320"/>
        <w:tab w:val="clear" w:pos="8640"/>
      </w:tabs>
      <w:jc w:val="left"/>
      <w:rPr>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29" w:rsidRDefault="00111629">
    <w:pPr>
      <w:pStyle w:val="Header"/>
      <w:jc w:val="right"/>
      <w:rPr>
        <w:lang w:val="fr-FR"/>
      </w:rPr>
    </w:pPr>
    <w:r>
      <w:rPr>
        <w:lang w:val="fr-FR"/>
      </w:rPr>
      <w:t>CBD/CP/MOP/DEC/9/15</w:t>
    </w:r>
  </w:p>
  <w:p w:rsidR="00111629" w:rsidRDefault="00111629">
    <w:pPr>
      <w:pStyle w:val="Header"/>
      <w:jc w:val="right"/>
      <w:rPr>
        <w:lang w:val="fr-FR"/>
      </w:rPr>
    </w:pPr>
    <w:r>
      <w:rPr>
        <w:lang w:val="fr-FR"/>
      </w:rPr>
      <w:t xml:space="preserve">Page </w:t>
    </w:r>
    <w:r>
      <w:rPr>
        <w:lang w:val="fr-FR"/>
      </w:rPr>
      <w:fldChar w:fldCharType="begin"/>
    </w:r>
    <w:r>
      <w:rPr>
        <w:lang w:val="fr-FR"/>
      </w:rPr>
      <w:instrText xml:space="preserve"> PAGE   \* MERGEFORMAT </w:instrText>
    </w:r>
    <w:r>
      <w:rPr>
        <w:lang w:val="fr-FR"/>
      </w:rPr>
      <w:fldChar w:fldCharType="separate"/>
    </w:r>
    <w:r>
      <w:rPr>
        <w:noProof/>
      </w:rPr>
      <w:t>1</w:t>
    </w:r>
    <w:r>
      <w:rPr>
        <w:lang w:val="fr-FR"/>
      </w:rPr>
      <w:fldChar w:fldCharType="end"/>
    </w:r>
  </w:p>
  <w:p w:rsidR="00111629" w:rsidRDefault="00111629">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B0F54FC"/>
    <w:multiLevelType w:val="multilevel"/>
    <w:tmpl w:val="54909F82"/>
    <w:lvl w:ilvl="0">
      <w:start w:val="1"/>
      <w:numFmt w:val="lowerLetter"/>
      <w:lvlText w:val="(%1)"/>
      <w:lvlJc w:val="left"/>
      <w:pPr>
        <w:tabs>
          <w:tab w:val="num" w:pos="360"/>
        </w:tabs>
      </w:pPr>
      <w:rPr>
        <w:rFonts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E0B4A1F"/>
    <w:multiLevelType w:val="multilevel"/>
    <w:tmpl w:val="3516EBCE"/>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13"/>
  </w:num>
  <w:num w:numId="20">
    <w:abstractNumId w:val="7"/>
  </w:num>
  <w:num w:numId="21">
    <w:abstractNumId w:val="7"/>
  </w:num>
  <w:num w:numId="22">
    <w:abstractNumId w:val="7"/>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characterSpacingControl w:val="doNotCompress"/>
  <w:footnotePr>
    <w:footnote w:id="-1"/>
    <w:footnote w:id="0"/>
  </w:footnotePr>
  <w:endnotePr>
    <w:endnote w:id="-1"/>
    <w:endnote w:id="0"/>
  </w:endnotePr>
  <w:compat/>
  <w:rsids>
    <w:rsidRoot w:val="00C9161D"/>
    <w:rsid w:val="00022281"/>
    <w:rsid w:val="000317A3"/>
    <w:rsid w:val="000631B9"/>
    <w:rsid w:val="00092B3A"/>
    <w:rsid w:val="000C02F1"/>
    <w:rsid w:val="000D0EC0"/>
    <w:rsid w:val="000E673A"/>
    <w:rsid w:val="000F4914"/>
    <w:rsid w:val="000F63A5"/>
    <w:rsid w:val="000F74F5"/>
    <w:rsid w:val="00100A01"/>
    <w:rsid w:val="00105372"/>
    <w:rsid w:val="00111629"/>
    <w:rsid w:val="0012685E"/>
    <w:rsid w:val="00131E7A"/>
    <w:rsid w:val="001338AC"/>
    <w:rsid w:val="00136E32"/>
    <w:rsid w:val="0014645A"/>
    <w:rsid w:val="00166294"/>
    <w:rsid w:val="00172AF6"/>
    <w:rsid w:val="00176CEE"/>
    <w:rsid w:val="00186DD8"/>
    <w:rsid w:val="001B129D"/>
    <w:rsid w:val="001B2F1A"/>
    <w:rsid w:val="001D24EB"/>
    <w:rsid w:val="002214B5"/>
    <w:rsid w:val="00273079"/>
    <w:rsid w:val="00282D62"/>
    <w:rsid w:val="00293AAE"/>
    <w:rsid w:val="002D78E1"/>
    <w:rsid w:val="002E7978"/>
    <w:rsid w:val="0030799B"/>
    <w:rsid w:val="003352EE"/>
    <w:rsid w:val="0033662F"/>
    <w:rsid w:val="00345D6C"/>
    <w:rsid w:val="00346489"/>
    <w:rsid w:val="00372F74"/>
    <w:rsid w:val="00374869"/>
    <w:rsid w:val="00377A52"/>
    <w:rsid w:val="003928F1"/>
    <w:rsid w:val="003B04EB"/>
    <w:rsid w:val="003D5423"/>
    <w:rsid w:val="003D6DF7"/>
    <w:rsid w:val="003F1597"/>
    <w:rsid w:val="003F68EA"/>
    <w:rsid w:val="003F7224"/>
    <w:rsid w:val="00411E22"/>
    <w:rsid w:val="00427B27"/>
    <w:rsid w:val="00427D21"/>
    <w:rsid w:val="004533DC"/>
    <w:rsid w:val="00462B2C"/>
    <w:rsid w:val="004644C2"/>
    <w:rsid w:val="00467F9C"/>
    <w:rsid w:val="00471DE0"/>
    <w:rsid w:val="004758D9"/>
    <w:rsid w:val="004969BA"/>
    <w:rsid w:val="004A7326"/>
    <w:rsid w:val="004C6115"/>
    <w:rsid w:val="00534681"/>
    <w:rsid w:val="00542515"/>
    <w:rsid w:val="00580B16"/>
    <w:rsid w:val="00595CAF"/>
    <w:rsid w:val="005E5947"/>
    <w:rsid w:val="006122BA"/>
    <w:rsid w:val="00643892"/>
    <w:rsid w:val="00664CE0"/>
    <w:rsid w:val="00667CD2"/>
    <w:rsid w:val="00677267"/>
    <w:rsid w:val="0068672C"/>
    <w:rsid w:val="006B2290"/>
    <w:rsid w:val="006C47B1"/>
    <w:rsid w:val="006E4997"/>
    <w:rsid w:val="006E5DAD"/>
    <w:rsid w:val="00717D88"/>
    <w:rsid w:val="00765620"/>
    <w:rsid w:val="0077626F"/>
    <w:rsid w:val="00777DCC"/>
    <w:rsid w:val="007942D3"/>
    <w:rsid w:val="007A22C0"/>
    <w:rsid w:val="007B078D"/>
    <w:rsid w:val="007B3167"/>
    <w:rsid w:val="007B6C09"/>
    <w:rsid w:val="007C7749"/>
    <w:rsid w:val="007E09DA"/>
    <w:rsid w:val="007E1F54"/>
    <w:rsid w:val="008178B6"/>
    <w:rsid w:val="00865B74"/>
    <w:rsid w:val="008706FF"/>
    <w:rsid w:val="008722AE"/>
    <w:rsid w:val="008966CE"/>
    <w:rsid w:val="008D2D45"/>
    <w:rsid w:val="00913284"/>
    <w:rsid w:val="00924BC5"/>
    <w:rsid w:val="009254E5"/>
    <w:rsid w:val="00930BA1"/>
    <w:rsid w:val="0093169E"/>
    <w:rsid w:val="009505C9"/>
    <w:rsid w:val="00987DFB"/>
    <w:rsid w:val="00991F7E"/>
    <w:rsid w:val="00993BFE"/>
    <w:rsid w:val="009E6800"/>
    <w:rsid w:val="00A05D10"/>
    <w:rsid w:val="00A266FE"/>
    <w:rsid w:val="00A6327B"/>
    <w:rsid w:val="00AC3393"/>
    <w:rsid w:val="00B3369F"/>
    <w:rsid w:val="00B4243F"/>
    <w:rsid w:val="00B42EDD"/>
    <w:rsid w:val="00B609F6"/>
    <w:rsid w:val="00B867C3"/>
    <w:rsid w:val="00B963CB"/>
    <w:rsid w:val="00BB0435"/>
    <w:rsid w:val="00C41950"/>
    <w:rsid w:val="00C443BD"/>
    <w:rsid w:val="00C9161D"/>
    <w:rsid w:val="00CF1848"/>
    <w:rsid w:val="00D12044"/>
    <w:rsid w:val="00D315B1"/>
    <w:rsid w:val="00D34376"/>
    <w:rsid w:val="00D76A18"/>
    <w:rsid w:val="00DB4EDD"/>
    <w:rsid w:val="00DD118C"/>
    <w:rsid w:val="00DD57D4"/>
    <w:rsid w:val="00DE5E5B"/>
    <w:rsid w:val="00DF1E6D"/>
    <w:rsid w:val="00DF3990"/>
    <w:rsid w:val="00DF52E4"/>
    <w:rsid w:val="00E40E84"/>
    <w:rsid w:val="00E46FB0"/>
    <w:rsid w:val="00E66235"/>
    <w:rsid w:val="00E76945"/>
    <w:rsid w:val="00E83C24"/>
    <w:rsid w:val="00E9318D"/>
    <w:rsid w:val="00E9373A"/>
    <w:rsid w:val="00E93932"/>
    <w:rsid w:val="00ED5C33"/>
    <w:rsid w:val="00ED72FA"/>
    <w:rsid w:val="00EF7C8C"/>
    <w:rsid w:val="00F46970"/>
    <w:rsid w:val="00F6586C"/>
    <w:rsid w:val="00F750E0"/>
    <w:rsid w:val="00F94774"/>
    <w:rsid w:val="00FC53DB"/>
    <w:rsid w:val="00FD75B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1"/>
    <w:qFormat/>
    <w:pPr>
      <w:jc w:val="both"/>
    </w:pPr>
    <w:rPr>
      <w:snapToGrid w:val="0"/>
      <w:sz w:val="22"/>
      <w:szCs w:val="24"/>
      <w:lang w:val="en-GB" w:eastAsia="es-ES"/>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hAnsi="Times New Roman Bold"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sz w:val="28"/>
    </w:rPr>
  </w:style>
  <w:style w:type="paragraph" w:styleId="Heading8">
    <w:name w:val="heading 8"/>
    <w:basedOn w:val="Normal"/>
    <w:next w:val="Normal"/>
    <w:qFormat/>
    <w:pPr>
      <w:keepNext/>
      <w:jc w:val="right"/>
      <w:outlineLvl w:val="7"/>
    </w:pPr>
    <w:rPr>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sz w:val="18"/>
      <w:szCs w:val="18"/>
    </w:rPr>
  </w:style>
  <w:style w:type="character" w:customStyle="1" w:styleId="CharChar9">
    <w:name w:val="Char Char9"/>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Pr>
      <w:rFonts w:cs="Times New Roman"/>
      <w:color w:val="808080"/>
    </w:rPr>
  </w:style>
  <w:style w:type="paragraph" w:styleId="Header">
    <w:name w:val="header"/>
    <w:basedOn w:val="Normal"/>
    <w:pPr>
      <w:tabs>
        <w:tab w:val="center" w:pos="4320"/>
        <w:tab w:val="right" w:pos="8640"/>
      </w:tabs>
    </w:pPr>
  </w:style>
  <w:style w:type="character" w:customStyle="1" w:styleId="CharChar8">
    <w:name w:val="Char Char8"/>
    <w:basedOn w:val="DefaultParagraphFont"/>
    <w:locked/>
    <w:rPr>
      <w:rFonts w:ascii="Times New Roman" w:eastAsia="Times New Roman" w:hAnsi="Times New Roman" w:cs="Times New Roman"/>
      <w:sz w:val="22"/>
      <w:lang w:val="en-GB"/>
    </w:rPr>
  </w:style>
  <w:style w:type="paragraph" w:styleId="Footer">
    <w:name w:val="footer"/>
    <w:basedOn w:val="Normal"/>
    <w:pPr>
      <w:tabs>
        <w:tab w:val="center" w:pos="4320"/>
        <w:tab w:val="right" w:pos="8640"/>
      </w:tabs>
      <w:ind w:firstLine="720"/>
      <w:jc w:val="right"/>
    </w:pPr>
  </w:style>
  <w:style w:type="character" w:customStyle="1" w:styleId="CharChar7">
    <w:name w:val="Char Char7"/>
    <w:basedOn w:val="DefaultParagraphFont"/>
    <w:locked/>
    <w:rPr>
      <w:rFonts w:ascii="Times New Roman" w:eastAsia="Times New Roman" w:hAnsi="Times New Roman" w:cs="Times New Roman"/>
      <w:sz w:val="22"/>
      <w:lang w:val="en-GB"/>
    </w:rPr>
  </w:style>
  <w:style w:type="paragraph" w:customStyle="1" w:styleId="meetingname">
    <w:name w:val="meeting name"/>
    <w:basedOn w:val="Normal"/>
    <w:pPr>
      <w:ind w:left="142" w:right="4218" w:hanging="142"/>
    </w:pPr>
    <w:rPr>
      <w:caps/>
      <w:szCs w:val="22"/>
    </w:rPr>
  </w:style>
  <w:style w:type="paragraph" w:styleId="Title">
    <w:name w:val="Title"/>
    <w:basedOn w:val="Normal"/>
    <w:next w:val="Normal"/>
    <w:qFormat/>
    <w:pPr>
      <w:pBdr>
        <w:bottom w:val="single" w:sz="8" w:space="4" w:color="4F81BD"/>
      </w:pBdr>
      <w:spacing w:after="300"/>
      <w:contextualSpacing/>
    </w:pPr>
    <w:rPr>
      <w:color w:val="17365D"/>
      <w:spacing w:val="5"/>
      <w:kern w:val="28"/>
      <w:sz w:val="52"/>
      <w:szCs w:val="52"/>
    </w:rPr>
  </w:style>
  <w:style w:type="character" w:customStyle="1" w:styleId="CharChar6">
    <w:name w:val="Char Char6"/>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i/>
      <w:iCs/>
      <w:color w:val="4F81BD"/>
      <w:spacing w:val="15"/>
      <w:sz w:val="24"/>
    </w:rPr>
  </w:style>
  <w:style w:type="character" w:customStyle="1" w:styleId="CharChar5">
    <w:name w:val="Char Char5"/>
    <w:basedOn w:val="DefaultParagraphFont"/>
    <w:locked/>
    <w:rPr>
      <w:rFonts w:ascii="Times New Roman" w:eastAsia="Times New Roman" w:hAnsi="Times New Roman" w:cs="Times New Roman"/>
      <w:i/>
      <w:iCs/>
      <w:color w:val="4F81BD"/>
      <w:spacing w:val="15"/>
      <w:lang w:val="en-US"/>
    </w:rPr>
  </w:style>
  <w:style w:type="character" w:customStyle="1" w:styleId="CharChar18">
    <w:name w:val="Char Char18"/>
    <w:basedOn w:val="DefaultParagraphFont"/>
    <w:locked/>
    <w:rPr>
      <w:rFonts w:ascii="Times New Roman" w:eastAsia="Times New Roman" w:hAnsi="Times New Roman" w:cs="Times New Roman"/>
      <w:b/>
      <w:caps/>
      <w:sz w:val="22"/>
      <w:lang w:val="en-GB"/>
    </w:rPr>
  </w:style>
  <w:style w:type="paragraph" w:styleId="BodyText">
    <w:name w:val="Body Text"/>
    <w:basedOn w:val="Normal"/>
    <w:pPr>
      <w:spacing w:before="120" w:after="120"/>
      <w:ind w:firstLine="720"/>
    </w:pPr>
    <w:rPr>
      <w:iCs/>
    </w:rPr>
  </w:style>
  <w:style w:type="character" w:customStyle="1" w:styleId="CharChar4">
    <w:name w:val="Char Char4"/>
    <w:basedOn w:val="DefaultParagraphFont"/>
    <w:locked/>
    <w:rPr>
      <w:rFonts w:ascii="Times New Roman" w:eastAsia="Times New Roman" w:hAnsi="Times New Roman" w:cs="Times New Roman"/>
      <w:iCs/>
      <w:sz w:val="22"/>
      <w:lang w:val="en-GB"/>
    </w:rPr>
  </w:style>
  <w:style w:type="paragraph" w:styleId="BodyTextIndent">
    <w:name w:val="Body Text Indent"/>
    <w:basedOn w:val="Normal"/>
    <w:pPr>
      <w:spacing w:before="120" w:after="120"/>
      <w:ind w:left="1440" w:hanging="720"/>
      <w:jc w:val="left"/>
    </w:pPr>
  </w:style>
  <w:style w:type="character" w:customStyle="1" w:styleId="CharChar3">
    <w:name w:val="Char Char3"/>
    <w:basedOn w:val="DefaultParagraphFont"/>
    <w:locked/>
    <w:rPr>
      <w:rFonts w:ascii="Times New Roman" w:eastAsia="Times New Roman" w:hAnsi="Times New Roman" w:cs="Times New Roman"/>
      <w:sz w:val="22"/>
      <w:lang w:val="en-G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after="120" w:line="240" w:lineRule="exact"/>
    </w:pPr>
  </w:style>
  <w:style w:type="character" w:customStyle="1" w:styleId="CharChar2">
    <w:name w:val="Char Char2"/>
    <w:basedOn w:val="DefaultParagraphFont"/>
    <w:semiHidden/>
    <w:locked/>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character" w:customStyle="1" w:styleId="CharChar1">
    <w:name w:val="Char Char1"/>
    <w:basedOn w:val="DefaultParagraphFont"/>
    <w:semiHidden/>
    <w:locked/>
    <w:rPr>
      <w:rFonts w:ascii="Courier New" w:eastAsia="Times New Roman" w:hAnsi="Courier New" w:cs="Times New Roman"/>
      <w:sz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number Char,Footnote Reference Superscript Char,-E Fußnotenzeichen Char,(Diplomarbeit FZ) Char,(Diplomarbeit FZ)1 Char,(Diplomarbeit FZ)2 Char,(Diplomarbeit FZ)3 Char,(Diplomarbeit FZ)4 Char,(Diplomarbeit FZ)5 Char"/>
    <w:basedOn w:val="DefaultParagraphFont"/>
    <w:locked/>
    <w:rPr>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pPr>
      <w:keepLines/>
      <w:spacing w:after="60"/>
      <w:ind w:firstLine="720"/>
    </w:pPr>
    <w:rPr>
      <w:sz w:val="18"/>
    </w:rPr>
  </w:style>
  <w:style w:type="character" w:customStyle="1" w:styleId="Geneva9Char">
    <w:name w:val="Geneva 9 Char"/>
    <w:aliases w:val="Font: Geneva 9 Char,Boston 10 Char,f Char,ft Char1,Fotnotstext Char Char,ft Char Char,single space Char,footnote text Char,FOOTNOTES Char,ADB Char,single space1 Char,footnote text1 Char,FOOTNOTES1 Char,fn1 Char,ADB1 Char,single space2 Cha"/>
    <w:basedOn w:val="DefaultParagraphFont"/>
    <w:locked/>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CharChar17">
    <w:name w:val="Char Char17"/>
    <w:basedOn w:val="DefaultParagraphFont"/>
    <w:locked/>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CharChar16">
    <w:name w:val="Char Char16"/>
    <w:basedOn w:val="DefaultParagraphFont"/>
    <w:locked/>
    <w:rPr>
      <w:rFonts w:ascii="Times New Roman" w:eastAsia="Times New Roman" w:hAnsi="Times New Roman" w:cs="Times New Roman"/>
      <w:i/>
      <w:iCs/>
      <w:sz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CharChar15">
    <w:name w:val="Char Char15"/>
    <w:basedOn w:val="DefaultParagraphFont"/>
    <w:locked/>
    <w:rPr>
      <w:rFonts w:ascii="Times New Roman Bold" w:eastAsia="Times New Roman" w:hAnsi="Times New Roman Bold" w:cs="Arial"/>
      <w:b/>
      <w:bCs/>
      <w:i/>
      <w:sz w:val="22"/>
      <w:lang w:val="en-GB"/>
    </w:rPr>
  </w:style>
  <w:style w:type="paragraph" w:customStyle="1" w:styleId="Heading4indent">
    <w:name w:val="Heading 4 indent"/>
    <w:basedOn w:val="Heading4"/>
    <w:pPr>
      <w:ind w:left="720"/>
      <w:outlineLvl w:val="9"/>
    </w:pPr>
    <w:rPr>
      <w:rFonts w:ascii="Times New Roman" w:hAnsi="Times New Roman"/>
    </w:rPr>
  </w:style>
  <w:style w:type="character" w:customStyle="1" w:styleId="CharChar14">
    <w:name w:val="Char Char14"/>
    <w:basedOn w:val="DefaultParagraphFont"/>
    <w:locked/>
    <w:rPr>
      <w:rFonts w:ascii="Times New Roman" w:eastAsia="Times New Roman" w:hAnsi="Times New Roman" w:cs="Times New Roman"/>
      <w:bCs/>
      <w:i/>
      <w:sz w:val="26"/>
      <w:szCs w:val="26"/>
      <w:lang w:val="en-CA"/>
    </w:rPr>
  </w:style>
  <w:style w:type="character" w:customStyle="1" w:styleId="CharChar13">
    <w:name w:val="Char Char13"/>
    <w:basedOn w:val="DefaultParagraphFont"/>
    <w:locked/>
    <w:rPr>
      <w:rFonts w:ascii="Times New Roman" w:eastAsia="Times New Roman" w:hAnsi="Times New Roman" w:cs="Times New Roman"/>
      <w:sz w:val="22"/>
      <w:u w:val="single"/>
      <w:lang w:val="en-GB"/>
    </w:rPr>
  </w:style>
  <w:style w:type="character" w:customStyle="1" w:styleId="CharChar12">
    <w:name w:val="Char Char12"/>
    <w:basedOn w:val="DefaultParagraphFont"/>
    <w:locked/>
    <w:rPr>
      <w:rFonts w:ascii="Times New Roman" w:eastAsia="Times New Roman" w:hAnsi="Times New Roman" w:cs="Times New Roman"/>
      <w:b/>
      <w:sz w:val="28"/>
      <w:lang w:val="en-GB"/>
    </w:rPr>
  </w:style>
  <w:style w:type="character" w:customStyle="1" w:styleId="CharChar11">
    <w:name w:val="Char Char11"/>
    <w:basedOn w:val="DefaultParagraphFont"/>
    <w:locked/>
    <w:rPr>
      <w:rFonts w:ascii="Times New Roman" w:eastAsia="Times New Roman" w:hAnsi="Times New Roman" w:cs="Times New Roman"/>
      <w:b/>
      <w:sz w:val="32"/>
      <w:lang w:val="en-GB"/>
    </w:rPr>
  </w:style>
  <w:style w:type="character" w:customStyle="1" w:styleId="CharChar10">
    <w:name w:val="Char Char10"/>
    <w:basedOn w:val="DefaultParagraphFont"/>
    <w:locked/>
    <w:rPr>
      <w:rFonts w:ascii="Times New Roman" w:eastAsia="Times New Roman" w:hAnsi="Times New Roman" w:cs="Times New Roman"/>
      <w:i/>
      <w:iCs/>
      <w:sz w:val="22"/>
      <w:lang w:val="en-GB"/>
    </w:rPr>
  </w:style>
  <w:style w:type="character" w:styleId="PageNumber">
    <w:name w:val="page number"/>
    <w:basedOn w:val="DefaultParagraphFont"/>
    <w:rPr>
      <w:rFonts w:ascii="Times New Roman" w:hAnsi="Times New Roman"/>
      <w:sz w:val="22"/>
    </w:rPr>
  </w:style>
  <w:style w:type="paragraph" w:customStyle="1" w:styleId="Para1">
    <w:name w:val="Para1"/>
    <w:basedOn w:val="Normal"/>
    <w:pPr>
      <w:numPr>
        <w:numId w:val="4"/>
      </w:numPr>
      <w:spacing w:before="120" w:after="120"/>
    </w:pPr>
    <w:rPr>
      <w:snapToGrid/>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rPr>
      <w:bCs/>
    </w:r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Heading2"/>
    <w:pPr>
      <w:jc w:val="left"/>
      <w:outlineLvl w:val="9"/>
    </w:pPr>
    <w:rPr>
      <w:i/>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lang w:val="es-E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u w:val="single"/>
    </w:rPr>
  </w:style>
  <w:style w:type="character" w:customStyle="1" w:styleId="Para1Char">
    <w:name w:val="Para1 Char"/>
    <w:locked/>
    <w:rPr>
      <w:rFonts w:ascii="Times New Roman" w:eastAsia="Times New Roman" w:hAnsi="Times New Roman"/>
      <w:snapToGrid w:val="0"/>
      <w:sz w:val="18"/>
      <w:lang w:val="en-GB"/>
    </w:rPr>
  </w:style>
  <w:style w:type="paragraph" w:customStyle="1" w:styleId="CBD-Doc-Type">
    <w:name w:val="CBD-Doc-Type"/>
    <w:basedOn w:val="Normal"/>
    <w:pPr>
      <w:keepLines/>
      <w:spacing w:before="240" w:after="120"/>
    </w:pPr>
    <w:rPr>
      <w:b/>
      <w:i/>
      <w:sz w:val="24"/>
    </w:rPr>
  </w:style>
  <w:style w:type="paragraph" w:customStyle="1" w:styleId="CBD-Doc">
    <w:name w:val="CBD-Doc"/>
    <w:basedOn w:val="Normal"/>
    <w:pPr>
      <w:keepLines/>
      <w:numPr>
        <w:numId w:val="9"/>
      </w:numPr>
      <w:spacing w:after="120"/>
    </w:pPr>
  </w:style>
  <w:style w:type="paragraph" w:styleId="ListParagraph">
    <w:name w:val="List Paragraph"/>
    <w:basedOn w:val="Normal"/>
    <w:qFormat/>
    <w:pPr>
      <w:ind w:left="720"/>
      <w:contextualSpacing/>
    </w:pPr>
  </w:style>
  <w:style w:type="paragraph" w:styleId="Caption">
    <w:name w:val="caption"/>
    <w:basedOn w:val="Normal"/>
    <w:next w:val="Normal"/>
    <w:qFormat/>
    <w:pPr>
      <w:keepNext/>
      <w:keepLines/>
      <w:spacing w:after="200"/>
    </w:pPr>
    <w:rPr>
      <w:b/>
      <w:iCs/>
      <w:szCs w:val="18"/>
    </w:rPr>
  </w:style>
  <w:style w:type="paragraph" w:customStyle="1" w:styleId="Style1">
    <w:name w:val="Style1"/>
    <w:basedOn w:val="Heading2"/>
    <w:rPr>
      <w:i/>
    </w:rPr>
  </w:style>
  <w:style w:type="paragraph" w:styleId="NoSpacing">
    <w:name w:val="No Spacing"/>
    <w:qFormat/>
    <w:rPr>
      <w:snapToGrid w:val="0"/>
      <w:sz w:val="22"/>
      <w:szCs w:val="22"/>
      <w:lang w:val="en-US" w:eastAsia="es-ES"/>
    </w:rPr>
  </w:style>
  <w:style w:type="character" w:customStyle="1" w:styleId="NoSpacingChar">
    <w:name w:val="No Spacing Char"/>
    <w:basedOn w:val="DefaultParagraphFont"/>
    <w:locked/>
    <w:rPr>
      <w:rFonts w:ascii="Times New Roman" w:eastAsia="Times New Roman" w:hAnsi="Times New Roman" w:cs="Times New Roman"/>
      <w:sz w:val="22"/>
      <w:szCs w:val="22"/>
      <w:lang w:val="en-US" w:bidi="ar-SA"/>
    </w:rPr>
  </w:style>
  <w:style w:type="paragraph" w:customStyle="1" w:styleId="number">
    <w:name w:val="number"/>
    <w:aliases w:val="Footnote Reference Superscript,-E Fußnotenzeichen,(Diplomarbeit FZ),(Diplomarbeit FZ)1,(Diplomarbeit FZ)2,(Diplomarbeit FZ)3,(Diplomarbeit FZ)4,(Diplomarbeit FZ)5,(Diplomarbeit FZ)6,(Diplomarbeit FZ)7,(Diplomarbeit FZ)8,16 Poin"/>
    <w:basedOn w:val="Normal"/>
    <w:pPr>
      <w:spacing w:after="160" w:line="240" w:lineRule="exact"/>
      <w:jc w:val="left"/>
    </w:pPr>
    <w:rPr>
      <w:szCs w:val="20"/>
      <w:vertAlign w:val="superscript"/>
      <w:lang w:val="es-ES"/>
    </w:rPr>
  </w:style>
  <w:style w:type="paragraph" w:styleId="CommentSubject">
    <w:name w:val="annotation subject"/>
    <w:basedOn w:val="CommentText"/>
    <w:next w:val="CommentText"/>
    <w:semiHidden/>
    <w:pPr>
      <w:spacing w:after="0" w:line="240" w:lineRule="auto"/>
    </w:pPr>
    <w:rPr>
      <w:b/>
      <w:bCs/>
      <w:sz w:val="20"/>
      <w:szCs w:val="20"/>
    </w:rPr>
  </w:style>
  <w:style w:type="character" w:customStyle="1" w:styleId="CharChar">
    <w:name w:val="Char Char"/>
    <w:basedOn w:val="CharChar2"/>
    <w:semiHidden/>
    <w:locked/>
    <w:rPr>
      <w:b/>
      <w:bCs/>
      <w:sz w:val="20"/>
      <w:szCs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3208</Characters>
  <Application>Microsoft Office Word</Application>
  <DocSecurity>0</DocSecurity>
  <Lines>65</Lines>
  <Paragraphs>31</Paragraphs>
  <ScaleCrop>false</ScaleCrop>
  <HeadingPairs>
    <vt:vector size="2" baseType="variant">
      <vt:variant>
        <vt:lpstr>Title</vt:lpstr>
      </vt:variant>
      <vt:variant>
        <vt:i4>1</vt:i4>
      </vt:variant>
    </vt:vector>
  </HeadingPairs>
  <TitlesOfParts>
    <vt:vector size="1" baseType="lpstr">
      <vt:lpstr>9/15.	Nagoya – Kuala Lumpur Supplementary Protocol on Liability and Redress</vt:lpstr>
    </vt:vector>
  </TitlesOfParts>
  <Company>SCBD</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9/15.	Nagoya – Kuala Lumpur Supplementary Protocol on Liability and Redress</dc:title>
  <dc:subject>CBD/CP/MOP/DEC/9/15</dc:subject>
  <dc:creator>CP-MOP 9</dc:creator>
  <cp:keywords>Nagoya – Kuala Lumpur Supplementary Protocol on Liability and Redress, Cartagena Protocol on Biosafety, Convention on Biological Diversity</cp:keywords>
  <cp:lastModifiedBy>Laura Perez</cp:lastModifiedBy>
  <cp:revision>2</cp:revision>
  <cp:lastPrinted>2018-11-22T18:07:00Z</cp:lastPrinted>
  <dcterms:created xsi:type="dcterms:W3CDTF">2019-02-14T17:05:00Z</dcterms:created>
  <dcterms:modified xsi:type="dcterms:W3CDTF">2019-02-14T17:05:00Z</dcterms:modified>
</cp:coreProperties>
</file>