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993BFE" w14:paraId="2FD00814" w14:textId="77777777" w:rsidTr="00CF1848">
        <w:trPr>
          <w:trHeight w:val="709"/>
        </w:trPr>
        <w:tc>
          <w:tcPr>
            <w:tcW w:w="976" w:type="dxa"/>
            <w:tcBorders>
              <w:bottom w:val="single" w:sz="12" w:space="0" w:color="auto"/>
            </w:tcBorders>
          </w:tcPr>
          <w:p w14:paraId="2FD00811" w14:textId="77777777" w:rsidR="00C9161D" w:rsidRPr="00765620" w:rsidRDefault="00C9161D">
            <w:pPr>
              <w:rPr>
                <w:kern w:val="22"/>
              </w:rPr>
            </w:pPr>
            <w:r w:rsidRPr="00765620">
              <w:rPr>
                <w:noProof/>
                <w:kern w:val="22"/>
                <w:lang w:val="fr-FR" w:eastAsia="fr-FR"/>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765620" w:rsidRDefault="00C9161D">
            <w:pPr>
              <w:rPr>
                <w:kern w:val="22"/>
              </w:rPr>
            </w:pPr>
            <w:r w:rsidRPr="00765620">
              <w:rPr>
                <w:noProof/>
                <w:kern w:val="22"/>
                <w:lang w:val="fr-FR" w:eastAsia="fr-FR"/>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765620" w:rsidRDefault="00C9161D" w:rsidP="00C9161D">
            <w:pPr>
              <w:jc w:val="right"/>
              <w:rPr>
                <w:rFonts w:ascii="Arial" w:hAnsi="Arial" w:cs="Arial"/>
                <w:b/>
                <w:kern w:val="22"/>
                <w:sz w:val="32"/>
                <w:szCs w:val="32"/>
              </w:rPr>
            </w:pPr>
            <w:r w:rsidRPr="00765620">
              <w:rPr>
                <w:rFonts w:ascii="Arial" w:hAnsi="Arial" w:cs="Arial"/>
                <w:b/>
                <w:kern w:val="22"/>
                <w:sz w:val="32"/>
                <w:szCs w:val="32"/>
              </w:rPr>
              <w:t>CBD</w:t>
            </w:r>
          </w:p>
        </w:tc>
      </w:tr>
      <w:tr w:rsidR="00C9161D" w:rsidRPr="003A74D6" w14:paraId="2FD0081E" w14:textId="77777777" w:rsidTr="00CF1848">
        <w:tc>
          <w:tcPr>
            <w:tcW w:w="6117" w:type="dxa"/>
            <w:gridSpan w:val="2"/>
            <w:tcBorders>
              <w:top w:val="single" w:sz="12" w:space="0" w:color="auto"/>
              <w:bottom w:val="single" w:sz="36" w:space="0" w:color="auto"/>
            </w:tcBorders>
            <w:vAlign w:val="center"/>
          </w:tcPr>
          <w:p w14:paraId="2FD00815" w14:textId="7571816D" w:rsidR="00C9161D" w:rsidRPr="00765620" w:rsidRDefault="00E844B6" w:rsidP="00C9161D">
            <w:pPr>
              <w:rPr>
                <w:kern w:val="22"/>
              </w:rPr>
            </w:pPr>
            <w:r>
              <w:rPr>
                <w:bCs/>
                <w:noProof/>
                <w:szCs w:val="22"/>
                <w:lang w:val="fr-FR" w:eastAsia="fr-FR"/>
              </w:rPr>
              <w:drawing>
                <wp:inline distT="0" distB="0" distL="0" distR="0" wp14:anchorId="1E7F28FD" wp14:editId="0F542517">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691142" w:rsidRDefault="00C9161D" w:rsidP="00176CEE">
            <w:pPr>
              <w:ind w:left="1215"/>
              <w:rPr>
                <w:kern w:val="22"/>
                <w:szCs w:val="22"/>
                <w:lang w:val="en-AU"/>
              </w:rPr>
            </w:pPr>
            <w:r w:rsidRPr="00691142">
              <w:rPr>
                <w:kern w:val="22"/>
                <w:szCs w:val="22"/>
                <w:lang w:val="en-AU"/>
              </w:rPr>
              <w:t>Distr.</w:t>
            </w:r>
          </w:p>
          <w:p w14:paraId="2FD00817" w14:textId="2AD01F76" w:rsidR="00C9161D" w:rsidRPr="003A74D6" w:rsidRDefault="002773C5" w:rsidP="00176CEE">
            <w:pPr>
              <w:ind w:left="1215"/>
              <w:rPr>
                <w:kern w:val="22"/>
                <w:szCs w:val="22"/>
                <w:lang w:val="en-AU"/>
              </w:rPr>
            </w:pPr>
            <w:sdt>
              <w:sdtPr>
                <w:rPr>
                  <w:kern w:val="22"/>
                  <w:szCs w:val="22"/>
                  <w:lang w:val="en-AU"/>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3A74D6" w:rsidRPr="003A74D6">
                  <w:rPr>
                    <w:kern w:val="22"/>
                    <w:szCs w:val="22"/>
                    <w:lang w:val="en-AU"/>
                  </w:rPr>
                  <w:t>GENERAL</w:t>
                </w:r>
                <w:r w:rsidR="007D7555" w:rsidRPr="003A74D6">
                  <w:rPr>
                    <w:kern w:val="22"/>
                    <w:szCs w:val="22"/>
                    <w:lang w:val="en-AU"/>
                  </w:rPr>
                  <w:t>E</w:t>
                </w:r>
              </w:sdtContent>
            </w:sdt>
          </w:p>
          <w:p w14:paraId="2FD00818" w14:textId="77777777" w:rsidR="00C9161D" w:rsidRPr="003A74D6" w:rsidRDefault="00C9161D" w:rsidP="00176CEE">
            <w:pPr>
              <w:ind w:left="1215"/>
              <w:rPr>
                <w:kern w:val="22"/>
                <w:szCs w:val="22"/>
                <w:lang w:val="en-AU"/>
              </w:rPr>
            </w:pPr>
          </w:p>
          <w:p w14:paraId="2FD00819" w14:textId="2D667523" w:rsidR="00C9161D" w:rsidRPr="00691142" w:rsidRDefault="002773C5" w:rsidP="00176CEE">
            <w:pPr>
              <w:ind w:left="1215"/>
              <w:rPr>
                <w:kern w:val="22"/>
                <w:szCs w:val="22"/>
                <w:lang w:val="en-AU"/>
              </w:rPr>
            </w:pPr>
            <w:sdt>
              <w:sdtPr>
                <w:rPr>
                  <w:kern w:val="22"/>
                  <w:lang w:val="en-AU"/>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D315B1" w:rsidRPr="00691142">
                  <w:rPr>
                    <w:kern w:val="22"/>
                    <w:lang w:val="en-AU"/>
                  </w:rPr>
                  <w:t>CBD/CP/MOP/</w:t>
                </w:r>
                <w:r w:rsidR="003A74D6" w:rsidRPr="00691142">
                  <w:rPr>
                    <w:kern w:val="22"/>
                    <w:lang w:val="en-AU"/>
                  </w:rPr>
                  <w:t>DEC/9/15</w:t>
                </w:r>
              </w:sdtContent>
            </w:sdt>
          </w:p>
          <w:p w14:paraId="2FD0081A" w14:textId="6A803CE1" w:rsidR="00C9161D" w:rsidRPr="003A74D6" w:rsidRDefault="003A74D6" w:rsidP="00176CEE">
            <w:pPr>
              <w:ind w:left="1215"/>
              <w:rPr>
                <w:kern w:val="22"/>
                <w:szCs w:val="22"/>
                <w:lang w:val="fr-FR"/>
              </w:rPr>
            </w:pPr>
            <w:r>
              <w:rPr>
                <w:kern w:val="22"/>
                <w:szCs w:val="22"/>
                <w:lang w:val="fr-FR"/>
              </w:rPr>
              <w:t>30</w:t>
            </w:r>
            <w:r w:rsidR="00F6586C" w:rsidRPr="003A74D6">
              <w:rPr>
                <w:kern w:val="22"/>
                <w:szCs w:val="22"/>
                <w:lang w:val="fr-FR"/>
              </w:rPr>
              <w:t xml:space="preserve"> </w:t>
            </w:r>
            <w:r w:rsidR="007D7555" w:rsidRPr="003A74D6">
              <w:rPr>
                <w:kern w:val="22"/>
                <w:szCs w:val="22"/>
                <w:lang w:val="fr-FR"/>
              </w:rPr>
              <w:t>novembre</w:t>
            </w:r>
            <w:r w:rsidR="00F6586C" w:rsidRPr="003A74D6">
              <w:rPr>
                <w:kern w:val="22"/>
                <w:szCs w:val="22"/>
                <w:lang w:val="fr-FR"/>
              </w:rPr>
              <w:t xml:space="preserve"> 2018</w:t>
            </w:r>
          </w:p>
          <w:p w14:paraId="2FD0081B" w14:textId="77777777" w:rsidR="00C9161D" w:rsidRPr="003A74D6" w:rsidRDefault="00C9161D" w:rsidP="00176CEE">
            <w:pPr>
              <w:ind w:left="1215"/>
              <w:rPr>
                <w:kern w:val="22"/>
                <w:szCs w:val="22"/>
                <w:lang w:val="fr-FR"/>
              </w:rPr>
            </w:pPr>
          </w:p>
          <w:p w14:paraId="340FCA73" w14:textId="77777777" w:rsidR="007D7555" w:rsidRPr="003A74D6" w:rsidRDefault="007D7555" w:rsidP="00176CEE">
            <w:pPr>
              <w:ind w:left="1215"/>
              <w:rPr>
                <w:kern w:val="22"/>
                <w:szCs w:val="22"/>
                <w:lang w:val="fr-FR"/>
              </w:rPr>
            </w:pPr>
            <w:r w:rsidRPr="003A74D6">
              <w:rPr>
                <w:kern w:val="22"/>
                <w:szCs w:val="22"/>
                <w:lang w:val="fr-FR"/>
              </w:rPr>
              <w:t>FRANÇAIS</w:t>
            </w:r>
          </w:p>
          <w:p w14:paraId="2FD0081C" w14:textId="73032FB2" w:rsidR="00C9161D" w:rsidRPr="003A74D6" w:rsidRDefault="006B2290" w:rsidP="00176CEE">
            <w:pPr>
              <w:ind w:left="1215"/>
              <w:rPr>
                <w:kern w:val="22"/>
                <w:szCs w:val="22"/>
                <w:lang w:val="fr-FR"/>
              </w:rPr>
            </w:pPr>
            <w:r w:rsidRPr="003A74D6">
              <w:rPr>
                <w:kern w:val="22"/>
                <w:szCs w:val="22"/>
                <w:lang w:val="fr-FR"/>
              </w:rPr>
              <w:t>ORIGINAL</w:t>
            </w:r>
            <w:r w:rsidR="007D7555" w:rsidRPr="003A74D6">
              <w:rPr>
                <w:kern w:val="22"/>
                <w:szCs w:val="22"/>
                <w:lang w:val="fr-FR"/>
              </w:rPr>
              <w:t xml:space="preserve"> </w:t>
            </w:r>
            <w:r w:rsidRPr="003A74D6">
              <w:rPr>
                <w:kern w:val="22"/>
                <w:szCs w:val="22"/>
                <w:lang w:val="fr-FR"/>
              </w:rPr>
              <w:t xml:space="preserve">: </w:t>
            </w:r>
            <w:r w:rsidR="007D7555" w:rsidRPr="003A74D6">
              <w:rPr>
                <w:kern w:val="22"/>
                <w:szCs w:val="22"/>
                <w:lang w:val="fr-FR"/>
              </w:rPr>
              <w:t>ANGLAIS</w:t>
            </w:r>
          </w:p>
          <w:p w14:paraId="2FD0081D" w14:textId="77777777" w:rsidR="00C9161D" w:rsidRPr="003A74D6" w:rsidRDefault="00C9161D">
            <w:pPr>
              <w:rPr>
                <w:kern w:val="22"/>
                <w:lang w:val="fr-FR"/>
              </w:rPr>
            </w:pPr>
          </w:p>
        </w:tc>
      </w:tr>
    </w:tbl>
    <w:p w14:paraId="29852FF2" w14:textId="5CD67F55" w:rsidR="00E844B6" w:rsidRPr="00CA7BE3" w:rsidRDefault="00E844B6" w:rsidP="003A74D6">
      <w:pPr>
        <w:pStyle w:val="Cornernotation"/>
        <w:suppressLineNumbers/>
        <w:suppressAutoHyphens/>
        <w:kinsoku w:val="0"/>
        <w:overflowPunct w:val="0"/>
        <w:autoSpaceDE w:val="0"/>
        <w:autoSpaceDN w:val="0"/>
        <w:spacing w:before="60"/>
        <w:ind w:left="142" w:right="3780" w:hanging="142"/>
        <w:rPr>
          <w:snapToGrid w:val="0"/>
          <w:kern w:val="22"/>
          <w:lang w:val="fr-FR"/>
        </w:rPr>
      </w:pPr>
      <w:r>
        <w:rPr>
          <w:snapToGrid w:val="0"/>
          <w:kern w:val="22"/>
          <w:lang w:val="fr-FR"/>
        </w:rPr>
        <w:t>CONFÉRENCE DES PARTIES À LA CONVENTION SUR LA DIVERSITÉ BIOLOGIQUE SIÉGEA</w:t>
      </w:r>
      <w:bookmarkStart w:id="0" w:name="_GoBack"/>
      <w:bookmarkEnd w:id="0"/>
      <w:r>
        <w:rPr>
          <w:snapToGrid w:val="0"/>
          <w:kern w:val="22"/>
          <w:lang w:val="fr-FR"/>
        </w:rPr>
        <w:t>NT EN TANT QUE RÉ</w:t>
      </w:r>
      <w:r w:rsidRPr="00CA7BE3">
        <w:rPr>
          <w:snapToGrid w:val="0"/>
          <w:kern w:val="22"/>
          <w:lang w:val="fr-FR"/>
        </w:rPr>
        <w:t>UNION DES</w:t>
      </w:r>
      <w:r>
        <w:rPr>
          <w:snapToGrid w:val="0"/>
          <w:kern w:val="22"/>
          <w:lang w:val="fr-FR"/>
        </w:rPr>
        <w:t xml:space="preserve"> PARTIES AU PROTOCOLE DE CARTAGENA SUR LA PRÉVENTION DES RISQUES BIOTECHNOLOGIQUES</w:t>
      </w:r>
    </w:p>
    <w:p w14:paraId="758D2DAE" w14:textId="77777777" w:rsidR="00E844B6" w:rsidRPr="00CA7BE3" w:rsidRDefault="00E844B6" w:rsidP="00E844B6">
      <w:pPr>
        <w:pStyle w:val="Cornernotation"/>
        <w:suppressLineNumbers/>
        <w:suppressAutoHyphens/>
        <w:kinsoku w:val="0"/>
        <w:overflowPunct w:val="0"/>
        <w:autoSpaceDE w:val="0"/>
        <w:autoSpaceDN w:val="0"/>
        <w:ind w:left="0" w:right="4512" w:firstLine="0"/>
        <w:rPr>
          <w:snapToGrid w:val="0"/>
          <w:kern w:val="22"/>
          <w:lang w:val="fr-FR"/>
        </w:rPr>
      </w:pPr>
      <w:r w:rsidRPr="00CA7BE3">
        <w:rPr>
          <w:snapToGrid w:val="0"/>
          <w:kern w:val="22"/>
          <w:lang w:val="fr-FR"/>
        </w:rPr>
        <w:t>Neuvième réunion</w:t>
      </w:r>
    </w:p>
    <w:p w14:paraId="441E5E97" w14:textId="62B6C805" w:rsidR="00E844B6" w:rsidRPr="00CA7BE3" w:rsidRDefault="00E844B6" w:rsidP="00E844B6">
      <w:pPr>
        <w:suppressLineNumbers/>
        <w:suppressAutoHyphens/>
        <w:kinsoku w:val="0"/>
        <w:overflowPunct w:val="0"/>
        <w:autoSpaceDE w:val="0"/>
        <w:autoSpaceDN w:val="0"/>
        <w:rPr>
          <w:snapToGrid w:val="0"/>
          <w:kern w:val="22"/>
          <w:szCs w:val="22"/>
          <w:lang w:val="fr-FR" w:eastAsia="nb-NO"/>
        </w:rPr>
      </w:pPr>
      <w:bookmarkStart w:id="1" w:name="_Hlk505863673"/>
      <w:r w:rsidRPr="00CA7BE3">
        <w:rPr>
          <w:snapToGrid w:val="0"/>
          <w:kern w:val="22"/>
          <w:szCs w:val="22"/>
          <w:lang w:val="fr-FR" w:eastAsia="nb-NO"/>
        </w:rPr>
        <w:t xml:space="preserve">Sharm El-Sheikh, </w:t>
      </w:r>
      <w:r>
        <w:rPr>
          <w:snapToGrid w:val="0"/>
          <w:kern w:val="22"/>
          <w:szCs w:val="22"/>
          <w:lang w:val="fr-FR" w:eastAsia="nb-NO"/>
        </w:rPr>
        <w:t>É</w:t>
      </w:r>
      <w:r w:rsidRPr="00CA7BE3">
        <w:rPr>
          <w:snapToGrid w:val="0"/>
          <w:kern w:val="22"/>
          <w:szCs w:val="22"/>
          <w:lang w:val="fr-FR" w:eastAsia="nb-NO"/>
        </w:rPr>
        <w:t>gypt</w:t>
      </w:r>
      <w:bookmarkEnd w:id="1"/>
      <w:r w:rsidRPr="00CA7BE3">
        <w:rPr>
          <w:snapToGrid w:val="0"/>
          <w:kern w:val="22"/>
          <w:szCs w:val="22"/>
          <w:lang w:val="fr-FR" w:eastAsia="nb-NO"/>
        </w:rPr>
        <w:t>e, 17-29 novembre 2018</w:t>
      </w:r>
    </w:p>
    <w:p w14:paraId="44D8037F" w14:textId="1D0A1B23" w:rsidR="003A74D6" w:rsidRDefault="00E844B6" w:rsidP="003A74D6">
      <w:pPr>
        <w:pStyle w:val="Cornernotation"/>
        <w:ind w:right="3973"/>
        <w:rPr>
          <w:snapToGrid w:val="0"/>
          <w:kern w:val="22"/>
          <w:szCs w:val="22"/>
          <w:lang w:val="fr-FR"/>
        </w:rPr>
      </w:pPr>
      <w:r>
        <w:rPr>
          <w:snapToGrid w:val="0"/>
          <w:kern w:val="22"/>
          <w:szCs w:val="22"/>
          <w:lang w:val="fr-FR"/>
        </w:rPr>
        <w:t>Point 19</w:t>
      </w:r>
      <w:r w:rsidRPr="00CA7BE3">
        <w:rPr>
          <w:snapToGrid w:val="0"/>
          <w:kern w:val="22"/>
          <w:szCs w:val="22"/>
          <w:lang w:val="fr-FR"/>
        </w:rPr>
        <w:t xml:space="preserve"> de l’ordre du jour provisoir</w:t>
      </w:r>
      <w:r>
        <w:rPr>
          <w:snapToGrid w:val="0"/>
          <w:kern w:val="22"/>
          <w:szCs w:val="22"/>
          <w:lang w:val="fr-FR"/>
        </w:rPr>
        <w:t>e</w:t>
      </w:r>
    </w:p>
    <w:p w14:paraId="2E0B0138" w14:textId="27BFDEDD" w:rsidR="003A74D6" w:rsidRPr="003A74D6" w:rsidRDefault="003A74D6" w:rsidP="003A74D6">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14:paraId="2FD00824" w14:textId="2925E0BF" w:rsidR="00C9161D" w:rsidRPr="00E844B6" w:rsidRDefault="002773C5" w:rsidP="003A74D6">
      <w:pPr>
        <w:spacing w:before="240" w:after="360"/>
        <w:jc w:val="center"/>
        <w:rPr>
          <w:b/>
          <w:caps/>
          <w:kern w:val="22"/>
          <w:szCs w:val="22"/>
          <w:lang w:val="fr-CA"/>
        </w:rPr>
      </w:pPr>
      <w:sdt>
        <w:sdtPr>
          <w:rPr>
            <w:b/>
            <w:bCs/>
            <w:snapToGrid w:val="0"/>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A74D6">
            <w:rPr>
              <w:b/>
              <w:bCs/>
              <w:snapToGrid w:val="0"/>
              <w:lang w:val="fr-FR"/>
            </w:rPr>
            <w:t>9/15.   Protocole additionnel de Nagoya – Kuala L</w:t>
          </w:r>
          <w:r w:rsidR="003A74D6" w:rsidRPr="00E844B6">
            <w:rPr>
              <w:b/>
              <w:bCs/>
              <w:snapToGrid w:val="0"/>
              <w:lang w:val="fr-FR"/>
            </w:rPr>
            <w:t>umpur sur la responsabilité et la réparation</w:t>
          </w:r>
        </w:sdtContent>
      </w:sdt>
      <w:r w:rsidR="003A74D6" w:rsidRPr="00E844B6">
        <w:rPr>
          <w:b/>
          <w:kern w:val="22"/>
          <w:szCs w:val="22"/>
          <w:lang w:val="fr-CA"/>
        </w:rPr>
        <w:t xml:space="preserve"> </w:t>
      </w:r>
    </w:p>
    <w:p w14:paraId="68DC52CE" w14:textId="7E9993D4" w:rsidR="00E844B6" w:rsidRPr="00AC6FA3" w:rsidRDefault="00E844B6" w:rsidP="00E844B6">
      <w:pPr>
        <w:pStyle w:val="Para1"/>
        <w:numPr>
          <w:ilvl w:val="0"/>
          <w:numId w:val="0"/>
        </w:numPr>
        <w:ind w:firstLine="720"/>
        <w:rPr>
          <w:i/>
          <w:snapToGrid/>
          <w:szCs w:val="24"/>
          <w:lang w:val="fr-CA"/>
        </w:rPr>
      </w:pPr>
      <w:r w:rsidRPr="00414731">
        <w:rPr>
          <w:i/>
          <w:lang w:val="fr-FR"/>
        </w:rPr>
        <w:t xml:space="preserve">La Conférence des Parties siégeant en tant que </w:t>
      </w:r>
      <w:r>
        <w:rPr>
          <w:i/>
          <w:lang w:val="fr-FR"/>
        </w:rPr>
        <w:t>réunion des Parties au Pro</w:t>
      </w:r>
      <w:r w:rsidRPr="00414731">
        <w:rPr>
          <w:i/>
          <w:lang w:val="fr-FR"/>
        </w:rPr>
        <w:t xml:space="preserve">tocole de Cartagena </w:t>
      </w:r>
      <w:r>
        <w:rPr>
          <w:i/>
          <w:lang w:val="fr-FR"/>
        </w:rPr>
        <w:t>sur la prévention d</w:t>
      </w:r>
      <w:r w:rsidR="00E05675">
        <w:rPr>
          <w:i/>
          <w:lang w:val="fr-FR"/>
        </w:rPr>
        <w:t xml:space="preserve">es risques biotechnologiques et </w:t>
      </w:r>
      <w:r w:rsidRPr="00414731">
        <w:rPr>
          <w:i/>
          <w:lang w:val="fr-FR"/>
        </w:rPr>
        <w:t xml:space="preserve">siégeant en tant que </w:t>
      </w:r>
      <w:r>
        <w:rPr>
          <w:i/>
          <w:lang w:val="fr-FR"/>
        </w:rPr>
        <w:t>réunion des Parties au Protocole additionnel de</w:t>
      </w:r>
      <w:r w:rsidRPr="00414731">
        <w:rPr>
          <w:i/>
          <w:lang w:val="fr-FR"/>
        </w:rPr>
        <w:t xml:space="preserve"> Nagoya </w:t>
      </w:r>
      <w:r w:rsidRPr="00414731">
        <w:rPr>
          <w:rFonts w:hint="eastAsia"/>
          <w:i/>
          <w:lang w:val="fr-FR"/>
        </w:rPr>
        <w:t>–</w:t>
      </w:r>
      <w:r>
        <w:rPr>
          <w:i/>
          <w:lang w:val="fr-FR"/>
        </w:rPr>
        <w:t xml:space="preserve"> Kuala Lumpur sur la responsabilité et la réparation</w:t>
      </w:r>
      <w:r w:rsidRPr="003333A1">
        <w:rPr>
          <w:rStyle w:val="FootnoteReference"/>
        </w:rPr>
        <w:footnoteReference w:id="1"/>
      </w:r>
      <w:r w:rsidR="003A74D6">
        <w:rPr>
          <w:i/>
          <w:lang w:val="fr-FR"/>
        </w:rPr>
        <w:t>,</w:t>
      </w:r>
    </w:p>
    <w:p w14:paraId="676193AE" w14:textId="0786F337" w:rsidR="00E844B6" w:rsidRPr="00760C21" w:rsidRDefault="003A74D6" w:rsidP="00E844B6">
      <w:pPr>
        <w:pStyle w:val="HEADING"/>
        <w:keepNext w:val="0"/>
        <w:numPr>
          <w:ilvl w:val="0"/>
          <w:numId w:val="24"/>
        </w:numPr>
        <w:spacing w:before="120"/>
        <w:ind w:left="0" w:firstLine="709"/>
        <w:jc w:val="both"/>
        <w:rPr>
          <w:b w:val="0"/>
          <w:bCs w:val="0"/>
          <w:caps w:val="0"/>
          <w:snapToGrid w:val="0"/>
          <w:szCs w:val="18"/>
          <w:lang w:val="fr-FR"/>
        </w:rPr>
      </w:pPr>
      <w:r>
        <w:rPr>
          <w:b w:val="0"/>
          <w:bCs w:val="0"/>
          <w:i/>
          <w:caps w:val="0"/>
          <w:snapToGrid w:val="0"/>
          <w:szCs w:val="18"/>
          <w:lang w:val="fr-FR"/>
        </w:rPr>
        <w:t>Accueille avec satisfaction</w:t>
      </w:r>
      <w:r w:rsidR="00E844B6" w:rsidRPr="00760C21">
        <w:rPr>
          <w:b w:val="0"/>
          <w:bCs w:val="0"/>
          <w:caps w:val="0"/>
          <w:snapToGrid w:val="0"/>
          <w:szCs w:val="18"/>
          <w:lang w:val="fr-FR"/>
        </w:rPr>
        <w:t xml:space="preserve"> l’entrée en vigueur du Protocole additionnel de Nagoya – Kuala Lumpur sur la</w:t>
      </w:r>
      <w:r w:rsidR="00E05675">
        <w:rPr>
          <w:b w:val="0"/>
          <w:bCs w:val="0"/>
          <w:caps w:val="0"/>
          <w:snapToGrid w:val="0"/>
          <w:szCs w:val="18"/>
          <w:lang w:val="fr-FR"/>
        </w:rPr>
        <w:t xml:space="preserve"> responsabilité et la réparation relatif au Protocole</w:t>
      </w:r>
      <w:r w:rsidR="00E844B6" w:rsidRPr="00760C21">
        <w:rPr>
          <w:b w:val="0"/>
          <w:bCs w:val="0"/>
          <w:caps w:val="0"/>
          <w:snapToGrid w:val="0"/>
          <w:szCs w:val="18"/>
          <w:lang w:val="fr-FR"/>
        </w:rPr>
        <w:t xml:space="preserve"> de Cartagena sur la prévention des </w:t>
      </w:r>
      <w:r>
        <w:rPr>
          <w:b w:val="0"/>
          <w:bCs w:val="0"/>
          <w:caps w:val="0"/>
          <w:snapToGrid w:val="0"/>
          <w:szCs w:val="18"/>
          <w:lang w:val="fr-FR"/>
        </w:rPr>
        <w:t>risques biotechnologiques</w:t>
      </w:r>
      <w:r w:rsidR="00E844B6" w:rsidRPr="00760C21">
        <w:rPr>
          <w:b w:val="0"/>
          <w:bCs w:val="0"/>
          <w:caps w:val="0"/>
          <w:snapToGrid w:val="0"/>
          <w:szCs w:val="18"/>
          <w:lang w:val="fr-FR"/>
        </w:rPr>
        <w:t>;</w:t>
      </w:r>
    </w:p>
    <w:p w14:paraId="256B7B2A" w14:textId="159DE77D"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Félicite</w:t>
      </w:r>
      <w:r w:rsidR="00E05675">
        <w:rPr>
          <w:b w:val="0"/>
          <w:bCs w:val="0"/>
          <w:caps w:val="0"/>
          <w:snapToGrid w:val="0"/>
          <w:szCs w:val="18"/>
          <w:lang w:val="fr-FR"/>
        </w:rPr>
        <w:t xml:space="preserve"> les Parties qui ont déposé leur </w:t>
      </w:r>
      <w:r w:rsidRPr="00760C21">
        <w:rPr>
          <w:b w:val="0"/>
          <w:bCs w:val="0"/>
          <w:caps w:val="0"/>
          <w:snapToGrid w:val="0"/>
          <w:szCs w:val="18"/>
          <w:lang w:val="fr-FR"/>
        </w:rPr>
        <w:t>instrument de ratification</w:t>
      </w:r>
      <w:r w:rsidR="003A74D6">
        <w:rPr>
          <w:b w:val="0"/>
          <w:bCs w:val="0"/>
          <w:caps w:val="0"/>
          <w:snapToGrid w:val="0"/>
          <w:szCs w:val="18"/>
          <w:lang w:val="fr-FR"/>
        </w:rPr>
        <w:t>,</w:t>
      </w:r>
      <w:r w:rsidRPr="00760C21">
        <w:rPr>
          <w:b w:val="0"/>
          <w:bCs w:val="0"/>
          <w:caps w:val="0"/>
          <w:snapToGrid w:val="0"/>
          <w:szCs w:val="18"/>
          <w:lang w:val="fr-FR"/>
        </w:rPr>
        <w:t xml:space="preserve"> d’acceptation, d’approbation ou d’adhésion au Protocole additionnel, et les invite instamment à prendre les mesure</w:t>
      </w:r>
      <w:r w:rsidR="003A74D6">
        <w:rPr>
          <w:b w:val="0"/>
          <w:bCs w:val="0"/>
          <w:caps w:val="0"/>
          <w:snapToGrid w:val="0"/>
          <w:szCs w:val="18"/>
          <w:lang w:val="fr-FR"/>
        </w:rPr>
        <w:t>s nécessaires pour son application</w:t>
      </w:r>
      <w:r w:rsidRPr="00760C21">
        <w:rPr>
          <w:b w:val="0"/>
          <w:bCs w:val="0"/>
          <w:caps w:val="0"/>
          <w:snapToGrid w:val="0"/>
          <w:szCs w:val="18"/>
          <w:lang w:val="fr-FR"/>
        </w:rPr>
        <w:t>;</w:t>
      </w:r>
    </w:p>
    <w:p w14:paraId="2760C4E3" w14:textId="3266CFD4"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Invite instamment</w:t>
      </w:r>
      <w:r w:rsidRPr="00760C21">
        <w:rPr>
          <w:b w:val="0"/>
          <w:bCs w:val="0"/>
          <w:caps w:val="0"/>
          <w:snapToGrid w:val="0"/>
          <w:szCs w:val="18"/>
          <w:lang w:val="fr-FR"/>
        </w:rPr>
        <w:t xml:space="preserve"> les Parties au Protocole de Cartagena sur la prévention des risques biotechnologiqu</w:t>
      </w:r>
      <w:r w:rsidR="003A74D6">
        <w:rPr>
          <w:b w:val="0"/>
          <w:bCs w:val="0"/>
          <w:caps w:val="0"/>
          <w:snapToGrid w:val="0"/>
          <w:szCs w:val="18"/>
          <w:lang w:val="fr-FR"/>
        </w:rPr>
        <w:t>es qui ne l’ont pas encore fait</w:t>
      </w:r>
      <w:r w:rsidRPr="00760C21">
        <w:rPr>
          <w:b w:val="0"/>
          <w:bCs w:val="0"/>
          <w:caps w:val="0"/>
          <w:snapToGrid w:val="0"/>
          <w:szCs w:val="18"/>
          <w:lang w:val="fr-FR"/>
        </w:rPr>
        <w:t xml:space="preserve"> à déposer leur instrument de ratification</w:t>
      </w:r>
      <w:r w:rsidR="003A74D6">
        <w:rPr>
          <w:b w:val="0"/>
          <w:bCs w:val="0"/>
          <w:caps w:val="0"/>
          <w:snapToGrid w:val="0"/>
          <w:szCs w:val="18"/>
          <w:lang w:val="fr-FR"/>
        </w:rPr>
        <w:t>,</w:t>
      </w:r>
      <w:r w:rsidRPr="00760C21">
        <w:rPr>
          <w:b w:val="0"/>
          <w:bCs w:val="0"/>
          <w:caps w:val="0"/>
          <w:snapToGrid w:val="0"/>
          <w:szCs w:val="18"/>
          <w:lang w:val="fr-FR"/>
        </w:rPr>
        <w:t xml:space="preserve"> d’acceptation, d’approbation ou d’adhésion au Protocole additionnel, dans les plus brefs délais;</w:t>
      </w:r>
    </w:p>
    <w:p w14:paraId="466E0F02" w14:textId="19594789"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Accueille</w:t>
      </w:r>
      <w:r w:rsidRPr="00760C21">
        <w:rPr>
          <w:b w:val="0"/>
          <w:bCs w:val="0"/>
          <w:caps w:val="0"/>
          <w:snapToGrid w:val="0"/>
          <w:szCs w:val="18"/>
          <w:lang w:val="fr-FR"/>
        </w:rPr>
        <w:t xml:space="preserve"> </w:t>
      </w:r>
      <w:r w:rsidRPr="003A74D6">
        <w:rPr>
          <w:b w:val="0"/>
          <w:bCs w:val="0"/>
          <w:i/>
          <w:caps w:val="0"/>
          <w:snapToGrid w:val="0"/>
          <w:szCs w:val="18"/>
          <w:lang w:val="fr-FR"/>
        </w:rPr>
        <w:t>avec satisfaction</w:t>
      </w:r>
      <w:r w:rsidRPr="00760C21">
        <w:rPr>
          <w:b w:val="0"/>
          <w:bCs w:val="0"/>
          <w:caps w:val="0"/>
          <w:snapToGrid w:val="0"/>
          <w:szCs w:val="18"/>
          <w:lang w:val="fr-FR"/>
        </w:rPr>
        <w:t xml:space="preserve"> les activités entreprises pour faciliter l’entré</w:t>
      </w:r>
      <w:r w:rsidR="003A74D6">
        <w:rPr>
          <w:b w:val="0"/>
          <w:bCs w:val="0"/>
          <w:caps w:val="0"/>
          <w:snapToGrid w:val="0"/>
          <w:szCs w:val="18"/>
          <w:lang w:val="fr-FR"/>
        </w:rPr>
        <w:t>e en vigueur et l’application</w:t>
      </w:r>
      <w:r w:rsidRPr="00760C21">
        <w:rPr>
          <w:b w:val="0"/>
          <w:bCs w:val="0"/>
          <w:caps w:val="0"/>
          <w:snapToGrid w:val="0"/>
          <w:szCs w:val="18"/>
          <w:lang w:val="fr-FR"/>
        </w:rPr>
        <w:t xml:space="preserve"> du Protocole a</w:t>
      </w:r>
      <w:r w:rsidR="00691142">
        <w:rPr>
          <w:b w:val="0"/>
          <w:bCs w:val="0"/>
          <w:caps w:val="0"/>
          <w:snapToGrid w:val="0"/>
          <w:szCs w:val="18"/>
          <w:lang w:val="fr-FR"/>
        </w:rPr>
        <w:t>dditionnel, ainsi que l’aide fournie par les bailleurs de fonds</w:t>
      </w:r>
      <w:r w:rsidRPr="00760C21">
        <w:rPr>
          <w:b w:val="0"/>
          <w:bCs w:val="0"/>
          <w:caps w:val="0"/>
          <w:snapToGrid w:val="0"/>
          <w:szCs w:val="18"/>
          <w:lang w:val="fr-FR"/>
        </w:rPr>
        <w:t xml:space="preserve"> dans ce but;</w:t>
      </w:r>
    </w:p>
    <w:p w14:paraId="074291B4" w14:textId="7273E018"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Demande</w:t>
      </w:r>
      <w:r w:rsidRPr="00760C21">
        <w:rPr>
          <w:b w:val="0"/>
          <w:bCs w:val="0"/>
          <w:caps w:val="0"/>
          <w:snapToGrid w:val="0"/>
          <w:szCs w:val="18"/>
          <w:lang w:val="fr-FR"/>
        </w:rPr>
        <w:t xml:space="preserve"> à la Secrétaire exécutive, dans la limite des ressources financières disponibles</w:t>
      </w:r>
      <w:r w:rsidR="003C74EA">
        <w:rPr>
          <w:b w:val="0"/>
          <w:bCs w:val="0"/>
          <w:caps w:val="0"/>
          <w:snapToGrid w:val="0"/>
          <w:szCs w:val="18"/>
          <w:lang w:val="fr-FR"/>
        </w:rPr>
        <w:t xml:space="preserve"> provenant du Fonds d’affectation spéciale volontaire</w:t>
      </w:r>
      <w:r w:rsidRPr="00760C21">
        <w:rPr>
          <w:b w:val="0"/>
          <w:bCs w:val="0"/>
          <w:caps w:val="0"/>
          <w:snapToGrid w:val="0"/>
          <w:szCs w:val="18"/>
          <w:lang w:val="fr-FR"/>
        </w:rPr>
        <w:t>, de c</w:t>
      </w:r>
      <w:r w:rsidR="00691142">
        <w:rPr>
          <w:b w:val="0"/>
          <w:bCs w:val="0"/>
          <w:caps w:val="0"/>
          <w:snapToGrid w:val="0"/>
          <w:szCs w:val="18"/>
          <w:lang w:val="fr-FR"/>
        </w:rPr>
        <w:t xml:space="preserve">ontinuer à </w:t>
      </w:r>
      <w:r w:rsidRPr="00760C21">
        <w:rPr>
          <w:b w:val="0"/>
          <w:bCs w:val="0"/>
          <w:caps w:val="0"/>
          <w:snapToGrid w:val="0"/>
          <w:szCs w:val="18"/>
          <w:lang w:val="fr-FR"/>
        </w:rPr>
        <w:t xml:space="preserve">entreprendre des activités de sensibilisation </w:t>
      </w:r>
      <w:r w:rsidR="003C74EA">
        <w:rPr>
          <w:b w:val="0"/>
          <w:bCs w:val="0"/>
          <w:caps w:val="0"/>
          <w:snapToGrid w:val="0"/>
          <w:szCs w:val="18"/>
          <w:lang w:val="fr-FR"/>
        </w:rPr>
        <w:t xml:space="preserve">et de renforcement des capacités </w:t>
      </w:r>
      <w:r w:rsidR="00691142">
        <w:rPr>
          <w:b w:val="0"/>
          <w:bCs w:val="0"/>
          <w:caps w:val="0"/>
          <w:snapToGrid w:val="0"/>
          <w:szCs w:val="18"/>
          <w:lang w:val="fr-FR"/>
        </w:rPr>
        <w:t>et de fournir une aide</w:t>
      </w:r>
      <w:r w:rsidRPr="00760C21">
        <w:rPr>
          <w:b w:val="0"/>
          <w:bCs w:val="0"/>
          <w:caps w:val="0"/>
          <w:snapToGrid w:val="0"/>
          <w:szCs w:val="18"/>
          <w:lang w:val="fr-FR"/>
        </w:rPr>
        <w:t xml:space="preserve"> a</w:t>
      </w:r>
      <w:r w:rsidR="00691142">
        <w:rPr>
          <w:b w:val="0"/>
          <w:bCs w:val="0"/>
          <w:caps w:val="0"/>
          <w:snapToGrid w:val="0"/>
          <w:szCs w:val="18"/>
          <w:lang w:val="fr-FR"/>
        </w:rPr>
        <w:t>ux Parties pour l’application</w:t>
      </w:r>
      <w:r w:rsidRPr="00760C21">
        <w:rPr>
          <w:b w:val="0"/>
          <w:bCs w:val="0"/>
          <w:caps w:val="0"/>
          <w:snapToGrid w:val="0"/>
          <w:szCs w:val="18"/>
          <w:lang w:val="fr-FR"/>
        </w:rPr>
        <w:t xml:space="preserve"> du Protocole ad</w:t>
      </w:r>
      <w:r w:rsidR="00691142">
        <w:rPr>
          <w:b w:val="0"/>
          <w:bCs w:val="0"/>
          <w:caps w:val="0"/>
          <w:snapToGrid w:val="0"/>
          <w:szCs w:val="18"/>
          <w:lang w:val="fr-FR"/>
        </w:rPr>
        <w:t>ditionnel à l’échelon national</w:t>
      </w:r>
      <w:r w:rsidRPr="00760C21">
        <w:rPr>
          <w:b w:val="0"/>
          <w:bCs w:val="0"/>
          <w:caps w:val="0"/>
          <w:snapToGrid w:val="0"/>
          <w:szCs w:val="18"/>
          <w:lang w:val="fr-FR"/>
        </w:rPr>
        <w:t>;</w:t>
      </w:r>
    </w:p>
    <w:p w14:paraId="1FDC4EEE" w14:textId="5D4EB04F"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Demande</w:t>
      </w:r>
      <w:r w:rsidRPr="00760C21">
        <w:rPr>
          <w:b w:val="0"/>
          <w:bCs w:val="0"/>
          <w:caps w:val="0"/>
          <w:snapToGrid w:val="0"/>
          <w:szCs w:val="18"/>
          <w:lang w:val="fr-FR"/>
        </w:rPr>
        <w:t xml:space="preserve"> aux Parties au Protocole additionnel de désigner une autorité compétente, afin que cette dernière s’acq</w:t>
      </w:r>
      <w:r w:rsidR="003A74D6">
        <w:rPr>
          <w:b w:val="0"/>
          <w:bCs w:val="0"/>
          <w:caps w:val="0"/>
          <w:snapToGrid w:val="0"/>
          <w:szCs w:val="18"/>
          <w:lang w:val="fr-FR"/>
        </w:rPr>
        <w:t>uitte des fonctions énumérées à l’article 5 du</w:t>
      </w:r>
      <w:r w:rsidRPr="00760C21">
        <w:rPr>
          <w:b w:val="0"/>
          <w:bCs w:val="0"/>
          <w:caps w:val="0"/>
          <w:snapToGrid w:val="0"/>
          <w:szCs w:val="18"/>
          <w:lang w:val="fr-FR"/>
        </w:rPr>
        <w:t xml:space="preserve"> Prot</w:t>
      </w:r>
      <w:r w:rsidR="003A74D6">
        <w:rPr>
          <w:b w:val="0"/>
          <w:bCs w:val="0"/>
          <w:caps w:val="0"/>
          <w:snapToGrid w:val="0"/>
          <w:szCs w:val="18"/>
          <w:lang w:val="fr-FR"/>
        </w:rPr>
        <w:t>ocole additionnel</w:t>
      </w:r>
      <w:r w:rsidRPr="00760C21">
        <w:rPr>
          <w:b w:val="0"/>
          <w:bCs w:val="0"/>
          <w:caps w:val="0"/>
          <w:snapToGrid w:val="0"/>
          <w:szCs w:val="18"/>
          <w:lang w:val="fr-FR"/>
        </w:rPr>
        <w:t xml:space="preserve">, et de communiquer </w:t>
      </w:r>
      <w:r w:rsidRPr="00760C21">
        <w:rPr>
          <w:b w:val="0"/>
          <w:bCs w:val="0"/>
          <w:caps w:val="0"/>
          <w:snapToGrid w:val="0"/>
          <w:szCs w:val="18"/>
          <w:lang w:val="fr-FR"/>
        </w:rPr>
        <w:lastRenderedPageBreak/>
        <w:t>les coordonnées de leur autorité compétente au Centre d’échange pour la prévention des risques biotechnologiq</w:t>
      </w:r>
      <w:r w:rsidR="00691142">
        <w:rPr>
          <w:b w:val="0"/>
          <w:bCs w:val="0"/>
          <w:caps w:val="0"/>
          <w:snapToGrid w:val="0"/>
          <w:szCs w:val="18"/>
          <w:lang w:val="fr-FR"/>
        </w:rPr>
        <w:t>ues</w:t>
      </w:r>
      <w:r w:rsidRPr="00760C21">
        <w:rPr>
          <w:b w:val="0"/>
          <w:bCs w:val="0"/>
          <w:caps w:val="0"/>
          <w:snapToGrid w:val="0"/>
          <w:szCs w:val="18"/>
          <w:lang w:val="fr-FR"/>
        </w:rPr>
        <w:t xml:space="preserve">; </w:t>
      </w:r>
    </w:p>
    <w:p w14:paraId="61CCBE33" w14:textId="61B5EDE1"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Demande</w:t>
      </w:r>
      <w:r w:rsidRPr="00760C21">
        <w:rPr>
          <w:b w:val="0"/>
          <w:bCs w:val="0"/>
          <w:caps w:val="0"/>
          <w:snapToGrid w:val="0"/>
          <w:szCs w:val="18"/>
          <w:lang w:val="fr-FR"/>
        </w:rPr>
        <w:t xml:space="preserve"> aux Parties a</w:t>
      </w:r>
      <w:r w:rsidR="00691142">
        <w:rPr>
          <w:b w:val="0"/>
          <w:bCs w:val="0"/>
          <w:caps w:val="0"/>
          <w:snapToGrid w:val="0"/>
          <w:szCs w:val="18"/>
          <w:lang w:val="fr-FR"/>
        </w:rPr>
        <w:t>u Protocole additionnel</w:t>
      </w:r>
      <w:r w:rsidR="003A74D6">
        <w:rPr>
          <w:b w:val="0"/>
          <w:bCs w:val="0"/>
          <w:caps w:val="0"/>
          <w:snapToGrid w:val="0"/>
          <w:szCs w:val="18"/>
          <w:lang w:val="fr-FR"/>
        </w:rPr>
        <w:t xml:space="preserve"> et </w:t>
      </w:r>
      <w:r w:rsidR="003A74D6" w:rsidRPr="003A74D6">
        <w:rPr>
          <w:b w:val="0"/>
          <w:bCs w:val="0"/>
          <w:i/>
          <w:caps w:val="0"/>
          <w:snapToGrid w:val="0"/>
          <w:szCs w:val="18"/>
          <w:lang w:val="fr-FR"/>
        </w:rPr>
        <w:t>invite</w:t>
      </w:r>
      <w:r w:rsidRPr="00760C21">
        <w:rPr>
          <w:b w:val="0"/>
          <w:bCs w:val="0"/>
          <w:caps w:val="0"/>
          <w:snapToGrid w:val="0"/>
          <w:szCs w:val="18"/>
          <w:lang w:val="fr-FR"/>
        </w:rPr>
        <w:t xml:space="preserve"> les autre</w:t>
      </w:r>
      <w:r w:rsidR="003A74D6">
        <w:rPr>
          <w:b w:val="0"/>
          <w:bCs w:val="0"/>
          <w:caps w:val="0"/>
          <w:snapToGrid w:val="0"/>
          <w:szCs w:val="18"/>
          <w:lang w:val="fr-FR"/>
        </w:rPr>
        <w:t>s gouvernements à</w:t>
      </w:r>
      <w:r w:rsidRPr="00760C21">
        <w:rPr>
          <w:b w:val="0"/>
          <w:bCs w:val="0"/>
          <w:caps w:val="0"/>
          <w:snapToGrid w:val="0"/>
          <w:szCs w:val="18"/>
          <w:lang w:val="fr-FR"/>
        </w:rPr>
        <w:t xml:space="preserve"> rendre compte des mesures qu’ils</w:t>
      </w:r>
      <w:r w:rsidR="00374FC0">
        <w:rPr>
          <w:b w:val="0"/>
          <w:bCs w:val="0"/>
          <w:caps w:val="0"/>
          <w:snapToGrid w:val="0"/>
          <w:szCs w:val="18"/>
          <w:lang w:val="fr-FR"/>
        </w:rPr>
        <w:t xml:space="preserve"> ont prises pour appliquer</w:t>
      </w:r>
      <w:r w:rsidRPr="00760C21">
        <w:rPr>
          <w:b w:val="0"/>
          <w:bCs w:val="0"/>
          <w:caps w:val="0"/>
          <w:snapToGrid w:val="0"/>
          <w:szCs w:val="18"/>
          <w:lang w:val="fr-FR"/>
        </w:rPr>
        <w:t xml:space="preserve"> le Protocole additionnel, en répondant aux questions relative</w:t>
      </w:r>
      <w:r w:rsidR="00374FC0">
        <w:rPr>
          <w:b w:val="0"/>
          <w:bCs w:val="0"/>
          <w:caps w:val="0"/>
          <w:snapToGrid w:val="0"/>
          <w:szCs w:val="18"/>
          <w:lang w:val="fr-FR"/>
        </w:rPr>
        <w:t>s à ce dernier dans le modèle de</w:t>
      </w:r>
      <w:r w:rsidRPr="00760C21">
        <w:rPr>
          <w:b w:val="0"/>
          <w:bCs w:val="0"/>
          <w:caps w:val="0"/>
          <w:snapToGrid w:val="0"/>
          <w:szCs w:val="18"/>
          <w:lang w:val="fr-FR"/>
        </w:rPr>
        <w:t xml:space="preserve"> quat</w:t>
      </w:r>
      <w:r w:rsidR="00374FC0">
        <w:rPr>
          <w:b w:val="0"/>
          <w:bCs w:val="0"/>
          <w:caps w:val="0"/>
          <w:snapToGrid w:val="0"/>
          <w:szCs w:val="18"/>
          <w:lang w:val="fr-FR"/>
        </w:rPr>
        <w:t xml:space="preserve">rième rapport national </w:t>
      </w:r>
      <w:r w:rsidRPr="00760C21">
        <w:rPr>
          <w:b w:val="0"/>
          <w:bCs w:val="0"/>
          <w:caps w:val="0"/>
          <w:snapToGrid w:val="0"/>
          <w:szCs w:val="18"/>
          <w:lang w:val="fr-FR"/>
        </w:rPr>
        <w:t>au titre du Protoco</w:t>
      </w:r>
      <w:r w:rsidR="00374FC0">
        <w:rPr>
          <w:b w:val="0"/>
          <w:bCs w:val="0"/>
          <w:caps w:val="0"/>
          <w:snapToGrid w:val="0"/>
          <w:szCs w:val="18"/>
          <w:lang w:val="fr-FR"/>
        </w:rPr>
        <w:t>le de Cartagena, qui figure dans</w:t>
      </w:r>
      <w:r w:rsidR="003A74D6">
        <w:rPr>
          <w:b w:val="0"/>
          <w:bCs w:val="0"/>
          <w:caps w:val="0"/>
          <w:snapToGrid w:val="0"/>
          <w:szCs w:val="18"/>
          <w:lang w:val="fr-FR"/>
        </w:rPr>
        <w:t xml:space="preserve"> l’annexe à la décision CP-9/5</w:t>
      </w:r>
      <w:r w:rsidRPr="00760C21">
        <w:rPr>
          <w:b w:val="0"/>
          <w:bCs w:val="0"/>
          <w:caps w:val="0"/>
          <w:snapToGrid w:val="0"/>
          <w:szCs w:val="18"/>
          <w:lang w:val="fr-FR"/>
        </w:rPr>
        <w:t>;</w:t>
      </w:r>
    </w:p>
    <w:p w14:paraId="06A99E25" w14:textId="07FFE4EF" w:rsidR="00E844B6" w:rsidRPr="00760C21" w:rsidRDefault="00E844B6" w:rsidP="00E844B6">
      <w:pPr>
        <w:pStyle w:val="HEADING"/>
        <w:keepNext w:val="0"/>
        <w:numPr>
          <w:ilvl w:val="0"/>
          <w:numId w:val="24"/>
        </w:numPr>
        <w:spacing w:before="120"/>
        <w:ind w:left="0" w:firstLine="709"/>
        <w:jc w:val="both"/>
        <w:rPr>
          <w:b w:val="0"/>
          <w:bCs w:val="0"/>
          <w:caps w:val="0"/>
          <w:snapToGrid w:val="0"/>
          <w:szCs w:val="18"/>
          <w:lang w:val="fr-FR"/>
        </w:rPr>
      </w:pPr>
      <w:r w:rsidRPr="003C74EA">
        <w:rPr>
          <w:b w:val="0"/>
          <w:bCs w:val="0"/>
          <w:i/>
          <w:caps w:val="0"/>
          <w:snapToGrid w:val="0"/>
          <w:szCs w:val="18"/>
          <w:lang w:val="fr-FR"/>
        </w:rPr>
        <w:t>Demande</w:t>
      </w:r>
      <w:r w:rsidRPr="00760C21">
        <w:rPr>
          <w:b w:val="0"/>
          <w:bCs w:val="0"/>
          <w:caps w:val="0"/>
          <w:snapToGrid w:val="0"/>
          <w:szCs w:val="18"/>
          <w:lang w:val="fr-FR"/>
        </w:rPr>
        <w:t xml:space="preserve"> à la Secrétaire exécutive d’entreprendre</w:t>
      </w:r>
      <w:r w:rsidR="00374FC0">
        <w:rPr>
          <w:b w:val="0"/>
          <w:bCs w:val="0"/>
          <w:caps w:val="0"/>
          <w:snapToGrid w:val="0"/>
          <w:szCs w:val="18"/>
          <w:lang w:val="fr-FR"/>
        </w:rPr>
        <w:t xml:space="preserve"> une étude complète</w:t>
      </w:r>
      <w:r w:rsidRPr="00760C21">
        <w:rPr>
          <w:b w:val="0"/>
          <w:bCs w:val="0"/>
          <w:caps w:val="0"/>
          <w:snapToGrid w:val="0"/>
          <w:szCs w:val="18"/>
          <w:lang w:val="fr-FR"/>
        </w:rPr>
        <w:t xml:space="preserve">, </w:t>
      </w:r>
      <w:r w:rsidR="006E41F6" w:rsidRPr="00760C21">
        <w:rPr>
          <w:b w:val="0"/>
          <w:bCs w:val="0"/>
          <w:caps w:val="0"/>
          <w:snapToGrid w:val="0"/>
          <w:szCs w:val="18"/>
          <w:lang w:val="fr-FR"/>
        </w:rPr>
        <w:t>dans la limite des ressources financières disponibles</w:t>
      </w:r>
      <w:r w:rsidR="006E41F6">
        <w:rPr>
          <w:b w:val="0"/>
          <w:bCs w:val="0"/>
          <w:caps w:val="0"/>
          <w:snapToGrid w:val="0"/>
          <w:szCs w:val="18"/>
          <w:lang w:val="fr-FR"/>
        </w:rPr>
        <w:t xml:space="preserve"> provenant du Fonds d’a</w:t>
      </w:r>
      <w:r w:rsidR="00374FC0">
        <w:rPr>
          <w:b w:val="0"/>
          <w:bCs w:val="0"/>
          <w:caps w:val="0"/>
          <w:snapToGrid w:val="0"/>
          <w:szCs w:val="18"/>
          <w:lang w:val="fr-FR"/>
        </w:rPr>
        <w:t>ffectation spéciale volontaire,</w:t>
      </w:r>
      <w:r w:rsidR="006E41F6" w:rsidRPr="00760C21">
        <w:rPr>
          <w:b w:val="0"/>
          <w:bCs w:val="0"/>
          <w:caps w:val="0"/>
          <w:snapToGrid w:val="0"/>
          <w:szCs w:val="18"/>
          <w:lang w:val="fr-FR"/>
        </w:rPr>
        <w:t xml:space="preserve"> </w:t>
      </w:r>
      <w:r w:rsidRPr="00760C21">
        <w:rPr>
          <w:b w:val="0"/>
          <w:bCs w:val="0"/>
          <w:caps w:val="0"/>
          <w:snapToGrid w:val="0"/>
          <w:szCs w:val="18"/>
          <w:lang w:val="fr-FR"/>
        </w:rPr>
        <w:t>aux fins d’examen par la Conférence des Parties siégeant en tant que réunion des Parties au Protocole de Cartagena</w:t>
      </w:r>
      <w:r w:rsidR="006E41F6">
        <w:rPr>
          <w:b w:val="0"/>
          <w:bCs w:val="0"/>
          <w:caps w:val="0"/>
          <w:snapToGrid w:val="0"/>
          <w:szCs w:val="18"/>
          <w:lang w:val="fr-FR"/>
        </w:rPr>
        <w:t xml:space="preserve"> sur la prévention des risq</w:t>
      </w:r>
      <w:r w:rsidR="003A74D6">
        <w:rPr>
          <w:b w:val="0"/>
          <w:bCs w:val="0"/>
          <w:caps w:val="0"/>
          <w:snapToGrid w:val="0"/>
          <w:szCs w:val="18"/>
          <w:lang w:val="fr-FR"/>
        </w:rPr>
        <w:t>ues biotechnologiques et siégeant en tant que</w:t>
      </w:r>
      <w:r w:rsidR="006E41F6">
        <w:rPr>
          <w:b w:val="0"/>
          <w:bCs w:val="0"/>
          <w:caps w:val="0"/>
          <w:snapToGrid w:val="0"/>
          <w:szCs w:val="18"/>
          <w:lang w:val="fr-FR"/>
        </w:rPr>
        <w:t xml:space="preserve"> réunion des Parties au Protocole additionnel, </w:t>
      </w:r>
      <w:r w:rsidR="006E41F6" w:rsidRPr="00760C21">
        <w:rPr>
          <w:b w:val="0"/>
          <w:bCs w:val="0"/>
          <w:caps w:val="0"/>
          <w:snapToGrid w:val="0"/>
          <w:szCs w:val="18"/>
          <w:lang w:val="fr-FR"/>
        </w:rPr>
        <w:t xml:space="preserve">à sa </w:t>
      </w:r>
      <w:r w:rsidR="006E41F6">
        <w:rPr>
          <w:b w:val="0"/>
          <w:bCs w:val="0"/>
          <w:caps w:val="0"/>
          <w:snapToGrid w:val="0"/>
          <w:szCs w:val="18"/>
          <w:lang w:val="fr-FR"/>
        </w:rPr>
        <w:t>prochaine réunion</w:t>
      </w:r>
      <w:r w:rsidR="00374FC0">
        <w:rPr>
          <w:b w:val="0"/>
          <w:bCs w:val="0"/>
          <w:caps w:val="0"/>
          <w:snapToGrid w:val="0"/>
          <w:szCs w:val="18"/>
          <w:lang w:val="fr-FR"/>
        </w:rPr>
        <w:t>, et abordant les questions suivantes</w:t>
      </w:r>
      <w:r w:rsidRPr="00760C21">
        <w:rPr>
          <w:b w:val="0"/>
          <w:bCs w:val="0"/>
          <w:caps w:val="0"/>
          <w:snapToGrid w:val="0"/>
          <w:szCs w:val="18"/>
          <w:lang w:val="fr-FR"/>
        </w:rPr>
        <w:t xml:space="preserve"> :</w:t>
      </w:r>
    </w:p>
    <w:p w14:paraId="3424AF55" w14:textId="7EFE6782" w:rsidR="00E844B6" w:rsidRPr="00760C21" w:rsidRDefault="00E844B6" w:rsidP="00E844B6">
      <w:pPr>
        <w:pStyle w:val="HEADING"/>
        <w:keepNext w:val="0"/>
        <w:numPr>
          <w:ilvl w:val="0"/>
          <w:numId w:val="23"/>
        </w:numPr>
        <w:spacing w:before="120"/>
        <w:ind w:left="0" w:firstLine="709"/>
        <w:jc w:val="both"/>
        <w:rPr>
          <w:b w:val="0"/>
          <w:bCs w:val="0"/>
          <w:caps w:val="0"/>
          <w:snapToGrid w:val="0"/>
          <w:szCs w:val="18"/>
          <w:lang w:val="fr-FR"/>
        </w:rPr>
      </w:pPr>
      <w:r w:rsidRPr="00760C21">
        <w:rPr>
          <w:b w:val="0"/>
          <w:bCs w:val="0"/>
          <w:caps w:val="0"/>
          <w:snapToGrid w:val="0"/>
          <w:szCs w:val="18"/>
          <w:lang w:val="fr-FR"/>
        </w:rPr>
        <w:t>Les modalités de</w:t>
      </w:r>
      <w:r w:rsidR="00374FC0">
        <w:rPr>
          <w:b w:val="0"/>
          <w:bCs w:val="0"/>
          <w:caps w:val="0"/>
          <w:snapToGrid w:val="0"/>
          <w:szCs w:val="18"/>
          <w:lang w:val="fr-FR"/>
        </w:rPr>
        <w:t>s</w:t>
      </w:r>
      <w:r w:rsidRPr="00760C21">
        <w:rPr>
          <w:b w:val="0"/>
          <w:bCs w:val="0"/>
          <w:caps w:val="0"/>
          <w:snapToGrid w:val="0"/>
          <w:szCs w:val="18"/>
          <w:lang w:val="fr-FR"/>
        </w:rPr>
        <w:t xml:space="preserve"> mécanismes de garantie financière;</w:t>
      </w:r>
    </w:p>
    <w:p w14:paraId="7E672B10" w14:textId="77777777" w:rsidR="00E844B6" w:rsidRPr="00760C21" w:rsidRDefault="00E844B6" w:rsidP="00E844B6">
      <w:pPr>
        <w:pStyle w:val="HEADING"/>
        <w:keepNext w:val="0"/>
        <w:numPr>
          <w:ilvl w:val="0"/>
          <w:numId w:val="23"/>
        </w:numPr>
        <w:spacing w:before="120"/>
        <w:ind w:left="0" w:firstLine="709"/>
        <w:jc w:val="both"/>
        <w:rPr>
          <w:b w:val="0"/>
          <w:bCs w:val="0"/>
          <w:caps w:val="0"/>
          <w:snapToGrid w:val="0"/>
          <w:szCs w:val="18"/>
          <w:lang w:val="fr-FR"/>
        </w:rPr>
      </w:pPr>
      <w:r w:rsidRPr="00760C21">
        <w:rPr>
          <w:b w:val="0"/>
          <w:bCs w:val="0"/>
          <w:caps w:val="0"/>
          <w:snapToGrid w:val="0"/>
          <w:szCs w:val="18"/>
          <w:lang w:val="fr-FR"/>
        </w:rPr>
        <w:t>Une évaluation des impacts environnementaux, économiques et sociaux de tels mécanismes, en particulier sur les pays en développement;</w:t>
      </w:r>
    </w:p>
    <w:p w14:paraId="56EC0730" w14:textId="76F17C37" w:rsidR="00E844B6" w:rsidRPr="00760C21" w:rsidRDefault="00374FC0" w:rsidP="00E844B6">
      <w:pPr>
        <w:pStyle w:val="HEADING"/>
        <w:keepNext w:val="0"/>
        <w:numPr>
          <w:ilvl w:val="0"/>
          <w:numId w:val="23"/>
        </w:numPr>
        <w:spacing w:before="120"/>
        <w:ind w:left="0" w:firstLine="709"/>
        <w:jc w:val="both"/>
        <w:rPr>
          <w:b w:val="0"/>
          <w:bCs w:val="0"/>
          <w:caps w:val="0"/>
          <w:snapToGrid w:val="0"/>
          <w:szCs w:val="18"/>
          <w:lang w:val="fr-FR"/>
        </w:rPr>
      </w:pPr>
      <w:r>
        <w:rPr>
          <w:b w:val="0"/>
          <w:bCs w:val="0"/>
          <w:caps w:val="0"/>
          <w:snapToGrid w:val="0"/>
          <w:szCs w:val="18"/>
          <w:lang w:val="fr-FR"/>
        </w:rPr>
        <w:t>Un recensement des entité</w:t>
      </w:r>
      <w:r w:rsidR="00E844B6" w:rsidRPr="00760C21">
        <w:rPr>
          <w:b w:val="0"/>
          <w:bCs w:val="0"/>
          <w:caps w:val="0"/>
          <w:snapToGrid w:val="0"/>
          <w:szCs w:val="18"/>
          <w:lang w:val="fr-FR"/>
        </w:rPr>
        <w:t>s approprié</w:t>
      </w:r>
      <w:r>
        <w:rPr>
          <w:b w:val="0"/>
          <w:bCs w:val="0"/>
          <w:caps w:val="0"/>
          <w:snapToGrid w:val="0"/>
          <w:szCs w:val="18"/>
          <w:lang w:val="fr-FR"/>
        </w:rPr>
        <w:t>es qui fournissent une</w:t>
      </w:r>
      <w:r w:rsidR="00E844B6" w:rsidRPr="00760C21">
        <w:rPr>
          <w:b w:val="0"/>
          <w:bCs w:val="0"/>
          <w:caps w:val="0"/>
          <w:snapToGrid w:val="0"/>
          <w:szCs w:val="18"/>
          <w:lang w:val="fr-FR"/>
        </w:rPr>
        <w:t xml:space="preserve"> garantie financière;</w:t>
      </w:r>
    </w:p>
    <w:p w14:paraId="37DC9860" w14:textId="450B021B" w:rsidR="00E844B6" w:rsidRPr="00760C21" w:rsidRDefault="00E844B6" w:rsidP="00CD5C42">
      <w:pPr>
        <w:pStyle w:val="Para1"/>
        <w:numPr>
          <w:ilvl w:val="0"/>
          <w:numId w:val="0"/>
        </w:numPr>
        <w:spacing w:after="360"/>
        <w:ind w:firstLine="709"/>
        <w:rPr>
          <w:lang w:val="fr-FR"/>
        </w:rPr>
      </w:pPr>
      <w:r>
        <w:rPr>
          <w:lang w:val="fr-FR"/>
        </w:rPr>
        <w:t>9.</w:t>
      </w:r>
      <w:r>
        <w:rPr>
          <w:lang w:val="fr-FR"/>
        </w:rPr>
        <w:tab/>
      </w:r>
      <w:r w:rsidRPr="003C74EA">
        <w:rPr>
          <w:i/>
          <w:lang w:val="fr-FR"/>
        </w:rPr>
        <w:t>Demande</w:t>
      </w:r>
      <w:r w:rsidRPr="00760C21">
        <w:rPr>
          <w:lang w:val="fr-FR"/>
        </w:rPr>
        <w:t xml:space="preserve"> </w:t>
      </w:r>
      <w:r w:rsidRPr="00374FC0">
        <w:rPr>
          <w:i/>
          <w:lang w:val="fr-FR"/>
        </w:rPr>
        <w:t>également</w:t>
      </w:r>
      <w:r w:rsidRPr="00760C21">
        <w:rPr>
          <w:lang w:val="fr-FR"/>
        </w:rPr>
        <w:t xml:space="preserve"> à la Secrétaire exécutive de créer un modèle commu</w:t>
      </w:r>
      <w:r w:rsidR="003A74D6">
        <w:rPr>
          <w:lang w:val="fr-FR"/>
        </w:rPr>
        <w:t xml:space="preserve">n approprié dans le </w:t>
      </w:r>
      <w:r w:rsidRPr="00760C21">
        <w:rPr>
          <w:lang w:val="fr-FR"/>
        </w:rPr>
        <w:t>Centre d’échange</w:t>
      </w:r>
      <w:r w:rsidR="003A74D6">
        <w:rPr>
          <w:lang w:val="fr-FR"/>
        </w:rPr>
        <w:t xml:space="preserve"> pour la prévention des risques biotechnologiques</w:t>
      </w:r>
      <w:r w:rsidRPr="00760C21">
        <w:rPr>
          <w:lang w:val="fr-FR"/>
        </w:rPr>
        <w:t>, afin d’aider les Parties à communiquer les coordonnées de leurs autor</w:t>
      </w:r>
      <w:r w:rsidR="00374FC0">
        <w:rPr>
          <w:lang w:val="fr-FR"/>
        </w:rPr>
        <w:t>ités compétentes, en application de</w:t>
      </w:r>
      <w:r w:rsidRPr="00760C21">
        <w:rPr>
          <w:lang w:val="fr-FR"/>
        </w:rPr>
        <w:t xml:space="preserve"> l’article 5 du Protocol</w:t>
      </w:r>
      <w:r w:rsidR="009C66D6">
        <w:rPr>
          <w:lang w:val="fr-FR"/>
        </w:rPr>
        <w:t>e additionnel</w:t>
      </w:r>
      <w:r>
        <w:rPr>
          <w:lang w:val="fr-FR"/>
        </w:rPr>
        <w:t>.</w:t>
      </w:r>
    </w:p>
    <w:p w14:paraId="54572751" w14:textId="2666331C" w:rsidR="008722AE" w:rsidRPr="00765620" w:rsidRDefault="008722AE" w:rsidP="008722AE">
      <w:pPr>
        <w:pStyle w:val="Para1"/>
        <w:numPr>
          <w:ilvl w:val="0"/>
          <w:numId w:val="0"/>
        </w:numPr>
        <w:jc w:val="center"/>
        <w:rPr>
          <w:kern w:val="22"/>
          <w:szCs w:val="22"/>
        </w:rPr>
      </w:pPr>
      <w:r w:rsidRPr="00765620">
        <w:rPr>
          <w:kern w:val="22"/>
          <w:szCs w:val="22"/>
        </w:rPr>
        <w:t>_________</w:t>
      </w:r>
      <w:r w:rsidR="0012685E" w:rsidRPr="00765620">
        <w:rPr>
          <w:kern w:val="22"/>
          <w:szCs w:val="22"/>
        </w:rPr>
        <w:t>_</w:t>
      </w:r>
    </w:p>
    <w:sectPr w:rsidR="008722AE" w:rsidRPr="00765620"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40531" w14:textId="77777777" w:rsidR="002773C5" w:rsidRDefault="002773C5" w:rsidP="00CF1848">
      <w:r>
        <w:separator/>
      </w:r>
    </w:p>
  </w:endnote>
  <w:endnote w:type="continuationSeparator" w:id="0">
    <w:p w14:paraId="20EBE728" w14:textId="77777777" w:rsidR="002773C5" w:rsidRDefault="002773C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DE4C9" w14:textId="77777777" w:rsidR="002773C5" w:rsidRDefault="002773C5" w:rsidP="00CF1848">
      <w:r>
        <w:separator/>
      </w:r>
    </w:p>
  </w:footnote>
  <w:footnote w:type="continuationSeparator" w:id="0">
    <w:p w14:paraId="5A33F414" w14:textId="77777777" w:rsidR="002773C5" w:rsidRDefault="002773C5" w:rsidP="00CF1848">
      <w:r>
        <w:continuationSeparator/>
      </w:r>
    </w:p>
  </w:footnote>
  <w:footnote w:id="1">
    <w:p w14:paraId="24CE6FD8" w14:textId="6B0DB018" w:rsidR="00E844B6" w:rsidRPr="00A8299E" w:rsidRDefault="00E844B6" w:rsidP="00E844B6">
      <w:pPr>
        <w:pStyle w:val="FootnoteText"/>
        <w:suppressLineNumbers/>
        <w:suppressAutoHyphens/>
        <w:ind w:firstLine="0"/>
        <w:jc w:val="left"/>
        <w:rPr>
          <w:szCs w:val="18"/>
          <w:lang w:val="fr-FR"/>
        </w:rPr>
      </w:pPr>
      <w:r>
        <w:rPr>
          <w:rStyle w:val="FootnoteReference"/>
          <w:szCs w:val="18"/>
        </w:rPr>
        <w:footnoteRef/>
      </w:r>
      <w:r w:rsidRPr="00A8299E">
        <w:rPr>
          <w:szCs w:val="18"/>
          <w:lang w:val="fr-FR"/>
        </w:rPr>
        <w:t xml:space="preserve"> Conformément </w:t>
      </w:r>
      <w:r w:rsidR="00C24755">
        <w:rPr>
          <w:szCs w:val="18"/>
          <w:lang w:val="fr-FR"/>
        </w:rPr>
        <w:t xml:space="preserve">au paragraphe 1 de l’article 14 </w:t>
      </w:r>
      <w:r w:rsidR="00691142">
        <w:rPr>
          <w:szCs w:val="18"/>
          <w:lang w:val="fr-FR"/>
        </w:rPr>
        <w:t xml:space="preserve">du Protocole additionnel, </w:t>
      </w:r>
      <w:r w:rsidR="00C24755">
        <w:rPr>
          <w:szCs w:val="18"/>
          <w:lang w:val="fr-FR"/>
        </w:rPr>
        <w:t>et sous réserve du paragraphe 2 de l</w:t>
      </w:r>
      <w:r w:rsidRPr="00A8299E">
        <w:rPr>
          <w:szCs w:val="18"/>
          <w:lang w:val="fr-FR"/>
        </w:rPr>
        <w:t>’article 32 de la Convention</w:t>
      </w:r>
      <w:r w:rsidR="00C24755">
        <w:rPr>
          <w:szCs w:val="18"/>
          <w:lang w:val="fr-FR"/>
        </w:rPr>
        <w:t>, la Conférence des Parties siégeant en tant que réunion des</w:t>
      </w:r>
      <w:r w:rsidR="00691142">
        <w:rPr>
          <w:szCs w:val="18"/>
          <w:lang w:val="fr-FR"/>
        </w:rPr>
        <w:t xml:space="preserve"> Parties au Protocole siège en tant que</w:t>
      </w:r>
      <w:r w:rsidR="00C24755">
        <w:rPr>
          <w:szCs w:val="18"/>
          <w:lang w:val="fr-FR"/>
        </w:rPr>
        <w:t xml:space="preserve"> réunion des Parties au Protocole add</w:t>
      </w:r>
      <w:r w:rsidR="003C74EA">
        <w:rPr>
          <w:szCs w:val="18"/>
          <w:lang w:val="fr-FR"/>
        </w:rPr>
        <w:t>itionnel. Par conséquent, la présente décision a été prise par les Parties au Protocole additionnel.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3587C937" w:rsidR="00534681" w:rsidRPr="00E844B6" w:rsidRDefault="003A74D6" w:rsidP="00765620">
        <w:pPr>
          <w:pStyle w:val="Header"/>
          <w:tabs>
            <w:tab w:val="clear" w:pos="4320"/>
            <w:tab w:val="clear" w:pos="8640"/>
          </w:tabs>
          <w:jc w:val="left"/>
          <w:rPr>
            <w:noProof/>
            <w:kern w:val="22"/>
            <w:lang w:val="fr-CA"/>
          </w:rPr>
        </w:pPr>
        <w:r>
          <w:rPr>
            <w:noProof/>
            <w:kern w:val="22"/>
            <w:lang w:val="fr-CA"/>
          </w:rPr>
          <w:t>CBD/CP/MOP/DEC/9/15</w:t>
        </w:r>
      </w:p>
    </w:sdtContent>
  </w:sdt>
  <w:p w14:paraId="2FD00833" w14:textId="5C458814" w:rsidR="00534681" w:rsidRPr="00E844B6" w:rsidRDefault="00534681" w:rsidP="00765620">
    <w:pPr>
      <w:pStyle w:val="Header"/>
      <w:tabs>
        <w:tab w:val="clear" w:pos="4320"/>
        <w:tab w:val="clear" w:pos="8640"/>
      </w:tabs>
      <w:jc w:val="left"/>
      <w:rPr>
        <w:noProof/>
        <w:kern w:val="22"/>
        <w:lang w:val="fr-CA"/>
      </w:rPr>
    </w:pPr>
    <w:r w:rsidRPr="00E844B6">
      <w:rPr>
        <w:noProof/>
        <w:kern w:val="22"/>
        <w:lang w:val="fr-CA"/>
      </w:rPr>
      <w:t xml:space="preserve">Page </w:t>
    </w:r>
    <w:r w:rsidRPr="00765620">
      <w:rPr>
        <w:noProof/>
        <w:kern w:val="22"/>
      </w:rPr>
      <w:fldChar w:fldCharType="begin"/>
    </w:r>
    <w:r w:rsidRPr="00E844B6">
      <w:rPr>
        <w:noProof/>
        <w:kern w:val="22"/>
        <w:lang w:val="fr-CA"/>
      </w:rPr>
      <w:instrText xml:space="preserve"> PAGE   \* MERGEFORMAT </w:instrText>
    </w:r>
    <w:r w:rsidRPr="00765620">
      <w:rPr>
        <w:noProof/>
        <w:kern w:val="22"/>
      </w:rPr>
      <w:fldChar w:fldCharType="separate"/>
    </w:r>
    <w:r w:rsidR="00E05675">
      <w:rPr>
        <w:noProof/>
        <w:kern w:val="22"/>
        <w:lang w:val="fr-CA"/>
      </w:rPr>
      <w:t>2</w:t>
    </w:r>
    <w:r w:rsidRPr="00765620">
      <w:rPr>
        <w:noProof/>
        <w:kern w:val="22"/>
      </w:rPr>
      <w:fldChar w:fldCharType="end"/>
    </w:r>
  </w:p>
  <w:p w14:paraId="2FD00834" w14:textId="77777777" w:rsidR="00534681" w:rsidRPr="00E844B6" w:rsidRDefault="00534681" w:rsidP="00765620">
    <w:pPr>
      <w:pStyle w:val="Header"/>
      <w:tabs>
        <w:tab w:val="clear" w:pos="4320"/>
        <w:tab w:val="clear" w:pos="8640"/>
      </w:tabs>
      <w:jc w:val="left"/>
      <w:rPr>
        <w:noProof/>
        <w:kern w:val="22"/>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50196348" w:rsidR="009505C9" w:rsidRPr="007B078D" w:rsidRDefault="003A74D6" w:rsidP="009505C9">
        <w:pPr>
          <w:pStyle w:val="Header"/>
          <w:jc w:val="right"/>
          <w:rPr>
            <w:lang w:val="fr-FR"/>
          </w:rPr>
        </w:pPr>
        <w:r>
          <w:rPr>
            <w:lang w:val="fr-FR"/>
          </w:rPr>
          <w:t>CBD/CP/MOP/DEC/9/15</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7B078D">
      <w:rPr>
        <w:noProof/>
        <w:lang w:val="fr-FR"/>
      </w:rPr>
      <w:t>1</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2D03A2"/>
    <w:multiLevelType w:val="hybridMultilevel"/>
    <w:tmpl w:val="0FAEC1DA"/>
    <w:lvl w:ilvl="0" w:tplc="0C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B4A1F"/>
    <w:multiLevelType w:val="multilevel"/>
    <w:tmpl w:val="54909F8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8"/>
  </w:num>
  <w:num w:numId="3">
    <w:abstractNumId w:val="6"/>
  </w:num>
  <w:num w:numId="4">
    <w:abstractNumId w:val="8"/>
  </w:num>
  <w:num w:numId="5">
    <w:abstractNumId w:val="7"/>
  </w:num>
  <w:num w:numId="6">
    <w:abstractNumId w:val="1"/>
  </w:num>
  <w:num w:numId="7">
    <w:abstractNumId w:val="3"/>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2"/>
  </w:num>
  <w:num w:numId="17">
    <w:abstractNumId w:val="12"/>
  </w:num>
  <w:num w:numId="18">
    <w:abstractNumId w:val="13"/>
  </w:num>
  <w:num w:numId="19">
    <w:abstractNumId w:val="14"/>
  </w:num>
  <w:num w:numId="20">
    <w:abstractNumId w:val="8"/>
  </w:num>
  <w:num w:numId="21">
    <w:abstractNumId w:val="8"/>
  </w:num>
  <w:num w:numId="22">
    <w:abstractNumId w:val="8"/>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317A3"/>
    <w:rsid w:val="000631B9"/>
    <w:rsid w:val="00092B3A"/>
    <w:rsid w:val="000D0EC0"/>
    <w:rsid w:val="000E673A"/>
    <w:rsid w:val="000F4914"/>
    <w:rsid w:val="000F74F5"/>
    <w:rsid w:val="00100A01"/>
    <w:rsid w:val="00105372"/>
    <w:rsid w:val="0012685E"/>
    <w:rsid w:val="00131E7A"/>
    <w:rsid w:val="001338AC"/>
    <w:rsid w:val="0014645A"/>
    <w:rsid w:val="00172AF6"/>
    <w:rsid w:val="00176CEE"/>
    <w:rsid w:val="00186DD8"/>
    <w:rsid w:val="001B129D"/>
    <w:rsid w:val="00273079"/>
    <w:rsid w:val="002773C5"/>
    <w:rsid w:val="00282D62"/>
    <w:rsid w:val="00293AAE"/>
    <w:rsid w:val="002E7978"/>
    <w:rsid w:val="00345D6C"/>
    <w:rsid w:val="00372F74"/>
    <w:rsid w:val="00374869"/>
    <w:rsid w:val="00374FC0"/>
    <w:rsid w:val="003928F1"/>
    <w:rsid w:val="003A74D6"/>
    <w:rsid w:val="003B04EB"/>
    <w:rsid w:val="003C74EA"/>
    <w:rsid w:val="003D6DF7"/>
    <w:rsid w:val="003F7224"/>
    <w:rsid w:val="00411E22"/>
    <w:rsid w:val="00427D21"/>
    <w:rsid w:val="00462B2C"/>
    <w:rsid w:val="004644C2"/>
    <w:rsid w:val="00467F9C"/>
    <w:rsid w:val="00534681"/>
    <w:rsid w:val="00595CAF"/>
    <w:rsid w:val="006122BA"/>
    <w:rsid w:val="00643892"/>
    <w:rsid w:val="0068672C"/>
    <w:rsid w:val="00691142"/>
    <w:rsid w:val="006B2290"/>
    <w:rsid w:val="006C47B1"/>
    <w:rsid w:val="006E41F6"/>
    <w:rsid w:val="006E5DAD"/>
    <w:rsid w:val="00717D88"/>
    <w:rsid w:val="00765620"/>
    <w:rsid w:val="0077626F"/>
    <w:rsid w:val="007942D3"/>
    <w:rsid w:val="007B078D"/>
    <w:rsid w:val="007B6C09"/>
    <w:rsid w:val="007C7749"/>
    <w:rsid w:val="007D7555"/>
    <w:rsid w:val="007E09DA"/>
    <w:rsid w:val="007E1F54"/>
    <w:rsid w:val="008178B6"/>
    <w:rsid w:val="00865B74"/>
    <w:rsid w:val="008722AE"/>
    <w:rsid w:val="008966CE"/>
    <w:rsid w:val="008D2D45"/>
    <w:rsid w:val="008E0A24"/>
    <w:rsid w:val="00930BA1"/>
    <w:rsid w:val="0093169E"/>
    <w:rsid w:val="009505C9"/>
    <w:rsid w:val="00987DFB"/>
    <w:rsid w:val="00993BFE"/>
    <w:rsid w:val="009C66D6"/>
    <w:rsid w:val="00A05D10"/>
    <w:rsid w:val="00A266FE"/>
    <w:rsid w:val="00A6327B"/>
    <w:rsid w:val="00AC3393"/>
    <w:rsid w:val="00B3369F"/>
    <w:rsid w:val="00B42EDD"/>
    <w:rsid w:val="00B609F6"/>
    <w:rsid w:val="00BB0435"/>
    <w:rsid w:val="00BF0C74"/>
    <w:rsid w:val="00C24755"/>
    <w:rsid w:val="00C443BD"/>
    <w:rsid w:val="00C50049"/>
    <w:rsid w:val="00C9161D"/>
    <w:rsid w:val="00CD5C42"/>
    <w:rsid w:val="00CF1848"/>
    <w:rsid w:val="00D12044"/>
    <w:rsid w:val="00D315B1"/>
    <w:rsid w:val="00D71CC2"/>
    <w:rsid w:val="00D76A18"/>
    <w:rsid w:val="00DB4EDD"/>
    <w:rsid w:val="00DD118C"/>
    <w:rsid w:val="00DD57D4"/>
    <w:rsid w:val="00DE5E5B"/>
    <w:rsid w:val="00DF1E6D"/>
    <w:rsid w:val="00DF52E4"/>
    <w:rsid w:val="00E05675"/>
    <w:rsid w:val="00E46FB0"/>
    <w:rsid w:val="00E66235"/>
    <w:rsid w:val="00E83C24"/>
    <w:rsid w:val="00E844B6"/>
    <w:rsid w:val="00E9318D"/>
    <w:rsid w:val="00E9373A"/>
    <w:rsid w:val="00E93932"/>
    <w:rsid w:val="00ED5C33"/>
    <w:rsid w:val="00ED72FA"/>
    <w:rsid w:val="00F6586C"/>
    <w:rsid w:val="00F750E0"/>
    <w:rsid w:val="00F94774"/>
    <w:rsid w:val="00FA10D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E5E5B"/>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93AA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93AA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E52BC"/>
    <w:rsid w:val="001160A5"/>
    <w:rsid w:val="00126173"/>
    <w:rsid w:val="001E68A5"/>
    <w:rsid w:val="00233D2A"/>
    <w:rsid w:val="002D6B2B"/>
    <w:rsid w:val="004A1753"/>
    <w:rsid w:val="00500A2B"/>
    <w:rsid w:val="0058288D"/>
    <w:rsid w:val="006801B3"/>
    <w:rsid w:val="007663B1"/>
    <w:rsid w:val="00810A55"/>
    <w:rsid w:val="008C6619"/>
    <w:rsid w:val="008D420E"/>
    <w:rsid w:val="0098642F"/>
    <w:rsid w:val="009E0D87"/>
    <w:rsid w:val="00B6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9E0D87"/>
    <w:rPr>
      <w:color w:val="808080"/>
    </w:rPr>
  </w:style>
  <w:style w:type="paragraph" w:customStyle="1" w:styleId="B4981DB131D84B03A605A20D13BBA6F5">
    <w:name w:val="B4981DB131D84B03A605A20D13BBA6F5"/>
    <w:rsid w:val="009E0D87"/>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CBA655-C7F4-460F-ACAF-03E12023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587</Words>
  <Characters>3233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9/15.   Protocole additionnel de Nagoya – Kuala Lumpur sur la responsabilité et la réparation</vt:lpstr>
      <vt:lpstr>PROTOCOLE ADDITIONNEL DE NAGOYA – KUALA LUMPUR SUR LA RESPONSABILITÉ ET LA RÉPARATION</vt:lpstr>
    </vt:vector>
  </TitlesOfParts>
  <Company>SCBD</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9/15.   Protocole additionnel de Nagoya – Kuala Lumpur sur la responsabilité et la réparation</dc:title>
  <dc:subject>CBD/CP/MOP/DEC/9/15</dc:subject>
  <dc:creator>CP-MOP 9</dc:creator>
  <cp:keywords>Nagoya – Kuala Lumpur Supplementary Protocol on Liability and Redress, Cartagena Protocol on Biosafety, Convention on Biological Diversity</cp:keywords>
  <cp:lastModifiedBy>Finn Kinley</cp:lastModifiedBy>
  <cp:revision>7</cp:revision>
  <cp:lastPrinted>2018-11-22T18:07:00Z</cp:lastPrinted>
  <dcterms:created xsi:type="dcterms:W3CDTF">2018-11-25T14:04:00Z</dcterms:created>
  <dcterms:modified xsi:type="dcterms:W3CDTF">2019-02-13T23:18:00Z</dcterms:modified>
  <cp:contentStatus>GENERALE</cp:contentStatus>
</cp:coreProperties>
</file>