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5" w:type="dxa"/>
        <w:tblBorders>
          <w:bottom w:val="single" w:sz="30" w:space="0" w:color="000000"/>
        </w:tblBorders>
        <w:tblLayout w:type="fixed"/>
        <w:tblLook w:val="0000" w:firstRow="0" w:lastRow="0" w:firstColumn="0" w:lastColumn="0" w:noHBand="0" w:noVBand="0"/>
      </w:tblPr>
      <w:tblGrid>
        <w:gridCol w:w="17"/>
        <w:gridCol w:w="1090"/>
        <w:gridCol w:w="1237"/>
        <w:gridCol w:w="2161"/>
        <w:gridCol w:w="1080"/>
        <w:gridCol w:w="3780"/>
      </w:tblGrid>
      <w:tr w:rsidR="006E100C" w:rsidRPr="00670504" w14:paraId="34836478" w14:textId="77777777" w:rsidTr="000B7F4C">
        <w:trPr>
          <w:gridBefore w:val="1"/>
          <w:wBefore w:w="17" w:type="dxa"/>
        </w:trPr>
        <w:tc>
          <w:tcPr>
            <w:tcW w:w="1090" w:type="dxa"/>
            <w:tcBorders>
              <w:bottom w:val="single" w:sz="12" w:space="0" w:color="000000"/>
            </w:tcBorders>
          </w:tcPr>
          <w:p w14:paraId="7F8E3AAF" w14:textId="77777777" w:rsidR="006E100C" w:rsidRPr="00F95751" w:rsidRDefault="000B7F4C" w:rsidP="00A1336B">
            <w:pPr>
              <w:pStyle w:val="Para1"/>
              <w:numPr>
                <w:ilvl w:val="0"/>
                <w:numId w:val="0"/>
              </w:numPr>
              <w:rPr>
                <w:color w:val="000000"/>
                <w:kern w:val="22"/>
                <w:sz w:val="20"/>
              </w:rPr>
            </w:pPr>
            <w:r w:rsidRPr="003D5423">
              <w:rPr>
                <w:noProof/>
                <w:kern w:val="22"/>
                <w:lang w:eastAsia="en-GB"/>
              </w:rPr>
              <w:drawing>
                <wp:inline distT="0" distB="0" distL="0" distR="0" wp14:anchorId="5F179BD0" wp14:editId="27C15680">
                  <wp:extent cx="570060" cy="482374"/>
                  <wp:effectExtent l="0" t="0" r="0" b="0"/>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880" cy="485607"/>
                          </a:xfrm>
                          <a:prstGeom prst="rect">
                            <a:avLst/>
                          </a:prstGeom>
                          <a:noFill/>
                          <a:ln>
                            <a:noFill/>
                          </a:ln>
                        </pic:spPr>
                      </pic:pic>
                    </a:graphicData>
                  </a:graphic>
                </wp:inline>
              </w:drawing>
            </w:r>
          </w:p>
        </w:tc>
        <w:tc>
          <w:tcPr>
            <w:tcW w:w="1237" w:type="dxa"/>
            <w:tcBorders>
              <w:bottom w:val="single" w:sz="12" w:space="0" w:color="000000"/>
            </w:tcBorders>
          </w:tcPr>
          <w:p w14:paraId="0E6E3899" w14:textId="77777777" w:rsidR="006E100C" w:rsidRPr="008A7C86" w:rsidRDefault="00A1336B" w:rsidP="001B1997">
            <w:pPr>
              <w:spacing w:before="120" w:after="120"/>
              <w:rPr>
                <w:snapToGrid w:val="0"/>
                <w:color w:val="000000"/>
                <w:kern w:val="22"/>
                <w:sz w:val="20"/>
              </w:rPr>
            </w:pPr>
            <w:r>
              <w:rPr>
                <w:noProof/>
                <w:lang w:eastAsia="en-GB"/>
              </w:rPr>
              <w:drawing>
                <wp:inline distT="0" distB="0" distL="0" distR="0" wp14:anchorId="3F204178" wp14:editId="537C71AF">
                  <wp:extent cx="457709" cy="509393"/>
                  <wp:effectExtent l="0" t="0" r="0" b="0"/>
                  <wp:docPr id="1"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5413" cy="517966"/>
                          </a:xfrm>
                          <a:prstGeom prst="rect">
                            <a:avLst/>
                          </a:prstGeom>
                          <a:noFill/>
                          <a:ln w="9525">
                            <a:noFill/>
                            <a:miter lim="800000"/>
                            <a:headEnd/>
                            <a:tailEnd/>
                          </a:ln>
                        </pic:spPr>
                      </pic:pic>
                    </a:graphicData>
                  </a:graphic>
                </wp:inline>
              </w:drawing>
            </w:r>
          </w:p>
        </w:tc>
        <w:tc>
          <w:tcPr>
            <w:tcW w:w="7021" w:type="dxa"/>
            <w:gridSpan w:val="3"/>
            <w:tcBorders>
              <w:bottom w:val="single" w:sz="12" w:space="0" w:color="000000"/>
            </w:tcBorders>
          </w:tcPr>
          <w:p w14:paraId="357E0426" w14:textId="77777777" w:rsidR="006E100C" w:rsidRPr="00BA1A09" w:rsidRDefault="006E100C" w:rsidP="001B1997">
            <w:pPr>
              <w:spacing w:before="120" w:after="120"/>
              <w:jc w:val="right"/>
              <w:rPr>
                <w:rFonts w:ascii="Arial" w:hAnsi="Arial"/>
                <w:b/>
                <w:snapToGrid w:val="0"/>
                <w:color w:val="000000"/>
                <w:kern w:val="22"/>
                <w:sz w:val="32"/>
              </w:rPr>
            </w:pPr>
            <w:r w:rsidRPr="00BA1A09">
              <w:rPr>
                <w:rFonts w:ascii="Arial" w:eastAsia="Arial" w:hAnsi="Arial" w:cs="Arial"/>
                <w:b/>
                <w:snapToGrid w:val="0"/>
                <w:color w:val="000000"/>
                <w:kern w:val="22"/>
                <w:sz w:val="32"/>
                <w:lang w:val="ru-RU" w:bidi="ru-RU"/>
              </w:rPr>
              <w:t>CBD</w:t>
            </w:r>
          </w:p>
          <w:p w14:paraId="3E71F2FB" w14:textId="77777777" w:rsidR="006E100C" w:rsidRPr="00BA1A09" w:rsidRDefault="006E100C" w:rsidP="001B1997">
            <w:pPr>
              <w:spacing w:before="120" w:after="120"/>
              <w:jc w:val="center"/>
              <w:rPr>
                <w:b/>
                <w:snapToGrid w:val="0"/>
                <w:color w:val="000000"/>
                <w:kern w:val="22"/>
                <w:sz w:val="20"/>
              </w:rPr>
            </w:pPr>
          </w:p>
        </w:tc>
      </w:tr>
      <w:tr w:rsidR="006E100C" w:rsidRPr="00670504" w14:paraId="4779D076" w14:textId="77777777" w:rsidTr="000B7F4C">
        <w:trPr>
          <w:trHeight w:val="1693"/>
        </w:trPr>
        <w:tc>
          <w:tcPr>
            <w:tcW w:w="4505" w:type="dxa"/>
            <w:gridSpan w:val="4"/>
            <w:tcBorders>
              <w:bottom w:val="single" w:sz="30" w:space="0" w:color="000000"/>
            </w:tcBorders>
          </w:tcPr>
          <w:p w14:paraId="2FB22EE7" w14:textId="77777777" w:rsidR="006E100C" w:rsidRPr="00F95751" w:rsidRDefault="006E100C" w:rsidP="001B1997">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15840DBE" wp14:editId="060FFAA2">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61BE2F8E" w14:textId="77777777" w:rsidR="006E100C" w:rsidRPr="00F95751" w:rsidRDefault="006E100C" w:rsidP="001B1997">
            <w:pPr>
              <w:spacing w:before="120" w:after="120"/>
              <w:rPr>
                <w:snapToGrid w:val="0"/>
                <w:color w:val="000000"/>
                <w:kern w:val="22"/>
                <w:sz w:val="20"/>
              </w:rPr>
            </w:pPr>
          </w:p>
        </w:tc>
        <w:tc>
          <w:tcPr>
            <w:tcW w:w="3780" w:type="dxa"/>
            <w:tcBorders>
              <w:bottom w:val="single" w:sz="30" w:space="0" w:color="000000"/>
            </w:tcBorders>
          </w:tcPr>
          <w:p w14:paraId="58333A0B" w14:textId="77777777" w:rsidR="006E100C" w:rsidRPr="008E1B21" w:rsidRDefault="006E100C" w:rsidP="001B1997">
            <w:pPr>
              <w:ind w:left="331"/>
              <w:rPr>
                <w:b/>
                <w:snapToGrid w:val="0"/>
                <w:color w:val="000000"/>
                <w:kern w:val="22"/>
                <w:szCs w:val="22"/>
              </w:rPr>
            </w:pPr>
            <w:r w:rsidRPr="00F353D3">
              <w:rPr>
                <w:snapToGrid w:val="0"/>
                <w:color w:val="000000"/>
                <w:kern w:val="22"/>
                <w:lang w:val="en-US" w:bidi="ru-RU"/>
              </w:rPr>
              <w:t>Distr.</w:t>
            </w:r>
          </w:p>
          <w:p w14:paraId="4046A192" w14:textId="03601398" w:rsidR="006E100C" w:rsidRPr="008E1B21" w:rsidRDefault="00C6677C" w:rsidP="001B1997">
            <w:pPr>
              <w:ind w:left="331"/>
              <w:rPr>
                <w:snapToGrid w:val="0"/>
                <w:color w:val="000000"/>
                <w:kern w:val="22"/>
              </w:rPr>
            </w:pPr>
            <w:r>
              <w:rPr>
                <w:snapToGrid w:val="0"/>
                <w:color w:val="000000"/>
                <w:kern w:val="22"/>
                <w:lang w:val="en-US" w:bidi="ru-RU"/>
              </w:rPr>
              <w:t>GENERAL</w:t>
            </w:r>
          </w:p>
          <w:p w14:paraId="70B13541" w14:textId="77777777" w:rsidR="006E100C" w:rsidRPr="00BA1A09" w:rsidRDefault="006E100C" w:rsidP="001B1997">
            <w:pPr>
              <w:ind w:left="331"/>
              <w:rPr>
                <w:snapToGrid w:val="0"/>
                <w:color w:val="000000"/>
                <w:kern w:val="22"/>
              </w:rPr>
            </w:pPr>
          </w:p>
          <w:p w14:paraId="5954E8EF" w14:textId="2D4BF524" w:rsidR="006E100C" w:rsidRPr="00BA1A09" w:rsidRDefault="001F0D1E" w:rsidP="001B1997">
            <w:pPr>
              <w:ind w:left="331"/>
              <w:rPr>
                <w:snapToGrid w:val="0"/>
                <w:color w:val="000000"/>
                <w:kern w:val="22"/>
              </w:rPr>
            </w:pPr>
            <w:sdt>
              <w:sdtPr>
                <w:rPr>
                  <w:kern w:val="22"/>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C6677C">
                  <w:rPr>
                    <w:kern w:val="22"/>
                  </w:rPr>
                  <w:t>CBD/CP/</w:t>
                </w:r>
                <w:r w:rsidR="00C54FE4" w:rsidRPr="00A1336B">
                  <w:rPr>
                    <w:kern w:val="22"/>
                  </w:rPr>
                  <w:t>MOP/</w:t>
                </w:r>
                <w:r w:rsidR="00FD6EC7">
                  <w:rPr>
                    <w:kern w:val="22"/>
                  </w:rPr>
                  <w:t>DEC/9/15</w:t>
                </w:r>
              </w:sdtContent>
            </w:sdt>
          </w:p>
          <w:p w14:paraId="29790F70" w14:textId="16D32EDF" w:rsidR="006E100C" w:rsidRDefault="00FD6EC7" w:rsidP="001B1997">
            <w:pPr>
              <w:ind w:left="331"/>
              <w:rPr>
                <w:snapToGrid w:val="0"/>
                <w:color w:val="000000"/>
                <w:kern w:val="22"/>
              </w:rPr>
            </w:pPr>
            <w:r>
              <w:rPr>
                <w:snapToGrid w:val="0"/>
                <w:color w:val="000000"/>
                <w:kern w:val="22"/>
                <w:lang w:val="ru-RU"/>
              </w:rPr>
              <w:t>30</w:t>
            </w:r>
            <w:r w:rsidR="006E100C" w:rsidRPr="007245D9">
              <w:rPr>
                <w:snapToGrid w:val="0"/>
                <w:color w:val="000000"/>
                <w:kern w:val="22"/>
              </w:rPr>
              <w:t xml:space="preserve"> </w:t>
            </w:r>
            <w:r w:rsidR="006E100C">
              <w:rPr>
                <w:snapToGrid w:val="0"/>
                <w:color w:val="000000"/>
                <w:kern w:val="22"/>
                <w:lang w:val="en-US"/>
              </w:rPr>
              <w:t>November</w:t>
            </w:r>
            <w:r w:rsidR="006E100C">
              <w:rPr>
                <w:snapToGrid w:val="0"/>
                <w:color w:val="000000"/>
                <w:kern w:val="22"/>
              </w:rPr>
              <w:t xml:space="preserve"> 2018</w:t>
            </w:r>
          </w:p>
          <w:p w14:paraId="79676C5D" w14:textId="77777777" w:rsidR="006E100C" w:rsidRDefault="006E100C" w:rsidP="001B1997">
            <w:pPr>
              <w:ind w:left="331"/>
              <w:rPr>
                <w:snapToGrid w:val="0"/>
                <w:color w:val="000000"/>
                <w:kern w:val="22"/>
              </w:rPr>
            </w:pPr>
            <w:bookmarkStart w:id="0" w:name="_GoBack"/>
            <w:bookmarkEnd w:id="0"/>
          </w:p>
          <w:p w14:paraId="0FB516C9" w14:textId="77777777" w:rsidR="006E100C" w:rsidRPr="00254898" w:rsidRDefault="006E100C" w:rsidP="001B1997">
            <w:pPr>
              <w:ind w:left="331"/>
              <w:rPr>
                <w:snapToGrid w:val="0"/>
                <w:color w:val="000000"/>
                <w:kern w:val="22"/>
              </w:rPr>
            </w:pPr>
            <w:r>
              <w:rPr>
                <w:snapToGrid w:val="0"/>
                <w:color w:val="000000"/>
                <w:kern w:val="22"/>
              </w:rPr>
              <w:t>RUSSIAN</w:t>
            </w:r>
          </w:p>
          <w:p w14:paraId="3137DF2F" w14:textId="73A402BD" w:rsidR="00A638CC" w:rsidRPr="00670504" w:rsidRDefault="006E100C" w:rsidP="00A638CC">
            <w:pPr>
              <w:ind w:left="331"/>
              <w:rPr>
                <w:snapToGrid w:val="0"/>
                <w:color w:val="000000"/>
                <w:kern w:val="22"/>
                <w:lang w:bidi="ru-RU"/>
              </w:rPr>
            </w:pPr>
            <w:r w:rsidRPr="00254898">
              <w:rPr>
                <w:snapToGrid w:val="0"/>
                <w:color w:val="000000"/>
                <w:kern w:val="22"/>
                <w:lang w:bidi="ru-RU"/>
              </w:rPr>
              <w:t>ORIGINAL: ENGLISH</w:t>
            </w:r>
          </w:p>
        </w:tc>
      </w:tr>
    </w:tbl>
    <w:p w14:paraId="5B9BD32A" w14:textId="77777777" w:rsidR="00E772F7" w:rsidRPr="00F353D3" w:rsidRDefault="00E772F7" w:rsidP="00E772F7">
      <w:pPr>
        <w:pStyle w:val="Cornernotation"/>
        <w:spacing w:before="60"/>
        <w:ind w:right="4575"/>
        <w:rPr>
          <w:snapToGrid w:val="0"/>
          <w:color w:val="000000"/>
          <w:kern w:val="22"/>
          <w:szCs w:val="22"/>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r w:rsidRPr="00670504">
        <w:rPr>
          <w:snapToGrid w:val="0"/>
          <w:color w:val="000000"/>
          <w:kern w:val="22"/>
          <w:szCs w:val="22"/>
          <w:lang w:val="ru-RU" w:bidi="ru-RU"/>
        </w:rPr>
        <w:t xml:space="preserve"> </w:t>
      </w:r>
    </w:p>
    <w:p w14:paraId="0400E726" w14:textId="77777777" w:rsidR="00E772F7" w:rsidRPr="00F353D3" w:rsidRDefault="00E772F7" w:rsidP="00E772F7">
      <w:pPr>
        <w:pStyle w:val="Cornernotation"/>
        <w:rPr>
          <w:snapToGrid w:val="0"/>
          <w:color w:val="000000"/>
          <w:kern w:val="22"/>
          <w:szCs w:val="22"/>
          <w:lang w:val="ru-RU"/>
        </w:rPr>
      </w:pPr>
      <w:r>
        <w:rPr>
          <w:lang w:val="ru-RU"/>
        </w:rPr>
        <w:t>Девятое</w:t>
      </w:r>
      <w:r w:rsidRPr="00DB00E6">
        <w:rPr>
          <w:lang w:val="ru-RU"/>
        </w:rPr>
        <w:t xml:space="preserve"> </w:t>
      </w:r>
      <w:r w:rsidRPr="00670504">
        <w:rPr>
          <w:snapToGrid w:val="0"/>
          <w:color w:val="000000"/>
          <w:kern w:val="22"/>
          <w:szCs w:val="22"/>
          <w:lang w:val="ru-RU" w:bidi="ru-RU"/>
        </w:rPr>
        <w:t>совещание</w:t>
      </w:r>
    </w:p>
    <w:p w14:paraId="0E4D83B5" w14:textId="77777777" w:rsidR="006E100C" w:rsidRDefault="006E100C" w:rsidP="00E772F7">
      <w:pPr>
        <w:pStyle w:val="Cornernotation"/>
        <w:ind w:left="0" w:firstLine="0"/>
        <w:rPr>
          <w:szCs w:val="22"/>
          <w:lang w:val="ru-RU"/>
        </w:rPr>
      </w:pPr>
      <w:bookmarkStart w:id="1" w:name="OLE_LINK1"/>
      <w:bookmarkStart w:id="2"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1"/>
      <w:bookmarkEnd w:id="2"/>
      <w:r>
        <w:rPr>
          <w:lang w:val="ru-RU"/>
        </w:rPr>
        <w:t>8</w:t>
      </w:r>
      <w:r w:rsidRPr="00ED0C36">
        <w:rPr>
          <w:lang w:val="ru-RU"/>
        </w:rPr>
        <w:t xml:space="preserve"> года</w:t>
      </w:r>
      <w:r w:rsidRPr="00ED0C36">
        <w:rPr>
          <w:szCs w:val="22"/>
          <w:lang w:val="ru-RU"/>
        </w:rPr>
        <w:t xml:space="preserve"> </w:t>
      </w:r>
    </w:p>
    <w:p w14:paraId="4EC2783E" w14:textId="77777777" w:rsidR="00C9161D" w:rsidRPr="00277168" w:rsidRDefault="0042549B" w:rsidP="00C9161D">
      <w:pPr>
        <w:rPr>
          <w:lang w:val="ru-RU"/>
        </w:rPr>
      </w:pPr>
      <w:r w:rsidRPr="00277168">
        <w:rPr>
          <w:snapToGrid w:val="0"/>
          <w:szCs w:val="22"/>
          <w:lang w:val="ru-RU"/>
        </w:rPr>
        <w:t xml:space="preserve">Пункт </w:t>
      </w:r>
      <w:r w:rsidR="00FF3BC8" w:rsidRPr="001F0D1E">
        <w:rPr>
          <w:snapToGrid w:val="0"/>
          <w:szCs w:val="22"/>
          <w:lang w:val="ru-RU"/>
        </w:rPr>
        <w:t>19</w:t>
      </w:r>
      <w:r w:rsidRPr="00277168">
        <w:rPr>
          <w:snapToGrid w:val="0"/>
          <w:szCs w:val="22"/>
          <w:lang w:val="ru-RU"/>
        </w:rPr>
        <w:t xml:space="preserve"> повестки дня</w:t>
      </w:r>
    </w:p>
    <w:p w14:paraId="67A5D6E6" w14:textId="49BABD69" w:rsidR="00C3263F" w:rsidRPr="006477CD" w:rsidRDefault="001F0D1E" w:rsidP="006477CD">
      <w:pPr>
        <w:spacing w:before="120" w:after="240"/>
        <w:jc w:val="center"/>
        <w:rPr>
          <w:b/>
          <w:caps/>
          <w:lang w:val="ru-RU"/>
        </w:rPr>
      </w:pPr>
      <w:sdt>
        <w:sdtPr>
          <w:rPr>
            <w:b/>
            <w:snapToGrid w:val="0"/>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638CC">
            <w:rPr>
              <w:b/>
              <w:snapToGrid w:val="0"/>
              <w:lang w:val="ru-RU"/>
            </w:rPr>
            <w:t>Р</w:t>
          </w:r>
          <w:r w:rsidR="00C45B4C">
            <w:rPr>
              <w:b/>
              <w:snapToGrid w:val="0"/>
              <w:lang w:val="ru-RU"/>
            </w:rPr>
            <w:t>ЕШЕНИЕ, ПРИНЯТОЕ СТОРОНАМИ НАГОЙСКО-КУАЛА-ЛУМПУРСКОГО ДОПОЛНИТЕЛЬНОГО</w:t>
          </w:r>
          <w:r w:rsidR="00FF3BC8" w:rsidRPr="00A1336B">
            <w:rPr>
              <w:b/>
              <w:snapToGrid w:val="0"/>
              <w:lang w:val="ru-RU"/>
            </w:rPr>
            <w:t xml:space="preserve"> ПРОТОКОЛ</w:t>
          </w:r>
          <w:r w:rsidR="00C45B4C">
            <w:rPr>
              <w:b/>
              <w:snapToGrid w:val="0"/>
              <w:lang w:val="ru-RU"/>
            </w:rPr>
            <w:t>А</w:t>
          </w:r>
          <w:r w:rsidR="00FF3BC8" w:rsidRPr="00A1336B">
            <w:rPr>
              <w:b/>
              <w:snapToGrid w:val="0"/>
              <w:lang w:val="ru-RU"/>
            </w:rPr>
            <w:t xml:space="preserve"> ОБ ОТВЕТСТВЕННОСТИ И ВОЗМЕЩЕНИИ</w:t>
          </w:r>
          <w:r w:rsidR="00C45B4C">
            <w:rPr>
              <w:b/>
              <w:snapToGrid w:val="0"/>
              <w:lang w:val="ru-RU"/>
            </w:rPr>
            <w:t xml:space="preserve"> К КАРТАХЕНСКОМУ ПРОТОКОЛУ ПО БИОБЕЗОПАСНОСТИ</w:t>
          </w:r>
        </w:sdtContent>
      </w:sdt>
      <w:r w:rsidR="00FF3BC8" w:rsidRPr="00FF3BC8">
        <w:rPr>
          <w:b/>
          <w:lang w:val="ru-RU"/>
        </w:rPr>
        <w:t xml:space="preserve"> </w:t>
      </w:r>
    </w:p>
    <w:p w14:paraId="08ADA8A5" w14:textId="54D4B0DA" w:rsidR="006477CD" w:rsidRPr="006477CD" w:rsidRDefault="006477CD" w:rsidP="006477CD">
      <w:pPr>
        <w:pStyle w:val="HEADING"/>
        <w:ind w:firstLine="720"/>
        <w:rPr>
          <w:bCs w:val="0"/>
          <w:iCs/>
          <w:caps w:val="0"/>
          <w:lang w:val="ru-RU"/>
        </w:rPr>
      </w:pPr>
      <w:r w:rsidRPr="006477CD">
        <w:rPr>
          <w:bCs w:val="0"/>
          <w:iCs/>
          <w:caps w:val="0"/>
          <w:lang w:val="ru-RU"/>
        </w:rPr>
        <w:t>9/15.</w:t>
      </w:r>
      <w:r w:rsidRPr="006477CD">
        <w:rPr>
          <w:snapToGrid w:val="0"/>
          <w:kern w:val="22"/>
          <w:szCs w:val="22"/>
          <w:lang w:val="ru-RU"/>
        </w:rPr>
        <w:tab/>
      </w:r>
      <w:r w:rsidRPr="006477CD">
        <w:rPr>
          <w:bCs w:val="0"/>
          <w:iCs/>
          <w:caps w:val="0"/>
          <w:lang w:val="ru-RU"/>
        </w:rPr>
        <w:t>Нагойско-Куала-Лумпурский дополнительный протокол об ответственности и возмещении</w:t>
      </w:r>
    </w:p>
    <w:p w14:paraId="7E56FCAB" w14:textId="6FBD18A1" w:rsidR="00FF3BC8" w:rsidRPr="00FF3BC8" w:rsidRDefault="00FF3BC8" w:rsidP="00FF3BC8">
      <w:pPr>
        <w:pStyle w:val="HEADING"/>
        <w:ind w:firstLine="720"/>
        <w:jc w:val="both"/>
        <w:rPr>
          <w:b w:val="0"/>
          <w:bCs w:val="0"/>
          <w:i/>
          <w:caps w:val="0"/>
          <w:lang w:val="ru-RU"/>
        </w:rPr>
      </w:pPr>
      <w:r w:rsidRPr="00421573">
        <w:rPr>
          <w:b w:val="0"/>
          <w:bCs w:val="0"/>
          <w:i/>
          <w:iCs/>
          <w:caps w:val="0"/>
          <w:lang w:val="ru-RU"/>
        </w:rPr>
        <w:t xml:space="preserve">Конференция Сторон, выступающая в </w:t>
      </w:r>
      <w:r w:rsidR="00C44783">
        <w:rPr>
          <w:b w:val="0"/>
          <w:bCs w:val="0"/>
          <w:i/>
          <w:iCs/>
          <w:caps w:val="0"/>
          <w:lang w:val="ru-RU"/>
        </w:rPr>
        <w:t>качестве С</w:t>
      </w:r>
      <w:r w:rsidRPr="00421573">
        <w:rPr>
          <w:b w:val="0"/>
          <w:bCs w:val="0"/>
          <w:i/>
          <w:iCs/>
          <w:caps w:val="0"/>
          <w:lang w:val="ru-RU"/>
        </w:rPr>
        <w:t>овещания Сторон Картахенского протокола по биобезопас</w:t>
      </w:r>
      <w:r w:rsidR="003C3435">
        <w:rPr>
          <w:b w:val="0"/>
          <w:bCs w:val="0"/>
          <w:i/>
          <w:iCs/>
          <w:caps w:val="0"/>
          <w:lang w:val="ru-RU"/>
        </w:rPr>
        <w:t xml:space="preserve">ности и </w:t>
      </w:r>
      <w:r w:rsidR="00C44783">
        <w:rPr>
          <w:b w:val="0"/>
          <w:bCs w:val="0"/>
          <w:i/>
          <w:iCs/>
          <w:caps w:val="0"/>
          <w:lang w:val="ru-RU"/>
        </w:rPr>
        <w:t>в качестве С</w:t>
      </w:r>
      <w:r w:rsidRPr="00421573">
        <w:rPr>
          <w:b w:val="0"/>
          <w:bCs w:val="0"/>
          <w:i/>
          <w:iCs/>
          <w:caps w:val="0"/>
          <w:lang w:val="ru-RU"/>
        </w:rPr>
        <w:t>овещания Сторон Нагойско-Куала-Лумпурского дополнительного прото</w:t>
      </w:r>
      <w:r w:rsidRPr="00FF3BC8">
        <w:rPr>
          <w:b w:val="0"/>
          <w:bCs w:val="0"/>
          <w:i/>
          <w:iCs/>
          <w:caps w:val="0"/>
          <w:lang w:val="ru-RU"/>
        </w:rPr>
        <w:t>кола об ответственности и возмещении за ущерб</w:t>
      </w:r>
      <w:r w:rsidRPr="00FF3BC8">
        <w:rPr>
          <w:rStyle w:val="FootnoteReference"/>
          <w:b w:val="0"/>
          <w:bCs w:val="0"/>
          <w:caps w:val="0"/>
          <w:lang w:val="ru-RU"/>
        </w:rPr>
        <w:footnoteReference w:id="1"/>
      </w:r>
      <w:r w:rsidRPr="00FF3BC8">
        <w:rPr>
          <w:b w:val="0"/>
          <w:bCs w:val="0"/>
          <w:i/>
          <w:iCs/>
          <w:lang w:val="ru-RU"/>
        </w:rPr>
        <w:t>,</w:t>
      </w:r>
    </w:p>
    <w:p w14:paraId="6A2817DE" w14:textId="77777777" w:rsidR="00FF3BC8" w:rsidRPr="00FF3BC8" w:rsidRDefault="00FF3BC8" w:rsidP="00FF3BC8">
      <w:pPr>
        <w:pStyle w:val="HEADING"/>
        <w:keepNext w:val="0"/>
        <w:numPr>
          <w:ilvl w:val="0"/>
          <w:numId w:val="22"/>
        </w:numPr>
        <w:spacing w:before="120"/>
        <w:ind w:left="0" w:firstLine="796"/>
        <w:jc w:val="both"/>
        <w:rPr>
          <w:b w:val="0"/>
          <w:bCs w:val="0"/>
          <w:caps w:val="0"/>
          <w:lang w:val="ru-RU"/>
        </w:rPr>
      </w:pPr>
      <w:r w:rsidRPr="00FF3BC8">
        <w:rPr>
          <w:b w:val="0"/>
          <w:bCs w:val="0"/>
          <w:i/>
          <w:iCs/>
          <w:caps w:val="0"/>
          <w:lang w:val="ru-RU"/>
        </w:rPr>
        <w:t xml:space="preserve">приветствует </w:t>
      </w:r>
      <w:r w:rsidRPr="00FF3BC8">
        <w:rPr>
          <w:b w:val="0"/>
          <w:bCs w:val="0"/>
          <w:caps w:val="0"/>
          <w:lang w:val="ru-RU"/>
        </w:rPr>
        <w:t>вступление в силу Нагойско</w:t>
      </w:r>
      <w:r w:rsidRPr="00FF3BC8">
        <w:rPr>
          <w:caps w:val="0"/>
          <w:lang w:val="ru-RU"/>
        </w:rPr>
        <w:t>-</w:t>
      </w:r>
      <w:r w:rsidRPr="00FF3BC8">
        <w:rPr>
          <w:b w:val="0"/>
          <w:bCs w:val="0"/>
          <w:caps w:val="0"/>
          <w:lang w:val="ru-RU"/>
        </w:rPr>
        <w:t>Куала-</w:t>
      </w:r>
      <w:r>
        <w:rPr>
          <w:b w:val="0"/>
          <w:bCs w:val="0"/>
          <w:caps w:val="0"/>
          <w:lang w:val="ru-RU"/>
        </w:rPr>
        <w:t>Л</w:t>
      </w:r>
      <w:r w:rsidRPr="00FF3BC8">
        <w:rPr>
          <w:b w:val="0"/>
          <w:bCs w:val="0"/>
          <w:caps w:val="0"/>
          <w:lang w:val="ru-RU"/>
        </w:rPr>
        <w:t>умпурского дополнительного протокола об ответственности и возмещении к Картахенскому протоколу по биобезопасности;</w:t>
      </w:r>
    </w:p>
    <w:p w14:paraId="1F288148" w14:textId="5F72AE73"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поздравляет </w:t>
      </w:r>
      <w:r w:rsidRPr="00FF3BC8">
        <w:rPr>
          <w:b w:val="0"/>
          <w:bCs w:val="0"/>
          <w:caps w:val="0"/>
          <w:lang w:val="ru-RU"/>
        </w:rPr>
        <w:t xml:space="preserve">Стороны, которые сдали на хранение свой документ о ратификации, принятии, одобрении или присоединении к </w:t>
      </w:r>
      <w:r w:rsidR="008B2764">
        <w:rPr>
          <w:b w:val="0"/>
          <w:bCs w:val="0"/>
          <w:caps w:val="0"/>
          <w:lang w:val="ru-RU"/>
        </w:rPr>
        <w:t>Д</w:t>
      </w:r>
      <w:r w:rsidRPr="00FF3BC8">
        <w:rPr>
          <w:b w:val="0"/>
          <w:bCs w:val="0"/>
          <w:caps w:val="0"/>
          <w:lang w:val="ru-RU"/>
        </w:rPr>
        <w:t>ополнительному протоколу</w:t>
      </w:r>
      <w:r w:rsidR="008B2764">
        <w:rPr>
          <w:b w:val="0"/>
          <w:bCs w:val="0"/>
          <w:caps w:val="0"/>
          <w:lang w:val="ru-RU"/>
        </w:rPr>
        <w:t>,</w:t>
      </w:r>
      <w:r w:rsidRPr="00FF3BC8">
        <w:rPr>
          <w:b w:val="0"/>
          <w:bCs w:val="0"/>
          <w:caps w:val="0"/>
          <w:lang w:val="ru-RU"/>
        </w:rPr>
        <w:t xml:space="preserve"> и </w:t>
      </w:r>
      <w:r w:rsidRPr="008B2764">
        <w:rPr>
          <w:b w:val="0"/>
          <w:bCs w:val="0"/>
          <w:iCs/>
          <w:caps w:val="0"/>
          <w:lang w:val="ru-RU"/>
        </w:rPr>
        <w:t>настоятельно призывает</w:t>
      </w:r>
      <w:r w:rsidRPr="00FF3BC8">
        <w:rPr>
          <w:b w:val="0"/>
          <w:bCs w:val="0"/>
          <w:caps w:val="0"/>
          <w:lang w:val="ru-RU"/>
        </w:rPr>
        <w:t xml:space="preserve"> их принять необходимые меры для его осуществления;</w:t>
      </w:r>
    </w:p>
    <w:p w14:paraId="6FF474A1" w14:textId="78EE2FA9"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настоятельно призывает </w:t>
      </w:r>
      <w:r w:rsidRPr="00FF3BC8">
        <w:rPr>
          <w:b w:val="0"/>
          <w:bCs w:val="0"/>
          <w:caps w:val="0"/>
          <w:lang w:val="ru-RU"/>
        </w:rPr>
        <w:t xml:space="preserve">все Стороны Картахенского протокола по биобезопасности, которые еще не сделали этого, </w:t>
      </w:r>
      <w:r w:rsidR="00B72903">
        <w:rPr>
          <w:b w:val="0"/>
          <w:bCs w:val="0"/>
          <w:caps w:val="0"/>
          <w:lang w:val="ru-RU"/>
        </w:rPr>
        <w:t>как можно скорее</w:t>
      </w:r>
      <w:r w:rsidRPr="00FF3BC8">
        <w:rPr>
          <w:b w:val="0"/>
          <w:bCs w:val="0"/>
          <w:caps w:val="0"/>
          <w:lang w:val="ru-RU"/>
        </w:rPr>
        <w:t xml:space="preserve"> сдать на хранение свой документ о ратификации, принятии, одобрении или присоединении к </w:t>
      </w:r>
      <w:r w:rsidR="00B72903">
        <w:rPr>
          <w:b w:val="0"/>
          <w:bCs w:val="0"/>
          <w:caps w:val="0"/>
          <w:lang w:val="ru-RU"/>
        </w:rPr>
        <w:t>Д</w:t>
      </w:r>
      <w:r w:rsidRPr="00FF3BC8">
        <w:rPr>
          <w:b w:val="0"/>
          <w:bCs w:val="0"/>
          <w:caps w:val="0"/>
          <w:lang w:val="ru-RU"/>
        </w:rPr>
        <w:t>ополнительному протоколу;</w:t>
      </w:r>
    </w:p>
    <w:p w14:paraId="102B3DA7" w14:textId="1279F479"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приветствует </w:t>
      </w:r>
      <w:r w:rsidRPr="00FF3BC8">
        <w:rPr>
          <w:b w:val="0"/>
          <w:bCs w:val="0"/>
          <w:caps w:val="0"/>
          <w:lang w:val="ru-RU"/>
        </w:rPr>
        <w:t xml:space="preserve">мероприятия, предпринятые для содействия вступлению в силу и осуществлению </w:t>
      </w:r>
      <w:r w:rsidR="00491E47">
        <w:rPr>
          <w:b w:val="0"/>
          <w:bCs w:val="0"/>
          <w:caps w:val="0"/>
          <w:lang w:val="ru-RU"/>
        </w:rPr>
        <w:t>Д</w:t>
      </w:r>
      <w:r w:rsidRPr="00FF3BC8">
        <w:rPr>
          <w:b w:val="0"/>
          <w:bCs w:val="0"/>
          <w:caps w:val="0"/>
          <w:lang w:val="ru-RU"/>
        </w:rPr>
        <w:t xml:space="preserve">ополнительного протокола и оказываемую </w:t>
      </w:r>
      <w:r w:rsidR="00491E47" w:rsidRPr="00FF3BC8">
        <w:rPr>
          <w:b w:val="0"/>
          <w:bCs w:val="0"/>
          <w:caps w:val="0"/>
          <w:lang w:val="ru-RU"/>
        </w:rPr>
        <w:t>донорами</w:t>
      </w:r>
      <w:r w:rsidR="00491E47" w:rsidRPr="00491E47">
        <w:rPr>
          <w:b w:val="0"/>
          <w:bCs w:val="0"/>
          <w:caps w:val="0"/>
          <w:lang w:val="ru-RU"/>
        </w:rPr>
        <w:t xml:space="preserve"> </w:t>
      </w:r>
      <w:r w:rsidRPr="00FF3BC8">
        <w:rPr>
          <w:b w:val="0"/>
          <w:bCs w:val="0"/>
          <w:caps w:val="0"/>
          <w:lang w:val="ru-RU"/>
        </w:rPr>
        <w:t xml:space="preserve">поддержку </w:t>
      </w:r>
      <w:r w:rsidR="00491E47" w:rsidRPr="00FF3BC8">
        <w:rPr>
          <w:b w:val="0"/>
          <w:bCs w:val="0"/>
          <w:caps w:val="0"/>
          <w:lang w:val="ru-RU"/>
        </w:rPr>
        <w:t>в этом отношении</w:t>
      </w:r>
      <w:r w:rsidRPr="00FF3BC8">
        <w:rPr>
          <w:b w:val="0"/>
          <w:bCs w:val="0"/>
          <w:caps w:val="0"/>
          <w:lang w:val="ru-RU"/>
        </w:rPr>
        <w:t>;</w:t>
      </w:r>
    </w:p>
    <w:p w14:paraId="65E8D834" w14:textId="1B599567"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поручает </w:t>
      </w:r>
      <w:r w:rsidRPr="00FF3BC8">
        <w:rPr>
          <w:b w:val="0"/>
          <w:bCs w:val="0"/>
          <w:caps w:val="0"/>
          <w:lang w:val="ru-RU"/>
        </w:rPr>
        <w:t xml:space="preserve">Исполнительному секретарю при условии наличия ресурсов </w:t>
      </w:r>
      <w:r w:rsidR="002709B8">
        <w:rPr>
          <w:b w:val="0"/>
          <w:bCs w:val="0"/>
          <w:caps w:val="0"/>
          <w:lang w:val="ru-RU"/>
        </w:rPr>
        <w:t>в Добровольном целевом</w:t>
      </w:r>
      <w:r w:rsidR="00C950FC">
        <w:rPr>
          <w:b w:val="0"/>
          <w:bCs w:val="0"/>
          <w:caps w:val="0"/>
          <w:lang w:val="ru-RU"/>
        </w:rPr>
        <w:t xml:space="preserve"> фонд</w:t>
      </w:r>
      <w:r w:rsidR="002709B8">
        <w:rPr>
          <w:b w:val="0"/>
          <w:bCs w:val="0"/>
          <w:caps w:val="0"/>
          <w:lang w:val="ru-RU"/>
        </w:rPr>
        <w:t>е</w:t>
      </w:r>
      <w:r w:rsidR="00C950FC">
        <w:rPr>
          <w:b w:val="0"/>
          <w:bCs w:val="0"/>
          <w:caps w:val="0"/>
          <w:lang w:val="ru-RU"/>
        </w:rPr>
        <w:t xml:space="preserve"> </w:t>
      </w:r>
      <w:r w:rsidRPr="00FF3BC8">
        <w:rPr>
          <w:b w:val="0"/>
          <w:bCs w:val="0"/>
          <w:caps w:val="0"/>
          <w:lang w:val="ru-RU"/>
        </w:rPr>
        <w:t>продолжать осуществлять дальнейши</w:t>
      </w:r>
      <w:r w:rsidR="00421573">
        <w:rPr>
          <w:b w:val="0"/>
          <w:bCs w:val="0"/>
          <w:caps w:val="0"/>
          <w:lang w:val="ru-RU"/>
        </w:rPr>
        <w:t>е</w:t>
      </w:r>
      <w:r w:rsidRPr="00FF3BC8">
        <w:rPr>
          <w:b w:val="0"/>
          <w:bCs w:val="0"/>
          <w:caps w:val="0"/>
          <w:lang w:val="ru-RU"/>
        </w:rPr>
        <w:t xml:space="preserve"> мероприяти</w:t>
      </w:r>
      <w:r w:rsidR="00421573">
        <w:rPr>
          <w:b w:val="0"/>
          <w:bCs w:val="0"/>
          <w:caps w:val="0"/>
          <w:lang w:val="ru-RU"/>
        </w:rPr>
        <w:t>я</w:t>
      </w:r>
      <w:r w:rsidRPr="00FF3BC8">
        <w:rPr>
          <w:b w:val="0"/>
          <w:bCs w:val="0"/>
          <w:caps w:val="0"/>
          <w:lang w:val="ru-RU"/>
        </w:rPr>
        <w:t xml:space="preserve"> по повышению осведомленности</w:t>
      </w:r>
      <w:r w:rsidR="00C950FC">
        <w:rPr>
          <w:b w:val="0"/>
          <w:bCs w:val="0"/>
          <w:caps w:val="0"/>
          <w:lang w:val="ru-RU"/>
        </w:rPr>
        <w:t xml:space="preserve"> и созданию потенциала</w:t>
      </w:r>
      <w:r w:rsidR="00E66C50">
        <w:rPr>
          <w:b w:val="0"/>
          <w:bCs w:val="0"/>
          <w:caps w:val="0"/>
          <w:lang w:val="ru-RU"/>
        </w:rPr>
        <w:t>, а также</w:t>
      </w:r>
      <w:r w:rsidRPr="00FF3BC8">
        <w:rPr>
          <w:b w:val="0"/>
          <w:bCs w:val="0"/>
          <w:caps w:val="0"/>
          <w:lang w:val="ru-RU"/>
        </w:rPr>
        <w:t xml:space="preserve"> оказывать поддержку Сторонам в осуществлении Дополнительного протокола на национальном уровне;</w:t>
      </w:r>
    </w:p>
    <w:p w14:paraId="30BB26FF" w14:textId="31A2FCDB"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поручает </w:t>
      </w:r>
      <w:r w:rsidRPr="00FF3BC8">
        <w:rPr>
          <w:b w:val="0"/>
          <w:bCs w:val="0"/>
          <w:caps w:val="0"/>
          <w:lang w:val="ru-RU"/>
        </w:rPr>
        <w:t xml:space="preserve">Сторонам Дополнительного протокола назначить компетентный орган для выполнения функций, изложенных в </w:t>
      </w:r>
      <w:r w:rsidR="00273457">
        <w:rPr>
          <w:b w:val="0"/>
          <w:bCs w:val="0"/>
          <w:caps w:val="0"/>
          <w:lang w:val="ru-RU"/>
        </w:rPr>
        <w:t>статье 5 Дополнительного протокола</w:t>
      </w:r>
      <w:r w:rsidRPr="00FF3BC8">
        <w:rPr>
          <w:b w:val="0"/>
          <w:bCs w:val="0"/>
          <w:caps w:val="0"/>
          <w:lang w:val="ru-RU"/>
        </w:rPr>
        <w:t xml:space="preserve"> об ответст</w:t>
      </w:r>
      <w:r w:rsidR="00273457">
        <w:rPr>
          <w:b w:val="0"/>
          <w:bCs w:val="0"/>
          <w:caps w:val="0"/>
          <w:lang w:val="ru-RU"/>
        </w:rPr>
        <w:t xml:space="preserve">венности и </w:t>
      </w:r>
      <w:r w:rsidR="00273457">
        <w:rPr>
          <w:b w:val="0"/>
          <w:bCs w:val="0"/>
          <w:caps w:val="0"/>
          <w:lang w:val="ru-RU"/>
        </w:rPr>
        <w:lastRenderedPageBreak/>
        <w:t>возмещении</w:t>
      </w:r>
      <w:r w:rsidRPr="00FF3BC8">
        <w:rPr>
          <w:b w:val="0"/>
          <w:bCs w:val="0"/>
          <w:caps w:val="0"/>
          <w:lang w:val="ru-RU"/>
        </w:rPr>
        <w:t>, а также предоставить контактную информацию компетентного органа в Механизм посредничества по биобезопасности;</w:t>
      </w:r>
    </w:p>
    <w:p w14:paraId="16D3D1E4" w14:textId="453C3E40" w:rsidR="00FF3BC8" w:rsidRPr="00FF3BC8" w:rsidRDefault="00FF3BC8" w:rsidP="00FF3BC8">
      <w:pPr>
        <w:pStyle w:val="HEADING"/>
        <w:keepNext w:val="0"/>
        <w:numPr>
          <w:ilvl w:val="0"/>
          <w:numId w:val="22"/>
        </w:numPr>
        <w:spacing w:before="120"/>
        <w:ind w:left="0" w:firstLine="720"/>
        <w:jc w:val="both"/>
        <w:rPr>
          <w:b w:val="0"/>
          <w:bCs w:val="0"/>
          <w:i/>
          <w:caps w:val="0"/>
          <w:lang w:val="ru-RU"/>
        </w:rPr>
      </w:pPr>
      <w:r w:rsidRPr="00FF3BC8">
        <w:rPr>
          <w:b w:val="0"/>
          <w:bCs w:val="0"/>
          <w:i/>
          <w:iCs/>
          <w:caps w:val="0"/>
          <w:lang w:val="ru-RU"/>
        </w:rPr>
        <w:t xml:space="preserve">поручает </w:t>
      </w:r>
      <w:r w:rsidRPr="00FF3BC8">
        <w:rPr>
          <w:b w:val="0"/>
          <w:bCs w:val="0"/>
          <w:caps w:val="0"/>
          <w:lang w:val="ru-RU"/>
        </w:rPr>
        <w:t xml:space="preserve">Сторонам Дополнительного протокола и </w:t>
      </w:r>
      <w:r w:rsidRPr="00FF3BC8">
        <w:rPr>
          <w:b w:val="0"/>
          <w:bCs w:val="0"/>
          <w:i/>
          <w:iCs/>
          <w:caps w:val="0"/>
          <w:lang w:val="ru-RU"/>
        </w:rPr>
        <w:t xml:space="preserve">предлагает </w:t>
      </w:r>
      <w:r w:rsidRPr="00FF3BC8">
        <w:rPr>
          <w:b w:val="0"/>
          <w:bCs w:val="0"/>
          <w:caps w:val="0"/>
          <w:lang w:val="ru-RU"/>
        </w:rPr>
        <w:t>другим правительствам сообщать о своих мерах по осуществлению Дополнительного протокола, отвечая на связанные с Дополнительным протоколом вопросы в формате четвертого национального доклада в рамках Картахенского протокола, которые содержатс</w:t>
      </w:r>
      <w:r w:rsidR="001D45AA">
        <w:rPr>
          <w:b w:val="0"/>
          <w:bCs w:val="0"/>
          <w:caps w:val="0"/>
          <w:lang w:val="ru-RU"/>
        </w:rPr>
        <w:t>я в приложении к решению CP-9/5</w:t>
      </w:r>
      <w:r w:rsidRPr="00FF3BC8">
        <w:rPr>
          <w:b w:val="0"/>
          <w:bCs w:val="0"/>
          <w:caps w:val="0"/>
          <w:lang w:val="ru-RU"/>
        </w:rPr>
        <w:t>;</w:t>
      </w:r>
    </w:p>
    <w:p w14:paraId="5727D5B8" w14:textId="36F6F767" w:rsidR="00FF3BC8" w:rsidRPr="00FF3BC8" w:rsidRDefault="00FF3BC8" w:rsidP="00FF3BC8">
      <w:pPr>
        <w:pStyle w:val="HEADING"/>
        <w:keepNext w:val="0"/>
        <w:numPr>
          <w:ilvl w:val="0"/>
          <w:numId w:val="22"/>
        </w:numPr>
        <w:spacing w:before="120"/>
        <w:ind w:left="0" w:firstLine="720"/>
        <w:jc w:val="both"/>
        <w:rPr>
          <w:b w:val="0"/>
          <w:bCs w:val="0"/>
          <w:caps w:val="0"/>
          <w:lang w:val="ru-RU"/>
        </w:rPr>
      </w:pPr>
      <w:r w:rsidRPr="00FF3BC8">
        <w:rPr>
          <w:b w:val="0"/>
          <w:bCs w:val="0"/>
          <w:i/>
          <w:iCs/>
          <w:caps w:val="0"/>
          <w:lang w:val="ru-RU"/>
        </w:rPr>
        <w:t xml:space="preserve">поручает </w:t>
      </w:r>
      <w:r w:rsidRPr="00FF3BC8">
        <w:rPr>
          <w:b w:val="0"/>
          <w:bCs w:val="0"/>
          <w:caps w:val="0"/>
          <w:lang w:val="ru-RU"/>
        </w:rPr>
        <w:t xml:space="preserve">Исполнительному секретарю </w:t>
      </w:r>
      <w:r w:rsidR="00C950FC" w:rsidRPr="00FF3BC8">
        <w:rPr>
          <w:b w:val="0"/>
          <w:bCs w:val="0"/>
          <w:caps w:val="0"/>
          <w:lang w:val="ru-RU"/>
        </w:rPr>
        <w:t xml:space="preserve">при условии наличия ресурсов </w:t>
      </w:r>
      <w:r w:rsidR="00A558CF">
        <w:rPr>
          <w:b w:val="0"/>
          <w:bCs w:val="0"/>
          <w:caps w:val="0"/>
          <w:lang w:val="ru-RU"/>
        </w:rPr>
        <w:t>в Добровольном целевом фонде</w:t>
      </w:r>
      <w:r w:rsidR="00A558CF" w:rsidRPr="00A558CF">
        <w:rPr>
          <w:b w:val="0"/>
          <w:bCs w:val="0"/>
          <w:caps w:val="0"/>
          <w:lang w:val="ru-RU"/>
        </w:rPr>
        <w:t xml:space="preserve"> </w:t>
      </w:r>
      <w:r w:rsidR="00A558CF" w:rsidRPr="00FF3BC8">
        <w:rPr>
          <w:b w:val="0"/>
          <w:bCs w:val="0"/>
          <w:caps w:val="0"/>
          <w:lang w:val="ru-RU"/>
        </w:rPr>
        <w:t>провести комплексное исследование</w:t>
      </w:r>
      <w:r w:rsidR="00C950FC" w:rsidRPr="00FF3BC8">
        <w:rPr>
          <w:b w:val="0"/>
          <w:bCs w:val="0"/>
          <w:caps w:val="0"/>
          <w:lang w:val="ru-RU"/>
        </w:rPr>
        <w:t xml:space="preserve"> </w:t>
      </w:r>
      <w:r w:rsidRPr="00FF3BC8">
        <w:rPr>
          <w:b w:val="0"/>
          <w:bCs w:val="0"/>
          <w:caps w:val="0"/>
          <w:lang w:val="ru-RU"/>
        </w:rPr>
        <w:t xml:space="preserve">для </w:t>
      </w:r>
      <w:r w:rsidR="00A558CF">
        <w:rPr>
          <w:b w:val="0"/>
          <w:bCs w:val="0"/>
          <w:caps w:val="0"/>
          <w:lang w:val="ru-RU"/>
        </w:rPr>
        <w:t xml:space="preserve">его </w:t>
      </w:r>
      <w:r w:rsidRPr="00FF3BC8">
        <w:rPr>
          <w:b w:val="0"/>
          <w:bCs w:val="0"/>
          <w:caps w:val="0"/>
          <w:lang w:val="ru-RU"/>
        </w:rPr>
        <w:t xml:space="preserve">рассмотрения на </w:t>
      </w:r>
      <w:r w:rsidR="001513E3">
        <w:rPr>
          <w:b w:val="0"/>
          <w:bCs w:val="0"/>
          <w:caps w:val="0"/>
          <w:lang w:val="ru-RU"/>
        </w:rPr>
        <w:t>десято</w:t>
      </w:r>
      <w:r w:rsidR="00421573">
        <w:rPr>
          <w:b w:val="0"/>
          <w:bCs w:val="0"/>
          <w:caps w:val="0"/>
          <w:lang w:val="ru-RU"/>
        </w:rPr>
        <w:t>м</w:t>
      </w:r>
      <w:r w:rsidR="00A558CF">
        <w:rPr>
          <w:b w:val="0"/>
          <w:bCs w:val="0"/>
          <w:caps w:val="0"/>
          <w:lang w:val="ru-RU"/>
        </w:rPr>
        <w:t xml:space="preserve"> совещании Конференции</w:t>
      </w:r>
      <w:r w:rsidRPr="00FF3BC8">
        <w:rPr>
          <w:b w:val="0"/>
          <w:bCs w:val="0"/>
          <w:caps w:val="0"/>
          <w:lang w:val="ru-RU"/>
        </w:rPr>
        <w:t xml:space="preserve"> Сторон, выступающей в качестве </w:t>
      </w:r>
      <w:r w:rsidR="00A057D4">
        <w:rPr>
          <w:b w:val="0"/>
          <w:bCs w:val="0"/>
          <w:caps w:val="0"/>
          <w:lang w:val="ru-RU"/>
        </w:rPr>
        <w:t>С</w:t>
      </w:r>
      <w:r w:rsidRPr="00FF3BC8">
        <w:rPr>
          <w:b w:val="0"/>
          <w:bCs w:val="0"/>
          <w:caps w:val="0"/>
          <w:lang w:val="ru-RU"/>
        </w:rPr>
        <w:t>овещания Сторон Картахенског</w:t>
      </w:r>
      <w:r w:rsidR="00A057D4">
        <w:rPr>
          <w:b w:val="0"/>
          <w:bCs w:val="0"/>
          <w:caps w:val="0"/>
          <w:lang w:val="ru-RU"/>
        </w:rPr>
        <w:t xml:space="preserve">о протокола по биобезопасности и </w:t>
      </w:r>
      <w:r w:rsidR="00C54FE4">
        <w:rPr>
          <w:b w:val="0"/>
          <w:bCs w:val="0"/>
          <w:caps w:val="0"/>
          <w:lang w:val="ru-RU"/>
        </w:rPr>
        <w:t xml:space="preserve">в </w:t>
      </w:r>
      <w:r w:rsidR="00A057D4">
        <w:rPr>
          <w:b w:val="0"/>
          <w:bCs w:val="0"/>
          <w:iCs/>
          <w:caps w:val="0"/>
          <w:lang w:val="ru-RU"/>
        </w:rPr>
        <w:t>качестве С</w:t>
      </w:r>
      <w:r w:rsidR="00C54FE4" w:rsidRPr="00C950FC">
        <w:rPr>
          <w:b w:val="0"/>
          <w:bCs w:val="0"/>
          <w:iCs/>
          <w:caps w:val="0"/>
          <w:lang w:val="ru-RU"/>
        </w:rPr>
        <w:t xml:space="preserve">овещания Сторон </w:t>
      </w:r>
      <w:r w:rsidR="00C54FE4" w:rsidRPr="00FF3BC8">
        <w:rPr>
          <w:b w:val="0"/>
          <w:bCs w:val="0"/>
          <w:caps w:val="0"/>
          <w:lang w:val="ru-RU"/>
        </w:rPr>
        <w:t xml:space="preserve">Дополнительного протокола </w:t>
      </w:r>
      <w:r w:rsidR="00C54FE4">
        <w:rPr>
          <w:b w:val="0"/>
          <w:bCs w:val="0"/>
          <w:caps w:val="0"/>
          <w:lang w:val="ru-RU"/>
        </w:rPr>
        <w:t xml:space="preserve">на своем следующем совещании, </w:t>
      </w:r>
      <w:r w:rsidRPr="00FF3BC8">
        <w:rPr>
          <w:b w:val="0"/>
          <w:bCs w:val="0"/>
          <w:caps w:val="0"/>
          <w:lang w:val="ru-RU"/>
        </w:rPr>
        <w:t>учитывая вопросы:</w:t>
      </w:r>
    </w:p>
    <w:p w14:paraId="2E3ECF08" w14:textId="77777777" w:rsidR="00FF3BC8" w:rsidRPr="00FF3BC8" w:rsidRDefault="00FF3BC8" w:rsidP="00FF3BC8">
      <w:pPr>
        <w:pStyle w:val="HEADING"/>
        <w:keepNext w:val="0"/>
        <w:numPr>
          <w:ilvl w:val="0"/>
          <w:numId w:val="20"/>
        </w:numPr>
        <w:spacing w:before="120"/>
        <w:ind w:left="0" w:firstLine="720"/>
        <w:jc w:val="both"/>
        <w:rPr>
          <w:bCs w:val="0"/>
          <w:caps w:val="0"/>
          <w:lang w:val="ru-RU"/>
        </w:rPr>
      </w:pPr>
      <w:r w:rsidRPr="00FF3BC8">
        <w:rPr>
          <w:b w:val="0"/>
          <w:bCs w:val="0"/>
          <w:caps w:val="0"/>
          <w:lang w:val="ru-RU"/>
        </w:rPr>
        <w:t>условий функционирования механизмов финансового обеспечения;</w:t>
      </w:r>
    </w:p>
    <w:p w14:paraId="3A9941EB" w14:textId="6BBB520D" w:rsidR="00FF3BC8" w:rsidRPr="00FF3BC8" w:rsidRDefault="00FF3BC8" w:rsidP="00FF3BC8">
      <w:pPr>
        <w:pStyle w:val="HEADING"/>
        <w:keepNext w:val="0"/>
        <w:numPr>
          <w:ilvl w:val="0"/>
          <w:numId w:val="20"/>
        </w:numPr>
        <w:spacing w:before="120"/>
        <w:ind w:left="0" w:firstLine="720"/>
        <w:jc w:val="both"/>
        <w:rPr>
          <w:bCs w:val="0"/>
          <w:caps w:val="0"/>
          <w:lang w:val="ru-RU"/>
        </w:rPr>
      </w:pPr>
      <w:r w:rsidRPr="00FF3BC8">
        <w:rPr>
          <w:b w:val="0"/>
          <w:bCs w:val="0"/>
          <w:caps w:val="0"/>
          <w:lang w:val="ru-RU"/>
        </w:rPr>
        <w:t>оценки экологического, экономического и социального</w:t>
      </w:r>
      <w:r w:rsidR="00A057D4">
        <w:rPr>
          <w:b w:val="0"/>
          <w:bCs w:val="0"/>
          <w:caps w:val="0"/>
          <w:lang w:val="ru-RU"/>
        </w:rPr>
        <w:t xml:space="preserve"> воздействия таких механизмов,</w:t>
      </w:r>
      <w:r w:rsidRPr="00FF3BC8">
        <w:rPr>
          <w:b w:val="0"/>
          <w:bCs w:val="0"/>
          <w:caps w:val="0"/>
          <w:lang w:val="ru-RU"/>
        </w:rPr>
        <w:t xml:space="preserve"> в частности на развивающиеся страны;</w:t>
      </w:r>
    </w:p>
    <w:p w14:paraId="2482B04F" w14:textId="77777777" w:rsidR="00FF3BC8" w:rsidRPr="00FF3BC8" w:rsidRDefault="00FF3BC8" w:rsidP="00FF3BC8">
      <w:pPr>
        <w:pStyle w:val="HEADING"/>
        <w:keepNext w:val="0"/>
        <w:numPr>
          <w:ilvl w:val="0"/>
          <w:numId w:val="20"/>
        </w:numPr>
        <w:spacing w:before="120"/>
        <w:ind w:left="0" w:firstLine="720"/>
        <w:jc w:val="both"/>
        <w:rPr>
          <w:b w:val="0"/>
          <w:bCs w:val="0"/>
          <w:caps w:val="0"/>
          <w:lang w:val="ru-RU"/>
        </w:rPr>
      </w:pPr>
      <w:r w:rsidRPr="00FF3BC8">
        <w:rPr>
          <w:b w:val="0"/>
          <w:bCs w:val="0"/>
          <w:caps w:val="0"/>
          <w:lang w:val="ru-RU"/>
        </w:rPr>
        <w:t>выявления надлежащих учреждений для предоставления финансового обеспечения;</w:t>
      </w:r>
    </w:p>
    <w:p w14:paraId="2E73D11E" w14:textId="4157253A" w:rsidR="0042549B" w:rsidRPr="00F532B0" w:rsidRDefault="00FF3BC8" w:rsidP="00F532B0">
      <w:pPr>
        <w:pStyle w:val="HEADING"/>
        <w:keepNext w:val="0"/>
        <w:numPr>
          <w:ilvl w:val="0"/>
          <w:numId w:val="22"/>
        </w:numPr>
        <w:spacing w:before="120"/>
        <w:ind w:left="0" w:firstLine="720"/>
        <w:jc w:val="both"/>
        <w:rPr>
          <w:b w:val="0"/>
          <w:bCs w:val="0"/>
          <w:caps w:val="0"/>
          <w:snapToGrid w:val="0"/>
          <w:szCs w:val="18"/>
          <w:lang w:val="ru-RU"/>
        </w:rPr>
      </w:pPr>
      <w:r w:rsidRPr="00FF3BC8">
        <w:rPr>
          <w:b w:val="0"/>
          <w:bCs w:val="0"/>
          <w:i/>
          <w:iCs/>
          <w:caps w:val="0"/>
          <w:lang w:val="ru-RU"/>
        </w:rPr>
        <w:t xml:space="preserve">также поручает </w:t>
      </w:r>
      <w:r w:rsidRPr="00FF3BC8">
        <w:rPr>
          <w:b w:val="0"/>
          <w:bCs w:val="0"/>
          <w:caps w:val="0"/>
          <w:lang w:val="ru-RU"/>
        </w:rPr>
        <w:t xml:space="preserve">Исполнительному секретарю разработать в Механизме посредничества по биобезопасности соответствующую общую форму для того, чтобы Стороны могли делиться контактной информацией своих компетентных органов в соответствии со статьей 5 </w:t>
      </w:r>
      <w:r w:rsidR="006D7C7D">
        <w:rPr>
          <w:b w:val="0"/>
          <w:bCs w:val="0"/>
          <w:caps w:val="0"/>
          <w:lang w:val="ru-RU"/>
        </w:rPr>
        <w:t>Д</w:t>
      </w:r>
      <w:r w:rsidRPr="00FF3BC8">
        <w:rPr>
          <w:b w:val="0"/>
          <w:bCs w:val="0"/>
          <w:caps w:val="0"/>
          <w:lang w:val="ru-RU"/>
        </w:rPr>
        <w:t>ополнительного протокола.</w:t>
      </w:r>
    </w:p>
    <w:p w14:paraId="2C2A3661" w14:textId="77777777" w:rsidR="00C9161D" w:rsidRDefault="00C9161D" w:rsidP="00FF3BC8">
      <w:pPr>
        <w:jc w:val="center"/>
      </w:pPr>
      <w:r w:rsidRPr="00C9161D">
        <w:t>______</w:t>
      </w:r>
    </w:p>
    <w:p w14:paraId="6A74EFD7" w14:textId="77777777" w:rsidR="00B3369F" w:rsidRPr="00C9161D" w:rsidRDefault="00B3369F" w:rsidP="00FF3BC8"/>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952E" w14:textId="77777777" w:rsidR="00F5710C" w:rsidRDefault="00F5710C" w:rsidP="00CF1848">
      <w:r>
        <w:separator/>
      </w:r>
    </w:p>
  </w:endnote>
  <w:endnote w:type="continuationSeparator" w:id="0">
    <w:p w14:paraId="186DD4CA" w14:textId="77777777" w:rsidR="00F5710C" w:rsidRDefault="00F5710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C3FA" w14:textId="77777777" w:rsidR="00F5710C" w:rsidRDefault="00F5710C" w:rsidP="00CF1848">
      <w:r>
        <w:separator/>
      </w:r>
    </w:p>
  </w:footnote>
  <w:footnote w:type="continuationSeparator" w:id="0">
    <w:p w14:paraId="16EDF1B2" w14:textId="77777777" w:rsidR="00F5710C" w:rsidRDefault="00F5710C" w:rsidP="00CF1848">
      <w:r>
        <w:continuationSeparator/>
      </w:r>
    </w:p>
  </w:footnote>
  <w:footnote w:id="1">
    <w:p w14:paraId="2AEDC39F" w14:textId="63C2DA9E" w:rsidR="00FF3BC8" w:rsidRPr="00FF3BC8" w:rsidRDefault="00FF3BC8" w:rsidP="00421573">
      <w:pPr>
        <w:pStyle w:val="FootnoteText"/>
        <w:suppressLineNumbers/>
        <w:suppressAutoHyphens/>
        <w:ind w:firstLine="0"/>
        <w:rPr>
          <w:szCs w:val="18"/>
          <w:lang w:val="ru-RU"/>
        </w:rPr>
      </w:pPr>
      <w:r w:rsidRPr="00FF3BC8">
        <w:rPr>
          <w:rStyle w:val="FootnoteReference"/>
          <w:szCs w:val="18"/>
          <w:lang w:val="ru-RU"/>
        </w:rPr>
        <w:footnoteRef/>
      </w:r>
      <w:r w:rsidRPr="00FF3BC8">
        <w:rPr>
          <w:szCs w:val="18"/>
          <w:lang w:val="ru-RU"/>
        </w:rPr>
        <w:t xml:space="preserve"> В соответствии с</w:t>
      </w:r>
      <w:r w:rsidR="00C950FC" w:rsidRPr="00A1336B">
        <w:rPr>
          <w:szCs w:val="18"/>
          <w:lang w:val="ru-RU"/>
        </w:rPr>
        <w:t xml:space="preserve"> </w:t>
      </w:r>
      <w:r w:rsidR="00C950FC">
        <w:rPr>
          <w:szCs w:val="18"/>
          <w:lang w:val="ru-RU"/>
        </w:rPr>
        <w:t>пунктом 1 статьи 14</w:t>
      </w:r>
      <w:r w:rsidR="00C950FC" w:rsidRPr="00A1336B">
        <w:rPr>
          <w:szCs w:val="18"/>
          <w:lang w:val="ru-RU"/>
        </w:rPr>
        <w:t xml:space="preserve"> </w:t>
      </w:r>
      <w:r w:rsidR="00C950FC">
        <w:rPr>
          <w:szCs w:val="18"/>
          <w:lang w:val="ru-RU"/>
        </w:rPr>
        <w:t xml:space="preserve">Дополнительного протокола и согласно </w:t>
      </w:r>
      <w:r w:rsidRPr="00FF3BC8">
        <w:rPr>
          <w:szCs w:val="18"/>
          <w:lang w:val="ru-RU"/>
        </w:rPr>
        <w:t>пункт</w:t>
      </w:r>
      <w:r w:rsidR="00C950FC">
        <w:rPr>
          <w:szCs w:val="18"/>
          <w:lang w:val="ru-RU"/>
        </w:rPr>
        <w:t>у</w:t>
      </w:r>
      <w:r w:rsidRPr="00FF3BC8">
        <w:rPr>
          <w:szCs w:val="18"/>
          <w:lang w:val="ru-RU"/>
        </w:rPr>
        <w:t xml:space="preserve"> 2 статьи 32 Конвенц</w:t>
      </w:r>
      <w:r w:rsidR="001C40BF">
        <w:rPr>
          <w:szCs w:val="18"/>
          <w:lang w:val="ru-RU"/>
        </w:rPr>
        <w:t>ии о биологическом разнообразии</w:t>
      </w:r>
      <w:r w:rsidRPr="00FF3BC8">
        <w:rPr>
          <w:szCs w:val="18"/>
          <w:lang w:val="ru-RU"/>
        </w:rPr>
        <w:t xml:space="preserve"> </w:t>
      </w:r>
      <w:r w:rsidR="00C950FC" w:rsidRPr="00C950FC">
        <w:rPr>
          <w:iCs/>
          <w:lang w:val="ru-RU"/>
        </w:rPr>
        <w:t xml:space="preserve">Конференция </w:t>
      </w:r>
      <w:r w:rsidR="001C40BF">
        <w:rPr>
          <w:iCs/>
          <w:lang w:val="ru-RU"/>
        </w:rPr>
        <w:t>Сторон, выступающая в качестве С</w:t>
      </w:r>
      <w:r w:rsidR="00C950FC" w:rsidRPr="00C950FC">
        <w:rPr>
          <w:iCs/>
          <w:lang w:val="ru-RU"/>
        </w:rPr>
        <w:t xml:space="preserve">овещания Сторон </w:t>
      </w:r>
      <w:r w:rsidR="00C950FC">
        <w:rPr>
          <w:iCs/>
          <w:lang w:val="ru-RU"/>
        </w:rPr>
        <w:t>П</w:t>
      </w:r>
      <w:r w:rsidR="001C40BF">
        <w:rPr>
          <w:iCs/>
          <w:lang w:val="ru-RU"/>
        </w:rPr>
        <w:t>ротокола</w:t>
      </w:r>
      <w:r w:rsidR="00C950FC">
        <w:rPr>
          <w:iCs/>
          <w:lang w:val="ru-RU"/>
        </w:rPr>
        <w:t>, выступает</w:t>
      </w:r>
      <w:r w:rsidR="00C950FC" w:rsidRPr="00FF3BC8">
        <w:rPr>
          <w:i/>
          <w:iCs/>
          <w:lang w:val="ru-RU"/>
        </w:rPr>
        <w:t xml:space="preserve"> </w:t>
      </w:r>
      <w:r w:rsidR="003C3435">
        <w:rPr>
          <w:iCs/>
          <w:lang w:val="ru-RU"/>
        </w:rPr>
        <w:t>в качестве С</w:t>
      </w:r>
      <w:r w:rsidR="00C950FC" w:rsidRPr="00C950FC">
        <w:rPr>
          <w:iCs/>
          <w:lang w:val="ru-RU"/>
        </w:rPr>
        <w:t>овещания Сторон Дополнительного протокола. Настоящее решение принято Сторонами Дополнительного</w:t>
      </w:r>
      <w:r w:rsidRPr="00C950FC">
        <w:rPr>
          <w:szCs w:val="18"/>
          <w:lang w:val="ru-RU"/>
        </w:rPr>
        <w:t xml:space="preserve"> протокола</w:t>
      </w:r>
      <w:r w:rsidRPr="00FF3BC8">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A220ADC" w14:textId="131C07FB" w:rsidR="00534681" w:rsidRPr="00A1336B" w:rsidRDefault="00FD6EC7" w:rsidP="00534681">
        <w:pPr>
          <w:pStyle w:val="Header"/>
          <w:rPr>
            <w:lang w:val="ru-RU"/>
          </w:rPr>
        </w:pPr>
        <w:r w:rsidRPr="00E772F7">
          <w:rPr>
            <w:lang w:val="ru-RU"/>
          </w:rPr>
          <w:t>CBD/CP/MOP/DEC/9/15</w:t>
        </w:r>
      </w:p>
    </w:sdtContent>
  </w:sdt>
  <w:p w14:paraId="57075E7B" w14:textId="77777777" w:rsidR="00534681" w:rsidRPr="001F0D1E" w:rsidRDefault="00FF3BC8" w:rsidP="00534681">
    <w:pPr>
      <w:pStyle w:val="Header"/>
      <w:rPr>
        <w:lang w:val="ru-RU"/>
      </w:rPr>
    </w:pPr>
    <w:r>
      <w:rPr>
        <w:lang w:val="ru-RU"/>
      </w:rPr>
      <w:t>Страница</w:t>
    </w:r>
    <w:r w:rsidR="00534681" w:rsidRPr="001F0D1E">
      <w:rPr>
        <w:lang w:val="ru-RU"/>
      </w:rPr>
      <w:t xml:space="preserve"> </w:t>
    </w:r>
    <w:r w:rsidR="00653253">
      <w:fldChar w:fldCharType="begin"/>
    </w:r>
    <w:r w:rsidR="00534681" w:rsidRPr="001F0D1E">
      <w:rPr>
        <w:lang w:val="ru-RU"/>
      </w:rPr>
      <w:instrText xml:space="preserve"> </w:instrText>
    </w:r>
    <w:r w:rsidR="00534681" w:rsidRPr="00000614">
      <w:rPr>
        <w:lang w:val="fr-FR"/>
      </w:rPr>
      <w:instrText>PAGE</w:instrText>
    </w:r>
    <w:r w:rsidR="00534681" w:rsidRPr="001F0D1E">
      <w:rPr>
        <w:lang w:val="ru-RU"/>
      </w:rPr>
      <w:instrText xml:space="preserve">   \* </w:instrText>
    </w:r>
    <w:r w:rsidR="00534681" w:rsidRPr="00000614">
      <w:rPr>
        <w:lang w:val="fr-FR"/>
      </w:rPr>
      <w:instrText>MERGEFORMAT</w:instrText>
    </w:r>
    <w:r w:rsidR="00534681" w:rsidRPr="001F0D1E">
      <w:rPr>
        <w:lang w:val="ru-RU"/>
      </w:rPr>
      <w:instrText xml:space="preserve"> </w:instrText>
    </w:r>
    <w:r w:rsidR="00653253">
      <w:fldChar w:fldCharType="separate"/>
    </w:r>
    <w:r w:rsidR="006D7C7D" w:rsidRPr="001F0D1E">
      <w:rPr>
        <w:noProof/>
        <w:lang w:val="ru-RU"/>
      </w:rPr>
      <w:t>2</w:t>
    </w:r>
    <w:r w:rsidR="00653253">
      <w:rPr>
        <w:noProof/>
      </w:rPr>
      <w:fldChar w:fldCharType="end"/>
    </w:r>
  </w:p>
  <w:p w14:paraId="50C0763D" w14:textId="77777777" w:rsidR="00534681" w:rsidRPr="001F0D1E" w:rsidRDefault="0053468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0D2DCD3" w14:textId="60936764" w:rsidR="009505C9" w:rsidRPr="001F0D1E" w:rsidRDefault="00FD6EC7" w:rsidP="009505C9">
        <w:pPr>
          <w:pStyle w:val="Header"/>
          <w:jc w:val="right"/>
          <w:rPr>
            <w:lang w:val="fr-FR"/>
          </w:rPr>
        </w:pPr>
        <w:r w:rsidRPr="001F0D1E">
          <w:rPr>
            <w:lang w:val="fr-FR"/>
          </w:rPr>
          <w:t>CBD/CP/MOP/DEC/9/15</w:t>
        </w:r>
      </w:p>
    </w:sdtContent>
  </w:sdt>
  <w:p w14:paraId="746E591A" w14:textId="77777777" w:rsidR="009505C9" w:rsidRPr="00000614" w:rsidRDefault="009505C9" w:rsidP="009505C9">
    <w:pPr>
      <w:pStyle w:val="Header"/>
      <w:jc w:val="right"/>
      <w:rPr>
        <w:lang w:val="fr-FR"/>
      </w:rPr>
    </w:pPr>
    <w:r w:rsidRPr="00000614">
      <w:rPr>
        <w:lang w:val="fr-FR"/>
      </w:rPr>
      <w:t xml:space="preserve">Page </w:t>
    </w:r>
    <w:r w:rsidR="00653253">
      <w:fldChar w:fldCharType="begin"/>
    </w:r>
    <w:r w:rsidRPr="00000614">
      <w:rPr>
        <w:lang w:val="fr-FR"/>
      </w:rPr>
      <w:instrText xml:space="preserve"> PAGE   \* MERGEFORMAT </w:instrText>
    </w:r>
    <w:r w:rsidR="00653253">
      <w:fldChar w:fldCharType="separate"/>
    </w:r>
    <w:r w:rsidR="009C200D" w:rsidRPr="00000614">
      <w:rPr>
        <w:noProof/>
        <w:lang w:val="fr-FR"/>
      </w:rPr>
      <w:t>1</w:t>
    </w:r>
    <w:r w:rsidR="00653253">
      <w:rPr>
        <w:noProof/>
      </w:rPr>
      <w:fldChar w:fldCharType="end"/>
    </w:r>
  </w:p>
  <w:p w14:paraId="485D321B"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
  </w:num>
  <w:num w:numId="3">
    <w:abstractNumId w:val="7"/>
  </w:num>
  <w:num w:numId="4">
    <w:abstractNumId w:val="9"/>
  </w:num>
  <w:num w:numId="5">
    <w:abstractNumId w:val="8"/>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3"/>
  </w:num>
  <w:num w:numId="17">
    <w:abstractNumId w:val="14"/>
  </w:num>
  <w:num w:numId="18">
    <w:abstractNumId w:val="15"/>
  </w:num>
  <w:num w:numId="19">
    <w:abstractNumId w:val="0"/>
  </w:num>
  <w:num w:numId="20">
    <w:abstractNumId w:val="6"/>
  </w:num>
  <w:num w:numId="21">
    <w:abstractNumId w:val="16"/>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292D"/>
    <w:rsid w:val="000B7F4C"/>
    <w:rsid w:val="000E673A"/>
    <w:rsid w:val="000F74F5"/>
    <w:rsid w:val="00105372"/>
    <w:rsid w:val="00131E7A"/>
    <w:rsid w:val="001372FB"/>
    <w:rsid w:val="001513E3"/>
    <w:rsid w:val="00172AF6"/>
    <w:rsid w:val="00176CEE"/>
    <w:rsid w:val="00194FC4"/>
    <w:rsid w:val="001C40BF"/>
    <w:rsid w:val="001C4BEB"/>
    <w:rsid w:val="001D45AA"/>
    <w:rsid w:val="001F0D1E"/>
    <w:rsid w:val="001F2572"/>
    <w:rsid w:val="001F5F38"/>
    <w:rsid w:val="00203480"/>
    <w:rsid w:val="002709B8"/>
    <w:rsid w:val="00273457"/>
    <w:rsid w:val="00277168"/>
    <w:rsid w:val="00280AF7"/>
    <w:rsid w:val="00297334"/>
    <w:rsid w:val="002A68C3"/>
    <w:rsid w:val="00340509"/>
    <w:rsid w:val="00366138"/>
    <w:rsid w:val="00372F74"/>
    <w:rsid w:val="003C3435"/>
    <w:rsid w:val="003D0330"/>
    <w:rsid w:val="003F7224"/>
    <w:rsid w:val="004048AF"/>
    <w:rsid w:val="00405146"/>
    <w:rsid w:val="00421573"/>
    <w:rsid w:val="0042412C"/>
    <w:rsid w:val="0042549B"/>
    <w:rsid w:val="00427D21"/>
    <w:rsid w:val="004644C2"/>
    <w:rsid w:val="00467F9C"/>
    <w:rsid w:val="00472449"/>
    <w:rsid w:val="00491E47"/>
    <w:rsid w:val="00534681"/>
    <w:rsid w:val="006122BA"/>
    <w:rsid w:val="0061445E"/>
    <w:rsid w:val="006477CD"/>
    <w:rsid w:val="00653253"/>
    <w:rsid w:val="0066062E"/>
    <w:rsid w:val="00661C63"/>
    <w:rsid w:val="00674A96"/>
    <w:rsid w:val="006B2290"/>
    <w:rsid w:val="006D7C7D"/>
    <w:rsid w:val="006E100C"/>
    <w:rsid w:val="006E2ADF"/>
    <w:rsid w:val="006F1189"/>
    <w:rsid w:val="007167C6"/>
    <w:rsid w:val="00717D88"/>
    <w:rsid w:val="007942D3"/>
    <w:rsid w:val="007B6C09"/>
    <w:rsid w:val="007E09DA"/>
    <w:rsid w:val="008178B6"/>
    <w:rsid w:val="00865B74"/>
    <w:rsid w:val="008B2764"/>
    <w:rsid w:val="00903993"/>
    <w:rsid w:val="00930BA1"/>
    <w:rsid w:val="0093169E"/>
    <w:rsid w:val="009505C9"/>
    <w:rsid w:val="00983E20"/>
    <w:rsid w:val="009C200D"/>
    <w:rsid w:val="00A057D4"/>
    <w:rsid w:val="00A1336B"/>
    <w:rsid w:val="00A229D6"/>
    <w:rsid w:val="00A558CF"/>
    <w:rsid w:val="00A638CC"/>
    <w:rsid w:val="00A72E2E"/>
    <w:rsid w:val="00AC03E9"/>
    <w:rsid w:val="00B3369F"/>
    <w:rsid w:val="00B72903"/>
    <w:rsid w:val="00B952D6"/>
    <w:rsid w:val="00BD23ED"/>
    <w:rsid w:val="00C3263F"/>
    <w:rsid w:val="00C44783"/>
    <w:rsid w:val="00C4553F"/>
    <w:rsid w:val="00C45B4C"/>
    <w:rsid w:val="00C54FE4"/>
    <w:rsid w:val="00C6677C"/>
    <w:rsid w:val="00C9161D"/>
    <w:rsid w:val="00C950FC"/>
    <w:rsid w:val="00CF1848"/>
    <w:rsid w:val="00D12044"/>
    <w:rsid w:val="00D76A18"/>
    <w:rsid w:val="00DD118C"/>
    <w:rsid w:val="00E25700"/>
    <w:rsid w:val="00E66235"/>
    <w:rsid w:val="00E66C50"/>
    <w:rsid w:val="00E772F7"/>
    <w:rsid w:val="00E83C24"/>
    <w:rsid w:val="00E9318D"/>
    <w:rsid w:val="00EF2588"/>
    <w:rsid w:val="00F10433"/>
    <w:rsid w:val="00F25AA5"/>
    <w:rsid w:val="00F532B0"/>
    <w:rsid w:val="00F5710C"/>
    <w:rsid w:val="00F65210"/>
    <w:rsid w:val="00F94774"/>
    <w:rsid w:val="00FC53DB"/>
    <w:rsid w:val="00FD6EC7"/>
    <w:rsid w:val="00FF3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B53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4AE6"/>
    <w:rsid w:val="00233041"/>
    <w:rsid w:val="00261E9A"/>
    <w:rsid w:val="002710F8"/>
    <w:rsid w:val="00317DA5"/>
    <w:rsid w:val="00500A2B"/>
    <w:rsid w:val="00507420"/>
    <w:rsid w:val="0058288D"/>
    <w:rsid w:val="006801B3"/>
    <w:rsid w:val="00720F63"/>
    <w:rsid w:val="007F1B76"/>
    <w:rsid w:val="00810A55"/>
    <w:rsid w:val="008C6619"/>
    <w:rsid w:val="008D420E"/>
    <w:rsid w:val="0098642F"/>
    <w:rsid w:val="00C30585"/>
    <w:rsid w:val="00CE6602"/>
    <w:rsid w:val="00D21FA5"/>
    <w:rsid w:val="00DF340E"/>
    <w:rsid w:val="00E87295"/>
    <w:rsid w:val="00F67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233041"/>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7F183-8C1E-4F09-8B64-C66C5B3C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НАГОЙСКО-КУАЛА-ЛУМПУРСКИЙ ДОПОЛНИТЕЛЬНЫЙ ПРОТОКОЛ ОБ ОТВЕТСТВЕННОСТИ И ВОЗМЕЩЕНИИ</vt:lpstr>
    </vt:vector>
  </TitlesOfParts>
  <Company>SCBD</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НАГОЙСКО-КУАЛА-ЛУМПУРСКОГО ДОПОЛНИТЕЛЬНОГО ПРОТОКОЛА ОБ ОТВЕТСТВЕННОСТИ И ВОЗМЕЩЕНИИ К КАРТАХЕНСКОМУ ПРОТОКОЛУ ПО БИОБЕЗОПАСНОСТИ</dc:title>
  <dc:subject>CBD/CP/MOP/DEC/9/15</dc:subject>
  <dc:creator>SCBD</dc:creator>
  <cp:lastModifiedBy>Tatiana Zavarzina</cp:lastModifiedBy>
  <cp:revision>7</cp:revision>
  <cp:lastPrinted>2018-11-19T12:47:00Z</cp:lastPrinted>
  <dcterms:created xsi:type="dcterms:W3CDTF">2019-02-14T01:57:00Z</dcterms:created>
  <dcterms:modified xsi:type="dcterms:W3CDTF">2019-02-14T16:42:00Z</dcterms:modified>
  <cp:contentStatus>GENERAL</cp:contentStatus>
</cp:coreProperties>
</file>